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234A68C0" w:rsidR="00171D36" w:rsidRPr="00B241FD" w:rsidRDefault="00843AFD" w:rsidP="00B241FD">
      <w:pPr>
        <w:tabs>
          <w:tab w:val="left" w:pos="6663"/>
        </w:tabs>
        <w:spacing w:after="0" w:line="240" w:lineRule="auto"/>
        <w:jc w:val="center"/>
        <w:rPr>
          <w:rFonts w:ascii="Times New Roman" w:hAnsi="Times New Roman"/>
          <w:b/>
          <w:sz w:val="28"/>
          <w:szCs w:val="28"/>
        </w:rPr>
      </w:pPr>
      <w:r>
        <w:rPr>
          <w:rFonts w:ascii="Times New Roman" w:hAnsi="Times New Roman"/>
          <w:b/>
          <w:sz w:val="28"/>
          <w:szCs w:val="28"/>
        </w:rPr>
        <w:t>Likum</w:t>
      </w:r>
      <w:r w:rsidR="00B241FD" w:rsidRPr="00B241FD">
        <w:rPr>
          <w:rFonts w:ascii="Times New Roman" w:hAnsi="Times New Roman"/>
          <w:b/>
          <w:sz w:val="28"/>
          <w:szCs w:val="28"/>
        </w:rPr>
        <w:t xml:space="preserve">projekta </w:t>
      </w:r>
      <w:r>
        <w:rPr>
          <w:rFonts w:ascii="Times New Roman" w:hAnsi="Times New Roman"/>
          <w:b/>
          <w:sz w:val="28"/>
          <w:szCs w:val="28"/>
        </w:rPr>
        <w:t xml:space="preserve">„Eiropas Savienības struktūrfondu un Kohēzijas fonda 2014.-2020.gada plānošanas perioda vadības likums” </w:t>
      </w:r>
      <w:r w:rsidR="00B241FD" w:rsidRPr="00B241FD">
        <w:rPr>
          <w:rFonts w:ascii="Times New Roman" w:hAnsi="Times New Roman"/>
          <w:b/>
          <w:sz w:val="28"/>
          <w:szCs w:val="28"/>
        </w:rPr>
        <w:t>sākotnējās ietekmes novērtējuma ziņojums (anotācija)</w:t>
      </w:r>
    </w:p>
    <w:p w14:paraId="5EDF1D9D" w14:textId="77777777" w:rsidR="00184133" w:rsidRPr="00700A10" w:rsidRDefault="00184133" w:rsidP="00171D36">
      <w:pPr>
        <w:pStyle w:val="naisf"/>
        <w:spacing w:before="0" w:beforeAutospacing="0" w:after="0" w:afterAutospacing="0"/>
        <w:jc w:val="right"/>
        <w:rPr>
          <w:sz w:val="28"/>
          <w:szCs w:val="28"/>
        </w:rPr>
      </w:pPr>
    </w:p>
    <w:tbl>
      <w:tblPr>
        <w:tblpPr w:leftFromText="180" w:rightFromText="180" w:vertAnchor="text" w:horzAnchor="margin" w:tblpXSpec="center" w:tblpY="149"/>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
        <w:gridCol w:w="3237"/>
        <w:gridCol w:w="5616"/>
      </w:tblGrid>
      <w:tr w:rsidR="00DA6C86" w:rsidRPr="00DD49B6" w14:paraId="5EDF1D9F" w14:textId="77777777" w:rsidTr="00176CB2">
        <w:trPr>
          <w:trHeight w:val="419"/>
        </w:trPr>
        <w:tc>
          <w:tcPr>
            <w:tcW w:w="5000" w:type="pct"/>
            <w:gridSpan w:val="3"/>
            <w:vAlign w:val="center"/>
          </w:tcPr>
          <w:p w14:paraId="5EDF1D9E" w14:textId="77777777" w:rsidR="00DA6C86" w:rsidRPr="00DD49B6" w:rsidRDefault="00DA6C86" w:rsidP="00176CB2">
            <w:pPr>
              <w:pStyle w:val="naisnod"/>
              <w:spacing w:before="0" w:beforeAutospacing="0" w:after="0" w:afterAutospacing="0"/>
              <w:ind w:right="57"/>
              <w:jc w:val="center"/>
              <w:rPr>
                <w:b/>
              </w:rPr>
            </w:pPr>
            <w:r w:rsidRPr="00DD49B6">
              <w:rPr>
                <w:b/>
              </w:rPr>
              <w:t>I. Tiesību akta projekta izstrādes nepieciešamība</w:t>
            </w:r>
          </w:p>
        </w:tc>
      </w:tr>
      <w:tr w:rsidR="00DA6C86" w:rsidRPr="00DD49B6" w14:paraId="5EDF1DA3" w14:textId="77777777" w:rsidTr="00176CB2">
        <w:trPr>
          <w:trHeight w:val="415"/>
        </w:trPr>
        <w:tc>
          <w:tcPr>
            <w:tcW w:w="217" w:type="pct"/>
          </w:tcPr>
          <w:p w14:paraId="5EDF1DA0" w14:textId="77777777" w:rsidR="00DA6C86" w:rsidRPr="00DD49B6" w:rsidRDefault="00DA6C86" w:rsidP="00176CB2">
            <w:pPr>
              <w:pStyle w:val="naiskr"/>
              <w:spacing w:before="0" w:beforeAutospacing="0" w:after="0" w:afterAutospacing="0"/>
              <w:ind w:right="57"/>
              <w:jc w:val="center"/>
            </w:pPr>
            <w:r w:rsidRPr="00DD49B6">
              <w:t>1.</w:t>
            </w:r>
          </w:p>
        </w:tc>
        <w:tc>
          <w:tcPr>
            <w:tcW w:w="1749" w:type="pct"/>
          </w:tcPr>
          <w:p w14:paraId="5EDF1DA1" w14:textId="2DFEEE26" w:rsidR="00900304" w:rsidRDefault="00DA6C86" w:rsidP="00F57E68">
            <w:pPr>
              <w:pStyle w:val="naiskr"/>
              <w:spacing w:before="0" w:beforeAutospacing="0" w:after="0" w:afterAutospacing="0"/>
              <w:ind w:left="57" w:right="57"/>
            </w:pPr>
            <w:r w:rsidRPr="00EB5637">
              <w:t>Pamatojums</w:t>
            </w:r>
          </w:p>
          <w:p w14:paraId="2802E2B3" w14:textId="77777777" w:rsidR="00DA6C86" w:rsidRPr="00900304" w:rsidRDefault="00DA6C86" w:rsidP="00900304">
            <w:pPr>
              <w:ind w:firstLine="720"/>
            </w:pPr>
          </w:p>
        </w:tc>
        <w:tc>
          <w:tcPr>
            <w:tcW w:w="3034" w:type="pct"/>
          </w:tcPr>
          <w:p w14:paraId="11A0CE16" w14:textId="21A5C56D" w:rsidR="00DE3EE8" w:rsidRPr="00EF7BBB" w:rsidRDefault="00843AFD" w:rsidP="00F57E68">
            <w:pPr>
              <w:spacing w:after="0" w:line="240" w:lineRule="auto"/>
              <w:ind w:left="57" w:right="57"/>
              <w:jc w:val="both"/>
              <w:rPr>
                <w:rFonts w:ascii="Times New Roman" w:hAnsi="Times New Roman" w:cs="Times New Roman"/>
                <w:sz w:val="24"/>
                <w:szCs w:val="24"/>
              </w:rPr>
            </w:pPr>
            <w:r w:rsidRPr="00EF7BBB">
              <w:rPr>
                <w:rFonts w:ascii="Times New Roman" w:hAnsi="Times New Roman" w:cs="Times New Roman"/>
                <w:sz w:val="24"/>
                <w:szCs w:val="24"/>
              </w:rPr>
              <w:t xml:space="preserve">Likumprojekts „Eiropas Savienības struktūrfondu un Kohēzijas fonda 2014.-2020.gada plānošanas perioda vadības likums” </w:t>
            </w:r>
            <w:r w:rsidR="00DE3EE8" w:rsidRPr="00EF7BBB">
              <w:rPr>
                <w:rFonts w:ascii="Times New Roman" w:hAnsi="Times New Roman" w:cs="Times New Roman"/>
                <w:sz w:val="24"/>
                <w:szCs w:val="24"/>
              </w:rPr>
              <w:t>(turpmāk – likumprojekts) izstrādāts saskaņā ar:</w:t>
            </w:r>
          </w:p>
          <w:p w14:paraId="2A6DFC34" w14:textId="6A9F627A" w:rsidR="00DA6C86" w:rsidRPr="00EF7BBB" w:rsidRDefault="00DE3EE8" w:rsidP="00F57E68">
            <w:pPr>
              <w:spacing w:after="0" w:line="240" w:lineRule="auto"/>
              <w:ind w:left="57" w:right="57"/>
              <w:jc w:val="both"/>
              <w:rPr>
                <w:rFonts w:ascii="Times New Roman" w:hAnsi="Times New Roman" w:cs="Times New Roman"/>
                <w:sz w:val="24"/>
                <w:szCs w:val="24"/>
              </w:rPr>
            </w:pPr>
            <w:r w:rsidRPr="00EF7BBB">
              <w:rPr>
                <w:rFonts w:ascii="Times New Roman" w:hAnsi="Times New Roman" w:cs="Times New Roman"/>
                <w:sz w:val="24"/>
                <w:szCs w:val="24"/>
              </w:rPr>
              <w:t xml:space="preserve">- </w:t>
            </w:r>
            <w:r w:rsidR="00843AFD" w:rsidRPr="00EF7BBB">
              <w:rPr>
                <w:rFonts w:ascii="Times New Roman" w:hAnsi="Times New Roman" w:cs="Times New Roman"/>
                <w:sz w:val="24"/>
                <w:szCs w:val="24"/>
              </w:rPr>
              <w:t xml:space="preserve">Eiropas Parlamenta un </w:t>
            </w:r>
            <w:r w:rsidRPr="00EF7BBB">
              <w:rPr>
                <w:rFonts w:ascii="Times New Roman" w:hAnsi="Times New Roman" w:cs="Times New Roman"/>
                <w:sz w:val="24"/>
                <w:szCs w:val="24"/>
              </w:rPr>
              <w:t>P</w:t>
            </w:r>
            <w:r w:rsidR="00843AFD" w:rsidRPr="00EF7BBB">
              <w:rPr>
                <w:rFonts w:ascii="Times New Roman" w:hAnsi="Times New Roman" w:cs="Times New Roman"/>
                <w:sz w:val="24"/>
                <w:szCs w:val="24"/>
              </w:rPr>
              <w:t xml:space="preserve">adomes </w:t>
            </w:r>
            <w:r w:rsidR="00F0244D">
              <w:rPr>
                <w:rFonts w:ascii="Times New Roman" w:hAnsi="Times New Roman" w:cs="Times New Roman"/>
                <w:sz w:val="24"/>
                <w:szCs w:val="24"/>
              </w:rPr>
              <w:t>2013.gada 17.decembra</w:t>
            </w:r>
            <w:r w:rsidR="00843AFD" w:rsidRPr="00EF7BBB">
              <w:rPr>
                <w:rFonts w:ascii="Times New Roman" w:hAnsi="Times New Roman" w:cs="Times New Roman"/>
                <w:sz w:val="24"/>
                <w:szCs w:val="24"/>
              </w:rPr>
              <w:t xml:space="preserve">  regul</w:t>
            </w:r>
            <w:r w:rsidRPr="00EF7BBB">
              <w:rPr>
                <w:rFonts w:ascii="Times New Roman" w:hAnsi="Times New Roman" w:cs="Times New Roman"/>
                <w:sz w:val="24"/>
                <w:szCs w:val="24"/>
              </w:rPr>
              <w:t>u</w:t>
            </w:r>
            <w:r w:rsidR="00F0244D">
              <w:rPr>
                <w:rFonts w:ascii="Times New Roman" w:hAnsi="Times New Roman" w:cs="Times New Roman"/>
                <w:sz w:val="24"/>
                <w:szCs w:val="24"/>
              </w:rPr>
              <w:t xml:space="preserve"> (ES)</w:t>
            </w:r>
            <w:r w:rsidR="00843AFD" w:rsidRPr="00EF7BBB">
              <w:rPr>
                <w:rFonts w:ascii="Times New Roman" w:hAnsi="Times New Roman" w:cs="Times New Roman"/>
                <w:sz w:val="24"/>
                <w:szCs w:val="24"/>
              </w:rPr>
              <w:t xml:space="preserve"> Nr</w:t>
            </w:r>
            <w:r w:rsidR="00F0244D">
              <w:rPr>
                <w:rFonts w:ascii="Times New Roman" w:hAnsi="Times New Roman" w:cs="Times New Roman"/>
                <w:sz w:val="24"/>
                <w:szCs w:val="24"/>
              </w:rPr>
              <w:t>.1303/2013,</w:t>
            </w:r>
            <w:r w:rsidRPr="00EF7BBB">
              <w:rPr>
                <w:rFonts w:ascii="Times New Roman" w:hAnsi="Times New Roman" w:cs="Times New Roman"/>
                <w:sz w:val="24"/>
                <w:szCs w:val="24"/>
              </w:rPr>
              <w:t xml:space="preserve"> </w:t>
            </w:r>
            <w:r w:rsidR="00843AFD" w:rsidRPr="00EF7BBB">
              <w:rPr>
                <w:rFonts w:ascii="Times New Roman" w:hAnsi="Times New Roman" w:cs="Times New Roman"/>
                <w:sz w:val="24"/>
                <w:szCs w:val="24"/>
              </w:rPr>
              <w:t>ar ko paredz kopīgus noteikumus par Eiropas Reģio</w:t>
            </w:r>
            <w:r w:rsidRPr="00EF7BBB">
              <w:rPr>
                <w:rFonts w:ascii="Times New Roman" w:hAnsi="Times New Roman" w:cs="Times New Roman"/>
                <w:sz w:val="24"/>
                <w:szCs w:val="24"/>
              </w:rPr>
              <w:t xml:space="preserve">nālās attīstības fondu, Eiropas </w:t>
            </w:r>
            <w:r w:rsidR="00843AFD" w:rsidRPr="00EF7BBB">
              <w:rPr>
                <w:rFonts w:ascii="Times New Roman" w:hAnsi="Times New Roman" w:cs="Times New Roman"/>
                <w:sz w:val="24"/>
                <w:szCs w:val="24"/>
              </w:rPr>
              <w:t>Sociālo fondu, Kohēzijas fondu, Eiropas Lauksaimnie</w:t>
            </w:r>
            <w:r w:rsidRPr="00EF7BBB">
              <w:rPr>
                <w:rFonts w:ascii="Times New Roman" w:hAnsi="Times New Roman" w:cs="Times New Roman"/>
                <w:sz w:val="24"/>
                <w:szCs w:val="24"/>
              </w:rPr>
              <w:t xml:space="preserve">cības fondu lauku attīstībai un </w:t>
            </w:r>
            <w:r w:rsidR="00843AFD" w:rsidRPr="00EF7BBB">
              <w:rPr>
                <w:rFonts w:ascii="Times New Roman" w:hAnsi="Times New Roman" w:cs="Times New Roman"/>
                <w:sz w:val="24"/>
                <w:szCs w:val="24"/>
              </w:rPr>
              <w:t>Eiropas Jūrlietu un zivsaimniecības fondu</w:t>
            </w:r>
            <w:r w:rsidR="00E718B7">
              <w:rPr>
                <w:rFonts w:ascii="Times New Roman" w:hAnsi="Times New Roman" w:cs="Times New Roman"/>
                <w:sz w:val="24"/>
                <w:szCs w:val="24"/>
              </w:rPr>
              <w:t xml:space="preserve"> </w:t>
            </w:r>
            <w:r w:rsidR="00843AFD" w:rsidRPr="00EF7BBB">
              <w:rPr>
                <w:rFonts w:ascii="Times New Roman" w:hAnsi="Times New Roman" w:cs="Times New Roman"/>
                <w:sz w:val="24"/>
                <w:szCs w:val="24"/>
              </w:rPr>
              <w:t>un vispārīgus noteikumus par Eiropas Reģio</w:t>
            </w:r>
            <w:r w:rsidRPr="00EF7BBB">
              <w:rPr>
                <w:rFonts w:ascii="Times New Roman" w:hAnsi="Times New Roman" w:cs="Times New Roman"/>
                <w:sz w:val="24"/>
                <w:szCs w:val="24"/>
              </w:rPr>
              <w:t xml:space="preserve">nālās attīstības fondu, Eiropas </w:t>
            </w:r>
            <w:r w:rsidR="00843AFD" w:rsidRPr="00EF7BBB">
              <w:rPr>
                <w:rFonts w:ascii="Times New Roman" w:hAnsi="Times New Roman" w:cs="Times New Roman"/>
                <w:sz w:val="24"/>
                <w:szCs w:val="24"/>
              </w:rPr>
              <w:t>Sociālo fondu un Kohēzijas</w:t>
            </w:r>
            <w:r w:rsidRPr="00EF7BBB">
              <w:rPr>
                <w:rFonts w:ascii="Times New Roman" w:hAnsi="Times New Roman" w:cs="Times New Roman"/>
                <w:sz w:val="24"/>
                <w:szCs w:val="24"/>
              </w:rPr>
              <w:t xml:space="preserve"> fondu </w:t>
            </w:r>
            <w:r w:rsidR="00E718B7">
              <w:rPr>
                <w:rFonts w:ascii="Times New Roman" w:hAnsi="Times New Roman" w:cs="Times New Roman"/>
                <w:sz w:val="24"/>
                <w:szCs w:val="24"/>
              </w:rPr>
              <w:t xml:space="preserve">un Eiropas Jūrlietu un zivsaimniecības fondu </w:t>
            </w:r>
            <w:r w:rsidRPr="00EF7BBB">
              <w:rPr>
                <w:rFonts w:ascii="Times New Roman" w:hAnsi="Times New Roman" w:cs="Times New Roman"/>
                <w:sz w:val="24"/>
                <w:szCs w:val="24"/>
              </w:rPr>
              <w:t>un atceļ Regulu (EK) Nr.</w:t>
            </w:r>
            <w:r w:rsidR="00843AFD" w:rsidRPr="00EF7BBB">
              <w:rPr>
                <w:rFonts w:ascii="Times New Roman" w:hAnsi="Times New Roman" w:cs="Times New Roman"/>
                <w:sz w:val="24"/>
                <w:szCs w:val="24"/>
              </w:rPr>
              <w:t>1083/2006</w:t>
            </w:r>
            <w:r w:rsidR="00C76627">
              <w:rPr>
                <w:rFonts w:ascii="Times New Roman" w:hAnsi="Times New Roman" w:cs="Times New Roman"/>
                <w:sz w:val="24"/>
                <w:szCs w:val="24"/>
              </w:rPr>
              <w:t xml:space="preserve"> (turpmāk – </w:t>
            </w:r>
            <w:r w:rsidR="00E80A81">
              <w:rPr>
                <w:rFonts w:ascii="Times New Roman" w:hAnsi="Times New Roman" w:cs="Times New Roman"/>
                <w:sz w:val="24"/>
                <w:szCs w:val="24"/>
              </w:rPr>
              <w:t>R</w:t>
            </w:r>
            <w:r w:rsidR="00C76627">
              <w:rPr>
                <w:rFonts w:ascii="Times New Roman" w:hAnsi="Times New Roman" w:cs="Times New Roman"/>
                <w:sz w:val="24"/>
                <w:szCs w:val="24"/>
              </w:rPr>
              <w:t>egula Nr</w:t>
            </w:r>
            <w:r w:rsidR="00F0244D">
              <w:rPr>
                <w:rFonts w:ascii="Times New Roman" w:hAnsi="Times New Roman" w:cs="Times New Roman"/>
                <w:sz w:val="24"/>
                <w:szCs w:val="24"/>
              </w:rPr>
              <w:t>.1303/2013)</w:t>
            </w:r>
            <w:r w:rsidRPr="00EF7BBB">
              <w:rPr>
                <w:rFonts w:ascii="Times New Roman" w:hAnsi="Times New Roman" w:cs="Times New Roman"/>
                <w:sz w:val="24"/>
                <w:szCs w:val="24"/>
              </w:rPr>
              <w:t>;</w:t>
            </w:r>
          </w:p>
          <w:p w14:paraId="42B6C6A0" w14:textId="3FAA4D07" w:rsidR="00DE3EE8" w:rsidRDefault="00DE3EE8" w:rsidP="00F57E68">
            <w:pPr>
              <w:spacing w:after="0" w:line="240" w:lineRule="auto"/>
              <w:ind w:left="57" w:right="57"/>
              <w:jc w:val="both"/>
              <w:rPr>
                <w:rFonts w:ascii="Times New Roman" w:hAnsi="Times New Roman" w:cs="Times New Roman"/>
                <w:sz w:val="24"/>
                <w:szCs w:val="24"/>
              </w:rPr>
            </w:pPr>
            <w:r w:rsidRPr="00EF7BBB">
              <w:rPr>
                <w:rFonts w:ascii="Times New Roman" w:hAnsi="Times New Roman" w:cs="Times New Roman"/>
                <w:sz w:val="24"/>
                <w:szCs w:val="24"/>
              </w:rPr>
              <w:t>- Eiropas Parlamenta un Padomes</w:t>
            </w:r>
            <w:r w:rsidR="00F0244D">
              <w:rPr>
                <w:rFonts w:ascii="Times New Roman" w:hAnsi="Times New Roman" w:cs="Times New Roman"/>
                <w:sz w:val="24"/>
                <w:szCs w:val="24"/>
              </w:rPr>
              <w:t xml:space="preserve"> 2013.gada 17.decembra</w:t>
            </w:r>
            <w:r w:rsidR="00F0244D" w:rsidRPr="00EF7BBB">
              <w:rPr>
                <w:rFonts w:ascii="Times New Roman" w:hAnsi="Times New Roman" w:cs="Times New Roman"/>
                <w:sz w:val="24"/>
                <w:szCs w:val="24"/>
              </w:rPr>
              <w:t xml:space="preserve"> </w:t>
            </w:r>
            <w:r w:rsidRPr="00EF7BBB">
              <w:rPr>
                <w:rFonts w:ascii="Times New Roman" w:hAnsi="Times New Roman" w:cs="Times New Roman"/>
                <w:sz w:val="24"/>
                <w:szCs w:val="24"/>
              </w:rPr>
              <w:t xml:space="preserve">regulu </w:t>
            </w:r>
            <w:r w:rsidR="00F0244D">
              <w:rPr>
                <w:rFonts w:ascii="Times New Roman" w:hAnsi="Times New Roman" w:cs="Times New Roman"/>
                <w:sz w:val="24"/>
                <w:szCs w:val="24"/>
              </w:rPr>
              <w:t xml:space="preserve">(ES) </w:t>
            </w:r>
            <w:r w:rsidRPr="00EF7BBB">
              <w:rPr>
                <w:rFonts w:ascii="Times New Roman" w:hAnsi="Times New Roman" w:cs="Times New Roman"/>
                <w:sz w:val="24"/>
                <w:szCs w:val="24"/>
              </w:rPr>
              <w:t>Nr</w:t>
            </w:r>
            <w:r w:rsidR="00F0244D">
              <w:rPr>
                <w:rFonts w:ascii="Times New Roman" w:hAnsi="Times New Roman" w:cs="Times New Roman"/>
                <w:sz w:val="24"/>
                <w:szCs w:val="24"/>
              </w:rPr>
              <w:t xml:space="preserve">.1301/2013 </w:t>
            </w:r>
            <w:r w:rsidRPr="00EF7BBB">
              <w:rPr>
                <w:rFonts w:ascii="Times New Roman" w:hAnsi="Times New Roman" w:cs="Times New Roman"/>
                <w:sz w:val="24"/>
                <w:szCs w:val="24"/>
              </w:rPr>
              <w:t xml:space="preserve">par </w:t>
            </w:r>
            <w:r w:rsidR="00E718B7" w:rsidRPr="00EF7BBB">
              <w:rPr>
                <w:rFonts w:ascii="Times New Roman" w:hAnsi="Times New Roman" w:cs="Times New Roman"/>
                <w:sz w:val="24"/>
                <w:szCs w:val="24"/>
              </w:rPr>
              <w:t xml:space="preserve"> Eiropas Reģionālās attīstības fondu un </w:t>
            </w:r>
            <w:r w:rsidRPr="00EF7BBB">
              <w:rPr>
                <w:rFonts w:ascii="Times New Roman" w:hAnsi="Times New Roman" w:cs="Times New Roman"/>
                <w:sz w:val="24"/>
                <w:szCs w:val="24"/>
              </w:rPr>
              <w:t xml:space="preserve">īpašiem noteikumiem attiecībā uz </w:t>
            </w:r>
            <w:r w:rsidR="00EF7BBB" w:rsidRPr="00EF7BBB">
              <w:rPr>
                <w:rFonts w:ascii="Times New Roman" w:hAnsi="Times New Roman" w:cs="Times New Roman"/>
                <w:sz w:val="24"/>
                <w:szCs w:val="24"/>
              </w:rPr>
              <w:t xml:space="preserve">mērķi </w:t>
            </w:r>
            <w:r w:rsidRPr="00EF7BBB">
              <w:rPr>
                <w:rFonts w:ascii="Times New Roman" w:hAnsi="Times New Roman" w:cs="Times New Roman"/>
                <w:sz w:val="24"/>
                <w:szCs w:val="24"/>
              </w:rPr>
              <w:t>“Ieguldījums izaugsmei un nodarbinātībai” un</w:t>
            </w:r>
            <w:r w:rsidR="00EF7BBB" w:rsidRPr="00EF7BBB">
              <w:rPr>
                <w:rFonts w:ascii="Times New Roman" w:hAnsi="Times New Roman" w:cs="Times New Roman"/>
                <w:sz w:val="24"/>
                <w:szCs w:val="24"/>
              </w:rPr>
              <w:t xml:space="preserve"> </w:t>
            </w:r>
            <w:r w:rsidR="00E718B7">
              <w:rPr>
                <w:rFonts w:ascii="Times New Roman" w:hAnsi="Times New Roman" w:cs="Times New Roman"/>
                <w:sz w:val="24"/>
                <w:szCs w:val="24"/>
              </w:rPr>
              <w:t>ar ko atceļ</w:t>
            </w:r>
            <w:r w:rsidR="00E718B7" w:rsidRPr="00EF7BBB">
              <w:rPr>
                <w:rFonts w:ascii="Times New Roman" w:hAnsi="Times New Roman" w:cs="Times New Roman"/>
                <w:sz w:val="24"/>
                <w:szCs w:val="24"/>
              </w:rPr>
              <w:t xml:space="preserve"> </w:t>
            </w:r>
            <w:r w:rsidR="00EF7BBB" w:rsidRPr="00EF7BBB">
              <w:rPr>
                <w:rFonts w:ascii="Times New Roman" w:hAnsi="Times New Roman" w:cs="Times New Roman"/>
                <w:sz w:val="24"/>
                <w:szCs w:val="24"/>
              </w:rPr>
              <w:t>Regul</w:t>
            </w:r>
            <w:r w:rsidR="00E718B7">
              <w:rPr>
                <w:rFonts w:ascii="Times New Roman" w:hAnsi="Times New Roman" w:cs="Times New Roman"/>
                <w:sz w:val="24"/>
                <w:szCs w:val="24"/>
              </w:rPr>
              <w:t>u</w:t>
            </w:r>
            <w:r w:rsidR="00EF7BBB" w:rsidRPr="00EF7BBB">
              <w:rPr>
                <w:rFonts w:ascii="Times New Roman" w:hAnsi="Times New Roman" w:cs="Times New Roman"/>
                <w:sz w:val="24"/>
                <w:szCs w:val="24"/>
              </w:rPr>
              <w:t xml:space="preserve"> (EK) Nr.1080/2006</w:t>
            </w:r>
            <w:r w:rsidR="00962FAE">
              <w:rPr>
                <w:rFonts w:ascii="Times New Roman" w:hAnsi="Times New Roman" w:cs="Times New Roman"/>
                <w:sz w:val="24"/>
                <w:szCs w:val="24"/>
              </w:rPr>
              <w:t xml:space="preserve"> (turpmāk – Regula Nr.1301/2013)</w:t>
            </w:r>
            <w:r w:rsidR="00EF7BBB" w:rsidRPr="00EF7BBB">
              <w:rPr>
                <w:rFonts w:ascii="Times New Roman" w:hAnsi="Times New Roman" w:cs="Times New Roman"/>
                <w:sz w:val="24"/>
                <w:szCs w:val="24"/>
              </w:rPr>
              <w:t>;</w:t>
            </w:r>
          </w:p>
          <w:p w14:paraId="121DD56C" w14:textId="3A097F24" w:rsidR="00EF7BBB" w:rsidRDefault="00EF7BBB" w:rsidP="00F57E68">
            <w:pPr>
              <w:spacing w:after="0" w:line="240" w:lineRule="auto"/>
              <w:ind w:left="57" w:right="57"/>
              <w:jc w:val="both"/>
              <w:rPr>
                <w:rFonts w:ascii="Times New Roman" w:hAnsi="Times New Roman" w:cs="Times New Roman"/>
                <w:sz w:val="24"/>
                <w:szCs w:val="24"/>
              </w:rPr>
            </w:pPr>
            <w:r w:rsidRPr="00EF7BBB">
              <w:rPr>
                <w:rFonts w:ascii="Times New Roman" w:hAnsi="Times New Roman" w:cs="Times New Roman"/>
                <w:sz w:val="24"/>
                <w:szCs w:val="24"/>
              </w:rPr>
              <w:t xml:space="preserve">- Eiropas Parlamenta un Padomes </w:t>
            </w:r>
            <w:r w:rsidR="00F0244D">
              <w:rPr>
                <w:rFonts w:ascii="Times New Roman" w:hAnsi="Times New Roman" w:cs="Times New Roman"/>
                <w:sz w:val="24"/>
                <w:szCs w:val="24"/>
              </w:rPr>
              <w:t xml:space="preserve">2013.gada 17.decembra </w:t>
            </w:r>
            <w:r w:rsidRPr="00EF7BBB">
              <w:rPr>
                <w:rFonts w:ascii="Times New Roman" w:hAnsi="Times New Roman" w:cs="Times New Roman"/>
                <w:sz w:val="24"/>
                <w:szCs w:val="24"/>
              </w:rPr>
              <w:t>regulu</w:t>
            </w:r>
            <w:r w:rsidR="00F0244D">
              <w:rPr>
                <w:rFonts w:ascii="Times New Roman" w:hAnsi="Times New Roman" w:cs="Times New Roman"/>
                <w:sz w:val="24"/>
                <w:szCs w:val="24"/>
              </w:rPr>
              <w:t xml:space="preserve"> (ES)</w:t>
            </w:r>
            <w:r w:rsidRPr="00EF7BBB">
              <w:rPr>
                <w:rFonts w:ascii="Times New Roman" w:hAnsi="Times New Roman" w:cs="Times New Roman"/>
                <w:sz w:val="24"/>
                <w:szCs w:val="24"/>
              </w:rPr>
              <w:t xml:space="preserve"> Nr</w:t>
            </w:r>
            <w:r w:rsidR="00F0244D">
              <w:rPr>
                <w:rFonts w:ascii="Times New Roman" w:hAnsi="Times New Roman" w:cs="Times New Roman"/>
                <w:sz w:val="24"/>
                <w:szCs w:val="24"/>
              </w:rPr>
              <w:t>.1304/2013</w:t>
            </w:r>
            <w:r w:rsidRPr="00EF7BBB">
              <w:rPr>
                <w:rFonts w:ascii="Times New Roman" w:hAnsi="Times New Roman" w:cs="Times New Roman"/>
                <w:sz w:val="24"/>
                <w:szCs w:val="24"/>
              </w:rPr>
              <w:t xml:space="preserve"> par Eiropas Sociālo fo</w:t>
            </w:r>
            <w:r>
              <w:rPr>
                <w:rFonts w:ascii="Times New Roman" w:hAnsi="Times New Roman" w:cs="Times New Roman"/>
                <w:sz w:val="24"/>
                <w:szCs w:val="24"/>
              </w:rPr>
              <w:t xml:space="preserve">ndu un </w:t>
            </w:r>
            <w:r w:rsidR="00E718B7">
              <w:rPr>
                <w:rFonts w:ascii="Times New Roman" w:hAnsi="Times New Roman" w:cs="Times New Roman"/>
                <w:sz w:val="24"/>
                <w:szCs w:val="24"/>
              </w:rPr>
              <w:t xml:space="preserve">ar ko atceļ </w:t>
            </w:r>
            <w:r>
              <w:rPr>
                <w:rFonts w:ascii="Times New Roman" w:hAnsi="Times New Roman" w:cs="Times New Roman"/>
                <w:sz w:val="24"/>
                <w:szCs w:val="24"/>
              </w:rPr>
              <w:t>Padomes Regul</w:t>
            </w:r>
            <w:r w:rsidR="00E718B7">
              <w:rPr>
                <w:rFonts w:ascii="Times New Roman" w:hAnsi="Times New Roman" w:cs="Times New Roman"/>
                <w:sz w:val="24"/>
                <w:szCs w:val="24"/>
              </w:rPr>
              <w:t>u</w:t>
            </w:r>
            <w:r>
              <w:rPr>
                <w:rFonts w:ascii="Times New Roman" w:hAnsi="Times New Roman" w:cs="Times New Roman"/>
                <w:sz w:val="24"/>
                <w:szCs w:val="24"/>
              </w:rPr>
              <w:t xml:space="preserve"> (EK) Nr.</w:t>
            </w:r>
            <w:r w:rsidRPr="00EF7BBB">
              <w:rPr>
                <w:rFonts w:ascii="Times New Roman" w:hAnsi="Times New Roman" w:cs="Times New Roman"/>
                <w:sz w:val="24"/>
                <w:szCs w:val="24"/>
              </w:rPr>
              <w:t>1081/2006</w:t>
            </w:r>
            <w:r>
              <w:rPr>
                <w:rFonts w:ascii="Times New Roman" w:hAnsi="Times New Roman" w:cs="Times New Roman"/>
                <w:sz w:val="24"/>
                <w:szCs w:val="24"/>
              </w:rPr>
              <w:t>;</w:t>
            </w:r>
          </w:p>
          <w:p w14:paraId="2E9B6593" w14:textId="433E7110" w:rsidR="00EF7BBB" w:rsidRDefault="00EF7BBB" w:rsidP="00F57E6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EF7BBB">
              <w:rPr>
                <w:rFonts w:ascii="Times New Roman" w:hAnsi="Times New Roman" w:cs="Times New Roman"/>
                <w:sz w:val="24"/>
                <w:szCs w:val="24"/>
              </w:rPr>
              <w:t xml:space="preserve">Eiropas Parlamenta un Padomes </w:t>
            </w:r>
            <w:r w:rsidR="00F0244D">
              <w:rPr>
                <w:rFonts w:ascii="Times New Roman" w:hAnsi="Times New Roman" w:cs="Times New Roman"/>
                <w:sz w:val="24"/>
                <w:szCs w:val="24"/>
              </w:rPr>
              <w:t>2013.gada 17.decembra</w:t>
            </w:r>
            <w:r w:rsidR="00F0244D" w:rsidRPr="00EF7BBB">
              <w:rPr>
                <w:rFonts w:ascii="Times New Roman" w:hAnsi="Times New Roman" w:cs="Times New Roman"/>
                <w:sz w:val="24"/>
                <w:szCs w:val="24"/>
              </w:rPr>
              <w:t xml:space="preserve"> </w:t>
            </w:r>
            <w:r w:rsidRPr="00EF7BBB">
              <w:rPr>
                <w:rFonts w:ascii="Times New Roman" w:hAnsi="Times New Roman" w:cs="Times New Roman"/>
                <w:sz w:val="24"/>
                <w:szCs w:val="24"/>
              </w:rPr>
              <w:t xml:space="preserve">regulu </w:t>
            </w:r>
            <w:r w:rsidR="00F0244D">
              <w:rPr>
                <w:rFonts w:ascii="Times New Roman" w:hAnsi="Times New Roman" w:cs="Times New Roman"/>
                <w:sz w:val="24"/>
                <w:szCs w:val="24"/>
              </w:rPr>
              <w:t xml:space="preserve">(ES) </w:t>
            </w:r>
            <w:r w:rsidRPr="00EF7BBB">
              <w:rPr>
                <w:rFonts w:ascii="Times New Roman" w:hAnsi="Times New Roman" w:cs="Times New Roman"/>
                <w:sz w:val="24"/>
                <w:szCs w:val="24"/>
              </w:rPr>
              <w:t>Nr</w:t>
            </w:r>
            <w:r w:rsidR="00F0244D">
              <w:rPr>
                <w:rFonts w:ascii="Times New Roman" w:hAnsi="Times New Roman" w:cs="Times New Roman"/>
                <w:sz w:val="24"/>
                <w:szCs w:val="24"/>
              </w:rPr>
              <w:t>.1300/2013</w:t>
            </w:r>
            <w:r w:rsidRPr="00EF7BBB">
              <w:rPr>
                <w:rFonts w:ascii="Times New Roman" w:hAnsi="Times New Roman" w:cs="Times New Roman"/>
                <w:sz w:val="24"/>
                <w:szCs w:val="24"/>
              </w:rPr>
              <w:t xml:space="preserve"> </w:t>
            </w:r>
            <w:r>
              <w:t xml:space="preserve"> </w:t>
            </w:r>
            <w:r w:rsidRPr="00EF7BBB">
              <w:rPr>
                <w:rFonts w:ascii="Times New Roman" w:hAnsi="Times New Roman" w:cs="Times New Roman"/>
                <w:sz w:val="24"/>
                <w:szCs w:val="24"/>
              </w:rPr>
              <w:t xml:space="preserve">par Kohēzijas fondu un </w:t>
            </w:r>
            <w:r w:rsidR="00E718B7">
              <w:rPr>
                <w:rFonts w:ascii="Times New Roman" w:hAnsi="Times New Roman" w:cs="Times New Roman"/>
                <w:sz w:val="24"/>
                <w:szCs w:val="24"/>
              </w:rPr>
              <w:t>ar ko atceļ</w:t>
            </w:r>
            <w:r w:rsidR="00E718B7" w:rsidRPr="00EF7BBB">
              <w:rPr>
                <w:rFonts w:ascii="Times New Roman" w:hAnsi="Times New Roman" w:cs="Times New Roman"/>
                <w:sz w:val="24"/>
                <w:szCs w:val="24"/>
              </w:rPr>
              <w:t xml:space="preserve"> </w:t>
            </w:r>
            <w:r w:rsidRPr="00EF7BBB">
              <w:rPr>
                <w:rFonts w:ascii="Times New Roman" w:hAnsi="Times New Roman" w:cs="Times New Roman"/>
                <w:sz w:val="24"/>
                <w:szCs w:val="24"/>
              </w:rPr>
              <w:t>Padomes Regul</w:t>
            </w:r>
            <w:r w:rsidR="00E718B7">
              <w:rPr>
                <w:rFonts w:ascii="Times New Roman" w:hAnsi="Times New Roman" w:cs="Times New Roman"/>
                <w:sz w:val="24"/>
                <w:szCs w:val="24"/>
              </w:rPr>
              <w:t>u</w:t>
            </w:r>
            <w:r w:rsidRPr="00EF7BBB">
              <w:rPr>
                <w:rFonts w:ascii="Times New Roman" w:hAnsi="Times New Roman" w:cs="Times New Roman"/>
                <w:sz w:val="24"/>
                <w:szCs w:val="24"/>
              </w:rPr>
              <w:t xml:space="preserve"> (EK) Nr.1084/2006</w:t>
            </w:r>
            <w:r>
              <w:rPr>
                <w:rFonts w:ascii="Times New Roman" w:hAnsi="Times New Roman" w:cs="Times New Roman"/>
                <w:sz w:val="24"/>
                <w:szCs w:val="24"/>
              </w:rPr>
              <w:t>;</w:t>
            </w:r>
          </w:p>
          <w:p w14:paraId="4C5F52D9" w14:textId="230F6B4D" w:rsidR="00EF7BBB" w:rsidRDefault="001A3439" w:rsidP="00F57E6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EF7BBB" w:rsidRPr="00EF7BBB">
              <w:rPr>
                <w:rFonts w:ascii="Times New Roman" w:hAnsi="Times New Roman" w:cs="Times New Roman"/>
                <w:sz w:val="24"/>
                <w:szCs w:val="24"/>
              </w:rPr>
              <w:t>Ministru kabineta 2013.gada 4.jūnija rīkojumu Nr.</w:t>
            </w:r>
            <w:r w:rsidR="00EF7BBB">
              <w:rPr>
                <w:rFonts w:ascii="Times New Roman" w:hAnsi="Times New Roman" w:cs="Times New Roman"/>
                <w:sz w:val="24"/>
                <w:szCs w:val="24"/>
              </w:rPr>
              <w:t>230</w:t>
            </w:r>
            <w:r w:rsidR="00EF7BBB" w:rsidRPr="00EF7BBB">
              <w:rPr>
                <w:rFonts w:ascii="Times New Roman" w:hAnsi="Times New Roman" w:cs="Times New Roman"/>
                <w:sz w:val="24"/>
                <w:szCs w:val="24"/>
              </w:rPr>
              <w:t xml:space="preserve"> „Par Koncepciju par Eiropas Reģionālās attīstības fonda, Eiropas Sociālā fonda, Kohēzijas fonda, Eiropas Lauksaimniecības fonda lauku attīstībai un Eiropas Jūrlietu un zivsaimniecības fonda ieviešanu 2014.-2020.gadā Latvijā” 3.</w:t>
            </w:r>
            <w:r w:rsidR="00EF7BBB">
              <w:rPr>
                <w:rFonts w:ascii="Times New Roman" w:hAnsi="Times New Roman" w:cs="Times New Roman"/>
                <w:sz w:val="24"/>
                <w:szCs w:val="24"/>
              </w:rPr>
              <w:t>2</w:t>
            </w:r>
            <w:r w:rsidR="00EF7BBB" w:rsidRPr="00EF7BBB">
              <w:rPr>
                <w:rFonts w:ascii="Times New Roman" w:hAnsi="Times New Roman" w:cs="Times New Roman"/>
                <w:sz w:val="24"/>
                <w:szCs w:val="24"/>
              </w:rPr>
              <w:t>.apakšpunkt</w:t>
            </w:r>
            <w:r>
              <w:rPr>
                <w:rFonts w:ascii="Times New Roman" w:hAnsi="Times New Roman" w:cs="Times New Roman"/>
                <w:sz w:val="24"/>
                <w:szCs w:val="24"/>
              </w:rPr>
              <w:t>u;</w:t>
            </w:r>
          </w:p>
          <w:p w14:paraId="5EDF1DA2" w14:textId="2DD2919B" w:rsidR="001A3439" w:rsidRPr="00DE3EE8" w:rsidRDefault="001A3439" w:rsidP="00F0244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3D38D2">
              <w:rPr>
                <w:rFonts w:ascii="Times New Roman" w:hAnsi="Times New Roman" w:cs="Times New Roman"/>
                <w:sz w:val="24"/>
                <w:szCs w:val="24"/>
              </w:rPr>
              <w:t xml:space="preserve">Finanšu ministrijas </w:t>
            </w:r>
            <w:r w:rsidR="00F7764D">
              <w:rPr>
                <w:rFonts w:ascii="Times New Roman" w:hAnsi="Times New Roman" w:cs="Times New Roman"/>
                <w:sz w:val="24"/>
                <w:szCs w:val="24"/>
              </w:rPr>
              <w:t xml:space="preserve">izstrādāto </w:t>
            </w:r>
            <w:r w:rsidR="003D38D2" w:rsidRPr="003D38D2">
              <w:rPr>
                <w:rFonts w:ascii="Times New Roman" w:hAnsi="Times New Roman" w:cs="Times New Roman"/>
                <w:sz w:val="24"/>
                <w:szCs w:val="24"/>
              </w:rPr>
              <w:t>Informatīv</w:t>
            </w:r>
            <w:r w:rsidR="00F7764D">
              <w:rPr>
                <w:rFonts w:ascii="Times New Roman" w:hAnsi="Times New Roman" w:cs="Times New Roman"/>
                <w:sz w:val="24"/>
                <w:szCs w:val="24"/>
              </w:rPr>
              <w:t>o ziņojumu</w:t>
            </w:r>
            <w:r w:rsidR="003D38D2" w:rsidRPr="003D38D2">
              <w:rPr>
                <w:rFonts w:ascii="Times New Roman" w:hAnsi="Times New Roman" w:cs="Times New Roman"/>
                <w:sz w:val="24"/>
                <w:szCs w:val="24"/>
              </w:rPr>
              <w:t xml:space="preserve"> par Eiropas Reģionālās attīstības fonda, Eiropas Sociālā fonda un Kohēzijas fonda vadības un kontroles sistēmu 2014.-2020.gada plānošanas periodam</w:t>
            </w:r>
            <w:r w:rsidR="00F7764D">
              <w:rPr>
                <w:rFonts w:ascii="Times New Roman" w:hAnsi="Times New Roman" w:cs="Times New Roman"/>
                <w:sz w:val="24"/>
                <w:szCs w:val="24"/>
              </w:rPr>
              <w:t xml:space="preserve">  (izskatīts Ministru kabineta 2013.gada 17.decembra sēdē (prot. Nr.67 </w:t>
            </w:r>
            <w:r w:rsidR="00F0244D">
              <w:rPr>
                <w:rFonts w:ascii="Times New Roman" w:hAnsi="Times New Roman" w:cs="Times New Roman"/>
                <w:sz w:val="24"/>
                <w:szCs w:val="24"/>
              </w:rPr>
              <w:t>139</w:t>
            </w:r>
            <w:r w:rsidR="00F7764D">
              <w:rPr>
                <w:rFonts w:ascii="Times New Roman" w:hAnsi="Times New Roman" w:cs="Times New Roman"/>
                <w:sz w:val="24"/>
                <w:szCs w:val="24"/>
              </w:rPr>
              <w:t>.§)</w:t>
            </w:r>
            <w:r w:rsidR="003D38D2">
              <w:rPr>
                <w:rFonts w:ascii="Times New Roman" w:hAnsi="Times New Roman" w:cs="Times New Roman"/>
                <w:sz w:val="24"/>
                <w:szCs w:val="24"/>
              </w:rPr>
              <w:t>.</w:t>
            </w:r>
          </w:p>
        </w:tc>
      </w:tr>
      <w:tr w:rsidR="00DA6C86" w:rsidRPr="00DD49B6" w14:paraId="5EDF1DA7" w14:textId="77777777" w:rsidTr="00176CB2">
        <w:trPr>
          <w:trHeight w:val="472"/>
        </w:trPr>
        <w:tc>
          <w:tcPr>
            <w:tcW w:w="217" w:type="pct"/>
          </w:tcPr>
          <w:p w14:paraId="5EDF1DA4" w14:textId="7FFA3DCC" w:rsidR="00DA6C86" w:rsidRPr="00DD49B6" w:rsidRDefault="00DA6C86" w:rsidP="00176CB2">
            <w:pPr>
              <w:pStyle w:val="naiskr"/>
              <w:spacing w:before="0" w:beforeAutospacing="0" w:after="0" w:afterAutospacing="0"/>
              <w:ind w:right="57"/>
              <w:jc w:val="center"/>
            </w:pPr>
            <w:r w:rsidRPr="00DD49B6">
              <w:t>2.</w:t>
            </w:r>
          </w:p>
        </w:tc>
        <w:tc>
          <w:tcPr>
            <w:tcW w:w="1749" w:type="pct"/>
          </w:tcPr>
          <w:p w14:paraId="5EDF1DA5" w14:textId="573737DA" w:rsidR="00DA6C86" w:rsidRPr="00DD49B6" w:rsidRDefault="00502937" w:rsidP="00F57E68">
            <w:pPr>
              <w:pStyle w:val="naiskr"/>
              <w:tabs>
                <w:tab w:val="left" w:pos="170"/>
              </w:tabs>
              <w:spacing w:before="0" w:beforeAutospacing="0" w:after="0" w:afterAutospacing="0"/>
              <w:ind w:left="57" w:right="57"/>
            </w:pPr>
            <w:r w:rsidRPr="00EB5637">
              <w:t>Pašreizējā situācija un problēmas, kuru risināšanai tiesību akta projekts izstrādāts, tiesiskā regulējuma mērķis un būtība</w:t>
            </w:r>
          </w:p>
        </w:tc>
        <w:tc>
          <w:tcPr>
            <w:tcW w:w="3034" w:type="pct"/>
          </w:tcPr>
          <w:p w14:paraId="6C095A7C" w14:textId="0228B982" w:rsidR="00E80A81" w:rsidRDefault="006B211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Sākot ar 20</w:t>
            </w:r>
            <w:r w:rsidR="00B64BD4">
              <w:rPr>
                <w:b w:val="0"/>
                <w:sz w:val="24"/>
                <w:szCs w:val="24"/>
              </w:rPr>
              <w:t xml:space="preserve">14.gada 1.janvāri </w:t>
            </w:r>
            <w:r>
              <w:rPr>
                <w:b w:val="0"/>
                <w:sz w:val="24"/>
                <w:szCs w:val="24"/>
              </w:rPr>
              <w:t xml:space="preserve">Latvijas Republikā un pārējās Eiropas Savienības (turpmāk – ES) dalībvalstīs </w:t>
            </w:r>
            <w:r w:rsidR="00E80A81">
              <w:rPr>
                <w:b w:val="0"/>
                <w:sz w:val="24"/>
                <w:szCs w:val="24"/>
              </w:rPr>
              <w:t>sākas</w:t>
            </w:r>
            <w:r>
              <w:rPr>
                <w:b w:val="0"/>
                <w:sz w:val="24"/>
                <w:szCs w:val="24"/>
              </w:rPr>
              <w:t xml:space="preserve"> jaunais 2014.-2020.gada ES</w:t>
            </w:r>
            <w:r w:rsidR="00B64BD4">
              <w:rPr>
                <w:b w:val="0"/>
                <w:sz w:val="24"/>
                <w:szCs w:val="24"/>
              </w:rPr>
              <w:t xml:space="preserve"> </w:t>
            </w:r>
            <w:r w:rsidR="00B64BD4" w:rsidRPr="00B64BD4">
              <w:rPr>
                <w:b w:val="0"/>
                <w:sz w:val="24"/>
                <w:szCs w:val="24"/>
              </w:rPr>
              <w:t>struktūrfondu un Kohēzijas fonda</w:t>
            </w:r>
            <w:r w:rsidR="003A1256">
              <w:rPr>
                <w:b w:val="0"/>
                <w:sz w:val="24"/>
                <w:szCs w:val="24"/>
              </w:rPr>
              <w:t xml:space="preserve"> (turpmāk –</w:t>
            </w:r>
            <w:r>
              <w:rPr>
                <w:b w:val="0"/>
                <w:sz w:val="24"/>
                <w:szCs w:val="24"/>
              </w:rPr>
              <w:t xml:space="preserve"> </w:t>
            </w:r>
            <w:r w:rsidR="00E80A81">
              <w:rPr>
                <w:b w:val="0"/>
                <w:sz w:val="24"/>
                <w:szCs w:val="24"/>
              </w:rPr>
              <w:t xml:space="preserve">ES </w:t>
            </w:r>
            <w:r w:rsidR="003A1256">
              <w:rPr>
                <w:b w:val="0"/>
                <w:sz w:val="24"/>
                <w:szCs w:val="24"/>
              </w:rPr>
              <w:t>fondi) plānošanas peri</w:t>
            </w:r>
            <w:r w:rsidR="00E80A81">
              <w:rPr>
                <w:b w:val="0"/>
                <w:sz w:val="24"/>
                <w:szCs w:val="24"/>
              </w:rPr>
              <w:t>ods, kuru regulēs jaunas regula</w:t>
            </w:r>
            <w:r w:rsidR="00C66814">
              <w:rPr>
                <w:b w:val="0"/>
                <w:sz w:val="24"/>
                <w:szCs w:val="24"/>
              </w:rPr>
              <w:t>s</w:t>
            </w:r>
            <w:r w:rsidR="00E80A81">
              <w:rPr>
                <w:b w:val="0"/>
                <w:sz w:val="24"/>
                <w:szCs w:val="24"/>
              </w:rPr>
              <w:t xml:space="preserve"> (skat. </w:t>
            </w:r>
            <w:r w:rsidR="00E80A81">
              <w:rPr>
                <w:b w:val="0"/>
                <w:sz w:val="24"/>
                <w:szCs w:val="24"/>
              </w:rPr>
              <w:lastRenderedPageBreak/>
              <w:t>anotācijas I sadaļas 1.punktu).</w:t>
            </w:r>
          </w:p>
          <w:p w14:paraId="64B7F8D7" w14:textId="00A46FEB" w:rsidR="00F17467" w:rsidRDefault="00F17467"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8E1FAC">
              <w:rPr>
                <w:b w:val="0"/>
                <w:sz w:val="24"/>
                <w:szCs w:val="24"/>
              </w:rPr>
              <w:t xml:space="preserve">Šobrīd </w:t>
            </w:r>
            <w:r>
              <w:rPr>
                <w:b w:val="0"/>
                <w:sz w:val="24"/>
                <w:szCs w:val="24"/>
              </w:rPr>
              <w:t>ES</w:t>
            </w:r>
            <w:r w:rsidRPr="008E1FAC">
              <w:rPr>
                <w:b w:val="0"/>
                <w:sz w:val="24"/>
                <w:szCs w:val="24"/>
              </w:rPr>
              <w:t xml:space="preserve"> fond</w:t>
            </w:r>
            <w:r>
              <w:rPr>
                <w:b w:val="0"/>
                <w:sz w:val="24"/>
                <w:szCs w:val="24"/>
              </w:rPr>
              <w:t>u</w:t>
            </w:r>
            <w:r w:rsidRPr="008E1FAC">
              <w:rPr>
                <w:b w:val="0"/>
                <w:sz w:val="24"/>
                <w:szCs w:val="24"/>
              </w:rPr>
              <w:t xml:space="preserve"> vadību Latvijas Republikā nosaka </w:t>
            </w:r>
            <w:r>
              <w:rPr>
                <w:b w:val="0"/>
                <w:sz w:val="24"/>
                <w:szCs w:val="24"/>
              </w:rPr>
              <w:t>Eiropas Savienības</w:t>
            </w:r>
            <w:r w:rsidRPr="008E1FAC">
              <w:rPr>
                <w:b w:val="0"/>
                <w:sz w:val="24"/>
                <w:szCs w:val="24"/>
              </w:rPr>
              <w:t xml:space="preserve"> struktūrfondu un Kohēzijas fonda vadības likums</w:t>
            </w:r>
            <w:r>
              <w:rPr>
                <w:b w:val="0"/>
                <w:sz w:val="24"/>
                <w:szCs w:val="24"/>
              </w:rPr>
              <w:t xml:space="preserve"> (turpmāk – </w:t>
            </w:r>
            <w:r w:rsidRPr="00BE0B3D">
              <w:rPr>
                <w:b w:val="0"/>
                <w:sz w:val="24"/>
                <w:szCs w:val="24"/>
              </w:rPr>
              <w:t>ES fondu vadības likums</w:t>
            </w:r>
            <w:r>
              <w:rPr>
                <w:b w:val="0"/>
                <w:sz w:val="24"/>
                <w:szCs w:val="24"/>
              </w:rPr>
              <w:t>)</w:t>
            </w:r>
            <w:r w:rsidRPr="008E1FAC">
              <w:rPr>
                <w:b w:val="0"/>
                <w:sz w:val="24"/>
                <w:szCs w:val="24"/>
              </w:rPr>
              <w:t xml:space="preserve">, kas stājies spēkā 2007.gada 1.martā. </w:t>
            </w:r>
            <w:r w:rsidRPr="000044FD">
              <w:rPr>
                <w:b w:val="0"/>
                <w:sz w:val="24"/>
                <w:szCs w:val="24"/>
              </w:rPr>
              <w:t xml:space="preserve">Minētā likuma 3.panta otrajā daļā ir noteikts, ka likums attiecas </w:t>
            </w:r>
            <w:r>
              <w:rPr>
                <w:b w:val="0"/>
                <w:sz w:val="24"/>
                <w:szCs w:val="24"/>
              </w:rPr>
              <w:t xml:space="preserve">uz </w:t>
            </w:r>
            <w:r w:rsidRPr="000044FD">
              <w:rPr>
                <w:b w:val="0"/>
                <w:sz w:val="24"/>
                <w:szCs w:val="24"/>
              </w:rPr>
              <w:t>ES fondu vadību</w:t>
            </w:r>
            <w:r>
              <w:rPr>
                <w:b w:val="0"/>
                <w:sz w:val="24"/>
                <w:szCs w:val="24"/>
              </w:rPr>
              <w:t xml:space="preserve">, t.i., </w:t>
            </w:r>
            <w:r w:rsidRPr="000044FD">
              <w:rPr>
                <w:b w:val="0"/>
                <w:sz w:val="24"/>
                <w:szCs w:val="24"/>
              </w:rPr>
              <w:t>nepieciešamo plānošanas dokumentu sagatavošan</w:t>
            </w:r>
            <w:r>
              <w:rPr>
                <w:b w:val="0"/>
                <w:sz w:val="24"/>
                <w:szCs w:val="24"/>
              </w:rPr>
              <w:t>u</w:t>
            </w:r>
            <w:r w:rsidRPr="000044FD">
              <w:rPr>
                <w:b w:val="0"/>
                <w:sz w:val="24"/>
                <w:szCs w:val="24"/>
              </w:rPr>
              <w:t>, saskaņošan</w:t>
            </w:r>
            <w:r>
              <w:rPr>
                <w:b w:val="0"/>
                <w:sz w:val="24"/>
                <w:szCs w:val="24"/>
              </w:rPr>
              <w:t>u</w:t>
            </w:r>
            <w:r w:rsidRPr="000044FD">
              <w:rPr>
                <w:b w:val="0"/>
                <w:sz w:val="24"/>
                <w:szCs w:val="24"/>
              </w:rPr>
              <w:t xml:space="preserve"> un apstiprināšan</w:t>
            </w:r>
            <w:r>
              <w:rPr>
                <w:b w:val="0"/>
                <w:sz w:val="24"/>
                <w:szCs w:val="24"/>
              </w:rPr>
              <w:t>u</w:t>
            </w:r>
            <w:r w:rsidRPr="000044FD">
              <w:rPr>
                <w:b w:val="0"/>
                <w:sz w:val="24"/>
                <w:szCs w:val="24"/>
              </w:rPr>
              <w:t xml:space="preserve">, </w:t>
            </w:r>
            <w:r>
              <w:rPr>
                <w:b w:val="0"/>
                <w:sz w:val="24"/>
                <w:szCs w:val="24"/>
              </w:rPr>
              <w:t>ES</w:t>
            </w:r>
            <w:r w:rsidRPr="000044FD">
              <w:rPr>
                <w:b w:val="0"/>
                <w:sz w:val="24"/>
                <w:szCs w:val="24"/>
              </w:rPr>
              <w:t xml:space="preserve"> fondu vadības sistēmas izveid</w:t>
            </w:r>
            <w:r>
              <w:rPr>
                <w:b w:val="0"/>
                <w:sz w:val="24"/>
                <w:szCs w:val="24"/>
              </w:rPr>
              <w:t>i</w:t>
            </w:r>
            <w:r w:rsidRPr="000044FD">
              <w:rPr>
                <w:b w:val="0"/>
                <w:sz w:val="24"/>
                <w:szCs w:val="24"/>
              </w:rPr>
              <w:t xml:space="preserve">, </w:t>
            </w:r>
            <w:r>
              <w:rPr>
                <w:b w:val="0"/>
                <w:sz w:val="24"/>
                <w:szCs w:val="24"/>
              </w:rPr>
              <w:t>ES</w:t>
            </w:r>
            <w:r w:rsidRPr="000044FD">
              <w:rPr>
                <w:b w:val="0"/>
                <w:sz w:val="24"/>
                <w:szCs w:val="24"/>
              </w:rPr>
              <w:t xml:space="preserve"> fondu projektu iesniegumu vērtēšanas kritēriju izstrād</w:t>
            </w:r>
            <w:r>
              <w:rPr>
                <w:b w:val="0"/>
                <w:sz w:val="24"/>
                <w:szCs w:val="24"/>
              </w:rPr>
              <w:t>i</w:t>
            </w:r>
            <w:r w:rsidRPr="000044FD">
              <w:rPr>
                <w:b w:val="0"/>
                <w:sz w:val="24"/>
                <w:szCs w:val="24"/>
              </w:rPr>
              <w:t xml:space="preserve">, </w:t>
            </w:r>
            <w:r>
              <w:rPr>
                <w:b w:val="0"/>
                <w:sz w:val="24"/>
                <w:szCs w:val="24"/>
              </w:rPr>
              <w:t>ES</w:t>
            </w:r>
            <w:r w:rsidRPr="000044FD">
              <w:rPr>
                <w:b w:val="0"/>
                <w:sz w:val="24"/>
                <w:szCs w:val="24"/>
              </w:rPr>
              <w:t xml:space="preserve"> fondu projektu iesniegumu atlas</w:t>
            </w:r>
            <w:r>
              <w:rPr>
                <w:b w:val="0"/>
                <w:sz w:val="24"/>
                <w:szCs w:val="24"/>
              </w:rPr>
              <w:t>i</w:t>
            </w:r>
            <w:r w:rsidRPr="000044FD">
              <w:rPr>
                <w:b w:val="0"/>
                <w:sz w:val="24"/>
                <w:szCs w:val="24"/>
              </w:rPr>
              <w:t xml:space="preserve"> un apstiprināšan</w:t>
            </w:r>
            <w:r>
              <w:rPr>
                <w:b w:val="0"/>
                <w:sz w:val="24"/>
                <w:szCs w:val="24"/>
              </w:rPr>
              <w:t>u</w:t>
            </w:r>
            <w:r w:rsidRPr="000044FD">
              <w:rPr>
                <w:b w:val="0"/>
                <w:sz w:val="24"/>
                <w:szCs w:val="24"/>
              </w:rPr>
              <w:t xml:space="preserve">, </w:t>
            </w:r>
            <w:r>
              <w:rPr>
                <w:b w:val="0"/>
                <w:sz w:val="24"/>
                <w:szCs w:val="24"/>
              </w:rPr>
              <w:t>ES</w:t>
            </w:r>
            <w:r w:rsidRPr="000044FD">
              <w:rPr>
                <w:b w:val="0"/>
                <w:sz w:val="24"/>
                <w:szCs w:val="24"/>
              </w:rPr>
              <w:t xml:space="preserve"> fondu projektu īstenošan</w:t>
            </w:r>
            <w:r>
              <w:rPr>
                <w:b w:val="0"/>
                <w:sz w:val="24"/>
                <w:szCs w:val="24"/>
              </w:rPr>
              <w:t>u</w:t>
            </w:r>
            <w:r w:rsidRPr="000044FD">
              <w:rPr>
                <w:b w:val="0"/>
                <w:sz w:val="24"/>
                <w:szCs w:val="24"/>
              </w:rPr>
              <w:t>, kontrol</w:t>
            </w:r>
            <w:r>
              <w:rPr>
                <w:b w:val="0"/>
                <w:sz w:val="24"/>
                <w:szCs w:val="24"/>
              </w:rPr>
              <w:t>i</w:t>
            </w:r>
            <w:r w:rsidRPr="000044FD">
              <w:rPr>
                <w:b w:val="0"/>
                <w:sz w:val="24"/>
                <w:szCs w:val="24"/>
              </w:rPr>
              <w:t>, revīzij</w:t>
            </w:r>
            <w:r>
              <w:rPr>
                <w:b w:val="0"/>
                <w:sz w:val="24"/>
                <w:szCs w:val="24"/>
              </w:rPr>
              <w:t>u</w:t>
            </w:r>
            <w:r w:rsidRPr="000044FD">
              <w:rPr>
                <w:b w:val="0"/>
                <w:sz w:val="24"/>
                <w:szCs w:val="24"/>
              </w:rPr>
              <w:t>, uzraudzīb</w:t>
            </w:r>
            <w:r>
              <w:rPr>
                <w:b w:val="0"/>
                <w:sz w:val="24"/>
                <w:szCs w:val="24"/>
              </w:rPr>
              <w:t>u</w:t>
            </w:r>
            <w:r w:rsidRPr="000044FD">
              <w:rPr>
                <w:b w:val="0"/>
                <w:sz w:val="24"/>
                <w:szCs w:val="24"/>
              </w:rPr>
              <w:t xml:space="preserve"> un izvērtēšan</w:t>
            </w:r>
            <w:r>
              <w:rPr>
                <w:b w:val="0"/>
                <w:sz w:val="24"/>
                <w:szCs w:val="24"/>
              </w:rPr>
              <w:t>u 2007.-</w:t>
            </w:r>
            <w:r w:rsidRPr="000044FD">
              <w:rPr>
                <w:b w:val="0"/>
                <w:sz w:val="24"/>
                <w:szCs w:val="24"/>
              </w:rPr>
              <w:t xml:space="preserve">2013.gada plānošanas periodā. </w:t>
            </w:r>
            <w:r>
              <w:rPr>
                <w:b w:val="0"/>
                <w:sz w:val="24"/>
                <w:szCs w:val="24"/>
              </w:rPr>
              <w:t>Ņemot vērā, ka minētajā likumā ietvertais tiesiskais regulējums attiecas tikai uz ES fondu 2007.-2013.gada plānošanas periodu, tad nepieciešams izstrādāt jaunu likumu, kurā ietvertais tiesiskais regulējums attiektos uz jauno plānošanas periodu. Ievērojot minēto,</w:t>
            </w:r>
            <w:r w:rsidRPr="00797147">
              <w:rPr>
                <w:b w:val="0"/>
                <w:sz w:val="24"/>
                <w:szCs w:val="24"/>
              </w:rPr>
              <w:t xml:space="preserve"> ar Ministru kabi</w:t>
            </w:r>
            <w:r>
              <w:rPr>
                <w:b w:val="0"/>
                <w:sz w:val="24"/>
                <w:szCs w:val="24"/>
              </w:rPr>
              <w:t>neta 2013.gada 4.jūnija rīkojuma</w:t>
            </w:r>
            <w:r w:rsidRPr="00797147">
              <w:rPr>
                <w:b w:val="0"/>
                <w:sz w:val="24"/>
                <w:szCs w:val="24"/>
              </w:rPr>
              <w:t xml:space="preserve"> Nr.230 „Par Koncepciju par Eiropas Reģionālās attīstības fonda, Eiropas Sociālā fonda, Kohēzijas fonda, Eiropas Lauksaimniecības fonda lauku attīstībai un Eiropas Jūrlietu un zivsaimniecības fonda ieviešanu 2014.-2020.gadā Latvijā” 3.2.apakšpunktu</w:t>
            </w:r>
            <w:r w:rsidRPr="00353520">
              <w:rPr>
                <w:b w:val="0"/>
                <w:sz w:val="24"/>
                <w:szCs w:val="24"/>
              </w:rPr>
              <w:t xml:space="preserve">, Finanšu ministrijai ir uzdots izstrādāt likumprojektu par </w:t>
            </w:r>
            <w:r>
              <w:rPr>
                <w:b w:val="0"/>
                <w:sz w:val="24"/>
                <w:szCs w:val="24"/>
              </w:rPr>
              <w:t>ES fondu</w:t>
            </w:r>
            <w:r w:rsidRPr="00353520">
              <w:rPr>
                <w:b w:val="0"/>
                <w:sz w:val="24"/>
                <w:szCs w:val="24"/>
              </w:rPr>
              <w:t xml:space="preserve"> vadību 2014.-2020.gada plānošanas periodam</w:t>
            </w:r>
            <w:r>
              <w:rPr>
                <w:b w:val="0"/>
                <w:sz w:val="24"/>
                <w:szCs w:val="24"/>
              </w:rPr>
              <w:t>. Tādēļ, l</w:t>
            </w:r>
            <w:r w:rsidRPr="0054344C">
              <w:rPr>
                <w:b w:val="0"/>
                <w:sz w:val="24"/>
                <w:szCs w:val="24"/>
              </w:rPr>
              <w:t>ai izpildītu jaunajās regulās noteiktās ES fondu īstenošanas, uzraudzības, izvērtēšanas, kontroles un audita prasības un izpildītu iepriekš minēto rīkojumu, ir izstrādā</w:t>
            </w:r>
            <w:r>
              <w:rPr>
                <w:b w:val="0"/>
                <w:sz w:val="24"/>
                <w:szCs w:val="24"/>
              </w:rPr>
              <w:t xml:space="preserve">ts šis </w:t>
            </w:r>
            <w:r w:rsidRPr="0054344C">
              <w:rPr>
                <w:b w:val="0"/>
                <w:sz w:val="24"/>
                <w:szCs w:val="24"/>
              </w:rPr>
              <w:t xml:space="preserve"> likumprojekt</w:t>
            </w:r>
            <w:r>
              <w:rPr>
                <w:b w:val="0"/>
                <w:sz w:val="24"/>
                <w:szCs w:val="24"/>
              </w:rPr>
              <w:t>s.</w:t>
            </w:r>
          </w:p>
          <w:p w14:paraId="3F6635AE" w14:textId="05F0DAF3" w:rsidR="00F17467" w:rsidRPr="00126271" w:rsidRDefault="00F17467"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D4599A">
              <w:rPr>
                <w:b w:val="0"/>
                <w:sz w:val="24"/>
                <w:szCs w:val="24"/>
              </w:rPr>
              <w:t>Likumprojekta m</w:t>
            </w:r>
            <w:r>
              <w:rPr>
                <w:b w:val="0"/>
                <w:sz w:val="24"/>
                <w:szCs w:val="24"/>
              </w:rPr>
              <w:t xml:space="preserve">ērķis, līdzīgi kā ES fondu 2007.-2013.gada plānošanas periodā, </w:t>
            </w:r>
            <w:r w:rsidRPr="00D4599A">
              <w:rPr>
                <w:b w:val="0"/>
                <w:sz w:val="24"/>
                <w:szCs w:val="24"/>
              </w:rPr>
              <w:t>ir noteikt ES fondu vadības vispārējos pamatprincipus Latvijas Republikā.</w:t>
            </w:r>
            <w:r>
              <w:t xml:space="preserve"> </w:t>
            </w:r>
            <w:r w:rsidRPr="000C3185">
              <w:rPr>
                <w:b w:val="0"/>
                <w:sz w:val="24"/>
                <w:szCs w:val="24"/>
              </w:rPr>
              <w:t xml:space="preserve">Likumprojekts nosaka </w:t>
            </w:r>
            <w:r>
              <w:rPr>
                <w:b w:val="0"/>
                <w:sz w:val="24"/>
                <w:szCs w:val="24"/>
              </w:rPr>
              <w:t>ES</w:t>
            </w:r>
            <w:r w:rsidRPr="000C3185">
              <w:rPr>
                <w:b w:val="0"/>
                <w:sz w:val="24"/>
                <w:szCs w:val="24"/>
              </w:rPr>
              <w:t xml:space="preserve"> fondu vadībā iesaistīto institūciju </w:t>
            </w:r>
            <w:r>
              <w:rPr>
                <w:b w:val="0"/>
                <w:sz w:val="24"/>
                <w:szCs w:val="24"/>
              </w:rPr>
              <w:t xml:space="preserve">un finansējuma saņēmēja </w:t>
            </w:r>
            <w:r w:rsidRPr="000C3185">
              <w:rPr>
                <w:b w:val="0"/>
                <w:sz w:val="24"/>
                <w:szCs w:val="24"/>
              </w:rPr>
              <w:t>tiesības un pienākumus, uzraudzības komitej</w:t>
            </w:r>
            <w:r>
              <w:rPr>
                <w:b w:val="0"/>
                <w:sz w:val="24"/>
                <w:szCs w:val="24"/>
              </w:rPr>
              <w:t>as darbības pamatnoteikumus un sastāvu</w:t>
            </w:r>
            <w:r w:rsidRPr="000C3185">
              <w:rPr>
                <w:b w:val="0"/>
                <w:sz w:val="24"/>
                <w:szCs w:val="24"/>
              </w:rPr>
              <w:t xml:space="preserve">, deleģējumu Ministru kabinetam noteikt, kā tiek nodrošināti </w:t>
            </w:r>
            <w:r>
              <w:rPr>
                <w:b w:val="0"/>
                <w:sz w:val="24"/>
                <w:szCs w:val="24"/>
              </w:rPr>
              <w:t>ES</w:t>
            </w:r>
            <w:r w:rsidRPr="000C3185">
              <w:rPr>
                <w:b w:val="0"/>
                <w:sz w:val="24"/>
                <w:szCs w:val="24"/>
              </w:rPr>
              <w:t xml:space="preserve"> fondu vadības posmi, </w:t>
            </w:r>
            <w:r>
              <w:rPr>
                <w:b w:val="0"/>
                <w:sz w:val="24"/>
                <w:szCs w:val="24"/>
              </w:rPr>
              <w:t>ES</w:t>
            </w:r>
            <w:r w:rsidRPr="000C3185">
              <w:rPr>
                <w:b w:val="0"/>
                <w:sz w:val="24"/>
                <w:szCs w:val="24"/>
              </w:rPr>
              <w:t xml:space="preserve"> fondu vadībā iesaistīto institūciju pieņemto lēmumu apstrīdēšanas un pārsūdzēšanas kārtību</w:t>
            </w:r>
            <w:r>
              <w:rPr>
                <w:b w:val="0"/>
                <w:sz w:val="24"/>
                <w:szCs w:val="24"/>
              </w:rPr>
              <w:t>, kā arī informācijas atklātības nosacījumus attiecībā uz informāciju, kas saistīta ar projektiem</w:t>
            </w:r>
            <w:r w:rsidRPr="00126271">
              <w:rPr>
                <w:b w:val="0"/>
                <w:sz w:val="24"/>
                <w:szCs w:val="24"/>
              </w:rPr>
              <w:t>.</w:t>
            </w:r>
            <w:r w:rsidR="00B24FE1" w:rsidRPr="00126271">
              <w:rPr>
                <w:b w:val="0"/>
                <w:sz w:val="24"/>
                <w:szCs w:val="24"/>
              </w:rPr>
              <w:t xml:space="preserve"> Atšķirībā no iepriekšējā plānošanas perioda likumprojektā iekļauts vispārīgs nosacījums, ka to finanšu instrumentu un fondu </w:t>
            </w:r>
            <w:proofErr w:type="spellStart"/>
            <w:r w:rsidR="00B24FE1" w:rsidRPr="00126271">
              <w:rPr>
                <w:b w:val="0"/>
                <w:sz w:val="24"/>
                <w:szCs w:val="24"/>
              </w:rPr>
              <w:t>fondu</w:t>
            </w:r>
            <w:proofErr w:type="spellEnd"/>
            <w:r w:rsidR="00B24FE1" w:rsidRPr="00126271">
              <w:rPr>
                <w:b w:val="0"/>
                <w:sz w:val="24"/>
                <w:szCs w:val="24"/>
              </w:rPr>
              <w:t xml:space="preserve"> īstenošanā šo likumu piemēro tiktāl, ciktāl tas ir saskaņā ar Regulas Nr.1303/2013 noteikumiem, jo regulā finanšu instrumentu un fondu </w:t>
            </w:r>
            <w:proofErr w:type="spellStart"/>
            <w:r w:rsidR="00B24FE1" w:rsidRPr="00126271">
              <w:rPr>
                <w:b w:val="0"/>
                <w:sz w:val="24"/>
                <w:szCs w:val="24"/>
              </w:rPr>
              <w:t>fondu</w:t>
            </w:r>
            <w:proofErr w:type="spellEnd"/>
            <w:r w:rsidR="00B24FE1" w:rsidRPr="00126271">
              <w:rPr>
                <w:b w:val="0"/>
                <w:sz w:val="24"/>
                <w:szCs w:val="24"/>
              </w:rPr>
              <w:t xml:space="preserve"> īstenošanā ir ietverts arī specifisks regulējums, kas atšķiras no vispārējās ES fondu ieviešanas kārtības. Tāpēc likumprojektā noteikts, ka uz finanšu instrumentu un fondu </w:t>
            </w:r>
            <w:proofErr w:type="spellStart"/>
            <w:r w:rsidR="00B24FE1" w:rsidRPr="00126271">
              <w:rPr>
                <w:b w:val="0"/>
                <w:sz w:val="24"/>
                <w:szCs w:val="24"/>
              </w:rPr>
              <w:t>fondu</w:t>
            </w:r>
            <w:proofErr w:type="spellEnd"/>
            <w:r w:rsidR="00B24FE1" w:rsidRPr="00126271">
              <w:rPr>
                <w:b w:val="0"/>
                <w:sz w:val="24"/>
                <w:szCs w:val="24"/>
              </w:rPr>
              <w:t xml:space="preserve"> īstenošanu neattiecas regulējums par </w:t>
            </w:r>
            <w:r w:rsidR="00B24FE1" w:rsidRPr="00126271">
              <w:rPr>
                <w:b w:val="0"/>
                <w:sz w:val="24"/>
                <w:szCs w:val="24"/>
              </w:rPr>
              <w:lastRenderedPageBreak/>
              <w:t xml:space="preserve">projektu iesniegumu atlasi, kā arī Ministru kabinetam paredzēts deleģējums izstrādāt noteikumus par finanšu instrumentu un fondu </w:t>
            </w:r>
            <w:proofErr w:type="spellStart"/>
            <w:r w:rsidR="00B24FE1" w:rsidRPr="00126271">
              <w:rPr>
                <w:b w:val="0"/>
                <w:sz w:val="24"/>
                <w:szCs w:val="24"/>
              </w:rPr>
              <w:t>fondu</w:t>
            </w:r>
            <w:proofErr w:type="spellEnd"/>
            <w:r w:rsidR="00B24FE1" w:rsidRPr="00126271">
              <w:rPr>
                <w:b w:val="0"/>
                <w:sz w:val="24"/>
                <w:szCs w:val="24"/>
              </w:rPr>
              <w:t xml:space="preserve"> īstenošanas kārtību.</w:t>
            </w:r>
            <w:r w:rsidR="00A256D4">
              <w:rPr>
                <w:b w:val="0"/>
                <w:sz w:val="24"/>
                <w:szCs w:val="24"/>
              </w:rPr>
              <w:t xml:space="preserve"> Saskaņā ar Regulas Nr.1303/2013 2.panta 27.punktu fondu fonds ir fonds, kas izveidots, lai ar programmas vai programmu starpniecību sniegtu atbalstu vairākiem finanšu instrumentiem; ja finanšu instrumentus izmanto, iesaistot fondu </w:t>
            </w:r>
            <w:proofErr w:type="spellStart"/>
            <w:r w:rsidR="00A256D4">
              <w:rPr>
                <w:b w:val="0"/>
                <w:sz w:val="24"/>
                <w:szCs w:val="24"/>
              </w:rPr>
              <w:t>fondu</w:t>
            </w:r>
            <w:proofErr w:type="spellEnd"/>
            <w:r w:rsidR="00A256D4">
              <w:rPr>
                <w:b w:val="0"/>
                <w:sz w:val="24"/>
                <w:szCs w:val="24"/>
              </w:rPr>
              <w:t>, struktūra, kas to iesaista, ir uzskatāma par vienīgo finansējuma saņēmēju.</w:t>
            </w:r>
          </w:p>
          <w:p w14:paraId="7C77B75F" w14:textId="4D8445FB" w:rsidR="004B247B" w:rsidRPr="005B4A09" w:rsidRDefault="00F0244D"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 Ņemot vērā to, ka Regulas Nr.1303/2013 2.panta 10.punktā ir noteikts, ka atbalsta saņēmējs var būt fiziska persona tikai Eiropas Lauksaimniecības fonda lauku attīstībai</w:t>
            </w:r>
            <w:r w:rsidR="003714C5">
              <w:rPr>
                <w:b w:val="0"/>
                <w:sz w:val="24"/>
                <w:szCs w:val="24"/>
              </w:rPr>
              <w:t xml:space="preserve"> un Eiropas Jūrlietu un zivsaimniecības fonda gadījumā, l</w:t>
            </w:r>
            <w:r>
              <w:rPr>
                <w:b w:val="0"/>
                <w:sz w:val="24"/>
                <w:szCs w:val="24"/>
              </w:rPr>
              <w:t>ikumprojektā ir iekļauta precizēta projekta iesniedzēja un finansējuma saņēmēja definīcija</w:t>
            </w:r>
            <w:r w:rsidR="003714C5">
              <w:rPr>
                <w:b w:val="0"/>
                <w:sz w:val="24"/>
                <w:szCs w:val="24"/>
              </w:rPr>
              <w:t>, paredzot, ka fiziskai personai jābūt reģistrētai kā saimnieciskās darbības veicējai. Izvērtējot minēto regulu kopumā, kā arī darbības programmā „Izaugsme un nodarbinātība” plānotos finansējuma saņēmēju veidus, tika secināts, ka regulā minētais termins „privāta struktūra” interpretējams plašāk nekā tikai privāto tiesību juridiska persona.</w:t>
            </w:r>
            <w:r w:rsidR="00900304">
              <w:rPr>
                <w:b w:val="0"/>
                <w:sz w:val="24"/>
                <w:szCs w:val="24"/>
              </w:rPr>
              <w:t xml:space="preserve"> Likumprojektā minētā </w:t>
            </w:r>
            <w:r w:rsidR="00900304" w:rsidRPr="00900304">
              <w:rPr>
                <w:b w:val="0"/>
                <w:sz w:val="24"/>
                <w:szCs w:val="20"/>
              </w:rPr>
              <w:t xml:space="preserve">„cita valsts iestāde” ir iestāde, kura nav Ministru kabineta padotībā, piemēram, Valsts kontrole, Latvijas Banka, </w:t>
            </w:r>
            <w:r w:rsidR="00D96634">
              <w:rPr>
                <w:b w:val="0"/>
                <w:sz w:val="24"/>
                <w:szCs w:val="20"/>
              </w:rPr>
              <w:t>Finanšu un kapitāla tirgus komisija</w:t>
            </w:r>
            <w:r w:rsidR="00900304" w:rsidRPr="00900304">
              <w:rPr>
                <w:b w:val="0"/>
                <w:sz w:val="24"/>
                <w:szCs w:val="20"/>
              </w:rPr>
              <w:t>.</w:t>
            </w:r>
          </w:p>
          <w:p w14:paraId="70E70CCC" w14:textId="28845AA9" w:rsidR="007A001E" w:rsidRPr="007A001E" w:rsidRDefault="007A001E" w:rsidP="000F5B89">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7A001E">
              <w:rPr>
                <w:b w:val="0"/>
                <w:color w:val="000000"/>
                <w:sz w:val="24"/>
                <w:shd w:val="clear" w:color="auto" w:fill="FFFFFF"/>
              </w:rPr>
              <w:t>Likumprojektā</w:t>
            </w:r>
            <w:r>
              <w:rPr>
                <w:b w:val="0"/>
                <w:color w:val="000000"/>
                <w:sz w:val="24"/>
                <w:shd w:val="clear" w:color="auto" w:fill="FFFFFF"/>
              </w:rPr>
              <w:t>, tāpat kā ES fonu vadības likumā,</w:t>
            </w:r>
            <w:r w:rsidRPr="007A001E">
              <w:rPr>
                <w:b w:val="0"/>
                <w:color w:val="000000"/>
                <w:sz w:val="24"/>
                <w:shd w:val="clear" w:color="auto" w:fill="FFFFFF"/>
              </w:rPr>
              <w:t xml:space="preserve"> ir iekļauta tiesību norma, kas nosaka, ka</w:t>
            </w:r>
            <w:r w:rsidRPr="007A001E">
              <w:rPr>
                <w:rStyle w:val="apple-converted-space"/>
                <w:b w:val="0"/>
                <w:color w:val="000000"/>
                <w:sz w:val="24"/>
                <w:shd w:val="clear" w:color="auto" w:fill="FFFFFF"/>
              </w:rPr>
              <w:t> </w:t>
            </w:r>
            <w:r w:rsidRPr="007A001E">
              <w:rPr>
                <w:b w:val="0"/>
                <w:color w:val="000000"/>
                <w:sz w:val="24"/>
                <w:shd w:val="clear" w:color="auto" w:fill="FFFFFF"/>
              </w:rPr>
              <w:t>projekta iesnieguma iesniegšana saskaņā ar šo likumu nerada</w:t>
            </w:r>
            <w:r w:rsidRPr="007A001E">
              <w:rPr>
                <w:rStyle w:val="apple-converted-space"/>
                <w:b w:val="0"/>
                <w:color w:val="000000"/>
                <w:sz w:val="24"/>
                <w:shd w:val="clear" w:color="auto" w:fill="FFFFFF"/>
              </w:rPr>
              <w:t> </w:t>
            </w:r>
            <w:r>
              <w:rPr>
                <w:b w:val="0"/>
                <w:color w:val="000000"/>
                <w:sz w:val="24"/>
                <w:shd w:val="clear" w:color="auto" w:fill="FFFFFF"/>
              </w:rPr>
              <w:t xml:space="preserve"> pienākumu ES</w:t>
            </w:r>
            <w:r w:rsidRPr="007A001E">
              <w:rPr>
                <w:rStyle w:val="apple-converted-space"/>
                <w:b w:val="0"/>
                <w:color w:val="000000"/>
                <w:sz w:val="24"/>
                <w:shd w:val="clear" w:color="auto" w:fill="FFFFFF"/>
              </w:rPr>
              <w:t> </w:t>
            </w:r>
            <w:r w:rsidRPr="007A001E">
              <w:rPr>
                <w:b w:val="0"/>
                <w:color w:val="000000"/>
                <w:sz w:val="24"/>
                <w:shd w:val="clear" w:color="auto" w:fill="FFFFFF"/>
              </w:rPr>
              <w:t>fondu vadībā iesaistītajai institūcijai piešķirt</w:t>
            </w:r>
            <w:r w:rsidRPr="007A001E">
              <w:rPr>
                <w:rStyle w:val="apple-converted-space"/>
                <w:b w:val="0"/>
                <w:color w:val="000000"/>
                <w:sz w:val="24"/>
                <w:shd w:val="clear" w:color="auto" w:fill="FFFFFF"/>
              </w:rPr>
              <w:t> </w:t>
            </w:r>
            <w:r w:rsidRPr="007A001E">
              <w:rPr>
                <w:b w:val="0"/>
                <w:color w:val="000000"/>
                <w:sz w:val="24"/>
                <w:shd w:val="clear" w:color="auto" w:fill="FFFFFF"/>
              </w:rPr>
              <w:t xml:space="preserve"> projekta iesniedzējam finansējumu</w:t>
            </w:r>
            <w:r w:rsidRPr="007A001E">
              <w:rPr>
                <w:rStyle w:val="apple-converted-space"/>
                <w:b w:val="0"/>
                <w:color w:val="000000"/>
                <w:sz w:val="24"/>
                <w:shd w:val="clear" w:color="auto" w:fill="FFFFFF"/>
              </w:rPr>
              <w:t> </w:t>
            </w:r>
            <w:r w:rsidRPr="007A001E">
              <w:rPr>
                <w:b w:val="0"/>
                <w:color w:val="000000"/>
                <w:sz w:val="24"/>
                <w:shd w:val="clear" w:color="auto" w:fill="FFFFFF"/>
              </w:rPr>
              <w:t xml:space="preserve"> projekta īstenošanai</w:t>
            </w:r>
            <w:r w:rsidR="00E4130D">
              <w:rPr>
                <w:b w:val="0"/>
                <w:color w:val="000000"/>
                <w:sz w:val="24"/>
                <w:shd w:val="clear" w:color="auto" w:fill="FFFFFF"/>
              </w:rPr>
              <w:t xml:space="preserve"> (</w:t>
            </w:r>
            <w:r w:rsidR="00E4130D" w:rsidRPr="00050722">
              <w:rPr>
                <w:b w:val="0"/>
                <w:color w:val="000000"/>
                <w:sz w:val="24"/>
                <w:shd w:val="clear" w:color="auto" w:fill="FFFFFF"/>
              </w:rPr>
              <w:t>5.pants</w:t>
            </w:r>
            <w:r w:rsidR="00E4130D">
              <w:rPr>
                <w:b w:val="0"/>
                <w:color w:val="000000"/>
                <w:sz w:val="24"/>
                <w:shd w:val="clear" w:color="auto" w:fill="FFFFFF"/>
              </w:rPr>
              <w:t>)</w:t>
            </w:r>
            <w:r w:rsidRPr="007A001E">
              <w:rPr>
                <w:b w:val="0"/>
                <w:color w:val="000000"/>
                <w:sz w:val="24"/>
                <w:shd w:val="clear" w:color="auto" w:fill="FFFFFF"/>
              </w:rPr>
              <w:t xml:space="preserve">. </w:t>
            </w:r>
            <w:r w:rsidR="00F719FE">
              <w:rPr>
                <w:b w:val="0"/>
                <w:color w:val="000000"/>
                <w:sz w:val="24"/>
                <w:shd w:val="clear" w:color="auto" w:fill="FFFFFF"/>
              </w:rPr>
              <w:t xml:space="preserve">Šajā gadījumā regulējuma objekts ir subsīdiju jeb finansējuma piešķiršana, kas ietilpst tiesību nodrošinošajā valsts pārvaldē (vāc. – </w:t>
            </w:r>
            <w:proofErr w:type="spellStart"/>
            <w:r w:rsidR="00F719FE">
              <w:rPr>
                <w:b w:val="0"/>
                <w:i/>
                <w:color w:val="000000"/>
                <w:sz w:val="24"/>
                <w:shd w:val="clear" w:color="auto" w:fill="FFFFFF"/>
              </w:rPr>
              <w:t>Leistungsverwaltung</w:t>
            </w:r>
            <w:proofErr w:type="spellEnd"/>
            <w:r w:rsidR="00F719FE">
              <w:rPr>
                <w:b w:val="0"/>
                <w:color w:val="000000"/>
                <w:sz w:val="24"/>
                <w:shd w:val="clear" w:color="auto" w:fill="FFFFFF"/>
              </w:rPr>
              <w:t>)</w:t>
            </w:r>
            <w:r w:rsidR="00F719FE">
              <w:rPr>
                <w:rStyle w:val="FootnoteReference"/>
                <w:b w:val="0"/>
                <w:color w:val="000000"/>
                <w:sz w:val="24"/>
                <w:shd w:val="clear" w:color="auto" w:fill="FFFFFF"/>
              </w:rPr>
              <w:footnoteReference w:id="1"/>
            </w:r>
            <w:r w:rsidR="00F719FE">
              <w:rPr>
                <w:b w:val="0"/>
                <w:color w:val="000000"/>
                <w:sz w:val="24"/>
                <w:shd w:val="clear" w:color="auto" w:fill="FFFFFF"/>
              </w:rPr>
              <w:t xml:space="preserve">, kā rezultātā personai nav subjektīvu </w:t>
            </w:r>
            <w:r w:rsidR="000B6416">
              <w:rPr>
                <w:b w:val="0"/>
                <w:color w:val="000000"/>
                <w:sz w:val="24"/>
                <w:shd w:val="clear" w:color="auto" w:fill="FFFFFF"/>
              </w:rPr>
              <w:t xml:space="preserve">publisko </w:t>
            </w:r>
            <w:r w:rsidR="00F719FE">
              <w:rPr>
                <w:b w:val="0"/>
                <w:color w:val="000000"/>
                <w:sz w:val="24"/>
                <w:shd w:val="clear" w:color="auto" w:fill="FFFFFF"/>
              </w:rPr>
              <w:t>tiesību prasīt projekta iesnieguma apstiprināšanu un finansējuma piešķiršanu</w:t>
            </w:r>
            <w:r w:rsidR="000B6416">
              <w:rPr>
                <w:b w:val="0"/>
                <w:color w:val="000000"/>
                <w:sz w:val="24"/>
                <w:shd w:val="clear" w:color="auto" w:fill="FFFFFF"/>
              </w:rPr>
              <w:t>, tai skaitā tiesas ceļā</w:t>
            </w:r>
            <w:r w:rsidR="00F719FE">
              <w:rPr>
                <w:b w:val="0"/>
                <w:color w:val="000000"/>
                <w:sz w:val="24"/>
                <w:shd w:val="clear" w:color="auto" w:fill="FFFFFF"/>
              </w:rPr>
              <w:t xml:space="preserve">. No tiesību nodrošinošās pārvaldes ir nošķirama </w:t>
            </w:r>
            <w:r w:rsidR="000B6416">
              <w:rPr>
                <w:b w:val="0"/>
                <w:color w:val="000000"/>
                <w:sz w:val="24"/>
                <w:shd w:val="clear" w:color="auto" w:fill="FFFFFF"/>
              </w:rPr>
              <w:t xml:space="preserve">ierobežojošā pārvalde (vāc. – </w:t>
            </w:r>
            <w:proofErr w:type="spellStart"/>
            <w:r w:rsidR="000B6416">
              <w:rPr>
                <w:b w:val="0"/>
                <w:i/>
                <w:color w:val="000000"/>
                <w:sz w:val="24"/>
                <w:shd w:val="clear" w:color="auto" w:fill="FFFFFF"/>
              </w:rPr>
              <w:t>Eingriffsverwaltung</w:t>
            </w:r>
            <w:proofErr w:type="spellEnd"/>
            <w:r w:rsidR="000B6416">
              <w:rPr>
                <w:b w:val="0"/>
                <w:color w:val="000000"/>
                <w:sz w:val="24"/>
                <w:shd w:val="clear" w:color="auto" w:fill="FFFFFF"/>
              </w:rPr>
              <w:t>), kurā personai ir subjektīvas publiskās tiesības no valsts vai cita publiskās varas nesēja prasīt veikt vai pārtraukt konkrētu darbību (ja nepieciešams, arī tiesas ceļā)</w:t>
            </w:r>
            <w:r w:rsidR="000B6416">
              <w:rPr>
                <w:rStyle w:val="FootnoteReference"/>
                <w:b w:val="0"/>
                <w:color w:val="000000"/>
                <w:sz w:val="24"/>
                <w:shd w:val="clear" w:color="auto" w:fill="FFFFFF"/>
              </w:rPr>
              <w:footnoteReference w:id="2"/>
            </w:r>
            <w:r w:rsidR="000B6416">
              <w:rPr>
                <w:b w:val="0"/>
                <w:color w:val="000000"/>
                <w:sz w:val="24"/>
                <w:shd w:val="clear" w:color="auto" w:fill="FFFFFF"/>
              </w:rPr>
              <w:t xml:space="preserve">, piemēram, būvniecībā. </w:t>
            </w:r>
            <w:r w:rsidR="001846D8">
              <w:rPr>
                <w:b w:val="0"/>
                <w:color w:val="000000"/>
                <w:sz w:val="24"/>
                <w:shd w:val="clear" w:color="auto" w:fill="FFFFFF"/>
              </w:rPr>
              <w:t xml:space="preserve">Attiecībā uz </w:t>
            </w:r>
            <w:proofErr w:type="spellStart"/>
            <w:r w:rsidR="001846D8">
              <w:rPr>
                <w:b w:val="0"/>
                <w:color w:val="000000"/>
                <w:sz w:val="24"/>
                <w:shd w:val="clear" w:color="auto" w:fill="FFFFFF"/>
              </w:rPr>
              <w:t>subvenciju</w:t>
            </w:r>
            <w:proofErr w:type="spellEnd"/>
            <w:r w:rsidR="001846D8">
              <w:rPr>
                <w:b w:val="0"/>
                <w:color w:val="000000"/>
                <w:sz w:val="24"/>
                <w:shd w:val="clear" w:color="auto" w:fill="FFFFFF"/>
              </w:rPr>
              <w:t xml:space="preserve"> piešķiršanu</w:t>
            </w:r>
            <w:r w:rsidR="000B6416">
              <w:rPr>
                <w:b w:val="0"/>
                <w:color w:val="000000"/>
                <w:sz w:val="24"/>
                <w:shd w:val="clear" w:color="auto" w:fill="FFFFFF"/>
              </w:rPr>
              <w:t xml:space="preserve"> projekta iesniedzējam ir tiesības un tiesisku </w:t>
            </w:r>
            <w:r w:rsidR="00B243A9">
              <w:rPr>
                <w:b w:val="0"/>
                <w:color w:val="000000"/>
                <w:sz w:val="24"/>
                <w:shd w:val="clear" w:color="auto" w:fill="FFFFFF"/>
              </w:rPr>
              <w:t xml:space="preserve">un taisnīgu projekta </w:t>
            </w:r>
            <w:r w:rsidR="00B243A9">
              <w:rPr>
                <w:b w:val="0"/>
                <w:color w:val="000000"/>
                <w:sz w:val="24"/>
                <w:shd w:val="clear" w:color="auto" w:fill="FFFFFF"/>
              </w:rPr>
              <w:lastRenderedPageBreak/>
              <w:t>iesnieguma vērtēšanas un lēmuma pieņemšanas procedūru</w:t>
            </w:r>
            <w:r w:rsidR="001846D8">
              <w:rPr>
                <w:b w:val="0"/>
                <w:color w:val="000000"/>
                <w:sz w:val="24"/>
                <w:shd w:val="clear" w:color="auto" w:fill="FFFFFF"/>
              </w:rPr>
              <w:t>, kā arī vienlīdzīgu attieksmi</w:t>
            </w:r>
            <w:r w:rsidR="00B243A9">
              <w:rPr>
                <w:b w:val="0"/>
                <w:color w:val="000000"/>
                <w:sz w:val="24"/>
                <w:shd w:val="clear" w:color="auto" w:fill="FFFFFF"/>
              </w:rPr>
              <w:t>.</w:t>
            </w:r>
            <w:r w:rsidR="001846D8">
              <w:rPr>
                <w:rStyle w:val="FootnoteReference"/>
                <w:b w:val="0"/>
                <w:color w:val="000000"/>
                <w:sz w:val="24"/>
                <w:shd w:val="clear" w:color="auto" w:fill="FFFFFF"/>
              </w:rPr>
              <w:footnoteReference w:id="3"/>
            </w:r>
            <w:r w:rsidR="00D84835">
              <w:rPr>
                <w:b w:val="0"/>
                <w:color w:val="000000"/>
                <w:sz w:val="24"/>
                <w:shd w:val="clear" w:color="auto" w:fill="FFFFFF"/>
              </w:rPr>
              <w:t xml:space="preserve"> Tas nozīmē</w:t>
            </w:r>
            <w:r w:rsidR="00D84835" w:rsidRPr="007A001E">
              <w:rPr>
                <w:b w:val="0"/>
                <w:color w:val="000000"/>
                <w:sz w:val="24"/>
                <w:shd w:val="clear" w:color="auto" w:fill="FFFFFF"/>
              </w:rPr>
              <w:t>, ka</w:t>
            </w:r>
            <w:r w:rsidR="00D84835" w:rsidRPr="007A001E">
              <w:rPr>
                <w:rStyle w:val="apple-converted-space"/>
                <w:b w:val="0"/>
                <w:color w:val="000000"/>
                <w:sz w:val="24"/>
                <w:shd w:val="clear" w:color="auto" w:fill="FFFFFF"/>
              </w:rPr>
              <w:t> </w:t>
            </w:r>
            <w:r w:rsidR="00D84835" w:rsidRPr="007A001E">
              <w:rPr>
                <w:b w:val="0"/>
                <w:color w:val="000000"/>
                <w:sz w:val="24"/>
                <w:shd w:val="clear" w:color="auto" w:fill="FFFFFF"/>
              </w:rPr>
              <w:t xml:space="preserve"> projekta iesniedzējs saskaņā ar Administratīvā procesa likumu </w:t>
            </w:r>
            <w:r w:rsidR="00A016C3">
              <w:rPr>
                <w:b w:val="0"/>
                <w:color w:val="000000"/>
                <w:sz w:val="24"/>
                <w:shd w:val="clear" w:color="auto" w:fill="FFFFFF"/>
              </w:rPr>
              <w:t xml:space="preserve">un Valsts pārvaldes iestāžu nodarīto zaudējumu atlīdzināšanas likumu </w:t>
            </w:r>
            <w:r w:rsidR="00D84835" w:rsidRPr="007A001E">
              <w:rPr>
                <w:b w:val="0"/>
                <w:color w:val="000000"/>
                <w:sz w:val="24"/>
                <w:shd w:val="clear" w:color="auto" w:fill="FFFFFF"/>
              </w:rPr>
              <w:t>var prasīt tikai zaudējumu atlīdzību, kas radušies attiecīgajam projekta iesniedzējam</w:t>
            </w:r>
            <w:r w:rsidR="00A016C3">
              <w:rPr>
                <w:b w:val="0"/>
                <w:color w:val="000000"/>
                <w:sz w:val="24"/>
                <w:shd w:val="clear" w:color="auto" w:fill="FFFFFF"/>
              </w:rPr>
              <w:t>,</w:t>
            </w:r>
            <w:r w:rsidR="00D84835" w:rsidRPr="007A001E">
              <w:rPr>
                <w:b w:val="0"/>
                <w:color w:val="000000"/>
                <w:sz w:val="24"/>
                <w:shd w:val="clear" w:color="auto" w:fill="FFFFFF"/>
              </w:rPr>
              <w:t xml:space="preserve"> sagatavojot vērtēšanas procesā noraidīto projekta iesniegumu (piemēram, projekta sagatavošanas izmaksas)</w:t>
            </w:r>
            <w:r w:rsidR="00D84835">
              <w:rPr>
                <w:b w:val="0"/>
                <w:color w:val="000000"/>
                <w:sz w:val="24"/>
                <w:shd w:val="clear" w:color="auto" w:fill="FFFFFF"/>
              </w:rPr>
              <w:t>, nevis ES fonda finansējumu, kas pieejams tikai konkrētā specifiskā atbalsta mērķa ietvaros noteiktā laika periodā.</w:t>
            </w:r>
          </w:p>
          <w:p w14:paraId="476CFCE5" w14:textId="77777777" w:rsidR="00C569ED" w:rsidRDefault="0084646A" w:rsidP="00C569ED">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566531">
              <w:rPr>
                <w:b w:val="0"/>
                <w:sz w:val="24"/>
                <w:szCs w:val="24"/>
              </w:rPr>
              <w:t xml:space="preserve">Likumprojektā ir noteikts regulējums attiecībā uz valsts budžeta līdzfinansējuma likmi un </w:t>
            </w:r>
            <w:proofErr w:type="spellStart"/>
            <w:r w:rsidRPr="00566531">
              <w:rPr>
                <w:b w:val="0"/>
                <w:sz w:val="24"/>
                <w:szCs w:val="24"/>
              </w:rPr>
              <w:t>virssaistību</w:t>
            </w:r>
            <w:proofErr w:type="spellEnd"/>
            <w:r w:rsidRPr="00566531">
              <w:rPr>
                <w:b w:val="0"/>
                <w:sz w:val="24"/>
                <w:szCs w:val="24"/>
              </w:rPr>
              <w:t xml:space="preserve"> apjomu</w:t>
            </w:r>
            <w:r w:rsidR="00E4130D">
              <w:rPr>
                <w:b w:val="0"/>
                <w:sz w:val="24"/>
                <w:szCs w:val="24"/>
              </w:rPr>
              <w:t xml:space="preserve"> (</w:t>
            </w:r>
            <w:r w:rsidR="00E4130D" w:rsidRPr="00050722">
              <w:rPr>
                <w:b w:val="0"/>
                <w:sz w:val="24"/>
                <w:szCs w:val="24"/>
              </w:rPr>
              <w:t>6. un 7.pants</w:t>
            </w:r>
            <w:r w:rsidR="00E4130D">
              <w:rPr>
                <w:b w:val="0"/>
                <w:sz w:val="24"/>
                <w:szCs w:val="24"/>
              </w:rPr>
              <w:t>)</w:t>
            </w:r>
            <w:r w:rsidRPr="00566531">
              <w:rPr>
                <w:b w:val="0"/>
                <w:sz w:val="24"/>
                <w:szCs w:val="24"/>
              </w:rPr>
              <w:t xml:space="preserve">. ES fondu saņemšana ir saistīta ar nepieciešamību projektiem piešķirt </w:t>
            </w:r>
            <w:r w:rsidR="00F2490D" w:rsidRPr="00566531">
              <w:rPr>
                <w:b w:val="0"/>
                <w:sz w:val="24"/>
                <w:szCs w:val="24"/>
              </w:rPr>
              <w:t>valsts budžeta finansējumu. Daļu no tā atmaksā no ES fondiem, bet daļa netiek atmaksāta. Tas, cik liela ir šī neatmaksājamā daļa, atkarīgs gan no</w:t>
            </w:r>
            <w:r w:rsidR="00DF6772" w:rsidRPr="00566531">
              <w:rPr>
                <w:b w:val="0"/>
                <w:sz w:val="24"/>
                <w:szCs w:val="24"/>
              </w:rPr>
              <w:t xml:space="preserve"> ES regulās noteiktajiem nosacījumiem attiecībā uz maksimālajām ES fondu līdzfinansējuma likmēm attiecināmo izdevumu segšanai, gan no dalībvalstu izvēles.</w:t>
            </w:r>
            <w:r w:rsidR="000A6BCF" w:rsidRPr="00566531">
              <w:rPr>
                <w:b w:val="0"/>
                <w:sz w:val="24"/>
                <w:szCs w:val="24"/>
              </w:rPr>
              <w:t xml:space="preserve"> Dalībvalstu ziņā ir noteikt  valsts budžeta līdzfinansējuma likmi</w:t>
            </w:r>
            <w:r w:rsidR="00D725FE" w:rsidRPr="00566531">
              <w:rPr>
                <w:b w:val="0"/>
                <w:sz w:val="24"/>
                <w:szCs w:val="24"/>
              </w:rPr>
              <w:t>,</w:t>
            </w:r>
            <w:r w:rsidR="000A6BCF" w:rsidRPr="00566531">
              <w:rPr>
                <w:b w:val="0"/>
                <w:sz w:val="24"/>
                <w:szCs w:val="24"/>
              </w:rPr>
              <w:t xml:space="preserve"> kā arī to</w:t>
            </w:r>
            <w:r w:rsidR="00D725FE" w:rsidRPr="00566531">
              <w:rPr>
                <w:b w:val="0"/>
                <w:sz w:val="24"/>
                <w:szCs w:val="24"/>
              </w:rPr>
              <w:t>,</w:t>
            </w:r>
            <w:r w:rsidR="005258CC" w:rsidRPr="00566531">
              <w:rPr>
                <w:b w:val="0"/>
                <w:sz w:val="24"/>
                <w:szCs w:val="24"/>
              </w:rPr>
              <w:t xml:space="preserve"> vai</w:t>
            </w:r>
            <w:r w:rsidR="000A6BCF" w:rsidRPr="00566531">
              <w:rPr>
                <w:b w:val="0"/>
                <w:sz w:val="24"/>
                <w:szCs w:val="24"/>
              </w:rPr>
              <w:t xml:space="preserve"> tiks uzņemtas </w:t>
            </w:r>
            <w:proofErr w:type="spellStart"/>
            <w:r w:rsidR="000A6BCF" w:rsidRPr="00566531">
              <w:rPr>
                <w:b w:val="0"/>
                <w:sz w:val="24"/>
                <w:szCs w:val="24"/>
              </w:rPr>
              <w:t>virssaistības</w:t>
            </w:r>
            <w:proofErr w:type="spellEnd"/>
            <w:r w:rsidR="000A6BCF" w:rsidRPr="00566531">
              <w:rPr>
                <w:b w:val="0"/>
                <w:sz w:val="24"/>
                <w:szCs w:val="24"/>
              </w:rPr>
              <w:t xml:space="preserve"> un</w:t>
            </w:r>
            <w:r w:rsidR="005258CC" w:rsidRPr="00566531">
              <w:rPr>
                <w:b w:val="0"/>
                <w:sz w:val="24"/>
                <w:szCs w:val="24"/>
              </w:rPr>
              <w:t xml:space="preserve"> cik lielas tās būs.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darbības programmas īstenošanai. Pēdējais, savukārt, ir atkarīgs no fiskālās disciplīnas nosacījumiem, jeb no tā, cik liels valsts budžeta finansējums</w:t>
            </w:r>
            <w:r w:rsidR="00CD234C" w:rsidRPr="00566531">
              <w:rPr>
                <w:b w:val="0"/>
                <w:sz w:val="24"/>
                <w:szCs w:val="24"/>
              </w:rPr>
              <w:t xml:space="preserve"> (fiskālā telpa)</w:t>
            </w:r>
            <w:r w:rsidR="005258CC" w:rsidRPr="00566531">
              <w:rPr>
                <w:b w:val="0"/>
                <w:sz w:val="24"/>
                <w:szCs w:val="24"/>
              </w:rPr>
              <w:t xml:space="preserve"> ir pieejam</w:t>
            </w:r>
            <w:r w:rsidR="00CD234C" w:rsidRPr="00566531">
              <w:rPr>
                <w:b w:val="0"/>
                <w:sz w:val="24"/>
                <w:szCs w:val="24"/>
              </w:rPr>
              <w:t>s.</w:t>
            </w:r>
            <w:r w:rsidR="005258CC" w:rsidRPr="00566531">
              <w:rPr>
                <w:b w:val="0"/>
                <w:sz w:val="24"/>
                <w:szCs w:val="24"/>
              </w:rPr>
              <w:t xml:space="preserve"> Būtiski, lai šādi lēmumi tiktu skatīti kontekstā ar citām </w:t>
            </w:r>
            <w:r w:rsidR="00CD234C" w:rsidRPr="00566531">
              <w:rPr>
                <w:b w:val="0"/>
                <w:sz w:val="24"/>
                <w:szCs w:val="24"/>
              </w:rPr>
              <w:t xml:space="preserve">valsts </w:t>
            </w:r>
            <w:r w:rsidR="005258CC" w:rsidRPr="00566531">
              <w:rPr>
                <w:b w:val="0"/>
                <w:sz w:val="24"/>
                <w:szCs w:val="24"/>
              </w:rPr>
              <w:t>vajadzībām</w:t>
            </w:r>
            <w:r w:rsidR="00CD234C" w:rsidRPr="00566531">
              <w:rPr>
                <w:b w:val="0"/>
                <w:sz w:val="24"/>
                <w:szCs w:val="24"/>
              </w:rPr>
              <w:t xml:space="preserve">, </w:t>
            </w:r>
            <w:r w:rsidR="00566531" w:rsidRPr="00566531">
              <w:rPr>
                <w:b w:val="0"/>
                <w:iCs/>
                <w:sz w:val="24"/>
              </w:rPr>
              <w:t>nosakot turpmākajiem gadiem pieejamo finansējumu valsts attīstībai atbilstoši aktuālākajām makroekonomiskās attīstības prognozēm</w:t>
            </w:r>
            <w:r w:rsidR="00CD234C" w:rsidRPr="00566531">
              <w:rPr>
                <w:b w:val="0"/>
                <w:sz w:val="24"/>
                <w:szCs w:val="24"/>
              </w:rPr>
              <w:t>. Atbilstoši tam</w:t>
            </w:r>
            <w:r w:rsidR="005E056B" w:rsidRPr="00566531">
              <w:rPr>
                <w:b w:val="0"/>
                <w:sz w:val="24"/>
                <w:szCs w:val="24"/>
              </w:rPr>
              <w:t xml:space="preserve"> valsts budžeta līdzfinansējuma likmes un </w:t>
            </w:r>
            <w:proofErr w:type="spellStart"/>
            <w:r w:rsidR="005E056B" w:rsidRPr="00566531">
              <w:rPr>
                <w:b w:val="0"/>
                <w:sz w:val="24"/>
                <w:szCs w:val="24"/>
              </w:rPr>
              <w:t>virssaistību</w:t>
            </w:r>
            <w:proofErr w:type="spellEnd"/>
            <w:r w:rsidR="005E056B" w:rsidRPr="00566531">
              <w:rPr>
                <w:b w:val="0"/>
                <w:sz w:val="24"/>
                <w:szCs w:val="24"/>
              </w:rPr>
              <w:t xml:space="preserve"> apjoma noteikšanā</w:t>
            </w:r>
            <w:r w:rsidR="00CD234C" w:rsidRPr="00566531">
              <w:rPr>
                <w:b w:val="0"/>
                <w:sz w:val="24"/>
                <w:szCs w:val="24"/>
              </w:rPr>
              <w:t xml:space="preserve"> likumprojektā ir paredzēta divpakāpju pieeja. Vispirms likumprojektā tiek noteikts minimālais apmērs –   valsts budžeta līdzfinansējuma likmei  </w:t>
            </w:r>
            <w:r w:rsidR="00EE2F22" w:rsidRPr="00566531">
              <w:rPr>
                <w:b w:val="0"/>
                <w:sz w:val="24"/>
                <w:szCs w:val="24"/>
              </w:rPr>
              <w:t>tā</w:t>
            </w:r>
            <w:r w:rsidR="008608FC" w:rsidRPr="00566531">
              <w:rPr>
                <w:b w:val="0"/>
                <w:sz w:val="24"/>
                <w:szCs w:val="24"/>
              </w:rPr>
              <w:t xml:space="preserve"> nav augstāka par minimāli iespējamo, ar kuru var nodrošināt Eiropas Komisijas lēmumā par darbības programmas apstiprināšanu attiecīgajam darbības programmas prioritārajam virzienam noteikto Eiropas Savienības fonda līdzfinansējuma likmi</w:t>
            </w:r>
            <w:r w:rsidR="0097514C">
              <w:rPr>
                <w:b w:val="0"/>
                <w:sz w:val="24"/>
                <w:szCs w:val="24"/>
              </w:rPr>
              <w:t xml:space="preserve"> un </w:t>
            </w:r>
            <w:r w:rsidR="0097514C" w:rsidRPr="00566531">
              <w:rPr>
                <w:b w:val="0"/>
                <w:sz w:val="24"/>
                <w:szCs w:val="24"/>
              </w:rPr>
              <w:t xml:space="preserve"> </w:t>
            </w:r>
            <w:proofErr w:type="spellStart"/>
            <w:r w:rsidR="0097514C" w:rsidRPr="00566531">
              <w:rPr>
                <w:b w:val="0"/>
                <w:sz w:val="24"/>
                <w:szCs w:val="24"/>
              </w:rPr>
              <w:t>virssaistībām</w:t>
            </w:r>
            <w:proofErr w:type="spellEnd"/>
            <w:r w:rsidR="0097514C" w:rsidRPr="00566531">
              <w:rPr>
                <w:b w:val="0"/>
                <w:sz w:val="24"/>
                <w:szCs w:val="24"/>
              </w:rPr>
              <w:t xml:space="preserve"> 5%</w:t>
            </w:r>
            <w:r w:rsidR="008608FC" w:rsidRPr="00566531">
              <w:rPr>
                <w:b w:val="0"/>
                <w:sz w:val="24"/>
                <w:szCs w:val="24"/>
              </w:rPr>
              <w:t>.</w:t>
            </w:r>
            <w:r w:rsidR="00752631">
              <w:rPr>
                <w:b w:val="0"/>
                <w:sz w:val="24"/>
                <w:szCs w:val="24"/>
              </w:rPr>
              <w:t xml:space="preserve"> Valsts budžeta līdzfinansējuma likmi nosaka Ministru kabineta noteikumos par  specifiskā atbalsta mērķa īstenošanu atbilstoši plānošanas dokumentiem.</w:t>
            </w:r>
            <w:r w:rsidR="008608FC" w:rsidRPr="00566531">
              <w:rPr>
                <w:b w:val="0"/>
                <w:sz w:val="24"/>
                <w:szCs w:val="24"/>
              </w:rPr>
              <w:t xml:space="preserve"> Likumprojekts paredz, ka </w:t>
            </w:r>
            <w:proofErr w:type="spellStart"/>
            <w:r w:rsidR="00752631">
              <w:rPr>
                <w:b w:val="0"/>
                <w:sz w:val="24"/>
                <w:szCs w:val="24"/>
              </w:rPr>
              <w:t>virssaistību</w:t>
            </w:r>
            <w:proofErr w:type="spellEnd"/>
            <w:r w:rsidR="00752631" w:rsidRPr="00566531">
              <w:rPr>
                <w:b w:val="0"/>
                <w:sz w:val="24"/>
                <w:szCs w:val="24"/>
              </w:rPr>
              <w:t xml:space="preserve"> </w:t>
            </w:r>
            <w:r w:rsidR="008608FC" w:rsidRPr="00566531">
              <w:rPr>
                <w:b w:val="0"/>
                <w:sz w:val="24"/>
                <w:szCs w:val="24"/>
              </w:rPr>
              <w:lastRenderedPageBreak/>
              <w:t xml:space="preserve">minimālo apmēru var palielināt, tomēr, tā kā vispārīgā gadījumā tas rada nepieciešamību pēc papildu valsts budžeta finansējuma, šādi lēmumi tiek skatīti tajā brīdī, kad </w:t>
            </w:r>
            <w:r w:rsidR="00EE2F22" w:rsidRPr="00566531">
              <w:rPr>
                <w:b w:val="0"/>
                <w:sz w:val="24"/>
                <w:szCs w:val="24"/>
              </w:rPr>
              <w:t>Ministru kabinets</w:t>
            </w:r>
            <w:r w:rsidR="008608FC" w:rsidRPr="00566531">
              <w:rPr>
                <w:b w:val="0"/>
                <w:sz w:val="24"/>
                <w:szCs w:val="24"/>
              </w:rPr>
              <w:t xml:space="preserve"> lemj par fiskālās telpas sadali.</w:t>
            </w:r>
            <w:r w:rsidR="008608FC">
              <w:rPr>
                <w:b w:val="0"/>
                <w:sz w:val="24"/>
                <w:szCs w:val="24"/>
              </w:rPr>
              <w:t xml:space="preserve"> </w:t>
            </w:r>
          </w:p>
          <w:p w14:paraId="14224FEA" w14:textId="7076DFFD" w:rsidR="00900DB3" w:rsidRDefault="00900DB3" w:rsidP="00C569ED">
            <w:pPr>
              <w:pStyle w:val="Heading3"/>
              <w:numPr>
                <w:ilvl w:val="0"/>
                <w:numId w:val="22"/>
              </w:numPr>
              <w:shd w:val="clear" w:color="auto" w:fill="FFFFFF"/>
              <w:spacing w:before="0" w:beforeAutospacing="0" w:after="120" w:afterAutospacing="0"/>
              <w:ind w:left="57" w:right="57" w:firstLine="284"/>
              <w:jc w:val="both"/>
              <w:rPr>
                <w:b w:val="0"/>
                <w:sz w:val="24"/>
                <w:szCs w:val="24"/>
              </w:rPr>
            </w:pPr>
            <w:r>
              <w:rPr>
                <w:b w:val="0"/>
                <w:sz w:val="24"/>
                <w:szCs w:val="24"/>
              </w:rPr>
              <w:t>R</w:t>
            </w:r>
            <w:r w:rsidRPr="00BD5CDD">
              <w:rPr>
                <w:b w:val="0"/>
                <w:sz w:val="24"/>
                <w:szCs w:val="24"/>
              </w:rPr>
              <w:t xml:space="preserve">egulas </w:t>
            </w:r>
            <w:r>
              <w:rPr>
                <w:b w:val="0"/>
                <w:sz w:val="24"/>
                <w:szCs w:val="24"/>
              </w:rPr>
              <w:t xml:space="preserve">Nr.1303/2013 </w:t>
            </w:r>
            <w:r w:rsidRPr="00BD5CDD">
              <w:rPr>
                <w:b w:val="0"/>
                <w:sz w:val="24"/>
                <w:szCs w:val="24"/>
              </w:rPr>
              <w:t>20.pants paredz, ka tiek veidota izpildes rezerve 6% apmērā, kas 2019.gadā tiek piešķirta tikai tām programmām un prioritātēm, kurās ir sasniegti starpposma mērķi.  Attiecīgi, plānojot specifisko atbalsta mērķu ieviešanu, atbildīgās iestādes plāno slēgt līgumus par projektu īstenošanu maksimāli 94% apmērā no specifiskā atbalsta mērķa attiecināmajām izmaksām. Izņēmuma gadījumos, kur specifisko atbalsta mērķa ietvaros plānots viens vai ierobežots skaits projektu, kurus plānots īstenot visa plānošanas perioda ietvaros un kuru īstenošanai nepieciešams slēgt līgumu</w:t>
            </w:r>
            <w:r>
              <w:rPr>
                <w:b w:val="0"/>
                <w:sz w:val="24"/>
                <w:szCs w:val="24"/>
              </w:rPr>
              <w:t xml:space="preserve"> vai </w:t>
            </w:r>
            <w:r w:rsidRPr="00BD5CDD">
              <w:rPr>
                <w:b w:val="0"/>
                <w:sz w:val="24"/>
                <w:szCs w:val="24"/>
              </w:rPr>
              <w:t xml:space="preserve">vienošanos ar finansējuma saņēmēju par visu </w:t>
            </w:r>
            <w:r>
              <w:rPr>
                <w:b w:val="0"/>
                <w:sz w:val="24"/>
                <w:szCs w:val="24"/>
              </w:rPr>
              <w:t>specifiskā atbalsta mērķa</w:t>
            </w:r>
            <w:r w:rsidRPr="00BD5CDD">
              <w:rPr>
                <w:b w:val="0"/>
                <w:sz w:val="24"/>
                <w:szCs w:val="24"/>
              </w:rPr>
              <w:t xml:space="preserve"> finansējuma apjomu, atbildīgā iestāde līdz Eiropas Komisijas lēmumam par prioritātēm, kuras sasniegušas starpposma mērķus (</w:t>
            </w:r>
            <w:r>
              <w:rPr>
                <w:b w:val="0"/>
                <w:sz w:val="24"/>
                <w:szCs w:val="24"/>
              </w:rPr>
              <w:t>R</w:t>
            </w:r>
            <w:r w:rsidRPr="00BD5CDD">
              <w:rPr>
                <w:b w:val="0"/>
                <w:sz w:val="24"/>
                <w:szCs w:val="24"/>
              </w:rPr>
              <w:t xml:space="preserve">egulas </w:t>
            </w:r>
            <w:r>
              <w:rPr>
                <w:b w:val="0"/>
                <w:sz w:val="24"/>
                <w:szCs w:val="24"/>
              </w:rPr>
              <w:t xml:space="preserve">Nr.1303/2013 </w:t>
            </w:r>
            <w:r w:rsidRPr="00BD5CDD">
              <w:rPr>
                <w:b w:val="0"/>
                <w:sz w:val="24"/>
                <w:szCs w:val="24"/>
              </w:rPr>
              <w:t xml:space="preserve">22.pants), ar vadošo iestādi saskaņo izpildes rezerves iekļaušanu darbības programmas </w:t>
            </w:r>
            <w:proofErr w:type="spellStart"/>
            <w:r w:rsidRPr="00BD5CDD">
              <w:rPr>
                <w:b w:val="0"/>
                <w:sz w:val="24"/>
                <w:szCs w:val="24"/>
              </w:rPr>
              <w:t>virssaistību</w:t>
            </w:r>
            <w:proofErr w:type="spellEnd"/>
            <w:r w:rsidRPr="00BD5CDD">
              <w:rPr>
                <w:b w:val="0"/>
                <w:sz w:val="24"/>
                <w:szCs w:val="24"/>
              </w:rPr>
              <w:t xml:space="preserve"> apjomā.</w:t>
            </w:r>
          </w:p>
          <w:p w14:paraId="7BB89229" w14:textId="1736A565" w:rsidR="00F17467" w:rsidRDefault="00F17467" w:rsidP="00F57E68">
            <w:pPr>
              <w:pStyle w:val="Heading3"/>
              <w:numPr>
                <w:ilvl w:val="0"/>
                <w:numId w:val="22"/>
              </w:numPr>
              <w:shd w:val="clear" w:color="auto" w:fill="FFFFFF"/>
              <w:spacing w:before="0" w:beforeAutospacing="0" w:after="0" w:afterAutospacing="0"/>
              <w:ind w:left="57" w:right="57" w:firstLine="284"/>
              <w:jc w:val="both"/>
              <w:rPr>
                <w:b w:val="0"/>
                <w:sz w:val="24"/>
                <w:szCs w:val="24"/>
              </w:rPr>
            </w:pPr>
            <w:r w:rsidRPr="00F17467">
              <w:rPr>
                <w:b w:val="0"/>
                <w:sz w:val="24"/>
                <w:szCs w:val="24"/>
              </w:rPr>
              <w:t>Kā iepriekš minēts, likumprojektā atbilstoši Regulai Nr.</w:t>
            </w:r>
            <w:r w:rsidR="003714C5">
              <w:rPr>
                <w:b w:val="0"/>
                <w:sz w:val="24"/>
                <w:szCs w:val="24"/>
              </w:rPr>
              <w:t xml:space="preserve">1303/2013 </w:t>
            </w:r>
            <w:r w:rsidRPr="00F17467">
              <w:rPr>
                <w:b w:val="0"/>
                <w:sz w:val="24"/>
                <w:szCs w:val="24"/>
              </w:rPr>
              <w:t>ir noteiktas ES fondu vadībā iesaistītās  institūcijas, to tiesības un pienākumi. Likumprojektā ir noteikts, ka ES fondu vadību Latvijas Republikā īsteno šādas institūcijas:</w:t>
            </w:r>
          </w:p>
          <w:p w14:paraId="52A1EBAA" w14:textId="71263854"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bCs w:val="0"/>
                <w:sz w:val="24"/>
                <w:szCs w:val="24"/>
              </w:rPr>
              <w:t>vadošā iestāde (Finanšu ministrija);</w:t>
            </w:r>
          </w:p>
          <w:p w14:paraId="561F34AC" w14:textId="2DC2395E"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bCs w:val="0"/>
                <w:sz w:val="24"/>
                <w:szCs w:val="24"/>
              </w:rPr>
              <w:t>atbildīgā iestāde (</w:t>
            </w:r>
            <w:r w:rsidRPr="0090638D">
              <w:rPr>
                <w:b w:val="0"/>
                <w:sz w:val="24"/>
                <w:szCs w:val="28"/>
              </w:rPr>
              <w:t>Ekonomikas ministrija, Izglītības un zinātnes ministrija, Kultūras ministrija, Labklājības ministrija, Satiksmes ministrija, Tieslietu ministrija, Veselības ministrija, Vides aizsardzības un reģionālās attīstības ministrija, Zemkopības ministrija un Valsts kanceleja)</w:t>
            </w:r>
            <w:r w:rsidRPr="0090638D">
              <w:rPr>
                <w:b w:val="0"/>
                <w:bCs w:val="0"/>
                <w:sz w:val="24"/>
                <w:szCs w:val="24"/>
              </w:rPr>
              <w:t>;</w:t>
            </w:r>
          </w:p>
          <w:p w14:paraId="37ECB33F" w14:textId="40BCFF5E"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bCs w:val="0"/>
                <w:sz w:val="24"/>
                <w:szCs w:val="24"/>
              </w:rPr>
              <w:t>sadarbības iestāde (Centrālā finanšu un līgumu aģentūra</w:t>
            </w:r>
            <w:r w:rsidR="00BE0B3D">
              <w:rPr>
                <w:b w:val="0"/>
                <w:bCs w:val="0"/>
                <w:sz w:val="24"/>
                <w:szCs w:val="24"/>
              </w:rPr>
              <w:t xml:space="preserve"> – turpmāk CFLA)</w:t>
            </w:r>
            <w:r w:rsidRPr="0090638D">
              <w:rPr>
                <w:b w:val="0"/>
                <w:bCs w:val="0"/>
                <w:sz w:val="24"/>
                <w:szCs w:val="24"/>
              </w:rPr>
              <w:t>;</w:t>
            </w:r>
          </w:p>
          <w:p w14:paraId="5505F050" w14:textId="71CEDCEE"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bCs w:val="0"/>
                <w:sz w:val="24"/>
                <w:szCs w:val="24"/>
              </w:rPr>
              <w:t>revīzijas iestāde (Finanšu ministrija);</w:t>
            </w:r>
          </w:p>
          <w:p w14:paraId="72FC2C05" w14:textId="63675A46"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bCs w:val="0"/>
                <w:sz w:val="24"/>
                <w:szCs w:val="24"/>
              </w:rPr>
              <w:t>sertifikācijas iestāde (Valsts kase);</w:t>
            </w:r>
          </w:p>
          <w:p w14:paraId="6794BB14" w14:textId="2826428E" w:rsidR="0090638D" w:rsidRPr="0090638D" w:rsidRDefault="0090638D" w:rsidP="00CF72D5">
            <w:pPr>
              <w:pStyle w:val="Heading3"/>
              <w:numPr>
                <w:ilvl w:val="1"/>
                <w:numId w:val="22"/>
              </w:numPr>
              <w:shd w:val="clear" w:color="auto" w:fill="FFFFFF"/>
              <w:spacing w:before="0" w:beforeAutospacing="0" w:after="120" w:afterAutospacing="0"/>
              <w:ind w:left="525" w:right="57" w:firstLine="0"/>
              <w:jc w:val="both"/>
              <w:rPr>
                <w:b w:val="0"/>
                <w:sz w:val="24"/>
                <w:szCs w:val="24"/>
              </w:rPr>
            </w:pPr>
            <w:r w:rsidRPr="0090638D">
              <w:rPr>
                <w:b w:val="0"/>
                <w:sz w:val="24"/>
                <w:szCs w:val="24"/>
              </w:rPr>
              <w:t>uzraudzības komiteja.</w:t>
            </w:r>
          </w:p>
          <w:p w14:paraId="22B205F1" w14:textId="2C2CA9E4" w:rsidR="0090638D" w:rsidRDefault="0090638D"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90638D">
              <w:rPr>
                <w:b w:val="0"/>
                <w:bCs w:val="0"/>
                <w:sz w:val="24"/>
                <w:szCs w:val="24"/>
              </w:rPr>
              <w:t>Atšķirībā no ES fondu 2007.-2013.gada plānošanas perioda, no augstāk minētā institūciju uzskaitījuma svītrota maksājumu iestāde un</w:t>
            </w:r>
            <w:r w:rsidRPr="0090638D">
              <w:rPr>
                <w:b w:val="0"/>
                <w:sz w:val="24"/>
                <w:szCs w:val="24"/>
              </w:rPr>
              <w:t xml:space="preserve"> Iepirkumu uzraudzības birojs (turpmāk – IUB). Maksājumu iestāde no minētā uzskaitījuma svītrota, jo šādu institūciju vairs neparedz Regula Nr</w:t>
            </w:r>
            <w:r w:rsidR="00F7764D">
              <w:rPr>
                <w:b w:val="0"/>
                <w:sz w:val="24"/>
                <w:szCs w:val="24"/>
              </w:rPr>
              <w:t>.</w:t>
            </w:r>
            <w:r w:rsidR="003714C5">
              <w:rPr>
                <w:b w:val="0"/>
                <w:sz w:val="24"/>
                <w:szCs w:val="24"/>
              </w:rPr>
              <w:t>1303/2013.</w:t>
            </w:r>
            <w:r w:rsidRPr="0090638D">
              <w:rPr>
                <w:b w:val="0"/>
              </w:rPr>
              <w:t xml:space="preserve"> </w:t>
            </w:r>
            <w:r w:rsidRPr="0090638D">
              <w:rPr>
                <w:b w:val="0"/>
                <w:sz w:val="24"/>
                <w:szCs w:val="24"/>
              </w:rPr>
              <w:t xml:space="preserve">Savukārt IUB statuss ir precizēts, jo iepirkumu </w:t>
            </w:r>
            <w:proofErr w:type="spellStart"/>
            <w:r w:rsidRPr="0090638D">
              <w:rPr>
                <w:b w:val="0"/>
                <w:sz w:val="24"/>
                <w:szCs w:val="24"/>
              </w:rPr>
              <w:t>pirmspārbaužu</w:t>
            </w:r>
            <w:proofErr w:type="spellEnd"/>
            <w:r w:rsidRPr="0090638D">
              <w:rPr>
                <w:b w:val="0"/>
                <w:sz w:val="24"/>
                <w:szCs w:val="24"/>
              </w:rPr>
              <w:t xml:space="preserve"> veikšana ir preventīvs mehānisms neatbilstību konstatēšanā iepirkumu jomā un nav uzskatāma  par vadošās iestādes </w:t>
            </w:r>
            <w:r w:rsidRPr="0090638D">
              <w:rPr>
                <w:b w:val="0"/>
                <w:sz w:val="24"/>
                <w:szCs w:val="24"/>
              </w:rPr>
              <w:lastRenderedPageBreak/>
              <w:t xml:space="preserve">deleģēto funkciju, </w:t>
            </w:r>
            <w:r w:rsidR="006358E7">
              <w:rPr>
                <w:b w:val="0"/>
                <w:sz w:val="24"/>
                <w:szCs w:val="24"/>
              </w:rPr>
              <w:t>jo lēmumu par finanšu korekcijas piemērošanu gadījumā, ja IUB savā atzinumā būs norādījis uz iepirkumu regulējošo nor</w:t>
            </w:r>
            <w:r w:rsidR="00CF72D5">
              <w:rPr>
                <w:b w:val="0"/>
                <w:sz w:val="24"/>
                <w:szCs w:val="24"/>
              </w:rPr>
              <w:t>matīvo aktu pārkāpumiem, pieņem</w:t>
            </w:r>
            <w:r w:rsidR="006358E7">
              <w:rPr>
                <w:b w:val="0"/>
                <w:sz w:val="24"/>
                <w:szCs w:val="24"/>
              </w:rPr>
              <w:t xml:space="preserve"> sadarbības iestāde</w:t>
            </w:r>
            <w:r w:rsidRPr="0090638D">
              <w:rPr>
                <w:b w:val="0"/>
                <w:sz w:val="24"/>
                <w:szCs w:val="24"/>
              </w:rPr>
              <w:t xml:space="preserve">. Tādēļ arī ES fondu 2014.-2020.gada plānošanas periodā IUB saglabā iepirkumu </w:t>
            </w:r>
            <w:proofErr w:type="spellStart"/>
            <w:r w:rsidRPr="0090638D">
              <w:rPr>
                <w:b w:val="0"/>
                <w:sz w:val="24"/>
                <w:szCs w:val="24"/>
              </w:rPr>
              <w:t>pirmspārbaužu</w:t>
            </w:r>
            <w:proofErr w:type="spellEnd"/>
            <w:r w:rsidRPr="0090638D">
              <w:rPr>
                <w:b w:val="0"/>
                <w:sz w:val="24"/>
                <w:szCs w:val="24"/>
              </w:rPr>
              <w:t xml:space="preserve"> veikšanas virsuzraudzību, izdodot metodiskos materiālus attiecībā uz iepirkumu </w:t>
            </w:r>
            <w:proofErr w:type="spellStart"/>
            <w:r w:rsidRPr="0090638D">
              <w:rPr>
                <w:b w:val="0"/>
                <w:sz w:val="24"/>
                <w:szCs w:val="24"/>
              </w:rPr>
              <w:t>pirmspārbaužu</w:t>
            </w:r>
            <w:proofErr w:type="spellEnd"/>
            <w:r w:rsidRPr="0090638D">
              <w:rPr>
                <w:b w:val="0"/>
                <w:sz w:val="24"/>
                <w:szCs w:val="24"/>
              </w:rPr>
              <w:t xml:space="preserve"> veikšanu un pārliecinoties, ka iepirkumu </w:t>
            </w:r>
            <w:proofErr w:type="spellStart"/>
            <w:r w:rsidRPr="0090638D">
              <w:rPr>
                <w:b w:val="0"/>
                <w:sz w:val="24"/>
                <w:szCs w:val="24"/>
              </w:rPr>
              <w:t>pirmspārbaužu</w:t>
            </w:r>
            <w:proofErr w:type="spellEnd"/>
            <w:r w:rsidRPr="0090638D">
              <w:rPr>
                <w:b w:val="0"/>
                <w:sz w:val="24"/>
                <w:szCs w:val="24"/>
              </w:rPr>
              <w:t xml:space="preserve"> veikšanas metodika tiek atbilstoši pielietota praksē, kā arī iepirkumu </w:t>
            </w:r>
            <w:proofErr w:type="spellStart"/>
            <w:r w:rsidRPr="0090638D">
              <w:rPr>
                <w:b w:val="0"/>
                <w:sz w:val="24"/>
                <w:szCs w:val="24"/>
              </w:rPr>
              <w:t>pirmspārbaužu</w:t>
            </w:r>
            <w:proofErr w:type="spellEnd"/>
            <w:r w:rsidRPr="0090638D">
              <w:rPr>
                <w:b w:val="0"/>
                <w:sz w:val="24"/>
                <w:szCs w:val="24"/>
              </w:rPr>
              <w:t xml:space="preserve"> veikšanas funkciju noteikta veida iepirkumos (piemēram, iepirkumos, ko veic lielajos projektos). Bet atšķirībā no ES fondu 2007.-2013.gadu plānošanas perioda, Iepirkumu uzraudzības birojs nav noteikts kā ES fondu administrēšanā iesaistītā institūcija.</w:t>
            </w:r>
            <w:r w:rsidR="00E4130D">
              <w:rPr>
                <w:b w:val="0"/>
                <w:sz w:val="24"/>
                <w:szCs w:val="24"/>
              </w:rPr>
              <w:t xml:space="preserve"> </w:t>
            </w:r>
            <w:r w:rsidR="00E4130D" w:rsidRPr="00050722">
              <w:rPr>
                <w:b w:val="0"/>
                <w:sz w:val="24"/>
                <w:szCs w:val="24"/>
              </w:rPr>
              <w:t>(Likumprojekta 1</w:t>
            </w:r>
            <w:r w:rsidR="00050722" w:rsidRPr="00050722">
              <w:rPr>
                <w:b w:val="0"/>
                <w:sz w:val="24"/>
                <w:szCs w:val="24"/>
              </w:rPr>
              <w:t>8</w:t>
            </w:r>
            <w:r w:rsidR="00E4130D" w:rsidRPr="00050722">
              <w:rPr>
                <w:b w:val="0"/>
                <w:sz w:val="24"/>
                <w:szCs w:val="24"/>
              </w:rPr>
              <w:t>.pants)</w:t>
            </w:r>
          </w:p>
          <w:p w14:paraId="72A138A8" w14:textId="65C66557" w:rsidR="00900DB3" w:rsidRPr="0090638D" w:rsidRDefault="00900DB3"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ES fondu ieviešanas funkciju izpilde, </w:t>
            </w:r>
            <w:r w:rsidR="00510E7D">
              <w:rPr>
                <w:b w:val="0"/>
                <w:sz w:val="24"/>
                <w:szCs w:val="24"/>
              </w:rPr>
              <w:t xml:space="preserve">t.sk. ieguldījumu koordinācija teritorijās, </w:t>
            </w:r>
            <w:r>
              <w:rPr>
                <w:b w:val="0"/>
                <w:sz w:val="24"/>
                <w:szCs w:val="24"/>
              </w:rPr>
              <w:t>k</w:t>
            </w:r>
            <w:r w:rsidRPr="00A737C2">
              <w:rPr>
                <w:b w:val="0"/>
                <w:sz w:val="24"/>
                <w:szCs w:val="24"/>
              </w:rPr>
              <w:t xml:space="preserve">ā arī Regulas Nr.1303/2013 7. un 8.pantā minēto horizontālo principu ieviešana </w:t>
            </w:r>
            <w:r>
              <w:rPr>
                <w:b w:val="0"/>
                <w:sz w:val="24"/>
                <w:szCs w:val="24"/>
              </w:rPr>
              <w:t>tiks finansēta</w:t>
            </w:r>
            <w:r w:rsidRPr="00A737C2">
              <w:rPr>
                <w:b w:val="0"/>
                <w:sz w:val="24"/>
                <w:szCs w:val="24"/>
              </w:rPr>
              <w:t xml:space="preserve"> no ES fondu tehniskās palīdzības. Izvērstāks šā jautājuma regulējums </w:t>
            </w:r>
            <w:r w:rsidR="00510E7D">
              <w:rPr>
                <w:b w:val="0"/>
                <w:sz w:val="24"/>
                <w:szCs w:val="24"/>
              </w:rPr>
              <w:t xml:space="preserve">un konkrēts finansējuma apjoms </w:t>
            </w:r>
            <w:r w:rsidRPr="00A737C2">
              <w:rPr>
                <w:b w:val="0"/>
                <w:sz w:val="24"/>
                <w:szCs w:val="24"/>
              </w:rPr>
              <w:t>tiks</w:t>
            </w:r>
            <w:r w:rsidR="00510E7D">
              <w:rPr>
                <w:b w:val="0"/>
                <w:sz w:val="24"/>
                <w:szCs w:val="24"/>
              </w:rPr>
              <w:t xml:space="preserve"> noteikts, balstoties uz cilvēkresursu attīstības plānu, kā arī vienojoties par funkcijām, darbības programmas papildinājuma un </w:t>
            </w:r>
            <w:r>
              <w:rPr>
                <w:b w:val="0"/>
                <w:sz w:val="24"/>
                <w:szCs w:val="24"/>
              </w:rPr>
              <w:t>Ministru kabineta notei</w:t>
            </w:r>
            <w:r w:rsidRPr="00A737C2">
              <w:rPr>
                <w:b w:val="0"/>
                <w:sz w:val="24"/>
                <w:szCs w:val="24"/>
              </w:rPr>
              <w:t>k</w:t>
            </w:r>
            <w:r>
              <w:rPr>
                <w:b w:val="0"/>
                <w:sz w:val="24"/>
                <w:szCs w:val="24"/>
              </w:rPr>
              <w:t>u</w:t>
            </w:r>
            <w:r w:rsidRPr="00A737C2">
              <w:rPr>
                <w:b w:val="0"/>
                <w:sz w:val="24"/>
                <w:szCs w:val="24"/>
              </w:rPr>
              <w:t>m</w:t>
            </w:r>
            <w:r w:rsidR="00510E7D">
              <w:rPr>
                <w:b w:val="0"/>
                <w:sz w:val="24"/>
                <w:szCs w:val="24"/>
              </w:rPr>
              <w:t>u</w:t>
            </w:r>
            <w:r w:rsidRPr="00A737C2">
              <w:rPr>
                <w:b w:val="0"/>
                <w:sz w:val="24"/>
                <w:szCs w:val="24"/>
              </w:rPr>
              <w:t xml:space="preserve"> par ES fondu tehnisko palīdzību</w:t>
            </w:r>
            <w:r w:rsidR="00510E7D">
              <w:rPr>
                <w:b w:val="0"/>
                <w:sz w:val="24"/>
                <w:szCs w:val="24"/>
              </w:rPr>
              <w:t xml:space="preserve"> izstrādes procesā</w:t>
            </w:r>
            <w:r w:rsidRPr="00A737C2">
              <w:rPr>
                <w:b w:val="0"/>
                <w:sz w:val="24"/>
                <w:szCs w:val="24"/>
              </w:rPr>
              <w:t>.</w:t>
            </w:r>
          </w:p>
          <w:p w14:paraId="7770422D" w14:textId="387754B5" w:rsidR="009B00CA" w:rsidRPr="0090638D"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90638D">
              <w:rPr>
                <w:b w:val="0"/>
                <w:sz w:val="24"/>
                <w:szCs w:val="24"/>
              </w:rPr>
              <w:t xml:space="preserve">Salīdzinājumā ar ES fondu 2007.-2013.gada plānošanas periodu, likumprojekts paredz skaidri nodalīt vadošās iestādes, atbildīgo iestāžu un sadarbības iestāžu tiesības un pienākumus, lai novērstu funkciju dublēšanos, kā arī izslēdzot interpretācijas iespējas starp atbildīgajām iestādēm un sadarbības iestādi attiecībā uz funkciju pārdali un atbildībām. Turklāt likumprojektā ietvertās normas ir papildinātas ar atsaucēm uz  konkrētiem </w:t>
            </w:r>
            <w:r w:rsidRPr="00BE0B3D">
              <w:rPr>
                <w:b w:val="0"/>
                <w:sz w:val="24"/>
                <w:szCs w:val="24"/>
              </w:rPr>
              <w:t>regulu</w:t>
            </w:r>
            <w:r w:rsidRPr="0090638D">
              <w:rPr>
                <w:b w:val="0"/>
                <w:sz w:val="24"/>
                <w:szCs w:val="24"/>
              </w:rPr>
              <w:t xml:space="preserve"> pantiem, lai veidotu skaidrāku likuma un regulas sasaisti.</w:t>
            </w:r>
          </w:p>
          <w:p w14:paraId="54F96F48" w14:textId="084B628E" w:rsidR="009B00CA" w:rsidRPr="0090638D" w:rsidRDefault="00CF72D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Jaunajā</w:t>
            </w:r>
            <w:r w:rsidRPr="0090638D">
              <w:rPr>
                <w:b w:val="0"/>
                <w:sz w:val="24"/>
                <w:szCs w:val="24"/>
              </w:rPr>
              <w:t xml:space="preserve"> </w:t>
            </w:r>
            <w:r w:rsidR="009B00CA" w:rsidRPr="0090638D">
              <w:rPr>
                <w:b w:val="0"/>
                <w:sz w:val="24"/>
                <w:szCs w:val="24"/>
              </w:rPr>
              <w:t xml:space="preserve">plānošanas periodā tiks mainīts arī vadošās iestādes, atbildīgo iestāžu un sadarbības iestādes funkcionālās padotības regulējums. No vienas puses, </w:t>
            </w:r>
            <w:r w:rsidR="00E8633C">
              <w:rPr>
                <w:b w:val="0"/>
                <w:sz w:val="24"/>
                <w:szCs w:val="24"/>
              </w:rPr>
              <w:t xml:space="preserve">saskaņā ar </w:t>
            </w:r>
            <w:r w:rsidR="009B00CA" w:rsidRPr="0090638D">
              <w:rPr>
                <w:b w:val="0"/>
                <w:sz w:val="24"/>
                <w:szCs w:val="24"/>
              </w:rPr>
              <w:t>Regulas Nr.1083/2006 59.panta 2.punktu dalībvalsts var</w:t>
            </w:r>
            <w:r w:rsidR="005A5A37">
              <w:rPr>
                <w:b w:val="0"/>
                <w:sz w:val="24"/>
                <w:szCs w:val="24"/>
              </w:rPr>
              <w:t>ēja</w:t>
            </w:r>
            <w:r w:rsidR="009B00CA" w:rsidRPr="0090638D">
              <w:rPr>
                <w:b w:val="0"/>
                <w:sz w:val="24"/>
                <w:szCs w:val="24"/>
              </w:rPr>
              <w:t xml:space="preserve"> iecelt vienu vai vairākas starpniekinstitūcijas, lai veiktu dažus vai visus vadošās iestādes uzdevumus tās atbildībā. Taču, no otras puses, Eiropas Savienības struktūrfondu un Kohēzijas fonda vadības likumā tika noteikts, kurus uzdevumus pilda atbildīgā iestāde un kurus uzdevumus tā var deleģēt sadarbības iestādei, un ka sadarbības iestāde ir funkcionāli padota tam Ministru kabineta loceklim, kuram ir padota atbildīgā iestāde. Savukārt Ministru kabineta noteikumos par aktivitāšu īstenošanu tika </w:t>
            </w:r>
            <w:r w:rsidR="009B00CA" w:rsidRPr="0090638D">
              <w:rPr>
                <w:b w:val="0"/>
                <w:sz w:val="24"/>
                <w:szCs w:val="24"/>
              </w:rPr>
              <w:lastRenderedPageBreak/>
              <w:t>noteikta padotības forma – pārraudzīb</w:t>
            </w:r>
            <w:r>
              <w:rPr>
                <w:b w:val="0"/>
                <w:sz w:val="24"/>
                <w:szCs w:val="24"/>
              </w:rPr>
              <w:t>a</w:t>
            </w:r>
            <w:r w:rsidR="009B00CA" w:rsidRPr="0090638D">
              <w:rPr>
                <w:b w:val="0"/>
                <w:sz w:val="24"/>
                <w:szCs w:val="24"/>
              </w:rPr>
              <w:t xml:space="preserve">. Tādējādi </w:t>
            </w:r>
            <w:r w:rsidR="00525379">
              <w:rPr>
                <w:b w:val="0"/>
                <w:sz w:val="24"/>
                <w:szCs w:val="24"/>
              </w:rPr>
              <w:t xml:space="preserve">ne atbildīgā iestāde, ne </w:t>
            </w:r>
            <w:r w:rsidR="009B00CA" w:rsidRPr="0090638D">
              <w:rPr>
                <w:b w:val="0"/>
                <w:sz w:val="24"/>
                <w:szCs w:val="24"/>
              </w:rPr>
              <w:t>sadarbības iestāde, kas pilda starpniekinstitūcijas funkcijas</w:t>
            </w:r>
            <w:r w:rsidR="00E52FB5">
              <w:rPr>
                <w:b w:val="0"/>
                <w:sz w:val="24"/>
                <w:szCs w:val="24"/>
              </w:rPr>
              <w:t>,</w:t>
            </w:r>
            <w:r w:rsidR="009B00CA" w:rsidRPr="0090638D">
              <w:rPr>
                <w:b w:val="0"/>
                <w:sz w:val="24"/>
                <w:szCs w:val="24"/>
              </w:rPr>
              <w:t xml:space="preserve"> nebija padota finanšu ministram, kuram ir padota vadošā iestāde. </w:t>
            </w:r>
            <w:r w:rsidR="00525379">
              <w:rPr>
                <w:b w:val="0"/>
                <w:sz w:val="24"/>
                <w:szCs w:val="24"/>
              </w:rPr>
              <w:t xml:space="preserve">Līdzīgi arī Regulas Nr.1303/2013 123.panta 6.punktā ir noteikts, ka dalībvalsts var izraudzīties vienu vai vairākas starpniekinstitūcijas konkrētu vadošās iestādes uzdevumu veikšanai uz tās atbildību. </w:t>
            </w:r>
            <w:r w:rsidR="009B00CA" w:rsidRPr="0090638D">
              <w:rPr>
                <w:b w:val="0"/>
                <w:sz w:val="24"/>
                <w:szCs w:val="24"/>
              </w:rPr>
              <w:t xml:space="preserve">Lai novērstu </w:t>
            </w:r>
            <w:r w:rsidR="00525379">
              <w:rPr>
                <w:b w:val="0"/>
                <w:sz w:val="24"/>
                <w:szCs w:val="24"/>
              </w:rPr>
              <w:t>iepriekš minēto</w:t>
            </w:r>
            <w:r w:rsidR="00525379" w:rsidRPr="0090638D">
              <w:rPr>
                <w:b w:val="0"/>
                <w:sz w:val="24"/>
                <w:szCs w:val="24"/>
              </w:rPr>
              <w:t xml:space="preserve"> </w:t>
            </w:r>
            <w:r w:rsidR="009B00CA" w:rsidRPr="0090638D">
              <w:rPr>
                <w:b w:val="0"/>
                <w:sz w:val="24"/>
                <w:szCs w:val="24"/>
              </w:rPr>
              <w:t xml:space="preserve">pretrunu un stiprinātu vadošās iestādes kontroles tiesības pār </w:t>
            </w:r>
            <w:r w:rsidR="0097514C">
              <w:rPr>
                <w:b w:val="0"/>
                <w:sz w:val="24"/>
                <w:szCs w:val="24"/>
              </w:rPr>
              <w:t>sadarbības iestādi</w:t>
            </w:r>
            <w:r w:rsidR="009B00CA" w:rsidRPr="0090638D">
              <w:rPr>
                <w:b w:val="0"/>
                <w:sz w:val="24"/>
                <w:szCs w:val="24"/>
              </w:rPr>
              <w:t xml:space="preserve">, ir ņemts vērā SIA „SAFEGE Baltija”  veiktajā Eiropas Savienības struktūrfondu un Kohēzijas fonda ieviešanas sistēmas </w:t>
            </w:r>
            <w:proofErr w:type="spellStart"/>
            <w:r w:rsidR="009B00CA" w:rsidRPr="0090638D">
              <w:rPr>
                <w:b w:val="0"/>
                <w:sz w:val="24"/>
                <w:szCs w:val="24"/>
              </w:rPr>
              <w:t>efektivizācijas</w:t>
            </w:r>
            <w:proofErr w:type="spellEnd"/>
            <w:r w:rsidR="009B00CA" w:rsidRPr="0090638D">
              <w:rPr>
                <w:b w:val="0"/>
                <w:sz w:val="24"/>
                <w:szCs w:val="24"/>
              </w:rPr>
              <w:t xml:space="preserve"> iespēju </w:t>
            </w:r>
            <w:proofErr w:type="spellStart"/>
            <w:r w:rsidR="009B00CA" w:rsidRPr="0090638D">
              <w:rPr>
                <w:b w:val="0"/>
                <w:sz w:val="24"/>
                <w:szCs w:val="24"/>
              </w:rPr>
              <w:t>izvērtējumā</w:t>
            </w:r>
            <w:proofErr w:type="spellEnd"/>
            <w:r w:rsidR="009B00CA" w:rsidRPr="0090638D">
              <w:rPr>
                <w:b w:val="0"/>
                <w:sz w:val="24"/>
                <w:szCs w:val="24"/>
              </w:rPr>
              <w:t xml:space="preserve"> (turpmāk – ES fondu ieviešanas sistēmas izvērtējums)  iekļautais ieteikums noteikt, ka sadarbības iestāde atrodas finanšu ministra pakļautībā, kurš padotību īsteno ar </w:t>
            </w:r>
            <w:r w:rsidR="00525379">
              <w:rPr>
                <w:b w:val="0"/>
                <w:sz w:val="24"/>
                <w:szCs w:val="24"/>
              </w:rPr>
              <w:t>pilnvarotās amatpersonas (</w:t>
            </w:r>
            <w:r w:rsidR="009B00CA" w:rsidRPr="0090638D">
              <w:rPr>
                <w:b w:val="0"/>
                <w:sz w:val="24"/>
                <w:szCs w:val="24"/>
              </w:rPr>
              <w:t>vadošās iestādes vadītāja</w:t>
            </w:r>
            <w:r w:rsidR="00525379">
              <w:rPr>
                <w:b w:val="0"/>
                <w:sz w:val="24"/>
                <w:szCs w:val="24"/>
              </w:rPr>
              <w:t>, kas ir valsts sekretāra vietnieks)</w:t>
            </w:r>
            <w:r w:rsidR="009B00CA" w:rsidRPr="0090638D">
              <w:rPr>
                <w:b w:val="0"/>
                <w:sz w:val="24"/>
                <w:szCs w:val="24"/>
              </w:rPr>
              <w:t xml:space="preserve"> starpniecību. Izvērtētāji norāda, ka, ņemot vērā vadošās iestādes atbildības apjomu, nav pamata sadarbības iestādei (CFLA) atrasties pārraudzībā, turklāt vairākām ministrijām</w:t>
            </w:r>
            <w:r>
              <w:rPr>
                <w:b w:val="0"/>
                <w:sz w:val="24"/>
                <w:szCs w:val="24"/>
              </w:rPr>
              <w:t xml:space="preserve"> (skat. izvērtējuma 63.lpp.)</w:t>
            </w:r>
            <w:r w:rsidR="009B00CA" w:rsidRPr="0090638D">
              <w:rPr>
                <w:b w:val="0"/>
                <w:sz w:val="24"/>
                <w:szCs w:val="24"/>
              </w:rPr>
              <w:t>.</w:t>
            </w:r>
            <w:r w:rsidR="0097514C">
              <w:rPr>
                <w:b w:val="0"/>
                <w:sz w:val="24"/>
                <w:szCs w:val="24"/>
              </w:rPr>
              <w:t xml:space="preserve"> </w:t>
            </w:r>
            <w:r w:rsidR="00525379">
              <w:rPr>
                <w:b w:val="0"/>
                <w:sz w:val="24"/>
                <w:szCs w:val="24"/>
              </w:rPr>
              <w:t>Savukārt, ņemot vērā to, ka atbildīgo iestāžu pienākumu</w:t>
            </w:r>
            <w:r w:rsidR="0097514C">
              <w:rPr>
                <w:b w:val="0"/>
                <w:sz w:val="24"/>
                <w:szCs w:val="24"/>
              </w:rPr>
              <w:t xml:space="preserve"> pamatā ir nozares </w:t>
            </w:r>
            <w:r w:rsidR="00525379">
              <w:rPr>
                <w:b w:val="0"/>
                <w:sz w:val="24"/>
                <w:szCs w:val="24"/>
              </w:rPr>
              <w:t>jautājumi</w:t>
            </w:r>
            <w:r w:rsidR="003744BC">
              <w:rPr>
                <w:b w:val="0"/>
                <w:sz w:val="24"/>
                <w:szCs w:val="24"/>
              </w:rPr>
              <w:t xml:space="preserve"> ES fondu ieviešanas ietvarā</w:t>
            </w:r>
            <w:r w:rsidR="0097514C">
              <w:rPr>
                <w:b w:val="0"/>
                <w:sz w:val="24"/>
                <w:szCs w:val="24"/>
              </w:rPr>
              <w:t xml:space="preserve">, </w:t>
            </w:r>
            <w:r w:rsidR="00525379">
              <w:rPr>
                <w:b w:val="0"/>
                <w:sz w:val="24"/>
                <w:szCs w:val="24"/>
              </w:rPr>
              <w:t>likumprojektā ir</w:t>
            </w:r>
            <w:r w:rsidR="0097514C">
              <w:rPr>
                <w:b w:val="0"/>
                <w:sz w:val="24"/>
                <w:szCs w:val="24"/>
              </w:rPr>
              <w:t xml:space="preserve"> noteikt</w:t>
            </w:r>
            <w:r w:rsidR="00525379">
              <w:rPr>
                <w:b w:val="0"/>
                <w:sz w:val="24"/>
                <w:szCs w:val="24"/>
              </w:rPr>
              <w:t>s</w:t>
            </w:r>
            <w:r w:rsidR="002B3F0F">
              <w:rPr>
                <w:b w:val="0"/>
                <w:sz w:val="24"/>
                <w:szCs w:val="24"/>
              </w:rPr>
              <w:t>, ka</w:t>
            </w:r>
            <w:r w:rsidR="0097514C">
              <w:rPr>
                <w:b w:val="0"/>
                <w:sz w:val="24"/>
                <w:szCs w:val="24"/>
              </w:rPr>
              <w:t xml:space="preserve"> atbildīgās iestādes ir finanšu ministra funkcionālajā </w:t>
            </w:r>
            <w:r w:rsidR="00525379">
              <w:rPr>
                <w:b w:val="0"/>
                <w:sz w:val="24"/>
                <w:szCs w:val="24"/>
              </w:rPr>
              <w:t>pārraudzībā, ko tas arī īsteno ar vadošās iestādes vadītāja starpniecību</w:t>
            </w:r>
            <w:r w:rsidR="0097514C">
              <w:rPr>
                <w:b w:val="0"/>
                <w:sz w:val="24"/>
                <w:szCs w:val="24"/>
              </w:rPr>
              <w:t>.</w:t>
            </w:r>
          </w:p>
          <w:p w14:paraId="3EAFA6DB" w14:textId="4C356289" w:rsidR="009B00CA" w:rsidRPr="0090638D"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90638D">
              <w:rPr>
                <w:b w:val="0"/>
                <w:sz w:val="24"/>
                <w:szCs w:val="24"/>
              </w:rPr>
              <w:t xml:space="preserve">Atšķirībā no iepriekšējā plānošanas perioda, </w:t>
            </w:r>
            <w:r w:rsidR="000A193A">
              <w:rPr>
                <w:b w:val="0"/>
                <w:sz w:val="24"/>
                <w:szCs w:val="24"/>
              </w:rPr>
              <w:t xml:space="preserve">likuma līmenī </w:t>
            </w:r>
            <w:r w:rsidRPr="0090638D">
              <w:rPr>
                <w:b w:val="0"/>
                <w:sz w:val="24"/>
                <w:szCs w:val="24"/>
              </w:rPr>
              <w:t xml:space="preserve">ir papildinātas vadošās iestādes tiesības. </w:t>
            </w:r>
            <w:r w:rsidR="000A193A">
              <w:rPr>
                <w:b w:val="0"/>
                <w:sz w:val="24"/>
                <w:szCs w:val="24"/>
              </w:rPr>
              <w:t>A</w:t>
            </w:r>
            <w:r w:rsidRPr="0090638D">
              <w:rPr>
                <w:b w:val="0"/>
                <w:sz w:val="24"/>
                <w:szCs w:val="24"/>
              </w:rPr>
              <w:t xml:space="preserve">tbilstoši likumprojekta </w:t>
            </w:r>
            <w:r w:rsidR="00067F85" w:rsidRPr="00050722">
              <w:rPr>
                <w:b w:val="0"/>
                <w:sz w:val="24"/>
                <w:szCs w:val="24"/>
              </w:rPr>
              <w:t>1</w:t>
            </w:r>
            <w:r w:rsidR="00050722" w:rsidRPr="00050722">
              <w:rPr>
                <w:b w:val="0"/>
                <w:sz w:val="24"/>
                <w:szCs w:val="24"/>
              </w:rPr>
              <w:t>0</w:t>
            </w:r>
            <w:r w:rsidRPr="00050722">
              <w:rPr>
                <w:b w:val="0"/>
                <w:sz w:val="24"/>
                <w:szCs w:val="24"/>
              </w:rPr>
              <w:t xml:space="preserve">.panta </w:t>
            </w:r>
            <w:r w:rsidR="00050722" w:rsidRPr="00050722">
              <w:rPr>
                <w:b w:val="0"/>
                <w:sz w:val="24"/>
                <w:szCs w:val="24"/>
              </w:rPr>
              <w:t>trešās daļas 3</w:t>
            </w:r>
            <w:r w:rsidRPr="00050722">
              <w:rPr>
                <w:b w:val="0"/>
                <w:sz w:val="24"/>
                <w:szCs w:val="24"/>
              </w:rPr>
              <w:t>.punktam</w:t>
            </w:r>
            <w:r w:rsidRPr="0090638D">
              <w:rPr>
                <w:b w:val="0"/>
                <w:sz w:val="24"/>
                <w:szCs w:val="24"/>
              </w:rPr>
              <w:t xml:space="preserve"> vadošā iestāde būs tiesīga lemt par darbības programmas, prioritārā virziena, ieguldījumu prioritātes, specifiskā atbalsta mērķa vai projekta ietvaros veikto izdevumu turpmākas deklarēšanas Eiropas Komisijā apturēšanu un iepriekš deklarēto izdevumu apjomu koriģēšanu.</w:t>
            </w:r>
            <w:r w:rsidRPr="0090638D">
              <w:rPr>
                <w:b w:val="0"/>
              </w:rPr>
              <w:t xml:space="preserve"> </w:t>
            </w:r>
            <w:r w:rsidRPr="0090638D">
              <w:rPr>
                <w:b w:val="0"/>
                <w:sz w:val="24"/>
                <w:szCs w:val="24"/>
              </w:rPr>
              <w:t xml:space="preserve">Saskaņā ar ES fondu ieviešanas normatīvo ietvaru vadošā iestāde var uzticēt dažas vai visas tās funkcijas starpniekinstitūcijām. Taču tā nevar deleģēt vispārēju atbildību par šo uzdevumu atbilstošu izpildi. Līdz ar to vadošajai iestādei kā uzraudzības institūcijai ir jānodrošina, ka šie uzdevumi ir pienācīgi izpildīti. ES fondu vadības un kontroles sistēmas trūkumu novēršanas rīcības plānā 2012.gadā tika paredzēti pasākumi vadošās iestādes kontroles funkciju stiprināšanai ar mērķi stiprināt vadības un kontroles sistēmu gadījumos, ja vadošā iestāde nav apmierināta ar šo starpniekinstitūciju darbu. Plānā tika paredzētas vadošās iestādes tiesības apturēt maksājumus dažādos ES fondu ieviešanas līmeņos (darbības programmā, prioritātē, pasākumā, aktivitātē, </w:t>
            </w:r>
            <w:proofErr w:type="spellStart"/>
            <w:r w:rsidRPr="0090638D">
              <w:rPr>
                <w:b w:val="0"/>
                <w:sz w:val="24"/>
                <w:szCs w:val="24"/>
              </w:rPr>
              <w:t>apakšaktivitātē</w:t>
            </w:r>
            <w:proofErr w:type="spellEnd"/>
            <w:r w:rsidRPr="0090638D">
              <w:rPr>
                <w:b w:val="0"/>
                <w:sz w:val="24"/>
                <w:szCs w:val="24"/>
              </w:rPr>
              <w:t xml:space="preserve">). 2007.-2013.gada plānošanas periodā šāds regulējums tika noteikts Ministru kabineta 2010.gada 9.novembra noteikumos Nr.1041 „Kārtība, </w:t>
            </w:r>
            <w:r w:rsidRPr="0090638D">
              <w:rPr>
                <w:b w:val="0"/>
                <w:sz w:val="24"/>
                <w:szCs w:val="24"/>
              </w:rPr>
              <w:lastRenderedPageBreak/>
              <w:t>kādā paredzami valsts budžeta līdzekļi Eiropas Savienības struktūrfondu un Kohēzijas fonda līdzfinansēto projektu īstenošanai, kā arī maksājumu veikšanas un izdevumu deklarācijas sagatavošanas kārtība”.</w:t>
            </w:r>
          </w:p>
          <w:p w14:paraId="18987447" w14:textId="61402295" w:rsidR="00667E7D" w:rsidRPr="008A38A0" w:rsidRDefault="00701901" w:rsidP="00C72DA0">
            <w:pPr>
              <w:pStyle w:val="Heading3"/>
              <w:numPr>
                <w:ilvl w:val="0"/>
                <w:numId w:val="22"/>
              </w:numPr>
              <w:shd w:val="clear" w:color="auto" w:fill="FFFFFF"/>
              <w:spacing w:before="0" w:beforeAutospacing="0" w:after="0" w:afterAutospacing="0"/>
              <w:ind w:left="57" w:right="57" w:firstLine="284"/>
              <w:jc w:val="both"/>
              <w:rPr>
                <w:b w:val="0"/>
                <w:sz w:val="24"/>
                <w:szCs w:val="24"/>
              </w:rPr>
            </w:pPr>
            <w:r w:rsidRPr="008A38A0">
              <w:rPr>
                <w:b w:val="0"/>
                <w:sz w:val="24"/>
              </w:rPr>
              <w:t>Ņemot vērā, ka ES fondu 2014-2020.gada plānošanas periodā uzskaitei un uzraudzībai tiks izmantota viena centrāla IT sistēma, kas tiks izveidota uz CFLA sistēmas bāzes</w:t>
            </w:r>
            <w:r w:rsidR="008A38A0" w:rsidRPr="008A38A0">
              <w:rPr>
                <w:b w:val="0"/>
                <w:sz w:val="24"/>
              </w:rPr>
              <w:t xml:space="preserve">. Vadošās iestādes pienākums būs nodrošināt jaunās ES fondu vadības informācijas sistēmas stratēģisko vadību </w:t>
            </w:r>
            <w:r w:rsidR="008A38A0" w:rsidRPr="008A38A0">
              <w:rPr>
                <w:b w:val="0"/>
                <w:sz w:val="24"/>
                <w:szCs w:val="28"/>
              </w:rPr>
              <w:t>(likumprojekta 10.panta otrās daļas 1</w:t>
            </w:r>
            <w:r w:rsidR="00B72C38">
              <w:rPr>
                <w:b w:val="0"/>
                <w:sz w:val="24"/>
                <w:szCs w:val="28"/>
              </w:rPr>
              <w:t>6</w:t>
            </w:r>
            <w:r w:rsidR="008A38A0" w:rsidRPr="008A38A0">
              <w:rPr>
                <w:b w:val="0"/>
                <w:sz w:val="24"/>
                <w:szCs w:val="28"/>
              </w:rPr>
              <w:t>.punkts)</w:t>
            </w:r>
            <w:r w:rsidR="008A38A0" w:rsidRPr="008A38A0">
              <w:rPr>
                <w:b w:val="0"/>
                <w:sz w:val="24"/>
              </w:rPr>
              <w:t>. Šim nolūkam tiks</w:t>
            </w:r>
            <w:r w:rsidRPr="008A38A0">
              <w:rPr>
                <w:b w:val="0"/>
                <w:sz w:val="24"/>
              </w:rPr>
              <w:t xml:space="preserve"> izveidot</w:t>
            </w:r>
            <w:r w:rsidR="008A38A0" w:rsidRPr="008A38A0">
              <w:rPr>
                <w:b w:val="0"/>
                <w:sz w:val="24"/>
              </w:rPr>
              <w:t xml:space="preserve">a </w:t>
            </w:r>
            <w:r w:rsidR="008A38A0" w:rsidRPr="008A38A0">
              <w:rPr>
                <w:b w:val="0"/>
                <w:sz w:val="24"/>
                <w:szCs w:val="28"/>
              </w:rPr>
              <w:t xml:space="preserve"> ES fondu vadības informācijas sistēmas attīstības padome, kuras sastāvā būs Finanšu ministrijas un Centrālās finanšu un līgumu aģentūras pārstāvji</w:t>
            </w:r>
            <w:r w:rsidR="00731DBF" w:rsidRPr="008A38A0">
              <w:rPr>
                <w:b w:val="0"/>
                <w:sz w:val="24"/>
                <w:szCs w:val="28"/>
              </w:rPr>
              <w:t>.</w:t>
            </w:r>
            <w:r w:rsidR="00731DBF" w:rsidRPr="008A38A0">
              <w:rPr>
                <w:b w:val="0"/>
                <w:sz w:val="22"/>
                <w:szCs w:val="24"/>
              </w:rPr>
              <w:t xml:space="preserve"> </w:t>
            </w:r>
            <w:r w:rsidR="00667E7D" w:rsidRPr="008A38A0">
              <w:rPr>
                <w:b w:val="0"/>
                <w:sz w:val="22"/>
                <w:szCs w:val="24"/>
              </w:rPr>
              <w:t xml:space="preserve"> </w:t>
            </w:r>
            <w:r w:rsidR="00731DBF" w:rsidRPr="008A38A0">
              <w:t xml:space="preserve"> </w:t>
            </w:r>
            <w:r w:rsidR="00731DBF" w:rsidRPr="008A38A0">
              <w:rPr>
                <w:b w:val="0"/>
                <w:sz w:val="24"/>
              </w:rPr>
              <w:t>Padomes galvenie uzdevumi:</w:t>
            </w:r>
          </w:p>
          <w:p w14:paraId="650AABD1" w14:textId="136E6634" w:rsidR="00C72DA0" w:rsidRPr="008A38A0" w:rsidRDefault="00C72DA0" w:rsidP="00F13596">
            <w:pPr>
              <w:pStyle w:val="Heading3"/>
              <w:numPr>
                <w:ilvl w:val="1"/>
                <w:numId w:val="22"/>
              </w:numPr>
              <w:shd w:val="clear" w:color="auto" w:fill="FFFFFF"/>
              <w:tabs>
                <w:tab w:val="left" w:pos="950"/>
              </w:tabs>
              <w:spacing w:before="0" w:beforeAutospacing="0" w:after="120" w:afterAutospacing="0"/>
              <w:ind w:left="383" w:right="57" w:hanging="23"/>
              <w:jc w:val="both"/>
              <w:rPr>
                <w:b w:val="0"/>
                <w:sz w:val="24"/>
                <w:szCs w:val="24"/>
              </w:rPr>
            </w:pPr>
            <w:r w:rsidRPr="008A38A0">
              <w:rPr>
                <w:b w:val="0"/>
                <w:sz w:val="24"/>
                <w:szCs w:val="24"/>
              </w:rPr>
              <w:t>sistēmas izstrādes projekta uzraudzība;</w:t>
            </w:r>
          </w:p>
          <w:p w14:paraId="191F862C" w14:textId="5CAC5C3F" w:rsidR="00731DBF" w:rsidRDefault="00C72DA0" w:rsidP="00F13596">
            <w:pPr>
              <w:pStyle w:val="Heading3"/>
              <w:numPr>
                <w:ilvl w:val="1"/>
                <w:numId w:val="22"/>
              </w:numPr>
              <w:shd w:val="clear" w:color="auto" w:fill="FFFFFF"/>
              <w:tabs>
                <w:tab w:val="left" w:pos="950"/>
              </w:tabs>
              <w:spacing w:before="0" w:beforeAutospacing="0" w:after="120" w:afterAutospacing="0"/>
              <w:ind w:left="383" w:right="57" w:hanging="23"/>
              <w:jc w:val="both"/>
              <w:rPr>
                <w:b w:val="0"/>
                <w:sz w:val="24"/>
                <w:szCs w:val="24"/>
              </w:rPr>
            </w:pPr>
            <w:r w:rsidRPr="008A38A0">
              <w:rPr>
                <w:b w:val="0"/>
                <w:sz w:val="24"/>
                <w:szCs w:val="24"/>
              </w:rPr>
              <w:t>s</w:t>
            </w:r>
            <w:r w:rsidR="00731DBF" w:rsidRPr="008A38A0">
              <w:rPr>
                <w:b w:val="0"/>
                <w:sz w:val="24"/>
                <w:szCs w:val="24"/>
              </w:rPr>
              <w:t xml:space="preserve">aturiskā </w:t>
            </w:r>
            <w:r w:rsidR="00731DBF">
              <w:rPr>
                <w:b w:val="0"/>
                <w:sz w:val="24"/>
                <w:szCs w:val="24"/>
              </w:rPr>
              <w:t>un finansiālā uzraudzība par sistēmas attīstību;</w:t>
            </w:r>
          </w:p>
          <w:p w14:paraId="5B5BBB38" w14:textId="6486180C" w:rsidR="00C72DA0" w:rsidRDefault="00C72DA0" w:rsidP="00F13596">
            <w:pPr>
              <w:pStyle w:val="Heading3"/>
              <w:numPr>
                <w:ilvl w:val="1"/>
                <w:numId w:val="22"/>
              </w:numPr>
              <w:shd w:val="clear" w:color="auto" w:fill="FFFFFF"/>
              <w:tabs>
                <w:tab w:val="left" w:pos="950"/>
              </w:tabs>
              <w:spacing w:before="0" w:beforeAutospacing="0" w:after="120" w:afterAutospacing="0"/>
              <w:ind w:left="383" w:right="57" w:hanging="23"/>
              <w:jc w:val="both"/>
              <w:rPr>
                <w:b w:val="0"/>
                <w:sz w:val="24"/>
                <w:szCs w:val="24"/>
              </w:rPr>
            </w:pPr>
            <w:r>
              <w:rPr>
                <w:b w:val="0"/>
                <w:sz w:val="24"/>
                <w:szCs w:val="24"/>
              </w:rPr>
              <w:t xml:space="preserve">ekspertu darba grupas priekšlikumu izvērtēšana un </w:t>
            </w:r>
            <w:proofErr w:type="spellStart"/>
            <w:r>
              <w:rPr>
                <w:b w:val="0"/>
                <w:sz w:val="24"/>
                <w:szCs w:val="24"/>
              </w:rPr>
              <w:t>prioritizēšana</w:t>
            </w:r>
            <w:proofErr w:type="spellEnd"/>
            <w:r>
              <w:rPr>
                <w:b w:val="0"/>
                <w:sz w:val="24"/>
                <w:szCs w:val="24"/>
              </w:rPr>
              <w:t>.</w:t>
            </w:r>
          </w:p>
          <w:p w14:paraId="2AE503D7" w14:textId="3C3C9696" w:rsidR="00667E7D" w:rsidRDefault="008A38A0" w:rsidP="00C72DA0">
            <w:pPr>
              <w:pStyle w:val="Heading3"/>
              <w:shd w:val="clear" w:color="auto" w:fill="FFFFFF"/>
              <w:spacing w:before="0" w:beforeAutospacing="0" w:after="120" w:afterAutospacing="0"/>
              <w:ind w:left="100" w:right="57"/>
              <w:jc w:val="both"/>
              <w:rPr>
                <w:b w:val="0"/>
                <w:sz w:val="24"/>
                <w:szCs w:val="24"/>
              </w:rPr>
            </w:pPr>
            <w:r>
              <w:rPr>
                <w:b w:val="0"/>
                <w:sz w:val="24"/>
                <w:szCs w:val="24"/>
              </w:rPr>
              <w:t>Savukārt e</w:t>
            </w:r>
            <w:r w:rsidR="00C72DA0">
              <w:rPr>
                <w:b w:val="0"/>
                <w:sz w:val="24"/>
                <w:szCs w:val="24"/>
              </w:rPr>
              <w:t>kspertu darba grupā sastāvā būs vadošās iestādes, atbildīgo iestāžu un sadarbības iestādes pārstāvji, kuru uzdevums būs definēt sistēmas specifiskās prasības (t.sk. lietderības), kā arī sagatavot priekšlikumus ES fondu vadības informācijas sistēmas attīstības padomei.</w:t>
            </w:r>
          </w:p>
          <w:p w14:paraId="1013EEED" w14:textId="3163CADD" w:rsidR="009B00CA" w:rsidRPr="0090638D"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90638D">
              <w:rPr>
                <w:b w:val="0"/>
                <w:sz w:val="24"/>
                <w:szCs w:val="24"/>
              </w:rPr>
              <w:t>Atšķirībā no ES fondu vadības likuma, likumprojektā ir skaidri nodalītas atbildīgās un sadarbības iestādes tiesības un pienākumi, vairs neparedzot atbildīgajām iestādēm tiesības daļu no tās funkcijām deleģēt sadarbības iestādei.</w:t>
            </w:r>
          </w:p>
          <w:p w14:paraId="5C6A5E9E" w14:textId="5D98E6E9" w:rsidR="009B00CA" w:rsidRDefault="009B00CA" w:rsidP="00F57E68">
            <w:pPr>
              <w:pStyle w:val="Heading3"/>
              <w:numPr>
                <w:ilvl w:val="0"/>
                <w:numId w:val="22"/>
              </w:numPr>
              <w:shd w:val="clear" w:color="auto" w:fill="FFFFFF"/>
              <w:spacing w:before="0" w:beforeAutospacing="0" w:after="0" w:afterAutospacing="0"/>
              <w:ind w:left="57" w:right="57" w:firstLine="284"/>
              <w:jc w:val="both"/>
              <w:rPr>
                <w:b w:val="0"/>
                <w:sz w:val="24"/>
                <w:szCs w:val="24"/>
              </w:rPr>
            </w:pPr>
            <w:r w:rsidRPr="0090638D">
              <w:rPr>
                <w:b w:val="0"/>
                <w:sz w:val="24"/>
                <w:szCs w:val="24"/>
              </w:rPr>
              <w:t>Atbildīgās iestādes kompetencē ir funkcijas, kas saistītas ar nozares politikas izstrādi un tās īstenošanas uzraudzību</w:t>
            </w:r>
            <w:r w:rsidR="00E4130D">
              <w:rPr>
                <w:b w:val="0"/>
                <w:sz w:val="24"/>
                <w:szCs w:val="24"/>
              </w:rPr>
              <w:t xml:space="preserve"> (likumprojekta </w:t>
            </w:r>
            <w:r w:rsidR="00E4130D" w:rsidRPr="008A38A0">
              <w:rPr>
                <w:b w:val="0"/>
                <w:sz w:val="24"/>
                <w:szCs w:val="24"/>
              </w:rPr>
              <w:t>1</w:t>
            </w:r>
            <w:r w:rsidR="008A38A0" w:rsidRPr="008A38A0">
              <w:rPr>
                <w:b w:val="0"/>
                <w:sz w:val="24"/>
                <w:szCs w:val="24"/>
              </w:rPr>
              <w:t>1</w:t>
            </w:r>
            <w:r w:rsidR="00E4130D" w:rsidRPr="008A38A0">
              <w:rPr>
                <w:b w:val="0"/>
                <w:sz w:val="24"/>
                <w:szCs w:val="24"/>
              </w:rPr>
              <w:t>.pants</w:t>
            </w:r>
            <w:r w:rsidR="00E4130D">
              <w:rPr>
                <w:b w:val="0"/>
                <w:sz w:val="24"/>
                <w:szCs w:val="24"/>
              </w:rPr>
              <w:t>)</w:t>
            </w:r>
            <w:r w:rsidRPr="0090638D">
              <w:rPr>
                <w:b w:val="0"/>
                <w:sz w:val="24"/>
                <w:szCs w:val="24"/>
              </w:rPr>
              <w:t>:</w:t>
            </w:r>
          </w:p>
          <w:p w14:paraId="2BBEC503" w14:textId="43AE4B69" w:rsidR="0090638D" w:rsidRPr="00474EEF" w:rsidRDefault="0090638D" w:rsidP="00F13596">
            <w:pPr>
              <w:pStyle w:val="Heading3"/>
              <w:numPr>
                <w:ilvl w:val="1"/>
                <w:numId w:val="22"/>
              </w:numPr>
              <w:shd w:val="clear" w:color="auto" w:fill="FFFFFF"/>
              <w:tabs>
                <w:tab w:val="left" w:pos="950"/>
              </w:tabs>
              <w:spacing w:before="0" w:beforeAutospacing="0" w:after="120" w:afterAutospacing="0"/>
              <w:ind w:left="383" w:right="57" w:firstLine="0"/>
              <w:jc w:val="both"/>
              <w:rPr>
                <w:b w:val="0"/>
                <w:sz w:val="24"/>
                <w:szCs w:val="24"/>
              </w:rPr>
            </w:pPr>
            <w:r w:rsidRPr="00474EEF">
              <w:rPr>
                <w:b w:val="0"/>
                <w:sz w:val="24"/>
                <w:szCs w:val="24"/>
              </w:rPr>
              <w:t xml:space="preserve">izstrādāt MK noteikumu projektus par specifisko atbalsta mērķu ieviešanu, projektu iesniegumu vērtēšanas kritērijus un to </w:t>
            </w:r>
            <w:r w:rsidR="0067322B">
              <w:rPr>
                <w:b w:val="0"/>
                <w:sz w:val="24"/>
                <w:szCs w:val="24"/>
              </w:rPr>
              <w:t>piemērošanas metodiku</w:t>
            </w:r>
            <w:r w:rsidRPr="00474EEF">
              <w:rPr>
                <w:b w:val="0"/>
                <w:sz w:val="24"/>
                <w:szCs w:val="24"/>
              </w:rPr>
              <w:t>;</w:t>
            </w:r>
          </w:p>
          <w:p w14:paraId="0E483506" w14:textId="55C04F75" w:rsidR="0090638D" w:rsidRPr="00474EEF" w:rsidRDefault="0090638D" w:rsidP="00F13596">
            <w:pPr>
              <w:pStyle w:val="Heading3"/>
              <w:numPr>
                <w:ilvl w:val="1"/>
                <w:numId w:val="22"/>
              </w:numPr>
              <w:shd w:val="clear" w:color="auto" w:fill="FFFFFF"/>
              <w:tabs>
                <w:tab w:val="left" w:pos="950"/>
              </w:tabs>
              <w:spacing w:before="0" w:beforeAutospacing="0" w:after="120" w:afterAutospacing="0"/>
              <w:ind w:left="383" w:right="57" w:firstLine="0"/>
              <w:jc w:val="both"/>
              <w:rPr>
                <w:b w:val="0"/>
                <w:sz w:val="24"/>
                <w:szCs w:val="24"/>
              </w:rPr>
            </w:pPr>
            <w:r w:rsidRPr="00474EEF">
              <w:rPr>
                <w:b w:val="0"/>
                <w:sz w:val="24"/>
                <w:szCs w:val="24"/>
              </w:rPr>
              <w:t>nodrošināt specifiskā atbalsta mērķa rezultāt</w:t>
            </w:r>
            <w:r w:rsidR="0067322B">
              <w:rPr>
                <w:b w:val="0"/>
                <w:sz w:val="24"/>
                <w:szCs w:val="24"/>
              </w:rPr>
              <w:t>u</w:t>
            </w:r>
            <w:r w:rsidR="002A470E">
              <w:rPr>
                <w:b w:val="0"/>
                <w:sz w:val="24"/>
                <w:szCs w:val="24"/>
              </w:rPr>
              <w:t xml:space="preserve"> sasniegšanu</w:t>
            </w:r>
            <w:r w:rsidRPr="00474EEF">
              <w:rPr>
                <w:b w:val="0"/>
                <w:sz w:val="24"/>
                <w:szCs w:val="24"/>
              </w:rPr>
              <w:t xml:space="preserve">, </w:t>
            </w:r>
            <w:r w:rsidR="0067322B">
              <w:rPr>
                <w:b w:val="0"/>
                <w:sz w:val="24"/>
                <w:szCs w:val="24"/>
              </w:rPr>
              <w:t xml:space="preserve">tai skaitā </w:t>
            </w:r>
            <w:r w:rsidRPr="00474EEF">
              <w:rPr>
                <w:b w:val="0"/>
                <w:sz w:val="24"/>
                <w:szCs w:val="24"/>
              </w:rPr>
              <w:t xml:space="preserve">iznākuma un </w:t>
            </w:r>
            <w:r w:rsidR="0067322B">
              <w:rPr>
                <w:b w:val="0"/>
                <w:sz w:val="24"/>
                <w:szCs w:val="24"/>
              </w:rPr>
              <w:t>rezultāta</w:t>
            </w:r>
            <w:r w:rsidR="0067322B" w:rsidRPr="00474EEF">
              <w:rPr>
                <w:b w:val="0"/>
                <w:sz w:val="24"/>
                <w:szCs w:val="24"/>
              </w:rPr>
              <w:t xml:space="preserve"> </w:t>
            </w:r>
            <w:r w:rsidRPr="00474EEF">
              <w:rPr>
                <w:b w:val="0"/>
                <w:sz w:val="24"/>
                <w:szCs w:val="24"/>
              </w:rPr>
              <w:t>rādītāju sasniegšan</w:t>
            </w:r>
            <w:r w:rsidR="002A470E">
              <w:rPr>
                <w:b w:val="0"/>
                <w:sz w:val="24"/>
                <w:szCs w:val="24"/>
              </w:rPr>
              <w:t>as uzraudzību</w:t>
            </w:r>
            <w:r w:rsidRPr="00474EEF">
              <w:rPr>
                <w:b w:val="0"/>
                <w:sz w:val="24"/>
                <w:szCs w:val="24"/>
              </w:rPr>
              <w:t>;</w:t>
            </w:r>
          </w:p>
          <w:p w14:paraId="7B2569ED" w14:textId="065C2226" w:rsidR="0090638D" w:rsidRPr="00474EEF" w:rsidRDefault="0090638D" w:rsidP="00F13596">
            <w:pPr>
              <w:pStyle w:val="Heading3"/>
              <w:numPr>
                <w:ilvl w:val="1"/>
                <w:numId w:val="22"/>
              </w:numPr>
              <w:shd w:val="clear" w:color="auto" w:fill="FFFFFF"/>
              <w:tabs>
                <w:tab w:val="left" w:pos="950"/>
              </w:tabs>
              <w:spacing w:before="0" w:beforeAutospacing="0" w:after="120" w:afterAutospacing="0"/>
              <w:ind w:left="383" w:right="57" w:firstLine="0"/>
              <w:jc w:val="both"/>
              <w:rPr>
                <w:b w:val="0"/>
                <w:sz w:val="24"/>
                <w:szCs w:val="24"/>
              </w:rPr>
            </w:pPr>
            <w:r w:rsidRPr="00474EEF">
              <w:rPr>
                <w:b w:val="0"/>
                <w:sz w:val="24"/>
                <w:szCs w:val="24"/>
              </w:rPr>
              <w:t>izstrādāt un iesniegt Finanšu ministrijā valsts atbalsta programmas;</w:t>
            </w:r>
          </w:p>
          <w:p w14:paraId="64D5AB97" w14:textId="3D005F63" w:rsidR="0090638D" w:rsidRPr="00474EEF" w:rsidRDefault="0090638D" w:rsidP="00F13596">
            <w:pPr>
              <w:pStyle w:val="Heading3"/>
              <w:numPr>
                <w:ilvl w:val="1"/>
                <w:numId w:val="22"/>
              </w:numPr>
              <w:shd w:val="clear" w:color="auto" w:fill="FFFFFF"/>
              <w:tabs>
                <w:tab w:val="left" w:pos="950"/>
              </w:tabs>
              <w:spacing w:before="0" w:beforeAutospacing="0" w:after="120" w:afterAutospacing="0"/>
              <w:ind w:left="383" w:right="57" w:firstLine="0"/>
              <w:jc w:val="both"/>
              <w:rPr>
                <w:b w:val="0"/>
                <w:sz w:val="24"/>
                <w:szCs w:val="24"/>
              </w:rPr>
            </w:pPr>
            <w:r w:rsidRPr="00474EEF">
              <w:rPr>
                <w:b w:val="0"/>
                <w:sz w:val="24"/>
                <w:szCs w:val="24"/>
              </w:rPr>
              <w:t>ja nepieciešams, piedalīties sadarbības iestādes veiktajās projektu īstenošanas un tajos sasniegto rezultātu pārbaudēs;</w:t>
            </w:r>
          </w:p>
          <w:p w14:paraId="7D2652F2" w14:textId="06DD1D9D" w:rsidR="009B00CA" w:rsidRPr="00474EEF" w:rsidRDefault="0090638D" w:rsidP="00F13596">
            <w:pPr>
              <w:pStyle w:val="Heading3"/>
              <w:numPr>
                <w:ilvl w:val="1"/>
                <w:numId w:val="22"/>
              </w:numPr>
              <w:shd w:val="clear" w:color="auto" w:fill="FFFFFF"/>
              <w:tabs>
                <w:tab w:val="left" w:pos="950"/>
              </w:tabs>
              <w:spacing w:before="0" w:beforeAutospacing="0" w:after="120" w:afterAutospacing="0"/>
              <w:ind w:left="383" w:right="57" w:firstLine="0"/>
              <w:jc w:val="both"/>
              <w:rPr>
                <w:b w:val="0"/>
                <w:sz w:val="24"/>
                <w:szCs w:val="24"/>
              </w:rPr>
            </w:pPr>
            <w:r w:rsidRPr="00474EEF">
              <w:rPr>
                <w:b w:val="0"/>
                <w:sz w:val="24"/>
                <w:szCs w:val="24"/>
              </w:rPr>
              <w:lastRenderedPageBreak/>
              <w:t>citas likumprojektā noteiktās funkcijas.</w:t>
            </w:r>
          </w:p>
          <w:p w14:paraId="3F201CD5" w14:textId="0B918F0A" w:rsidR="009B00CA" w:rsidRPr="00474EEF" w:rsidRDefault="009B00CA" w:rsidP="00F57E68">
            <w:pPr>
              <w:pStyle w:val="Heading3"/>
              <w:numPr>
                <w:ilvl w:val="0"/>
                <w:numId w:val="22"/>
              </w:numPr>
              <w:shd w:val="clear" w:color="auto" w:fill="FFFFFF"/>
              <w:tabs>
                <w:tab w:val="left" w:pos="852"/>
              </w:tabs>
              <w:spacing w:before="0" w:beforeAutospacing="0" w:after="0" w:afterAutospacing="0"/>
              <w:ind w:left="57" w:right="57" w:firstLine="283"/>
              <w:jc w:val="both"/>
              <w:rPr>
                <w:b w:val="0"/>
                <w:sz w:val="24"/>
                <w:szCs w:val="24"/>
              </w:rPr>
            </w:pPr>
            <w:r w:rsidRPr="00474EEF">
              <w:rPr>
                <w:b w:val="0"/>
                <w:sz w:val="24"/>
                <w:szCs w:val="24"/>
              </w:rPr>
              <w:t>Savukārt sadarbības iestādes kompetencē ir darbs ar projektu iesniedzējiem un finansējuma saņēmējiem</w:t>
            </w:r>
            <w:r w:rsidR="00E4130D">
              <w:rPr>
                <w:b w:val="0"/>
                <w:sz w:val="24"/>
                <w:szCs w:val="24"/>
              </w:rPr>
              <w:t xml:space="preserve"> (likumprojekta </w:t>
            </w:r>
            <w:r w:rsidR="00E4130D" w:rsidRPr="008A38A0">
              <w:rPr>
                <w:b w:val="0"/>
                <w:sz w:val="24"/>
                <w:szCs w:val="24"/>
              </w:rPr>
              <w:t>1</w:t>
            </w:r>
            <w:r w:rsidR="008A38A0" w:rsidRPr="008A38A0">
              <w:rPr>
                <w:b w:val="0"/>
                <w:sz w:val="24"/>
                <w:szCs w:val="24"/>
              </w:rPr>
              <w:t>2</w:t>
            </w:r>
            <w:r w:rsidR="00E4130D" w:rsidRPr="008A38A0">
              <w:rPr>
                <w:b w:val="0"/>
                <w:sz w:val="24"/>
                <w:szCs w:val="24"/>
              </w:rPr>
              <w:t>.pants</w:t>
            </w:r>
            <w:r w:rsidR="00E4130D">
              <w:rPr>
                <w:b w:val="0"/>
                <w:sz w:val="24"/>
                <w:szCs w:val="24"/>
              </w:rPr>
              <w:t>)</w:t>
            </w:r>
            <w:r w:rsidRPr="00474EEF">
              <w:rPr>
                <w:b w:val="0"/>
                <w:sz w:val="24"/>
                <w:szCs w:val="24"/>
              </w:rPr>
              <w:t>:</w:t>
            </w:r>
          </w:p>
          <w:p w14:paraId="4E1DFD04" w14:textId="0C99D51D" w:rsidR="00474EEF"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veikt projektu iesniegumu atlasi;</w:t>
            </w:r>
          </w:p>
          <w:p w14:paraId="01F5085B" w14:textId="5CF2B9EC" w:rsidR="00474EEF"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 xml:space="preserve">slēgt </w:t>
            </w:r>
            <w:r w:rsidR="00F7764D">
              <w:rPr>
                <w:b w:val="0"/>
                <w:sz w:val="24"/>
                <w:szCs w:val="24"/>
              </w:rPr>
              <w:t xml:space="preserve">civiltiesiskus </w:t>
            </w:r>
            <w:r w:rsidRPr="00474EEF">
              <w:rPr>
                <w:b w:val="0"/>
                <w:sz w:val="24"/>
                <w:szCs w:val="24"/>
              </w:rPr>
              <w:t>līgumus un vienošanās ar finansējuma saņēmējiem un nodrošināt projektu īstenošanas uzraudzību;</w:t>
            </w:r>
          </w:p>
          <w:p w14:paraId="7F1365EE" w14:textId="5B905DB0" w:rsidR="00474EEF"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 xml:space="preserve">veikt projektu iepirkuma dokumentācijas un iepirkuma procedūras </w:t>
            </w:r>
            <w:proofErr w:type="spellStart"/>
            <w:r w:rsidRPr="00474EEF">
              <w:rPr>
                <w:b w:val="0"/>
                <w:sz w:val="24"/>
                <w:szCs w:val="24"/>
              </w:rPr>
              <w:t>pirmspārbaudi</w:t>
            </w:r>
            <w:proofErr w:type="spellEnd"/>
            <w:r w:rsidRPr="00474EEF">
              <w:rPr>
                <w:b w:val="0"/>
                <w:sz w:val="24"/>
                <w:szCs w:val="24"/>
              </w:rPr>
              <w:t>;</w:t>
            </w:r>
          </w:p>
          <w:p w14:paraId="43248552" w14:textId="738EE5B5" w:rsidR="00474EEF"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sniegt sabiedrībai informāciju, kas ir saistīta ar projektu īstenošanu</w:t>
            </w:r>
            <w:r w:rsidR="0067322B">
              <w:rPr>
                <w:b w:val="0"/>
                <w:sz w:val="24"/>
                <w:szCs w:val="24"/>
              </w:rPr>
              <w:t>, konsultēt projektu iesniedzējus un finansējuma saņēmējus</w:t>
            </w:r>
            <w:r w:rsidRPr="00474EEF">
              <w:rPr>
                <w:b w:val="0"/>
                <w:sz w:val="24"/>
                <w:szCs w:val="24"/>
              </w:rPr>
              <w:t>;</w:t>
            </w:r>
          </w:p>
          <w:p w14:paraId="3A3020C3" w14:textId="0E328F9B" w:rsidR="00474EEF"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izveidot ES fondu vadības  informācijas sistēmu un ievadīt tajā datus par projektiem;</w:t>
            </w:r>
          </w:p>
          <w:p w14:paraId="75A5025C" w14:textId="01DC3AAE" w:rsidR="009B00CA" w:rsidRPr="00474EEF" w:rsidRDefault="00474EEF" w:rsidP="00F13596">
            <w:pPr>
              <w:pStyle w:val="Heading3"/>
              <w:numPr>
                <w:ilvl w:val="1"/>
                <w:numId w:val="22"/>
              </w:numPr>
              <w:shd w:val="clear" w:color="auto" w:fill="FFFFFF"/>
              <w:tabs>
                <w:tab w:val="left" w:pos="852"/>
                <w:tab w:val="left" w:pos="950"/>
              </w:tabs>
              <w:spacing w:before="0" w:beforeAutospacing="0" w:after="120" w:afterAutospacing="0"/>
              <w:ind w:left="383" w:right="57" w:firstLine="0"/>
              <w:jc w:val="both"/>
              <w:rPr>
                <w:b w:val="0"/>
                <w:sz w:val="24"/>
                <w:szCs w:val="24"/>
              </w:rPr>
            </w:pPr>
            <w:r w:rsidRPr="00474EEF">
              <w:rPr>
                <w:b w:val="0"/>
                <w:sz w:val="24"/>
                <w:szCs w:val="24"/>
              </w:rPr>
              <w:t>citas likumprojektā noteiktās funkcijas.</w:t>
            </w:r>
          </w:p>
          <w:p w14:paraId="03D5B922" w14:textId="7D7556A9" w:rsidR="00F447CF" w:rsidRPr="00F447CF" w:rsidRDefault="009B00CA" w:rsidP="00C41AC2">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474EEF">
              <w:rPr>
                <w:b w:val="0"/>
                <w:sz w:val="24"/>
                <w:szCs w:val="24"/>
              </w:rPr>
              <w:t>Papildus likumprojektā noteikts, ka atbildīgās iestādes slēdz starpresoru vienošanos</w:t>
            </w:r>
            <w:r w:rsidR="006358E7">
              <w:rPr>
                <w:b w:val="0"/>
                <w:sz w:val="24"/>
                <w:szCs w:val="24"/>
              </w:rPr>
              <w:t xml:space="preserve"> ar sadarbības iestādi</w:t>
            </w:r>
            <w:r w:rsidRPr="00474EEF">
              <w:rPr>
                <w:b w:val="0"/>
                <w:sz w:val="24"/>
                <w:szCs w:val="24"/>
              </w:rPr>
              <w:t xml:space="preserve"> par sadarbības kārtīb</w:t>
            </w:r>
            <w:r w:rsidR="00E52FB5">
              <w:rPr>
                <w:b w:val="0"/>
                <w:sz w:val="24"/>
                <w:szCs w:val="24"/>
              </w:rPr>
              <w:t>u</w:t>
            </w:r>
            <w:r w:rsidR="009F6D16">
              <w:rPr>
                <w:b w:val="0"/>
                <w:sz w:val="24"/>
                <w:szCs w:val="24"/>
              </w:rPr>
              <w:t xml:space="preserve">, kur </w:t>
            </w:r>
            <w:r w:rsidR="00A737C2">
              <w:rPr>
                <w:b w:val="0"/>
                <w:sz w:val="24"/>
                <w:szCs w:val="24"/>
              </w:rPr>
              <w:t>nosaka</w:t>
            </w:r>
            <w:r w:rsidR="009F6D16">
              <w:rPr>
                <w:b w:val="0"/>
                <w:sz w:val="24"/>
                <w:szCs w:val="24"/>
              </w:rPr>
              <w:t xml:space="preserve"> iestāžu tiesības un pienākumus</w:t>
            </w:r>
            <w:r w:rsidR="00E84B9F">
              <w:rPr>
                <w:b w:val="0"/>
                <w:sz w:val="24"/>
                <w:szCs w:val="24"/>
              </w:rPr>
              <w:t xml:space="preserve"> projektu iesniegumu atlases un projektu īstenošanas uzraudzības procesā</w:t>
            </w:r>
            <w:r w:rsidR="009F6D16">
              <w:rPr>
                <w:b w:val="0"/>
                <w:sz w:val="24"/>
                <w:szCs w:val="24"/>
              </w:rPr>
              <w:t>,</w:t>
            </w:r>
            <w:r w:rsidR="00E84B9F">
              <w:rPr>
                <w:b w:val="0"/>
                <w:sz w:val="24"/>
                <w:szCs w:val="24"/>
              </w:rPr>
              <w:t xml:space="preserve"> ES fondu vadības informācijas sistēmas izmantošanas nosacījumus,</w:t>
            </w:r>
            <w:r w:rsidR="009F6D16">
              <w:rPr>
                <w:b w:val="0"/>
                <w:sz w:val="24"/>
                <w:szCs w:val="24"/>
              </w:rPr>
              <w:t xml:space="preserve"> informācijas apmaiņas </w:t>
            </w:r>
            <w:r w:rsidR="00E84B9F">
              <w:rPr>
                <w:b w:val="0"/>
                <w:sz w:val="24"/>
                <w:szCs w:val="24"/>
              </w:rPr>
              <w:t>kārtību</w:t>
            </w:r>
            <w:r w:rsidR="009F6D16">
              <w:rPr>
                <w:b w:val="0"/>
                <w:sz w:val="24"/>
                <w:szCs w:val="24"/>
              </w:rPr>
              <w:t>, strīdu risināšanas un grozījumu veikšanas kārtību, kā arī citus ar starpresoru vienošanās izpildi saistītos nosacījumus.</w:t>
            </w:r>
            <w:r w:rsidRPr="00474EEF">
              <w:rPr>
                <w:b w:val="0"/>
                <w:sz w:val="24"/>
                <w:szCs w:val="24"/>
              </w:rPr>
              <w:t xml:space="preserve"> Paredzēts, ka </w:t>
            </w:r>
            <w:r w:rsidR="005D5CB2">
              <w:rPr>
                <w:b w:val="0"/>
                <w:sz w:val="24"/>
                <w:szCs w:val="24"/>
              </w:rPr>
              <w:t>tiks</w:t>
            </w:r>
            <w:r w:rsidR="005D5CB2" w:rsidRPr="00474EEF">
              <w:rPr>
                <w:b w:val="0"/>
                <w:sz w:val="24"/>
                <w:szCs w:val="24"/>
              </w:rPr>
              <w:t xml:space="preserve"> </w:t>
            </w:r>
            <w:r w:rsidRPr="00474EEF">
              <w:rPr>
                <w:b w:val="0"/>
                <w:sz w:val="24"/>
                <w:szCs w:val="24"/>
              </w:rPr>
              <w:t>izstrādā</w:t>
            </w:r>
            <w:r w:rsidR="005D5CB2">
              <w:rPr>
                <w:b w:val="0"/>
                <w:sz w:val="24"/>
                <w:szCs w:val="24"/>
              </w:rPr>
              <w:t>t</w:t>
            </w:r>
            <w:r w:rsidRPr="00474EEF">
              <w:rPr>
                <w:b w:val="0"/>
                <w:sz w:val="24"/>
                <w:szCs w:val="24"/>
              </w:rPr>
              <w:t>s starpresoru vienošanās standartvariants, kurā būs iespējams iekļaut arī specifiskus jautājumus. Visas  sadarbības iestādes un atbildīgo iestāžu starpresoru vienošanās tiks</w:t>
            </w:r>
            <w:r w:rsidR="007F047A">
              <w:rPr>
                <w:b w:val="0"/>
                <w:sz w:val="24"/>
                <w:szCs w:val="24"/>
              </w:rPr>
              <w:t xml:space="preserve"> saskaņotas ar vadošo iestādi.</w:t>
            </w:r>
            <w:r w:rsidR="005A5A37">
              <w:rPr>
                <w:b w:val="0"/>
                <w:sz w:val="24"/>
                <w:szCs w:val="24"/>
              </w:rPr>
              <w:t xml:space="preserve"> </w:t>
            </w:r>
            <w:r w:rsidR="005A5A37">
              <w:rPr>
                <w:sz w:val="24"/>
                <w:szCs w:val="24"/>
              </w:rPr>
              <w:t xml:space="preserve"> </w:t>
            </w:r>
            <w:r w:rsidR="00D1554D">
              <w:rPr>
                <w:b w:val="0"/>
                <w:sz w:val="24"/>
                <w:szCs w:val="24"/>
              </w:rPr>
              <w:t xml:space="preserve">Bez tam </w:t>
            </w:r>
            <w:r w:rsidR="00D1554D" w:rsidRPr="005D5CB2">
              <w:rPr>
                <w:b w:val="0"/>
                <w:sz w:val="24"/>
                <w:szCs w:val="24"/>
              </w:rPr>
              <w:t>atbildīg</w:t>
            </w:r>
            <w:r w:rsidR="005D5CB2" w:rsidRPr="005D5CB2">
              <w:rPr>
                <w:b w:val="0"/>
                <w:sz w:val="24"/>
                <w:szCs w:val="24"/>
              </w:rPr>
              <w:t>ā</w:t>
            </w:r>
            <w:r w:rsidR="00D1554D" w:rsidRPr="005D5CB2">
              <w:rPr>
                <w:b w:val="0"/>
                <w:sz w:val="24"/>
                <w:szCs w:val="24"/>
              </w:rPr>
              <w:t xml:space="preserve"> iestād</w:t>
            </w:r>
            <w:r w:rsidR="00CE5DBE" w:rsidRPr="005D5CB2">
              <w:rPr>
                <w:b w:val="0"/>
                <w:sz w:val="24"/>
                <w:szCs w:val="24"/>
              </w:rPr>
              <w:t>e</w:t>
            </w:r>
            <w:r w:rsidR="00D1554D" w:rsidRPr="005D5CB2">
              <w:rPr>
                <w:b w:val="0"/>
                <w:sz w:val="24"/>
                <w:szCs w:val="24"/>
              </w:rPr>
              <w:t xml:space="preserve"> un sadarbības iestāde efektīvākai savu pienākumu izpildei</w:t>
            </w:r>
            <w:r w:rsidR="005D5CB2" w:rsidRPr="005D5CB2">
              <w:rPr>
                <w:b w:val="0"/>
                <w:sz w:val="24"/>
                <w:szCs w:val="24"/>
              </w:rPr>
              <w:t>, lai nodrošinātu projektu rezultātu novērtēšanu atbilstoši nozares specifikai,</w:t>
            </w:r>
            <w:r w:rsidR="00D1554D" w:rsidRPr="005D5CB2">
              <w:rPr>
                <w:b w:val="0"/>
                <w:sz w:val="24"/>
                <w:szCs w:val="24"/>
              </w:rPr>
              <w:t xml:space="preserve"> </w:t>
            </w:r>
            <w:r w:rsidR="005D5CB2" w:rsidRPr="005D5CB2">
              <w:rPr>
                <w:b w:val="0"/>
                <w:sz w:val="24"/>
                <w:szCs w:val="24"/>
              </w:rPr>
              <w:t xml:space="preserve">var sadarboties ar tiešās pārvaldes iestādēm, </w:t>
            </w:r>
            <w:r w:rsidR="00D1554D" w:rsidRPr="005D5CB2">
              <w:rPr>
                <w:b w:val="0"/>
                <w:sz w:val="24"/>
                <w:szCs w:val="28"/>
              </w:rPr>
              <w:t>kuru darbības joma saistīta ar plānošanas dokumentos minētajām nozarēm, piemēram</w:t>
            </w:r>
            <w:r w:rsidR="00D1554D" w:rsidRPr="00D1554D">
              <w:rPr>
                <w:b w:val="0"/>
                <w:sz w:val="24"/>
                <w:szCs w:val="28"/>
              </w:rPr>
              <w:t xml:space="preserve">, </w:t>
            </w:r>
            <w:r w:rsidR="00CE5DBE">
              <w:rPr>
                <w:b w:val="0"/>
                <w:sz w:val="24"/>
                <w:szCs w:val="28"/>
              </w:rPr>
              <w:t xml:space="preserve">no </w:t>
            </w:r>
            <w:r w:rsidR="00D1554D" w:rsidRPr="00D1554D">
              <w:rPr>
                <w:b w:val="0"/>
                <w:sz w:val="24"/>
                <w:szCs w:val="28"/>
              </w:rPr>
              <w:t>Latvijas Investīciju un attīstības aģentūras, Valsts izglītības attīstības aģentūras.</w:t>
            </w:r>
            <w:r w:rsidR="005D5CB2">
              <w:rPr>
                <w:b w:val="0"/>
                <w:sz w:val="24"/>
                <w:szCs w:val="28"/>
              </w:rPr>
              <w:t xml:space="preserve"> Sadarbības kārtība ar minētajā iestādēm, tai skaitā to tiesības un pienākumi tiks noteikti Ministru kabineta noteikumos par specifiskā atbalsta mērķa īstenošanu</w:t>
            </w:r>
            <w:r w:rsidR="005D5CB2" w:rsidRPr="00126271">
              <w:rPr>
                <w:b w:val="0"/>
                <w:sz w:val="24"/>
                <w:szCs w:val="28"/>
              </w:rPr>
              <w:t>.</w:t>
            </w:r>
            <w:r w:rsidR="00DD1016" w:rsidRPr="00126271">
              <w:rPr>
                <w:sz w:val="28"/>
                <w:szCs w:val="28"/>
              </w:rPr>
              <w:t xml:space="preserve"> </w:t>
            </w:r>
            <w:r w:rsidR="00DD1016" w:rsidRPr="00126271">
              <w:rPr>
                <w:b w:val="0"/>
                <w:sz w:val="24"/>
                <w:szCs w:val="28"/>
              </w:rPr>
              <w:t xml:space="preserve"> </w:t>
            </w:r>
            <w:r w:rsidR="00FE5D69" w:rsidRPr="00126271">
              <w:rPr>
                <w:b w:val="0"/>
                <w:sz w:val="24"/>
                <w:szCs w:val="28"/>
              </w:rPr>
              <w:t>Minēto iestā</w:t>
            </w:r>
            <w:r w:rsidR="00283435" w:rsidRPr="00126271">
              <w:rPr>
                <w:b w:val="0"/>
                <w:sz w:val="24"/>
                <w:szCs w:val="28"/>
              </w:rPr>
              <w:t>žu iesaisti ar ES fondu ieviešanu saistīto uzdevumu izpildē plānots finansēt no ES fondu tehniskās palīdzības līdzekļiem</w:t>
            </w:r>
            <w:r w:rsidR="00283435">
              <w:rPr>
                <w:b w:val="0"/>
                <w:sz w:val="24"/>
                <w:szCs w:val="28"/>
              </w:rPr>
              <w:t xml:space="preserve"> </w:t>
            </w:r>
            <w:r w:rsidR="00E4130D">
              <w:rPr>
                <w:b w:val="0"/>
                <w:sz w:val="24"/>
                <w:szCs w:val="28"/>
              </w:rPr>
              <w:t xml:space="preserve">(Likumprojekta </w:t>
            </w:r>
            <w:r w:rsidR="00E4130D" w:rsidRPr="008A38A0">
              <w:rPr>
                <w:b w:val="0"/>
                <w:sz w:val="24"/>
                <w:szCs w:val="28"/>
              </w:rPr>
              <w:t>1</w:t>
            </w:r>
            <w:r w:rsidR="008A38A0" w:rsidRPr="008A38A0">
              <w:rPr>
                <w:b w:val="0"/>
                <w:sz w:val="24"/>
                <w:szCs w:val="28"/>
              </w:rPr>
              <w:t>3</w:t>
            </w:r>
            <w:r w:rsidR="00E4130D" w:rsidRPr="008A38A0">
              <w:rPr>
                <w:b w:val="0"/>
                <w:sz w:val="24"/>
                <w:szCs w:val="28"/>
              </w:rPr>
              <w:t>.pants</w:t>
            </w:r>
            <w:r w:rsidR="00E4130D">
              <w:rPr>
                <w:b w:val="0"/>
                <w:sz w:val="24"/>
                <w:szCs w:val="28"/>
              </w:rPr>
              <w:t>)</w:t>
            </w:r>
            <w:r w:rsidR="00E4130D">
              <w:rPr>
                <w:b w:val="0"/>
                <w:vanish/>
                <w:sz w:val="24"/>
                <w:szCs w:val="28"/>
              </w:rPr>
              <w:t>punkta d) apakuta ri uz projektiem, bet ar</w:t>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r w:rsidR="00E4130D">
              <w:rPr>
                <w:b w:val="0"/>
                <w:vanish/>
                <w:sz w:val="24"/>
                <w:szCs w:val="28"/>
              </w:rPr>
              <w:pgNum/>
            </w:r>
          </w:p>
          <w:p w14:paraId="4FFA267F" w14:textId="0EA78EC8" w:rsidR="009D6789" w:rsidRPr="008A38A0" w:rsidRDefault="009D6789" w:rsidP="00D1554D">
            <w:pPr>
              <w:pStyle w:val="Heading3"/>
              <w:numPr>
                <w:ilvl w:val="0"/>
                <w:numId w:val="22"/>
              </w:numPr>
              <w:shd w:val="clear" w:color="auto" w:fill="FFFFFF"/>
              <w:spacing w:before="0" w:beforeAutospacing="0" w:after="120" w:afterAutospacing="0"/>
              <w:ind w:left="100" w:right="57" w:firstLine="283"/>
              <w:jc w:val="both"/>
              <w:rPr>
                <w:b w:val="0"/>
                <w:sz w:val="24"/>
                <w:szCs w:val="28"/>
              </w:rPr>
            </w:pPr>
            <w:r>
              <w:rPr>
                <w:b w:val="0"/>
                <w:sz w:val="24"/>
                <w:szCs w:val="28"/>
              </w:rPr>
              <w:t xml:space="preserve"> ES fondu 2014.-2020.gada plānošanas periodā ir mainī</w:t>
            </w:r>
            <w:r w:rsidR="001F4356">
              <w:rPr>
                <w:b w:val="0"/>
                <w:sz w:val="24"/>
                <w:szCs w:val="28"/>
              </w:rPr>
              <w:t>t</w:t>
            </w:r>
            <w:r>
              <w:rPr>
                <w:b w:val="0"/>
                <w:sz w:val="24"/>
                <w:szCs w:val="28"/>
              </w:rPr>
              <w:t xml:space="preserve">a projektu iesniegumu vērtēšanas kritēriju </w:t>
            </w:r>
            <w:r w:rsidR="001F4356">
              <w:rPr>
                <w:b w:val="0"/>
                <w:sz w:val="24"/>
                <w:szCs w:val="28"/>
              </w:rPr>
              <w:t xml:space="preserve">un to piemērošanas </w:t>
            </w:r>
            <w:r w:rsidR="001F4356" w:rsidRPr="00F3363B">
              <w:rPr>
                <w:b w:val="0"/>
                <w:sz w:val="24"/>
                <w:szCs w:val="28"/>
              </w:rPr>
              <w:t>metodikas</w:t>
            </w:r>
            <w:r w:rsidR="001F4356">
              <w:rPr>
                <w:b w:val="0"/>
                <w:sz w:val="24"/>
                <w:szCs w:val="28"/>
              </w:rPr>
              <w:t xml:space="preserve"> izstrādes un apstiprināšanas kārtība. Regulas Nr.1303/2013 125.panta 3.punkta a) apakšpunkts nosaka, ka vadošā iestāde izstrādā projektu </w:t>
            </w:r>
            <w:r w:rsidR="001F4356">
              <w:rPr>
                <w:b w:val="0"/>
                <w:sz w:val="24"/>
                <w:szCs w:val="28"/>
              </w:rPr>
              <w:lastRenderedPageBreak/>
              <w:t>iesniegumu atlases procedūras</w:t>
            </w:r>
            <w:r w:rsidR="00A2782D">
              <w:rPr>
                <w:b w:val="0"/>
                <w:sz w:val="24"/>
                <w:szCs w:val="28"/>
              </w:rPr>
              <w:t xml:space="preserve">, ko saskaņā ar minētās regulas </w:t>
            </w:r>
            <w:r w:rsidR="001F4356">
              <w:rPr>
                <w:b w:val="0"/>
                <w:sz w:val="24"/>
                <w:szCs w:val="28"/>
              </w:rPr>
              <w:t xml:space="preserve"> </w:t>
            </w:r>
            <w:r w:rsidR="00A2782D">
              <w:rPr>
                <w:b w:val="0"/>
                <w:sz w:val="24"/>
                <w:szCs w:val="28"/>
              </w:rPr>
              <w:t xml:space="preserve">110.panta 2.punkta a) apakšpunktu apstiprina uzraudzības komiteja. </w:t>
            </w:r>
            <w:r w:rsidR="001F4356">
              <w:rPr>
                <w:b w:val="0"/>
                <w:sz w:val="24"/>
                <w:szCs w:val="28"/>
              </w:rPr>
              <w:t xml:space="preserve">Ievērojot minēto, likumprojekta </w:t>
            </w:r>
            <w:r w:rsidR="001F4356" w:rsidRPr="008A38A0">
              <w:rPr>
                <w:b w:val="0"/>
                <w:sz w:val="24"/>
                <w:szCs w:val="28"/>
              </w:rPr>
              <w:t>1</w:t>
            </w:r>
            <w:r w:rsidR="008A38A0" w:rsidRPr="008A38A0">
              <w:rPr>
                <w:b w:val="0"/>
                <w:sz w:val="24"/>
                <w:szCs w:val="28"/>
              </w:rPr>
              <w:t>0</w:t>
            </w:r>
            <w:r w:rsidR="001F4356" w:rsidRPr="008A38A0">
              <w:rPr>
                <w:b w:val="0"/>
                <w:sz w:val="24"/>
                <w:szCs w:val="28"/>
              </w:rPr>
              <w:t xml:space="preserve">.panta </w:t>
            </w:r>
            <w:r w:rsidR="008A38A0" w:rsidRPr="008A38A0">
              <w:rPr>
                <w:b w:val="0"/>
                <w:sz w:val="24"/>
                <w:szCs w:val="28"/>
              </w:rPr>
              <w:t>otrās</w:t>
            </w:r>
            <w:r w:rsidR="001F4356" w:rsidRPr="008A38A0">
              <w:rPr>
                <w:b w:val="0"/>
                <w:sz w:val="24"/>
                <w:szCs w:val="28"/>
              </w:rPr>
              <w:t xml:space="preserve"> daļas </w:t>
            </w:r>
            <w:r w:rsidR="00A2782D" w:rsidRPr="008A38A0">
              <w:rPr>
                <w:b w:val="0"/>
                <w:sz w:val="24"/>
                <w:szCs w:val="28"/>
              </w:rPr>
              <w:t>9.punktā</w:t>
            </w:r>
            <w:r w:rsidR="00A2782D">
              <w:rPr>
                <w:b w:val="0"/>
                <w:sz w:val="24"/>
                <w:szCs w:val="28"/>
              </w:rPr>
              <w:t xml:space="preserve"> vadošajai iestādei ir noteikts pienākums izstrādāt projektu iesniegumu atlases metodiku</w:t>
            </w:r>
            <w:r w:rsidR="00A2782D" w:rsidRPr="00A2782D">
              <w:rPr>
                <w:b w:val="0"/>
                <w:sz w:val="24"/>
                <w:szCs w:val="24"/>
              </w:rPr>
              <w:t xml:space="preserve">.  </w:t>
            </w:r>
            <w:r w:rsidR="00A2782D">
              <w:rPr>
                <w:b w:val="0"/>
                <w:sz w:val="24"/>
                <w:szCs w:val="24"/>
              </w:rPr>
              <w:t>Šajā metodikā tiks</w:t>
            </w:r>
            <w:r w:rsidR="00A2782D" w:rsidRPr="00A2782D">
              <w:rPr>
                <w:b w:val="0"/>
                <w:sz w:val="24"/>
                <w:szCs w:val="24"/>
              </w:rPr>
              <w:t xml:space="preserve"> ietverts apraksts par projektu iesniegumu vērtēšanas kritēriju veidiem, izstrādi un vērtēšanas principiem, </w:t>
            </w:r>
            <w:r w:rsidR="00A2782D">
              <w:rPr>
                <w:b w:val="0"/>
                <w:sz w:val="24"/>
                <w:szCs w:val="24"/>
              </w:rPr>
              <w:t xml:space="preserve">kritērijus saraksts, kurus ieteicams iekļaut visos kritēriju komplektos, </w:t>
            </w:r>
            <w:r w:rsidR="00A2782D" w:rsidRPr="00A2782D">
              <w:rPr>
                <w:b w:val="0"/>
                <w:sz w:val="24"/>
                <w:szCs w:val="24"/>
              </w:rPr>
              <w:t>kā arī par projektu iesniegumu atlases norises principiem</w:t>
            </w:r>
            <w:r w:rsidR="00A2782D">
              <w:rPr>
                <w:b w:val="0"/>
                <w:sz w:val="24"/>
                <w:szCs w:val="24"/>
              </w:rPr>
              <w:t xml:space="preserve">. Metodiku apstiprinās uzraudzības komiteja, un tā būs saistoša vadošajai iestādei, </w:t>
            </w:r>
            <w:r w:rsidR="00D56B6D">
              <w:rPr>
                <w:b w:val="0"/>
                <w:sz w:val="24"/>
                <w:szCs w:val="24"/>
              </w:rPr>
              <w:t xml:space="preserve">atbildīgajām iestādēm un sadarbības iestādei. </w:t>
            </w:r>
            <w:r w:rsidR="00A2782D">
              <w:rPr>
                <w:b w:val="0"/>
                <w:sz w:val="24"/>
                <w:szCs w:val="24"/>
              </w:rPr>
              <w:t>Tāpat kā iepriekšējā plān</w:t>
            </w:r>
            <w:r w:rsidR="00D56B6D">
              <w:rPr>
                <w:b w:val="0"/>
                <w:sz w:val="24"/>
                <w:szCs w:val="24"/>
              </w:rPr>
              <w:t xml:space="preserve">ošanas periodā, projektu iesniegumu vērtēšanas kritērijus izstrādās atbildīgās iestādes </w:t>
            </w:r>
            <w:r w:rsidR="00D56B6D" w:rsidRPr="008A38A0">
              <w:rPr>
                <w:b w:val="0"/>
                <w:sz w:val="24"/>
                <w:szCs w:val="24"/>
              </w:rPr>
              <w:t>(likumprojekta 1</w:t>
            </w:r>
            <w:r w:rsidR="008A38A0" w:rsidRPr="008A38A0">
              <w:rPr>
                <w:b w:val="0"/>
                <w:sz w:val="24"/>
                <w:szCs w:val="24"/>
              </w:rPr>
              <w:t>1</w:t>
            </w:r>
            <w:r w:rsidR="00D56B6D" w:rsidRPr="008A38A0">
              <w:rPr>
                <w:b w:val="0"/>
                <w:sz w:val="24"/>
                <w:szCs w:val="24"/>
              </w:rPr>
              <w:t xml:space="preserve">.panta </w:t>
            </w:r>
            <w:r w:rsidR="00DD1016">
              <w:rPr>
                <w:b w:val="0"/>
                <w:sz w:val="24"/>
                <w:szCs w:val="24"/>
              </w:rPr>
              <w:t>trešās</w:t>
            </w:r>
            <w:r w:rsidR="00DD1016" w:rsidRPr="008A38A0">
              <w:rPr>
                <w:b w:val="0"/>
                <w:sz w:val="24"/>
                <w:szCs w:val="24"/>
              </w:rPr>
              <w:t xml:space="preserve"> </w:t>
            </w:r>
            <w:r w:rsidR="00D56B6D" w:rsidRPr="008A38A0">
              <w:rPr>
                <w:b w:val="0"/>
                <w:sz w:val="24"/>
                <w:szCs w:val="24"/>
              </w:rPr>
              <w:t>daļas 4.punkts)</w:t>
            </w:r>
            <w:r w:rsidR="00D56B6D">
              <w:rPr>
                <w:b w:val="0"/>
                <w:sz w:val="24"/>
                <w:szCs w:val="24"/>
              </w:rPr>
              <w:t xml:space="preserve">. Projektu iesniegumu vērtēšanas kritērijus atbilstoši Regulas Nr.1303/2013 110.panta 2.punkta a) apakšpunktam apstiprinās uzraudzības komiteja, bet tie vairs netiks iekļauti Ministru kabineta noteikumos par specifiskā atbalsta mērķa īstenošanu (skat. anotācijas II sadaļas 2.punkta </w:t>
            </w:r>
            <w:r w:rsidR="00864BD1">
              <w:rPr>
                <w:b w:val="0"/>
                <w:sz w:val="24"/>
                <w:szCs w:val="24"/>
              </w:rPr>
              <w:t>22</w:t>
            </w:r>
            <w:r w:rsidR="00D56B6D">
              <w:rPr>
                <w:b w:val="0"/>
                <w:sz w:val="24"/>
                <w:szCs w:val="24"/>
              </w:rPr>
              <w:t xml:space="preserve">. un </w:t>
            </w:r>
            <w:r w:rsidR="00864BD1">
              <w:rPr>
                <w:b w:val="0"/>
                <w:sz w:val="24"/>
                <w:szCs w:val="24"/>
              </w:rPr>
              <w:t>23</w:t>
            </w:r>
            <w:r w:rsidR="00D56B6D">
              <w:rPr>
                <w:b w:val="0"/>
                <w:sz w:val="24"/>
                <w:szCs w:val="24"/>
              </w:rPr>
              <w:t>.punktu). Tāpat kā iepriekš, atbildīgajām iestādēm būs jāizstrādā arī projektu iesniegumu vērtēšanas kritēriju piemēr</w:t>
            </w:r>
            <w:r w:rsidR="00077BC4">
              <w:rPr>
                <w:b w:val="0"/>
                <w:sz w:val="24"/>
                <w:szCs w:val="24"/>
              </w:rPr>
              <w:t xml:space="preserve">ošanas metodika </w:t>
            </w:r>
            <w:r w:rsidR="00077BC4" w:rsidRPr="008A38A0">
              <w:rPr>
                <w:b w:val="0"/>
                <w:sz w:val="24"/>
                <w:szCs w:val="24"/>
              </w:rPr>
              <w:t>(likumprojekta 12.panta pirmās daļas 4.punkts)</w:t>
            </w:r>
            <w:r w:rsidR="00077BC4">
              <w:rPr>
                <w:b w:val="0"/>
                <w:sz w:val="24"/>
                <w:szCs w:val="24"/>
              </w:rPr>
              <w:t>. Taču, atšķirībā no iepriekšējā plānošanas perioda, š</w:t>
            </w:r>
            <w:r w:rsidR="00F3363B">
              <w:rPr>
                <w:b w:val="0"/>
                <w:sz w:val="24"/>
                <w:szCs w:val="24"/>
              </w:rPr>
              <w:t>ī</w:t>
            </w:r>
            <w:r w:rsidR="00077BC4">
              <w:rPr>
                <w:b w:val="0"/>
                <w:sz w:val="24"/>
                <w:szCs w:val="24"/>
              </w:rPr>
              <w:t xml:space="preserve"> metodik</w:t>
            </w:r>
            <w:r w:rsidR="00F3363B">
              <w:rPr>
                <w:b w:val="0"/>
                <w:sz w:val="24"/>
                <w:szCs w:val="24"/>
              </w:rPr>
              <w:t>a</w:t>
            </w:r>
            <w:r w:rsidR="00077BC4">
              <w:rPr>
                <w:b w:val="0"/>
                <w:sz w:val="24"/>
                <w:szCs w:val="24"/>
              </w:rPr>
              <w:t xml:space="preserve"> </w:t>
            </w:r>
            <w:r w:rsidR="00F3363B">
              <w:rPr>
                <w:b w:val="0"/>
                <w:sz w:val="24"/>
                <w:szCs w:val="24"/>
              </w:rPr>
              <w:t xml:space="preserve">būs jāiesniedz </w:t>
            </w:r>
            <w:r w:rsidR="00077BC4">
              <w:rPr>
                <w:b w:val="0"/>
                <w:sz w:val="24"/>
                <w:szCs w:val="24"/>
              </w:rPr>
              <w:t>uzraudzības komitej</w:t>
            </w:r>
            <w:r w:rsidR="00F3363B">
              <w:rPr>
                <w:b w:val="0"/>
                <w:sz w:val="24"/>
                <w:szCs w:val="24"/>
              </w:rPr>
              <w:t>ā vienlaikus ar attiecīgo projektu iesniegumu vērtēšanas kritēriju komplektu kā papildu informatīvs un skaidrojošs materiāls</w:t>
            </w:r>
            <w:r w:rsidR="00077BC4">
              <w:rPr>
                <w:b w:val="0"/>
                <w:sz w:val="24"/>
                <w:szCs w:val="24"/>
              </w:rPr>
              <w:t xml:space="preserve">, lai </w:t>
            </w:r>
            <w:r w:rsidR="00F3363B">
              <w:rPr>
                <w:b w:val="0"/>
                <w:sz w:val="24"/>
                <w:szCs w:val="24"/>
              </w:rPr>
              <w:t>uzraudzības komiteja varētu labāk izprast un izvērtēt iesniegto vērtēšanas kritēriju projektus</w:t>
            </w:r>
            <w:r w:rsidR="00077BC4">
              <w:rPr>
                <w:b w:val="0"/>
                <w:sz w:val="24"/>
                <w:szCs w:val="24"/>
              </w:rPr>
              <w:t xml:space="preserve">. Šī metodika būs saistoša projektu iesniegumu vērtēšanas komisijai, tai skaitā vērtēšanas procesā piesaistītajiem ekspertiem. Vēl viena būtiska atšķirība no ES fondu 2007.-2013.gada plānošanas perioda ir projektu iesniegumu atlases nolikums, ko izstrādās </w:t>
            </w:r>
            <w:r w:rsidR="00567F6F">
              <w:rPr>
                <w:b w:val="0"/>
                <w:sz w:val="24"/>
                <w:szCs w:val="24"/>
              </w:rPr>
              <w:t>un</w:t>
            </w:r>
            <w:r w:rsidR="00077BC4">
              <w:rPr>
                <w:b w:val="0"/>
                <w:sz w:val="24"/>
                <w:szCs w:val="24"/>
              </w:rPr>
              <w:t xml:space="preserve"> apstiprinās sadarbības iestāde </w:t>
            </w:r>
            <w:r w:rsidR="00077BC4" w:rsidRPr="008A38A0">
              <w:rPr>
                <w:b w:val="0"/>
                <w:sz w:val="24"/>
                <w:szCs w:val="24"/>
              </w:rPr>
              <w:t>(</w:t>
            </w:r>
            <w:r w:rsidR="002D3E6B" w:rsidRPr="008A38A0">
              <w:rPr>
                <w:b w:val="0"/>
                <w:sz w:val="24"/>
                <w:szCs w:val="24"/>
              </w:rPr>
              <w:t>likumprojekta 2</w:t>
            </w:r>
            <w:r w:rsidR="008A38A0" w:rsidRPr="008A38A0">
              <w:rPr>
                <w:b w:val="0"/>
                <w:sz w:val="24"/>
                <w:szCs w:val="24"/>
              </w:rPr>
              <w:t>2</w:t>
            </w:r>
            <w:r w:rsidR="002D3E6B" w:rsidRPr="008A38A0">
              <w:rPr>
                <w:b w:val="0"/>
                <w:sz w:val="24"/>
                <w:szCs w:val="24"/>
              </w:rPr>
              <w:t>.panta otrā daļa)</w:t>
            </w:r>
            <w:r w:rsidR="002D3E6B">
              <w:rPr>
                <w:b w:val="0"/>
                <w:sz w:val="24"/>
                <w:szCs w:val="24"/>
              </w:rPr>
              <w:t>.</w:t>
            </w:r>
            <w:r w:rsidR="00077BC4">
              <w:rPr>
                <w:b w:val="0"/>
                <w:sz w:val="24"/>
                <w:szCs w:val="24"/>
              </w:rPr>
              <w:t xml:space="preserve"> </w:t>
            </w:r>
            <w:r w:rsidR="002D3E6B">
              <w:rPr>
                <w:b w:val="0"/>
                <w:sz w:val="24"/>
                <w:szCs w:val="28"/>
              </w:rPr>
              <w:t>Nolikumā tiks</w:t>
            </w:r>
            <w:r w:rsidR="002D3E6B" w:rsidRPr="002D3E6B">
              <w:rPr>
                <w:b w:val="0"/>
                <w:sz w:val="24"/>
                <w:szCs w:val="28"/>
              </w:rPr>
              <w:t xml:space="preserve"> ietverta informācija par projektu iesniegumu iesniegšanas un vērtēšanas kārtību, projektu iesniegumu vērtēšanas kritēriji, projektu iesniegumu vērtēšanas kritēriju piemērošanas metodika, līguma vai vienošanās par projekta īstenošanu projekts un cita projektu iesniegumu atlasei nepieciešamā informācija</w:t>
            </w:r>
            <w:r w:rsidR="002D3E6B">
              <w:rPr>
                <w:b w:val="0"/>
                <w:sz w:val="24"/>
                <w:szCs w:val="28"/>
              </w:rPr>
              <w:t xml:space="preserve">. </w:t>
            </w:r>
            <w:r w:rsidR="00567F6F">
              <w:rPr>
                <w:b w:val="0"/>
                <w:sz w:val="24"/>
                <w:szCs w:val="28"/>
              </w:rPr>
              <w:t>Atklāta p</w:t>
            </w:r>
            <w:r w:rsidR="002D3E6B">
              <w:rPr>
                <w:b w:val="0"/>
                <w:sz w:val="24"/>
                <w:szCs w:val="28"/>
              </w:rPr>
              <w:t xml:space="preserve">rojektu iesniegumu atlase tiks izsludināta oficiālajā izdevumā „Latvijas Vēstnesis”, publicējot attiecīgu paziņojumu un </w:t>
            </w:r>
            <w:r w:rsidR="008A38A0">
              <w:rPr>
                <w:szCs w:val="28"/>
              </w:rPr>
              <w:t xml:space="preserve"> </w:t>
            </w:r>
            <w:r w:rsidR="008A38A0" w:rsidRPr="008A38A0">
              <w:rPr>
                <w:b w:val="0"/>
                <w:sz w:val="24"/>
                <w:szCs w:val="28"/>
              </w:rPr>
              <w:t>norādi uz vietni, kurā publicēts projektu iesniegumu atlases nolikums</w:t>
            </w:r>
            <w:r w:rsidR="008A38A0" w:rsidRPr="008A38A0">
              <w:rPr>
                <w:b w:val="0"/>
                <w:sz w:val="22"/>
                <w:szCs w:val="24"/>
              </w:rPr>
              <w:t xml:space="preserve"> </w:t>
            </w:r>
            <w:r w:rsidR="002D3E6B" w:rsidRPr="008A38A0">
              <w:rPr>
                <w:b w:val="0"/>
                <w:sz w:val="24"/>
                <w:szCs w:val="24"/>
              </w:rPr>
              <w:t>(likumprojekta 2</w:t>
            </w:r>
            <w:r w:rsidR="008A38A0" w:rsidRPr="008A38A0">
              <w:rPr>
                <w:b w:val="0"/>
                <w:sz w:val="24"/>
                <w:szCs w:val="24"/>
              </w:rPr>
              <w:t>2</w:t>
            </w:r>
            <w:r w:rsidR="002D3E6B" w:rsidRPr="008A38A0">
              <w:rPr>
                <w:b w:val="0"/>
                <w:sz w:val="24"/>
                <w:szCs w:val="24"/>
              </w:rPr>
              <w:t>.panta ceturtā daļa)</w:t>
            </w:r>
            <w:r w:rsidR="002D3E6B" w:rsidRPr="008A38A0">
              <w:rPr>
                <w:b w:val="0"/>
                <w:sz w:val="24"/>
                <w:szCs w:val="28"/>
              </w:rPr>
              <w:t>.</w:t>
            </w:r>
          </w:p>
          <w:p w14:paraId="04BD7934" w14:textId="49AA4B7A" w:rsidR="00320ED9" w:rsidRPr="000C0E98" w:rsidRDefault="009B00CA" w:rsidP="00D1554D">
            <w:pPr>
              <w:pStyle w:val="Heading3"/>
              <w:numPr>
                <w:ilvl w:val="0"/>
                <w:numId w:val="22"/>
              </w:numPr>
              <w:shd w:val="clear" w:color="auto" w:fill="FFFFFF"/>
              <w:spacing w:before="0" w:beforeAutospacing="0" w:after="120" w:afterAutospacing="0"/>
              <w:ind w:left="100" w:right="57" w:firstLine="283"/>
              <w:jc w:val="both"/>
              <w:rPr>
                <w:b w:val="0"/>
                <w:sz w:val="24"/>
                <w:szCs w:val="28"/>
              </w:rPr>
            </w:pPr>
            <w:r w:rsidRPr="00D1554D">
              <w:rPr>
                <w:b w:val="0"/>
                <w:iCs/>
                <w:sz w:val="24"/>
              </w:rPr>
              <w:t xml:space="preserve">Revīzijas iestāde ir neatkarīga audita struktūrvienība, kas katru gadu sniedz Eiropas Komisijai pārliecību par Latvijā izveidotās ES fondu vadības un </w:t>
            </w:r>
            <w:r w:rsidRPr="00D1554D">
              <w:rPr>
                <w:b w:val="0"/>
                <w:iCs/>
                <w:sz w:val="24"/>
              </w:rPr>
              <w:lastRenderedPageBreak/>
              <w:t xml:space="preserve">kontroles sistēmas darbības efektivitāti un veikto izdevumu likumību un pareizību. Atbilstoši Regulā </w:t>
            </w:r>
            <w:r w:rsidR="003714C5" w:rsidRPr="00D1554D">
              <w:rPr>
                <w:b w:val="0"/>
                <w:sz w:val="24"/>
              </w:rPr>
              <w:t xml:space="preserve">Nr.1303/2013 </w:t>
            </w:r>
            <w:r w:rsidRPr="00D1554D">
              <w:rPr>
                <w:b w:val="0"/>
                <w:iCs/>
                <w:sz w:val="24"/>
              </w:rPr>
              <w:t>noteiktajam vadošā iestāde pēc būtības ir atbildīga par vadības un kontroles sistēmas izveidi un tās darbības efektivitātes nodrošināšanu, savukārt sertifikācijas iestāde nodrošina izdevumu sertificēšanu Eiropas Komisijā. Lai nodrošinātu  ES fondu ieviešanu, pirms dalībvalsts Eiropas Komisijā iesniedz pirmo starpposma maksājuma pieteikumu, neatkarīga audita struktūrvienība (revīzijas iestāde) veic vadošās iestādes un sertifikācijas iestādes sākotnējo atbilstības novērtēšanu saskaņā ar Eiropas Komisijas izvirzītajiem kritērijiem. Sākotnējais atbilstības novērtējums tiks balstīts uz vadības un kontroles sistēmas apraksta izvērtēšanu, veicot dažāda līmeņa intervijas un saistošo dokumentu izvērtēšanu. Balstoties uz riska izvērtējumu, pārbaudes apjomā  var tikt iekļautas gan atbildīgās iestādes, gan sadarbības iestāde. Par  novērtējuma rezultātiem revīzijas iestāde informē Ministru kabinetu, iesniedzot sākotnējā novērtējuma ziņojumu un atzinumu.  Ministru kabinets apstiprina vadošās iestādes un sertifikācijas iestādes atbilstību minētajiem kritērijiem. Ja kāda no iestādēm tiem neatbilst, vai  revīzijas iestādes rīcībā ir ziņas, ka ES fondu ieviešana var tikt būtiski ietekmēta, Ministru kabinets</w:t>
            </w:r>
            <w:r w:rsidR="005A5A37" w:rsidRPr="00D1554D">
              <w:rPr>
                <w:b w:val="0"/>
                <w:iCs/>
                <w:sz w:val="24"/>
              </w:rPr>
              <w:t>, ņemot vērā revīzijas iestādes ziņojumu,</w:t>
            </w:r>
            <w:r w:rsidRPr="00D1554D">
              <w:rPr>
                <w:b w:val="0"/>
                <w:iCs/>
                <w:sz w:val="24"/>
              </w:rPr>
              <w:t>  atceļ lēmumu par iestāžu apstiprināšanu</w:t>
            </w:r>
            <w:r w:rsidRPr="00E4130D">
              <w:rPr>
                <w:b w:val="0"/>
                <w:iCs/>
                <w:sz w:val="24"/>
              </w:rPr>
              <w:t>.</w:t>
            </w:r>
            <w:r w:rsidR="00E4130D" w:rsidRPr="00E4130D">
              <w:rPr>
                <w:b w:val="0"/>
                <w:iCs/>
                <w:sz w:val="24"/>
              </w:rPr>
              <w:t xml:space="preserve"> Lai nodrošinātu revīzijas iestādes pienākumu pienācīgu izpildi, </w:t>
            </w:r>
            <w:r w:rsidR="005D0645">
              <w:rPr>
                <w:b w:val="0"/>
                <w:bCs w:val="0"/>
                <w:iCs/>
                <w:sz w:val="24"/>
              </w:rPr>
              <w:t>r</w:t>
            </w:r>
            <w:r w:rsidR="00E4130D" w:rsidRPr="00E4130D">
              <w:rPr>
                <w:b w:val="0"/>
                <w:bCs w:val="0"/>
                <w:iCs/>
                <w:sz w:val="24"/>
              </w:rPr>
              <w:t xml:space="preserve">evīzijas iestādei </w:t>
            </w:r>
            <w:r w:rsidR="00E4130D" w:rsidRPr="00E4130D">
              <w:rPr>
                <w:b w:val="0"/>
                <w:iCs/>
                <w:sz w:val="24"/>
              </w:rPr>
              <w:t xml:space="preserve">ir nepieciešama tieša </w:t>
            </w:r>
            <w:r w:rsidR="00E4130D" w:rsidRPr="00E4130D">
              <w:rPr>
                <w:rFonts w:eastAsiaTheme="minorHAnsi" w:cstheme="minorBidi"/>
                <w:b w:val="0"/>
                <w:sz w:val="24"/>
                <w:lang w:eastAsia="en-US"/>
              </w:rPr>
              <w:t xml:space="preserve">piekļuve </w:t>
            </w:r>
            <w:r w:rsidR="00E4130D" w:rsidRPr="00E4130D">
              <w:rPr>
                <w:b w:val="0"/>
                <w:iCs/>
                <w:sz w:val="24"/>
              </w:rPr>
              <w:t xml:space="preserve"> datiem valsts uzturētajās informācijas tehnoloģiju sistēmās</w:t>
            </w:r>
            <w:r w:rsidR="00E4130D" w:rsidRPr="00E4130D">
              <w:rPr>
                <w:b w:val="0"/>
                <w:bCs w:val="0"/>
                <w:iCs/>
                <w:sz w:val="24"/>
              </w:rPr>
              <w:t>. Ņemot vērā, ka šobrīd vēl nav</w:t>
            </w:r>
            <w:r w:rsidR="00E4130D" w:rsidRPr="00E4130D">
              <w:rPr>
                <w:b w:val="0"/>
                <w:iCs/>
                <w:sz w:val="24"/>
              </w:rPr>
              <w:t xml:space="preserve"> izveidota Regulas Nr.1303/2013 125.panta 2.punkta d) apakšpunktā vienotas valsts informācijas sistēmas,</w:t>
            </w:r>
            <w:r w:rsidR="00E4130D" w:rsidRPr="00E4130D">
              <w:rPr>
                <w:b w:val="0"/>
                <w:bCs w:val="0"/>
                <w:iCs/>
                <w:sz w:val="24"/>
              </w:rPr>
              <w:t xml:space="preserve"> tad likumprojektā ir noteikts, ka revīzijas iestādei</w:t>
            </w:r>
            <w:r w:rsidR="00E4130D" w:rsidRPr="00E4130D">
              <w:rPr>
                <w:b w:val="0"/>
                <w:sz w:val="24"/>
              </w:rPr>
              <w:t xml:space="preserve"> </w:t>
            </w:r>
            <w:r w:rsidR="00E4130D" w:rsidRPr="009D3C99">
              <w:rPr>
                <w:sz w:val="28"/>
                <w:szCs w:val="28"/>
              </w:rPr>
              <w:t xml:space="preserve"> </w:t>
            </w:r>
            <w:r w:rsidR="00E4130D" w:rsidRPr="00E4130D">
              <w:rPr>
                <w:b w:val="0"/>
                <w:sz w:val="24"/>
                <w:szCs w:val="28"/>
              </w:rPr>
              <w:t>ir tiesības pieprasīt un saņemt tiešu pieeju datiem valsts uzturētajās informācijas tehnoloģiju sistēmās tādā apjomā, kādā to paredz attiecīgo sistēmu regulējošie normatīvie akti un nepieciešams revīzijas iestādes pienākumu izpildei</w:t>
            </w:r>
            <w:r w:rsidR="00E4130D" w:rsidRPr="000C0E98">
              <w:rPr>
                <w:b w:val="0"/>
                <w:sz w:val="24"/>
                <w:szCs w:val="28"/>
              </w:rPr>
              <w:t>. (Likumprojekta 1</w:t>
            </w:r>
            <w:r w:rsidR="008A38A0" w:rsidRPr="000C0E98">
              <w:rPr>
                <w:b w:val="0"/>
                <w:sz w:val="24"/>
                <w:szCs w:val="28"/>
              </w:rPr>
              <w:t>4</w:t>
            </w:r>
            <w:r w:rsidR="00E4130D" w:rsidRPr="000C0E98">
              <w:rPr>
                <w:b w:val="0"/>
                <w:sz w:val="24"/>
                <w:szCs w:val="28"/>
              </w:rPr>
              <w:t>.pants)</w:t>
            </w:r>
          </w:p>
          <w:p w14:paraId="04E2A1B2" w14:textId="488F36A1" w:rsidR="009B00CA" w:rsidRPr="00474EEF"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474EEF">
              <w:rPr>
                <w:b w:val="0"/>
                <w:sz w:val="24"/>
                <w:szCs w:val="24"/>
              </w:rPr>
              <w:t>Likumprojektā ir precīzāk noteiktas arī sertifikācijas iestādes tiesības un pienākumi saistībā ar pienākumu apturēt turpmāku izdevumu deklarēšanu Eiropas Komisijā un iepriekš deklarēto izdevumu apjoma koriģēšanu</w:t>
            </w:r>
            <w:r w:rsidR="00FF576C">
              <w:rPr>
                <w:b w:val="0"/>
                <w:sz w:val="24"/>
                <w:szCs w:val="24"/>
              </w:rPr>
              <w:t xml:space="preserve"> (</w:t>
            </w:r>
            <w:r w:rsidR="00FF576C" w:rsidRPr="000C0E98">
              <w:rPr>
                <w:b w:val="0"/>
                <w:sz w:val="24"/>
                <w:szCs w:val="24"/>
              </w:rPr>
              <w:t>1</w:t>
            </w:r>
            <w:r w:rsidR="000C0E98" w:rsidRPr="000C0E98">
              <w:rPr>
                <w:b w:val="0"/>
                <w:sz w:val="24"/>
                <w:szCs w:val="24"/>
              </w:rPr>
              <w:t>5</w:t>
            </w:r>
            <w:r w:rsidR="00FF576C" w:rsidRPr="000C0E98">
              <w:rPr>
                <w:b w:val="0"/>
                <w:sz w:val="24"/>
                <w:szCs w:val="24"/>
              </w:rPr>
              <w:t>.pants</w:t>
            </w:r>
            <w:r w:rsidR="00FF576C">
              <w:rPr>
                <w:b w:val="0"/>
                <w:sz w:val="24"/>
                <w:szCs w:val="24"/>
              </w:rPr>
              <w:t>)</w:t>
            </w:r>
            <w:r w:rsidRPr="00474EEF">
              <w:rPr>
                <w:b w:val="0"/>
                <w:sz w:val="24"/>
                <w:szCs w:val="24"/>
              </w:rPr>
              <w:t>.</w:t>
            </w:r>
          </w:p>
          <w:p w14:paraId="73E8DC30" w14:textId="2DB048BF" w:rsidR="009B00CA"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474EEF">
              <w:rPr>
                <w:b w:val="0"/>
                <w:sz w:val="24"/>
                <w:szCs w:val="24"/>
              </w:rPr>
              <w:t xml:space="preserve">Atšķirībā no ES fondu 2007.-2013.gada plānošanas perioda, lai atslogotu Ministru kabineta darbu un nedublētu projektu iesniegumu vērtēšanas kritēriju apstiprināšanu gan uzraudzības komitejā, gan Ministru kabinetā, projektu iesniegumu vērtēšanas kritērijus (Regulas </w:t>
            </w:r>
            <w:r w:rsidR="003714C5" w:rsidRPr="0090638D">
              <w:rPr>
                <w:b w:val="0"/>
                <w:sz w:val="24"/>
                <w:szCs w:val="24"/>
              </w:rPr>
              <w:t>Nr</w:t>
            </w:r>
            <w:r w:rsidR="003714C5">
              <w:rPr>
                <w:b w:val="0"/>
                <w:sz w:val="24"/>
                <w:szCs w:val="24"/>
              </w:rPr>
              <w:t>.1303/2013</w:t>
            </w:r>
            <w:r w:rsidRPr="00474EEF">
              <w:rPr>
                <w:b w:val="0"/>
                <w:sz w:val="24"/>
                <w:szCs w:val="24"/>
              </w:rPr>
              <w:t xml:space="preserve"> 110.panta 2.punkta a) apakšpunkts), apstiprinās tikai uzraudzības komiteja.</w:t>
            </w:r>
          </w:p>
          <w:p w14:paraId="7D050C1D" w14:textId="69898692" w:rsidR="002301B4" w:rsidRPr="002301B4" w:rsidRDefault="002301B4" w:rsidP="002301B4">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2301B4">
              <w:rPr>
                <w:b w:val="0"/>
                <w:sz w:val="24"/>
              </w:rPr>
              <w:lastRenderedPageBreak/>
              <w:t>Viens no izvērtējuma uzdevumiem bija izvērtēt iespēju noteikt lielāku pilnvaru apjomu uzraudzības komitejai, tai skaitā, vai ir nepieciešams tajā apstiprinātos projektu iesniegumu vērtēšanas kritērijus iekļaut noteikumos par aktivitātes vai specifiskā atbalsta mērķa īstenošanu un atkārtoti apstiprināt Ministru kabinetā. ES fondu 2007.-2013.gada plānošanas periodā kritēriju apstiprināšanas funkcija dublējas, jo tos apstiprina gan uzraudzības komiteja, gan Ministru kabinets.</w:t>
            </w:r>
          </w:p>
          <w:p w14:paraId="1544B7A3" w14:textId="449B1E1B" w:rsidR="002301B4" w:rsidRPr="002301B4" w:rsidRDefault="002301B4" w:rsidP="002301B4">
            <w:pPr>
              <w:spacing w:after="120" w:line="240" w:lineRule="auto"/>
              <w:ind w:firstLine="567"/>
              <w:jc w:val="both"/>
              <w:rPr>
                <w:rFonts w:ascii="Times New Roman" w:hAnsi="Times New Roman" w:cs="Times New Roman"/>
                <w:sz w:val="24"/>
                <w:szCs w:val="24"/>
              </w:rPr>
            </w:pPr>
            <w:r w:rsidRPr="002301B4">
              <w:rPr>
                <w:rFonts w:ascii="Times New Roman" w:hAnsi="Times New Roman" w:cs="Times New Roman"/>
                <w:sz w:val="24"/>
                <w:szCs w:val="24"/>
              </w:rPr>
              <w:t xml:space="preserve">Valsts pārvaldes tiesiskuma principu veido likuma atrunas princips un likuma prioritātes princips. Likuma atrunas princips galvenokārt ir noteicošais tiesībās, kas saistītas ar personas </w:t>
            </w:r>
            <w:proofErr w:type="spellStart"/>
            <w:r w:rsidRPr="002301B4">
              <w:rPr>
                <w:rFonts w:ascii="Times New Roman" w:hAnsi="Times New Roman" w:cs="Times New Roman"/>
                <w:sz w:val="24"/>
                <w:szCs w:val="24"/>
              </w:rPr>
              <w:t>pamattiesību</w:t>
            </w:r>
            <w:proofErr w:type="spellEnd"/>
            <w:r w:rsidRPr="002301B4">
              <w:rPr>
                <w:rFonts w:ascii="Times New Roman" w:hAnsi="Times New Roman" w:cs="Times New Roman"/>
                <w:sz w:val="24"/>
                <w:szCs w:val="24"/>
              </w:rPr>
              <w:t>, brīvību ierobežošanu, t.i., ar administratīvo aktu pasliktina personas tiesisko situāciju, uzliekot tai kādu pienākumu vai atņemot piešķirtās tiesības. Savukārt  tiesību nodrošinošajā valsts pārvaldē, iestāde personas tiesības paplašina, nevis iejaucas, ierobežo tās (skat. izvērtējuma 20.-22.lpp.). Atbilstoši Administratīvā procesa likuma 11.pantam, privātpersonai nelabvēlīgu administratīvo aktu iestāde var izdot uz Satversmes, likuma, kā arī uz starptautisko tiesību normas pamata. Ministru kabineta noteikumi var būt par pamatu šādam administratīvam aktam tikai tad, ja Satversmē, likumā vai starptautisko tiesību normā tieši vai netieši ir ietverts pilnvarojums Ministru kabinetam izdodot noteikumus, tajos paredzēt šādus administratīvos aktus. No minētā izriet, ka likuma atrunas princips iestādei jāņem vērā, pieņemot privātpersonai nelabvēlīgu administratīvo aktu. Tā kā likuma atrunas princips piemērojams tikai administratīvajiem aktiem,</w:t>
            </w:r>
            <w:r w:rsidRPr="00C365F0">
              <w:rPr>
                <w:rStyle w:val="FootnoteReference"/>
                <w:rFonts w:ascii="Times New Roman" w:hAnsi="Times New Roman" w:cs="Times New Roman"/>
                <w:sz w:val="24"/>
                <w:szCs w:val="24"/>
              </w:rPr>
              <w:footnoteReference w:id="4"/>
            </w:r>
            <w:r w:rsidRPr="002301B4">
              <w:rPr>
                <w:rFonts w:ascii="Times New Roman" w:hAnsi="Times New Roman" w:cs="Times New Roman"/>
                <w:sz w:val="24"/>
                <w:szCs w:val="24"/>
              </w:rPr>
              <w:t xml:space="preserve"> tad, izvērtējot iestādes lēmumu, ar kuru atteikts apstiprināts projekta iesniegumu publisko tiesību subjektam, secināms, ka minētais iestādes atteikums izdot labvēlīgu aktu ir pārvaldes lēmums, kas nav nelabvēlīgs administratīvais akts. Tādējādi, attiecībā uz publisko tiesību subjektiem, likuma atrunas princips vispār nav piemērojams, un detalizēti Ministru kabineta noteikumi nav nepieciešami (skat. izvērtējuma 22.lpp.).</w:t>
            </w:r>
          </w:p>
          <w:p w14:paraId="08459B9F" w14:textId="77777777" w:rsidR="002301B4" w:rsidRPr="002301B4" w:rsidRDefault="002301B4" w:rsidP="002301B4">
            <w:pPr>
              <w:spacing w:after="120" w:line="240" w:lineRule="auto"/>
              <w:ind w:firstLine="567"/>
              <w:jc w:val="both"/>
              <w:rPr>
                <w:rFonts w:ascii="Times New Roman" w:hAnsi="Times New Roman" w:cs="Times New Roman"/>
                <w:sz w:val="24"/>
                <w:szCs w:val="24"/>
              </w:rPr>
            </w:pPr>
            <w:r w:rsidRPr="002301B4">
              <w:rPr>
                <w:rFonts w:ascii="Times New Roman" w:hAnsi="Times New Roman" w:cs="Times New Roman"/>
                <w:sz w:val="24"/>
                <w:szCs w:val="24"/>
              </w:rPr>
              <w:t xml:space="preserve">Juridiski jautājums ir strīdīgs, vai </w:t>
            </w:r>
            <w:proofErr w:type="spellStart"/>
            <w:r w:rsidRPr="002301B4">
              <w:rPr>
                <w:rFonts w:ascii="Times New Roman" w:hAnsi="Times New Roman" w:cs="Times New Roman"/>
                <w:sz w:val="24"/>
                <w:szCs w:val="24"/>
              </w:rPr>
              <w:t>subvenciju</w:t>
            </w:r>
            <w:proofErr w:type="spellEnd"/>
            <w:r w:rsidRPr="002301B4">
              <w:rPr>
                <w:rFonts w:ascii="Times New Roman" w:hAnsi="Times New Roman" w:cs="Times New Roman"/>
                <w:sz w:val="24"/>
                <w:szCs w:val="24"/>
              </w:rPr>
              <w:t xml:space="preserve"> tiesībās, kas ietilpst </w:t>
            </w:r>
            <w:r w:rsidRPr="002301B4">
              <w:rPr>
                <w:rFonts w:ascii="Times New Roman" w:hAnsi="Times New Roman" w:cs="Times New Roman"/>
                <w:color w:val="000000"/>
                <w:sz w:val="24"/>
                <w:szCs w:val="24"/>
                <w:shd w:val="clear" w:color="auto" w:fill="FFFFFF"/>
              </w:rPr>
              <w:t xml:space="preserve">tiesību nodrošinošajā valsts pārvaldē (vāc. – </w:t>
            </w:r>
            <w:proofErr w:type="spellStart"/>
            <w:r w:rsidRPr="002301B4">
              <w:rPr>
                <w:rFonts w:ascii="Times New Roman" w:hAnsi="Times New Roman" w:cs="Times New Roman"/>
                <w:i/>
                <w:color w:val="000000"/>
                <w:sz w:val="24"/>
                <w:szCs w:val="24"/>
                <w:shd w:val="clear" w:color="auto" w:fill="FFFFFF"/>
              </w:rPr>
              <w:t>Leistungsverwaltung</w:t>
            </w:r>
            <w:proofErr w:type="spellEnd"/>
            <w:r w:rsidRPr="002301B4">
              <w:rPr>
                <w:rFonts w:ascii="Times New Roman" w:hAnsi="Times New Roman" w:cs="Times New Roman"/>
                <w:color w:val="000000"/>
                <w:sz w:val="24"/>
                <w:szCs w:val="24"/>
                <w:shd w:val="clear" w:color="auto" w:fill="FFFFFF"/>
              </w:rPr>
              <w:t>),</w:t>
            </w:r>
            <w:r w:rsidRPr="002301B4">
              <w:rPr>
                <w:rFonts w:ascii="Times New Roman" w:hAnsi="Times New Roman" w:cs="Times New Roman"/>
                <w:b/>
                <w:color w:val="000000"/>
                <w:sz w:val="24"/>
                <w:szCs w:val="24"/>
                <w:shd w:val="clear" w:color="auto" w:fill="FFFFFF"/>
              </w:rPr>
              <w:t xml:space="preserve"> </w:t>
            </w:r>
            <w:r w:rsidRPr="002301B4">
              <w:rPr>
                <w:rFonts w:ascii="Times New Roman" w:hAnsi="Times New Roman" w:cs="Times New Roman"/>
                <w:sz w:val="24"/>
                <w:szCs w:val="24"/>
              </w:rPr>
              <w:t xml:space="preserve">likuma atrunas princips vispār ir piemērojams. Vācijā pastāv viedoklis, ka likuma atrunas princips jāievēro tikai tad, ja ar finansējuma piešķiršanu vienai grupai tiek ierobežotas kādas citas grupas tiesības. Taču tas prasa ārējā normatīvajā aktā ietvert tikai pilnvarojumu pieņemt lēmumu par </w:t>
            </w:r>
            <w:r w:rsidRPr="002301B4">
              <w:rPr>
                <w:rFonts w:ascii="Times New Roman" w:hAnsi="Times New Roman" w:cs="Times New Roman"/>
                <w:sz w:val="24"/>
                <w:szCs w:val="24"/>
              </w:rPr>
              <w:lastRenderedPageBreak/>
              <w:t>finansējuma piešķiršanu un galvenos principus, nevis konkrētus kritērijus.</w:t>
            </w:r>
            <w:r w:rsidRPr="000C0E98">
              <w:rPr>
                <w:rStyle w:val="FootnoteReference"/>
                <w:rFonts w:ascii="Times New Roman" w:hAnsi="Times New Roman" w:cs="Times New Roman"/>
                <w:sz w:val="24"/>
                <w:szCs w:val="24"/>
              </w:rPr>
              <w:footnoteReference w:id="5"/>
            </w:r>
            <w:r w:rsidRPr="002301B4">
              <w:rPr>
                <w:rFonts w:ascii="Times New Roman" w:hAnsi="Times New Roman" w:cs="Times New Roman"/>
                <w:sz w:val="24"/>
                <w:szCs w:val="24"/>
              </w:rPr>
              <w:t xml:space="preserve"> Ņemot vērā to, ka Latvijas administratīvo tiesību pamatā ir Vācijas administratīvo tiesību principi, var uzskatīt, ka likuma atrunas princips jebkurā gadījumā ir ievērots, jo likumprojektā sadarbības iestādei ir paredzētas tiesības pieņemt, izvērtēt un noraidīt projekta iesniegumu, ja tas neatbilst uzraudzības komitejā apstiprinātajiem kritērijiem. Savukārt Ministru kabineta noteikumos par specifiskā atbalsta mērķa īstenošanu tiks noteikts, kādās jomās, cik liels finansējums un kādiem potenciālajiem projektu iesniedzējiem tas vispār var tikt piešķirts. Jāņem vērā, ka projektu iesniegumu vērtēšanas kritērijiem ir jāatbilst ES fondu plānošanas dokumentiem un minētajiem Ministru kabineta noteikumiem. Līdz ar to projektu iesniegumu vērtēšanas kritērijus nav nepieciešams iekļaut ārējā normatīvajā aktā – Ministru noteikumos par specifiskā atbalsta mērķa īstenošanu. Ir pietiekami, ja kritērijus atbilstoši Regulas Nr.1303/2013 110.panta 2.punkta a) apakšpunktam apstiprina tikai uzraudzības komiteja un tos iekļauj projektu iesniegumu atlases nolikumā.</w:t>
            </w:r>
          </w:p>
          <w:p w14:paraId="716FC719" w14:textId="0D2C3D3B" w:rsidR="002301B4" w:rsidRPr="002301B4" w:rsidRDefault="002301B4" w:rsidP="002301B4">
            <w:pPr>
              <w:spacing w:after="120" w:line="240" w:lineRule="auto"/>
              <w:ind w:firstLine="567"/>
              <w:jc w:val="both"/>
              <w:rPr>
                <w:rFonts w:ascii="Times New Roman" w:hAnsi="Times New Roman" w:cs="Times New Roman"/>
                <w:sz w:val="24"/>
                <w:szCs w:val="24"/>
              </w:rPr>
            </w:pPr>
            <w:r w:rsidRPr="002301B4">
              <w:rPr>
                <w:rFonts w:ascii="Times New Roman" w:hAnsi="Times New Roman" w:cs="Times New Roman"/>
                <w:sz w:val="24"/>
                <w:szCs w:val="24"/>
              </w:rPr>
              <w:t>Pēc būtības līdzīgs regulējums ir noteikts arī Publisko iepirkumu likumā. Atbilstoši minētajā likumā noteiktajam regulējumam galvenie piedāvājuma izvērtēšanas principi, tai skaitā iepirkuma procedūras un dokumentācijas izstrāde, ir noteikta ārējā normatīvā aktā. Savukārt paši piedāvājuma vērtēšanas kritēriji tiek noteikti konkursa nolikumā. Augstākās tiesas Senāta Administratīvo lietu departaments saistībā ar ES fondu 2004.-2006.gada plānošanas perioda projekta iesnieguma noraidīšanu, kad kritēriji nebija iekļauti ārējā normatīvajā aktā, ir atzinis, ka ārējos normatīvajos aktos nav iespējams paredzēt visus gadījumus, uz kuru pamata varētu atteikt izdot labvēlīgu administratīvo aktu. Tāpēc atteikumu ne vienmēr iespējams pamatot ar ārējo normatīvo aktu.</w:t>
            </w:r>
            <w:r w:rsidRPr="00C365F0">
              <w:rPr>
                <w:rStyle w:val="FootnoteReference"/>
                <w:rFonts w:ascii="Times New Roman" w:hAnsi="Times New Roman" w:cs="Times New Roman"/>
                <w:sz w:val="24"/>
                <w:szCs w:val="24"/>
              </w:rPr>
              <w:footnoteReference w:id="6"/>
            </w:r>
            <w:r w:rsidRPr="002301B4">
              <w:rPr>
                <w:rFonts w:ascii="Times New Roman" w:hAnsi="Times New Roman" w:cs="Times New Roman"/>
                <w:sz w:val="24"/>
                <w:szCs w:val="24"/>
              </w:rPr>
              <w:t xml:space="preserve"> Izvērtējot citu Eiropas Savienības dalībvalstu praksi, tika konstatēts, ka projektu iesniegumu vērtēšanas kritēriji nav noteikti ārējā normatīvā aktā arī piemēram, Igaunijā, Lietuvā un Vācijā.</w:t>
            </w:r>
            <w:r w:rsidR="00663D43">
              <w:rPr>
                <w:rFonts w:ascii="Times New Roman" w:hAnsi="Times New Roman" w:cs="Times New Roman"/>
                <w:sz w:val="24"/>
                <w:szCs w:val="24"/>
              </w:rPr>
              <w:t xml:space="preserve"> Projektu iesniegumu vērtēšanas kritērijus iekļaut konkursa nolikumā, nevis ārējā normatīvajā aktā, ieteikts arī </w:t>
            </w:r>
            <w:r w:rsidR="00B24E50">
              <w:rPr>
                <w:rFonts w:ascii="Times New Roman" w:hAnsi="Times New Roman" w:cs="Times New Roman"/>
                <w:sz w:val="24"/>
                <w:szCs w:val="24"/>
              </w:rPr>
              <w:t>pētījumā „Valsts dibināto fondu sistēmas turpmākās attīstības modelis”.</w:t>
            </w:r>
            <w:r w:rsidR="00B24E50">
              <w:rPr>
                <w:rStyle w:val="FootnoteReference"/>
                <w:rFonts w:ascii="Times New Roman" w:hAnsi="Times New Roman" w:cs="Times New Roman"/>
                <w:sz w:val="24"/>
                <w:szCs w:val="24"/>
              </w:rPr>
              <w:footnoteReference w:id="7"/>
            </w:r>
          </w:p>
          <w:p w14:paraId="68360DF4" w14:textId="5EE390F7" w:rsidR="002301B4" w:rsidRPr="002301B4" w:rsidRDefault="002301B4" w:rsidP="002301B4">
            <w:pPr>
              <w:spacing w:after="120" w:line="240" w:lineRule="auto"/>
              <w:ind w:firstLine="567"/>
              <w:jc w:val="both"/>
              <w:rPr>
                <w:rFonts w:ascii="Times New Roman" w:hAnsi="Times New Roman" w:cs="Times New Roman"/>
                <w:sz w:val="24"/>
                <w:szCs w:val="24"/>
              </w:rPr>
            </w:pPr>
            <w:r w:rsidRPr="002301B4">
              <w:rPr>
                <w:rFonts w:ascii="Times New Roman" w:hAnsi="Times New Roman" w:cs="Times New Roman"/>
                <w:sz w:val="24"/>
                <w:szCs w:val="24"/>
              </w:rPr>
              <w:t xml:space="preserve">Šādā veidā tiek samazināts administratīvais slogs gan ministrijām, gan Ministru kabinetam, jo projektu </w:t>
            </w:r>
            <w:r w:rsidRPr="002301B4">
              <w:rPr>
                <w:rFonts w:ascii="Times New Roman" w:hAnsi="Times New Roman" w:cs="Times New Roman"/>
                <w:sz w:val="24"/>
                <w:szCs w:val="24"/>
              </w:rPr>
              <w:lastRenderedPageBreak/>
              <w:t>iesniegumu vērtēšanas kritērijus vairs nebūtu nepieciešams iekļaut Ministru kabineta noteikumos un vēlreiz „</w:t>
            </w:r>
            <w:proofErr w:type="spellStart"/>
            <w:r w:rsidRPr="002301B4">
              <w:rPr>
                <w:rFonts w:ascii="Times New Roman" w:hAnsi="Times New Roman" w:cs="Times New Roman"/>
                <w:sz w:val="24"/>
                <w:szCs w:val="24"/>
              </w:rPr>
              <w:t>pārapstiprināt</w:t>
            </w:r>
            <w:proofErr w:type="spellEnd"/>
            <w:r w:rsidRPr="002301B4">
              <w:rPr>
                <w:rFonts w:ascii="Times New Roman" w:hAnsi="Times New Roman" w:cs="Times New Roman"/>
                <w:sz w:val="24"/>
                <w:szCs w:val="24"/>
              </w:rPr>
              <w:t>” Ministru kabinetā, tai skaitā nebūtu jāveic noteikumu grozījumi katru reizi, kad uz jaunu atlases kārtu tiek precizēti kritēriju komplekti. Ņemot vērā ministriju un sociālo partneru pārstāvību uzraudzības komitejā un apakškomitejās, kā arī jau ES fondu 2007.-2013.gada plānošanas perioda praksi, ka atbildīgajām iestādēm pirms kritēriju projektu iesniegšanas uzraudzības komitejā jānodrošina to sabiedriskā apspriešana, netiks samazināts kritēriju izstrādes un apstiprināšanas caurspīdīgums. Jāņem vērā, ka iepriekšējā plānošanas periodā gandrīz visi aktivitāšu īstenošanas noteikumu grozījumi tika saskaņoti kā Ministru kabineta lietas, nevis izsludināti Valsts sekretāru sanāksmē. Uzraudzības komitejā izskatāmo dokument</w:t>
            </w:r>
            <w:r w:rsidR="00985966">
              <w:rPr>
                <w:rFonts w:ascii="Times New Roman" w:hAnsi="Times New Roman" w:cs="Times New Roman"/>
                <w:sz w:val="24"/>
                <w:szCs w:val="24"/>
              </w:rPr>
              <w:t>u</w:t>
            </w:r>
            <w:r w:rsidRPr="002301B4">
              <w:rPr>
                <w:rFonts w:ascii="Times New Roman" w:hAnsi="Times New Roman" w:cs="Times New Roman"/>
                <w:sz w:val="24"/>
                <w:szCs w:val="24"/>
              </w:rPr>
              <w:t xml:space="preserve"> projekti un apstiprinātie dokumenti būs pieejami tīmekļa vietnē – uzraudzības komitejas dokumentu vadības sistēmā. Izsludinot projektu iesniegumu atlasi, atlases nolikums, kurā būs iekļauti arī vērtēšanas kritēriji, tiks publicēts oficiālajā izdevumā “Latvijas Vēstnesis” pēc to pieņemšanas uzraudzības komitejā.</w:t>
            </w:r>
          </w:p>
          <w:p w14:paraId="23080FB2" w14:textId="2375BE83" w:rsidR="009B00CA" w:rsidRPr="00474EEF"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474EEF">
              <w:rPr>
                <w:b w:val="0"/>
                <w:sz w:val="24"/>
                <w:szCs w:val="24"/>
              </w:rPr>
              <w:t>Lai nodrošinātu minēto lēmumu caurspīdīgumu, likumprojektā ir noteikti papildu nosacījumi uzraudzības komitejas sastāva apstiprināšanai</w:t>
            </w:r>
            <w:r w:rsidR="00F7764D">
              <w:rPr>
                <w:b w:val="0"/>
                <w:sz w:val="24"/>
                <w:szCs w:val="24"/>
              </w:rPr>
              <w:t xml:space="preserve"> (uzraudzības komitejas</w:t>
            </w:r>
            <w:r w:rsidR="00FF576C">
              <w:rPr>
                <w:b w:val="0"/>
                <w:sz w:val="24"/>
                <w:szCs w:val="24"/>
              </w:rPr>
              <w:t xml:space="preserve"> institucionālais</w:t>
            </w:r>
            <w:r w:rsidR="00F7764D">
              <w:rPr>
                <w:b w:val="0"/>
                <w:sz w:val="24"/>
                <w:szCs w:val="24"/>
              </w:rPr>
              <w:t xml:space="preserve"> sastāvs tiks apstiprināts ar Ministru kabineta rīkojumu</w:t>
            </w:r>
            <w:r w:rsidR="00FF576C">
              <w:rPr>
                <w:b w:val="0"/>
                <w:sz w:val="24"/>
                <w:szCs w:val="24"/>
              </w:rPr>
              <w:t>, savukārt personālsastāvs – ar uzraudzības komitejas priekšsēdētāja lēmumu</w:t>
            </w:r>
            <w:r w:rsidR="00F7764D">
              <w:rPr>
                <w:b w:val="0"/>
                <w:sz w:val="24"/>
                <w:szCs w:val="24"/>
              </w:rPr>
              <w:t>)</w:t>
            </w:r>
            <w:r w:rsidRPr="00474EEF">
              <w:rPr>
                <w:b w:val="0"/>
                <w:sz w:val="24"/>
                <w:szCs w:val="24"/>
              </w:rPr>
              <w:t>, kā arī sēžu un izskatāmo dokumentu atklātības nodrošināšanai.</w:t>
            </w:r>
            <w:r w:rsidR="00FF576C">
              <w:rPr>
                <w:b w:val="0"/>
                <w:sz w:val="24"/>
                <w:szCs w:val="24"/>
              </w:rPr>
              <w:t xml:space="preserve"> </w:t>
            </w:r>
            <w:r w:rsidR="005D5CB2" w:rsidRPr="00D62B62">
              <w:t xml:space="preserve"> </w:t>
            </w:r>
            <w:r w:rsidR="005D5CB2" w:rsidRPr="005D5CB2">
              <w:rPr>
                <w:b w:val="0"/>
                <w:sz w:val="24"/>
              </w:rPr>
              <w:t xml:space="preserve">Ņemot vērā Regulas Nr.1303/2013 5. un 48.pantā, kā arī Komisijas 2014.gada 7.janvāra deleģētās regulas Nr.240/2014 par Eiropas rīcības kodeksu attiecībā uz partnerību saistībā ar Eiropas strukturālajiem un investīciju fondiem 10.pantā noteiktos nosacījumus, </w:t>
            </w:r>
            <w:r w:rsidR="005D5CB2">
              <w:rPr>
                <w:b w:val="0"/>
                <w:sz w:val="24"/>
              </w:rPr>
              <w:t>uzraudzības komitejas</w:t>
            </w:r>
            <w:r w:rsidR="005D5CB2" w:rsidRPr="005D5CB2">
              <w:rPr>
                <w:b w:val="0"/>
                <w:sz w:val="24"/>
              </w:rPr>
              <w:t xml:space="preserve"> sastāvā tiks iesaistīti </w:t>
            </w:r>
            <w:r w:rsidR="005D5CB2">
              <w:rPr>
                <w:b w:val="0"/>
                <w:sz w:val="24"/>
              </w:rPr>
              <w:t>vadošās iestādes, atbildīgo iestāžu, sadarbības iestādes</w:t>
            </w:r>
            <w:r w:rsidR="005D5CB2" w:rsidRPr="005D5CB2">
              <w:rPr>
                <w:b w:val="0"/>
                <w:sz w:val="24"/>
              </w:rPr>
              <w:t xml:space="preserve">, plānošanas reģionu, sociālo partneru un citu </w:t>
            </w:r>
            <w:r w:rsidR="005D5CB2">
              <w:rPr>
                <w:b w:val="0"/>
                <w:sz w:val="24"/>
              </w:rPr>
              <w:t>nevalstisko organizāciju</w:t>
            </w:r>
            <w:r w:rsidR="005D5CB2" w:rsidRPr="005D5CB2">
              <w:rPr>
                <w:b w:val="0"/>
                <w:sz w:val="24"/>
              </w:rPr>
              <w:t xml:space="preserve"> pārstāvji, kuri bijuši iesaistīti partnerības līguma un darbības programmas izstrādē. Papildus </w:t>
            </w:r>
            <w:r w:rsidR="005D5CB2">
              <w:rPr>
                <w:b w:val="0"/>
                <w:sz w:val="24"/>
              </w:rPr>
              <w:t>vadošā iestāde ir</w:t>
            </w:r>
            <w:r w:rsidR="005D5CB2" w:rsidRPr="005D5CB2">
              <w:rPr>
                <w:b w:val="0"/>
                <w:sz w:val="24"/>
              </w:rPr>
              <w:t xml:space="preserve"> lūgusi nozaru ministrijām izvērtēt, vai </w:t>
            </w:r>
            <w:r w:rsidR="005D5CB2">
              <w:rPr>
                <w:b w:val="0"/>
                <w:sz w:val="24"/>
              </w:rPr>
              <w:t>uzraudzības komitejas</w:t>
            </w:r>
            <w:r w:rsidR="005D5CB2" w:rsidRPr="005D5CB2">
              <w:rPr>
                <w:b w:val="0"/>
                <w:sz w:val="24"/>
              </w:rPr>
              <w:t xml:space="preserve"> un </w:t>
            </w:r>
            <w:r w:rsidR="005D5CB2">
              <w:rPr>
                <w:b w:val="0"/>
                <w:sz w:val="24"/>
              </w:rPr>
              <w:t>tās apakškomiteju</w:t>
            </w:r>
            <w:r w:rsidR="005D5CB2" w:rsidRPr="005D5CB2">
              <w:rPr>
                <w:b w:val="0"/>
                <w:sz w:val="24"/>
              </w:rPr>
              <w:t xml:space="preserve"> sastāvā ir pārstāvētas vismaz trīs institūcijas, kuras pārstāv jomas, kurās ir plānoti ieguldījumi atbilstoši darbības programmai.</w:t>
            </w:r>
            <w:r w:rsidR="005D5CB2">
              <w:rPr>
                <w:b w:val="0"/>
                <w:sz w:val="24"/>
                <w:szCs w:val="24"/>
              </w:rPr>
              <w:t xml:space="preserve"> </w:t>
            </w:r>
            <w:r w:rsidR="00FF576C">
              <w:rPr>
                <w:b w:val="0"/>
                <w:sz w:val="24"/>
                <w:szCs w:val="24"/>
              </w:rPr>
              <w:t xml:space="preserve">(Likumprojekta </w:t>
            </w:r>
            <w:r w:rsidR="00FF576C" w:rsidRPr="000C0E98">
              <w:rPr>
                <w:b w:val="0"/>
                <w:sz w:val="24"/>
                <w:szCs w:val="24"/>
              </w:rPr>
              <w:t>1</w:t>
            </w:r>
            <w:r w:rsidR="000C0E98" w:rsidRPr="000C0E98">
              <w:rPr>
                <w:b w:val="0"/>
                <w:sz w:val="24"/>
                <w:szCs w:val="24"/>
              </w:rPr>
              <w:t>6</w:t>
            </w:r>
            <w:r w:rsidR="00FF576C" w:rsidRPr="000C0E98">
              <w:rPr>
                <w:b w:val="0"/>
                <w:sz w:val="24"/>
                <w:szCs w:val="24"/>
              </w:rPr>
              <w:t>. un 1</w:t>
            </w:r>
            <w:r w:rsidR="000C0E98" w:rsidRPr="000C0E98">
              <w:rPr>
                <w:b w:val="0"/>
                <w:sz w:val="24"/>
                <w:szCs w:val="24"/>
              </w:rPr>
              <w:t>7</w:t>
            </w:r>
            <w:r w:rsidR="00FF576C" w:rsidRPr="000C0E98">
              <w:rPr>
                <w:b w:val="0"/>
                <w:sz w:val="24"/>
                <w:szCs w:val="24"/>
              </w:rPr>
              <w:t>.pants</w:t>
            </w:r>
            <w:r w:rsidR="00FF576C">
              <w:rPr>
                <w:b w:val="0"/>
                <w:sz w:val="24"/>
                <w:szCs w:val="24"/>
              </w:rPr>
              <w:t>)</w:t>
            </w:r>
          </w:p>
          <w:p w14:paraId="7C2975BD" w14:textId="24DBA8D9" w:rsidR="009B00CA" w:rsidRDefault="009B00CA"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174AC6">
              <w:rPr>
                <w:b w:val="0"/>
                <w:sz w:val="24"/>
                <w:szCs w:val="24"/>
              </w:rPr>
              <w:t xml:space="preserve">Likumprojektā, atšķirībā no </w:t>
            </w:r>
            <w:r w:rsidRPr="00174AC6">
              <w:t xml:space="preserve"> </w:t>
            </w:r>
            <w:r w:rsidRPr="00174AC6">
              <w:rPr>
                <w:b w:val="0"/>
                <w:sz w:val="24"/>
                <w:szCs w:val="24"/>
              </w:rPr>
              <w:t>ES fondu 2007.-2013.gada</w:t>
            </w:r>
            <w:r>
              <w:rPr>
                <w:b w:val="0"/>
                <w:sz w:val="24"/>
                <w:szCs w:val="24"/>
              </w:rPr>
              <w:t xml:space="preserve"> plānošanas perioda, ir uzlabot</w:t>
            </w:r>
            <w:r w:rsidRPr="00174AC6">
              <w:rPr>
                <w:b w:val="0"/>
                <w:sz w:val="24"/>
                <w:szCs w:val="24"/>
              </w:rPr>
              <w:t>s regulējums attiecībā pret finansējuma saņēmēju – nosakot tam konkrētas tiesības, t.i., saņemt finansējumu</w:t>
            </w:r>
            <w:r>
              <w:rPr>
                <w:b w:val="0"/>
                <w:sz w:val="24"/>
                <w:szCs w:val="24"/>
              </w:rPr>
              <w:t>, ja izpildīti visi normatīvajos aktos un līgumā vai vienošanās noteiktie projekta īstenošanas nosacījumi,</w:t>
            </w:r>
            <w:r w:rsidRPr="00174AC6">
              <w:rPr>
                <w:b w:val="0"/>
                <w:sz w:val="24"/>
                <w:szCs w:val="24"/>
              </w:rPr>
              <w:t xml:space="preserve"> un</w:t>
            </w:r>
            <w:r>
              <w:rPr>
                <w:b w:val="0"/>
                <w:sz w:val="24"/>
                <w:szCs w:val="24"/>
              </w:rPr>
              <w:t xml:space="preserve"> tiesības saņemt projekta īstenošanai nepieciešamo</w:t>
            </w:r>
            <w:r w:rsidRPr="00174AC6">
              <w:rPr>
                <w:b w:val="0"/>
                <w:sz w:val="24"/>
                <w:szCs w:val="24"/>
              </w:rPr>
              <w:t xml:space="preserve"> informāciju, </w:t>
            </w:r>
            <w:r w:rsidRPr="00174AC6">
              <w:rPr>
                <w:b w:val="0"/>
                <w:sz w:val="24"/>
                <w:szCs w:val="24"/>
              </w:rPr>
              <w:lastRenderedPageBreak/>
              <w:t xml:space="preserve">kas iepriekš skaidri netika noteikts. Turklāt, ievērojot to, ka jaunajā plānošanas periodā Eiropas Komisija </w:t>
            </w:r>
            <w:r>
              <w:rPr>
                <w:b w:val="0"/>
                <w:sz w:val="24"/>
                <w:szCs w:val="24"/>
              </w:rPr>
              <w:t>uzsver uz</w:t>
            </w:r>
            <w:r w:rsidRPr="00174AC6">
              <w:rPr>
                <w:b w:val="0"/>
                <w:sz w:val="24"/>
                <w:szCs w:val="24"/>
              </w:rPr>
              <w:t xml:space="preserve"> </w:t>
            </w:r>
            <w:r>
              <w:rPr>
                <w:b w:val="0"/>
                <w:sz w:val="24"/>
                <w:szCs w:val="24"/>
              </w:rPr>
              <w:t xml:space="preserve">projekta </w:t>
            </w:r>
            <w:r w:rsidRPr="00174AC6">
              <w:rPr>
                <w:b w:val="0"/>
                <w:sz w:val="24"/>
                <w:szCs w:val="24"/>
              </w:rPr>
              <w:t>rezultāt</w:t>
            </w:r>
            <w:r>
              <w:rPr>
                <w:b w:val="0"/>
                <w:sz w:val="24"/>
                <w:szCs w:val="24"/>
              </w:rPr>
              <w:t>u</w:t>
            </w:r>
            <w:r w:rsidRPr="00174AC6">
              <w:rPr>
                <w:b w:val="0"/>
                <w:sz w:val="24"/>
                <w:szCs w:val="24"/>
              </w:rPr>
              <w:t xml:space="preserve"> sasniegšanu</w:t>
            </w:r>
            <w:r>
              <w:rPr>
                <w:b w:val="0"/>
                <w:sz w:val="24"/>
                <w:szCs w:val="24"/>
              </w:rPr>
              <w:t xml:space="preserve"> balstītu pieeju</w:t>
            </w:r>
            <w:r w:rsidRPr="00174AC6">
              <w:rPr>
                <w:b w:val="0"/>
                <w:sz w:val="24"/>
                <w:szCs w:val="24"/>
              </w:rPr>
              <w:t xml:space="preserve"> un krāpšanas </w:t>
            </w:r>
            <w:r>
              <w:rPr>
                <w:b w:val="0"/>
                <w:sz w:val="24"/>
                <w:szCs w:val="24"/>
              </w:rPr>
              <w:t>apkarošanu</w:t>
            </w:r>
            <w:r w:rsidRPr="00174AC6">
              <w:rPr>
                <w:b w:val="0"/>
                <w:sz w:val="24"/>
                <w:szCs w:val="24"/>
              </w:rPr>
              <w:t xml:space="preserve">, tad, lai nodrošinātu efektīvu fondu apguvi un noteikto mērķu sasniegšanu, ir precizēti finansējuma saņēmēja pienākumi, t.i., nodrošināt projekta rezultātu </w:t>
            </w:r>
            <w:r w:rsidR="00FF576C">
              <w:rPr>
                <w:b w:val="0"/>
                <w:sz w:val="24"/>
                <w:szCs w:val="24"/>
              </w:rPr>
              <w:t xml:space="preserve">un ilgtspējas </w:t>
            </w:r>
            <w:r w:rsidRPr="00174AC6">
              <w:rPr>
                <w:b w:val="0"/>
                <w:sz w:val="24"/>
                <w:szCs w:val="24"/>
              </w:rPr>
              <w:t>saglabāšanu, lai projektam piešķirtais finansējums tie</w:t>
            </w:r>
            <w:r w:rsidR="00C66814">
              <w:rPr>
                <w:b w:val="0"/>
                <w:sz w:val="24"/>
                <w:szCs w:val="24"/>
              </w:rPr>
              <w:t>k</w:t>
            </w:r>
            <w:r w:rsidRPr="00174AC6">
              <w:rPr>
                <w:b w:val="0"/>
                <w:sz w:val="24"/>
                <w:szCs w:val="24"/>
              </w:rPr>
              <w:t xml:space="preserve"> izlietots saskaņā ar pareizas finanšu pārvaldības principu, lai projekta ietvaros veiktie izdevumi būtu tieši saistīti ar mērķu sasniegšanu.</w:t>
            </w:r>
            <w:r w:rsidR="00FF576C">
              <w:rPr>
                <w:b w:val="0"/>
                <w:sz w:val="24"/>
                <w:szCs w:val="24"/>
              </w:rPr>
              <w:t xml:space="preserve"> (Likumprojekta </w:t>
            </w:r>
            <w:r w:rsidR="000C0E98" w:rsidRPr="000C0E98">
              <w:rPr>
                <w:b w:val="0"/>
                <w:sz w:val="24"/>
                <w:szCs w:val="24"/>
              </w:rPr>
              <w:t>19</w:t>
            </w:r>
            <w:r w:rsidR="00FF576C" w:rsidRPr="000C0E98">
              <w:rPr>
                <w:b w:val="0"/>
                <w:sz w:val="24"/>
                <w:szCs w:val="24"/>
              </w:rPr>
              <w:t>.pants</w:t>
            </w:r>
            <w:r w:rsidR="00FF576C">
              <w:rPr>
                <w:b w:val="0"/>
                <w:sz w:val="24"/>
                <w:szCs w:val="24"/>
              </w:rPr>
              <w:t>)</w:t>
            </w:r>
          </w:p>
          <w:p w14:paraId="5AEE6EF2" w14:textId="37B62C30" w:rsidR="009B00CA" w:rsidRDefault="00B23AC9" w:rsidP="00F57E68">
            <w:pPr>
              <w:pStyle w:val="Heading3"/>
              <w:numPr>
                <w:ilvl w:val="0"/>
                <w:numId w:val="22"/>
              </w:numPr>
              <w:shd w:val="clear" w:color="auto" w:fill="FFFFFF"/>
              <w:spacing w:before="0" w:beforeAutospacing="0" w:after="0" w:afterAutospacing="0"/>
              <w:ind w:left="57" w:right="57" w:firstLine="284"/>
              <w:jc w:val="both"/>
              <w:rPr>
                <w:b w:val="0"/>
                <w:sz w:val="24"/>
                <w:szCs w:val="24"/>
              </w:rPr>
            </w:pPr>
            <w:r>
              <w:rPr>
                <w:b w:val="0"/>
                <w:sz w:val="24"/>
                <w:szCs w:val="24"/>
              </w:rPr>
              <w:t xml:space="preserve">Arī </w:t>
            </w:r>
            <w:r w:rsidR="00FF576C">
              <w:rPr>
                <w:b w:val="0"/>
                <w:sz w:val="24"/>
                <w:szCs w:val="24"/>
              </w:rPr>
              <w:t xml:space="preserve">jaunajā </w:t>
            </w:r>
            <w:r>
              <w:rPr>
                <w:b w:val="0"/>
                <w:sz w:val="24"/>
                <w:szCs w:val="24"/>
              </w:rPr>
              <w:t>plānošanas periodā ar finansējuma saņēmējiem atkarībā no to juridiskā statusa tiks slēgti civiltiesiski līgumi (ar privātpersonām) vai vienošanās par projektu īstenošanu (ar publiskām personām)</w:t>
            </w:r>
            <w:r w:rsidR="006845B7">
              <w:rPr>
                <w:b w:val="0"/>
                <w:sz w:val="24"/>
                <w:szCs w:val="24"/>
              </w:rPr>
              <w:t xml:space="preserve"> (likumprojekta </w:t>
            </w:r>
            <w:r w:rsidR="000C0E98" w:rsidRPr="003D7C54">
              <w:rPr>
                <w:b w:val="0"/>
                <w:sz w:val="24"/>
                <w:szCs w:val="24"/>
              </w:rPr>
              <w:t>19</w:t>
            </w:r>
            <w:r w:rsidR="006845B7" w:rsidRPr="003D7C54">
              <w:rPr>
                <w:b w:val="0"/>
                <w:sz w:val="24"/>
                <w:szCs w:val="24"/>
              </w:rPr>
              <w:t>.panta</w:t>
            </w:r>
            <w:r w:rsidR="006845B7" w:rsidRPr="000C0E98">
              <w:rPr>
                <w:b w:val="0"/>
                <w:sz w:val="24"/>
                <w:szCs w:val="24"/>
              </w:rPr>
              <w:t xml:space="preserve"> pirmās daļas 1. un 2.punkts)</w:t>
            </w:r>
            <w:r w:rsidRPr="000C0E98">
              <w:rPr>
                <w:b w:val="0"/>
                <w:sz w:val="24"/>
                <w:szCs w:val="24"/>
              </w:rPr>
              <w:t>. ES fondu sistēmas ieviešanas</w:t>
            </w:r>
            <w:r>
              <w:rPr>
                <w:b w:val="0"/>
                <w:sz w:val="24"/>
                <w:szCs w:val="24"/>
              </w:rPr>
              <w:t xml:space="preserve"> </w:t>
            </w:r>
            <w:proofErr w:type="spellStart"/>
            <w:r>
              <w:rPr>
                <w:b w:val="0"/>
                <w:sz w:val="24"/>
                <w:szCs w:val="24"/>
              </w:rPr>
              <w:t>efektivizācijas</w:t>
            </w:r>
            <w:proofErr w:type="spellEnd"/>
            <w:r>
              <w:rPr>
                <w:b w:val="0"/>
                <w:sz w:val="24"/>
                <w:szCs w:val="24"/>
              </w:rPr>
              <w:t xml:space="preserve"> </w:t>
            </w:r>
            <w:proofErr w:type="spellStart"/>
            <w:r>
              <w:rPr>
                <w:b w:val="0"/>
                <w:sz w:val="24"/>
                <w:szCs w:val="24"/>
              </w:rPr>
              <w:t>izvērtējumā</w:t>
            </w:r>
            <w:proofErr w:type="spellEnd"/>
            <w:r>
              <w:rPr>
                <w:b w:val="0"/>
                <w:sz w:val="24"/>
                <w:szCs w:val="24"/>
              </w:rPr>
              <w:t xml:space="preserve"> </w:t>
            </w:r>
            <w:proofErr w:type="spellStart"/>
            <w:r>
              <w:rPr>
                <w:b w:val="0"/>
                <w:sz w:val="24"/>
                <w:szCs w:val="24"/>
              </w:rPr>
              <w:t>citstarp</w:t>
            </w:r>
            <w:proofErr w:type="spellEnd"/>
            <w:r>
              <w:rPr>
                <w:b w:val="0"/>
                <w:sz w:val="24"/>
                <w:szCs w:val="24"/>
              </w:rPr>
              <w:t xml:space="preserve"> tika analizēts, vai samazinātos administratīvie šķēršļi un administratīvais slogs, ja civiltiesisko līgumu vietā tiktu slēgti publisko tiesību līgumi vai izdoti administratīvie akti par projekta apstiprināšanu un īstenošanu ar nosacījumiem. Analīzes rezultātā izvērtētāji secināja, ka teorētiski atbilstošākais risinājums būtu publisko tiesību līgums, taču vienlaikus ir jāizvērtē arī efektivitātes argumenti. Kā efektīvākais un piemērotākais risinājums tika atzīts civiltiesisks līgums, uzsverot šādus būtiskākos argumentus:</w:t>
            </w:r>
          </w:p>
          <w:p w14:paraId="4D207272" w14:textId="4DBA557D" w:rsidR="00474EEF" w:rsidRDefault="00474EEF" w:rsidP="00F13596">
            <w:pPr>
              <w:pStyle w:val="Heading3"/>
              <w:numPr>
                <w:ilvl w:val="1"/>
                <w:numId w:val="22"/>
              </w:numPr>
              <w:shd w:val="clear" w:color="auto" w:fill="FFFFFF"/>
              <w:tabs>
                <w:tab w:val="left" w:pos="1092"/>
              </w:tabs>
              <w:spacing w:before="0" w:beforeAutospacing="0" w:after="120" w:afterAutospacing="0"/>
              <w:ind w:left="383" w:right="57" w:firstLine="0"/>
              <w:jc w:val="both"/>
              <w:rPr>
                <w:b w:val="0"/>
                <w:sz w:val="24"/>
                <w:szCs w:val="24"/>
              </w:rPr>
            </w:pPr>
            <w:r>
              <w:rPr>
                <w:b w:val="0"/>
                <w:sz w:val="24"/>
                <w:szCs w:val="24"/>
              </w:rPr>
              <w:t>gan iestādēm, gan finansējuma saņēmējiem jau kopš 2004.gada ir pieredze šādu līgumu izstrādē un piemērošanā, turklāt tie ir atzīti arī tiesu praksē;</w:t>
            </w:r>
          </w:p>
          <w:p w14:paraId="19191570" w14:textId="734AFE5C" w:rsidR="00474EEF" w:rsidRDefault="00474EEF" w:rsidP="00F13596">
            <w:pPr>
              <w:pStyle w:val="Heading3"/>
              <w:numPr>
                <w:ilvl w:val="1"/>
                <w:numId w:val="22"/>
              </w:numPr>
              <w:shd w:val="clear" w:color="auto" w:fill="FFFFFF"/>
              <w:tabs>
                <w:tab w:val="left" w:pos="1092"/>
              </w:tabs>
              <w:spacing w:before="0" w:beforeAutospacing="0" w:after="120" w:afterAutospacing="0"/>
              <w:ind w:left="383" w:right="57" w:firstLine="0"/>
              <w:jc w:val="both"/>
              <w:rPr>
                <w:b w:val="0"/>
                <w:sz w:val="24"/>
                <w:szCs w:val="24"/>
              </w:rPr>
            </w:pPr>
            <w:r>
              <w:rPr>
                <w:b w:val="0"/>
                <w:sz w:val="24"/>
                <w:szCs w:val="24"/>
              </w:rPr>
              <w:t>civiltiesisks līgums ir elastīgāks līdzeklis tiesisko attiecību noregulēšanai;</w:t>
            </w:r>
          </w:p>
          <w:p w14:paraId="3FD2E2F5" w14:textId="27783A38" w:rsidR="00474EEF" w:rsidRDefault="00474EEF" w:rsidP="00F13596">
            <w:pPr>
              <w:pStyle w:val="Heading3"/>
              <w:numPr>
                <w:ilvl w:val="1"/>
                <w:numId w:val="22"/>
              </w:numPr>
              <w:shd w:val="clear" w:color="auto" w:fill="FFFFFF"/>
              <w:tabs>
                <w:tab w:val="left" w:pos="1092"/>
              </w:tabs>
              <w:spacing w:before="0" w:beforeAutospacing="0" w:after="120" w:afterAutospacing="0"/>
              <w:ind w:left="383" w:right="57" w:firstLine="0"/>
              <w:jc w:val="both"/>
              <w:rPr>
                <w:b w:val="0"/>
                <w:sz w:val="24"/>
                <w:szCs w:val="24"/>
              </w:rPr>
            </w:pPr>
            <w:r>
              <w:rPr>
                <w:b w:val="0"/>
                <w:sz w:val="24"/>
                <w:szCs w:val="24"/>
              </w:rPr>
              <w:t>publisko tiesību līguma izpildes strīda gadījumā nepieļauj piemērot prasības nodrošinājumu kā līdzekli, ko šobrīd praksē izmanto;</w:t>
            </w:r>
          </w:p>
          <w:p w14:paraId="4A5E40BF" w14:textId="615B9FDE" w:rsidR="00474EEF" w:rsidRDefault="00474EEF" w:rsidP="00F13596">
            <w:pPr>
              <w:pStyle w:val="Heading3"/>
              <w:numPr>
                <w:ilvl w:val="1"/>
                <w:numId w:val="22"/>
              </w:numPr>
              <w:shd w:val="clear" w:color="auto" w:fill="FFFFFF"/>
              <w:tabs>
                <w:tab w:val="left" w:pos="1092"/>
              </w:tabs>
              <w:spacing w:before="0" w:beforeAutospacing="0" w:after="120" w:afterAutospacing="0"/>
              <w:ind w:left="383" w:right="57" w:firstLine="0"/>
              <w:jc w:val="both"/>
              <w:rPr>
                <w:b w:val="0"/>
                <w:sz w:val="24"/>
                <w:szCs w:val="24"/>
              </w:rPr>
            </w:pPr>
            <w:r>
              <w:rPr>
                <w:b w:val="0"/>
                <w:sz w:val="24"/>
                <w:szCs w:val="24"/>
              </w:rPr>
              <w:t>nav iespējams paredzēt līgumsodu, kā vietā normatīvajā aktā jāparedz nokavējuma nauda;</w:t>
            </w:r>
          </w:p>
          <w:p w14:paraId="0C808C2A" w14:textId="75DEBE78" w:rsidR="00474EEF" w:rsidRDefault="00474EEF" w:rsidP="00F13596">
            <w:pPr>
              <w:pStyle w:val="Heading3"/>
              <w:numPr>
                <w:ilvl w:val="1"/>
                <w:numId w:val="22"/>
              </w:numPr>
              <w:shd w:val="clear" w:color="auto" w:fill="FFFFFF"/>
              <w:tabs>
                <w:tab w:val="left" w:pos="1092"/>
              </w:tabs>
              <w:spacing w:before="0" w:beforeAutospacing="0" w:after="120" w:afterAutospacing="0"/>
              <w:ind w:left="383" w:right="57" w:firstLine="0"/>
              <w:jc w:val="both"/>
              <w:rPr>
                <w:b w:val="0"/>
                <w:sz w:val="24"/>
                <w:szCs w:val="24"/>
              </w:rPr>
            </w:pPr>
            <w:r>
              <w:rPr>
                <w:b w:val="0"/>
                <w:sz w:val="24"/>
                <w:szCs w:val="24"/>
              </w:rPr>
              <w:t xml:space="preserve">starp pusēm pastāv sacīkstes princips, kas nozīmē, ka abām pusēm jāpierāda tie argumenti, uz kuriem tās balstās savā rīcībā. (skat. ES fondu </w:t>
            </w:r>
            <w:proofErr w:type="spellStart"/>
            <w:r>
              <w:rPr>
                <w:b w:val="0"/>
                <w:sz w:val="24"/>
                <w:szCs w:val="24"/>
              </w:rPr>
              <w:t>efektivizācijas</w:t>
            </w:r>
            <w:proofErr w:type="spellEnd"/>
            <w:r>
              <w:rPr>
                <w:b w:val="0"/>
                <w:sz w:val="24"/>
                <w:szCs w:val="24"/>
              </w:rPr>
              <w:t xml:space="preserve"> izvērtējuma 29.-36.lpp</w:t>
            </w:r>
            <w:r w:rsidRPr="005E26F3">
              <w:rPr>
                <w:b w:val="0"/>
                <w:sz w:val="24"/>
                <w:szCs w:val="24"/>
              </w:rPr>
              <w:t>.</w:t>
            </w:r>
            <w:r w:rsidR="00BD67FD" w:rsidRPr="005E26F3">
              <w:rPr>
                <w:b w:val="0"/>
                <w:sz w:val="24"/>
                <w:szCs w:val="24"/>
              </w:rPr>
              <w:t xml:space="preserve">, </w:t>
            </w:r>
            <w:r w:rsidR="005E26F3" w:rsidRPr="005E26F3">
              <w:rPr>
                <w:b w:val="0"/>
                <w:sz w:val="24"/>
                <w:szCs w:val="24"/>
              </w:rPr>
              <w:t>3.pielikums</w:t>
            </w:r>
            <w:r w:rsidR="005E26F3">
              <w:rPr>
                <w:b w:val="0"/>
                <w:sz w:val="24"/>
                <w:szCs w:val="24"/>
              </w:rPr>
              <w:t>)</w:t>
            </w:r>
            <w:r w:rsidR="00566531">
              <w:rPr>
                <w:b w:val="0"/>
                <w:sz w:val="24"/>
                <w:szCs w:val="24"/>
              </w:rPr>
              <w:t>.</w:t>
            </w:r>
          </w:p>
          <w:p w14:paraId="206CE9A2" w14:textId="120D1CE7" w:rsidR="00B23AC9" w:rsidRDefault="00B23AC9"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Ņemot vērā minētos argumentus, netika ņemts vērā Valsts kancelejas vadītās starpinstitūciju darba grupas ieteikumus ar privātpersonām slēgt administratīvos līgumus, kas ir publisko tiesību līgumi.  Līdz ar to likumprojektā saglabāta iepriekšējā kārtība, kad ar finansējuma saņēmējiem, kuri ir privātpersonas, tiks</w:t>
            </w:r>
            <w:r w:rsidR="00E52FB5">
              <w:rPr>
                <w:b w:val="0"/>
                <w:sz w:val="24"/>
                <w:szCs w:val="24"/>
              </w:rPr>
              <w:t xml:space="preserve"> slēgti</w:t>
            </w:r>
            <w:r>
              <w:rPr>
                <w:b w:val="0"/>
                <w:sz w:val="24"/>
                <w:szCs w:val="24"/>
              </w:rPr>
              <w:t xml:space="preserve"> civiltiesiski līgumi par projekta īstenošanu, bet ar publiskām personām – vienošanās.</w:t>
            </w:r>
          </w:p>
          <w:p w14:paraId="0E026EDC" w14:textId="78E55EB9" w:rsidR="00B23AC9" w:rsidRDefault="00B23AC9"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784413">
              <w:rPr>
                <w:b w:val="0"/>
                <w:sz w:val="24"/>
                <w:szCs w:val="24"/>
              </w:rPr>
              <w:lastRenderedPageBreak/>
              <w:t xml:space="preserve">Līdzīgi kā ES fondu vadības likumā, likumprojektā </w:t>
            </w:r>
            <w:r>
              <w:rPr>
                <w:b w:val="0"/>
                <w:sz w:val="24"/>
                <w:szCs w:val="24"/>
              </w:rPr>
              <w:t>Ministru kabinets tiek pilnvarots izdot virkni</w:t>
            </w:r>
            <w:r w:rsidRPr="00784413">
              <w:rPr>
                <w:b w:val="0"/>
                <w:sz w:val="24"/>
                <w:szCs w:val="24"/>
              </w:rPr>
              <w:t xml:space="preserve"> Ministru kabineta noteikumu ES fondu vadības nodrošināšanai. </w:t>
            </w:r>
            <w:r>
              <w:rPr>
                <w:b w:val="0"/>
                <w:sz w:val="24"/>
                <w:szCs w:val="24"/>
              </w:rPr>
              <w:t>Šajā gadījumā Ministru kabineta kompetence būtiski neatšķiras no 2007.-2013.gada plānošanas perioda regulējuma (izņemot attiecībā uz projektu iesniegumu vērtēšanas kritēriju apstiprināšanu)</w:t>
            </w:r>
            <w:r w:rsidR="005E5AE3">
              <w:rPr>
                <w:b w:val="0"/>
                <w:sz w:val="24"/>
                <w:szCs w:val="24"/>
              </w:rPr>
              <w:t xml:space="preserve"> (</w:t>
            </w:r>
            <w:r w:rsidR="005E5AE3" w:rsidRPr="000C0E98">
              <w:rPr>
                <w:b w:val="0"/>
                <w:sz w:val="24"/>
                <w:szCs w:val="24"/>
              </w:rPr>
              <w:t>2</w:t>
            </w:r>
            <w:r w:rsidR="000C0E98" w:rsidRPr="000C0E98">
              <w:rPr>
                <w:b w:val="0"/>
                <w:sz w:val="24"/>
                <w:szCs w:val="24"/>
              </w:rPr>
              <w:t>1</w:t>
            </w:r>
            <w:r w:rsidR="005E5AE3" w:rsidRPr="000C0E98">
              <w:rPr>
                <w:b w:val="0"/>
                <w:sz w:val="24"/>
                <w:szCs w:val="24"/>
              </w:rPr>
              <w:t>.pants</w:t>
            </w:r>
            <w:r w:rsidR="005E5AE3">
              <w:rPr>
                <w:b w:val="0"/>
                <w:sz w:val="24"/>
                <w:szCs w:val="24"/>
              </w:rPr>
              <w:t>)</w:t>
            </w:r>
            <w:r>
              <w:rPr>
                <w:b w:val="0"/>
                <w:sz w:val="24"/>
                <w:szCs w:val="24"/>
              </w:rPr>
              <w:t>.</w:t>
            </w:r>
          </w:p>
          <w:p w14:paraId="1CF5CD1A" w14:textId="55AF1A3D" w:rsidR="004317B5" w:rsidRDefault="004317B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Ņemot vērā, ka ES fondu 2014.-2020.gada plānošanas periodā ir paredzēts paplašināt vienkāršoto izmaksu piemērošanu, Ministru kabinets tiek pilnvarots noteikt minēto izmaksu piemērošanas nosacījumus un kārtību</w:t>
            </w:r>
            <w:r w:rsidR="005E5AE3">
              <w:rPr>
                <w:b w:val="0"/>
                <w:sz w:val="24"/>
                <w:szCs w:val="24"/>
              </w:rPr>
              <w:t xml:space="preserve"> (</w:t>
            </w:r>
            <w:r w:rsidR="000C0E98">
              <w:rPr>
                <w:b w:val="0"/>
                <w:sz w:val="24"/>
                <w:szCs w:val="24"/>
              </w:rPr>
              <w:t xml:space="preserve">likumprojekta </w:t>
            </w:r>
            <w:r w:rsidR="005E5AE3" w:rsidRPr="000C0E98">
              <w:rPr>
                <w:b w:val="0"/>
                <w:sz w:val="24"/>
                <w:szCs w:val="24"/>
              </w:rPr>
              <w:t>2</w:t>
            </w:r>
            <w:r w:rsidR="000C0E98" w:rsidRPr="000C0E98">
              <w:rPr>
                <w:b w:val="0"/>
                <w:sz w:val="24"/>
                <w:szCs w:val="24"/>
              </w:rPr>
              <w:t>1</w:t>
            </w:r>
            <w:r w:rsidR="005E5AE3" w:rsidRPr="000C0E98">
              <w:rPr>
                <w:b w:val="0"/>
                <w:sz w:val="24"/>
                <w:szCs w:val="24"/>
              </w:rPr>
              <w:t xml:space="preserve">.panta </w:t>
            </w:r>
            <w:r w:rsidR="000C0E98" w:rsidRPr="000C0E98">
              <w:rPr>
                <w:b w:val="0"/>
                <w:sz w:val="24"/>
                <w:szCs w:val="24"/>
              </w:rPr>
              <w:t>6</w:t>
            </w:r>
            <w:r w:rsidR="005E5AE3" w:rsidRPr="000C0E98">
              <w:rPr>
                <w:b w:val="0"/>
                <w:sz w:val="24"/>
                <w:szCs w:val="24"/>
              </w:rPr>
              <w:t>.punkts</w:t>
            </w:r>
            <w:r w:rsidR="005E5AE3">
              <w:rPr>
                <w:b w:val="0"/>
                <w:sz w:val="24"/>
                <w:szCs w:val="24"/>
              </w:rPr>
              <w:t>)</w:t>
            </w:r>
            <w:r>
              <w:rPr>
                <w:b w:val="0"/>
                <w:sz w:val="24"/>
                <w:szCs w:val="24"/>
              </w:rPr>
              <w:t xml:space="preserve">. </w:t>
            </w:r>
            <w:r>
              <w:rPr>
                <w:color w:val="FF0000"/>
              </w:rPr>
              <w:t xml:space="preserve"> </w:t>
            </w:r>
            <w:r w:rsidRPr="009C0A72">
              <w:rPr>
                <w:b w:val="0"/>
                <w:sz w:val="24"/>
                <w:szCs w:val="24"/>
              </w:rPr>
              <w:t xml:space="preserve">Vienkāršoto izmaksu piemērošana ir mehānisms administratīvā sloga mazināšanai gan finansējuma saņēmējiem, ļaujot vairāk fokusēties uz rezultātu sasniegšanu, gan arī uzraugošajām iestādēm, kurām nav nepieciešams pārbaudīt visu projekta dokumentāciju. ES fondu 2014.-2020.gada plānošanas periodā vienkāršoto izmaksu piemērošanas iespējas un nosacījumi ir kļuvuši elastīgāki. </w:t>
            </w:r>
            <w:r w:rsidR="005546D3" w:rsidRPr="009C0A72">
              <w:rPr>
                <w:b w:val="0"/>
                <w:sz w:val="24"/>
                <w:szCs w:val="24"/>
              </w:rPr>
              <w:t xml:space="preserve">ES fondu </w:t>
            </w:r>
            <w:r w:rsidR="005546D3" w:rsidRPr="009C0A72">
              <w:rPr>
                <w:b w:val="0"/>
                <w:sz w:val="24"/>
              </w:rPr>
              <w:t>2007.-2013.gada plānošanas periodā vienkāršotās izmaksas tika piemērotas tikai ESF projektiem.</w:t>
            </w:r>
            <w:r w:rsidRPr="009C0A72">
              <w:rPr>
                <w:b w:val="0"/>
                <w:sz w:val="24"/>
                <w:szCs w:val="24"/>
              </w:rPr>
              <w:t xml:space="preserve"> Paredzēts, ka turpmāk vienkāršotās izmaksas varēs attiecināt arī uz Eiropas Reģionālās attīstības fonda un Kohēzijas fonda projektiem, ja izvērtējuma rezultāti šādu iespēju apstiprinās, jo jāņem vērā, ka uz infrastruktūras projektiem pastāv ierobežojums, </w:t>
            </w:r>
            <w:r w:rsidR="005546D3" w:rsidRPr="009C0A72">
              <w:rPr>
                <w:b w:val="0"/>
                <w:sz w:val="24"/>
                <w:szCs w:val="24"/>
              </w:rPr>
              <w:t>kas nosaka</w:t>
            </w:r>
            <w:r w:rsidRPr="009C0A72">
              <w:rPr>
                <w:b w:val="0"/>
                <w:sz w:val="24"/>
                <w:szCs w:val="24"/>
              </w:rPr>
              <w:t xml:space="preserve">, </w:t>
            </w:r>
            <w:r w:rsidR="005E5AE3">
              <w:rPr>
                <w:b w:val="0"/>
                <w:sz w:val="24"/>
                <w:szCs w:val="24"/>
              </w:rPr>
              <w:t xml:space="preserve">ka </w:t>
            </w:r>
            <w:r w:rsidRPr="009C0A72">
              <w:rPr>
                <w:b w:val="0"/>
                <w:sz w:val="24"/>
                <w:szCs w:val="24"/>
              </w:rPr>
              <w:t xml:space="preserve">vienkāršotās izmaksas nevar attiecināt uz darbību, kas tiek īstenota ar iepirkuma starpniecību saskaņā ar Regulas </w:t>
            </w:r>
            <w:r w:rsidR="005546D3" w:rsidRPr="009C0A72">
              <w:rPr>
                <w:b w:val="0"/>
                <w:sz w:val="24"/>
                <w:szCs w:val="24"/>
              </w:rPr>
              <w:t xml:space="preserve">Nr.1303/2013 </w:t>
            </w:r>
            <w:r w:rsidRPr="009C0A72">
              <w:rPr>
                <w:b w:val="0"/>
                <w:sz w:val="24"/>
                <w:szCs w:val="24"/>
              </w:rPr>
              <w:t>67.panta 4.punktu.</w:t>
            </w:r>
            <w:r w:rsidR="005546D3" w:rsidRPr="009C0A72">
              <w:rPr>
                <w:b w:val="0"/>
                <w:sz w:val="24"/>
                <w:szCs w:val="24"/>
              </w:rPr>
              <w:t xml:space="preserve"> </w:t>
            </w:r>
            <w:r w:rsidR="008B7959">
              <w:t xml:space="preserve"> </w:t>
            </w:r>
            <w:r w:rsidR="008B7959" w:rsidRPr="008B7959">
              <w:rPr>
                <w:b w:val="0"/>
                <w:sz w:val="24"/>
              </w:rPr>
              <w:t>V</w:t>
            </w:r>
            <w:r w:rsidR="008B7959">
              <w:rPr>
                <w:b w:val="0"/>
                <w:sz w:val="24"/>
              </w:rPr>
              <w:t>adošā iestāde</w:t>
            </w:r>
            <w:r w:rsidR="008B7959" w:rsidRPr="008B7959">
              <w:rPr>
                <w:b w:val="0"/>
                <w:sz w:val="24"/>
              </w:rPr>
              <w:t xml:space="preserve"> ir sagatavojusi tehniskās specifikācijas projektu iepirkuma veikšanai konsultantu iepirkšanai un 2014.gada aprīlī ir uzsākusi iepirkum</w:t>
            </w:r>
            <w:r w:rsidR="00280696">
              <w:rPr>
                <w:b w:val="0"/>
                <w:sz w:val="24"/>
              </w:rPr>
              <w:t>a</w:t>
            </w:r>
            <w:r w:rsidR="008B7959" w:rsidRPr="008B7959">
              <w:rPr>
                <w:b w:val="0"/>
                <w:sz w:val="24"/>
              </w:rPr>
              <w:t xml:space="preserve"> procedūru. Pēc provizoriskiem datiem līgums ar pakalpojuma sniedzēju varētu tikt noslēgts 2014.gada vasarā.</w:t>
            </w:r>
          </w:p>
          <w:p w14:paraId="0C4B4AAA" w14:textId="18261360" w:rsidR="00B23AC9" w:rsidRDefault="00B23AC9"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393CFF">
              <w:rPr>
                <w:b w:val="0"/>
                <w:sz w:val="24"/>
                <w:szCs w:val="24"/>
              </w:rPr>
              <w:t xml:space="preserve">Atšķirībā no ES fondu 2007.-2013.gada plānošanas perioda, likumprojektā ir izdalīta atsevišķa nodaļa, kurā noteikti projektu iesniegumu atlases veidi, vērtēšana, projektu iesniedzēju izslēgšanas </w:t>
            </w:r>
            <w:r w:rsidR="005E5AE3">
              <w:rPr>
                <w:b w:val="0"/>
                <w:sz w:val="24"/>
                <w:szCs w:val="24"/>
              </w:rPr>
              <w:t>noteikumi</w:t>
            </w:r>
            <w:r w:rsidRPr="00393CFF">
              <w:rPr>
                <w:b w:val="0"/>
                <w:sz w:val="24"/>
                <w:szCs w:val="24"/>
              </w:rPr>
              <w:t>, kā arī iesniegumu apstiprināšanas kārtība</w:t>
            </w:r>
            <w:r w:rsidR="005E5AE3">
              <w:rPr>
                <w:b w:val="0"/>
                <w:sz w:val="24"/>
                <w:szCs w:val="24"/>
              </w:rPr>
              <w:t xml:space="preserve"> (IV nodaļa)</w:t>
            </w:r>
            <w:r w:rsidRPr="00393CFF">
              <w:rPr>
                <w:b w:val="0"/>
                <w:sz w:val="24"/>
                <w:szCs w:val="24"/>
              </w:rPr>
              <w:t xml:space="preserve">.  Līdzīgi kā iepriekšējā periodā, projektu iesniegumu atlase tiks noteikta gan </w:t>
            </w:r>
            <w:r w:rsidR="00E52FB5">
              <w:rPr>
                <w:b w:val="0"/>
                <w:sz w:val="24"/>
                <w:szCs w:val="24"/>
              </w:rPr>
              <w:t xml:space="preserve">kā </w:t>
            </w:r>
            <w:r w:rsidRPr="00393CFF">
              <w:rPr>
                <w:b w:val="0"/>
                <w:sz w:val="24"/>
                <w:szCs w:val="24"/>
              </w:rPr>
              <w:t>atklāta, gan ierobežota iesniegumu atlase. Turklāt p</w:t>
            </w:r>
            <w:r w:rsidRPr="00A078FF">
              <w:rPr>
                <w:b w:val="0"/>
                <w:sz w:val="24"/>
                <w:szCs w:val="24"/>
              </w:rPr>
              <w:t xml:space="preserve">rojekta iesniegumu vērtēšanas termiņš </w:t>
            </w:r>
            <w:r>
              <w:rPr>
                <w:b w:val="0"/>
                <w:sz w:val="24"/>
                <w:szCs w:val="24"/>
              </w:rPr>
              <w:t>likumprojektā</w:t>
            </w:r>
            <w:r w:rsidRPr="00A078FF">
              <w:rPr>
                <w:b w:val="0"/>
                <w:sz w:val="24"/>
                <w:szCs w:val="24"/>
              </w:rPr>
              <w:t xml:space="preserve">  joprojām būs noteikts 3 mēneši, ja vien projektu iesniegumu atlases nolikumā</w:t>
            </w:r>
            <w:r>
              <w:rPr>
                <w:b w:val="0"/>
                <w:sz w:val="24"/>
                <w:szCs w:val="24"/>
              </w:rPr>
              <w:t xml:space="preserve">, saskaņā ar kuru sadarbības iestāde veic  projektu iesniegumu atlasi, </w:t>
            </w:r>
            <w:r w:rsidRPr="00A078FF">
              <w:rPr>
                <w:b w:val="0"/>
                <w:sz w:val="24"/>
                <w:szCs w:val="24"/>
              </w:rPr>
              <w:t xml:space="preserve"> nebūs noteikts īsāks termiņš.</w:t>
            </w:r>
          </w:p>
          <w:p w14:paraId="344DEFCE" w14:textId="0003B754" w:rsidR="00B23AC9" w:rsidRDefault="00B23AC9"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Ņemot vērā ES fondu ieviešanas sistēmas </w:t>
            </w:r>
            <w:proofErr w:type="spellStart"/>
            <w:r>
              <w:rPr>
                <w:b w:val="0"/>
                <w:sz w:val="24"/>
                <w:szCs w:val="24"/>
              </w:rPr>
              <w:t>efektivizācijas</w:t>
            </w:r>
            <w:proofErr w:type="spellEnd"/>
            <w:r>
              <w:rPr>
                <w:b w:val="0"/>
                <w:sz w:val="24"/>
                <w:szCs w:val="24"/>
              </w:rPr>
              <w:t xml:space="preserve"> </w:t>
            </w:r>
            <w:proofErr w:type="spellStart"/>
            <w:r>
              <w:rPr>
                <w:b w:val="0"/>
                <w:sz w:val="24"/>
                <w:szCs w:val="24"/>
              </w:rPr>
              <w:t>izvērtējumā</w:t>
            </w:r>
            <w:proofErr w:type="spellEnd"/>
            <w:r>
              <w:rPr>
                <w:b w:val="0"/>
                <w:sz w:val="24"/>
                <w:szCs w:val="24"/>
              </w:rPr>
              <w:t xml:space="preserve"> ietverto ieteikumu (skat. </w:t>
            </w:r>
            <w:r w:rsidR="005E26F3">
              <w:rPr>
                <w:b w:val="0"/>
                <w:sz w:val="24"/>
                <w:szCs w:val="24"/>
              </w:rPr>
              <w:t xml:space="preserve">izvērtējuma </w:t>
            </w:r>
            <w:r>
              <w:rPr>
                <w:b w:val="0"/>
                <w:sz w:val="24"/>
                <w:szCs w:val="24"/>
              </w:rPr>
              <w:t>126.lpp. 6.ieteikum</w:t>
            </w:r>
            <w:r w:rsidR="005E26F3">
              <w:rPr>
                <w:b w:val="0"/>
                <w:sz w:val="24"/>
                <w:szCs w:val="24"/>
              </w:rPr>
              <w:t>u</w:t>
            </w:r>
            <w:r>
              <w:rPr>
                <w:b w:val="0"/>
                <w:sz w:val="24"/>
                <w:szCs w:val="24"/>
              </w:rPr>
              <w:t xml:space="preserve">), likumprojektā </w:t>
            </w:r>
            <w:r>
              <w:rPr>
                <w:b w:val="0"/>
                <w:sz w:val="24"/>
                <w:szCs w:val="24"/>
              </w:rPr>
              <w:lastRenderedPageBreak/>
              <w:t xml:space="preserve">iekļauti projektu iesniedzēju izslēgšanas noteikumi, t.i., </w:t>
            </w:r>
            <w:r w:rsidR="007B0193">
              <w:rPr>
                <w:b w:val="0"/>
                <w:sz w:val="24"/>
                <w:szCs w:val="24"/>
              </w:rPr>
              <w:t xml:space="preserve">ja </w:t>
            </w:r>
            <w:r>
              <w:rPr>
                <w:b w:val="0"/>
                <w:sz w:val="24"/>
                <w:szCs w:val="24"/>
              </w:rPr>
              <w:t xml:space="preserve">sadarbības iestāde </w:t>
            </w:r>
            <w:r w:rsidR="007B0193">
              <w:rPr>
                <w:b w:val="0"/>
                <w:sz w:val="24"/>
                <w:szCs w:val="24"/>
              </w:rPr>
              <w:t xml:space="preserve">konstatē, ka tie attiecināmi uz </w:t>
            </w:r>
            <w:r>
              <w:rPr>
                <w:b w:val="0"/>
                <w:sz w:val="24"/>
                <w:szCs w:val="24"/>
              </w:rPr>
              <w:t xml:space="preserve">projekta iesniedzēju, kurš ir privātpersona, </w:t>
            </w:r>
            <w:r w:rsidR="007B0193">
              <w:rPr>
                <w:b w:val="0"/>
                <w:sz w:val="24"/>
                <w:szCs w:val="24"/>
              </w:rPr>
              <w:t>projekta iesniegumu noraida un neturpina izskatīt atbilstoši projektu iesniegumu vērtēšanas kritērijiem</w:t>
            </w:r>
            <w:r>
              <w:rPr>
                <w:b w:val="0"/>
                <w:sz w:val="24"/>
                <w:szCs w:val="24"/>
              </w:rPr>
              <w:t>. Līdzīga kārtība iekļauta arī  Publisko iepirkumu likumā attiecībā uz pretendentu un kandidātu vērtēšanu. Pēc būtības šādi nosacījumi par to,  ka ES fondu finansējums netiek piešķirts projektu iesniedzējiem, kuri ir maksātspējīgi, nav nomaksājuši nodokļus vai kuri izdarījuši noziedzīgus nodarījumus finanšu jomā, jau līdz šim ir bijuši iekļauti projektu iesniegumu vērtēšanas kritērijos, bet, ņemot vērā jau minēto ieteikumu, kā arī</w:t>
            </w:r>
            <w:r w:rsidR="007B0193">
              <w:rPr>
                <w:b w:val="0"/>
                <w:sz w:val="24"/>
                <w:szCs w:val="24"/>
              </w:rPr>
              <w:t>,</w:t>
            </w:r>
            <w:r>
              <w:rPr>
                <w:b w:val="0"/>
                <w:sz w:val="24"/>
                <w:szCs w:val="24"/>
              </w:rPr>
              <w:t xml:space="preserve"> lai nodrošinātu tiesiskās noteiktības principa ievērošanu, tie iekļauti likumprojektā.</w:t>
            </w:r>
          </w:p>
          <w:p w14:paraId="0D0133E6" w14:textId="278EE341" w:rsidR="004D394D" w:rsidRDefault="00163A60" w:rsidP="004D394D">
            <w:pPr>
              <w:pStyle w:val="Heading3"/>
              <w:numPr>
                <w:ilvl w:val="0"/>
                <w:numId w:val="22"/>
              </w:numPr>
              <w:shd w:val="clear" w:color="auto" w:fill="FFFFFF"/>
              <w:spacing w:before="0" w:beforeAutospacing="0" w:after="120" w:afterAutospacing="0"/>
              <w:ind w:left="100" w:right="57" w:firstLine="283"/>
              <w:jc w:val="both"/>
              <w:rPr>
                <w:b w:val="0"/>
                <w:sz w:val="24"/>
                <w:szCs w:val="24"/>
              </w:rPr>
            </w:pPr>
            <w:r w:rsidRPr="004D394D">
              <w:rPr>
                <w:b w:val="0"/>
                <w:sz w:val="24"/>
                <w:szCs w:val="24"/>
              </w:rPr>
              <w:t xml:space="preserve">Lai veicinātu drošu finanšu vadību un ES fondu finansējumu piešķirtu tikai tādām personām, kuras iepriekš nav veikušas prettiesiskas darbības ES fondu projektu īstenošanā, likumprojektā noteikts, ka projekta iesniedzēju (privātpersonu) no turpmākas dalības projektu iesniegumu atlasē izslēdz arī tad, ja stājies spēkā sadarbības iestādes </w:t>
            </w:r>
            <w:r w:rsidRPr="003A44CF">
              <w:rPr>
                <w:b w:val="0"/>
                <w:sz w:val="24"/>
                <w:szCs w:val="24"/>
              </w:rPr>
              <w:t>lēmums par aizliegumu projekta iesniedzējam vai personai</w:t>
            </w:r>
            <w:r w:rsidRPr="004D394D">
              <w:rPr>
                <w:b w:val="0"/>
                <w:sz w:val="24"/>
                <w:szCs w:val="24"/>
              </w:rPr>
              <w:t>,  </w:t>
            </w:r>
            <w:r w:rsidR="00A70F8B" w:rsidRPr="004D394D">
              <w:rPr>
                <w:b w:val="0"/>
                <w:sz w:val="24"/>
                <w:szCs w:val="24"/>
              </w:rPr>
              <w:t>kura ir attiecīgās juridiskās personas valdes vai padomes loceklis vai prokūrists, vai persona, kura ir pilnvarota pārstāvēt projekta iesniedzēju darbībās, kas saistītas ar filiāli</w:t>
            </w:r>
            <w:r w:rsidRPr="004D394D">
              <w:rPr>
                <w:b w:val="0"/>
                <w:sz w:val="24"/>
                <w:szCs w:val="24"/>
              </w:rPr>
              <w:t>, dalībai projektu iesniegumu atlasē. Sadarbības iestāde ir tiesīga pieņemt šādu lēmumu par aizliegumu dalībai projektu iesniegumu atlasē uz laiku, kas nepārsniedz trīs gadus no lēmuma spēkā stāšanās dienas, ja persona apzināti ir sniegusi nepatiesu informāciju</w:t>
            </w:r>
            <w:r w:rsidR="00A70F8B" w:rsidRPr="004D394D">
              <w:rPr>
                <w:b w:val="0"/>
                <w:sz w:val="24"/>
                <w:szCs w:val="24"/>
              </w:rPr>
              <w:t>, kas ir būtiska</w:t>
            </w:r>
            <w:r w:rsidRPr="004D394D">
              <w:rPr>
                <w:b w:val="0"/>
                <w:sz w:val="24"/>
                <w:szCs w:val="24"/>
              </w:rPr>
              <w:t xml:space="preserve"> projekta iesnieguma novērtēšanai vai, </w:t>
            </w:r>
            <w:r w:rsidR="00A70F8B" w:rsidRPr="004D394D">
              <w:rPr>
                <w:b w:val="0"/>
                <w:sz w:val="24"/>
                <w:szCs w:val="28"/>
              </w:rPr>
              <w:t>īstenojot projektu šā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tiesības vienpusēji atkāpties no līguma par projekta īstenošanu</w:t>
            </w:r>
            <w:r w:rsidR="00F50AA1">
              <w:rPr>
                <w:b w:val="0"/>
                <w:sz w:val="24"/>
                <w:szCs w:val="28"/>
              </w:rPr>
              <w:t xml:space="preserve"> </w:t>
            </w:r>
            <w:r w:rsidR="00F50AA1" w:rsidRPr="000C0E98">
              <w:rPr>
                <w:b w:val="0"/>
                <w:sz w:val="24"/>
                <w:szCs w:val="28"/>
              </w:rPr>
              <w:t>(</w:t>
            </w:r>
            <w:r w:rsidR="000C0E98" w:rsidRPr="000C0E98">
              <w:rPr>
                <w:b w:val="0"/>
                <w:sz w:val="24"/>
                <w:szCs w:val="28"/>
              </w:rPr>
              <w:t>28</w:t>
            </w:r>
            <w:r w:rsidR="00F50AA1" w:rsidRPr="000C0E98">
              <w:rPr>
                <w:b w:val="0"/>
                <w:sz w:val="24"/>
                <w:szCs w:val="28"/>
              </w:rPr>
              <w:t>.pants)</w:t>
            </w:r>
            <w:r w:rsidRPr="000C0E98">
              <w:rPr>
                <w:b w:val="0"/>
                <w:sz w:val="24"/>
                <w:szCs w:val="24"/>
              </w:rPr>
              <w:t>.</w:t>
            </w:r>
            <w:r w:rsidRPr="004D394D">
              <w:rPr>
                <w:b w:val="0"/>
                <w:sz w:val="24"/>
                <w:szCs w:val="24"/>
              </w:rPr>
              <w:t xml:space="preserve"> </w:t>
            </w:r>
            <w:r w:rsidR="00C365F0">
              <w:rPr>
                <w:b w:val="0"/>
                <w:sz w:val="24"/>
                <w:szCs w:val="24"/>
              </w:rPr>
              <w:t xml:space="preserve">Sadarbības iestāde šādu lēmumu būtībā var pieņemt jebkurā brīdī, tiklīdz tās rīcībā ir pietiekami daudz faktu, kas liecina par minēto nosacījumu iestāšanos un aizliegums konkrētajā situācijā būtu uzskatāms par lietderīgu. </w:t>
            </w:r>
            <w:r w:rsidRPr="004D394D">
              <w:rPr>
                <w:b w:val="0"/>
                <w:sz w:val="24"/>
                <w:szCs w:val="24"/>
              </w:rPr>
              <w:t xml:space="preserve">Šāds </w:t>
            </w:r>
            <w:r w:rsidR="00C365F0">
              <w:rPr>
                <w:b w:val="0"/>
                <w:sz w:val="24"/>
                <w:szCs w:val="24"/>
              </w:rPr>
              <w:t>regulējums</w:t>
            </w:r>
            <w:r w:rsidR="00C365F0" w:rsidRPr="004D394D">
              <w:rPr>
                <w:b w:val="0"/>
                <w:sz w:val="24"/>
                <w:szCs w:val="24"/>
              </w:rPr>
              <w:t xml:space="preserve"> </w:t>
            </w:r>
            <w:r w:rsidRPr="004D394D">
              <w:rPr>
                <w:b w:val="0"/>
                <w:sz w:val="24"/>
                <w:szCs w:val="24"/>
              </w:rPr>
              <w:t>iekļauts, daļēji ņem</w:t>
            </w:r>
            <w:r w:rsidR="004A5864" w:rsidRPr="004D394D">
              <w:rPr>
                <w:b w:val="0"/>
                <w:sz w:val="24"/>
                <w:szCs w:val="24"/>
              </w:rPr>
              <w:t>o</w:t>
            </w:r>
            <w:r w:rsidRPr="004D394D">
              <w:rPr>
                <w:b w:val="0"/>
                <w:sz w:val="24"/>
                <w:szCs w:val="24"/>
              </w:rPr>
              <w:t xml:space="preserve">t vērā ES fondu ieviešanas sistēmas </w:t>
            </w:r>
            <w:proofErr w:type="spellStart"/>
            <w:r w:rsidRPr="004D394D">
              <w:rPr>
                <w:b w:val="0"/>
                <w:sz w:val="24"/>
                <w:szCs w:val="24"/>
              </w:rPr>
              <w:t>efektivizācijas</w:t>
            </w:r>
            <w:proofErr w:type="spellEnd"/>
            <w:r w:rsidRPr="004D394D">
              <w:rPr>
                <w:b w:val="0"/>
                <w:sz w:val="24"/>
                <w:szCs w:val="24"/>
              </w:rPr>
              <w:t xml:space="preserve"> pētījumā ietvertais ieteikums (skat. izvērtējuma 126.lpp. 6.ieteikumu), ka gadījumā, ja projekta iesniedzējs kā finansējuma saņēmējs ir tīši maldinājis iestādi, ar kuru tam ir bijis noslēgts līgums par projekta īstenošanu, sniedzot nepatiesas ziņas, tas ir izslēdzams no tālākas dalības projektu iesniegumu atlasē. Izvērtējumā ir norādīts, ka tīša maldināšana, sniedzot nepatiesu </w:t>
            </w:r>
            <w:r w:rsidRPr="004D394D">
              <w:rPr>
                <w:b w:val="0"/>
                <w:sz w:val="24"/>
                <w:szCs w:val="24"/>
              </w:rPr>
              <w:lastRenderedPageBreak/>
              <w:t>informāciju, nebūtu jāsasaista ar noziedzīga nodarījuma izdarīšanu</w:t>
            </w:r>
            <w:r w:rsidR="004A5864" w:rsidRPr="004D394D">
              <w:rPr>
                <w:b w:val="0"/>
                <w:sz w:val="24"/>
                <w:szCs w:val="24"/>
              </w:rPr>
              <w:t>, jo citādi netiek sasniegts efektīvākais veids tādu personu izslēgšanai no pretendēšanas uz finansējumu, kas ar savām darbībām kaitē vai var kaitēt ES budžeta interesēm, radot mākslīgus apstākļus finansējuma saņemšanai</w:t>
            </w:r>
            <w:r w:rsidRPr="004D394D">
              <w:rPr>
                <w:b w:val="0"/>
                <w:sz w:val="24"/>
                <w:szCs w:val="24"/>
              </w:rPr>
              <w:t xml:space="preserve"> (skat. izvērtējuma 39.-58.lpp.). </w:t>
            </w:r>
            <w:r w:rsidR="00815A08" w:rsidRPr="004D394D">
              <w:rPr>
                <w:b w:val="0"/>
                <w:sz w:val="24"/>
                <w:szCs w:val="24"/>
              </w:rPr>
              <w:t>Kā norāda izvērtētāji, „ir nepieciešams autonoms administratīvi tiesisks regulējums, lai izslēgtu no pretendēšanas uz finansējumu personas, kas maldina iestādes ar nolūku saņemt finansējumu, jo finanšu līdzekļu izlietojums ir efektīvs tad, ja novērš nepamatotu līdzekļu piešķiršanu jau pieteikuma stadijā, nevis tos piešķirot un pēc tam atgūstot (ja vēlāk būs ko atgūt)”</w:t>
            </w:r>
            <w:r w:rsidR="00F50AA1">
              <w:rPr>
                <w:b w:val="0"/>
                <w:sz w:val="24"/>
                <w:szCs w:val="24"/>
              </w:rPr>
              <w:t xml:space="preserve"> (skat. izvērtējuma 47.lpp.)</w:t>
            </w:r>
            <w:r w:rsidR="00815A08" w:rsidRPr="004D394D">
              <w:rPr>
                <w:b w:val="0"/>
                <w:sz w:val="24"/>
                <w:szCs w:val="24"/>
              </w:rPr>
              <w:t>. Šādu apsvērumu pamatā ir Padomes 1995.gada 18.decembra regul</w:t>
            </w:r>
            <w:r w:rsidR="00815A08" w:rsidRPr="003A44CF">
              <w:rPr>
                <w:b w:val="0"/>
                <w:sz w:val="24"/>
                <w:szCs w:val="24"/>
              </w:rPr>
              <w:t xml:space="preserve">as (EK, </w:t>
            </w:r>
            <w:r w:rsidR="00815A08" w:rsidRPr="003A44CF">
              <w:rPr>
                <w:b w:val="0"/>
                <w:i/>
                <w:sz w:val="24"/>
                <w:szCs w:val="24"/>
              </w:rPr>
              <w:t>EURATOM</w:t>
            </w:r>
            <w:r w:rsidR="00815A08" w:rsidRPr="004D394D">
              <w:rPr>
                <w:b w:val="0"/>
                <w:sz w:val="24"/>
                <w:szCs w:val="24"/>
              </w:rPr>
              <w:t>) Nr.2988/95 par Eiropas Kopienu finanšu interešu aizsardzību mērķis – noteikt Eiropas Kopienu finansiālo interešu aizsardzībai dažādus administratīvos pasākumus un sodus, kas saistīti ar Kopienu tiesību pārkāpumiem.</w:t>
            </w:r>
            <w:r w:rsidR="00E73815" w:rsidRPr="004D394D">
              <w:rPr>
                <w:b w:val="0"/>
                <w:sz w:val="24"/>
                <w:szCs w:val="24"/>
              </w:rPr>
              <w:t xml:space="preserve"> Turklāt šie administratīvie pasākumi un sodi neskar dalībvalsts krimināllikumu piemērošanu. Patiesu ziņu sniegšana ir tāds pats priekšnoteikums finansējuma saņemšanai kā jebkurš cits priekšnoteikums, piemēram, iesniegšanas termiņš. Personai ir brīva izvēle piedalīties atbalsta sistēmā, no kā arī izriet, ka attiecībā uz izredzēm uz atbalstu tāda atbalsta saņēmēja gadījumā, kurš apzināti ir norādījis nepareizas ziņas, nepastāv arī tiesiskā paļāvība uz atbalstu, jo viņš no paša sākuma zināja, ka viņš nesaņems atbalstu, ja sniegs nepareizas ziņas.</w:t>
            </w:r>
            <w:r w:rsidR="00E73815">
              <w:rPr>
                <w:rStyle w:val="FootnoteReference"/>
                <w:b w:val="0"/>
                <w:sz w:val="24"/>
                <w:szCs w:val="24"/>
              </w:rPr>
              <w:footnoteReference w:id="8"/>
            </w:r>
            <w:r w:rsidR="00E73815" w:rsidRPr="004D394D">
              <w:rPr>
                <w:b w:val="0"/>
                <w:sz w:val="24"/>
                <w:szCs w:val="24"/>
              </w:rPr>
              <w:t xml:space="preserve"> Lai noskaidrotu, vai projekta iesniedzējs vai finansējuma saņēm</w:t>
            </w:r>
            <w:r w:rsidR="00E73815" w:rsidRPr="003A44CF">
              <w:rPr>
                <w:b w:val="0"/>
                <w:sz w:val="24"/>
                <w:szCs w:val="24"/>
              </w:rPr>
              <w:t xml:space="preserve">ējs apzināti sniedzis nepatiesu informāciju vai </w:t>
            </w:r>
            <w:r w:rsidR="00E73815" w:rsidRPr="004D394D">
              <w:rPr>
                <w:b w:val="0"/>
                <w:sz w:val="24"/>
                <w:szCs w:val="24"/>
              </w:rPr>
              <w:t>ļaunprātīgi rīkojies</w:t>
            </w:r>
            <w:r w:rsidR="004D394D" w:rsidRPr="004D394D">
              <w:rPr>
                <w:b w:val="0"/>
                <w:sz w:val="24"/>
                <w:szCs w:val="24"/>
              </w:rPr>
              <w:t>, iestāde pati pārbauda, vai persona nemaldina iestādi, izmantojot plaši pieejamo pierādīšanas līdzekļu spektru atkarībā no katras konkrētās situācijas īpatnībām (piemēram, salīdzinot personas iesniegtās izziņas ar izziņu izdevēja uzrādītajām, pieprasot ekspertīzes, veicot personas juridiskās adreses pārbaudi uz vietas utt.), un pieņem lēmumu</w:t>
            </w:r>
            <w:r w:rsidR="00F50AA1">
              <w:rPr>
                <w:b w:val="0"/>
                <w:sz w:val="24"/>
                <w:szCs w:val="24"/>
              </w:rPr>
              <w:t xml:space="preserve"> </w:t>
            </w:r>
            <w:r w:rsidR="004D394D">
              <w:rPr>
                <w:b w:val="0"/>
                <w:sz w:val="24"/>
                <w:szCs w:val="24"/>
              </w:rPr>
              <w:t>(Administratīvā procesa likuma 59.pants)</w:t>
            </w:r>
            <w:r w:rsidR="00F50AA1">
              <w:rPr>
                <w:b w:val="0"/>
                <w:sz w:val="24"/>
                <w:szCs w:val="24"/>
              </w:rPr>
              <w:t xml:space="preserve"> (skat. izvērtējuma 52.lpp.)</w:t>
            </w:r>
            <w:r w:rsidR="004D394D">
              <w:rPr>
                <w:b w:val="0"/>
                <w:sz w:val="24"/>
                <w:szCs w:val="24"/>
              </w:rPr>
              <w:t>.</w:t>
            </w:r>
            <w:r w:rsidR="003A44CF">
              <w:rPr>
                <w:b w:val="0"/>
                <w:sz w:val="24"/>
                <w:szCs w:val="24"/>
              </w:rPr>
              <w:t xml:space="preserve"> Tādējādi, ja sadarbības iestāde konstatē, ka tās rīcībā ir pietiekami daudz pierādījumu, tā ir tiesīga pieņemt lēmumu, ar kuru liedz personai noteiktu laika periodu piedalīties projektu iesniegumu atlasē.</w:t>
            </w:r>
          </w:p>
          <w:p w14:paraId="66E667D8" w14:textId="2605D361" w:rsidR="00ED47C4" w:rsidRDefault="00ED47C4" w:rsidP="004D394D">
            <w:pPr>
              <w:pStyle w:val="Heading3"/>
              <w:numPr>
                <w:ilvl w:val="0"/>
                <w:numId w:val="22"/>
              </w:numPr>
              <w:shd w:val="clear" w:color="auto" w:fill="FFFFFF"/>
              <w:spacing w:before="0" w:beforeAutospacing="0" w:after="120" w:afterAutospacing="0"/>
              <w:ind w:left="100" w:right="57" w:firstLine="283"/>
              <w:jc w:val="both"/>
              <w:rPr>
                <w:b w:val="0"/>
                <w:sz w:val="24"/>
                <w:szCs w:val="24"/>
              </w:rPr>
            </w:pPr>
            <w:r w:rsidRPr="0014325E">
              <w:rPr>
                <w:b w:val="0"/>
                <w:sz w:val="24"/>
                <w:szCs w:val="24"/>
              </w:rPr>
              <w:t xml:space="preserve">Tāpat kā ES fondu vadības likuma </w:t>
            </w:r>
            <w:r w:rsidRPr="000C0E98">
              <w:rPr>
                <w:b w:val="0"/>
                <w:sz w:val="24"/>
                <w:szCs w:val="24"/>
              </w:rPr>
              <w:t>19.panta trešajā daļā, arī likumprojekta 2</w:t>
            </w:r>
            <w:r w:rsidR="000C0E98" w:rsidRPr="000C0E98">
              <w:rPr>
                <w:b w:val="0"/>
                <w:sz w:val="24"/>
                <w:szCs w:val="24"/>
              </w:rPr>
              <w:t>6</w:t>
            </w:r>
            <w:r w:rsidRPr="000C0E98">
              <w:rPr>
                <w:b w:val="0"/>
                <w:sz w:val="24"/>
                <w:szCs w:val="24"/>
              </w:rPr>
              <w:t xml:space="preserve">.panta ceturtajā daļā un </w:t>
            </w:r>
            <w:r w:rsidR="000C0E98" w:rsidRPr="000C0E98">
              <w:rPr>
                <w:b w:val="0"/>
                <w:sz w:val="24"/>
                <w:szCs w:val="24"/>
              </w:rPr>
              <w:t>27</w:t>
            </w:r>
            <w:r w:rsidRPr="000C0E98">
              <w:rPr>
                <w:b w:val="0"/>
                <w:sz w:val="24"/>
                <w:szCs w:val="24"/>
              </w:rPr>
              <w:t xml:space="preserve">.panta </w:t>
            </w:r>
            <w:r w:rsidR="000C0E98" w:rsidRPr="000C0E98">
              <w:rPr>
                <w:b w:val="0"/>
                <w:sz w:val="24"/>
                <w:szCs w:val="24"/>
              </w:rPr>
              <w:t>ceturtajā</w:t>
            </w:r>
            <w:r w:rsidRPr="000C0E98">
              <w:rPr>
                <w:b w:val="0"/>
                <w:sz w:val="24"/>
                <w:szCs w:val="24"/>
              </w:rPr>
              <w:t xml:space="preserve"> daļā</w:t>
            </w:r>
            <w:r w:rsidRPr="0014325E">
              <w:rPr>
                <w:b w:val="0"/>
                <w:sz w:val="24"/>
                <w:szCs w:val="24"/>
              </w:rPr>
              <w:t xml:space="preserve"> paredzēts, ka sadarbības iestāde var pieņemt lēmumu par projekta iesnieguma </w:t>
            </w:r>
            <w:r w:rsidRPr="0014325E">
              <w:rPr>
                <w:b w:val="0"/>
                <w:sz w:val="24"/>
                <w:szCs w:val="24"/>
              </w:rPr>
              <w:lastRenderedPageBreak/>
              <w:t>apstiprināšanu ar nosacījumu, ja</w:t>
            </w:r>
            <w:r w:rsidRPr="0014325E">
              <w:rPr>
                <w:sz w:val="28"/>
                <w:szCs w:val="28"/>
              </w:rPr>
              <w:t xml:space="preserve"> </w:t>
            </w:r>
            <w:r w:rsidRPr="0014325E">
              <w:rPr>
                <w:b w:val="0"/>
                <w:sz w:val="24"/>
                <w:szCs w:val="28"/>
              </w:rPr>
              <w:t xml:space="preserve">projekta iesniedzējam jāveic sadarbības iestādes noteiktās darbības, lai projekta iesniegums pilnībā atbilstu projektu iesniegumu vērtēšanas kritērijiem un projektu varētu atbilstoši īstenot. Tas attiecas uz gadījumiem, kad projekta iesniegumā konstatētas nebūtiskas neprecizitātes un nebūtu samērīgi projekta iesniegumu noraidīt. </w:t>
            </w:r>
            <w:r>
              <w:t xml:space="preserve"> </w:t>
            </w:r>
            <w:r w:rsidRPr="0014325E">
              <w:rPr>
                <w:b w:val="0"/>
                <w:sz w:val="24"/>
              </w:rPr>
              <w:t>Projekta iesniegums pēc būtības mainītos, ja tajā tiktu iekļautas papildu atbalstāmās darbības un papildu izmaksas vai gluži pretēji – svītrotas, ja iesniegtais projekta iesniegums vispār neatbilst specifiskā atbalsta mērķim. Piemēram, plānoti ieguldījumi izglītības infrastruktūrā, projekta iesniegumā paredzot vidusskolas dabaszinātņu kabinetu labiekārtošanu, tomēr, precizējot projektu, finansējuma lielākā daļa tiek novirzīta ēkas siltināšanai.  Savukārt precizējumi, kas nemaina būtību ir, piemēram, aritmētisko kļūdu precizējumi, nodokļu nomaksa, noteikta satura dokumentu iesniegšana.</w:t>
            </w:r>
          </w:p>
          <w:p w14:paraId="189ECC05" w14:textId="38F76312" w:rsidR="002A470E" w:rsidRPr="0014325E" w:rsidRDefault="000C0E98" w:rsidP="0014325E">
            <w:pPr>
              <w:pStyle w:val="Heading3"/>
              <w:numPr>
                <w:ilvl w:val="0"/>
                <w:numId w:val="22"/>
              </w:numPr>
              <w:shd w:val="clear" w:color="auto" w:fill="FFFFFF"/>
              <w:spacing w:before="0" w:beforeAutospacing="0" w:after="120" w:afterAutospacing="0"/>
              <w:ind w:left="100" w:right="57" w:firstLine="283"/>
              <w:jc w:val="both"/>
              <w:rPr>
                <w:b w:val="0"/>
                <w:sz w:val="24"/>
                <w:szCs w:val="24"/>
              </w:rPr>
            </w:pPr>
            <w:r>
              <w:rPr>
                <w:b w:val="0"/>
                <w:sz w:val="24"/>
                <w:szCs w:val="24"/>
              </w:rPr>
              <w:t>Ņemot vērā to, ka ierobežota projektu iesniegumu atlase tiek piemērota gadījumos, kad plānoti sabiedriski nozīmīgi projekti, to īstenošana ir nepieciešama un bieži vien potenciālais projekta iesniedzējs ir vienīgā publiskā institūcija vai komersants, kas vispār var attiecīgo projektu īstenot, nav lietderīgi projekta iesniegumu noraidīt un organizēt atkārtotu projektu iesniegumu atlasi. Tādēļ jaunajā plānošanas periodā ierobežotas projektu iesniegumu atlases gadījumā paredz</w:t>
            </w:r>
            <w:r w:rsidR="002F0510">
              <w:rPr>
                <w:b w:val="0"/>
                <w:sz w:val="24"/>
                <w:szCs w:val="24"/>
              </w:rPr>
              <w:t xml:space="preserve">ēts, ka par projekta iesniegumu, kas neatbildīs projektu iesniegumu vērtēšanas kritērijiem, tiks pieņemts lēmums par projekta iesnieguma apstiprināšanu ar nosacījumu, lai to varētu precizēt un tas atbilstu kritērijiem. </w:t>
            </w:r>
            <w:r w:rsidR="00632431">
              <w:rPr>
                <w:b w:val="0"/>
                <w:sz w:val="24"/>
                <w:szCs w:val="24"/>
              </w:rPr>
              <w:t xml:space="preserve">Sadarbības iestāde šādu lēmumu varēs pieņemt divas reizes. Ja projekta iesniedzējs pēc atkārtotā lēmuma nebūs izpildījis nosacījumus vai nebūs izpildījis tos noteiktajā termiņā, projekta iesniegums tiks uzskatīts par noraidītu. </w:t>
            </w:r>
            <w:r w:rsidR="002F0510">
              <w:rPr>
                <w:b w:val="0"/>
                <w:sz w:val="24"/>
                <w:szCs w:val="24"/>
              </w:rPr>
              <w:t xml:space="preserve">Ierobežotā projektu iesniegumu atlasē projekta iesniegumu varēs noraidīt tikai tad, ja </w:t>
            </w:r>
            <w:r w:rsidR="00632431">
              <w:rPr>
                <w:b w:val="0"/>
                <w:sz w:val="24"/>
                <w:szCs w:val="24"/>
              </w:rPr>
              <w:t xml:space="preserve">projekta iesniedzējs nebūs uzaicināts iesniegt projekta iesniegumu konkrētajā projektu iesniegumu atlasē vai </w:t>
            </w:r>
            <w:r w:rsidR="002F0510">
              <w:rPr>
                <w:b w:val="0"/>
                <w:sz w:val="24"/>
                <w:szCs w:val="24"/>
              </w:rPr>
              <w:t>uz tā iesniedzēju attieksies kāds no likumprojekta 24.pantā minētajiem izslēgšanas noteikumiem.</w:t>
            </w:r>
          </w:p>
          <w:p w14:paraId="1F2A602C" w14:textId="67739A17" w:rsidR="00867305" w:rsidRPr="003A44CF" w:rsidRDefault="0086730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3A44CF">
              <w:rPr>
                <w:b w:val="0"/>
                <w:sz w:val="24"/>
                <w:szCs w:val="28"/>
              </w:rPr>
              <w:t>Lai veidotu vienādu praksi apstrīdēto sadarbības iestādes lēmumu par projektu iesniegumu noraidīšanu izskatīšanā, kā arī pastiprinātu vienas pieturas aģentūras principa ieviešanu ES fondu sistēmā, 2014.-2020.gada plānošanas periodā sadarbības iestādes lēmumus par projektu iesniegumu noraidīšanu turpmāk varēs apstrīdēt vadošajā iestādē, nevis atbildīgajā iestādē</w:t>
            </w:r>
            <w:r w:rsidR="00F50AA1">
              <w:rPr>
                <w:b w:val="0"/>
                <w:sz w:val="24"/>
                <w:szCs w:val="28"/>
              </w:rPr>
              <w:t xml:space="preserve"> (likumprojekta </w:t>
            </w:r>
            <w:r w:rsidR="00F50AA1" w:rsidRPr="002F0510">
              <w:rPr>
                <w:b w:val="0"/>
                <w:sz w:val="24"/>
                <w:szCs w:val="28"/>
              </w:rPr>
              <w:t>2</w:t>
            </w:r>
            <w:r w:rsidR="002F0510" w:rsidRPr="002F0510">
              <w:rPr>
                <w:b w:val="0"/>
                <w:sz w:val="24"/>
                <w:szCs w:val="28"/>
              </w:rPr>
              <w:t>9</w:t>
            </w:r>
            <w:r w:rsidR="00F50AA1" w:rsidRPr="002F0510">
              <w:rPr>
                <w:b w:val="0"/>
                <w:sz w:val="24"/>
                <w:szCs w:val="28"/>
              </w:rPr>
              <w:t>.pants</w:t>
            </w:r>
            <w:r w:rsidR="00F50AA1">
              <w:rPr>
                <w:b w:val="0"/>
                <w:sz w:val="24"/>
                <w:szCs w:val="28"/>
              </w:rPr>
              <w:t>)</w:t>
            </w:r>
            <w:r w:rsidRPr="003A44CF">
              <w:rPr>
                <w:b w:val="0"/>
                <w:sz w:val="24"/>
                <w:szCs w:val="28"/>
              </w:rPr>
              <w:t xml:space="preserve">. Lēmumu pieņems vadošās iestādes vadītājs, pamatojoties uz </w:t>
            </w:r>
            <w:r w:rsidR="00F50AA1">
              <w:rPr>
                <w:b w:val="0"/>
                <w:sz w:val="24"/>
                <w:szCs w:val="28"/>
              </w:rPr>
              <w:t>iesniegumu izskatīšanas</w:t>
            </w:r>
            <w:r w:rsidR="00F50AA1" w:rsidRPr="003A44CF">
              <w:rPr>
                <w:b w:val="0"/>
                <w:sz w:val="24"/>
                <w:szCs w:val="28"/>
              </w:rPr>
              <w:t xml:space="preserve"> </w:t>
            </w:r>
            <w:r w:rsidRPr="003A44CF">
              <w:rPr>
                <w:b w:val="0"/>
                <w:sz w:val="24"/>
                <w:szCs w:val="28"/>
              </w:rPr>
              <w:t xml:space="preserve">komisijas atzinumu, līdzīgā kārtībā, kāda ir noteikta projektu </w:t>
            </w:r>
            <w:r w:rsidRPr="003A44CF">
              <w:rPr>
                <w:b w:val="0"/>
                <w:sz w:val="24"/>
                <w:szCs w:val="28"/>
              </w:rPr>
              <w:lastRenderedPageBreak/>
              <w:t>iesniegumu vērtēšanas procesā. Komisijas sastāvā būs vadošās iestādes un atbildīgo iestāžu pārstāvji, bet nozares ministriju un citu institūciju pārstāvji tiks pieaicināti komisijas darbā kā eksperti, lai nodrošinātu attiecīgās nozares kompetento viedokli. Atbildīgo iestāžu pārstāvji un nozaru eksperti piedalīsies komisijas darbā atkarībā no attiecīgā specifiskā atbalsta mērķa un to pienākums būs sniegt viedokli par to, vai CFLA pareizi interpretējusi to</w:t>
            </w:r>
            <w:r w:rsidR="00F50AA1">
              <w:rPr>
                <w:b w:val="0"/>
                <w:sz w:val="24"/>
                <w:szCs w:val="28"/>
              </w:rPr>
              <w:t>s</w:t>
            </w:r>
            <w:r w:rsidRPr="003A44CF">
              <w:rPr>
                <w:b w:val="0"/>
                <w:sz w:val="24"/>
                <w:szCs w:val="28"/>
              </w:rPr>
              <w:t xml:space="preserve"> kritērijus, kas skar nozares specifiku (pamatā kvalitātes kritēriji un specifiskie atbilstības kritēriji), un vai projekta iesniegums atbilst vai neatbilst šiem kritērijiem. Minētie lēmumi attiecībā uz privātpersonām būs administratīvie akti, bet attiecībā uz publiskajām personām – pārvaldes lēmumi</w:t>
            </w:r>
            <w:r w:rsidR="0099587C">
              <w:rPr>
                <w:b w:val="0"/>
                <w:sz w:val="24"/>
                <w:szCs w:val="28"/>
              </w:rPr>
              <w:t xml:space="preserve"> (likumprojekta </w:t>
            </w:r>
            <w:r w:rsidR="0099587C" w:rsidRPr="002F0510">
              <w:rPr>
                <w:b w:val="0"/>
                <w:sz w:val="24"/>
                <w:szCs w:val="28"/>
              </w:rPr>
              <w:t>2</w:t>
            </w:r>
            <w:r w:rsidR="002F0510" w:rsidRPr="002F0510">
              <w:rPr>
                <w:b w:val="0"/>
                <w:sz w:val="24"/>
                <w:szCs w:val="28"/>
              </w:rPr>
              <w:t>5</w:t>
            </w:r>
            <w:r w:rsidR="0099587C" w:rsidRPr="002F0510">
              <w:rPr>
                <w:b w:val="0"/>
                <w:sz w:val="24"/>
                <w:szCs w:val="28"/>
              </w:rPr>
              <w:t>.pants</w:t>
            </w:r>
            <w:r w:rsidR="0099587C">
              <w:rPr>
                <w:b w:val="0"/>
                <w:sz w:val="24"/>
                <w:szCs w:val="28"/>
              </w:rPr>
              <w:t>)</w:t>
            </w:r>
            <w:r w:rsidRPr="003A44CF">
              <w:rPr>
                <w:b w:val="0"/>
                <w:sz w:val="24"/>
                <w:szCs w:val="28"/>
              </w:rPr>
              <w:t xml:space="preserve">. Tāpat kā 2007.-2013.gada plānošanas periodā, lēmumu  par apstrīdēto administratīvo aktu varēs pārsūdzēt administratīvajā tiesā, lēmums par apstrīdēto pārvaldes lēmumu nebūs pārsūdzams tiesā. Minēto lēmumu izskatīšana šādā komisijā veicinās vienādas pieejas esamību pret projektu iesniedzējiem un dos iespēju </w:t>
            </w:r>
            <w:r w:rsidR="007F047A" w:rsidRPr="003A44CF">
              <w:rPr>
                <w:b w:val="0"/>
                <w:sz w:val="24"/>
                <w:szCs w:val="28"/>
              </w:rPr>
              <w:t>labāk</w:t>
            </w:r>
            <w:r w:rsidRPr="003A44CF">
              <w:rPr>
                <w:b w:val="0"/>
                <w:sz w:val="24"/>
                <w:szCs w:val="28"/>
              </w:rPr>
              <w:t xml:space="preserve"> uzraudzīt sadarbības iestādei deleģēto funkciju izpildes kvalitāti.</w:t>
            </w:r>
          </w:p>
          <w:p w14:paraId="0B22180F" w14:textId="347105DC" w:rsidR="00867305" w:rsidRDefault="0086730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A25AF9">
              <w:rPr>
                <w:b w:val="0"/>
                <w:sz w:val="24"/>
                <w:szCs w:val="24"/>
              </w:rPr>
              <w:t xml:space="preserve">Ņemot vērā to, ka strīdu </w:t>
            </w:r>
            <w:r>
              <w:rPr>
                <w:b w:val="0"/>
                <w:sz w:val="24"/>
                <w:szCs w:val="24"/>
              </w:rPr>
              <w:t xml:space="preserve">par līgumu un vienošanos par projekta īstenošanu izpildi </w:t>
            </w:r>
            <w:r w:rsidRPr="00A25AF9">
              <w:rPr>
                <w:b w:val="0"/>
                <w:sz w:val="24"/>
                <w:szCs w:val="24"/>
              </w:rPr>
              <w:t>risināšanā iestādēs tik</w:t>
            </w:r>
            <w:r>
              <w:rPr>
                <w:b w:val="0"/>
                <w:sz w:val="24"/>
                <w:szCs w:val="24"/>
              </w:rPr>
              <w:t>a</w:t>
            </w:r>
            <w:r w:rsidRPr="00A25AF9">
              <w:rPr>
                <w:b w:val="0"/>
                <w:sz w:val="24"/>
                <w:szCs w:val="24"/>
              </w:rPr>
              <w:t xml:space="preserve"> piemērota atšķirīga kārtība un normatīvie akti tik</w:t>
            </w:r>
            <w:r>
              <w:rPr>
                <w:b w:val="0"/>
                <w:sz w:val="24"/>
                <w:szCs w:val="24"/>
              </w:rPr>
              <w:t>a</w:t>
            </w:r>
            <w:r w:rsidRPr="00A25AF9">
              <w:rPr>
                <w:b w:val="0"/>
                <w:sz w:val="24"/>
                <w:szCs w:val="24"/>
              </w:rPr>
              <w:t xml:space="preserve"> dažādi interpretēti, </w:t>
            </w:r>
            <w:r>
              <w:rPr>
                <w:b w:val="0"/>
                <w:sz w:val="24"/>
                <w:szCs w:val="24"/>
              </w:rPr>
              <w:t>likumprojektā ir noteikta skaidrāka strīdu risināšanas kārtība gan finansējuma saņēmējiem, kuri ir privātpersonas, gan tiem, kuri ir publiskas personas. Turpmāk, ja finansējuma saņēmējs būs privātpersona, strīdus par līguma izpildi varēs risināt tikai civiltiesiskā kārtībā</w:t>
            </w:r>
            <w:r w:rsidR="0099587C">
              <w:rPr>
                <w:b w:val="0"/>
                <w:sz w:val="24"/>
                <w:szCs w:val="24"/>
              </w:rPr>
              <w:t xml:space="preserve"> (likumprojekta </w:t>
            </w:r>
            <w:r w:rsidR="0099587C" w:rsidRPr="002F0510">
              <w:rPr>
                <w:b w:val="0"/>
                <w:sz w:val="24"/>
                <w:szCs w:val="24"/>
              </w:rPr>
              <w:t>3</w:t>
            </w:r>
            <w:r w:rsidR="002F0510" w:rsidRPr="002F0510">
              <w:rPr>
                <w:b w:val="0"/>
                <w:sz w:val="24"/>
                <w:szCs w:val="24"/>
              </w:rPr>
              <w:t>2</w:t>
            </w:r>
            <w:r w:rsidR="0099587C" w:rsidRPr="002F0510">
              <w:rPr>
                <w:b w:val="0"/>
                <w:sz w:val="24"/>
                <w:szCs w:val="24"/>
              </w:rPr>
              <w:t>.pants)</w:t>
            </w:r>
            <w:r w:rsidRPr="002F0510">
              <w:rPr>
                <w:b w:val="0"/>
                <w:sz w:val="24"/>
                <w:szCs w:val="24"/>
              </w:rPr>
              <w:t>. Tas attiecas arī uz lēmumiem par neatbilstoši veikto izdevumu atgūšanu, kurus 2007.-2013.gada plānošanas perioda varēja izdot arī kā administratīvos aktus. Savukārt, ja finansējuma saņēmējam, kurš ir publiska persona, un sadarbības iestādei vienošanās par projekta īstenošanu izpildes gaitā radīsies domstarpības par vienošanās ietvaros pieņemto lēmumu par piešķirto finanšu līdzekļu izmaksāšanu, izmaksāšanas turpināšanu un vienošan</w:t>
            </w:r>
            <w:r w:rsidR="006C62AB" w:rsidRPr="002F0510">
              <w:rPr>
                <w:b w:val="0"/>
                <w:sz w:val="24"/>
                <w:szCs w:val="24"/>
              </w:rPr>
              <w:t>os nevarēs</w:t>
            </w:r>
            <w:r w:rsidRPr="002F0510">
              <w:rPr>
                <w:b w:val="0"/>
                <w:sz w:val="24"/>
                <w:szCs w:val="24"/>
              </w:rPr>
              <w:t xml:space="preserve"> panākt savstarpēj</w:t>
            </w:r>
            <w:r w:rsidR="006C62AB" w:rsidRPr="002F0510">
              <w:rPr>
                <w:b w:val="0"/>
                <w:sz w:val="24"/>
                <w:szCs w:val="24"/>
              </w:rPr>
              <w:t>u</w:t>
            </w:r>
            <w:r w:rsidRPr="002F0510">
              <w:rPr>
                <w:b w:val="0"/>
                <w:sz w:val="24"/>
                <w:szCs w:val="24"/>
              </w:rPr>
              <w:t xml:space="preserve"> sarunu ceļā, finansējuma saņēmējs sadarbības iestādes lēmumu varēs apstrīdēt vadošajā iestādē</w:t>
            </w:r>
            <w:r w:rsidR="0099587C" w:rsidRPr="002F0510">
              <w:rPr>
                <w:b w:val="0"/>
                <w:sz w:val="24"/>
                <w:szCs w:val="24"/>
              </w:rPr>
              <w:t xml:space="preserve"> (likumprojekta 3</w:t>
            </w:r>
            <w:r w:rsidR="002F0510" w:rsidRPr="002F0510">
              <w:rPr>
                <w:b w:val="0"/>
                <w:sz w:val="24"/>
                <w:szCs w:val="24"/>
              </w:rPr>
              <w:t>3</w:t>
            </w:r>
            <w:r w:rsidR="0099587C" w:rsidRPr="002F0510">
              <w:rPr>
                <w:b w:val="0"/>
                <w:sz w:val="24"/>
                <w:szCs w:val="24"/>
              </w:rPr>
              <w:t>.pants)</w:t>
            </w:r>
            <w:r w:rsidRPr="002F0510">
              <w:rPr>
                <w:b w:val="0"/>
                <w:sz w:val="24"/>
                <w:szCs w:val="24"/>
              </w:rPr>
              <w:t>.</w:t>
            </w:r>
          </w:p>
          <w:p w14:paraId="4B6D47CC" w14:textId="0EAF906D" w:rsidR="00567F6F" w:rsidRPr="002F0510" w:rsidRDefault="00567F6F"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Atšķirībā no 2007.-2013.gada plānošanas perioda likumprojektā paredzēts iespēja pagarināt projektu iesniegumu vērtēšanas termiņu līdz sešiem mēnešiem, </w:t>
            </w:r>
            <w:r w:rsidRPr="00567F6F">
              <w:rPr>
                <w:b w:val="0"/>
                <w:sz w:val="24"/>
                <w:szCs w:val="24"/>
              </w:rPr>
              <w:t>ja objektīvu iemeslu dēļ šā panta pirmajā daļā noteikto termiņu nav iespējams ievērot.</w:t>
            </w:r>
            <w:r>
              <w:rPr>
                <w:sz w:val="28"/>
                <w:szCs w:val="28"/>
              </w:rPr>
              <w:t xml:space="preserve"> </w:t>
            </w:r>
            <w:r>
              <w:rPr>
                <w:b w:val="0"/>
                <w:sz w:val="24"/>
                <w:szCs w:val="28"/>
              </w:rPr>
              <w:t xml:space="preserve">Šādi iemesli varētu būt, piemēram, neparedzēti liels projektu iesniegumu skaits vai nepieciešama padziļināta projektu iesniegumu izpēte. </w:t>
            </w:r>
          </w:p>
          <w:p w14:paraId="268F71EE" w14:textId="47B381A9" w:rsidR="00867305" w:rsidRDefault="0086730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D1132B">
              <w:rPr>
                <w:b w:val="0"/>
                <w:sz w:val="24"/>
                <w:szCs w:val="24"/>
              </w:rPr>
              <w:t xml:space="preserve">Ņemot vērā, ka iepriekšējā ES fondu plānošanas </w:t>
            </w:r>
            <w:r w:rsidRPr="00D1132B">
              <w:rPr>
                <w:b w:val="0"/>
                <w:sz w:val="24"/>
                <w:szCs w:val="24"/>
              </w:rPr>
              <w:lastRenderedPageBreak/>
              <w:t xml:space="preserve">periodā  </w:t>
            </w:r>
            <w:r>
              <w:rPr>
                <w:b w:val="0"/>
                <w:sz w:val="24"/>
                <w:szCs w:val="24"/>
              </w:rPr>
              <w:t>tika dažādi interpretēts</w:t>
            </w:r>
            <w:r w:rsidRPr="00D1132B">
              <w:rPr>
                <w:b w:val="0"/>
                <w:sz w:val="24"/>
                <w:szCs w:val="24"/>
              </w:rPr>
              <w:t xml:space="preserve"> ES fondu vadības likumā ietvert</w:t>
            </w:r>
            <w:r>
              <w:rPr>
                <w:b w:val="0"/>
                <w:sz w:val="24"/>
                <w:szCs w:val="24"/>
              </w:rPr>
              <w:t>ais</w:t>
            </w:r>
            <w:r w:rsidRPr="00D1132B">
              <w:rPr>
                <w:b w:val="0"/>
                <w:sz w:val="24"/>
                <w:szCs w:val="24"/>
              </w:rPr>
              <w:t xml:space="preserve"> regulējum</w:t>
            </w:r>
            <w:r>
              <w:rPr>
                <w:b w:val="0"/>
                <w:sz w:val="24"/>
                <w:szCs w:val="24"/>
              </w:rPr>
              <w:t xml:space="preserve">s attiecībā uz </w:t>
            </w:r>
            <w:r w:rsidRPr="00D1132B">
              <w:rPr>
                <w:b w:val="0"/>
                <w:sz w:val="24"/>
                <w:szCs w:val="24"/>
              </w:rPr>
              <w:t xml:space="preserve">informācijas </w:t>
            </w:r>
            <w:r>
              <w:rPr>
                <w:b w:val="0"/>
                <w:sz w:val="24"/>
                <w:szCs w:val="24"/>
              </w:rPr>
              <w:t>pieejamību par projektu iesniegumiem un apstiprinātajiem projektiem</w:t>
            </w:r>
            <w:r w:rsidRPr="00D1132B">
              <w:rPr>
                <w:b w:val="0"/>
                <w:sz w:val="24"/>
                <w:szCs w:val="24"/>
              </w:rPr>
              <w:t xml:space="preserve">, šajā plānošanas periodā </w:t>
            </w:r>
            <w:r>
              <w:rPr>
                <w:b w:val="0"/>
                <w:sz w:val="24"/>
                <w:szCs w:val="24"/>
              </w:rPr>
              <w:t xml:space="preserve"> informācijas atklātības regulējums</w:t>
            </w:r>
            <w:r w:rsidRPr="00D1132B">
              <w:rPr>
                <w:b w:val="0"/>
                <w:sz w:val="24"/>
                <w:szCs w:val="24"/>
              </w:rPr>
              <w:t xml:space="preserve"> ir noteikts skaidrāk</w:t>
            </w:r>
            <w:r>
              <w:rPr>
                <w:b w:val="0"/>
                <w:sz w:val="24"/>
                <w:szCs w:val="24"/>
              </w:rPr>
              <w:t>.</w:t>
            </w:r>
            <w:r w:rsidRPr="00D1132B">
              <w:rPr>
                <w:b w:val="0"/>
                <w:sz w:val="24"/>
                <w:szCs w:val="24"/>
              </w:rPr>
              <w:t xml:space="preserve"> </w:t>
            </w:r>
            <w:r>
              <w:rPr>
                <w:b w:val="0"/>
                <w:sz w:val="24"/>
                <w:szCs w:val="24"/>
              </w:rPr>
              <w:t>Arī starpinstitūciju darba grupa ir izteikusi priekšlikumu, uzsverot, ka ir nepieciešami skaidrāki informācijas atklātības nosacījumi, t.</w:t>
            </w:r>
            <w:r w:rsidR="0099587C">
              <w:rPr>
                <w:b w:val="0"/>
                <w:sz w:val="24"/>
                <w:szCs w:val="24"/>
              </w:rPr>
              <w:t>sk. ietvert skaidru un viendabīg</w:t>
            </w:r>
            <w:r>
              <w:rPr>
                <w:b w:val="0"/>
                <w:sz w:val="24"/>
                <w:szCs w:val="24"/>
              </w:rPr>
              <w:t>u regulējumu, kas vienlīdzīgi attiecināms uz gan valsts tiešās pārvaldes iestādēm, gan jebkurām citām publiskajām personām.</w:t>
            </w:r>
            <w:r w:rsidR="0099587C">
              <w:rPr>
                <w:b w:val="0"/>
                <w:sz w:val="24"/>
                <w:szCs w:val="24"/>
              </w:rPr>
              <w:t xml:space="preserve"> </w:t>
            </w:r>
          </w:p>
          <w:p w14:paraId="07C91044" w14:textId="5D153E20" w:rsidR="00867305" w:rsidRDefault="0086730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Ievērojot minēto, kā arī, lai veicinātu atklātību un caurspīdīgumu ES fondu ieviešanā, likumprojektā noteikts plašāks informācijas apjoms, kas ir pieejams sabiedrībai. Tādējādi turpmāk arī pastarpināto valsts pārvaldes iestāžu, atvasinātu publisku personu un citu valsts pārvaldes iestāžu  projektu iesniegumu lietas būs vispārpieejamā informācija, izņemot projekta budžeta kopsavilkumu, tai skaitā indikatīvo projekta izmaksu plānu.  Minētā informācija būs pieejama Informācijas atklātības likumā un Regulas </w:t>
            </w:r>
            <w:r w:rsidR="003714C5" w:rsidRPr="0090638D">
              <w:rPr>
                <w:b w:val="0"/>
                <w:sz w:val="24"/>
                <w:szCs w:val="24"/>
              </w:rPr>
              <w:t xml:space="preserve"> Nr</w:t>
            </w:r>
            <w:r w:rsidR="003714C5">
              <w:rPr>
                <w:b w:val="0"/>
                <w:sz w:val="24"/>
                <w:szCs w:val="24"/>
              </w:rPr>
              <w:t>.1303/2013</w:t>
            </w:r>
            <w:r>
              <w:rPr>
                <w:b w:val="0"/>
                <w:sz w:val="24"/>
                <w:szCs w:val="24"/>
              </w:rPr>
              <w:t xml:space="preserve"> 115.panta 2.punktā un </w:t>
            </w:r>
            <w:r w:rsidR="00CB2E5A">
              <w:rPr>
                <w:b w:val="0"/>
                <w:sz w:val="24"/>
                <w:szCs w:val="24"/>
              </w:rPr>
              <w:t>XII</w:t>
            </w:r>
            <w:r>
              <w:rPr>
                <w:b w:val="0"/>
                <w:sz w:val="24"/>
                <w:szCs w:val="24"/>
              </w:rPr>
              <w:t xml:space="preserve"> pielikumā noteiktajā apjomā un kārtībā pēc projekta iesnieguma iesniegšanas beigu datuma</w:t>
            </w:r>
            <w:r w:rsidR="0099587C">
              <w:rPr>
                <w:b w:val="0"/>
                <w:sz w:val="24"/>
                <w:szCs w:val="24"/>
              </w:rPr>
              <w:t xml:space="preserve"> (izņemot vērtēšanas materiālus, kas būs pieejami pēc lēmuma spēkā stāšanās)</w:t>
            </w:r>
            <w:r>
              <w:rPr>
                <w:b w:val="0"/>
                <w:sz w:val="24"/>
                <w:szCs w:val="24"/>
              </w:rPr>
              <w:t>. Savukārt informācija par privātpersonu iesniegtajiem un apstiprinātajiem projektiem tādā pašā apjomā un kārtībā būs pieejama pēc lēmuma par projekta iesnieguma apstiprināšanu, apstiprināšanu ar nosacījumu  vai noraidīšanu spēkā stāšanās.</w:t>
            </w:r>
            <w:r w:rsidR="0099587C">
              <w:rPr>
                <w:b w:val="0"/>
                <w:sz w:val="24"/>
                <w:szCs w:val="24"/>
              </w:rPr>
              <w:t xml:space="preserve"> (</w:t>
            </w:r>
            <w:r w:rsidR="0099587C" w:rsidRPr="002F0510">
              <w:rPr>
                <w:b w:val="0"/>
                <w:sz w:val="24"/>
                <w:szCs w:val="24"/>
              </w:rPr>
              <w:t>Likumprojekta 3</w:t>
            </w:r>
            <w:r w:rsidR="002F0510" w:rsidRPr="002F0510">
              <w:rPr>
                <w:b w:val="0"/>
                <w:sz w:val="24"/>
                <w:szCs w:val="24"/>
              </w:rPr>
              <w:t>5</w:t>
            </w:r>
            <w:r w:rsidR="0099587C" w:rsidRPr="002F0510">
              <w:rPr>
                <w:b w:val="0"/>
                <w:sz w:val="24"/>
                <w:szCs w:val="24"/>
              </w:rPr>
              <w:t>. un 3</w:t>
            </w:r>
            <w:r w:rsidR="002F0510" w:rsidRPr="002F0510">
              <w:rPr>
                <w:b w:val="0"/>
                <w:sz w:val="24"/>
                <w:szCs w:val="24"/>
              </w:rPr>
              <w:t>6</w:t>
            </w:r>
            <w:r w:rsidR="0099587C" w:rsidRPr="002F0510">
              <w:rPr>
                <w:b w:val="0"/>
                <w:sz w:val="24"/>
                <w:szCs w:val="24"/>
              </w:rPr>
              <w:t>.pants</w:t>
            </w:r>
            <w:r w:rsidR="0099587C">
              <w:rPr>
                <w:b w:val="0"/>
                <w:sz w:val="24"/>
                <w:szCs w:val="24"/>
              </w:rPr>
              <w:t>)</w:t>
            </w:r>
          </w:p>
          <w:p w14:paraId="411EA37D" w14:textId="12FD42B2" w:rsidR="00E862B5" w:rsidRDefault="00867305" w:rsidP="00F57E68">
            <w:pPr>
              <w:pStyle w:val="Heading3"/>
              <w:numPr>
                <w:ilvl w:val="0"/>
                <w:numId w:val="22"/>
              </w:numPr>
              <w:shd w:val="clear" w:color="auto" w:fill="FFFFFF"/>
              <w:spacing w:before="0" w:beforeAutospacing="0" w:after="120" w:afterAutospacing="0"/>
              <w:ind w:left="57" w:right="57" w:firstLine="283"/>
              <w:jc w:val="both"/>
              <w:rPr>
                <w:b w:val="0"/>
                <w:sz w:val="24"/>
                <w:szCs w:val="24"/>
              </w:rPr>
            </w:pPr>
            <w:r>
              <w:rPr>
                <w:b w:val="0"/>
                <w:sz w:val="24"/>
                <w:szCs w:val="24"/>
              </w:rPr>
              <w:t xml:space="preserve">Tas nozīmē, ka joprojām kā ierobežotas pieejamības informācija paliks tā, kas noteikta Informācijas atklātības likuma 5.panta otrajā daļā, piemēram, </w:t>
            </w:r>
            <w:r w:rsidRPr="00D1132B">
              <w:rPr>
                <w:b w:val="0"/>
                <w:sz w:val="24"/>
                <w:szCs w:val="24"/>
              </w:rPr>
              <w:t xml:space="preserve"> kurai šāds statuss noteikts ar likumu</w:t>
            </w:r>
            <w:r>
              <w:rPr>
                <w:b w:val="0"/>
                <w:sz w:val="24"/>
                <w:szCs w:val="24"/>
              </w:rPr>
              <w:t>,</w:t>
            </w:r>
            <w:r w:rsidRPr="00D1132B">
              <w:rPr>
                <w:b w:val="0"/>
                <w:sz w:val="24"/>
                <w:szCs w:val="24"/>
              </w:rPr>
              <w:t xml:space="preserve"> kas paredzēta un noteikta iestādes iekšējai lietošanai</w:t>
            </w:r>
            <w:r>
              <w:rPr>
                <w:b w:val="0"/>
                <w:sz w:val="24"/>
                <w:szCs w:val="24"/>
              </w:rPr>
              <w:t>,</w:t>
            </w:r>
            <w:r w:rsidRPr="00D1132B">
              <w:rPr>
                <w:b w:val="0"/>
                <w:sz w:val="24"/>
                <w:szCs w:val="24"/>
              </w:rPr>
              <w:t xml:space="preserve"> kas ir komercnoslēpums, izņemot gadījumus, kad ir noslēgts iepirkuma līgums saskaņā ar Publisko iepirkumu likumu vai cita veida līgums par rīcību ar valsts vai pašvaldības finanšu līdzekļiem un mantu</w:t>
            </w:r>
            <w:r w:rsidR="002F0510">
              <w:rPr>
                <w:b w:val="0"/>
                <w:sz w:val="24"/>
                <w:szCs w:val="24"/>
              </w:rPr>
              <w:t>, fizisku personu dati</w:t>
            </w:r>
            <w:r>
              <w:rPr>
                <w:b w:val="0"/>
                <w:sz w:val="24"/>
                <w:szCs w:val="24"/>
              </w:rPr>
              <w:t xml:space="preserve"> u.c.</w:t>
            </w:r>
          </w:p>
          <w:p w14:paraId="212763CC" w14:textId="77777777" w:rsidR="00A259C9" w:rsidRDefault="00A259C9" w:rsidP="0099587C">
            <w:pPr>
              <w:pStyle w:val="Heading3"/>
              <w:numPr>
                <w:ilvl w:val="0"/>
                <w:numId w:val="22"/>
              </w:numPr>
              <w:shd w:val="clear" w:color="auto" w:fill="FFFFFF"/>
              <w:spacing w:before="0" w:beforeAutospacing="0" w:after="120" w:afterAutospacing="0"/>
              <w:ind w:left="57" w:right="57" w:firstLine="284"/>
              <w:jc w:val="both"/>
              <w:rPr>
                <w:b w:val="0"/>
                <w:sz w:val="24"/>
                <w:szCs w:val="24"/>
              </w:rPr>
            </w:pPr>
            <w:r>
              <w:rPr>
                <w:b w:val="0"/>
                <w:sz w:val="24"/>
                <w:szCs w:val="24"/>
              </w:rPr>
              <w:t xml:space="preserve">Atšķirībā no ES fondu vadības likuma, likumprojektā nav noteikts termiņš ar projektu īstenošanu saistīto dokumentu uzglabāšanai, ņemot vērā to, ka jaunajā Regulas </w:t>
            </w:r>
            <w:r w:rsidR="003714C5" w:rsidRPr="0090638D">
              <w:rPr>
                <w:b w:val="0"/>
                <w:sz w:val="24"/>
                <w:szCs w:val="24"/>
              </w:rPr>
              <w:t xml:space="preserve"> Nr</w:t>
            </w:r>
            <w:r w:rsidR="003714C5">
              <w:rPr>
                <w:b w:val="0"/>
                <w:sz w:val="24"/>
                <w:szCs w:val="24"/>
              </w:rPr>
              <w:t>.1303/2013</w:t>
            </w:r>
            <w:r>
              <w:rPr>
                <w:b w:val="0"/>
                <w:sz w:val="24"/>
                <w:szCs w:val="24"/>
              </w:rPr>
              <w:t xml:space="preserve"> 140.pantā vairs nav tik vienots regulējums dokumentus pieejamībai, kāds tas bija iepriekšējā plānošanas periodā. Tādējādi termiņš minēto dokumentu uzglabāšanai tiks noteikts līgumā vai vienošanās par projekta īstenošanu.</w:t>
            </w:r>
          </w:p>
          <w:p w14:paraId="5EDF1DA6" w14:textId="23A3A3E7" w:rsidR="00F3363B" w:rsidRPr="00474EEF" w:rsidRDefault="00962FAE" w:rsidP="00C62286">
            <w:pPr>
              <w:pStyle w:val="Heading3"/>
              <w:numPr>
                <w:ilvl w:val="0"/>
                <w:numId w:val="22"/>
              </w:numPr>
              <w:shd w:val="clear" w:color="auto" w:fill="FFFFFF"/>
              <w:spacing w:before="0" w:beforeAutospacing="0" w:after="120" w:afterAutospacing="0"/>
              <w:ind w:left="57" w:right="57" w:firstLine="284"/>
              <w:jc w:val="both"/>
              <w:rPr>
                <w:b w:val="0"/>
                <w:sz w:val="24"/>
                <w:szCs w:val="24"/>
              </w:rPr>
            </w:pPr>
            <w:r>
              <w:rPr>
                <w:b w:val="0"/>
                <w:sz w:val="24"/>
                <w:szCs w:val="24"/>
              </w:rPr>
              <w:t xml:space="preserve">Regulas Nr.1301/2013 7.panta 2.punkts paredz, ka pilsētu ilgtspējīgu attīstību nodrošina integrētās teritoriālās investīcijas (turpmāk – ITI). Atbilstoši tam </w:t>
            </w:r>
            <w:r w:rsidR="002B6227">
              <w:rPr>
                <w:b w:val="0"/>
                <w:sz w:val="24"/>
                <w:szCs w:val="24"/>
              </w:rPr>
              <w:lastRenderedPageBreak/>
              <w:t>Partnerības līgum</w:t>
            </w:r>
            <w:r>
              <w:rPr>
                <w:b w:val="0"/>
                <w:sz w:val="24"/>
                <w:szCs w:val="24"/>
              </w:rPr>
              <w:t>ā ir noteikts, ka</w:t>
            </w:r>
            <w:r w:rsidRPr="00F9686B">
              <w:t xml:space="preserve"> </w:t>
            </w:r>
            <w:r w:rsidRPr="00962FAE">
              <w:rPr>
                <w:b w:val="0"/>
                <w:sz w:val="24"/>
              </w:rPr>
              <w:t>integrētajā pilsētvides attīstībā apvienotas investīcijas no dažādiem tematiskajiem mērķiem, prioritārajiem virzieniem, ieguldījumu prioritātēm un specifiskajiem atbalsta mērķiem, paredzot investīcijas deviņās nacionālas nozīmes pilsētās un funkcionālajās teritorijās integrētiem iekļaujošas un ilgtspējīgas izaugsmes risinājumiem atbilstoši stratēģijai uzņēmējdarbības vides attīstībai, pilsētvides uzlabošanai, nodarbinātības, energoefektivitātes pasākumu veicināšanai, sekmējot starptautiski nozīmīga kultūras un dabas mantojuma un ar to saistīto pakalpojumu ilgtspējīgu attīstību, sociālās infrastruktūras un vispārējās un profesionālās izglītības iestāžu mācību vides pilnveidošanai.</w:t>
            </w:r>
            <w:r>
              <w:rPr>
                <w:b w:val="0"/>
                <w:sz w:val="24"/>
              </w:rPr>
              <w:t xml:space="preserve"> Regulas Nr.1301/2013 7.panta 4. un 5.punkts nosaka, ka ITI īstenošanā vadošā iestāde attiecīgām pilsētu iestādēm (pašvaldībām vai citām reģionālām iestādēm) kā starpniekinstitūcijām deleģē funkcijas, kas saistītas vismaz ar projektu iesniegumu atlasi, un šo vienošanos oficiāli noformē rakstiskā veidā. Ņemot vērā šo īpatnību ITI īstenošanā, likumprojekta 10.panta otrās daļas 17.punktā paredzēts, ka vadošā iestāde</w:t>
            </w:r>
            <w:r w:rsidR="00C62286">
              <w:rPr>
                <w:b w:val="0"/>
                <w:sz w:val="24"/>
              </w:rPr>
              <w:t xml:space="preserve"> slēdz deleģēšanas līgumu ar republikas pilsētu pašvaldībām un sadarbības iestādi par integrētu teritoriālo investīciju īstenošanu, nosakot minētajām pašvaldībām deleģēto funkciju apjomu. </w:t>
            </w:r>
          </w:p>
        </w:tc>
      </w:tr>
      <w:tr w:rsidR="00DA6C86" w:rsidRPr="00DD49B6" w14:paraId="5EDF1DAB" w14:textId="77777777" w:rsidTr="00176CB2">
        <w:trPr>
          <w:trHeight w:val="476"/>
        </w:trPr>
        <w:tc>
          <w:tcPr>
            <w:tcW w:w="217" w:type="pct"/>
          </w:tcPr>
          <w:p w14:paraId="5EDF1DA8" w14:textId="7C6396E7" w:rsidR="00DA6C86" w:rsidRPr="00DD49B6" w:rsidRDefault="00DA6C86" w:rsidP="00176CB2">
            <w:pPr>
              <w:pStyle w:val="naiskr"/>
              <w:spacing w:before="0" w:beforeAutospacing="0" w:after="0" w:afterAutospacing="0"/>
              <w:ind w:right="57"/>
              <w:jc w:val="center"/>
            </w:pPr>
            <w:r w:rsidRPr="00DD49B6">
              <w:lastRenderedPageBreak/>
              <w:t>3.</w:t>
            </w:r>
          </w:p>
        </w:tc>
        <w:tc>
          <w:tcPr>
            <w:tcW w:w="1749" w:type="pct"/>
          </w:tcPr>
          <w:p w14:paraId="5EDF1DA9" w14:textId="77777777" w:rsidR="00DA6C86" w:rsidRPr="00DD49B6" w:rsidRDefault="00DA6C86" w:rsidP="00F57E68">
            <w:pPr>
              <w:pStyle w:val="naiskr"/>
              <w:spacing w:before="0" w:beforeAutospacing="0" w:after="0" w:afterAutospacing="0"/>
              <w:ind w:left="57" w:right="57"/>
            </w:pPr>
            <w:r w:rsidRPr="00DD49B6">
              <w:t>Projekta izstrādē iesaistītās institūcijas</w:t>
            </w:r>
          </w:p>
        </w:tc>
        <w:tc>
          <w:tcPr>
            <w:tcW w:w="3034" w:type="pct"/>
          </w:tcPr>
          <w:p w14:paraId="5EDF1DAA" w14:textId="60CA4589" w:rsidR="00DA6C86" w:rsidRPr="001F0072" w:rsidRDefault="001F0072" w:rsidP="0099587C">
            <w:pPr>
              <w:spacing w:after="120" w:line="240" w:lineRule="auto"/>
              <w:ind w:left="57" w:right="57"/>
              <w:jc w:val="both"/>
              <w:rPr>
                <w:rFonts w:ascii="Times New Roman" w:hAnsi="Times New Roman" w:cs="Times New Roman"/>
                <w:sz w:val="24"/>
                <w:szCs w:val="24"/>
              </w:rPr>
            </w:pPr>
            <w:r w:rsidRPr="001F0072">
              <w:rPr>
                <w:rFonts w:ascii="Times New Roman" w:hAnsi="Times New Roman" w:cs="Times New Roman"/>
                <w:sz w:val="24"/>
                <w:szCs w:val="24"/>
              </w:rPr>
              <w:t>Finanšu</w:t>
            </w:r>
            <w:r w:rsidR="003D38D2">
              <w:rPr>
                <w:rFonts w:ascii="Times New Roman" w:hAnsi="Times New Roman" w:cs="Times New Roman"/>
                <w:sz w:val="24"/>
                <w:szCs w:val="24"/>
              </w:rPr>
              <w:t xml:space="preserve"> ministrija, </w:t>
            </w:r>
            <w:r w:rsidRPr="001F0072">
              <w:rPr>
                <w:rFonts w:ascii="Times New Roman" w:hAnsi="Times New Roman" w:cs="Times New Roman"/>
                <w:sz w:val="24"/>
                <w:szCs w:val="24"/>
              </w:rPr>
              <w:t>Centrālā finanšu un līgumu aģentūra</w:t>
            </w:r>
            <w:r w:rsidR="003D38D2">
              <w:rPr>
                <w:rFonts w:ascii="Times New Roman" w:hAnsi="Times New Roman" w:cs="Times New Roman"/>
                <w:sz w:val="24"/>
                <w:szCs w:val="24"/>
              </w:rPr>
              <w:t>, Valsts kase</w:t>
            </w:r>
            <w:r w:rsidR="007079D9">
              <w:rPr>
                <w:rFonts w:ascii="Times New Roman" w:hAnsi="Times New Roman" w:cs="Times New Roman"/>
                <w:sz w:val="24"/>
                <w:szCs w:val="24"/>
              </w:rPr>
              <w:t xml:space="preserve">, </w:t>
            </w:r>
            <w:r w:rsidR="003D38D2">
              <w:rPr>
                <w:rFonts w:ascii="Times New Roman" w:hAnsi="Times New Roman" w:cs="Times New Roman"/>
                <w:sz w:val="24"/>
                <w:szCs w:val="24"/>
              </w:rPr>
              <w:t>Iepirkumu uzraudzības birojs</w:t>
            </w:r>
            <w:r w:rsidR="007079D9">
              <w:rPr>
                <w:rFonts w:ascii="Times New Roman" w:hAnsi="Times New Roman" w:cs="Times New Roman"/>
                <w:sz w:val="24"/>
                <w:szCs w:val="24"/>
              </w:rPr>
              <w:t>,  Valsts kancelejas vadītā starpinstitūciju darba grupa, kura izveidota ar Ministru prezidenta 2013.gada 23.aprīļa rīkojumu Nr.147 „Par darba grupu”</w:t>
            </w:r>
            <w:r w:rsidR="00867305">
              <w:rPr>
                <w:rFonts w:ascii="Times New Roman" w:hAnsi="Times New Roman" w:cs="Times New Roman"/>
                <w:sz w:val="24"/>
                <w:szCs w:val="24"/>
              </w:rPr>
              <w:t>.</w:t>
            </w:r>
          </w:p>
        </w:tc>
      </w:tr>
      <w:tr w:rsidR="00DA6C86" w:rsidRPr="00DD49B6" w14:paraId="5EDF1DB0" w14:textId="77777777" w:rsidTr="00900304">
        <w:trPr>
          <w:trHeight w:val="581"/>
        </w:trPr>
        <w:tc>
          <w:tcPr>
            <w:tcW w:w="217" w:type="pct"/>
          </w:tcPr>
          <w:p w14:paraId="5EDF1DAC" w14:textId="77777777" w:rsidR="00DA6C86" w:rsidRPr="00DD49B6" w:rsidRDefault="00DA6C86" w:rsidP="00176CB2">
            <w:pPr>
              <w:pStyle w:val="naiskr"/>
              <w:spacing w:before="0" w:beforeAutospacing="0" w:after="0" w:afterAutospacing="0"/>
              <w:ind w:right="57"/>
              <w:jc w:val="center"/>
            </w:pPr>
            <w:r w:rsidRPr="00DD49B6">
              <w:t>4.</w:t>
            </w:r>
          </w:p>
        </w:tc>
        <w:tc>
          <w:tcPr>
            <w:tcW w:w="1749" w:type="pct"/>
          </w:tcPr>
          <w:p w14:paraId="5EDF1DAD" w14:textId="77777777" w:rsidR="00DA6C86" w:rsidRPr="00DD49B6" w:rsidRDefault="00DA6C86" w:rsidP="00F57E68">
            <w:pPr>
              <w:pStyle w:val="naiskr"/>
              <w:spacing w:before="0" w:beforeAutospacing="0" w:after="0" w:afterAutospacing="0"/>
              <w:ind w:left="57" w:right="57"/>
            </w:pPr>
            <w:r w:rsidRPr="00DD49B6">
              <w:t>Cita informācija</w:t>
            </w:r>
          </w:p>
        </w:tc>
        <w:tc>
          <w:tcPr>
            <w:tcW w:w="3034" w:type="pct"/>
          </w:tcPr>
          <w:p w14:paraId="5EDF1DAF" w14:textId="47C94749" w:rsidR="00E74E50" w:rsidRPr="00DD49B6" w:rsidRDefault="001F0072" w:rsidP="00F57E68">
            <w:pPr>
              <w:pStyle w:val="naiskr"/>
              <w:spacing w:before="0" w:beforeAutospacing="0" w:after="0" w:afterAutospacing="0"/>
              <w:ind w:left="57" w:right="57"/>
            </w:pPr>
            <w:r>
              <w:t>Nav.</w:t>
            </w:r>
          </w:p>
        </w:tc>
      </w:tr>
    </w:tbl>
    <w:p w14:paraId="79882BB9" w14:textId="77777777" w:rsidR="00694976" w:rsidRDefault="00694976" w:rsidP="00171D36">
      <w:pPr>
        <w:spacing w:after="0" w:line="240" w:lineRule="auto"/>
        <w:rPr>
          <w:rFonts w:ascii="Times New Roman" w:hAnsi="Times New Roman" w:cs="Times New Roman"/>
          <w:sz w:val="24"/>
          <w:szCs w:val="24"/>
        </w:rPr>
      </w:pPr>
    </w:p>
    <w:p w14:paraId="49C95A62" w14:textId="77777777" w:rsidR="00F56EA8" w:rsidRDefault="00F56EA8" w:rsidP="00171D36">
      <w:pPr>
        <w:spacing w:after="0" w:line="240" w:lineRule="auto"/>
        <w:rPr>
          <w:rFonts w:ascii="Times New Roman" w:hAnsi="Times New Roman" w:cs="Times New Roman"/>
          <w:sz w:val="24"/>
          <w:szCs w:val="24"/>
        </w:rPr>
      </w:pPr>
    </w:p>
    <w:tbl>
      <w:tblPr>
        <w:tblStyle w:val="TableGrid"/>
        <w:tblW w:w="9073" w:type="dxa"/>
        <w:tblInd w:w="-284" w:type="dxa"/>
        <w:tblLook w:val="04A0" w:firstRow="1" w:lastRow="0" w:firstColumn="1" w:lastColumn="0" w:noHBand="0" w:noVBand="1"/>
      </w:tblPr>
      <w:tblGrid>
        <w:gridCol w:w="539"/>
        <w:gridCol w:w="3402"/>
        <w:gridCol w:w="5132"/>
      </w:tblGrid>
      <w:tr w:rsidR="00900304" w14:paraId="7401C358" w14:textId="77777777" w:rsidTr="0014724B">
        <w:tc>
          <w:tcPr>
            <w:tcW w:w="9073" w:type="dxa"/>
            <w:gridSpan w:val="3"/>
            <w:tcBorders>
              <w:top w:val="nil"/>
              <w:left w:val="nil"/>
              <w:bottom w:val="single" w:sz="4" w:space="0" w:color="auto"/>
              <w:right w:val="nil"/>
            </w:tcBorders>
          </w:tcPr>
          <w:p w14:paraId="2ACF7680" w14:textId="77777777" w:rsidR="00900304" w:rsidRPr="00F56EA8" w:rsidRDefault="00900304" w:rsidP="00900304">
            <w:pPr>
              <w:ind w:right="57"/>
              <w:rPr>
                <w:rFonts w:ascii="Times New Roman" w:eastAsia="Times New Roman" w:hAnsi="Times New Roman" w:cs="Times New Roman"/>
                <w:b/>
                <w:sz w:val="24"/>
                <w:szCs w:val="24"/>
              </w:rPr>
            </w:pPr>
          </w:p>
        </w:tc>
      </w:tr>
      <w:tr w:rsidR="00900304" w14:paraId="73F9F620" w14:textId="77777777" w:rsidTr="0014724B">
        <w:tc>
          <w:tcPr>
            <w:tcW w:w="9073" w:type="dxa"/>
            <w:gridSpan w:val="3"/>
            <w:tcBorders>
              <w:top w:val="single" w:sz="4" w:space="0" w:color="auto"/>
            </w:tcBorders>
          </w:tcPr>
          <w:p w14:paraId="077B01FE" w14:textId="77777777" w:rsidR="00900304" w:rsidRPr="00F56EA8" w:rsidRDefault="00900304" w:rsidP="00C171CB">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15082180" w14:textId="77777777" w:rsidR="00900304" w:rsidRDefault="00900304" w:rsidP="00C171CB">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7AD61D21" w14:textId="77777777" w:rsidTr="0014724B">
        <w:tc>
          <w:tcPr>
            <w:tcW w:w="539" w:type="dxa"/>
          </w:tcPr>
          <w:p w14:paraId="4DD6A230" w14:textId="03C8F735"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402" w:type="dxa"/>
          </w:tcPr>
          <w:p w14:paraId="3E18FADB" w14:textId="4FC06340"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132" w:type="dxa"/>
          </w:tcPr>
          <w:p w14:paraId="5F5C8138" w14:textId="18D8F5B2" w:rsidR="00F56EA8" w:rsidRDefault="00F56EA8" w:rsidP="00CB2E5A">
            <w:pPr>
              <w:ind w:left="57" w:right="57"/>
              <w:jc w:val="both"/>
              <w:rPr>
                <w:rFonts w:ascii="Times New Roman" w:hAnsi="Times New Roman" w:cs="Times New Roman"/>
                <w:sz w:val="24"/>
                <w:szCs w:val="24"/>
              </w:rPr>
            </w:pPr>
            <w:r w:rsidRPr="00F56EA8">
              <w:rPr>
                <w:rFonts w:ascii="Times New Roman" w:hAnsi="Times New Roman" w:cs="Times New Roman"/>
                <w:sz w:val="24"/>
                <w:szCs w:val="24"/>
              </w:rPr>
              <w:t xml:space="preserve">Potenciālie ES fondu finansējuma saņēmēji, to sadarbības partneri un </w:t>
            </w:r>
            <w:r w:rsidR="00765E16">
              <w:rPr>
                <w:rFonts w:ascii="Times New Roman" w:hAnsi="Times New Roman" w:cs="Times New Roman"/>
                <w:sz w:val="24"/>
                <w:szCs w:val="24"/>
              </w:rPr>
              <w:t>gala</w:t>
            </w:r>
            <w:r w:rsidRPr="00F56EA8">
              <w:rPr>
                <w:rFonts w:ascii="Times New Roman" w:hAnsi="Times New Roman" w:cs="Times New Roman"/>
                <w:sz w:val="24"/>
                <w:szCs w:val="24"/>
              </w:rPr>
              <w:t xml:space="preserve"> labuma guvēji.</w:t>
            </w:r>
          </w:p>
        </w:tc>
      </w:tr>
      <w:tr w:rsidR="00F56EA8" w14:paraId="1FC65FAB" w14:textId="77777777" w:rsidTr="0014724B">
        <w:tc>
          <w:tcPr>
            <w:tcW w:w="539" w:type="dxa"/>
          </w:tcPr>
          <w:p w14:paraId="03286863" w14:textId="4CFF368F"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402" w:type="dxa"/>
          </w:tcPr>
          <w:p w14:paraId="403958EF" w14:textId="75DCEBC8"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132" w:type="dxa"/>
          </w:tcPr>
          <w:p w14:paraId="374E3DB6" w14:textId="77777777" w:rsidR="00F56EA8" w:rsidRPr="00F56EA8" w:rsidRDefault="00F56EA8" w:rsidP="008E441B">
            <w:pPr>
              <w:shd w:val="clear" w:color="auto" w:fill="FFFFFF"/>
              <w:jc w:val="both"/>
              <w:rPr>
                <w:rFonts w:ascii="Times New Roman" w:hAnsi="Times New Roman" w:cs="Times New Roman"/>
                <w:sz w:val="24"/>
                <w:szCs w:val="24"/>
              </w:rPr>
            </w:pPr>
            <w:r w:rsidRPr="00F56EA8">
              <w:rPr>
                <w:rFonts w:ascii="Times New Roman" w:hAnsi="Times New Roman" w:cs="Times New Roman"/>
                <w:sz w:val="24"/>
                <w:szCs w:val="24"/>
              </w:rPr>
              <w:t xml:space="preserve">Ņemot vērā plānotās ES fondu investīcijas 4,4 </w:t>
            </w:r>
            <w:proofErr w:type="spellStart"/>
            <w:r w:rsidRPr="00F56EA8">
              <w:rPr>
                <w:rFonts w:ascii="Times New Roman" w:hAnsi="Times New Roman" w:cs="Times New Roman"/>
                <w:sz w:val="24"/>
                <w:szCs w:val="24"/>
              </w:rPr>
              <w:t>miljd</w:t>
            </w:r>
            <w:proofErr w:type="spellEnd"/>
            <w:r w:rsidRPr="00F56EA8">
              <w:rPr>
                <w:rFonts w:ascii="Times New Roman" w:hAnsi="Times New Roman" w:cs="Times New Roman"/>
                <w:sz w:val="24"/>
                <w:szCs w:val="24"/>
              </w:rPr>
              <w:t xml:space="preserve">. </w:t>
            </w:r>
            <w:proofErr w:type="spellStart"/>
            <w:r w:rsidRPr="00F56EA8">
              <w:rPr>
                <w:rFonts w:ascii="Times New Roman" w:hAnsi="Times New Roman" w:cs="Times New Roman"/>
                <w:sz w:val="24"/>
                <w:szCs w:val="24"/>
              </w:rPr>
              <w:t>euro</w:t>
            </w:r>
            <w:proofErr w:type="spellEnd"/>
            <w:r w:rsidRPr="00F56EA8">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565674D8" w14:textId="6F12A543" w:rsidR="00765E16" w:rsidRPr="008E441B" w:rsidRDefault="00F56EA8" w:rsidP="008E441B">
            <w:pPr>
              <w:shd w:val="clear" w:color="auto" w:fill="FFFFFF"/>
              <w:jc w:val="both"/>
              <w:rPr>
                <w:rFonts w:ascii="Times New Roman" w:hAnsi="Times New Roman" w:cs="Times New Roman"/>
                <w:sz w:val="24"/>
                <w:szCs w:val="24"/>
              </w:rPr>
            </w:pPr>
            <w:r w:rsidRPr="00F56EA8">
              <w:rPr>
                <w:rFonts w:ascii="Times New Roman" w:hAnsi="Times New Roman" w:cs="Times New Roman"/>
                <w:sz w:val="24"/>
                <w:szCs w:val="24"/>
              </w:rPr>
              <w:lastRenderedPageBreak/>
              <w:t>Atšķirībā no 2007.-2013.gada plānošanas perioda, tiesiskais regulējums paredz samazināt ES fondu administrēšanā iesaistīto institūciju skaitu</w:t>
            </w:r>
            <w:r w:rsidR="00765E16" w:rsidRPr="008E441B">
              <w:rPr>
                <w:rFonts w:ascii="Times New Roman" w:hAnsi="Times New Roman" w:cs="Times New Roman"/>
                <w:sz w:val="24"/>
                <w:szCs w:val="24"/>
              </w:rPr>
              <w:t>. Tiks ieviests vienas pieturas aģentūras princips attiecībā pret finansējuma saņēmēju, jo turpmāk būs tikai viena sadarbības iestāde, kursa gan izvērtēs projektu iesniegumus, gan slēgs līgumus un vienošanās par projektu īstenošanu.</w:t>
            </w:r>
          </w:p>
          <w:p w14:paraId="4FA231E1" w14:textId="4DCD71BD" w:rsidR="00F56EA8" w:rsidRPr="00F56EA8" w:rsidRDefault="00F56EA8" w:rsidP="008E441B">
            <w:pPr>
              <w:shd w:val="clear" w:color="auto" w:fill="FFFFFF"/>
              <w:jc w:val="both"/>
              <w:rPr>
                <w:rFonts w:ascii="Times New Roman" w:hAnsi="Times New Roman" w:cs="Times New Roman"/>
                <w:sz w:val="24"/>
                <w:szCs w:val="24"/>
              </w:rPr>
            </w:pPr>
            <w:r w:rsidRPr="00F56EA8">
              <w:rPr>
                <w:rFonts w:ascii="Times New Roman" w:hAnsi="Times New Roman" w:cs="Times New Roman"/>
                <w:sz w:val="24"/>
                <w:szCs w:val="24"/>
              </w:rPr>
              <w:t>Turklāt likumprojektā tiek precīzi noteikts vadošās iestādes deleģēto funkciju sadalījumu starp ES fondu administrēšanā iesaistītajām institūcijām – vadošo iestādi, atbildīgajām iestādēm un sadarbības iestādi, tā panākot funkciju nedublēšanos,</w:t>
            </w:r>
            <w:r w:rsidRPr="00F56EA8">
              <w:t xml:space="preserve"> </w:t>
            </w:r>
            <w:r w:rsidRPr="00F56EA8">
              <w:rPr>
                <w:rFonts w:ascii="Times New Roman" w:hAnsi="Times New Roman" w:cs="Times New Roman"/>
                <w:sz w:val="24"/>
                <w:szCs w:val="24"/>
              </w:rPr>
              <w:t>kā arī izslēdzot interpretācijas iespējas starp atbildīgajām iestādēm un sadarbības iestādi attiecībā uz funkciju pārdali un atbildībām.</w:t>
            </w:r>
          </w:p>
          <w:p w14:paraId="7315A0CA" w14:textId="1FC2FFD6" w:rsidR="00F56EA8" w:rsidRPr="008E441B" w:rsidRDefault="00F56EA8" w:rsidP="008E441B">
            <w:pPr>
              <w:jc w:val="both"/>
              <w:rPr>
                <w:rFonts w:ascii="Times New Roman" w:hAnsi="Times New Roman" w:cs="Times New Roman"/>
                <w:sz w:val="24"/>
                <w:szCs w:val="24"/>
              </w:rPr>
            </w:pPr>
            <w:r w:rsidRPr="00F56EA8">
              <w:rPr>
                <w:rFonts w:ascii="Times New Roman" w:hAnsi="Times New Roman" w:cs="Times New Roman"/>
                <w:sz w:val="24"/>
                <w:szCs w:val="24"/>
              </w:rPr>
              <w:t>Papildus 2014.-2020.gada plānošanas periodā plānots ieviest pakārtoto aktu un iekšējo procedūru vienkāršošanas pasākumus. Tādējādi, ņemot vērā iepriekš minēto, tiks mazināts administratīvo slogs gan finansējuma saņēmējam, gan ES fondu administrēšanā iesaistītajām institūcijām, t.sk. vadošajai iestādei, optimizējot tās resursus, lai efektīvi pārvaldītu un kontrolētu tās deleģēto funkciju izpildi.</w:t>
            </w:r>
          </w:p>
        </w:tc>
      </w:tr>
      <w:tr w:rsidR="00F56EA8" w14:paraId="5905BFFD" w14:textId="77777777" w:rsidTr="0014724B">
        <w:tc>
          <w:tcPr>
            <w:tcW w:w="539" w:type="dxa"/>
          </w:tcPr>
          <w:p w14:paraId="664A2215" w14:textId="37304FEA"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lastRenderedPageBreak/>
              <w:t>3.</w:t>
            </w:r>
          </w:p>
        </w:tc>
        <w:tc>
          <w:tcPr>
            <w:tcW w:w="3402" w:type="dxa"/>
          </w:tcPr>
          <w:p w14:paraId="450A6322" w14:textId="537691EF"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132" w:type="dxa"/>
          </w:tcPr>
          <w:p w14:paraId="3A89F195" w14:textId="5602FCB4" w:rsidR="00F56EA8" w:rsidRPr="008E441B" w:rsidRDefault="00F56EA8" w:rsidP="008E441B">
            <w:pPr>
              <w:jc w:val="both"/>
              <w:rPr>
                <w:rFonts w:ascii="Times New Roman" w:hAnsi="Times New Roman" w:cs="Times New Roman"/>
                <w:sz w:val="24"/>
                <w:szCs w:val="24"/>
              </w:rPr>
            </w:pPr>
            <w:r w:rsidRPr="00F56EA8">
              <w:rPr>
                <w:rFonts w:ascii="Times New Roman" w:hAnsi="Times New Roman" w:cs="Times New Roman"/>
                <w:sz w:val="24"/>
                <w:szCs w:val="24"/>
              </w:rPr>
              <w:t xml:space="preserve">Attiecībā uz ES fondu administrēšanu tiek pieņemts, ka 2.25% no ES fondu piešķīruma tiek novirzīti ES fondu sistēmas vadībai (101 milj. </w:t>
            </w:r>
            <w:proofErr w:type="spellStart"/>
            <w:r w:rsidRPr="00F56EA8">
              <w:rPr>
                <w:rFonts w:ascii="Times New Roman" w:hAnsi="Times New Roman" w:cs="Times New Roman"/>
                <w:sz w:val="24"/>
                <w:szCs w:val="24"/>
              </w:rPr>
              <w:t>euro</w:t>
            </w:r>
            <w:proofErr w:type="spellEnd"/>
            <w:r w:rsidRPr="00F56EA8">
              <w:rPr>
                <w:rFonts w:ascii="Times New Roman" w:hAnsi="Times New Roman" w:cs="Times New Roman"/>
                <w:sz w:val="24"/>
                <w:szCs w:val="24"/>
              </w:rPr>
              <w:t xml:space="preserve">). Minētais finansējums tiek plānots saskaņā ar </w:t>
            </w:r>
            <w:r w:rsidR="008E441B" w:rsidRPr="008E441B">
              <w:rPr>
                <w:rFonts w:ascii="Times New Roman" w:hAnsi="Times New Roman" w:cs="Times New Roman"/>
                <w:sz w:val="24"/>
                <w:szCs w:val="24"/>
              </w:rPr>
              <w:t>Regulu</w:t>
            </w:r>
            <w:r w:rsidRPr="00F56EA8">
              <w:rPr>
                <w:rFonts w:ascii="Times New Roman" w:hAnsi="Times New Roman" w:cs="Times New Roman"/>
                <w:sz w:val="24"/>
                <w:szCs w:val="24"/>
              </w:rPr>
              <w:t xml:space="preserve"> </w:t>
            </w:r>
            <w:r w:rsidR="003714C5" w:rsidRPr="003714C5">
              <w:rPr>
                <w:rFonts w:ascii="Times New Roman" w:hAnsi="Times New Roman" w:cs="Times New Roman"/>
                <w:sz w:val="24"/>
                <w:szCs w:val="24"/>
              </w:rPr>
              <w:t>Nr.1303/2013</w:t>
            </w:r>
            <w:r w:rsidRPr="00F56EA8">
              <w:rPr>
                <w:rFonts w:ascii="Times New Roman" w:hAnsi="Times New Roman" w:cs="Times New Roman"/>
                <w:sz w:val="24"/>
                <w:szCs w:val="24"/>
              </w:rPr>
              <w:t>, kas nosaka atbalsta ES KP fondu vadībai limitu līdz 4%</w:t>
            </w:r>
            <w:r w:rsidRPr="00F56EA8">
              <w:rPr>
                <w:rFonts w:ascii="Times New Roman" w:hAnsi="Times New Roman" w:cs="Times New Roman"/>
                <w:sz w:val="24"/>
                <w:szCs w:val="24"/>
                <w:vertAlign w:val="superscript"/>
              </w:rPr>
              <w:footnoteReference w:id="9"/>
            </w:r>
            <w:r w:rsidRPr="00F56EA8">
              <w:rPr>
                <w:rFonts w:ascii="Times New Roman" w:hAnsi="Times New Roman" w:cs="Times New Roman"/>
                <w:sz w:val="24"/>
                <w:szCs w:val="24"/>
              </w:rPr>
              <w:t xml:space="preserve">, papildus plānojot nacionālā līdzfinansējuma daļu 15% apmērā (17,8 milj. </w:t>
            </w:r>
            <w:proofErr w:type="spellStart"/>
            <w:r w:rsidRPr="00F56EA8">
              <w:rPr>
                <w:rFonts w:ascii="Times New Roman" w:hAnsi="Times New Roman" w:cs="Times New Roman"/>
                <w:sz w:val="24"/>
                <w:szCs w:val="24"/>
              </w:rPr>
              <w:t>euro</w:t>
            </w:r>
            <w:proofErr w:type="spellEnd"/>
            <w:r w:rsidRPr="00F56EA8">
              <w:rPr>
                <w:rFonts w:ascii="Times New Roman" w:hAnsi="Times New Roman" w:cs="Times New Roman"/>
                <w:sz w:val="24"/>
                <w:szCs w:val="24"/>
              </w:rPr>
              <w:t xml:space="preserve">). ES fondu administrēšanas izdevumu ietvaros tiek plānots finansējums arī tādu  EK regulu priekšlikumos noteikto prasību izpildei kā </w:t>
            </w:r>
            <w:proofErr w:type="spellStart"/>
            <w:r w:rsidRPr="00F56EA8">
              <w:rPr>
                <w:rFonts w:ascii="Times New Roman" w:hAnsi="Times New Roman" w:cs="Times New Roman"/>
                <w:sz w:val="24"/>
                <w:szCs w:val="24"/>
              </w:rPr>
              <w:t>ex-antes</w:t>
            </w:r>
            <w:proofErr w:type="spellEnd"/>
            <w:r w:rsidRPr="00F56EA8">
              <w:rPr>
                <w:rFonts w:ascii="Times New Roman" w:hAnsi="Times New Roman" w:cs="Times New Roman"/>
                <w:sz w:val="24"/>
                <w:szCs w:val="24"/>
              </w:rPr>
              <w:t xml:space="preserve"> nosacījumu izpilde plānotajām investīcijām; ekspertīzes palielināšana plānotajās investīciju jomās, tai skaitā partnerības stiprināšanai; vadības un kontroles sistēmas uzlabošana, tai skaitā e-pārvaldība; kapacitātes stiprināšana izvērtēšanas un uzraudzības jomās, proti, funkcijām, kam būs būtiska nozīme naudas plūsmas no Eiropas Komisijas nodrošināšanā.</w:t>
            </w:r>
          </w:p>
        </w:tc>
      </w:tr>
      <w:tr w:rsidR="00F56EA8" w14:paraId="735418E3" w14:textId="77777777" w:rsidTr="0014724B">
        <w:tc>
          <w:tcPr>
            <w:tcW w:w="539" w:type="dxa"/>
          </w:tcPr>
          <w:p w14:paraId="4CA3251A" w14:textId="5CECBF14"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4.</w:t>
            </w:r>
          </w:p>
        </w:tc>
        <w:tc>
          <w:tcPr>
            <w:tcW w:w="3402" w:type="dxa"/>
          </w:tcPr>
          <w:p w14:paraId="29D32845" w14:textId="016B5283"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132" w:type="dxa"/>
          </w:tcPr>
          <w:p w14:paraId="24BCA008" w14:textId="0D4922D1" w:rsidR="00F56EA8" w:rsidRDefault="00F56EA8" w:rsidP="00F56EA8">
            <w:pPr>
              <w:rPr>
                <w:rFonts w:ascii="Times New Roman" w:hAnsi="Times New Roman" w:cs="Times New Roman"/>
                <w:sz w:val="24"/>
                <w:szCs w:val="24"/>
              </w:rPr>
            </w:pPr>
            <w:r w:rsidRPr="00F56EA8">
              <w:rPr>
                <w:rFonts w:ascii="Times New Roman" w:hAnsi="Times New Roman" w:cs="Times New Roman"/>
                <w:sz w:val="24"/>
                <w:szCs w:val="24"/>
              </w:rPr>
              <w:t>Nav</w:t>
            </w:r>
          </w:p>
        </w:tc>
      </w:tr>
    </w:tbl>
    <w:p w14:paraId="0EA57CA1" w14:textId="77777777" w:rsidR="00F56EA8" w:rsidRDefault="00F56EA8" w:rsidP="00171D36">
      <w:pPr>
        <w:spacing w:after="0" w:line="240" w:lineRule="auto"/>
        <w:rPr>
          <w:rFonts w:ascii="Times New Roman" w:hAnsi="Times New Roman" w:cs="Times New Roman"/>
          <w:sz w:val="24"/>
          <w:szCs w:val="24"/>
        </w:rPr>
      </w:pPr>
    </w:p>
    <w:p w14:paraId="42D264F4" w14:textId="77777777" w:rsidR="003A4318" w:rsidRDefault="003A4318" w:rsidP="00171D36">
      <w:pPr>
        <w:spacing w:after="0" w:line="240" w:lineRule="auto"/>
        <w:rPr>
          <w:rFonts w:ascii="Times New Roman" w:hAnsi="Times New Roman" w:cs="Times New Roman"/>
          <w:sz w:val="24"/>
          <w:szCs w:val="24"/>
        </w:rPr>
      </w:pPr>
    </w:p>
    <w:p w14:paraId="3C2238C3" w14:textId="77777777" w:rsidR="00DD47C8" w:rsidRDefault="00DD47C8" w:rsidP="00171D36">
      <w:pPr>
        <w:spacing w:after="0" w:line="240" w:lineRule="auto"/>
        <w:rPr>
          <w:rFonts w:ascii="Times New Roman" w:hAnsi="Times New Roman" w:cs="Times New Roman"/>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258"/>
        <w:gridCol w:w="1510"/>
        <w:gridCol w:w="1223"/>
        <w:gridCol w:w="1223"/>
        <w:gridCol w:w="1644"/>
      </w:tblGrid>
      <w:tr w:rsidR="00DD47C8" w:rsidRPr="00DD49B6" w14:paraId="4232F572" w14:textId="77777777" w:rsidTr="00DD47C8">
        <w:trPr>
          <w:trHeight w:val="361"/>
          <w:jc w:val="center"/>
        </w:trPr>
        <w:tc>
          <w:tcPr>
            <w:tcW w:w="9787" w:type="dxa"/>
            <w:gridSpan w:val="6"/>
            <w:vAlign w:val="center"/>
          </w:tcPr>
          <w:p w14:paraId="429DFE56" w14:textId="77777777" w:rsidR="00DD47C8" w:rsidRPr="00DD49B6" w:rsidRDefault="00DD47C8" w:rsidP="0084646A">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DD47C8" w:rsidRPr="00DD49B6" w14:paraId="60FE28AF" w14:textId="77777777" w:rsidTr="00DD47C8">
        <w:trPr>
          <w:jc w:val="center"/>
        </w:trPr>
        <w:tc>
          <w:tcPr>
            <w:tcW w:w="2929" w:type="dxa"/>
            <w:vMerge w:val="restart"/>
            <w:vAlign w:val="center"/>
          </w:tcPr>
          <w:p w14:paraId="37FEE5D7" w14:textId="77777777" w:rsidR="00DD47C8" w:rsidRPr="00DD49B6" w:rsidRDefault="00DD47C8" w:rsidP="0084646A">
            <w:pPr>
              <w:pStyle w:val="naisf"/>
              <w:spacing w:before="0" w:beforeAutospacing="0" w:after="0" w:afterAutospacing="0"/>
              <w:jc w:val="center"/>
              <w:rPr>
                <w:b/>
              </w:rPr>
            </w:pPr>
            <w:r w:rsidRPr="00DD49B6">
              <w:rPr>
                <w:b/>
              </w:rPr>
              <w:t>Rādītāji</w:t>
            </w:r>
          </w:p>
        </w:tc>
        <w:tc>
          <w:tcPr>
            <w:tcW w:w="2768" w:type="dxa"/>
            <w:gridSpan w:val="2"/>
            <w:vMerge w:val="restart"/>
            <w:vAlign w:val="center"/>
          </w:tcPr>
          <w:p w14:paraId="48C43143" w14:textId="77777777" w:rsidR="00DD47C8" w:rsidRPr="00DD49B6" w:rsidRDefault="00DD47C8" w:rsidP="0084646A">
            <w:pPr>
              <w:pStyle w:val="naisf"/>
              <w:spacing w:before="0" w:beforeAutospacing="0" w:after="0" w:afterAutospacing="0"/>
              <w:jc w:val="center"/>
              <w:rPr>
                <w:b/>
              </w:rPr>
            </w:pPr>
            <w:r>
              <w:rPr>
                <w:b/>
              </w:rPr>
              <w:t>2014.</w:t>
            </w:r>
            <w:r w:rsidRPr="00DD49B6">
              <w:rPr>
                <w:b/>
              </w:rPr>
              <w:t>gads</w:t>
            </w:r>
          </w:p>
        </w:tc>
        <w:tc>
          <w:tcPr>
            <w:tcW w:w="4090" w:type="dxa"/>
            <w:gridSpan w:val="3"/>
            <w:vAlign w:val="center"/>
          </w:tcPr>
          <w:p w14:paraId="29A2AE1C" w14:textId="77777777" w:rsidR="00DD47C8" w:rsidRPr="00DD49B6" w:rsidRDefault="00DD47C8" w:rsidP="0084646A">
            <w:pPr>
              <w:pStyle w:val="naisf"/>
              <w:spacing w:before="0" w:beforeAutospacing="0" w:after="0" w:afterAutospacing="0"/>
              <w:jc w:val="center"/>
              <w:rPr>
                <w:b/>
                <w:i/>
              </w:rPr>
            </w:pPr>
            <w:r w:rsidRPr="00DD49B6">
              <w:t>Turpmākie trīs gadi (</w:t>
            </w:r>
            <w:proofErr w:type="spellStart"/>
            <w:r>
              <w:t>euro</w:t>
            </w:r>
            <w:proofErr w:type="spellEnd"/>
            <w:r w:rsidRPr="00DD49B6">
              <w:t>)</w:t>
            </w:r>
          </w:p>
        </w:tc>
      </w:tr>
      <w:tr w:rsidR="00DD47C8" w:rsidRPr="00DD49B6" w14:paraId="68733654" w14:textId="77777777" w:rsidTr="00DD47C8">
        <w:trPr>
          <w:jc w:val="center"/>
        </w:trPr>
        <w:tc>
          <w:tcPr>
            <w:tcW w:w="2929" w:type="dxa"/>
            <w:vMerge/>
            <w:vAlign w:val="center"/>
          </w:tcPr>
          <w:p w14:paraId="116BAA7A" w14:textId="77777777" w:rsidR="00DD47C8" w:rsidRPr="00DD49B6" w:rsidRDefault="00DD47C8" w:rsidP="0084646A">
            <w:pPr>
              <w:pStyle w:val="naisf"/>
              <w:spacing w:before="0" w:beforeAutospacing="0" w:after="0" w:afterAutospacing="0"/>
              <w:jc w:val="center"/>
              <w:rPr>
                <w:b/>
                <w:i/>
              </w:rPr>
            </w:pPr>
          </w:p>
        </w:tc>
        <w:tc>
          <w:tcPr>
            <w:tcW w:w="2768" w:type="dxa"/>
            <w:gridSpan w:val="2"/>
            <w:vMerge/>
            <w:vAlign w:val="center"/>
          </w:tcPr>
          <w:p w14:paraId="6A77C92F" w14:textId="77777777" w:rsidR="00DD47C8" w:rsidRPr="00DD49B6" w:rsidRDefault="00DD47C8" w:rsidP="0084646A">
            <w:pPr>
              <w:pStyle w:val="naisf"/>
              <w:spacing w:before="0" w:beforeAutospacing="0" w:after="0" w:afterAutospacing="0"/>
              <w:jc w:val="center"/>
              <w:rPr>
                <w:b/>
                <w:i/>
              </w:rPr>
            </w:pPr>
          </w:p>
        </w:tc>
        <w:tc>
          <w:tcPr>
            <w:tcW w:w="1223" w:type="dxa"/>
            <w:vAlign w:val="center"/>
          </w:tcPr>
          <w:p w14:paraId="106DF920" w14:textId="77777777" w:rsidR="00DD47C8" w:rsidRPr="00DD49B6" w:rsidRDefault="00DD47C8" w:rsidP="0084646A">
            <w:pPr>
              <w:pStyle w:val="naisf"/>
              <w:spacing w:before="0" w:beforeAutospacing="0" w:after="0" w:afterAutospacing="0"/>
              <w:jc w:val="center"/>
              <w:rPr>
                <w:b/>
                <w:i/>
              </w:rPr>
            </w:pPr>
            <w:r>
              <w:rPr>
                <w:b/>
                <w:bCs/>
              </w:rPr>
              <w:t>2015.gads</w:t>
            </w:r>
          </w:p>
        </w:tc>
        <w:tc>
          <w:tcPr>
            <w:tcW w:w="1223" w:type="dxa"/>
            <w:vAlign w:val="center"/>
          </w:tcPr>
          <w:p w14:paraId="65FB0D6D" w14:textId="77777777" w:rsidR="00DD47C8" w:rsidRPr="00DD49B6" w:rsidRDefault="00DD47C8" w:rsidP="0084646A">
            <w:pPr>
              <w:pStyle w:val="naisf"/>
              <w:spacing w:before="0" w:beforeAutospacing="0" w:after="0" w:afterAutospacing="0"/>
              <w:jc w:val="center"/>
              <w:rPr>
                <w:b/>
                <w:i/>
              </w:rPr>
            </w:pPr>
            <w:r>
              <w:rPr>
                <w:b/>
                <w:bCs/>
              </w:rPr>
              <w:t>2016.gads</w:t>
            </w:r>
          </w:p>
        </w:tc>
        <w:tc>
          <w:tcPr>
            <w:tcW w:w="1644" w:type="dxa"/>
            <w:vAlign w:val="center"/>
          </w:tcPr>
          <w:p w14:paraId="6B3EEF67" w14:textId="77777777" w:rsidR="00DD47C8" w:rsidRPr="00DD49B6" w:rsidRDefault="00DD47C8" w:rsidP="0084646A">
            <w:pPr>
              <w:pStyle w:val="naisf"/>
              <w:spacing w:before="0" w:beforeAutospacing="0" w:after="0" w:afterAutospacing="0"/>
              <w:jc w:val="center"/>
              <w:rPr>
                <w:b/>
                <w:i/>
              </w:rPr>
            </w:pPr>
            <w:r>
              <w:rPr>
                <w:b/>
                <w:bCs/>
              </w:rPr>
              <w:t>2017.gads</w:t>
            </w:r>
          </w:p>
        </w:tc>
      </w:tr>
      <w:tr w:rsidR="00DD47C8" w:rsidRPr="00DD49B6" w14:paraId="287DAE38" w14:textId="77777777" w:rsidTr="00DD47C8">
        <w:trPr>
          <w:jc w:val="center"/>
        </w:trPr>
        <w:tc>
          <w:tcPr>
            <w:tcW w:w="2929" w:type="dxa"/>
            <w:vMerge/>
            <w:vAlign w:val="center"/>
          </w:tcPr>
          <w:p w14:paraId="26F834B8" w14:textId="77777777" w:rsidR="00DD47C8" w:rsidRPr="00DD49B6" w:rsidRDefault="00DD47C8" w:rsidP="0084646A">
            <w:pPr>
              <w:pStyle w:val="naisf"/>
              <w:spacing w:before="0" w:beforeAutospacing="0" w:after="0" w:afterAutospacing="0"/>
              <w:jc w:val="center"/>
              <w:rPr>
                <w:b/>
                <w:i/>
              </w:rPr>
            </w:pPr>
          </w:p>
        </w:tc>
        <w:tc>
          <w:tcPr>
            <w:tcW w:w="1258" w:type="dxa"/>
            <w:vAlign w:val="center"/>
          </w:tcPr>
          <w:p w14:paraId="1B0B4885" w14:textId="77777777" w:rsidR="00DD47C8" w:rsidRPr="000A150F" w:rsidRDefault="00DD47C8" w:rsidP="0084646A">
            <w:pPr>
              <w:pStyle w:val="naisf"/>
              <w:spacing w:before="0" w:beforeAutospacing="0" w:after="0" w:afterAutospacing="0"/>
              <w:jc w:val="center"/>
              <w:rPr>
                <w:b/>
                <w:i/>
              </w:rPr>
            </w:pPr>
            <w:r w:rsidRPr="000A150F">
              <w:t>saskaņā ar valsts budžetu kārtējam gadam</w:t>
            </w:r>
          </w:p>
        </w:tc>
        <w:tc>
          <w:tcPr>
            <w:tcW w:w="1510" w:type="dxa"/>
            <w:vAlign w:val="center"/>
          </w:tcPr>
          <w:p w14:paraId="1AE9C958" w14:textId="77777777" w:rsidR="00DD47C8" w:rsidRPr="000A150F" w:rsidRDefault="00DD47C8" w:rsidP="0084646A">
            <w:pPr>
              <w:pStyle w:val="naisf"/>
              <w:spacing w:before="0" w:beforeAutospacing="0" w:after="0" w:afterAutospacing="0"/>
              <w:jc w:val="center"/>
              <w:rPr>
                <w:b/>
                <w:i/>
              </w:rPr>
            </w:pPr>
            <w:r w:rsidRPr="000A150F">
              <w:t>izmaiņas kārtējā gadā, salīdzinot ar budžetu kārtējam gadam</w:t>
            </w:r>
          </w:p>
        </w:tc>
        <w:tc>
          <w:tcPr>
            <w:tcW w:w="1223" w:type="dxa"/>
            <w:vAlign w:val="center"/>
          </w:tcPr>
          <w:p w14:paraId="15DE0332" w14:textId="77777777" w:rsidR="00DD47C8" w:rsidRPr="000A150F" w:rsidRDefault="00DD47C8" w:rsidP="0084646A">
            <w:pPr>
              <w:pStyle w:val="naisf"/>
              <w:spacing w:before="0" w:beforeAutospacing="0" w:after="0" w:afterAutospacing="0"/>
              <w:jc w:val="center"/>
              <w:rPr>
                <w:b/>
                <w:i/>
              </w:rPr>
            </w:pPr>
            <w:r w:rsidRPr="000A150F">
              <w:t>izmaiņas, salīdzinot ar kārtējo (n) gadu</w:t>
            </w:r>
          </w:p>
        </w:tc>
        <w:tc>
          <w:tcPr>
            <w:tcW w:w="1223" w:type="dxa"/>
            <w:vAlign w:val="center"/>
          </w:tcPr>
          <w:p w14:paraId="012D60EC" w14:textId="77777777" w:rsidR="00DD47C8" w:rsidRPr="000A150F" w:rsidRDefault="00DD47C8" w:rsidP="0084646A">
            <w:pPr>
              <w:pStyle w:val="naisf"/>
              <w:spacing w:before="0" w:beforeAutospacing="0" w:after="0" w:afterAutospacing="0"/>
              <w:jc w:val="center"/>
              <w:rPr>
                <w:b/>
                <w:i/>
              </w:rPr>
            </w:pPr>
            <w:r w:rsidRPr="000A150F">
              <w:t>izmaiņas, salīdzinot ar kārtējo (n) gadu</w:t>
            </w:r>
          </w:p>
        </w:tc>
        <w:tc>
          <w:tcPr>
            <w:tcW w:w="1644" w:type="dxa"/>
            <w:vAlign w:val="center"/>
          </w:tcPr>
          <w:p w14:paraId="44EBE359" w14:textId="77777777" w:rsidR="00DD47C8" w:rsidRPr="000A150F" w:rsidRDefault="00DD47C8" w:rsidP="0084646A">
            <w:pPr>
              <w:pStyle w:val="naisf"/>
              <w:spacing w:before="0" w:beforeAutospacing="0" w:after="0" w:afterAutospacing="0"/>
              <w:jc w:val="center"/>
              <w:rPr>
                <w:b/>
                <w:i/>
              </w:rPr>
            </w:pPr>
            <w:r w:rsidRPr="000A150F">
              <w:t>izmaiņas, salīdzinot ar kārtējo (n) gadu</w:t>
            </w:r>
          </w:p>
        </w:tc>
      </w:tr>
      <w:tr w:rsidR="00DD47C8" w:rsidRPr="00DD49B6" w14:paraId="374A1EB3" w14:textId="77777777" w:rsidTr="00DD47C8">
        <w:trPr>
          <w:jc w:val="center"/>
        </w:trPr>
        <w:tc>
          <w:tcPr>
            <w:tcW w:w="2929" w:type="dxa"/>
            <w:vAlign w:val="center"/>
          </w:tcPr>
          <w:p w14:paraId="789153F6" w14:textId="77777777" w:rsidR="00DD47C8" w:rsidRPr="00DD49B6" w:rsidRDefault="00DD47C8" w:rsidP="0084646A">
            <w:pPr>
              <w:pStyle w:val="naisf"/>
              <w:spacing w:before="0" w:beforeAutospacing="0" w:after="0" w:afterAutospacing="0"/>
              <w:jc w:val="center"/>
              <w:rPr>
                <w:bCs/>
              </w:rPr>
            </w:pPr>
            <w:r w:rsidRPr="00DD49B6">
              <w:rPr>
                <w:bCs/>
              </w:rPr>
              <w:t>1</w:t>
            </w:r>
          </w:p>
        </w:tc>
        <w:tc>
          <w:tcPr>
            <w:tcW w:w="1258" w:type="dxa"/>
            <w:vAlign w:val="center"/>
          </w:tcPr>
          <w:p w14:paraId="7A4EF85A" w14:textId="77777777" w:rsidR="00DD47C8" w:rsidRPr="00DD49B6" w:rsidRDefault="00DD47C8" w:rsidP="0084646A">
            <w:pPr>
              <w:pStyle w:val="naisf"/>
              <w:spacing w:before="0" w:beforeAutospacing="0" w:after="0" w:afterAutospacing="0"/>
              <w:jc w:val="center"/>
              <w:rPr>
                <w:bCs/>
              </w:rPr>
            </w:pPr>
            <w:r w:rsidRPr="00DD49B6">
              <w:rPr>
                <w:bCs/>
              </w:rPr>
              <w:t>2</w:t>
            </w:r>
          </w:p>
        </w:tc>
        <w:tc>
          <w:tcPr>
            <w:tcW w:w="1510" w:type="dxa"/>
            <w:vAlign w:val="center"/>
          </w:tcPr>
          <w:p w14:paraId="429A9BCB" w14:textId="77777777" w:rsidR="00DD47C8" w:rsidRPr="00DD49B6" w:rsidRDefault="00DD47C8" w:rsidP="0084646A">
            <w:pPr>
              <w:pStyle w:val="naisf"/>
              <w:spacing w:before="0" w:beforeAutospacing="0" w:after="0" w:afterAutospacing="0"/>
              <w:jc w:val="center"/>
              <w:rPr>
                <w:bCs/>
              </w:rPr>
            </w:pPr>
            <w:r w:rsidRPr="00DD49B6">
              <w:rPr>
                <w:bCs/>
              </w:rPr>
              <w:t>3</w:t>
            </w:r>
          </w:p>
        </w:tc>
        <w:tc>
          <w:tcPr>
            <w:tcW w:w="1223" w:type="dxa"/>
            <w:vAlign w:val="center"/>
          </w:tcPr>
          <w:p w14:paraId="40578167" w14:textId="77777777" w:rsidR="00DD47C8" w:rsidRPr="00DD49B6" w:rsidRDefault="00DD47C8" w:rsidP="0084646A">
            <w:pPr>
              <w:pStyle w:val="naisf"/>
              <w:spacing w:before="0" w:beforeAutospacing="0" w:after="0" w:afterAutospacing="0"/>
              <w:jc w:val="center"/>
              <w:rPr>
                <w:bCs/>
              </w:rPr>
            </w:pPr>
            <w:r w:rsidRPr="00DD49B6">
              <w:rPr>
                <w:bCs/>
              </w:rPr>
              <w:t>4</w:t>
            </w:r>
          </w:p>
        </w:tc>
        <w:tc>
          <w:tcPr>
            <w:tcW w:w="1223" w:type="dxa"/>
            <w:vAlign w:val="center"/>
          </w:tcPr>
          <w:p w14:paraId="780C3145" w14:textId="77777777" w:rsidR="00DD47C8" w:rsidRPr="00DD49B6" w:rsidRDefault="00DD47C8" w:rsidP="0084646A">
            <w:pPr>
              <w:pStyle w:val="naisf"/>
              <w:spacing w:before="0" w:beforeAutospacing="0" w:after="0" w:afterAutospacing="0"/>
              <w:jc w:val="center"/>
              <w:rPr>
                <w:bCs/>
              </w:rPr>
            </w:pPr>
            <w:r w:rsidRPr="00DD49B6">
              <w:rPr>
                <w:bCs/>
              </w:rPr>
              <w:t>5</w:t>
            </w:r>
          </w:p>
        </w:tc>
        <w:tc>
          <w:tcPr>
            <w:tcW w:w="1644" w:type="dxa"/>
            <w:vAlign w:val="center"/>
          </w:tcPr>
          <w:p w14:paraId="06CB10A4" w14:textId="77777777" w:rsidR="00DD47C8" w:rsidRPr="00DD49B6" w:rsidRDefault="00DD47C8" w:rsidP="0084646A">
            <w:pPr>
              <w:pStyle w:val="naisf"/>
              <w:spacing w:before="0" w:beforeAutospacing="0" w:after="0" w:afterAutospacing="0"/>
              <w:jc w:val="center"/>
              <w:rPr>
                <w:bCs/>
              </w:rPr>
            </w:pPr>
            <w:r w:rsidRPr="00DD49B6">
              <w:rPr>
                <w:bCs/>
              </w:rPr>
              <w:t>6</w:t>
            </w:r>
          </w:p>
        </w:tc>
      </w:tr>
      <w:tr w:rsidR="00F3756E" w:rsidRPr="00DD49B6" w14:paraId="6D6049B5" w14:textId="77777777" w:rsidTr="00DD47C8">
        <w:trPr>
          <w:jc w:val="center"/>
        </w:trPr>
        <w:tc>
          <w:tcPr>
            <w:tcW w:w="2929" w:type="dxa"/>
          </w:tcPr>
          <w:p w14:paraId="31887891" w14:textId="77777777" w:rsidR="00F3756E" w:rsidRPr="00DD49B6" w:rsidRDefault="00F3756E" w:rsidP="00F3756E">
            <w:pPr>
              <w:pStyle w:val="naisf"/>
              <w:spacing w:before="0" w:beforeAutospacing="0" w:after="0" w:afterAutospacing="0"/>
              <w:rPr>
                <w:i/>
              </w:rPr>
            </w:pPr>
            <w:r w:rsidRPr="00DD49B6">
              <w:t>1. Budžeta ieņēmumi:</w:t>
            </w:r>
          </w:p>
        </w:tc>
        <w:tc>
          <w:tcPr>
            <w:tcW w:w="1258" w:type="dxa"/>
          </w:tcPr>
          <w:p w14:paraId="5B862DB6" w14:textId="77777777" w:rsidR="00F3756E" w:rsidRPr="00E904DE" w:rsidRDefault="00F3756E" w:rsidP="00F3756E">
            <w:pPr>
              <w:pStyle w:val="naisf"/>
              <w:spacing w:before="0" w:beforeAutospacing="0" w:after="0" w:afterAutospacing="0"/>
              <w:rPr>
                <w:b/>
                <w:i/>
                <w:sz w:val="18"/>
                <w:szCs w:val="18"/>
              </w:rPr>
            </w:pPr>
            <w:r w:rsidRPr="00E904DE">
              <w:rPr>
                <w:b/>
                <w:i/>
                <w:sz w:val="18"/>
                <w:szCs w:val="18"/>
              </w:rPr>
              <w:t>78 591 613</w:t>
            </w:r>
          </w:p>
        </w:tc>
        <w:tc>
          <w:tcPr>
            <w:tcW w:w="1510" w:type="dxa"/>
          </w:tcPr>
          <w:p w14:paraId="4594938E" w14:textId="122111C2" w:rsidR="00F3756E" w:rsidRPr="00F3756E" w:rsidRDefault="00F3756E" w:rsidP="00F3756E">
            <w:pPr>
              <w:pStyle w:val="naisf"/>
              <w:spacing w:before="0" w:beforeAutospacing="0" w:after="0" w:afterAutospacing="0"/>
              <w:rPr>
                <w:b/>
                <w:i/>
                <w:sz w:val="18"/>
              </w:rPr>
            </w:pPr>
            <w:r w:rsidRPr="00F3756E">
              <w:rPr>
                <w:b/>
                <w:i/>
                <w:sz w:val="18"/>
              </w:rPr>
              <w:t>-34 699 387</w:t>
            </w:r>
          </w:p>
        </w:tc>
        <w:tc>
          <w:tcPr>
            <w:tcW w:w="1223" w:type="dxa"/>
          </w:tcPr>
          <w:p w14:paraId="6FED92C3" w14:textId="7DBE0322" w:rsidR="00F3756E" w:rsidRPr="00DD49B6" w:rsidRDefault="00F3756E" w:rsidP="00F3756E">
            <w:pPr>
              <w:pStyle w:val="naisf"/>
              <w:spacing w:before="0" w:beforeAutospacing="0" w:after="0" w:afterAutospacing="0"/>
              <w:rPr>
                <w:b/>
                <w:i/>
              </w:rPr>
            </w:pPr>
            <w:r w:rsidRPr="00E7783F">
              <w:rPr>
                <w:b/>
                <w:i/>
                <w:sz w:val="18"/>
              </w:rPr>
              <w:t>+</w:t>
            </w:r>
            <w:r>
              <w:rPr>
                <w:b/>
                <w:i/>
                <w:sz w:val="18"/>
              </w:rPr>
              <w:t>62 304 705</w:t>
            </w:r>
          </w:p>
        </w:tc>
        <w:tc>
          <w:tcPr>
            <w:tcW w:w="1223" w:type="dxa"/>
          </w:tcPr>
          <w:p w14:paraId="08243D6D" w14:textId="5C73315F" w:rsidR="00F3756E" w:rsidRPr="00DD49B6" w:rsidRDefault="00F3756E" w:rsidP="00F3756E">
            <w:pPr>
              <w:pStyle w:val="naisf"/>
              <w:spacing w:before="0" w:beforeAutospacing="0" w:after="0" w:afterAutospacing="0"/>
              <w:rPr>
                <w:b/>
                <w:i/>
              </w:rPr>
            </w:pPr>
            <w:r w:rsidRPr="00E7783F">
              <w:rPr>
                <w:b/>
                <w:i/>
                <w:sz w:val="18"/>
              </w:rPr>
              <w:t>+</w:t>
            </w:r>
            <w:r>
              <w:rPr>
                <w:b/>
                <w:i/>
                <w:sz w:val="18"/>
              </w:rPr>
              <w:t>200 616 956</w:t>
            </w:r>
          </w:p>
        </w:tc>
        <w:tc>
          <w:tcPr>
            <w:tcW w:w="1644" w:type="dxa"/>
          </w:tcPr>
          <w:p w14:paraId="7155385D" w14:textId="2E8B0F0D" w:rsidR="00F3756E" w:rsidRPr="00DD49B6" w:rsidRDefault="00F3756E" w:rsidP="00F3756E">
            <w:pPr>
              <w:pStyle w:val="naisf"/>
              <w:spacing w:before="0" w:beforeAutospacing="0" w:after="0" w:afterAutospacing="0"/>
              <w:rPr>
                <w:b/>
                <w:i/>
              </w:rPr>
            </w:pPr>
            <w:r w:rsidRPr="003217F6">
              <w:rPr>
                <w:b/>
                <w:i/>
                <w:sz w:val="18"/>
              </w:rPr>
              <w:t>+</w:t>
            </w:r>
            <w:r>
              <w:rPr>
                <w:b/>
                <w:i/>
                <w:sz w:val="18"/>
              </w:rPr>
              <w:t>262 708 220</w:t>
            </w:r>
          </w:p>
        </w:tc>
      </w:tr>
      <w:tr w:rsidR="00DD47C8" w:rsidRPr="00DD49B6" w14:paraId="0985749C" w14:textId="77777777" w:rsidTr="00DD47C8">
        <w:trPr>
          <w:jc w:val="center"/>
        </w:trPr>
        <w:tc>
          <w:tcPr>
            <w:tcW w:w="2929" w:type="dxa"/>
          </w:tcPr>
          <w:p w14:paraId="21F8A3C2" w14:textId="77777777" w:rsidR="00DD47C8" w:rsidRPr="00DD49B6" w:rsidRDefault="00DD47C8" w:rsidP="0084646A">
            <w:pPr>
              <w:pStyle w:val="naisf"/>
              <w:spacing w:before="0" w:beforeAutospacing="0" w:after="0" w:afterAutospacing="0"/>
              <w:rPr>
                <w:i/>
              </w:rPr>
            </w:pPr>
            <w:r w:rsidRPr="00DD49B6">
              <w:t>1.1. valsts pamatbudžets, tai skaitā ieņēmumi no maksas pakalpojumiem un citi pašu ieņēmumi</w:t>
            </w:r>
          </w:p>
        </w:tc>
        <w:tc>
          <w:tcPr>
            <w:tcW w:w="1258" w:type="dxa"/>
          </w:tcPr>
          <w:p w14:paraId="5AAF1ED2"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78 591 613</w:t>
            </w:r>
          </w:p>
        </w:tc>
        <w:tc>
          <w:tcPr>
            <w:tcW w:w="1510" w:type="dxa"/>
          </w:tcPr>
          <w:p w14:paraId="0B3E33DC" w14:textId="19B2F581" w:rsidR="00DD47C8" w:rsidRPr="00F3756E" w:rsidRDefault="00F3756E" w:rsidP="0084646A">
            <w:pPr>
              <w:pStyle w:val="naisf"/>
              <w:spacing w:before="0" w:beforeAutospacing="0" w:after="0" w:afterAutospacing="0"/>
              <w:rPr>
                <w:b/>
                <w:i/>
                <w:sz w:val="18"/>
              </w:rPr>
            </w:pPr>
            <w:r w:rsidRPr="00F3756E">
              <w:rPr>
                <w:b/>
                <w:i/>
                <w:sz w:val="18"/>
              </w:rPr>
              <w:t>-34 699 387</w:t>
            </w:r>
          </w:p>
        </w:tc>
        <w:tc>
          <w:tcPr>
            <w:tcW w:w="1223" w:type="dxa"/>
          </w:tcPr>
          <w:p w14:paraId="6C584308" w14:textId="2D484DD5" w:rsidR="00DD47C8" w:rsidRPr="00DD49B6" w:rsidRDefault="00DD47C8" w:rsidP="00F3756E">
            <w:pPr>
              <w:pStyle w:val="naisf"/>
              <w:spacing w:before="0" w:beforeAutospacing="0" w:after="0" w:afterAutospacing="0"/>
              <w:rPr>
                <w:b/>
                <w:i/>
              </w:rPr>
            </w:pPr>
            <w:r w:rsidRPr="00E7783F">
              <w:rPr>
                <w:b/>
                <w:i/>
                <w:sz w:val="18"/>
              </w:rPr>
              <w:t>+</w:t>
            </w:r>
            <w:r w:rsidR="00F3756E">
              <w:rPr>
                <w:b/>
                <w:i/>
                <w:sz w:val="18"/>
              </w:rPr>
              <w:t>62 304 705</w:t>
            </w:r>
          </w:p>
        </w:tc>
        <w:tc>
          <w:tcPr>
            <w:tcW w:w="1223" w:type="dxa"/>
          </w:tcPr>
          <w:p w14:paraId="11106805" w14:textId="49DEAC89" w:rsidR="00DD47C8" w:rsidRPr="00DD49B6" w:rsidRDefault="00DD47C8" w:rsidP="00F3756E">
            <w:pPr>
              <w:pStyle w:val="naisf"/>
              <w:spacing w:before="0" w:beforeAutospacing="0" w:after="0" w:afterAutospacing="0"/>
              <w:rPr>
                <w:b/>
                <w:i/>
              </w:rPr>
            </w:pPr>
            <w:r w:rsidRPr="00E7783F">
              <w:rPr>
                <w:b/>
                <w:i/>
                <w:sz w:val="18"/>
              </w:rPr>
              <w:t>+</w:t>
            </w:r>
            <w:r w:rsidR="00F3756E">
              <w:rPr>
                <w:b/>
                <w:i/>
                <w:sz w:val="18"/>
              </w:rPr>
              <w:t>200 616 956</w:t>
            </w:r>
          </w:p>
        </w:tc>
        <w:tc>
          <w:tcPr>
            <w:tcW w:w="1644" w:type="dxa"/>
          </w:tcPr>
          <w:p w14:paraId="3D7340B0" w14:textId="7E8DDA88" w:rsidR="00DD47C8" w:rsidRPr="00DD49B6" w:rsidRDefault="00DD47C8" w:rsidP="00F3756E">
            <w:pPr>
              <w:pStyle w:val="naisf"/>
              <w:spacing w:before="0" w:beforeAutospacing="0" w:after="0" w:afterAutospacing="0"/>
              <w:rPr>
                <w:b/>
                <w:i/>
              </w:rPr>
            </w:pPr>
            <w:r w:rsidRPr="003217F6">
              <w:rPr>
                <w:b/>
                <w:i/>
                <w:sz w:val="18"/>
              </w:rPr>
              <w:t>+</w:t>
            </w:r>
            <w:r w:rsidR="00F3756E">
              <w:rPr>
                <w:b/>
                <w:i/>
                <w:sz w:val="18"/>
              </w:rPr>
              <w:t>262 708 220</w:t>
            </w:r>
          </w:p>
        </w:tc>
      </w:tr>
      <w:tr w:rsidR="00DD47C8" w:rsidRPr="00DD49B6" w14:paraId="59BDF809" w14:textId="77777777" w:rsidTr="00DD47C8">
        <w:trPr>
          <w:jc w:val="center"/>
        </w:trPr>
        <w:tc>
          <w:tcPr>
            <w:tcW w:w="2929" w:type="dxa"/>
          </w:tcPr>
          <w:p w14:paraId="5FD741E3" w14:textId="77777777" w:rsidR="00DD47C8" w:rsidRPr="00DD49B6" w:rsidRDefault="00DD47C8" w:rsidP="0084646A">
            <w:pPr>
              <w:pStyle w:val="naisf"/>
              <w:spacing w:before="0" w:beforeAutospacing="0" w:after="0" w:afterAutospacing="0"/>
              <w:rPr>
                <w:i/>
              </w:rPr>
            </w:pPr>
            <w:r w:rsidRPr="00DD49B6">
              <w:t>1.2. valsts speciālais budžets</w:t>
            </w:r>
          </w:p>
        </w:tc>
        <w:tc>
          <w:tcPr>
            <w:tcW w:w="1258" w:type="dxa"/>
          </w:tcPr>
          <w:p w14:paraId="60078AAA"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0</w:t>
            </w:r>
          </w:p>
        </w:tc>
        <w:tc>
          <w:tcPr>
            <w:tcW w:w="1510" w:type="dxa"/>
          </w:tcPr>
          <w:p w14:paraId="1C5F7680"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1551BEB4"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C0DCDB0"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3898D206"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3AB2D72A" w14:textId="77777777" w:rsidTr="00DD47C8">
        <w:trPr>
          <w:jc w:val="center"/>
        </w:trPr>
        <w:tc>
          <w:tcPr>
            <w:tcW w:w="2929" w:type="dxa"/>
          </w:tcPr>
          <w:p w14:paraId="67E15286" w14:textId="77777777" w:rsidR="00DD47C8" w:rsidRPr="00DD49B6" w:rsidRDefault="00DD47C8" w:rsidP="0084646A">
            <w:pPr>
              <w:pStyle w:val="naisf"/>
              <w:spacing w:before="0" w:beforeAutospacing="0" w:after="0" w:afterAutospacing="0"/>
              <w:rPr>
                <w:i/>
              </w:rPr>
            </w:pPr>
            <w:r w:rsidRPr="00DD49B6">
              <w:t>1.3. pašvaldību budžets</w:t>
            </w:r>
          </w:p>
        </w:tc>
        <w:tc>
          <w:tcPr>
            <w:tcW w:w="1258" w:type="dxa"/>
          </w:tcPr>
          <w:p w14:paraId="4A27D60A"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0</w:t>
            </w:r>
          </w:p>
        </w:tc>
        <w:tc>
          <w:tcPr>
            <w:tcW w:w="1510" w:type="dxa"/>
          </w:tcPr>
          <w:p w14:paraId="754B2508"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5ED89738"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62E2E2A"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24ADCD89" w14:textId="77777777" w:rsidR="00DD47C8" w:rsidRPr="00DD49B6" w:rsidRDefault="00DD47C8" w:rsidP="0084646A">
            <w:pPr>
              <w:pStyle w:val="naisf"/>
              <w:spacing w:before="0" w:beforeAutospacing="0" w:after="0" w:afterAutospacing="0"/>
              <w:rPr>
                <w:b/>
                <w:i/>
              </w:rPr>
            </w:pPr>
            <w:r>
              <w:rPr>
                <w:b/>
                <w:i/>
              </w:rPr>
              <w:t>0</w:t>
            </w:r>
          </w:p>
        </w:tc>
      </w:tr>
      <w:tr w:rsidR="00DD6926" w:rsidRPr="00DD49B6" w14:paraId="2FE2051C" w14:textId="77777777" w:rsidTr="00DD47C8">
        <w:trPr>
          <w:jc w:val="center"/>
        </w:trPr>
        <w:tc>
          <w:tcPr>
            <w:tcW w:w="2929" w:type="dxa"/>
          </w:tcPr>
          <w:p w14:paraId="79F52A4A" w14:textId="77777777" w:rsidR="00DD6926" w:rsidRPr="00DD49B6" w:rsidRDefault="00DD6926" w:rsidP="00DD692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58" w:type="dxa"/>
          </w:tcPr>
          <w:p w14:paraId="4D645663" w14:textId="77777777" w:rsidR="00DD6926" w:rsidRPr="00E904DE" w:rsidRDefault="00DD6926" w:rsidP="00DD6926">
            <w:pPr>
              <w:pStyle w:val="naisf"/>
              <w:spacing w:before="0" w:beforeAutospacing="0" w:after="0" w:afterAutospacing="0"/>
              <w:rPr>
                <w:b/>
                <w:i/>
                <w:sz w:val="18"/>
                <w:szCs w:val="18"/>
              </w:rPr>
            </w:pPr>
            <w:r w:rsidRPr="00E904DE">
              <w:rPr>
                <w:b/>
                <w:i/>
                <w:sz w:val="18"/>
                <w:szCs w:val="18"/>
              </w:rPr>
              <w:t>65 807 821</w:t>
            </w:r>
          </w:p>
        </w:tc>
        <w:tc>
          <w:tcPr>
            <w:tcW w:w="1510" w:type="dxa"/>
          </w:tcPr>
          <w:p w14:paraId="1D52F766" w14:textId="77777777" w:rsidR="00DD6926" w:rsidRPr="00DD49B6" w:rsidRDefault="00DD6926" w:rsidP="00DD6926">
            <w:pPr>
              <w:pStyle w:val="naisf"/>
              <w:spacing w:before="0" w:beforeAutospacing="0" w:after="0" w:afterAutospacing="0"/>
              <w:rPr>
                <w:b/>
                <w:i/>
              </w:rPr>
            </w:pPr>
            <w:r>
              <w:rPr>
                <w:b/>
                <w:i/>
              </w:rPr>
              <w:t>0</w:t>
            </w:r>
          </w:p>
        </w:tc>
        <w:tc>
          <w:tcPr>
            <w:tcW w:w="1223" w:type="dxa"/>
          </w:tcPr>
          <w:p w14:paraId="12E9B8F5" w14:textId="3CB23F94" w:rsidR="00DD6926" w:rsidRPr="00DD49B6" w:rsidRDefault="00DD6926" w:rsidP="00DD6926">
            <w:pPr>
              <w:pStyle w:val="naisf"/>
              <w:spacing w:before="0" w:beforeAutospacing="0" w:after="0" w:afterAutospacing="0"/>
              <w:rPr>
                <w:b/>
                <w:i/>
              </w:rPr>
            </w:pPr>
            <w:r w:rsidRPr="00E7783F">
              <w:rPr>
                <w:b/>
                <w:i/>
                <w:sz w:val="18"/>
              </w:rPr>
              <w:t>+</w:t>
            </w:r>
            <w:r>
              <w:rPr>
                <w:b/>
                <w:i/>
                <w:sz w:val="18"/>
              </w:rPr>
              <w:t>45 611 360</w:t>
            </w:r>
          </w:p>
        </w:tc>
        <w:tc>
          <w:tcPr>
            <w:tcW w:w="1223" w:type="dxa"/>
          </w:tcPr>
          <w:p w14:paraId="2B694B9F" w14:textId="6847918B" w:rsidR="00DD6926" w:rsidRPr="00DD49B6" w:rsidRDefault="00DD6926" w:rsidP="00DD6926">
            <w:pPr>
              <w:pStyle w:val="naisf"/>
              <w:spacing w:before="0" w:beforeAutospacing="0" w:after="0" w:afterAutospacing="0"/>
              <w:rPr>
                <w:b/>
                <w:i/>
              </w:rPr>
            </w:pPr>
            <w:r w:rsidRPr="00E7783F">
              <w:rPr>
                <w:b/>
                <w:i/>
                <w:sz w:val="18"/>
              </w:rPr>
              <w:t>+</w:t>
            </w:r>
            <w:r>
              <w:rPr>
                <w:b/>
                <w:i/>
                <w:sz w:val="18"/>
              </w:rPr>
              <w:t>214 562 147</w:t>
            </w:r>
          </w:p>
        </w:tc>
        <w:tc>
          <w:tcPr>
            <w:tcW w:w="1644" w:type="dxa"/>
          </w:tcPr>
          <w:p w14:paraId="0186EA95" w14:textId="5E72C0DD" w:rsidR="00DD6926" w:rsidRPr="00DD49B6" w:rsidRDefault="00DD6926" w:rsidP="00DD6926">
            <w:pPr>
              <w:pStyle w:val="naisf"/>
              <w:spacing w:before="0" w:beforeAutospacing="0" w:after="0" w:afterAutospacing="0"/>
              <w:rPr>
                <w:b/>
                <w:i/>
              </w:rPr>
            </w:pPr>
            <w:r w:rsidRPr="003217F6">
              <w:rPr>
                <w:b/>
                <w:i/>
                <w:sz w:val="18"/>
              </w:rPr>
              <w:t>+</w:t>
            </w:r>
            <w:r>
              <w:rPr>
                <w:b/>
                <w:i/>
                <w:sz w:val="18"/>
              </w:rPr>
              <w:t>276 530 933</w:t>
            </w:r>
          </w:p>
        </w:tc>
      </w:tr>
      <w:tr w:rsidR="00DD47C8" w:rsidRPr="00DD49B6" w14:paraId="31B997D2" w14:textId="77777777" w:rsidTr="00DD47C8">
        <w:trPr>
          <w:jc w:val="center"/>
        </w:trPr>
        <w:tc>
          <w:tcPr>
            <w:tcW w:w="2929" w:type="dxa"/>
          </w:tcPr>
          <w:p w14:paraId="0CEAD8BF"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258" w:type="dxa"/>
          </w:tcPr>
          <w:p w14:paraId="2889C0A3"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65 807 821</w:t>
            </w:r>
          </w:p>
        </w:tc>
        <w:tc>
          <w:tcPr>
            <w:tcW w:w="1510" w:type="dxa"/>
          </w:tcPr>
          <w:p w14:paraId="47AFF39C" w14:textId="77777777" w:rsidR="00DD47C8" w:rsidRPr="00DD49B6" w:rsidRDefault="00DD47C8" w:rsidP="0084646A">
            <w:pPr>
              <w:pStyle w:val="naisf"/>
              <w:spacing w:before="0" w:beforeAutospacing="0" w:after="0" w:afterAutospacing="0"/>
              <w:rPr>
                <w:b/>
                <w:i/>
              </w:rPr>
            </w:pPr>
            <w:r>
              <w:rPr>
                <w:b/>
                <w:i/>
                <w:sz w:val="18"/>
              </w:rPr>
              <w:t>0</w:t>
            </w:r>
          </w:p>
        </w:tc>
        <w:tc>
          <w:tcPr>
            <w:tcW w:w="1223" w:type="dxa"/>
          </w:tcPr>
          <w:p w14:paraId="44218751" w14:textId="05C94347" w:rsidR="00DD47C8" w:rsidRPr="00DD49B6" w:rsidRDefault="00DD47C8" w:rsidP="00DD6926">
            <w:pPr>
              <w:pStyle w:val="naisf"/>
              <w:spacing w:before="0" w:beforeAutospacing="0" w:after="0" w:afterAutospacing="0"/>
              <w:rPr>
                <w:b/>
                <w:i/>
              </w:rPr>
            </w:pPr>
            <w:r w:rsidRPr="00E7783F">
              <w:rPr>
                <w:b/>
                <w:i/>
                <w:sz w:val="18"/>
              </w:rPr>
              <w:t>+</w:t>
            </w:r>
            <w:r w:rsidR="00DD6926">
              <w:rPr>
                <w:b/>
                <w:i/>
                <w:sz w:val="18"/>
              </w:rPr>
              <w:t>45 611 360</w:t>
            </w:r>
          </w:p>
        </w:tc>
        <w:tc>
          <w:tcPr>
            <w:tcW w:w="1223" w:type="dxa"/>
          </w:tcPr>
          <w:p w14:paraId="55511647" w14:textId="0B3E39CC" w:rsidR="00DD47C8" w:rsidRPr="00DD49B6" w:rsidRDefault="00DD47C8" w:rsidP="00DD6926">
            <w:pPr>
              <w:pStyle w:val="naisf"/>
              <w:spacing w:before="0" w:beforeAutospacing="0" w:after="0" w:afterAutospacing="0"/>
              <w:rPr>
                <w:b/>
                <w:i/>
              </w:rPr>
            </w:pPr>
            <w:r w:rsidRPr="00E7783F">
              <w:rPr>
                <w:b/>
                <w:i/>
                <w:sz w:val="18"/>
              </w:rPr>
              <w:t>+</w:t>
            </w:r>
            <w:r w:rsidR="00DD6926">
              <w:rPr>
                <w:b/>
                <w:i/>
                <w:sz w:val="18"/>
              </w:rPr>
              <w:t>214 562 147</w:t>
            </w:r>
          </w:p>
        </w:tc>
        <w:tc>
          <w:tcPr>
            <w:tcW w:w="1644" w:type="dxa"/>
          </w:tcPr>
          <w:p w14:paraId="22D07231" w14:textId="4A09F177" w:rsidR="00DD47C8" w:rsidRPr="00DD49B6" w:rsidRDefault="00DD47C8" w:rsidP="00DD6926">
            <w:pPr>
              <w:pStyle w:val="naisf"/>
              <w:spacing w:before="0" w:beforeAutospacing="0" w:after="0" w:afterAutospacing="0"/>
              <w:rPr>
                <w:b/>
                <w:i/>
              </w:rPr>
            </w:pPr>
            <w:r w:rsidRPr="003217F6">
              <w:rPr>
                <w:b/>
                <w:i/>
                <w:sz w:val="18"/>
              </w:rPr>
              <w:t>+</w:t>
            </w:r>
            <w:r w:rsidR="00DD6926">
              <w:rPr>
                <w:b/>
                <w:i/>
                <w:sz w:val="18"/>
              </w:rPr>
              <w:t>276 530 933</w:t>
            </w:r>
          </w:p>
        </w:tc>
      </w:tr>
      <w:tr w:rsidR="00DD47C8" w:rsidRPr="00DD49B6" w14:paraId="57121AC8" w14:textId="77777777" w:rsidTr="00DD47C8">
        <w:trPr>
          <w:jc w:val="center"/>
        </w:trPr>
        <w:tc>
          <w:tcPr>
            <w:tcW w:w="2929" w:type="dxa"/>
          </w:tcPr>
          <w:p w14:paraId="38021AD9"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258" w:type="dxa"/>
          </w:tcPr>
          <w:p w14:paraId="43CCBC37"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0</w:t>
            </w:r>
          </w:p>
        </w:tc>
        <w:tc>
          <w:tcPr>
            <w:tcW w:w="1510" w:type="dxa"/>
          </w:tcPr>
          <w:p w14:paraId="205D6B77"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AF073C5"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596279B"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5C7A3362"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63648460" w14:textId="77777777" w:rsidTr="00DD47C8">
        <w:trPr>
          <w:jc w:val="center"/>
        </w:trPr>
        <w:tc>
          <w:tcPr>
            <w:tcW w:w="2929" w:type="dxa"/>
          </w:tcPr>
          <w:p w14:paraId="6C9A3EE0"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258" w:type="dxa"/>
          </w:tcPr>
          <w:p w14:paraId="746AF781" w14:textId="77777777" w:rsidR="00DD47C8" w:rsidRPr="00E904DE" w:rsidRDefault="00DD47C8" w:rsidP="0084646A">
            <w:pPr>
              <w:pStyle w:val="naisf"/>
              <w:spacing w:before="0" w:beforeAutospacing="0" w:after="0" w:afterAutospacing="0"/>
              <w:rPr>
                <w:b/>
                <w:i/>
                <w:sz w:val="18"/>
                <w:szCs w:val="18"/>
              </w:rPr>
            </w:pPr>
            <w:r w:rsidRPr="00E904DE">
              <w:rPr>
                <w:b/>
                <w:i/>
                <w:sz w:val="18"/>
                <w:szCs w:val="18"/>
              </w:rPr>
              <w:t>0</w:t>
            </w:r>
          </w:p>
        </w:tc>
        <w:tc>
          <w:tcPr>
            <w:tcW w:w="1510" w:type="dxa"/>
          </w:tcPr>
          <w:p w14:paraId="46A611DD"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6C082AD1"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105F8479"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3B69C2D7" w14:textId="77777777" w:rsidR="00DD47C8" w:rsidRPr="00DD49B6" w:rsidRDefault="00DD47C8" w:rsidP="0084646A">
            <w:pPr>
              <w:pStyle w:val="naisf"/>
              <w:spacing w:before="0" w:beforeAutospacing="0" w:after="0" w:afterAutospacing="0"/>
              <w:rPr>
                <w:b/>
                <w:i/>
              </w:rPr>
            </w:pPr>
            <w:r>
              <w:rPr>
                <w:b/>
                <w:i/>
              </w:rPr>
              <w:t>0</w:t>
            </w:r>
          </w:p>
        </w:tc>
      </w:tr>
      <w:tr w:rsidR="00F3756E" w:rsidRPr="00DD49B6" w14:paraId="26301D07" w14:textId="77777777" w:rsidTr="00DD47C8">
        <w:trPr>
          <w:jc w:val="center"/>
        </w:trPr>
        <w:tc>
          <w:tcPr>
            <w:tcW w:w="2929" w:type="dxa"/>
          </w:tcPr>
          <w:p w14:paraId="223741A6" w14:textId="77777777" w:rsidR="00F3756E" w:rsidRPr="00DD49B6" w:rsidRDefault="00F3756E" w:rsidP="00F3756E">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58" w:type="dxa"/>
            <w:shd w:val="clear" w:color="auto" w:fill="auto"/>
            <w:vAlign w:val="center"/>
          </w:tcPr>
          <w:p w14:paraId="3CDE50ED" w14:textId="77777777" w:rsidR="00F3756E" w:rsidRPr="009959A6" w:rsidRDefault="00F3756E" w:rsidP="00F3756E">
            <w:pPr>
              <w:pStyle w:val="naisf"/>
              <w:spacing w:before="0" w:beforeAutospacing="0" w:after="0" w:afterAutospacing="0"/>
              <w:rPr>
                <w:sz w:val="18"/>
                <w:szCs w:val="18"/>
              </w:rPr>
            </w:pPr>
            <w:r w:rsidRPr="009959A6">
              <w:rPr>
                <w:b/>
                <w:i/>
                <w:sz w:val="18"/>
                <w:szCs w:val="18"/>
              </w:rPr>
              <w:t>12 783 792</w:t>
            </w:r>
          </w:p>
        </w:tc>
        <w:tc>
          <w:tcPr>
            <w:tcW w:w="1510" w:type="dxa"/>
          </w:tcPr>
          <w:p w14:paraId="37D362D9" w14:textId="23AA684C" w:rsidR="00F3756E" w:rsidRPr="00DD49B6" w:rsidRDefault="002342E8" w:rsidP="00F3756E">
            <w:pPr>
              <w:pStyle w:val="naisf"/>
              <w:spacing w:before="0" w:beforeAutospacing="0" w:after="0" w:afterAutospacing="0"/>
              <w:rPr>
                <w:b/>
                <w:i/>
              </w:rPr>
            </w:pPr>
            <w:r w:rsidRPr="00F3756E">
              <w:rPr>
                <w:b/>
                <w:i/>
                <w:sz w:val="18"/>
              </w:rPr>
              <w:t>-34 699 387</w:t>
            </w:r>
          </w:p>
        </w:tc>
        <w:tc>
          <w:tcPr>
            <w:tcW w:w="1223" w:type="dxa"/>
          </w:tcPr>
          <w:p w14:paraId="4383F500" w14:textId="3584EF74" w:rsidR="00F3756E" w:rsidRPr="00D07230" w:rsidRDefault="00F3756E" w:rsidP="00F3756E">
            <w:pPr>
              <w:pStyle w:val="naisf"/>
              <w:spacing w:before="0" w:beforeAutospacing="0" w:after="0" w:afterAutospacing="0"/>
              <w:rPr>
                <w:b/>
                <w:i/>
                <w:sz w:val="18"/>
                <w:szCs w:val="18"/>
              </w:rPr>
            </w:pPr>
            <w:r>
              <w:rPr>
                <w:b/>
                <w:i/>
                <w:sz w:val="18"/>
                <w:szCs w:val="18"/>
              </w:rPr>
              <w:t>+16 693 345</w:t>
            </w:r>
          </w:p>
        </w:tc>
        <w:tc>
          <w:tcPr>
            <w:tcW w:w="1223" w:type="dxa"/>
          </w:tcPr>
          <w:p w14:paraId="385AD67E" w14:textId="6DE4D7CB" w:rsidR="00F3756E" w:rsidRPr="00D07230" w:rsidRDefault="00F3756E" w:rsidP="00F3756E">
            <w:pPr>
              <w:pStyle w:val="naisf"/>
              <w:spacing w:before="0" w:beforeAutospacing="0" w:after="0" w:afterAutospacing="0"/>
              <w:rPr>
                <w:b/>
                <w:i/>
                <w:sz w:val="18"/>
                <w:szCs w:val="18"/>
              </w:rPr>
            </w:pPr>
            <w:r w:rsidRPr="00D07230">
              <w:rPr>
                <w:b/>
                <w:i/>
                <w:sz w:val="18"/>
                <w:szCs w:val="18"/>
              </w:rPr>
              <w:t>-</w:t>
            </w:r>
            <w:r>
              <w:rPr>
                <w:b/>
                <w:i/>
                <w:sz w:val="18"/>
                <w:szCs w:val="18"/>
              </w:rPr>
              <w:t>13 945 191</w:t>
            </w:r>
          </w:p>
        </w:tc>
        <w:tc>
          <w:tcPr>
            <w:tcW w:w="1644" w:type="dxa"/>
          </w:tcPr>
          <w:p w14:paraId="0FE38348" w14:textId="0B4D4323" w:rsidR="00F3756E" w:rsidRPr="00D07230" w:rsidRDefault="00F3756E" w:rsidP="00F3756E">
            <w:pPr>
              <w:pStyle w:val="naisf"/>
              <w:spacing w:before="0" w:beforeAutospacing="0" w:after="0" w:afterAutospacing="0"/>
              <w:rPr>
                <w:b/>
                <w:i/>
                <w:sz w:val="18"/>
                <w:szCs w:val="18"/>
              </w:rPr>
            </w:pPr>
            <w:r w:rsidRPr="00D07230">
              <w:rPr>
                <w:b/>
                <w:i/>
                <w:sz w:val="18"/>
                <w:szCs w:val="18"/>
              </w:rPr>
              <w:t>-</w:t>
            </w:r>
            <w:r>
              <w:rPr>
                <w:b/>
                <w:i/>
                <w:sz w:val="18"/>
                <w:szCs w:val="18"/>
              </w:rPr>
              <w:t>13 822 713</w:t>
            </w:r>
          </w:p>
        </w:tc>
      </w:tr>
      <w:tr w:rsidR="00DD47C8" w:rsidRPr="00DD49B6" w14:paraId="6C1B8415" w14:textId="77777777" w:rsidTr="00DD47C8">
        <w:trPr>
          <w:jc w:val="center"/>
        </w:trPr>
        <w:tc>
          <w:tcPr>
            <w:tcW w:w="2929" w:type="dxa"/>
          </w:tcPr>
          <w:p w14:paraId="1ED64E0B"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258" w:type="dxa"/>
            <w:shd w:val="clear" w:color="auto" w:fill="auto"/>
          </w:tcPr>
          <w:p w14:paraId="1E7CADD3" w14:textId="77777777" w:rsidR="00DD47C8" w:rsidRPr="009959A6" w:rsidRDefault="00DD47C8" w:rsidP="0084646A">
            <w:pPr>
              <w:pStyle w:val="naisf"/>
              <w:spacing w:before="0" w:beforeAutospacing="0" w:after="0" w:afterAutospacing="0"/>
              <w:rPr>
                <w:i/>
                <w:sz w:val="18"/>
                <w:szCs w:val="18"/>
              </w:rPr>
            </w:pPr>
            <w:r w:rsidRPr="009959A6">
              <w:rPr>
                <w:b/>
                <w:i/>
                <w:sz w:val="18"/>
                <w:szCs w:val="18"/>
              </w:rPr>
              <w:t>12 783 792</w:t>
            </w:r>
          </w:p>
        </w:tc>
        <w:tc>
          <w:tcPr>
            <w:tcW w:w="1510" w:type="dxa"/>
          </w:tcPr>
          <w:p w14:paraId="3025497A" w14:textId="5B6FDE42" w:rsidR="00DD47C8" w:rsidRPr="00DD49B6" w:rsidRDefault="002342E8" w:rsidP="0084646A">
            <w:pPr>
              <w:pStyle w:val="naisf"/>
              <w:spacing w:before="0" w:beforeAutospacing="0" w:after="0" w:afterAutospacing="0"/>
              <w:rPr>
                <w:b/>
                <w:i/>
              </w:rPr>
            </w:pPr>
            <w:r w:rsidRPr="00F3756E">
              <w:rPr>
                <w:b/>
                <w:i/>
                <w:sz w:val="18"/>
              </w:rPr>
              <w:t>-34 699 387</w:t>
            </w:r>
          </w:p>
        </w:tc>
        <w:tc>
          <w:tcPr>
            <w:tcW w:w="1223" w:type="dxa"/>
          </w:tcPr>
          <w:p w14:paraId="21808E49" w14:textId="721FAE11" w:rsidR="00DD47C8" w:rsidRPr="00D07230" w:rsidRDefault="00F3756E" w:rsidP="00F3756E">
            <w:pPr>
              <w:pStyle w:val="naisf"/>
              <w:spacing w:before="0" w:beforeAutospacing="0" w:after="0" w:afterAutospacing="0"/>
              <w:rPr>
                <w:b/>
                <w:i/>
                <w:sz w:val="18"/>
                <w:szCs w:val="18"/>
              </w:rPr>
            </w:pPr>
            <w:r>
              <w:rPr>
                <w:b/>
                <w:i/>
                <w:sz w:val="18"/>
                <w:szCs w:val="18"/>
              </w:rPr>
              <w:t>+16 693 345</w:t>
            </w:r>
          </w:p>
        </w:tc>
        <w:tc>
          <w:tcPr>
            <w:tcW w:w="1223" w:type="dxa"/>
          </w:tcPr>
          <w:p w14:paraId="5BDF4C80" w14:textId="4465AC80" w:rsidR="00DD47C8" w:rsidRPr="00D07230" w:rsidRDefault="00DD47C8" w:rsidP="00F3756E">
            <w:pPr>
              <w:pStyle w:val="naisf"/>
              <w:spacing w:before="0" w:beforeAutospacing="0" w:after="0" w:afterAutospacing="0"/>
              <w:rPr>
                <w:b/>
                <w:i/>
                <w:sz w:val="18"/>
                <w:szCs w:val="18"/>
              </w:rPr>
            </w:pPr>
            <w:r w:rsidRPr="00D07230">
              <w:rPr>
                <w:b/>
                <w:i/>
                <w:sz w:val="18"/>
                <w:szCs w:val="18"/>
              </w:rPr>
              <w:t>-</w:t>
            </w:r>
            <w:r w:rsidR="00F3756E">
              <w:rPr>
                <w:b/>
                <w:i/>
                <w:sz w:val="18"/>
                <w:szCs w:val="18"/>
              </w:rPr>
              <w:t>13 945 191</w:t>
            </w:r>
          </w:p>
        </w:tc>
        <w:tc>
          <w:tcPr>
            <w:tcW w:w="1644" w:type="dxa"/>
          </w:tcPr>
          <w:p w14:paraId="2086BD5E" w14:textId="0B977AC0" w:rsidR="00DD47C8" w:rsidRPr="00D07230" w:rsidRDefault="00DD47C8" w:rsidP="00F3756E">
            <w:pPr>
              <w:pStyle w:val="naisf"/>
              <w:spacing w:before="0" w:beforeAutospacing="0" w:after="0" w:afterAutospacing="0"/>
              <w:rPr>
                <w:b/>
                <w:i/>
                <w:sz w:val="18"/>
                <w:szCs w:val="18"/>
              </w:rPr>
            </w:pPr>
            <w:r w:rsidRPr="00D07230">
              <w:rPr>
                <w:b/>
                <w:i/>
                <w:sz w:val="18"/>
                <w:szCs w:val="18"/>
              </w:rPr>
              <w:t>-</w:t>
            </w:r>
            <w:r w:rsidR="00F3756E">
              <w:rPr>
                <w:b/>
                <w:i/>
                <w:sz w:val="18"/>
                <w:szCs w:val="18"/>
              </w:rPr>
              <w:t>13 822 713</w:t>
            </w:r>
          </w:p>
        </w:tc>
      </w:tr>
      <w:tr w:rsidR="00DD47C8" w:rsidRPr="00DD49B6" w14:paraId="4427C22B" w14:textId="77777777" w:rsidTr="00DD47C8">
        <w:trPr>
          <w:jc w:val="center"/>
        </w:trPr>
        <w:tc>
          <w:tcPr>
            <w:tcW w:w="2929" w:type="dxa"/>
          </w:tcPr>
          <w:p w14:paraId="76A6F7A9"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258" w:type="dxa"/>
            <w:shd w:val="clear" w:color="auto" w:fill="auto"/>
          </w:tcPr>
          <w:p w14:paraId="7E780D18" w14:textId="77777777" w:rsidR="00DD47C8" w:rsidRPr="00DD49B6" w:rsidRDefault="00DD47C8" w:rsidP="0084646A">
            <w:pPr>
              <w:pStyle w:val="naisf"/>
              <w:spacing w:before="0" w:beforeAutospacing="0" w:after="0" w:afterAutospacing="0"/>
              <w:rPr>
                <w:i/>
              </w:rPr>
            </w:pPr>
            <w:r>
              <w:rPr>
                <w:i/>
              </w:rPr>
              <w:t>0</w:t>
            </w:r>
          </w:p>
        </w:tc>
        <w:tc>
          <w:tcPr>
            <w:tcW w:w="1510" w:type="dxa"/>
          </w:tcPr>
          <w:p w14:paraId="5E9B57EA"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08889224"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A5B124B"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12D9AF53"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737BDDC5" w14:textId="77777777" w:rsidTr="00DD47C8">
        <w:trPr>
          <w:jc w:val="center"/>
        </w:trPr>
        <w:tc>
          <w:tcPr>
            <w:tcW w:w="2929" w:type="dxa"/>
          </w:tcPr>
          <w:p w14:paraId="4450BC3E"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258" w:type="dxa"/>
            <w:shd w:val="clear" w:color="auto" w:fill="auto"/>
          </w:tcPr>
          <w:p w14:paraId="68528172" w14:textId="77777777" w:rsidR="00DD47C8" w:rsidRPr="00DD49B6" w:rsidRDefault="00DD47C8" w:rsidP="0084646A">
            <w:pPr>
              <w:pStyle w:val="naisf"/>
              <w:spacing w:before="0" w:beforeAutospacing="0" w:after="0" w:afterAutospacing="0"/>
              <w:rPr>
                <w:i/>
              </w:rPr>
            </w:pPr>
            <w:r>
              <w:rPr>
                <w:i/>
              </w:rPr>
              <w:t>0</w:t>
            </w:r>
          </w:p>
        </w:tc>
        <w:tc>
          <w:tcPr>
            <w:tcW w:w="1510" w:type="dxa"/>
          </w:tcPr>
          <w:p w14:paraId="403CD3F9"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89CBDF6"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03083A6"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503745C1"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1607ADDA" w14:textId="77777777" w:rsidTr="00DD47C8">
        <w:trPr>
          <w:jc w:val="center"/>
        </w:trPr>
        <w:tc>
          <w:tcPr>
            <w:tcW w:w="2929" w:type="dxa"/>
            <w:vMerge w:val="restart"/>
          </w:tcPr>
          <w:p w14:paraId="71F7B48B" w14:textId="77777777" w:rsidR="00DD47C8" w:rsidRPr="000A150F" w:rsidRDefault="00DD47C8" w:rsidP="0084646A">
            <w:pPr>
              <w:spacing w:after="0" w:line="240" w:lineRule="auto"/>
              <w:rPr>
                <w:rFonts w:ascii="Times New Roman" w:hAnsi="Times New Roman" w:cs="Times New Roman"/>
                <w:sz w:val="24"/>
                <w:szCs w:val="24"/>
              </w:rPr>
            </w:pPr>
            <w:r w:rsidRPr="000A150F">
              <w:rPr>
                <w:rFonts w:ascii="Times New Roman" w:hAnsi="Times New Roman" w:cs="Times New Roman"/>
                <w:sz w:val="24"/>
                <w:szCs w:val="24"/>
              </w:rPr>
              <w:t>4. Finanšu līdzekļi papildu izdevumu finansēšanai (kompensējošu izdevumu samazinājumu norāda ar "+" zīmi)</w:t>
            </w:r>
          </w:p>
        </w:tc>
        <w:tc>
          <w:tcPr>
            <w:tcW w:w="1258" w:type="dxa"/>
            <w:vMerge w:val="restart"/>
          </w:tcPr>
          <w:p w14:paraId="46D61A94" w14:textId="77777777" w:rsidR="00DD47C8" w:rsidRPr="00DD49B6" w:rsidRDefault="00DD47C8" w:rsidP="0084646A">
            <w:pPr>
              <w:pStyle w:val="naisf"/>
              <w:spacing w:before="0" w:beforeAutospacing="0" w:after="0" w:afterAutospacing="0"/>
              <w:jc w:val="center"/>
              <w:rPr>
                <w:i/>
              </w:rPr>
            </w:pPr>
            <w:r w:rsidRPr="00DD49B6">
              <w:t>X</w:t>
            </w:r>
          </w:p>
        </w:tc>
        <w:tc>
          <w:tcPr>
            <w:tcW w:w="1510" w:type="dxa"/>
          </w:tcPr>
          <w:p w14:paraId="1EC670C4"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DE0D03E"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4A1A779"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78A2BBB3"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58705651" w14:textId="77777777" w:rsidTr="00DD47C8">
        <w:trPr>
          <w:jc w:val="center"/>
        </w:trPr>
        <w:tc>
          <w:tcPr>
            <w:tcW w:w="2929" w:type="dxa"/>
            <w:vMerge/>
          </w:tcPr>
          <w:p w14:paraId="3FA5465B" w14:textId="77777777" w:rsidR="00DD47C8" w:rsidRPr="000A150F" w:rsidRDefault="00DD47C8" w:rsidP="0084646A">
            <w:pPr>
              <w:spacing w:after="0" w:line="240" w:lineRule="auto"/>
              <w:rPr>
                <w:rFonts w:ascii="Times New Roman" w:hAnsi="Times New Roman" w:cs="Times New Roman"/>
                <w:sz w:val="24"/>
                <w:szCs w:val="24"/>
              </w:rPr>
            </w:pPr>
          </w:p>
        </w:tc>
        <w:tc>
          <w:tcPr>
            <w:tcW w:w="1258" w:type="dxa"/>
            <w:vMerge/>
          </w:tcPr>
          <w:p w14:paraId="4288F9CF" w14:textId="77777777" w:rsidR="00DD47C8" w:rsidRPr="00DD49B6" w:rsidRDefault="00DD47C8" w:rsidP="0084646A">
            <w:pPr>
              <w:pStyle w:val="naisf"/>
              <w:spacing w:before="0" w:beforeAutospacing="0" w:after="0" w:afterAutospacing="0"/>
              <w:jc w:val="center"/>
              <w:rPr>
                <w:i/>
              </w:rPr>
            </w:pPr>
          </w:p>
        </w:tc>
        <w:tc>
          <w:tcPr>
            <w:tcW w:w="1510" w:type="dxa"/>
          </w:tcPr>
          <w:p w14:paraId="1BE4517E"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211719B4"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0E41DA72"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0F6608E8"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49FDCA15" w14:textId="77777777" w:rsidTr="00DD47C8">
        <w:trPr>
          <w:jc w:val="center"/>
        </w:trPr>
        <w:tc>
          <w:tcPr>
            <w:tcW w:w="2929" w:type="dxa"/>
            <w:vMerge/>
          </w:tcPr>
          <w:p w14:paraId="68AC3771" w14:textId="77777777" w:rsidR="00DD47C8" w:rsidRPr="000A150F" w:rsidRDefault="00DD47C8" w:rsidP="0084646A">
            <w:pPr>
              <w:spacing w:after="0" w:line="240" w:lineRule="auto"/>
              <w:rPr>
                <w:rFonts w:ascii="Times New Roman" w:hAnsi="Times New Roman" w:cs="Times New Roman"/>
                <w:sz w:val="24"/>
                <w:szCs w:val="24"/>
              </w:rPr>
            </w:pPr>
          </w:p>
        </w:tc>
        <w:tc>
          <w:tcPr>
            <w:tcW w:w="1258" w:type="dxa"/>
            <w:vMerge/>
          </w:tcPr>
          <w:p w14:paraId="31D7D7F9" w14:textId="77777777" w:rsidR="00DD47C8" w:rsidRPr="00DD49B6" w:rsidRDefault="00DD47C8" w:rsidP="0084646A">
            <w:pPr>
              <w:pStyle w:val="naisf"/>
              <w:spacing w:before="0" w:beforeAutospacing="0" w:after="0" w:afterAutospacing="0"/>
              <w:jc w:val="center"/>
              <w:rPr>
                <w:i/>
              </w:rPr>
            </w:pPr>
          </w:p>
        </w:tc>
        <w:tc>
          <w:tcPr>
            <w:tcW w:w="1510" w:type="dxa"/>
          </w:tcPr>
          <w:p w14:paraId="408530D7"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50AF8996"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93E2564"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602D6EBA"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1C2D70A5" w14:textId="77777777" w:rsidTr="00DD47C8">
        <w:trPr>
          <w:jc w:val="center"/>
        </w:trPr>
        <w:tc>
          <w:tcPr>
            <w:tcW w:w="2929" w:type="dxa"/>
          </w:tcPr>
          <w:p w14:paraId="283E72C7" w14:textId="77777777" w:rsidR="00DD47C8" w:rsidRPr="000A150F" w:rsidRDefault="00DD47C8" w:rsidP="0084646A">
            <w:pPr>
              <w:spacing w:after="0" w:line="240" w:lineRule="auto"/>
              <w:rPr>
                <w:rFonts w:ascii="Times New Roman" w:hAnsi="Times New Roman" w:cs="Times New Roman"/>
                <w:sz w:val="24"/>
                <w:szCs w:val="24"/>
              </w:rPr>
            </w:pPr>
            <w:r w:rsidRPr="000A150F">
              <w:rPr>
                <w:rFonts w:ascii="Times New Roman" w:hAnsi="Times New Roman" w:cs="Times New Roman"/>
                <w:sz w:val="24"/>
                <w:szCs w:val="24"/>
              </w:rPr>
              <w:t>5. Precizēta finansiālā ietekme:</w:t>
            </w:r>
          </w:p>
        </w:tc>
        <w:tc>
          <w:tcPr>
            <w:tcW w:w="1258" w:type="dxa"/>
            <w:vMerge w:val="restart"/>
          </w:tcPr>
          <w:p w14:paraId="7EC60C63" w14:textId="77777777" w:rsidR="00DD47C8" w:rsidRPr="00DD49B6" w:rsidRDefault="00DD47C8" w:rsidP="0084646A">
            <w:pPr>
              <w:pStyle w:val="naisf"/>
              <w:spacing w:before="0" w:beforeAutospacing="0" w:after="0" w:afterAutospacing="0"/>
              <w:jc w:val="center"/>
              <w:rPr>
                <w:i/>
              </w:rPr>
            </w:pPr>
            <w:r w:rsidRPr="00DD49B6">
              <w:t>X</w:t>
            </w:r>
          </w:p>
        </w:tc>
        <w:tc>
          <w:tcPr>
            <w:tcW w:w="1510" w:type="dxa"/>
          </w:tcPr>
          <w:p w14:paraId="0ED638D7"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4B4F41C8"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3A9B7FE8"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7A86B07C"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73F419F3" w14:textId="77777777" w:rsidTr="00DD47C8">
        <w:trPr>
          <w:jc w:val="center"/>
        </w:trPr>
        <w:tc>
          <w:tcPr>
            <w:tcW w:w="2929" w:type="dxa"/>
          </w:tcPr>
          <w:p w14:paraId="16473D7D"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258" w:type="dxa"/>
            <w:vMerge/>
            <w:vAlign w:val="center"/>
          </w:tcPr>
          <w:p w14:paraId="460EAC31" w14:textId="77777777" w:rsidR="00DD47C8" w:rsidRPr="00DD49B6" w:rsidRDefault="00DD47C8" w:rsidP="0084646A">
            <w:pPr>
              <w:pStyle w:val="naisf"/>
              <w:spacing w:before="0" w:beforeAutospacing="0" w:after="0" w:afterAutospacing="0"/>
              <w:jc w:val="center"/>
              <w:rPr>
                <w:i/>
              </w:rPr>
            </w:pPr>
          </w:p>
        </w:tc>
        <w:tc>
          <w:tcPr>
            <w:tcW w:w="1510" w:type="dxa"/>
          </w:tcPr>
          <w:p w14:paraId="3BF0AE17"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1B537D7A"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6D0171FB"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6B7EA104"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1CC4542E" w14:textId="77777777" w:rsidTr="00DD47C8">
        <w:trPr>
          <w:jc w:val="center"/>
        </w:trPr>
        <w:tc>
          <w:tcPr>
            <w:tcW w:w="2929" w:type="dxa"/>
          </w:tcPr>
          <w:p w14:paraId="76947716"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258" w:type="dxa"/>
            <w:vMerge/>
            <w:vAlign w:val="center"/>
          </w:tcPr>
          <w:p w14:paraId="38A971EA" w14:textId="77777777" w:rsidR="00DD47C8" w:rsidRPr="00DD49B6" w:rsidRDefault="00DD47C8" w:rsidP="0084646A">
            <w:pPr>
              <w:pStyle w:val="naisf"/>
              <w:spacing w:before="0" w:beforeAutospacing="0" w:after="0" w:afterAutospacing="0"/>
              <w:jc w:val="center"/>
              <w:rPr>
                <w:i/>
              </w:rPr>
            </w:pPr>
          </w:p>
        </w:tc>
        <w:tc>
          <w:tcPr>
            <w:tcW w:w="1510" w:type="dxa"/>
          </w:tcPr>
          <w:p w14:paraId="5783FFA3"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DF3040D"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6EEF5FE1"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703E3000"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14DE6C89" w14:textId="77777777" w:rsidTr="00DD47C8">
        <w:trPr>
          <w:jc w:val="center"/>
        </w:trPr>
        <w:tc>
          <w:tcPr>
            <w:tcW w:w="2929" w:type="dxa"/>
          </w:tcPr>
          <w:p w14:paraId="32DE3D02"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258" w:type="dxa"/>
            <w:vMerge/>
            <w:vAlign w:val="center"/>
          </w:tcPr>
          <w:p w14:paraId="12D73678" w14:textId="77777777" w:rsidR="00DD47C8" w:rsidRPr="00DD49B6" w:rsidRDefault="00DD47C8" w:rsidP="0084646A">
            <w:pPr>
              <w:pStyle w:val="naisf"/>
              <w:spacing w:before="0" w:beforeAutospacing="0" w:after="0" w:afterAutospacing="0"/>
              <w:jc w:val="center"/>
              <w:rPr>
                <w:i/>
              </w:rPr>
            </w:pPr>
          </w:p>
        </w:tc>
        <w:tc>
          <w:tcPr>
            <w:tcW w:w="1510" w:type="dxa"/>
          </w:tcPr>
          <w:p w14:paraId="65514AAB"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AAA8159" w14:textId="77777777" w:rsidR="00DD47C8" w:rsidRPr="00DD49B6" w:rsidRDefault="00DD47C8" w:rsidP="0084646A">
            <w:pPr>
              <w:pStyle w:val="naisf"/>
              <w:spacing w:before="0" w:beforeAutospacing="0" w:after="0" w:afterAutospacing="0"/>
              <w:rPr>
                <w:b/>
                <w:i/>
              </w:rPr>
            </w:pPr>
            <w:r>
              <w:rPr>
                <w:b/>
                <w:i/>
              </w:rPr>
              <w:t>0</w:t>
            </w:r>
          </w:p>
        </w:tc>
        <w:tc>
          <w:tcPr>
            <w:tcW w:w="1223" w:type="dxa"/>
          </w:tcPr>
          <w:p w14:paraId="7A311D81" w14:textId="77777777" w:rsidR="00DD47C8" w:rsidRPr="00DD49B6" w:rsidRDefault="00DD47C8" w:rsidP="0084646A">
            <w:pPr>
              <w:pStyle w:val="naisf"/>
              <w:spacing w:before="0" w:beforeAutospacing="0" w:after="0" w:afterAutospacing="0"/>
              <w:rPr>
                <w:b/>
                <w:i/>
              </w:rPr>
            </w:pPr>
            <w:r>
              <w:rPr>
                <w:b/>
                <w:i/>
              </w:rPr>
              <w:t>0</w:t>
            </w:r>
          </w:p>
        </w:tc>
        <w:tc>
          <w:tcPr>
            <w:tcW w:w="1644" w:type="dxa"/>
          </w:tcPr>
          <w:p w14:paraId="4945C68A" w14:textId="77777777" w:rsidR="00DD47C8" w:rsidRPr="00DD49B6" w:rsidRDefault="00DD47C8" w:rsidP="0084646A">
            <w:pPr>
              <w:pStyle w:val="naisf"/>
              <w:spacing w:before="0" w:beforeAutospacing="0" w:after="0" w:afterAutospacing="0"/>
              <w:rPr>
                <w:b/>
                <w:i/>
              </w:rPr>
            </w:pPr>
            <w:r>
              <w:rPr>
                <w:b/>
                <w:i/>
              </w:rPr>
              <w:t>0</w:t>
            </w:r>
          </w:p>
        </w:tc>
      </w:tr>
      <w:tr w:rsidR="00DD47C8" w:rsidRPr="00DD49B6" w14:paraId="535B97EA" w14:textId="77777777" w:rsidTr="00DD47C8">
        <w:trPr>
          <w:jc w:val="center"/>
        </w:trPr>
        <w:tc>
          <w:tcPr>
            <w:tcW w:w="2929" w:type="dxa"/>
          </w:tcPr>
          <w:p w14:paraId="33F6736D"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w:t>
            </w:r>
            <w:r w:rsidRPr="000A150F">
              <w:rPr>
                <w:rFonts w:ascii="Times New Roman" w:hAnsi="Times New Roman" w:cs="Times New Roman"/>
                <w:sz w:val="24"/>
                <w:szCs w:val="24"/>
              </w:rPr>
              <w:t>Detalizēts ieņēmumu un izdevumu aprēķins (ja nepie</w:t>
            </w:r>
            <w:r w:rsidRPr="000A150F">
              <w:rPr>
                <w:rFonts w:ascii="Times New Roman" w:hAnsi="Times New Roman" w:cs="Times New Roman"/>
                <w:sz w:val="24"/>
                <w:szCs w:val="24"/>
              </w:rPr>
              <w:softHyphen/>
              <w:t>ciešams, detalizētu ieņēmumu un izdevumu aprēķinu var pie</w:t>
            </w:r>
            <w:r w:rsidRPr="000A150F">
              <w:rPr>
                <w:rFonts w:ascii="Times New Roman" w:hAnsi="Times New Roman" w:cs="Times New Roman"/>
                <w:sz w:val="24"/>
                <w:szCs w:val="24"/>
              </w:rPr>
              <w:softHyphen/>
              <w:t>vienot anotācijas pielikumā):</w:t>
            </w:r>
          </w:p>
        </w:tc>
        <w:tc>
          <w:tcPr>
            <w:tcW w:w="6858" w:type="dxa"/>
            <w:gridSpan w:val="5"/>
            <w:vAlign w:val="center"/>
          </w:tcPr>
          <w:p w14:paraId="10B6E428" w14:textId="77777777" w:rsidR="00DD47C8" w:rsidRPr="00174AC6" w:rsidRDefault="00DD47C8" w:rsidP="0084646A">
            <w:pPr>
              <w:pStyle w:val="naisf"/>
              <w:spacing w:before="0" w:beforeAutospacing="0" w:after="0" w:afterAutospacing="0"/>
            </w:pPr>
            <w:r>
              <w:t>Skatīt 6.1. un 6.2.apakšpunktus.</w:t>
            </w:r>
          </w:p>
        </w:tc>
      </w:tr>
      <w:tr w:rsidR="00DD47C8" w:rsidRPr="00DD49B6" w14:paraId="178D4A1A" w14:textId="77777777" w:rsidTr="00DD47C8">
        <w:trPr>
          <w:jc w:val="center"/>
        </w:trPr>
        <w:tc>
          <w:tcPr>
            <w:tcW w:w="2929" w:type="dxa"/>
          </w:tcPr>
          <w:p w14:paraId="7BDFCD7C" w14:textId="77777777"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58" w:type="dxa"/>
            <w:gridSpan w:val="5"/>
          </w:tcPr>
          <w:p w14:paraId="18926D35" w14:textId="1AAC6002" w:rsidR="00DD47C8" w:rsidRDefault="00DD47C8" w:rsidP="0084646A">
            <w:pPr>
              <w:pStyle w:val="naisf"/>
              <w:spacing w:before="0" w:beforeAutospacing="0" w:after="0" w:afterAutospacing="0"/>
              <w:jc w:val="both"/>
            </w:pPr>
            <w:r w:rsidRPr="00486E31">
              <w:t xml:space="preserve">Ieņēmumos 2015.gadam tiek plānoti </w:t>
            </w:r>
            <w:r w:rsidR="00A02F6C">
              <w:t>106 196 931</w:t>
            </w:r>
            <w:r w:rsidRPr="00486E31">
              <w:t xml:space="preserve"> </w:t>
            </w:r>
            <w:proofErr w:type="spellStart"/>
            <w:r>
              <w:t>euro</w:t>
            </w:r>
            <w:proofErr w:type="spellEnd"/>
            <w:r>
              <w:t xml:space="preserve"> (ESF – </w:t>
            </w:r>
            <w:r w:rsidR="00A02F6C">
              <w:t xml:space="preserve">16 263 543 </w:t>
            </w:r>
            <w:proofErr w:type="spellStart"/>
            <w:r>
              <w:t>euro</w:t>
            </w:r>
            <w:proofErr w:type="spellEnd"/>
            <w:r>
              <w:t xml:space="preserve">, ERAF – </w:t>
            </w:r>
            <w:r w:rsidR="00A02F6C">
              <w:t>54 175 080</w:t>
            </w:r>
            <w:r>
              <w:t xml:space="preserve"> </w:t>
            </w:r>
            <w:proofErr w:type="spellStart"/>
            <w:r>
              <w:t>euro</w:t>
            </w:r>
            <w:proofErr w:type="spellEnd"/>
            <w:r>
              <w:t xml:space="preserve">, KF – </w:t>
            </w:r>
            <w:r w:rsidR="00A02F6C">
              <w:t xml:space="preserve">35 372 754 </w:t>
            </w:r>
            <w:proofErr w:type="spellStart"/>
            <w:r>
              <w:t>euro</w:t>
            </w:r>
            <w:proofErr w:type="spellEnd"/>
            <w:r>
              <w:t>)</w:t>
            </w:r>
            <w:r w:rsidRPr="00486E31">
              <w:t>,</w:t>
            </w:r>
            <w:r>
              <w:t xml:space="preserve"> 2016.gadam </w:t>
            </w:r>
            <w:r w:rsidR="00A02F6C">
              <w:t>244 509 182</w:t>
            </w:r>
            <w:r>
              <w:t xml:space="preserve"> </w:t>
            </w:r>
            <w:proofErr w:type="spellStart"/>
            <w:r>
              <w:t>euro</w:t>
            </w:r>
            <w:proofErr w:type="spellEnd"/>
            <w:r>
              <w:t xml:space="preserve"> (ESF – </w:t>
            </w:r>
            <w:r w:rsidR="00A02F6C">
              <w:t>42 433 934</w:t>
            </w:r>
            <w:r>
              <w:t xml:space="preserve"> </w:t>
            </w:r>
            <w:proofErr w:type="spellStart"/>
            <w:r>
              <w:t>euro</w:t>
            </w:r>
            <w:proofErr w:type="spellEnd"/>
            <w:r>
              <w:t xml:space="preserve">, ERAF – </w:t>
            </w:r>
            <w:r w:rsidR="00A02F6C">
              <w:t>141 796 964</w:t>
            </w:r>
            <w:r>
              <w:t xml:space="preserve"> </w:t>
            </w:r>
            <w:proofErr w:type="spellStart"/>
            <w:r>
              <w:t>euro</w:t>
            </w:r>
            <w:proofErr w:type="spellEnd"/>
            <w:r>
              <w:t xml:space="preserve">, KF – </w:t>
            </w:r>
            <w:r w:rsidR="00A02F6C">
              <w:t>60 278 284</w:t>
            </w:r>
            <w:r>
              <w:t xml:space="preserve"> </w:t>
            </w:r>
            <w:proofErr w:type="spellStart"/>
            <w:r>
              <w:t>euro</w:t>
            </w:r>
            <w:proofErr w:type="spellEnd"/>
            <w:r>
              <w:t xml:space="preserve">), 2017.gadam </w:t>
            </w:r>
            <w:r w:rsidR="00A02F6C">
              <w:t>306 600 446</w:t>
            </w:r>
            <w:r>
              <w:t xml:space="preserve"> </w:t>
            </w:r>
            <w:proofErr w:type="spellStart"/>
            <w:r>
              <w:t>euro</w:t>
            </w:r>
            <w:proofErr w:type="spellEnd"/>
            <w:r>
              <w:t xml:space="preserve"> (ESF – </w:t>
            </w:r>
            <w:r w:rsidR="00A02F6C">
              <w:t>52 029 810</w:t>
            </w:r>
            <w:r>
              <w:t xml:space="preserve"> </w:t>
            </w:r>
            <w:proofErr w:type="spellStart"/>
            <w:r>
              <w:t>euro</w:t>
            </w:r>
            <w:proofErr w:type="spellEnd"/>
            <w:r>
              <w:t xml:space="preserve">, ERAF – </w:t>
            </w:r>
            <w:r w:rsidR="00A02F6C">
              <w:t>173 755 823</w:t>
            </w:r>
            <w:r>
              <w:t xml:space="preserve"> </w:t>
            </w:r>
            <w:proofErr w:type="spellStart"/>
            <w:r>
              <w:t>euro</w:t>
            </w:r>
            <w:proofErr w:type="spellEnd"/>
            <w:r>
              <w:t xml:space="preserve">, KF – </w:t>
            </w:r>
            <w:r w:rsidR="00A02F6C">
              <w:t>80 814 812</w:t>
            </w:r>
            <w:r>
              <w:t xml:space="preserve"> </w:t>
            </w:r>
            <w:proofErr w:type="spellStart"/>
            <w:r>
              <w:t>euro</w:t>
            </w:r>
            <w:proofErr w:type="spellEnd"/>
            <w:r>
              <w:t>)</w:t>
            </w:r>
            <w:r w:rsidR="00D468CB">
              <w:t>.</w:t>
            </w:r>
          </w:p>
          <w:p w14:paraId="53DB1A50" w14:textId="51AA95B9" w:rsidR="00D468CB" w:rsidRPr="00486E31" w:rsidRDefault="00D468CB" w:rsidP="00A02F6C">
            <w:pPr>
              <w:pStyle w:val="naisf"/>
              <w:spacing w:before="0" w:beforeAutospacing="0" w:after="0" w:afterAutospacing="0"/>
              <w:jc w:val="both"/>
            </w:pPr>
            <w:r w:rsidRPr="00B029B1">
              <w:t>Tiek paredzēti avansa maksājumi no Eiropas Komisij</w:t>
            </w:r>
            <w:r>
              <w:t>as 2014.g. - 1%, 2015.g. - 1%,</w:t>
            </w:r>
            <w:r w:rsidRPr="00B029B1">
              <w:t xml:space="preserve"> 2016.g. - </w:t>
            </w:r>
            <w:r w:rsidR="00A02F6C">
              <w:t>2</w:t>
            </w:r>
            <w:r w:rsidRPr="00B029B1">
              <w:t>%</w:t>
            </w:r>
            <w:r>
              <w:t xml:space="preserve"> un 2017.g. – 2,</w:t>
            </w:r>
            <w:r w:rsidR="00A02F6C">
              <w:t>625</w:t>
            </w:r>
            <w:r>
              <w:t>%</w:t>
            </w:r>
            <w:r w:rsidRPr="00B029B1">
              <w:t xml:space="preserve"> no „Investīcijas nodarbinātībā un izaugsmei” mērķa programmas kopējā finansējuma apjoma.</w:t>
            </w:r>
          </w:p>
        </w:tc>
      </w:tr>
      <w:tr w:rsidR="00DD47C8" w:rsidRPr="00DD49B6" w14:paraId="4C0E235B" w14:textId="77777777" w:rsidTr="00DD47C8">
        <w:trPr>
          <w:jc w:val="center"/>
        </w:trPr>
        <w:tc>
          <w:tcPr>
            <w:tcW w:w="2929" w:type="dxa"/>
          </w:tcPr>
          <w:p w14:paraId="22609586" w14:textId="447446B9"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6.2. detalizēts izdevumu aprēķins</w:t>
            </w:r>
          </w:p>
        </w:tc>
        <w:tc>
          <w:tcPr>
            <w:tcW w:w="6858" w:type="dxa"/>
            <w:gridSpan w:val="5"/>
          </w:tcPr>
          <w:p w14:paraId="36256CAB" w14:textId="7E0A58B6" w:rsidR="00DD47C8" w:rsidRDefault="00DD47C8" w:rsidP="0084646A">
            <w:pPr>
              <w:pStyle w:val="naisf"/>
              <w:spacing w:before="0" w:beforeAutospacing="0" w:after="0" w:afterAutospacing="0"/>
              <w:jc w:val="both"/>
            </w:pPr>
            <w:r>
              <w:t xml:space="preserve">Izdevumos 2015.gadam tiek plānoti </w:t>
            </w:r>
            <w:r w:rsidR="00A02F6C">
              <w:t>111 419 181</w:t>
            </w:r>
            <w:r>
              <w:t xml:space="preserve"> </w:t>
            </w:r>
            <w:proofErr w:type="spellStart"/>
            <w:r>
              <w:t>euro</w:t>
            </w:r>
            <w:proofErr w:type="spellEnd"/>
            <w:r>
              <w:t xml:space="preserve"> (ESF – </w:t>
            </w:r>
            <w:r w:rsidR="00A02F6C">
              <w:t>19 144 829</w:t>
            </w:r>
            <w:r>
              <w:t xml:space="preserve"> </w:t>
            </w:r>
            <w:proofErr w:type="spellStart"/>
            <w:r>
              <w:t>euro</w:t>
            </w:r>
            <w:proofErr w:type="spellEnd"/>
            <w:r>
              <w:t xml:space="preserve">, ERAF – </w:t>
            </w:r>
            <w:r w:rsidR="00A02F6C">
              <w:t>53 320 880</w:t>
            </w:r>
            <w:r>
              <w:t xml:space="preserve"> </w:t>
            </w:r>
            <w:proofErr w:type="spellStart"/>
            <w:r>
              <w:t>euro</w:t>
            </w:r>
            <w:proofErr w:type="spellEnd"/>
            <w:r>
              <w:t xml:space="preserve">, KF – </w:t>
            </w:r>
            <w:r w:rsidR="00A02F6C">
              <w:t>38 953 471</w:t>
            </w:r>
            <w:r>
              <w:t xml:space="preserve"> </w:t>
            </w:r>
            <w:proofErr w:type="spellStart"/>
            <w:r>
              <w:t>euro</w:t>
            </w:r>
            <w:proofErr w:type="spellEnd"/>
            <w:r>
              <w:t xml:space="preserve">), 2016.gadam </w:t>
            </w:r>
            <w:r w:rsidR="00A02F6C">
              <w:t>280 369 968</w:t>
            </w:r>
            <w:r>
              <w:t xml:space="preserve"> </w:t>
            </w:r>
            <w:proofErr w:type="spellStart"/>
            <w:r>
              <w:t>euro</w:t>
            </w:r>
            <w:proofErr w:type="spellEnd"/>
            <w:r>
              <w:t xml:space="preserve"> (ESF – </w:t>
            </w:r>
            <w:r w:rsidR="00A02F6C">
              <w:t>55 330 770</w:t>
            </w:r>
            <w:r>
              <w:t xml:space="preserve"> </w:t>
            </w:r>
            <w:proofErr w:type="spellStart"/>
            <w:r>
              <w:t>euro</w:t>
            </w:r>
            <w:proofErr w:type="spellEnd"/>
            <w:r>
              <w:t xml:space="preserve">, ERAF – </w:t>
            </w:r>
            <w:r w:rsidR="00A02F6C">
              <w:t>165 768 482</w:t>
            </w:r>
            <w:r>
              <w:t xml:space="preserve"> </w:t>
            </w:r>
            <w:proofErr w:type="spellStart"/>
            <w:r>
              <w:t>euro</w:t>
            </w:r>
            <w:proofErr w:type="spellEnd"/>
            <w:r>
              <w:t xml:space="preserve">, KF – </w:t>
            </w:r>
            <w:r w:rsidR="00A02F6C">
              <w:t>59 270 716</w:t>
            </w:r>
            <w:r>
              <w:t xml:space="preserve"> </w:t>
            </w:r>
            <w:proofErr w:type="spellStart"/>
            <w:r>
              <w:t>euro</w:t>
            </w:r>
            <w:proofErr w:type="spellEnd"/>
            <w:r>
              <w:t xml:space="preserve">), 2017.gadam </w:t>
            </w:r>
            <w:r w:rsidR="00A02F6C">
              <w:t xml:space="preserve">342 338 754 </w:t>
            </w:r>
            <w:proofErr w:type="spellStart"/>
            <w:r>
              <w:t>euro</w:t>
            </w:r>
            <w:proofErr w:type="spellEnd"/>
            <w:r>
              <w:t xml:space="preserve"> (ESF – </w:t>
            </w:r>
            <w:r w:rsidR="00A02F6C">
              <w:t>65 785 731</w:t>
            </w:r>
            <w:r>
              <w:t xml:space="preserve"> </w:t>
            </w:r>
            <w:proofErr w:type="spellStart"/>
            <w:r>
              <w:t>euro</w:t>
            </w:r>
            <w:proofErr w:type="spellEnd"/>
            <w:r>
              <w:t xml:space="preserve">, ERAF – </w:t>
            </w:r>
            <w:r w:rsidR="00A02F6C">
              <w:t>195 734 243</w:t>
            </w:r>
            <w:r>
              <w:t xml:space="preserve"> </w:t>
            </w:r>
            <w:proofErr w:type="spellStart"/>
            <w:r>
              <w:t>euro</w:t>
            </w:r>
            <w:proofErr w:type="spellEnd"/>
            <w:r>
              <w:t xml:space="preserve">, KF – </w:t>
            </w:r>
            <w:r w:rsidR="00A02F6C">
              <w:t>80 818 781</w:t>
            </w:r>
            <w:r>
              <w:t xml:space="preserve"> </w:t>
            </w:r>
            <w:proofErr w:type="spellStart"/>
            <w:r>
              <w:t>euro</w:t>
            </w:r>
            <w:proofErr w:type="spellEnd"/>
            <w:r>
              <w:t>)</w:t>
            </w:r>
            <w:r w:rsidR="00D468CB">
              <w:t>.</w:t>
            </w:r>
          </w:p>
          <w:p w14:paraId="27E2FAC3" w14:textId="16B1F624" w:rsidR="00D468CB" w:rsidRDefault="00A02F6C" w:rsidP="00292140">
            <w:pPr>
              <w:pStyle w:val="naisf"/>
              <w:spacing w:before="0" w:beforeAutospacing="0" w:after="0" w:afterAutospacing="0"/>
              <w:jc w:val="both"/>
            </w:pPr>
            <w:r>
              <w:t>Izdevumu aprēķini balstīti uz ministriju 20.02.2014. iesniegtajām prognozēm, koriģējot tās par 20%</w:t>
            </w:r>
            <w:r w:rsidR="00292140">
              <w:t xml:space="preserve">, izņemot 2014.gadam, kur saglabāta Finanšu ministrijas kā ES fondu vadošās iestādes prognoze. </w:t>
            </w:r>
          </w:p>
          <w:p w14:paraId="6E54F37E" w14:textId="02610E52" w:rsidR="00D468CB" w:rsidRPr="00774E67" w:rsidRDefault="00D468CB" w:rsidP="00292140">
            <w:pPr>
              <w:pStyle w:val="naisf"/>
              <w:spacing w:before="0" w:beforeAutospacing="0" w:after="0" w:afterAutospacing="0"/>
              <w:jc w:val="both"/>
            </w:pPr>
            <w:r w:rsidRPr="00B029B1">
              <w:t xml:space="preserve">Tiek </w:t>
            </w:r>
            <w:r w:rsidR="00292140" w:rsidRPr="00B029B1">
              <w:t>saglabāt</w:t>
            </w:r>
            <w:r w:rsidR="00292140">
              <w:t>a</w:t>
            </w:r>
            <w:r w:rsidR="00292140" w:rsidRPr="00B029B1">
              <w:t xml:space="preserve"> </w:t>
            </w:r>
            <w:r w:rsidRPr="00B029B1">
              <w:t>nacionālā līdzfinansējuma apmērs 85% apmērā, līdz ar to budžeta izdevumi saistībā ar nacionālo līdzfinansējumu saglabājas līdzīgi kā  2007.-2013.gada plānošanas periodā</w:t>
            </w:r>
            <w:r>
              <w:t>.</w:t>
            </w:r>
          </w:p>
        </w:tc>
      </w:tr>
      <w:tr w:rsidR="00DD47C8" w:rsidRPr="00DD49B6" w14:paraId="05814021" w14:textId="77777777" w:rsidTr="00DD47C8">
        <w:trPr>
          <w:trHeight w:val="556"/>
          <w:jc w:val="center"/>
        </w:trPr>
        <w:tc>
          <w:tcPr>
            <w:tcW w:w="2929" w:type="dxa"/>
          </w:tcPr>
          <w:p w14:paraId="556F3A31" w14:textId="54C6A686" w:rsidR="00DD47C8" w:rsidRPr="00DD49B6" w:rsidRDefault="00DD47C8" w:rsidP="0084646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58" w:type="dxa"/>
            <w:gridSpan w:val="5"/>
          </w:tcPr>
          <w:p w14:paraId="6929D946" w14:textId="248AC940" w:rsidR="00DD47C8" w:rsidRPr="00DD49B6" w:rsidRDefault="00DD47C8" w:rsidP="003D664D">
            <w:pPr>
              <w:pStyle w:val="naisf"/>
              <w:tabs>
                <w:tab w:val="left" w:pos="4644"/>
              </w:tabs>
              <w:spacing w:before="0" w:beforeAutospacing="0" w:after="0" w:afterAutospacing="0"/>
              <w:jc w:val="both"/>
              <w:rPr>
                <w:b/>
                <w:i/>
              </w:rPr>
            </w:pPr>
            <w:r>
              <w:t>Šīs sadaļas 2.punktā norādītos izdevumus 2014.-</w:t>
            </w:r>
            <w:r w:rsidR="00292140">
              <w:t>2017</w:t>
            </w:r>
            <w:r>
              <w:t xml:space="preserve">.gadam </w:t>
            </w:r>
            <w:r w:rsidRPr="00DD47C8">
              <w:t xml:space="preserve">prognozēts veikt </w:t>
            </w:r>
            <w:r>
              <w:t xml:space="preserve">no </w:t>
            </w:r>
            <w:r w:rsidRPr="00040A57">
              <w:t>likum</w:t>
            </w:r>
            <w:r>
              <w:t>ā</w:t>
            </w:r>
            <w:r w:rsidRPr="00040A57">
              <w:t xml:space="preserve"> „Par valsts budžetu 2014.gadam” un </w:t>
            </w:r>
            <w:r w:rsidR="00292140" w:rsidRPr="00040A57">
              <w:t>likum</w:t>
            </w:r>
            <w:r w:rsidR="00292140">
              <w:t>projekta</w:t>
            </w:r>
            <w:r w:rsidR="00292140" w:rsidRPr="00040A57">
              <w:t xml:space="preserve"> </w:t>
            </w:r>
            <w:r w:rsidRPr="00040A57">
              <w:t>„</w:t>
            </w:r>
            <w:r w:rsidRPr="00040A57">
              <w:rPr>
                <w:bCs/>
              </w:rPr>
              <w:t xml:space="preserve">Par vidēja termiņa budžeta ietvaru </w:t>
            </w:r>
            <w:r w:rsidR="00292140" w:rsidRPr="00040A57">
              <w:rPr>
                <w:bCs/>
              </w:rPr>
              <w:t>201</w:t>
            </w:r>
            <w:r w:rsidR="00292140">
              <w:rPr>
                <w:bCs/>
              </w:rPr>
              <w:t>5</w:t>
            </w:r>
            <w:r w:rsidRPr="00040A57">
              <w:rPr>
                <w:bCs/>
              </w:rPr>
              <w:t xml:space="preserve">., </w:t>
            </w:r>
            <w:r w:rsidR="00292140" w:rsidRPr="00040A57">
              <w:rPr>
                <w:bCs/>
              </w:rPr>
              <w:t>201</w:t>
            </w:r>
            <w:r w:rsidR="00292140">
              <w:rPr>
                <w:bCs/>
              </w:rPr>
              <w:t>6</w:t>
            </w:r>
            <w:r w:rsidRPr="00040A57">
              <w:rPr>
                <w:bCs/>
              </w:rPr>
              <w:t xml:space="preserve">. un </w:t>
            </w:r>
            <w:r w:rsidR="00292140" w:rsidRPr="00040A57">
              <w:rPr>
                <w:bCs/>
              </w:rPr>
              <w:t>201</w:t>
            </w:r>
            <w:r w:rsidR="00292140">
              <w:rPr>
                <w:bCs/>
              </w:rPr>
              <w:t>7</w:t>
            </w:r>
            <w:r w:rsidRPr="00040A57">
              <w:rPr>
                <w:bCs/>
              </w:rPr>
              <w:t>.gadam”</w:t>
            </w:r>
            <w:r>
              <w:t xml:space="preserve"> ieplānotā finansējuma </w:t>
            </w:r>
            <w:r w:rsidRPr="00805546">
              <w:t>budžeta programm</w:t>
            </w:r>
            <w:r>
              <w:t>ā</w:t>
            </w:r>
            <w:r w:rsidRPr="00805546">
              <w:t xml:space="preserve"> 80.00.00 „Nesadalītais finansējums Eiropas Savienības politiku instrumentu un pārējās ārvalstu finanšu palīdzības līdzfinansēto projektu un pasākumu īstenošanai”</w:t>
            </w:r>
            <w:r>
              <w:t>. 1.punktā norādītie ieņēmumi 2014.-</w:t>
            </w:r>
            <w:r w:rsidR="00292140">
              <w:t>2017</w:t>
            </w:r>
            <w:r>
              <w:t xml:space="preserve">.gadam atbilst </w:t>
            </w:r>
            <w:r w:rsidRPr="00040A57">
              <w:t>likum</w:t>
            </w:r>
            <w:r>
              <w:t>ā</w:t>
            </w:r>
            <w:r w:rsidRPr="00040A57">
              <w:t xml:space="preserve"> „Par valsts budžetu 2014.gadam” un </w:t>
            </w:r>
            <w:r w:rsidR="00292140" w:rsidRPr="00040A57">
              <w:t>likum</w:t>
            </w:r>
            <w:r w:rsidR="00292140">
              <w:t>projekta</w:t>
            </w:r>
            <w:r w:rsidR="00292140" w:rsidRPr="00040A57">
              <w:t xml:space="preserve"> „</w:t>
            </w:r>
            <w:r w:rsidR="00292140" w:rsidRPr="00040A57">
              <w:rPr>
                <w:bCs/>
              </w:rPr>
              <w:t>Par vidēja termiņa budžeta ietvaru 201</w:t>
            </w:r>
            <w:r w:rsidR="00292140">
              <w:rPr>
                <w:bCs/>
              </w:rPr>
              <w:t>5</w:t>
            </w:r>
            <w:r w:rsidR="00292140" w:rsidRPr="00040A57">
              <w:rPr>
                <w:bCs/>
              </w:rPr>
              <w:t>., 201</w:t>
            </w:r>
            <w:r w:rsidR="00292140">
              <w:rPr>
                <w:bCs/>
              </w:rPr>
              <w:t>6</w:t>
            </w:r>
            <w:r w:rsidR="00292140" w:rsidRPr="00040A57">
              <w:rPr>
                <w:bCs/>
              </w:rPr>
              <w:t>. un 201</w:t>
            </w:r>
            <w:r w:rsidR="00292140">
              <w:rPr>
                <w:bCs/>
              </w:rPr>
              <w:t>7</w:t>
            </w:r>
            <w:r w:rsidR="00292140" w:rsidRPr="00040A57">
              <w:rPr>
                <w:bCs/>
              </w:rPr>
              <w:t>.gadam”</w:t>
            </w:r>
            <w:r>
              <w:rPr>
                <w:bCs/>
              </w:rPr>
              <w:t xml:space="preserve"> ieplānotajiem ieņēmumiem no </w:t>
            </w:r>
            <w:r w:rsidR="003D664D">
              <w:rPr>
                <w:bCs/>
              </w:rPr>
              <w:t>ES fondu</w:t>
            </w:r>
            <w:r>
              <w:rPr>
                <w:bCs/>
              </w:rPr>
              <w:t xml:space="preserve"> 2014.-2020.gada plānošanas perioda projektu īstenošanas. </w:t>
            </w:r>
          </w:p>
        </w:tc>
      </w:tr>
    </w:tbl>
    <w:p w14:paraId="6412DC65" w14:textId="77777777" w:rsidR="00DD47C8" w:rsidRDefault="00DD47C8" w:rsidP="00171D36">
      <w:pPr>
        <w:spacing w:after="0" w:line="240" w:lineRule="auto"/>
        <w:rPr>
          <w:rFonts w:ascii="Times New Roman" w:hAnsi="Times New Roman" w:cs="Times New Roman"/>
          <w:sz w:val="24"/>
          <w:szCs w:val="24"/>
        </w:rPr>
      </w:pPr>
    </w:p>
    <w:p w14:paraId="1C77BBB6" w14:textId="77777777" w:rsidR="003A4318" w:rsidRDefault="003A4318" w:rsidP="00171D36">
      <w:pPr>
        <w:spacing w:after="0" w:line="240" w:lineRule="auto"/>
        <w:rPr>
          <w:rFonts w:ascii="Times New Roman" w:hAnsi="Times New Roman" w:cs="Times New Roman"/>
          <w:sz w:val="24"/>
          <w:szCs w:val="24"/>
        </w:rPr>
      </w:pPr>
    </w:p>
    <w:p w14:paraId="4C9D3841" w14:textId="77777777" w:rsidR="00F56EA8" w:rsidRPr="00DD49B6" w:rsidRDefault="00F56EA8" w:rsidP="00171D3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A6C86" w:rsidRPr="00DD49B6" w14:paraId="5EDF1E76" w14:textId="77777777" w:rsidTr="004544D2">
        <w:trPr>
          <w:trHeight w:val="461"/>
          <w:jc w:val="center"/>
        </w:trPr>
        <w:tc>
          <w:tcPr>
            <w:tcW w:w="9511" w:type="dxa"/>
            <w:gridSpan w:val="3"/>
            <w:vAlign w:val="center"/>
          </w:tcPr>
          <w:p w14:paraId="5EDF1E75" w14:textId="030C25C4" w:rsidR="00DA6C86" w:rsidRPr="00DD49B6" w:rsidRDefault="00171D36" w:rsidP="00171D36">
            <w:pPr>
              <w:pStyle w:val="naisnod"/>
              <w:spacing w:before="0" w:beforeAutospacing="0" w:after="0" w:afterAutospacing="0"/>
              <w:jc w:val="center"/>
              <w:rPr>
                <w:b/>
              </w:rPr>
            </w:pPr>
            <w:r w:rsidRPr="00DD49B6">
              <w:br w:type="page"/>
            </w:r>
            <w:r w:rsidR="00DA6C86" w:rsidRPr="00DD49B6">
              <w:rPr>
                <w:b/>
              </w:rPr>
              <w:t>IV. Tiesību akta projekta ietekme uz spēkā esošo tiesību normu sistēmu</w:t>
            </w:r>
          </w:p>
        </w:tc>
      </w:tr>
      <w:tr w:rsidR="00DA6C86" w:rsidRPr="00DD49B6" w14:paraId="5EDF1E7A" w14:textId="77777777" w:rsidTr="00DD49B6">
        <w:trPr>
          <w:jc w:val="center"/>
        </w:trPr>
        <w:tc>
          <w:tcPr>
            <w:tcW w:w="470" w:type="dxa"/>
          </w:tcPr>
          <w:p w14:paraId="5EDF1E77" w14:textId="77777777" w:rsidR="00DA6C86" w:rsidRPr="00DD49B6" w:rsidRDefault="00DA6C86" w:rsidP="00171D36">
            <w:pPr>
              <w:pStyle w:val="naiskr"/>
              <w:tabs>
                <w:tab w:val="left" w:pos="2628"/>
              </w:tabs>
              <w:spacing w:before="0" w:beforeAutospacing="0" w:after="0" w:afterAutospacing="0"/>
              <w:jc w:val="both"/>
              <w:rPr>
                <w:iCs/>
              </w:rPr>
            </w:pPr>
            <w:r w:rsidRPr="00DD49B6">
              <w:rPr>
                <w:iCs/>
              </w:rPr>
              <w:t>1.</w:t>
            </w:r>
          </w:p>
        </w:tc>
        <w:tc>
          <w:tcPr>
            <w:tcW w:w="2728" w:type="dxa"/>
          </w:tcPr>
          <w:p w14:paraId="5EDF1E78" w14:textId="77777777" w:rsidR="00DA6C86" w:rsidRPr="00DD49B6" w:rsidRDefault="00DA6C86" w:rsidP="00171D36">
            <w:pPr>
              <w:pStyle w:val="naiskr"/>
              <w:tabs>
                <w:tab w:val="left" w:pos="2628"/>
              </w:tabs>
              <w:spacing w:before="0" w:beforeAutospacing="0" w:after="0" w:afterAutospacing="0"/>
              <w:jc w:val="both"/>
              <w:rPr>
                <w:iCs/>
              </w:rPr>
            </w:pPr>
            <w:r w:rsidRPr="000A150F">
              <w:t>Nepieciešamie saistītie tiesību aktu projekti</w:t>
            </w:r>
          </w:p>
        </w:tc>
        <w:tc>
          <w:tcPr>
            <w:tcW w:w="6313" w:type="dxa"/>
          </w:tcPr>
          <w:p w14:paraId="7CE5DE24" w14:textId="000F5F4C" w:rsidR="00B865E0" w:rsidRPr="00AB54A5" w:rsidRDefault="00B865E0" w:rsidP="00B865E0">
            <w:pPr>
              <w:shd w:val="clear" w:color="auto" w:fill="FFFFFF"/>
              <w:spacing w:after="0" w:line="240" w:lineRule="auto"/>
              <w:jc w:val="both"/>
              <w:rPr>
                <w:rFonts w:ascii="Times New Roman" w:hAnsi="Times New Roman" w:cs="Times New Roman"/>
                <w:sz w:val="24"/>
                <w:szCs w:val="24"/>
              </w:rPr>
            </w:pPr>
            <w:r w:rsidRPr="00AB54A5">
              <w:rPr>
                <w:rFonts w:ascii="Times New Roman" w:hAnsi="Times New Roman" w:cs="Times New Roman"/>
                <w:sz w:val="24"/>
                <w:szCs w:val="24"/>
              </w:rPr>
              <w:t>Likumprojektā</w:t>
            </w:r>
            <w:r w:rsidR="00AB54A5" w:rsidRPr="00AB54A5">
              <w:rPr>
                <w:rFonts w:ascii="Times New Roman" w:hAnsi="Times New Roman" w:cs="Times New Roman"/>
                <w:sz w:val="24"/>
                <w:szCs w:val="24"/>
              </w:rPr>
              <w:t xml:space="preserve">, lai nodrošinātu ES fondu vadību, </w:t>
            </w:r>
            <w:r w:rsidRPr="00AB54A5">
              <w:rPr>
                <w:rFonts w:ascii="Times New Roman" w:hAnsi="Times New Roman" w:cs="Times New Roman"/>
                <w:sz w:val="24"/>
                <w:szCs w:val="24"/>
              </w:rPr>
              <w:t>ir ietverts pilnvarojums Ministru kabinetam noteikt:</w:t>
            </w:r>
          </w:p>
          <w:p w14:paraId="15AD2EDF" w14:textId="5111390E" w:rsidR="00C365F0" w:rsidRPr="00732104" w:rsidRDefault="00746D33" w:rsidP="00732104">
            <w:pPr>
              <w:pStyle w:val="nais1"/>
              <w:spacing w:after="120"/>
              <w:ind w:firstLine="459"/>
              <w:jc w:val="both"/>
            </w:pPr>
            <w:r>
              <w:rPr>
                <w:szCs w:val="28"/>
              </w:rPr>
              <w:t>1)</w:t>
            </w:r>
            <w:r w:rsidR="00C365F0">
              <w:rPr>
                <w:szCs w:val="28"/>
              </w:rPr>
              <w:t xml:space="preserve"> </w:t>
            </w:r>
            <w:r w:rsidR="00C365F0" w:rsidRPr="00C365F0">
              <w:rPr>
                <w:szCs w:val="28"/>
              </w:rPr>
              <w:t xml:space="preserve">prasības Eiropas </w:t>
            </w:r>
            <w:r w:rsidR="00C365F0" w:rsidRPr="00C365F0">
              <w:t>Savienības fondu vadības un</w:t>
            </w:r>
            <w:r w:rsidR="00DA58B9">
              <w:t xml:space="preserve"> kontroles sistēmas izveidošanai, tas ir, līdzīgi kā 2007. – 2013.gada plānošanas periodā </w:t>
            </w:r>
            <w:r w:rsidR="00A30A2C">
              <w:t xml:space="preserve">tiks izstrādāti atsevišķi Ministru kabineta noteikumi, kuros </w:t>
            </w:r>
            <w:r w:rsidR="00DA58B9">
              <w:t xml:space="preserve">tiks noteiktas konkrētas vadības un kontroles </w:t>
            </w:r>
            <w:r w:rsidR="00A30A2C">
              <w:t xml:space="preserve">nodrošināšanas </w:t>
            </w:r>
            <w:r w:rsidR="00DA58B9">
              <w:t>prasības attiecībā uz ES fondu vadībā iesaistītajām ins</w:t>
            </w:r>
            <w:r w:rsidR="003C3971">
              <w:t>t</w:t>
            </w:r>
            <w:r w:rsidR="00DA58B9">
              <w:t xml:space="preserve">itūcijām, tai skaitā konkrētas procedūras, kas </w:t>
            </w:r>
            <w:r w:rsidR="007837A4">
              <w:t>vadošajai iestādei, atbildīgajām iestādēm, sadarbības iestādei, revīzijas iestādei un sertifikācijas iestādei</w:t>
            </w:r>
            <w:r w:rsidR="00794CB8">
              <w:t xml:space="preserve"> </w:t>
            </w:r>
            <w:r w:rsidR="007837A4">
              <w:t xml:space="preserve">jāizstrādā </w:t>
            </w:r>
            <w:r w:rsidR="00794CB8">
              <w:t>atbilstoši likumprojektā noteiktajam funkciju sadalījumam</w:t>
            </w:r>
            <w:r w:rsidR="00732104">
              <w:t>, lai nodrošinātu Regulas Nr</w:t>
            </w:r>
            <w:r w:rsidR="007837A4">
              <w:t>.</w:t>
            </w:r>
            <w:r w:rsidR="00732104">
              <w:t>1303/2013 125.pantā noteiktās vadošās iestādes, 126.pantā noteiktās sertifikācijas iestādes un 127.pantā noteiktās revīzijas iestādes funkcijas</w:t>
            </w:r>
            <w:r w:rsidR="00DA58B9">
              <w:t xml:space="preserve">; </w:t>
            </w:r>
          </w:p>
          <w:p w14:paraId="49A2B343" w14:textId="62FC5609" w:rsidR="00E163C4" w:rsidRPr="00E163C4" w:rsidRDefault="00746D33" w:rsidP="00E65755">
            <w:pPr>
              <w:pStyle w:val="nais1"/>
              <w:spacing w:before="0" w:beforeAutospacing="0" w:after="120" w:afterAutospacing="0"/>
              <w:ind w:firstLine="459"/>
              <w:jc w:val="both"/>
              <w:rPr>
                <w:szCs w:val="28"/>
              </w:rPr>
            </w:pPr>
            <w:r>
              <w:rPr>
                <w:szCs w:val="28"/>
              </w:rPr>
              <w:t>2</w:t>
            </w:r>
            <w:r w:rsidR="00E163C4" w:rsidRPr="00E163C4">
              <w:rPr>
                <w:szCs w:val="28"/>
              </w:rPr>
              <w:t xml:space="preserve">) </w:t>
            </w:r>
            <w:r w:rsidR="006E7B52" w:rsidRPr="006E7B52">
              <w:rPr>
                <w:szCs w:val="28"/>
              </w:rPr>
              <w:t xml:space="preserve">kārtību, kādā </w:t>
            </w:r>
            <w:r w:rsidR="003D664D">
              <w:rPr>
                <w:szCs w:val="28"/>
              </w:rPr>
              <w:t>ES</w:t>
            </w:r>
            <w:r w:rsidR="006E7B52" w:rsidRPr="006E7B52">
              <w:rPr>
                <w:szCs w:val="28"/>
              </w:rPr>
              <w:t xml:space="preserve"> fondu vadībā iesaistītās institūcijas nodrošina plānošanas dokumentu sagatavošanu un Eiropas Savienības fondu ieviešanu, tai skaitā projektu iesniegumu atlasi, projektu iesniegumu atlases nolikuma saturu, kārtību, kādā izvērtē projekta iesniedzēja atbilstību </w:t>
            </w:r>
            <w:r w:rsidR="00D7420A">
              <w:rPr>
                <w:szCs w:val="28"/>
              </w:rPr>
              <w:t>likumprojekta</w:t>
            </w:r>
            <w:r w:rsidR="006E7B52" w:rsidRPr="006E7B52">
              <w:rPr>
                <w:szCs w:val="28"/>
              </w:rPr>
              <w:t xml:space="preserve"> </w:t>
            </w:r>
            <w:r w:rsidR="006E7B52" w:rsidRPr="00746D33">
              <w:rPr>
                <w:szCs w:val="28"/>
              </w:rPr>
              <w:t>2</w:t>
            </w:r>
            <w:r w:rsidRPr="00746D33">
              <w:rPr>
                <w:szCs w:val="28"/>
              </w:rPr>
              <w:t>4</w:t>
            </w:r>
            <w:r w:rsidR="006E7B52" w:rsidRPr="00746D33">
              <w:rPr>
                <w:szCs w:val="28"/>
              </w:rPr>
              <w:t>.pantā</w:t>
            </w:r>
            <w:r w:rsidR="006E7B52" w:rsidRPr="006E7B52">
              <w:rPr>
                <w:szCs w:val="28"/>
              </w:rPr>
              <w:t xml:space="preserve"> noteiktajiem izslēgšanas noteikumiem</w:t>
            </w:r>
            <w:r>
              <w:rPr>
                <w:szCs w:val="28"/>
              </w:rPr>
              <w:t xml:space="preserve"> un lielos projektus</w:t>
            </w:r>
            <w:r w:rsidR="006E7B52" w:rsidRPr="006E7B52">
              <w:rPr>
                <w:szCs w:val="28"/>
              </w:rPr>
              <w:t xml:space="preserve">, līguma un vienošanās par projekta īstenošanu saturu </w:t>
            </w:r>
            <w:r w:rsidR="006E7B52" w:rsidRPr="006E7B52">
              <w:rPr>
                <w:szCs w:val="28"/>
              </w:rPr>
              <w:lastRenderedPageBreak/>
              <w:t>un slēgšanas kārtību</w:t>
            </w:r>
            <w:r w:rsidR="00C171CB" w:rsidRPr="00C171CB">
              <w:rPr>
                <w:sz w:val="22"/>
                <w:szCs w:val="28"/>
              </w:rPr>
              <w:t xml:space="preserve">, </w:t>
            </w:r>
            <w:r w:rsidR="00C171CB" w:rsidRPr="00C171CB">
              <w:rPr>
                <w:szCs w:val="28"/>
              </w:rPr>
              <w:t xml:space="preserve">projekta </w:t>
            </w:r>
            <w:r w:rsidR="00D7420A">
              <w:rPr>
                <w:szCs w:val="28"/>
              </w:rPr>
              <w:t xml:space="preserve">sadarbības </w:t>
            </w:r>
            <w:r w:rsidR="00C171CB" w:rsidRPr="00C171CB">
              <w:rPr>
                <w:szCs w:val="28"/>
              </w:rPr>
              <w:t>partneru piesaistes nosacījumus</w:t>
            </w:r>
            <w:r w:rsidR="00411AD2">
              <w:rPr>
                <w:szCs w:val="28"/>
              </w:rPr>
              <w:t xml:space="preserve"> (attiecībā uz likumprojekta 24.pantā minēto </w:t>
            </w:r>
            <w:r w:rsidR="00411AD2">
              <w:rPr>
                <w:szCs w:val="28"/>
              </w:rPr>
              <w:t xml:space="preserve">tiks noteikta kārtībā, sadarbības iestāde, izmantojot vienoto informācijas sistēmu, iegūst informāciju no Sodu reģistra, Uzņēmumu reģistra, Valsts ieņēmumu dienesta un pašvaldībām, pārbaudāmās informācijas apjomu, kā arī tos </w:t>
            </w:r>
            <w:r w:rsidR="00411AD2" w:rsidRPr="00411AD2">
              <w:t>Latvijas Administratīvo pārkāpumu kodeksa, Krimināllikuma un citu likumu pantus, kuri atbilst noteiktajiem projektu iesniedzēju izslēgšanas gadījumiem un par kuros paredzētajiem pārkāpumiem un noziedzīgajiem nodarījumiem veicama noteiktā pārbaude</w:t>
            </w:r>
            <w:r w:rsidR="00411AD2">
              <w:rPr>
                <w:szCs w:val="28"/>
              </w:rPr>
              <w:t>)</w:t>
            </w:r>
            <w:r w:rsidR="006E7B52" w:rsidRPr="006E7B52">
              <w:rPr>
                <w:szCs w:val="28"/>
              </w:rPr>
              <w:t>;</w:t>
            </w:r>
          </w:p>
          <w:p w14:paraId="01C3E125" w14:textId="0DDECAB0" w:rsidR="00E163C4" w:rsidRPr="00E163C4" w:rsidRDefault="00746D33" w:rsidP="00E65755">
            <w:pPr>
              <w:pStyle w:val="nais1"/>
              <w:spacing w:before="0" w:beforeAutospacing="0" w:after="120" w:afterAutospacing="0"/>
              <w:ind w:firstLine="459"/>
              <w:jc w:val="both"/>
              <w:rPr>
                <w:szCs w:val="28"/>
              </w:rPr>
            </w:pPr>
            <w:r>
              <w:rPr>
                <w:szCs w:val="28"/>
              </w:rPr>
              <w:t>3</w:t>
            </w:r>
            <w:r w:rsidR="00E163C4" w:rsidRPr="00E163C4">
              <w:rPr>
                <w:szCs w:val="28"/>
              </w:rPr>
              <w:t xml:space="preserve">) kārtību, kādā valsts budžetā </w:t>
            </w:r>
            <w:r w:rsidR="00011A47">
              <w:rPr>
                <w:szCs w:val="28"/>
              </w:rPr>
              <w:t>plāno</w:t>
            </w:r>
            <w:r w:rsidR="00011A47" w:rsidRPr="00E163C4">
              <w:rPr>
                <w:szCs w:val="28"/>
              </w:rPr>
              <w:t xml:space="preserve"> </w:t>
            </w:r>
            <w:r w:rsidR="00E163C4" w:rsidRPr="00E163C4">
              <w:rPr>
                <w:szCs w:val="28"/>
              </w:rPr>
              <w:t>līdzekļ</w:t>
            </w:r>
            <w:r w:rsidR="00D7420A">
              <w:rPr>
                <w:szCs w:val="28"/>
              </w:rPr>
              <w:t>us</w:t>
            </w:r>
            <w:r w:rsidR="00E163C4" w:rsidRPr="00E163C4">
              <w:rPr>
                <w:szCs w:val="28"/>
              </w:rPr>
              <w:t xml:space="preserve"> projektu īstenošanai, kā arī kārtību, kādā pārbauda maksājuma pieprasījumus, veic maksājumus un sagatavo Eiropas Komisijā iesniedzamo maksājuma pieteikumu un kontu slēgumu</w:t>
            </w:r>
            <w:r w:rsidR="00485D16">
              <w:rPr>
                <w:szCs w:val="28"/>
              </w:rPr>
              <w:t xml:space="preserve">, kā arī uz laiku aptur </w:t>
            </w:r>
            <w:r w:rsidR="00D7420A">
              <w:rPr>
                <w:szCs w:val="28"/>
              </w:rPr>
              <w:t>izdevumu deklarēšanu Eiropas Komisijā</w:t>
            </w:r>
            <w:r w:rsidR="00485D16">
              <w:rPr>
                <w:szCs w:val="28"/>
              </w:rPr>
              <w:t xml:space="preserve"> un koriģē Eiropas Komisijā iesniedzam</w:t>
            </w:r>
            <w:r w:rsidR="00D7420A">
              <w:rPr>
                <w:szCs w:val="28"/>
              </w:rPr>
              <w:t>ajos</w:t>
            </w:r>
            <w:r w:rsidR="00485D16">
              <w:rPr>
                <w:szCs w:val="28"/>
              </w:rPr>
              <w:t xml:space="preserve"> pārskatos iekļauto attiecināmo izdevumu apmēru</w:t>
            </w:r>
            <w:r w:rsidR="00E163C4" w:rsidRPr="00E163C4">
              <w:rPr>
                <w:szCs w:val="28"/>
              </w:rPr>
              <w:t>;</w:t>
            </w:r>
          </w:p>
          <w:p w14:paraId="52A0E6B6" w14:textId="371284ED" w:rsidR="00E163C4" w:rsidRPr="00E163C4" w:rsidRDefault="00746D33" w:rsidP="00E65755">
            <w:pPr>
              <w:pStyle w:val="nais1"/>
              <w:spacing w:before="0" w:beforeAutospacing="0" w:after="120" w:afterAutospacing="0"/>
              <w:ind w:firstLine="459"/>
              <w:jc w:val="both"/>
              <w:rPr>
                <w:szCs w:val="28"/>
              </w:rPr>
            </w:pPr>
            <w:r>
              <w:rPr>
                <w:szCs w:val="28"/>
              </w:rPr>
              <w:t>4</w:t>
            </w:r>
            <w:r w:rsidR="00E163C4" w:rsidRPr="00E163C4">
              <w:rPr>
                <w:szCs w:val="28"/>
              </w:rPr>
              <w:t>) kārtību, kādā sniedz un pārbauda informāciju par pievienotās vērtības nodokļa piemērošanu projektu ietvaros un pieņem lēmumu par pievienotās vērtības nodokļa iekļaušanu projektu attiecināmajās izmaksās;</w:t>
            </w:r>
          </w:p>
          <w:p w14:paraId="01BFBCA6" w14:textId="5C823A68" w:rsidR="00E163C4" w:rsidRPr="00E163C4" w:rsidRDefault="00746D33" w:rsidP="00E65755">
            <w:pPr>
              <w:pStyle w:val="nais1"/>
              <w:spacing w:before="0" w:beforeAutospacing="0" w:after="120" w:afterAutospacing="0"/>
              <w:ind w:firstLine="459"/>
              <w:jc w:val="both"/>
              <w:rPr>
                <w:szCs w:val="28"/>
              </w:rPr>
            </w:pPr>
            <w:r>
              <w:rPr>
                <w:szCs w:val="28"/>
              </w:rPr>
              <w:t>5</w:t>
            </w:r>
            <w:r w:rsidR="00E163C4" w:rsidRPr="00E163C4">
              <w:rPr>
                <w:szCs w:val="28"/>
              </w:rPr>
              <w:t>) kārtību, kādā nodrošina revīzijas iestādes funkcijas Eiropas Savienības fondu vadībā;</w:t>
            </w:r>
          </w:p>
          <w:p w14:paraId="33B4DF55" w14:textId="0B079E79" w:rsidR="00E163C4" w:rsidRPr="00E163C4" w:rsidRDefault="00746D33" w:rsidP="00E65755">
            <w:pPr>
              <w:pStyle w:val="nais1"/>
              <w:spacing w:before="0" w:beforeAutospacing="0" w:after="120" w:afterAutospacing="0"/>
              <w:ind w:firstLine="459"/>
              <w:jc w:val="both"/>
              <w:rPr>
                <w:szCs w:val="28"/>
              </w:rPr>
            </w:pPr>
            <w:r>
              <w:rPr>
                <w:szCs w:val="28"/>
              </w:rPr>
              <w:t>6</w:t>
            </w:r>
            <w:r w:rsidR="00E163C4" w:rsidRPr="00E163C4">
              <w:rPr>
                <w:szCs w:val="28"/>
              </w:rPr>
              <w:t xml:space="preserve">) </w:t>
            </w:r>
            <w:r w:rsidR="00011A47" w:rsidRPr="006E7B52">
              <w:rPr>
                <w:szCs w:val="28"/>
              </w:rPr>
              <w:t>vienkāršoto izmaksu piemērošanas nosacījumus</w:t>
            </w:r>
            <w:r w:rsidR="00011A47">
              <w:rPr>
                <w:szCs w:val="28"/>
              </w:rPr>
              <w:t xml:space="preserve"> un kārtību</w:t>
            </w:r>
            <w:r w:rsidR="00E163C4" w:rsidRPr="00E163C4">
              <w:rPr>
                <w:szCs w:val="28"/>
              </w:rPr>
              <w:t>;</w:t>
            </w:r>
          </w:p>
          <w:p w14:paraId="3CE88E1B" w14:textId="31F1F59F" w:rsidR="00E163C4" w:rsidRPr="00E163C4" w:rsidRDefault="00746D33" w:rsidP="00E65755">
            <w:pPr>
              <w:pStyle w:val="nais1"/>
              <w:spacing w:before="0" w:beforeAutospacing="0" w:after="120" w:afterAutospacing="0"/>
              <w:ind w:firstLine="459"/>
              <w:jc w:val="both"/>
              <w:rPr>
                <w:szCs w:val="28"/>
              </w:rPr>
            </w:pPr>
            <w:r>
              <w:rPr>
                <w:szCs w:val="28"/>
              </w:rPr>
              <w:t>7</w:t>
            </w:r>
            <w:r w:rsidR="00E163C4" w:rsidRPr="00E163C4">
              <w:rPr>
                <w:szCs w:val="28"/>
              </w:rPr>
              <w:t>) kārtību, kādā pārbaudi projekta īstenošanas vietā;</w:t>
            </w:r>
          </w:p>
          <w:p w14:paraId="40A08490" w14:textId="2A6899C6" w:rsidR="00E163C4" w:rsidRPr="00E163C4" w:rsidRDefault="00746D33" w:rsidP="00E65755">
            <w:pPr>
              <w:pStyle w:val="nais1"/>
              <w:spacing w:before="0" w:beforeAutospacing="0" w:after="120" w:afterAutospacing="0"/>
              <w:ind w:firstLine="459"/>
              <w:jc w:val="both"/>
              <w:rPr>
                <w:szCs w:val="28"/>
              </w:rPr>
            </w:pPr>
            <w:r>
              <w:rPr>
                <w:szCs w:val="28"/>
              </w:rPr>
              <w:t>8</w:t>
            </w:r>
            <w:r w:rsidR="00E163C4" w:rsidRPr="00E163C4">
              <w:rPr>
                <w:szCs w:val="28"/>
              </w:rPr>
              <w:t xml:space="preserve">) kārtību, kādā sadarbības iestāde veic projekta iepirkuma dokumentācijas un iepirkuma procedūras norises izlases veida </w:t>
            </w:r>
            <w:proofErr w:type="spellStart"/>
            <w:r w:rsidR="00E163C4" w:rsidRPr="00E163C4">
              <w:rPr>
                <w:szCs w:val="28"/>
              </w:rPr>
              <w:t>pirmspārbaudi</w:t>
            </w:r>
            <w:proofErr w:type="spellEnd"/>
            <w:r w:rsidR="00E163C4" w:rsidRPr="00E163C4">
              <w:rPr>
                <w:szCs w:val="28"/>
              </w:rPr>
              <w:t xml:space="preserve">, un kādā Iepirkumu uzraudzības birojs veic projekta publiskā iepirkuma dokumentācijas un publiskā iepirkuma procedūras norises </w:t>
            </w:r>
            <w:proofErr w:type="spellStart"/>
            <w:r w:rsidR="00E163C4" w:rsidRPr="00E163C4">
              <w:rPr>
                <w:szCs w:val="28"/>
              </w:rPr>
              <w:t>pirmspārbaudi</w:t>
            </w:r>
            <w:proofErr w:type="spellEnd"/>
            <w:r w:rsidR="00E163C4" w:rsidRPr="00E163C4">
              <w:rPr>
                <w:szCs w:val="28"/>
              </w:rPr>
              <w:t xml:space="preserve">, kā arī izstrādā un aktualizē </w:t>
            </w:r>
            <w:proofErr w:type="spellStart"/>
            <w:r w:rsidR="00E163C4" w:rsidRPr="00E163C4">
              <w:rPr>
                <w:szCs w:val="28"/>
              </w:rPr>
              <w:t>pirmspārbaužu</w:t>
            </w:r>
            <w:proofErr w:type="spellEnd"/>
            <w:r w:rsidR="00E163C4" w:rsidRPr="00E163C4">
              <w:rPr>
                <w:szCs w:val="28"/>
              </w:rPr>
              <w:t xml:space="preserve"> veikšanas metodiku;</w:t>
            </w:r>
          </w:p>
          <w:p w14:paraId="690A7196" w14:textId="09DFFF93" w:rsidR="00E163C4" w:rsidRPr="00E163C4" w:rsidRDefault="00746D33" w:rsidP="00E65755">
            <w:pPr>
              <w:pStyle w:val="nais1"/>
              <w:spacing w:before="0" w:beforeAutospacing="0" w:after="120" w:afterAutospacing="0"/>
              <w:ind w:firstLine="459"/>
              <w:jc w:val="both"/>
              <w:rPr>
                <w:szCs w:val="28"/>
              </w:rPr>
            </w:pPr>
            <w:r>
              <w:rPr>
                <w:szCs w:val="28"/>
              </w:rPr>
              <w:t>9</w:t>
            </w:r>
            <w:r w:rsidR="00E163C4" w:rsidRPr="00E163C4">
              <w:rPr>
                <w:szCs w:val="28"/>
              </w:rPr>
              <w:t>) kārtību, kādā ziņo par Eiropas Savienības fondu ieviešanā konstatētajām neatbilstībām, ietur, norakst</w:t>
            </w:r>
            <w:r w:rsidR="00D7420A">
              <w:rPr>
                <w:szCs w:val="28"/>
              </w:rPr>
              <w:t>a</w:t>
            </w:r>
            <w:r w:rsidR="00E163C4" w:rsidRPr="00E163C4">
              <w:rPr>
                <w:szCs w:val="28"/>
              </w:rPr>
              <w:t xml:space="preserve"> </w:t>
            </w:r>
            <w:r w:rsidR="006E7B52">
              <w:rPr>
                <w:szCs w:val="28"/>
              </w:rPr>
              <w:t xml:space="preserve">valsts budžeta </w:t>
            </w:r>
            <w:r w:rsidR="00E163C4" w:rsidRPr="00E163C4">
              <w:rPr>
                <w:szCs w:val="28"/>
              </w:rPr>
              <w:t>izdevumos vai  atgū</w:t>
            </w:r>
            <w:r w:rsidR="00D7420A">
              <w:rPr>
                <w:szCs w:val="28"/>
              </w:rPr>
              <w:t>st neatbilstoši veiktos izdevumus</w:t>
            </w:r>
            <w:r w:rsidR="00E163C4" w:rsidRPr="00E163C4">
              <w:rPr>
                <w:szCs w:val="28"/>
              </w:rPr>
              <w:t xml:space="preserve">, </w:t>
            </w:r>
            <w:r w:rsidR="00D7420A">
              <w:rPr>
                <w:szCs w:val="28"/>
              </w:rPr>
              <w:t xml:space="preserve">kā arī </w:t>
            </w:r>
            <w:r w:rsidR="00E163C4" w:rsidRPr="00E163C4">
              <w:rPr>
                <w:szCs w:val="28"/>
              </w:rPr>
              <w:t>piemēro proporcionālo finanšu korekciju;</w:t>
            </w:r>
          </w:p>
          <w:p w14:paraId="50B46933" w14:textId="715C582E" w:rsidR="00E163C4" w:rsidRPr="00E163C4" w:rsidRDefault="00746D33" w:rsidP="00E65755">
            <w:pPr>
              <w:pStyle w:val="nais1"/>
              <w:spacing w:before="0" w:beforeAutospacing="0" w:after="120" w:afterAutospacing="0"/>
              <w:ind w:firstLine="459"/>
              <w:jc w:val="both"/>
              <w:rPr>
                <w:szCs w:val="28"/>
              </w:rPr>
            </w:pPr>
            <w:r>
              <w:rPr>
                <w:szCs w:val="28"/>
              </w:rPr>
              <w:t>10</w:t>
            </w:r>
            <w:r w:rsidR="00E163C4" w:rsidRPr="00E163C4">
              <w:rPr>
                <w:szCs w:val="28"/>
              </w:rPr>
              <w:t>) kārtību, kādā publisko informāciju par projektiem, nodrošina Eiropas Savienības fondu publicitāti, saziņu un vizuālās identitātes prasību ievērošanu;</w:t>
            </w:r>
          </w:p>
          <w:p w14:paraId="34349DF9" w14:textId="7EAFDC3C" w:rsidR="00E163C4" w:rsidRPr="00E163C4" w:rsidRDefault="00746D33" w:rsidP="00E65755">
            <w:pPr>
              <w:pStyle w:val="nais1"/>
              <w:spacing w:before="0" w:beforeAutospacing="0" w:after="120" w:afterAutospacing="0"/>
              <w:ind w:firstLine="459"/>
              <w:jc w:val="both"/>
              <w:rPr>
                <w:szCs w:val="28"/>
              </w:rPr>
            </w:pPr>
            <w:r>
              <w:rPr>
                <w:szCs w:val="28"/>
              </w:rPr>
              <w:t>11</w:t>
            </w:r>
            <w:r w:rsidR="00E163C4" w:rsidRPr="00E163C4">
              <w:rPr>
                <w:szCs w:val="28"/>
              </w:rPr>
              <w:t>) Eiropas Savienības fondu ieviešanas uzraudzības un izvērtēšanas kārtību;</w:t>
            </w:r>
          </w:p>
          <w:p w14:paraId="619D2821" w14:textId="3BA0EFFE" w:rsidR="00E163C4" w:rsidRPr="00E163C4" w:rsidRDefault="00746D33" w:rsidP="00E65755">
            <w:pPr>
              <w:pStyle w:val="nais1"/>
              <w:spacing w:before="0" w:beforeAutospacing="0" w:after="120" w:afterAutospacing="0"/>
              <w:ind w:firstLine="459"/>
              <w:jc w:val="both"/>
              <w:rPr>
                <w:szCs w:val="28"/>
              </w:rPr>
            </w:pPr>
            <w:r>
              <w:rPr>
                <w:szCs w:val="28"/>
              </w:rPr>
              <w:t>12</w:t>
            </w:r>
            <w:r w:rsidR="00E163C4" w:rsidRPr="00E163C4">
              <w:rPr>
                <w:szCs w:val="28"/>
              </w:rPr>
              <w:t>) Eiropas Savienības fondu vadības informācijas sistēmas, tai skaitā elektroniskās datu apmaiņas sistēmas, izveidošanas un izmantošanas kārtību;</w:t>
            </w:r>
          </w:p>
          <w:p w14:paraId="69F58B35" w14:textId="4151D4B5" w:rsidR="00485D16" w:rsidRDefault="00746D33" w:rsidP="00E65755">
            <w:pPr>
              <w:pStyle w:val="nais1"/>
              <w:spacing w:before="0" w:beforeAutospacing="0" w:after="120" w:afterAutospacing="0"/>
              <w:ind w:firstLine="459"/>
              <w:jc w:val="both"/>
              <w:rPr>
                <w:szCs w:val="28"/>
              </w:rPr>
            </w:pPr>
            <w:r>
              <w:rPr>
                <w:szCs w:val="28"/>
              </w:rPr>
              <w:t>13</w:t>
            </w:r>
            <w:r w:rsidR="00E163C4" w:rsidRPr="00E163C4">
              <w:rPr>
                <w:szCs w:val="28"/>
              </w:rPr>
              <w:t>)</w:t>
            </w:r>
            <w:r w:rsidR="003C3971">
              <w:rPr>
                <w:szCs w:val="28"/>
              </w:rPr>
              <w:t xml:space="preserve"> specifiskā atbalsta mērķa mērķi</w:t>
            </w:r>
            <w:r w:rsidR="00D7420A">
              <w:rPr>
                <w:szCs w:val="28"/>
              </w:rPr>
              <w:t xml:space="preserve">, </w:t>
            </w:r>
            <w:r w:rsidR="00D20B04" w:rsidRPr="00D20B04">
              <w:rPr>
                <w:szCs w:val="28"/>
              </w:rPr>
              <w:t xml:space="preserve"> pieejamo finansējumu, prasības projekta iesniedzējam, </w:t>
            </w:r>
            <w:r w:rsidR="00D7420A">
              <w:rPr>
                <w:szCs w:val="28"/>
              </w:rPr>
              <w:t xml:space="preserve">prasības projekta </w:t>
            </w:r>
            <w:r w:rsidR="00D7420A">
              <w:rPr>
                <w:szCs w:val="28"/>
              </w:rPr>
              <w:lastRenderedPageBreak/>
              <w:t>sadarbības partneriem (ja attiecināms),</w:t>
            </w:r>
            <w:r w:rsidR="00632431">
              <w:rPr>
                <w:szCs w:val="28"/>
              </w:rPr>
              <w:t xml:space="preserve"> atbalstāmo darbību, izmaksu </w:t>
            </w:r>
            <w:proofErr w:type="spellStart"/>
            <w:r w:rsidR="00632431">
              <w:rPr>
                <w:szCs w:val="28"/>
              </w:rPr>
              <w:t>attiecināmības</w:t>
            </w:r>
            <w:proofErr w:type="spellEnd"/>
            <w:r w:rsidR="003C3971">
              <w:rPr>
                <w:szCs w:val="28"/>
              </w:rPr>
              <w:t xml:space="preserve"> un</w:t>
            </w:r>
            <w:r w:rsidR="00D7420A">
              <w:rPr>
                <w:szCs w:val="28"/>
              </w:rPr>
              <w:t xml:space="preserve"> </w:t>
            </w:r>
            <w:r w:rsidR="00D20B04" w:rsidRPr="00D20B04">
              <w:rPr>
                <w:szCs w:val="28"/>
              </w:rPr>
              <w:t>līguma vai vienošanās par projekta īstenošanu vienpusēja uzteikuma nosacījumus</w:t>
            </w:r>
            <w:r w:rsidR="003C3971">
              <w:rPr>
                <w:szCs w:val="28"/>
              </w:rPr>
              <w:t xml:space="preserve">, kā arī kārtību, kādā īsteno </w:t>
            </w:r>
            <w:r w:rsidR="003C3971" w:rsidRPr="00D20B04">
              <w:rPr>
                <w:szCs w:val="28"/>
              </w:rPr>
              <w:t>darbības programmā norādīto Eiropas Savienības fonda specifisko atbalsta mērķ</w:t>
            </w:r>
            <w:r w:rsidR="003C3971">
              <w:rPr>
                <w:szCs w:val="28"/>
              </w:rPr>
              <w:t>i</w:t>
            </w:r>
            <w:r w:rsidR="00B214F9">
              <w:rPr>
                <w:szCs w:val="28"/>
              </w:rPr>
              <w:t xml:space="preserve"> (šajos noteikumos, līdzīgi kā iepriekšējā plānošanas periodā Ministru kabineta noteikumos par aktivitāšu īstenošanu, tiks iekļauti nosacījumi par specifiskā atbalsta mērķi, pieejamais ES un, ja paredzēts, valsts budžeta finansējums, </w:t>
            </w:r>
            <w:r w:rsidR="00632431">
              <w:rPr>
                <w:szCs w:val="28"/>
              </w:rPr>
              <w:t xml:space="preserve">avansa apjoms, </w:t>
            </w:r>
            <w:r w:rsidR="00B214F9">
              <w:rPr>
                <w:szCs w:val="28"/>
              </w:rPr>
              <w:t xml:space="preserve">prasības projekta iesniedzējam un sadarbības partneriem, ar komercdarbības atbalsta piešķiršanu saistītie jautājumi (ja attiecināms), projektu iesniegumu atlases veids, atbalstāmās darbības, izmaksu </w:t>
            </w:r>
            <w:proofErr w:type="spellStart"/>
            <w:r w:rsidR="00B214F9">
              <w:rPr>
                <w:szCs w:val="28"/>
              </w:rPr>
              <w:t>attiecināmības</w:t>
            </w:r>
            <w:proofErr w:type="spellEnd"/>
            <w:r w:rsidR="00B214F9">
              <w:rPr>
                <w:szCs w:val="28"/>
              </w:rPr>
              <w:t xml:space="preserve"> nosacījumi, līguma vai vienošanās uzteikuma nosacījumi</w:t>
            </w:r>
            <w:r w:rsidR="00632431">
              <w:rPr>
                <w:szCs w:val="28"/>
              </w:rPr>
              <w:t xml:space="preserve"> un citi ar specifiskā atbalsta mērķa īstenošanas kārtību saistītie jautājumi</w:t>
            </w:r>
            <w:r w:rsidR="00F04F71">
              <w:rPr>
                <w:szCs w:val="28"/>
              </w:rPr>
              <w:t>, piemēram</w:t>
            </w:r>
            <w:r w:rsidR="00126271">
              <w:rPr>
                <w:szCs w:val="28"/>
              </w:rPr>
              <w:t>, sadarbības kārtība ar tiešās pārvaldes iestādēm projektu īstenošanas uzraudzībā (ja attiecināms)</w:t>
            </w:r>
            <w:r w:rsidR="00F04F71">
              <w:rPr>
                <w:szCs w:val="28"/>
              </w:rPr>
              <w:t xml:space="preserve">, </w:t>
            </w:r>
            <w:r w:rsidR="00F04F71" w:rsidRPr="00223CCD">
              <w:rPr>
                <w:szCs w:val="28"/>
              </w:rPr>
              <w:t>integrētas teritoriālās investīcijas projektu iesniegumu atlases nosacījumi</w:t>
            </w:r>
            <w:r w:rsidR="00223CCD">
              <w:rPr>
                <w:szCs w:val="28"/>
              </w:rPr>
              <w:t xml:space="preserve"> (ja attiecināms)</w:t>
            </w:r>
            <w:r w:rsidR="002D3A9E">
              <w:rPr>
                <w:szCs w:val="28"/>
              </w:rPr>
              <w:t>; ja nepieciešams, atbildīgā ministrija var izstrādāt vienus Ministru kabineta noteikumus,  tajos iekļaujot regulējumu par vairākiem specifiskā atbalsta mērķiem</w:t>
            </w:r>
            <w:r w:rsidR="00B214F9">
              <w:rPr>
                <w:szCs w:val="28"/>
              </w:rPr>
              <w:t>)</w:t>
            </w:r>
            <w:r w:rsidR="003C3971">
              <w:rPr>
                <w:szCs w:val="28"/>
              </w:rPr>
              <w:t>;</w:t>
            </w:r>
          </w:p>
          <w:p w14:paraId="3B3523BC" w14:textId="690E13BB" w:rsidR="003C3971" w:rsidRDefault="003C3971" w:rsidP="00E65755">
            <w:pPr>
              <w:pStyle w:val="nais1"/>
              <w:spacing w:before="0" w:beforeAutospacing="0" w:after="120" w:afterAutospacing="0"/>
              <w:ind w:firstLine="459"/>
              <w:jc w:val="both"/>
              <w:rPr>
                <w:szCs w:val="28"/>
              </w:rPr>
            </w:pPr>
            <w:r w:rsidRPr="00126271">
              <w:rPr>
                <w:szCs w:val="28"/>
              </w:rPr>
              <w:t xml:space="preserve">14) finanšu instrumentu un fondu </w:t>
            </w:r>
            <w:proofErr w:type="spellStart"/>
            <w:r w:rsidRPr="00126271">
              <w:rPr>
                <w:szCs w:val="28"/>
              </w:rPr>
              <w:t>fondu</w:t>
            </w:r>
            <w:proofErr w:type="spellEnd"/>
            <w:r w:rsidRPr="00126271">
              <w:rPr>
                <w:szCs w:val="28"/>
              </w:rPr>
              <w:t xml:space="preserve"> īstenošanas kārtību;</w:t>
            </w:r>
          </w:p>
          <w:p w14:paraId="5E44097F" w14:textId="05A06E8D" w:rsidR="003D664D" w:rsidRDefault="003C3971" w:rsidP="00E65755">
            <w:pPr>
              <w:pStyle w:val="nais1"/>
              <w:spacing w:before="0" w:beforeAutospacing="0" w:after="120" w:afterAutospacing="0"/>
              <w:ind w:firstLine="459"/>
              <w:jc w:val="both"/>
              <w:rPr>
                <w:szCs w:val="28"/>
              </w:rPr>
            </w:pPr>
            <w:r>
              <w:rPr>
                <w:szCs w:val="28"/>
              </w:rPr>
              <w:t>15</w:t>
            </w:r>
            <w:r w:rsidR="00485D16">
              <w:rPr>
                <w:szCs w:val="28"/>
              </w:rPr>
              <w:t>) noteikt uzraudzības komitejas sastāvu</w:t>
            </w:r>
            <w:r w:rsidR="003D664D">
              <w:rPr>
                <w:szCs w:val="28"/>
              </w:rPr>
              <w:t>;</w:t>
            </w:r>
          </w:p>
          <w:p w14:paraId="6D110F82" w14:textId="76BDD5DC" w:rsidR="003D664D" w:rsidRPr="00011A47" w:rsidRDefault="003C3971" w:rsidP="00E65755">
            <w:pPr>
              <w:pStyle w:val="nais1"/>
              <w:spacing w:before="0" w:beforeAutospacing="0" w:after="120" w:afterAutospacing="0"/>
              <w:ind w:firstLine="459"/>
              <w:jc w:val="both"/>
            </w:pPr>
            <w:r>
              <w:t>16</w:t>
            </w:r>
            <w:r w:rsidR="003D664D" w:rsidRPr="00011A47">
              <w:t>) par horizontālo principu koordināciju atbildīgās institūcijas, to tiesības un pienākumus</w:t>
            </w:r>
            <w:r w:rsidR="009E0B81">
              <w:t>.</w:t>
            </w:r>
          </w:p>
          <w:p w14:paraId="722DEAA8" w14:textId="6BC2536D" w:rsidR="00485D16" w:rsidRDefault="00A045E2" w:rsidP="00485D16">
            <w:pPr>
              <w:pStyle w:val="nais1"/>
              <w:tabs>
                <w:tab w:val="left" w:pos="4144"/>
              </w:tabs>
              <w:spacing w:before="120" w:beforeAutospacing="0" w:after="120" w:afterAutospacing="0"/>
              <w:jc w:val="both"/>
              <w:rPr>
                <w:szCs w:val="28"/>
              </w:rPr>
            </w:pPr>
            <w:r>
              <w:rPr>
                <w:szCs w:val="28"/>
              </w:rPr>
              <w:t>1., 2.</w:t>
            </w:r>
            <w:r w:rsidR="00011A47">
              <w:rPr>
                <w:szCs w:val="28"/>
              </w:rPr>
              <w:t>,</w:t>
            </w:r>
            <w:r>
              <w:rPr>
                <w:szCs w:val="28"/>
              </w:rPr>
              <w:t xml:space="preserve"> 3.</w:t>
            </w:r>
            <w:r w:rsidR="00746D33">
              <w:rPr>
                <w:szCs w:val="28"/>
              </w:rPr>
              <w:t>, 4. un</w:t>
            </w:r>
            <w:r w:rsidR="00011A47">
              <w:rPr>
                <w:szCs w:val="28"/>
              </w:rPr>
              <w:t xml:space="preserve"> </w:t>
            </w:r>
            <w:r w:rsidR="003C3971">
              <w:rPr>
                <w:szCs w:val="28"/>
              </w:rPr>
              <w:t>16</w:t>
            </w:r>
            <w:r w:rsidR="00011A47">
              <w:rPr>
                <w:szCs w:val="28"/>
              </w:rPr>
              <w:t>.</w:t>
            </w:r>
            <w:r>
              <w:rPr>
                <w:szCs w:val="28"/>
              </w:rPr>
              <w:t xml:space="preserve">punktā minētos Ministru kabineta noteikumus paredzēts izdot līdz </w:t>
            </w:r>
            <w:r w:rsidRPr="00746D33">
              <w:rPr>
                <w:szCs w:val="28"/>
              </w:rPr>
              <w:t>2014.gada 1.</w:t>
            </w:r>
            <w:r w:rsidR="00746D33">
              <w:rPr>
                <w:szCs w:val="28"/>
              </w:rPr>
              <w:t>oktobrim</w:t>
            </w:r>
            <w:r>
              <w:rPr>
                <w:szCs w:val="28"/>
              </w:rPr>
              <w:t>.</w:t>
            </w:r>
          </w:p>
          <w:p w14:paraId="56B4978A" w14:textId="6FC536C2" w:rsidR="00A045E2" w:rsidRDefault="00746D33" w:rsidP="00485D16">
            <w:pPr>
              <w:pStyle w:val="nais1"/>
              <w:tabs>
                <w:tab w:val="left" w:pos="4144"/>
              </w:tabs>
              <w:spacing w:before="120" w:beforeAutospacing="0" w:after="120" w:afterAutospacing="0"/>
              <w:jc w:val="both"/>
              <w:rPr>
                <w:szCs w:val="28"/>
              </w:rPr>
            </w:pPr>
            <w:r>
              <w:rPr>
                <w:szCs w:val="28"/>
              </w:rPr>
              <w:t>5</w:t>
            </w:r>
            <w:r w:rsidR="00A045E2">
              <w:rPr>
                <w:szCs w:val="28"/>
              </w:rPr>
              <w:t>.</w:t>
            </w:r>
            <w:r>
              <w:rPr>
                <w:szCs w:val="28"/>
              </w:rPr>
              <w:t xml:space="preserve"> </w:t>
            </w:r>
            <w:r w:rsidR="00415F33">
              <w:rPr>
                <w:szCs w:val="28"/>
              </w:rPr>
              <w:t>un</w:t>
            </w:r>
            <w:r w:rsidR="00A045E2">
              <w:rPr>
                <w:szCs w:val="28"/>
              </w:rPr>
              <w:t xml:space="preserve"> </w:t>
            </w:r>
            <w:r>
              <w:rPr>
                <w:szCs w:val="28"/>
              </w:rPr>
              <w:t>10</w:t>
            </w:r>
            <w:r w:rsidR="00A045E2">
              <w:rPr>
                <w:szCs w:val="28"/>
              </w:rPr>
              <w:t xml:space="preserve">.punktā minētos Ministru kabineta noteikumus paredzēts izdot līdz </w:t>
            </w:r>
            <w:r w:rsidR="00A045E2" w:rsidRPr="00746D33">
              <w:rPr>
                <w:szCs w:val="28"/>
              </w:rPr>
              <w:t>2014.gada 1.</w:t>
            </w:r>
            <w:r>
              <w:rPr>
                <w:szCs w:val="28"/>
              </w:rPr>
              <w:t>decembrim</w:t>
            </w:r>
            <w:r w:rsidR="00A045E2">
              <w:rPr>
                <w:szCs w:val="28"/>
              </w:rPr>
              <w:t>.</w:t>
            </w:r>
          </w:p>
          <w:p w14:paraId="344F6963" w14:textId="59A079AF" w:rsidR="00415F33" w:rsidRPr="0044167E" w:rsidRDefault="00746D33" w:rsidP="00485D16">
            <w:pPr>
              <w:pStyle w:val="nais1"/>
              <w:tabs>
                <w:tab w:val="left" w:pos="4144"/>
              </w:tabs>
              <w:spacing w:before="120" w:beforeAutospacing="0" w:after="120" w:afterAutospacing="0"/>
              <w:jc w:val="both"/>
              <w:rPr>
                <w:szCs w:val="28"/>
              </w:rPr>
            </w:pPr>
            <w:r>
              <w:rPr>
                <w:szCs w:val="28"/>
              </w:rPr>
              <w:t>7</w:t>
            </w:r>
            <w:r w:rsidR="00415F33">
              <w:rPr>
                <w:szCs w:val="28"/>
              </w:rPr>
              <w:t xml:space="preserve">., </w:t>
            </w:r>
            <w:r>
              <w:rPr>
                <w:szCs w:val="28"/>
              </w:rPr>
              <w:t>8</w:t>
            </w:r>
            <w:r w:rsidR="00415F33">
              <w:rPr>
                <w:szCs w:val="28"/>
              </w:rPr>
              <w:t>., 1</w:t>
            </w:r>
            <w:r>
              <w:rPr>
                <w:szCs w:val="28"/>
              </w:rPr>
              <w:t>1</w:t>
            </w:r>
            <w:r w:rsidR="00415F33">
              <w:rPr>
                <w:szCs w:val="28"/>
              </w:rPr>
              <w:t>. un 1</w:t>
            </w:r>
            <w:r>
              <w:rPr>
                <w:szCs w:val="28"/>
              </w:rPr>
              <w:t>2</w:t>
            </w:r>
            <w:r w:rsidR="00415F33">
              <w:rPr>
                <w:szCs w:val="28"/>
              </w:rPr>
              <w:t xml:space="preserve">.punktā minētos Ministru kabineta noteikumus paredzēts izdot līdz </w:t>
            </w:r>
            <w:r w:rsidR="00415F33" w:rsidRPr="0044167E">
              <w:rPr>
                <w:szCs w:val="28"/>
              </w:rPr>
              <w:t>201</w:t>
            </w:r>
            <w:r w:rsidRPr="0044167E">
              <w:rPr>
                <w:szCs w:val="28"/>
              </w:rPr>
              <w:t>5</w:t>
            </w:r>
            <w:r w:rsidR="00415F33" w:rsidRPr="0044167E">
              <w:rPr>
                <w:szCs w:val="28"/>
              </w:rPr>
              <w:t>.gada 1.</w:t>
            </w:r>
            <w:r w:rsidRPr="0044167E">
              <w:rPr>
                <w:szCs w:val="28"/>
              </w:rPr>
              <w:t>janvārim</w:t>
            </w:r>
            <w:r w:rsidR="00415F33" w:rsidRPr="0044167E">
              <w:rPr>
                <w:szCs w:val="28"/>
              </w:rPr>
              <w:t>.</w:t>
            </w:r>
          </w:p>
          <w:p w14:paraId="50283AED" w14:textId="685CEF2C" w:rsidR="00A045E2" w:rsidRDefault="00746D33" w:rsidP="00485D16">
            <w:pPr>
              <w:pStyle w:val="nais1"/>
              <w:tabs>
                <w:tab w:val="left" w:pos="4144"/>
              </w:tabs>
              <w:spacing w:before="120" w:beforeAutospacing="0" w:after="120" w:afterAutospacing="0"/>
              <w:jc w:val="both"/>
              <w:rPr>
                <w:szCs w:val="28"/>
              </w:rPr>
            </w:pPr>
            <w:r w:rsidRPr="0044167E">
              <w:rPr>
                <w:szCs w:val="28"/>
              </w:rPr>
              <w:t>9</w:t>
            </w:r>
            <w:r w:rsidR="00A045E2" w:rsidRPr="0044167E">
              <w:rPr>
                <w:szCs w:val="28"/>
              </w:rPr>
              <w:t>.punktā minētos Ministru kabineta noteikumus paredzēts izdot līdz 201</w:t>
            </w:r>
            <w:r w:rsidRPr="0044167E">
              <w:rPr>
                <w:szCs w:val="28"/>
              </w:rPr>
              <w:t>5</w:t>
            </w:r>
            <w:r w:rsidR="00A045E2" w:rsidRPr="0044167E">
              <w:rPr>
                <w:szCs w:val="28"/>
              </w:rPr>
              <w:t>.gada</w:t>
            </w:r>
            <w:r w:rsidR="00A045E2" w:rsidRPr="00746D33">
              <w:rPr>
                <w:szCs w:val="28"/>
              </w:rPr>
              <w:t xml:space="preserve"> </w:t>
            </w:r>
            <w:r>
              <w:rPr>
                <w:szCs w:val="28"/>
              </w:rPr>
              <w:t>1.marts</w:t>
            </w:r>
            <w:r w:rsidR="00A045E2">
              <w:rPr>
                <w:szCs w:val="28"/>
              </w:rPr>
              <w:t>.</w:t>
            </w:r>
          </w:p>
          <w:p w14:paraId="1843E955" w14:textId="33554659" w:rsidR="00415F33" w:rsidRDefault="00746D33" w:rsidP="00485D16">
            <w:pPr>
              <w:pStyle w:val="nais1"/>
              <w:tabs>
                <w:tab w:val="left" w:pos="4144"/>
              </w:tabs>
              <w:spacing w:before="120" w:beforeAutospacing="0" w:after="120" w:afterAutospacing="0"/>
              <w:jc w:val="both"/>
              <w:rPr>
                <w:szCs w:val="28"/>
              </w:rPr>
            </w:pPr>
            <w:r>
              <w:rPr>
                <w:szCs w:val="28"/>
              </w:rPr>
              <w:t>6</w:t>
            </w:r>
            <w:r w:rsidR="00415F33">
              <w:rPr>
                <w:szCs w:val="28"/>
              </w:rPr>
              <w:t xml:space="preserve">.punktā minētos Ministru kabineta noteikumus paredzēts izdot līdz </w:t>
            </w:r>
            <w:r w:rsidR="00415F33" w:rsidRPr="00746D33">
              <w:rPr>
                <w:szCs w:val="28"/>
              </w:rPr>
              <w:t>2015.gada 1.jūlijam</w:t>
            </w:r>
            <w:r w:rsidR="00415F33">
              <w:rPr>
                <w:szCs w:val="28"/>
              </w:rPr>
              <w:t>.</w:t>
            </w:r>
          </w:p>
          <w:p w14:paraId="259D3E62" w14:textId="65925D01" w:rsidR="00B03955" w:rsidRDefault="00B03955" w:rsidP="00485D16">
            <w:pPr>
              <w:pStyle w:val="nais1"/>
              <w:tabs>
                <w:tab w:val="left" w:pos="4144"/>
              </w:tabs>
              <w:spacing w:before="120" w:beforeAutospacing="0" w:after="120" w:afterAutospacing="0"/>
              <w:jc w:val="both"/>
              <w:rPr>
                <w:szCs w:val="28"/>
              </w:rPr>
            </w:pPr>
            <w:r>
              <w:rPr>
                <w:szCs w:val="28"/>
              </w:rPr>
              <w:t>1</w:t>
            </w:r>
            <w:r w:rsidR="00746D33">
              <w:rPr>
                <w:szCs w:val="28"/>
              </w:rPr>
              <w:t>3</w:t>
            </w:r>
            <w:r>
              <w:rPr>
                <w:szCs w:val="28"/>
              </w:rPr>
              <w:t>.</w:t>
            </w:r>
            <w:r w:rsidR="003C3971">
              <w:rPr>
                <w:szCs w:val="28"/>
              </w:rPr>
              <w:t xml:space="preserve"> un 14.</w:t>
            </w:r>
            <w:r>
              <w:rPr>
                <w:szCs w:val="28"/>
              </w:rPr>
              <w:t>punktā minētos Ministru kabineta noteikumus paredzēts izdot līdz 2017.gada 31.decembrim.</w:t>
            </w:r>
          </w:p>
          <w:p w14:paraId="5EDF1E79" w14:textId="4F349741" w:rsidR="00DA6C86" w:rsidRPr="009E0B81" w:rsidRDefault="00D20B04" w:rsidP="003C3971">
            <w:pPr>
              <w:pStyle w:val="nais1"/>
              <w:spacing w:before="0" w:beforeAutospacing="0" w:after="0" w:afterAutospacing="0"/>
              <w:jc w:val="both"/>
              <w:rPr>
                <w:szCs w:val="28"/>
              </w:rPr>
            </w:pPr>
            <w:r>
              <w:rPr>
                <w:szCs w:val="28"/>
              </w:rPr>
              <w:t xml:space="preserve">Saskaņā ar Regulas </w:t>
            </w:r>
            <w:r w:rsidR="003714C5" w:rsidRPr="003714C5">
              <w:t>Nr.1303/2013</w:t>
            </w:r>
            <w:r>
              <w:rPr>
                <w:szCs w:val="28"/>
              </w:rPr>
              <w:t xml:space="preserve"> 47.panta 1.punktu uzraudzības komiteja jāizveido trīs mēnešos no dienas, kad dalībvalsti informē par Eiropas Komisijas lēmumu, ar ko apstiprina darbības programmu.</w:t>
            </w:r>
            <w:r w:rsidR="009E0B81">
              <w:rPr>
                <w:szCs w:val="28"/>
              </w:rPr>
              <w:t xml:space="preserve"> Attiecīgā termiņā jāizdod </w:t>
            </w:r>
            <w:r w:rsidR="003C3971">
              <w:rPr>
                <w:szCs w:val="28"/>
              </w:rPr>
              <w:t>15</w:t>
            </w:r>
            <w:r w:rsidR="009E0B81">
              <w:rPr>
                <w:szCs w:val="28"/>
              </w:rPr>
              <w:t>.punktā minētais Ministru kabineta rīkojums.</w:t>
            </w:r>
          </w:p>
        </w:tc>
      </w:tr>
      <w:tr w:rsidR="00DA6C86" w:rsidRPr="00DD49B6" w14:paraId="5EDF1E7E" w14:textId="77777777" w:rsidTr="00DD49B6">
        <w:trPr>
          <w:jc w:val="center"/>
        </w:trPr>
        <w:tc>
          <w:tcPr>
            <w:tcW w:w="470" w:type="dxa"/>
          </w:tcPr>
          <w:p w14:paraId="5EDF1E7B" w14:textId="0049AEED" w:rsidR="00DA6C86" w:rsidRPr="00DD49B6" w:rsidRDefault="00DA6C86" w:rsidP="00171D36">
            <w:pPr>
              <w:pStyle w:val="naiskr"/>
              <w:tabs>
                <w:tab w:val="left" w:pos="2628"/>
              </w:tabs>
              <w:spacing w:before="0" w:beforeAutospacing="0" w:after="0" w:afterAutospacing="0"/>
              <w:jc w:val="both"/>
              <w:rPr>
                <w:iCs/>
              </w:rPr>
            </w:pPr>
            <w:r w:rsidRPr="00DD49B6">
              <w:rPr>
                <w:iCs/>
              </w:rPr>
              <w:lastRenderedPageBreak/>
              <w:t>2.</w:t>
            </w:r>
          </w:p>
        </w:tc>
        <w:tc>
          <w:tcPr>
            <w:tcW w:w="2728" w:type="dxa"/>
          </w:tcPr>
          <w:p w14:paraId="5EDF1E7C" w14:textId="77777777" w:rsidR="00DA6C86" w:rsidRPr="00DD49B6" w:rsidRDefault="00DA6C86" w:rsidP="00171D36">
            <w:pPr>
              <w:pStyle w:val="naiskr"/>
              <w:tabs>
                <w:tab w:val="left" w:pos="2628"/>
              </w:tabs>
              <w:spacing w:before="0" w:beforeAutospacing="0" w:after="0" w:afterAutospacing="0"/>
              <w:jc w:val="both"/>
            </w:pPr>
            <w:r w:rsidRPr="00DD49B6">
              <w:t>Atbildīgā institūcija</w:t>
            </w:r>
          </w:p>
        </w:tc>
        <w:tc>
          <w:tcPr>
            <w:tcW w:w="6313" w:type="dxa"/>
          </w:tcPr>
          <w:p w14:paraId="0A825941" w14:textId="77777777" w:rsidR="00DA6C86" w:rsidRDefault="00B865E0" w:rsidP="00B865E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ministrija</w:t>
            </w:r>
          </w:p>
          <w:p w14:paraId="1A6A8995" w14:textId="77777777" w:rsidR="00746D33" w:rsidRDefault="00746D33" w:rsidP="004822D6">
            <w:pPr>
              <w:shd w:val="clear" w:color="auto" w:fill="FFFFFF"/>
              <w:spacing w:after="0" w:line="240" w:lineRule="auto"/>
              <w:jc w:val="both"/>
              <w:rPr>
                <w:rFonts w:ascii="Times New Roman" w:hAnsi="Times New Roman" w:cs="Times New Roman"/>
                <w:sz w:val="24"/>
                <w:szCs w:val="24"/>
              </w:rPr>
            </w:pPr>
          </w:p>
          <w:p w14:paraId="5EDF1E7D" w14:textId="39D4EC86" w:rsidR="004822D6" w:rsidRPr="00DD49B6" w:rsidRDefault="004822D6" w:rsidP="003C39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Par Ministru kabineta noteikumiem par kārtību, </w:t>
            </w:r>
            <w:r w:rsidRPr="00AB54A5">
              <w:rPr>
                <w:rFonts w:ascii="Times New Roman" w:hAnsi="Times New Roman" w:cs="Times New Roman"/>
                <w:sz w:val="24"/>
                <w:szCs w:val="24"/>
              </w:rPr>
              <w:t xml:space="preserve">kādā īsteno darbības programmā norādītos </w:t>
            </w:r>
            <w:r>
              <w:rPr>
                <w:rFonts w:ascii="Times New Roman" w:hAnsi="Times New Roman" w:cs="Times New Roman"/>
                <w:sz w:val="24"/>
                <w:szCs w:val="24"/>
              </w:rPr>
              <w:t>ES</w:t>
            </w:r>
            <w:r w:rsidRPr="00AB54A5">
              <w:rPr>
                <w:rFonts w:ascii="Times New Roman" w:hAnsi="Times New Roman" w:cs="Times New Roman"/>
                <w:sz w:val="24"/>
                <w:szCs w:val="24"/>
              </w:rPr>
              <w:t xml:space="preserve"> fonda specifiskos atbalsta </w:t>
            </w:r>
            <w:r w:rsidRPr="00AB54A5">
              <w:rPr>
                <w:rFonts w:ascii="Times New Roman" w:hAnsi="Times New Roman" w:cs="Times New Roman"/>
                <w:sz w:val="24"/>
                <w:szCs w:val="24"/>
              </w:rPr>
              <w:lastRenderedPageBreak/>
              <w:t>mērķus</w:t>
            </w:r>
            <w:r w:rsidR="003C3971">
              <w:rPr>
                <w:rFonts w:ascii="Times New Roman" w:hAnsi="Times New Roman" w:cs="Times New Roman"/>
                <w:sz w:val="24"/>
                <w:szCs w:val="24"/>
              </w:rPr>
              <w:t xml:space="preserve">, </w:t>
            </w:r>
            <w:r w:rsidR="003C3971" w:rsidRPr="00126271">
              <w:rPr>
                <w:rFonts w:ascii="Times New Roman" w:hAnsi="Times New Roman" w:cs="Times New Roman"/>
                <w:sz w:val="24"/>
                <w:szCs w:val="24"/>
              </w:rPr>
              <w:t>finanšu instrumentus un fondu fondus</w:t>
            </w:r>
            <w:r w:rsidR="003D7C54">
              <w:rPr>
                <w:rFonts w:ascii="Times New Roman" w:hAnsi="Times New Roman" w:cs="Times New Roman"/>
                <w:sz w:val="24"/>
                <w:szCs w:val="24"/>
              </w:rPr>
              <w:t xml:space="preserve"> (13.</w:t>
            </w:r>
            <w:r w:rsidR="003C3971">
              <w:rPr>
                <w:rFonts w:ascii="Times New Roman" w:hAnsi="Times New Roman" w:cs="Times New Roman"/>
                <w:sz w:val="24"/>
                <w:szCs w:val="24"/>
              </w:rPr>
              <w:t xml:space="preserve"> un 14.</w:t>
            </w:r>
            <w:r w:rsidR="003D7C54">
              <w:rPr>
                <w:rFonts w:ascii="Times New Roman" w:hAnsi="Times New Roman" w:cs="Times New Roman"/>
                <w:sz w:val="24"/>
                <w:szCs w:val="24"/>
              </w:rPr>
              <w:t>punkts)</w:t>
            </w:r>
            <w:r>
              <w:rPr>
                <w:rFonts w:ascii="Times New Roman" w:hAnsi="Times New Roman" w:cs="Times New Roman"/>
                <w:sz w:val="24"/>
                <w:szCs w:val="24"/>
              </w:rPr>
              <w:t xml:space="preserve">, atbildīgas ir šādas institūcijas: </w:t>
            </w:r>
            <w:r w:rsidRPr="004822D6">
              <w:rPr>
                <w:rFonts w:ascii="Times New Roman" w:hAnsi="Times New Roman" w:cs="Times New Roman"/>
                <w:sz w:val="24"/>
                <w:szCs w:val="28"/>
              </w:rPr>
              <w:t>Ekonomikas ministrija, Izglītības un zinātnes ministrija, Kultūras ministrija, Labklājības ministrija, Satiksmes ministrija, Tieslietu ministrija, Veselības ministrija, Vides aizsardzības un reģionālās attīstības ministrija, Zemkopības ministrija un Valsts kanceleja</w:t>
            </w:r>
          </w:p>
        </w:tc>
      </w:tr>
      <w:tr w:rsidR="00DA6C86" w:rsidRPr="00DD49B6" w14:paraId="5EDF1E83" w14:textId="77777777" w:rsidTr="00DD49B6">
        <w:trPr>
          <w:jc w:val="center"/>
        </w:trPr>
        <w:tc>
          <w:tcPr>
            <w:tcW w:w="470" w:type="dxa"/>
          </w:tcPr>
          <w:p w14:paraId="5EDF1E7F" w14:textId="77777777" w:rsidR="00DA6C86" w:rsidRPr="00DD49B6" w:rsidRDefault="00DA6C86" w:rsidP="00171D36">
            <w:pPr>
              <w:pStyle w:val="naiskr"/>
              <w:tabs>
                <w:tab w:val="left" w:pos="2628"/>
              </w:tabs>
              <w:spacing w:before="0" w:beforeAutospacing="0" w:after="0" w:afterAutospacing="0"/>
              <w:jc w:val="both"/>
              <w:rPr>
                <w:iCs/>
              </w:rPr>
            </w:pPr>
            <w:r w:rsidRPr="00DD49B6">
              <w:rPr>
                <w:iCs/>
              </w:rPr>
              <w:lastRenderedPageBreak/>
              <w:t>3.</w:t>
            </w:r>
          </w:p>
        </w:tc>
        <w:tc>
          <w:tcPr>
            <w:tcW w:w="2728" w:type="dxa"/>
          </w:tcPr>
          <w:p w14:paraId="5EDF1E80" w14:textId="77777777" w:rsidR="00DA6C86" w:rsidRPr="00DD49B6" w:rsidRDefault="00DA6C86" w:rsidP="00171D36">
            <w:pPr>
              <w:pStyle w:val="naiskr"/>
              <w:tabs>
                <w:tab w:val="left" w:pos="2628"/>
              </w:tabs>
              <w:spacing w:before="0" w:beforeAutospacing="0" w:after="0" w:afterAutospacing="0"/>
              <w:jc w:val="both"/>
              <w:rPr>
                <w:iCs/>
              </w:rPr>
            </w:pPr>
            <w:r w:rsidRPr="00DD49B6">
              <w:t>Cita informācija</w:t>
            </w:r>
          </w:p>
        </w:tc>
        <w:tc>
          <w:tcPr>
            <w:tcW w:w="6313" w:type="dxa"/>
          </w:tcPr>
          <w:p w14:paraId="5EDF1E82" w14:textId="63B9FE19" w:rsidR="00DA6C86" w:rsidRPr="00DD49B6" w:rsidRDefault="007253C1" w:rsidP="00171D36">
            <w:pPr>
              <w:pStyle w:val="naiskr"/>
              <w:tabs>
                <w:tab w:val="left" w:pos="2628"/>
              </w:tabs>
              <w:spacing w:before="0" w:beforeAutospacing="0" w:after="0" w:afterAutospacing="0"/>
              <w:jc w:val="both"/>
              <w:rPr>
                <w:iCs/>
              </w:rPr>
            </w:pPr>
            <w:r w:rsidRPr="00DD49B6">
              <w:t>Nav</w:t>
            </w:r>
          </w:p>
        </w:tc>
      </w:tr>
    </w:tbl>
    <w:p w14:paraId="5EDF1E84" w14:textId="77777777" w:rsidR="00DA6C86" w:rsidRDefault="00DA6C86" w:rsidP="00171D36">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354"/>
        <w:gridCol w:w="925"/>
        <w:gridCol w:w="1378"/>
        <w:gridCol w:w="141"/>
        <w:gridCol w:w="2444"/>
      </w:tblGrid>
      <w:tr w:rsidR="00DA6C86" w:rsidRPr="00DD49B6" w14:paraId="5EDF1E86" w14:textId="77777777" w:rsidTr="00171D36">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14:paraId="5EDF1E85"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5EDF1E8A"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6"/>
            <w:tcBorders>
              <w:top w:val="outset" w:sz="6" w:space="0" w:color="auto"/>
              <w:left w:val="outset" w:sz="6" w:space="0" w:color="auto"/>
              <w:bottom w:val="outset" w:sz="6" w:space="0" w:color="auto"/>
              <w:right w:val="outset" w:sz="6" w:space="0" w:color="auto"/>
            </w:tcBorders>
          </w:tcPr>
          <w:p w14:paraId="797C8D4B" w14:textId="0E974B92" w:rsidR="00DA6C86" w:rsidRPr="00012F4F" w:rsidRDefault="00A65F57" w:rsidP="00012F4F">
            <w:pPr>
              <w:pStyle w:val="ListParagraph"/>
              <w:numPr>
                <w:ilvl w:val="0"/>
                <w:numId w:val="23"/>
              </w:numPr>
              <w:spacing w:after="0" w:line="240" w:lineRule="auto"/>
              <w:jc w:val="both"/>
              <w:rPr>
                <w:rFonts w:ascii="Times New Roman" w:hAnsi="Times New Roman" w:cs="Times New Roman"/>
                <w:noProof/>
                <w:snapToGrid w:val="0"/>
                <w:sz w:val="24"/>
              </w:rPr>
            </w:pPr>
            <w:r w:rsidRPr="00012F4F">
              <w:rPr>
                <w:rFonts w:ascii="Times New Roman" w:hAnsi="Times New Roman" w:cs="Times New Roman"/>
                <w:sz w:val="24"/>
                <w:szCs w:val="28"/>
              </w:rPr>
              <w:t xml:space="preserve">Eiropas Parlamenta un Padomes 2013.gada </w:t>
            </w:r>
            <w:r w:rsidR="003714C5">
              <w:rPr>
                <w:rFonts w:ascii="Times New Roman" w:hAnsi="Times New Roman" w:cs="Times New Roman"/>
                <w:sz w:val="24"/>
                <w:szCs w:val="28"/>
              </w:rPr>
              <w:t>17.decembra</w:t>
            </w:r>
            <w:r w:rsidRPr="00012F4F">
              <w:rPr>
                <w:rFonts w:ascii="Times New Roman" w:hAnsi="Times New Roman" w:cs="Times New Roman"/>
                <w:sz w:val="24"/>
                <w:szCs w:val="28"/>
                <w:highlight w:val="yellow"/>
              </w:rPr>
              <w:t xml:space="preserve"> </w:t>
            </w:r>
            <w:r w:rsidRPr="003714C5">
              <w:rPr>
                <w:rFonts w:ascii="Times New Roman" w:hAnsi="Times New Roman" w:cs="Times New Roman"/>
                <w:sz w:val="24"/>
                <w:szCs w:val="28"/>
              </w:rPr>
              <w:t>regula (ES) Nr.</w:t>
            </w:r>
            <w:r w:rsidR="003714C5">
              <w:rPr>
                <w:rFonts w:ascii="Times New Roman" w:hAnsi="Times New Roman" w:cs="Times New Roman"/>
                <w:sz w:val="24"/>
                <w:szCs w:val="28"/>
              </w:rPr>
              <w:t>1303/2013</w:t>
            </w:r>
            <w:r w:rsidRPr="00012F4F">
              <w:rPr>
                <w:rFonts w:ascii="Times New Roman" w:hAnsi="Times New Roman" w:cs="Times New Roman"/>
                <w:sz w:val="24"/>
                <w:szCs w:val="28"/>
              </w:rPr>
              <w:t xml:space="preserve">, </w:t>
            </w:r>
            <w:r w:rsidRPr="00012F4F">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3A4580CA" w14:textId="77777777" w:rsidR="00A65F57" w:rsidRDefault="00A65F57" w:rsidP="00A65F57">
            <w:pPr>
              <w:spacing w:after="0" w:line="240" w:lineRule="auto"/>
              <w:ind w:left="57"/>
              <w:jc w:val="both"/>
              <w:rPr>
                <w:rFonts w:ascii="Times New Roman" w:hAnsi="Times New Roman" w:cs="Times New Roman"/>
                <w:noProof/>
                <w:snapToGrid w:val="0"/>
                <w:sz w:val="24"/>
              </w:rPr>
            </w:pPr>
          </w:p>
          <w:p w14:paraId="701BF92D" w14:textId="77777777" w:rsidR="00A65F57" w:rsidRDefault="00A65F57" w:rsidP="00A65F57">
            <w:pPr>
              <w:spacing w:after="0" w:line="240" w:lineRule="auto"/>
              <w:ind w:left="57"/>
              <w:jc w:val="both"/>
              <w:rPr>
                <w:rFonts w:ascii="Times New Roman" w:hAnsi="Times New Roman" w:cs="Times New Roman"/>
                <w:noProof/>
                <w:snapToGrid w:val="0"/>
                <w:sz w:val="24"/>
              </w:rPr>
            </w:pPr>
            <w:r>
              <w:rPr>
                <w:rFonts w:ascii="Times New Roman" w:hAnsi="Times New Roman" w:cs="Times New Roman"/>
                <w:noProof/>
                <w:snapToGrid w:val="0"/>
                <w:sz w:val="24"/>
              </w:rPr>
              <w:t>Regulā nav noteikts termiņš, kādā jāpieņem nacionālie normatīvie akti ES fondu ieviešanai.</w:t>
            </w:r>
          </w:p>
          <w:p w14:paraId="7C33351F" w14:textId="77777777" w:rsidR="00012F4F" w:rsidRDefault="00012F4F" w:rsidP="00A65F57">
            <w:pPr>
              <w:spacing w:after="0" w:line="240" w:lineRule="auto"/>
              <w:ind w:left="57"/>
              <w:jc w:val="both"/>
              <w:rPr>
                <w:rFonts w:ascii="Times New Roman" w:hAnsi="Times New Roman" w:cs="Times New Roman"/>
                <w:noProof/>
                <w:snapToGrid w:val="0"/>
                <w:sz w:val="24"/>
              </w:rPr>
            </w:pPr>
          </w:p>
          <w:p w14:paraId="1160AECE" w14:textId="44D34C68" w:rsidR="00C62286" w:rsidRDefault="00C62286" w:rsidP="00012F4F">
            <w:pPr>
              <w:pStyle w:val="ListParagraph"/>
              <w:numPr>
                <w:ilvl w:val="0"/>
                <w:numId w:val="23"/>
              </w:numPr>
              <w:spacing w:after="0" w:line="240" w:lineRule="auto"/>
              <w:jc w:val="both"/>
              <w:rPr>
                <w:rFonts w:ascii="Times New Roman" w:hAnsi="Times New Roman" w:cs="Times New Roman"/>
                <w:sz w:val="24"/>
                <w:szCs w:val="24"/>
              </w:rPr>
            </w:pPr>
            <w:r w:rsidRPr="00EF7BBB">
              <w:rPr>
                <w:rFonts w:ascii="Times New Roman" w:hAnsi="Times New Roman" w:cs="Times New Roman"/>
                <w:sz w:val="24"/>
                <w:szCs w:val="24"/>
              </w:rPr>
              <w:t>Eiropas Parlamenta un Padomes</w:t>
            </w:r>
            <w:r>
              <w:rPr>
                <w:rFonts w:ascii="Times New Roman" w:hAnsi="Times New Roman" w:cs="Times New Roman"/>
                <w:sz w:val="24"/>
                <w:szCs w:val="24"/>
              </w:rPr>
              <w:t xml:space="preserve"> 2013.gada 17.decembra</w:t>
            </w:r>
            <w:r w:rsidRPr="00EF7BBB">
              <w:rPr>
                <w:rFonts w:ascii="Times New Roman" w:hAnsi="Times New Roman" w:cs="Times New Roman"/>
                <w:sz w:val="24"/>
                <w:szCs w:val="24"/>
              </w:rPr>
              <w:t xml:space="preserve"> regulu </w:t>
            </w:r>
            <w:r>
              <w:rPr>
                <w:rFonts w:ascii="Times New Roman" w:hAnsi="Times New Roman" w:cs="Times New Roman"/>
                <w:sz w:val="24"/>
                <w:szCs w:val="24"/>
              </w:rPr>
              <w:t xml:space="preserve">(ES) </w:t>
            </w:r>
            <w:r w:rsidRPr="00EF7BBB">
              <w:rPr>
                <w:rFonts w:ascii="Times New Roman" w:hAnsi="Times New Roman" w:cs="Times New Roman"/>
                <w:sz w:val="24"/>
                <w:szCs w:val="24"/>
              </w:rPr>
              <w:t>Nr</w:t>
            </w:r>
            <w:r>
              <w:rPr>
                <w:rFonts w:ascii="Times New Roman" w:hAnsi="Times New Roman" w:cs="Times New Roman"/>
                <w:sz w:val="24"/>
                <w:szCs w:val="24"/>
              </w:rPr>
              <w:t xml:space="preserve">.1301/2013 </w:t>
            </w:r>
            <w:r w:rsidRPr="00EF7BBB">
              <w:rPr>
                <w:rFonts w:ascii="Times New Roman" w:hAnsi="Times New Roman" w:cs="Times New Roman"/>
                <w:sz w:val="24"/>
                <w:szCs w:val="24"/>
              </w:rPr>
              <w:t xml:space="preserve">par  Eiropas Reģionālās attīstības fondu un īpašiem noteikumiem attiecībā uz mērķi “Ieguldījums izaugsmei un nodarbinātībai” un </w:t>
            </w:r>
            <w:r>
              <w:rPr>
                <w:rFonts w:ascii="Times New Roman" w:hAnsi="Times New Roman" w:cs="Times New Roman"/>
                <w:sz w:val="24"/>
                <w:szCs w:val="24"/>
              </w:rPr>
              <w:t>ar ko atceļ</w:t>
            </w:r>
            <w:r w:rsidRPr="00EF7BBB">
              <w:rPr>
                <w:rFonts w:ascii="Times New Roman" w:hAnsi="Times New Roman" w:cs="Times New Roman"/>
                <w:sz w:val="24"/>
                <w:szCs w:val="24"/>
              </w:rPr>
              <w:t xml:space="preserve"> Regul</w:t>
            </w:r>
            <w:r>
              <w:rPr>
                <w:rFonts w:ascii="Times New Roman" w:hAnsi="Times New Roman" w:cs="Times New Roman"/>
                <w:sz w:val="24"/>
                <w:szCs w:val="24"/>
              </w:rPr>
              <w:t>u</w:t>
            </w:r>
            <w:r w:rsidRPr="00EF7BBB">
              <w:rPr>
                <w:rFonts w:ascii="Times New Roman" w:hAnsi="Times New Roman" w:cs="Times New Roman"/>
                <w:sz w:val="24"/>
                <w:szCs w:val="24"/>
              </w:rPr>
              <w:t xml:space="preserve"> (EK) Nr.1080/2006</w:t>
            </w:r>
          </w:p>
          <w:p w14:paraId="79270B3E" w14:textId="77777777" w:rsidR="00C62286" w:rsidRDefault="00C62286" w:rsidP="00C62286">
            <w:pPr>
              <w:pStyle w:val="ListParagraph"/>
              <w:spacing w:after="0" w:line="240" w:lineRule="auto"/>
              <w:ind w:left="417"/>
              <w:jc w:val="both"/>
              <w:rPr>
                <w:rFonts w:ascii="Times New Roman" w:hAnsi="Times New Roman" w:cs="Times New Roman"/>
                <w:sz w:val="24"/>
                <w:szCs w:val="24"/>
              </w:rPr>
            </w:pPr>
          </w:p>
          <w:p w14:paraId="0A2620CA" w14:textId="187A0B14" w:rsidR="00C62286" w:rsidRDefault="00C62286" w:rsidP="00C62286">
            <w:pPr>
              <w:pStyle w:val="ListParagraph"/>
              <w:spacing w:after="0" w:line="240" w:lineRule="auto"/>
              <w:ind w:left="113"/>
              <w:jc w:val="both"/>
              <w:rPr>
                <w:rFonts w:ascii="Times New Roman" w:hAnsi="Times New Roman" w:cs="Times New Roman"/>
                <w:sz w:val="24"/>
                <w:szCs w:val="24"/>
              </w:rPr>
            </w:pPr>
            <w:r>
              <w:rPr>
                <w:rFonts w:ascii="Times New Roman" w:hAnsi="Times New Roman" w:cs="Times New Roman"/>
                <w:noProof/>
                <w:snapToGrid w:val="0"/>
                <w:sz w:val="24"/>
              </w:rPr>
              <w:t>Regulā nav noteikts termiņš, kādā jāpieņem nacionālie normatīvie akti ES fondu ieviešanai.</w:t>
            </w:r>
          </w:p>
          <w:p w14:paraId="0FF020C7" w14:textId="77777777" w:rsidR="00C62286" w:rsidRDefault="00C62286" w:rsidP="00C62286">
            <w:pPr>
              <w:pStyle w:val="ListParagraph"/>
              <w:spacing w:after="0" w:line="240" w:lineRule="auto"/>
              <w:ind w:left="417"/>
              <w:jc w:val="both"/>
              <w:rPr>
                <w:rFonts w:ascii="Times New Roman" w:hAnsi="Times New Roman" w:cs="Times New Roman"/>
                <w:sz w:val="24"/>
                <w:szCs w:val="24"/>
              </w:rPr>
            </w:pPr>
          </w:p>
          <w:p w14:paraId="7F3DD466" w14:textId="0BC4ECAD" w:rsidR="00012F4F" w:rsidRPr="00012F4F" w:rsidRDefault="00012F4F" w:rsidP="00012F4F">
            <w:pPr>
              <w:pStyle w:val="ListParagraph"/>
              <w:numPr>
                <w:ilvl w:val="0"/>
                <w:numId w:val="23"/>
              </w:numPr>
              <w:spacing w:after="0" w:line="240" w:lineRule="auto"/>
              <w:jc w:val="both"/>
              <w:rPr>
                <w:rFonts w:ascii="Times New Roman" w:hAnsi="Times New Roman" w:cs="Times New Roman"/>
                <w:sz w:val="24"/>
                <w:szCs w:val="24"/>
              </w:rPr>
            </w:pPr>
            <w:r w:rsidRPr="00012F4F">
              <w:rPr>
                <w:rFonts w:ascii="Times New Roman" w:hAnsi="Times New Roman" w:cs="Times New Roman"/>
                <w:sz w:val="24"/>
                <w:szCs w:val="24"/>
              </w:rPr>
              <w:t>Eiropas Parlamenta un Padomes 2009.gada 18.jūnija direktīva</w:t>
            </w:r>
            <w:r w:rsidRPr="00012F4F">
              <w:rPr>
                <w:rStyle w:val="apple-converted-space"/>
                <w:rFonts w:ascii="Times New Roman" w:hAnsi="Times New Roman" w:cs="Times New Roman"/>
                <w:sz w:val="24"/>
                <w:szCs w:val="24"/>
              </w:rPr>
              <w:t> </w:t>
            </w:r>
            <w:hyperlink r:id="rId8" w:tgtFrame="_blank" w:history="1">
              <w:r w:rsidRPr="00012F4F">
                <w:rPr>
                  <w:rStyle w:val="Hyperlink"/>
                  <w:rFonts w:ascii="Times New Roman" w:hAnsi="Times New Roman" w:cs="Times New Roman"/>
                  <w:sz w:val="24"/>
                  <w:szCs w:val="24"/>
                </w:rPr>
                <w:t>2009/52/EK</w:t>
              </w:r>
            </w:hyperlink>
            <w:r w:rsidRPr="00012F4F">
              <w:rPr>
                <w:rFonts w:ascii="Times New Roman" w:hAnsi="Times New Roman" w:cs="Times New Roman"/>
                <w:sz w:val="24"/>
                <w:szCs w:val="24"/>
              </w:rPr>
              <w:t xml:space="preserve">, ar ko nosaka minimālos standartus sankcijām un pasākumiem pret darba devējiem, kas nodarbina trešo valstu </w:t>
            </w:r>
            <w:proofErr w:type="spellStart"/>
            <w:r w:rsidRPr="00012F4F">
              <w:rPr>
                <w:rFonts w:ascii="Times New Roman" w:hAnsi="Times New Roman" w:cs="Times New Roman"/>
                <w:sz w:val="24"/>
                <w:szCs w:val="24"/>
              </w:rPr>
              <w:t>valstspiederīgos</w:t>
            </w:r>
            <w:proofErr w:type="spellEnd"/>
            <w:r w:rsidRPr="00012F4F">
              <w:rPr>
                <w:rFonts w:ascii="Times New Roman" w:hAnsi="Times New Roman" w:cs="Times New Roman"/>
                <w:sz w:val="24"/>
                <w:szCs w:val="24"/>
              </w:rPr>
              <w:t>, kuri dalībvalstīs uzturas nelikumīgi</w:t>
            </w:r>
            <w:r w:rsidR="004159BF">
              <w:rPr>
                <w:rFonts w:ascii="Times New Roman" w:hAnsi="Times New Roman" w:cs="Times New Roman"/>
                <w:sz w:val="24"/>
                <w:szCs w:val="24"/>
              </w:rPr>
              <w:t>.</w:t>
            </w:r>
          </w:p>
          <w:p w14:paraId="41FF0CE6" w14:textId="77777777" w:rsidR="00012F4F" w:rsidRPr="00012F4F" w:rsidRDefault="00012F4F" w:rsidP="00012F4F">
            <w:pPr>
              <w:spacing w:after="0" w:line="240" w:lineRule="auto"/>
              <w:ind w:left="57"/>
              <w:jc w:val="both"/>
              <w:rPr>
                <w:rFonts w:ascii="Times New Roman" w:hAnsi="Times New Roman" w:cs="Times New Roman"/>
                <w:sz w:val="24"/>
                <w:szCs w:val="24"/>
              </w:rPr>
            </w:pPr>
          </w:p>
          <w:p w14:paraId="5EDF1E89" w14:textId="43270D4B" w:rsidR="00012F4F" w:rsidRPr="00012F4F" w:rsidRDefault="0047700D" w:rsidP="00012F4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Saskaņā ar direktīvas 17.pantu normatīvajiem aktiem, kas vajadzīgi, lai izpildītu šīs direktīvas prasības bija jāstājas spēkā līdz 2011.gada 20.jūlijam. Attiecībā uz 2007.-2013.gada plānošanas perioda direktīvas prasības, kas skar ES fondu finansējuma piešķiršanu, jau ir transponētas šī perioda normatīvajos aktos. Tā kā ES fondu ieviešanu 2014.-2020.gada plānošanas periodā regulē jauni normatīvie akti, tad attiecīgās direktīvas prasības jāiekļauj šajos normatīvajos aktos, līdz ar to spēkā stāšanos.</w:t>
            </w:r>
          </w:p>
        </w:tc>
      </w:tr>
      <w:tr w:rsidR="00DA6C86" w:rsidRPr="00DD49B6" w14:paraId="5EDF1E8E"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6"/>
            <w:tcBorders>
              <w:top w:val="outset" w:sz="6" w:space="0" w:color="auto"/>
              <w:left w:val="outset" w:sz="6" w:space="0" w:color="auto"/>
              <w:bottom w:val="outset" w:sz="6" w:space="0" w:color="auto"/>
              <w:right w:val="outset" w:sz="6" w:space="0" w:color="auto"/>
            </w:tcBorders>
          </w:tcPr>
          <w:p w14:paraId="5EDF1E8D" w14:textId="5389D72E" w:rsidR="00DA6C86" w:rsidRPr="00DD49B6" w:rsidRDefault="00012F4F"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DA6C86" w:rsidRPr="00DD49B6" w14:paraId="5EDF1E93"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6"/>
            <w:tcBorders>
              <w:top w:val="outset" w:sz="6" w:space="0" w:color="auto"/>
              <w:left w:val="outset" w:sz="6" w:space="0" w:color="auto"/>
              <w:bottom w:val="outset" w:sz="6" w:space="0" w:color="auto"/>
              <w:right w:val="outset" w:sz="6" w:space="0" w:color="auto"/>
            </w:tcBorders>
          </w:tcPr>
          <w:p w14:paraId="5EDF1E92" w14:textId="0B7D3FE4"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5EDF1E96" w14:textId="77777777" w:rsidTr="00171D36">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14:paraId="5EDF1E94"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lastRenderedPageBreak/>
              <w:t>1.tabula</w:t>
            </w:r>
          </w:p>
          <w:p w14:paraId="5EDF1E9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5EDF1E9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8"/>
            <w:tcBorders>
              <w:top w:val="outset" w:sz="6" w:space="0" w:color="auto"/>
              <w:left w:val="outset" w:sz="6" w:space="0" w:color="auto"/>
              <w:bottom w:val="outset" w:sz="6" w:space="0" w:color="auto"/>
              <w:right w:val="outset" w:sz="6" w:space="0" w:color="auto"/>
            </w:tcBorders>
          </w:tcPr>
          <w:p w14:paraId="5EDF1E98" w14:textId="454BA641" w:rsidR="00DA6C86" w:rsidRPr="00DD49B6" w:rsidRDefault="00E42943" w:rsidP="003714C5">
            <w:pPr>
              <w:spacing w:after="0" w:line="240" w:lineRule="auto"/>
              <w:ind w:left="57"/>
              <w:jc w:val="both"/>
              <w:rPr>
                <w:rFonts w:ascii="Times New Roman" w:hAnsi="Times New Roman" w:cs="Times New Roman"/>
                <w:sz w:val="24"/>
                <w:szCs w:val="24"/>
              </w:rPr>
            </w:pPr>
            <w:r w:rsidRPr="00012F4F">
              <w:rPr>
                <w:rFonts w:ascii="Times New Roman" w:hAnsi="Times New Roman" w:cs="Times New Roman"/>
                <w:sz w:val="24"/>
                <w:szCs w:val="28"/>
              </w:rPr>
              <w:t xml:space="preserve">Eiropas Parlamenta un Padomes 2013.gada </w:t>
            </w:r>
            <w:r w:rsidR="003714C5">
              <w:rPr>
                <w:rFonts w:ascii="Times New Roman" w:hAnsi="Times New Roman" w:cs="Times New Roman"/>
                <w:sz w:val="24"/>
                <w:szCs w:val="28"/>
              </w:rPr>
              <w:t>17.</w:t>
            </w:r>
            <w:r w:rsidR="003714C5" w:rsidRPr="003714C5">
              <w:rPr>
                <w:rFonts w:ascii="Times New Roman" w:hAnsi="Times New Roman" w:cs="Times New Roman"/>
                <w:sz w:val="24"/>
                <w:szCs w:val="28"/>
              </w:rPr>
              <w:t>decembra</w:t>
            </w:r>
            <w:r w:rsidRPr="003714C5">
              <w:rPr>
                <w:rFonts w:ascii="Times New Roman" w:hAnsi="Times New Roman" w:cs="Times New Roman"/>
                <w:sz w:val="24"/>
                <w:szCs w:val="28"/>
              </w:rPr>
              <w:t xml:space="preserve"> regula (ES) Nr.</w:t>
            </w:r>
            <w:r w:rsidR="003714C5" w:rsidRPr="003714C5">
              <w:rPr>
                <w:rFonts w:ascii="Times New Roman" w:hAnsi="Times New Roman" w:cs="Times New Roman"/>
                <w:sz w:val="24"/>
                <w:szCs w:val="28"/>
              </w:rPr>
              <w:t>1303/2013</w:t>
            </w:r>
            <w:r w:rsidRPr="00012F4F">
              <w:rPr>
                <w:rFonts w:ascii="Times New Roman" w:hAnsi="Times New Roman" w:cs="Times New Roman"/>
                <w:sz w:val="24"/>
                <w:szCs w:val="28"/>
              </w:rPr>
              <w:t xml:space="preserve">, </w:t>
            </w:r>
            <w:r w:rsidRPr="00012F4F">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DA6C86" w:rsidRPr="00DD49B6" w14:paraId="5EDF1E9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gridSpan w:val="3"/>
            <w:tcBorders>
              <w:top w:val="outset" w:sz="6" w:space="0" w:color="auto"/>
              <w:left w:val="outset" w:sz="6" w:space="0" w:color="auto"/>
              <w:bottom w:val="outset" w:sz="6" w:space="0" w:color="auto"/>
              <w:right w:val="outset" w:sz="6" w:space="0" w:color="auto"/>
            </w:tcBorders>
            <w:vAlign w:val="center"/>
          </w:tcPr>
          <w:p w14:paraId="5EDF1E9C"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14:paraId="5EDF1E9D"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EDF1EA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57" w:type="dxa"/>
            <w:gridSpan w:val="3"/>
            <w:tcBorders>
              <w:top w:val="outset" w:sz="6" w:space="0" w:color="auto"/>
              <w:left w:val="outset" w:sz="6" w:space="0" w:color="auto"/>
              <w:bottom w:val="outset" w:sz="6" w:space="0" w:color="auto"/>
              <w:right w:val="outset" w:sz="6" w:space="0" w:color="auto"/>
            </w:tcBorders>
          </w:tcPr>
          <w:p w14:paraId="5EDF1EA1"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5EDF1EA2"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14:paraId="5EDF1EA4"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5EDF1EA5" w14:textId="3BE8A663"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kas prasības nekā attie</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cīgais ES tiesību akts,</w:t>
            </w:r>
            <w:r w:rsidR="00584507" w:rsidRPr="00E42943">
              <w:rPr>
                <w:rFonts w:ascii="Times New Roman" w:hAnsi="Times New Roman" w:cs="Times New Roman"/>
                <w:sz w:val="20"/>
                <w:szCs w:val="24"/>
              </w:rPr>
              <w:t xml:space="preserve"> </w:t>
            </w:r>
            <w:r w:rsidRPr="00E42943">
              <w:rPr>
                <w:rFonts w:ascii="Times New Roman" w:hAnsi="Times New Roman" w:cs="Times New Roman"/>
                <w:sz w:val="20"/>
                <w:szCs w:val="24"/>
              </w:rPr>
              <w:t>norāda pamatojumu un samērīgumu.</w:t>
            </w:r>
          </w:p>
          <w:p w14:paraId="5EDF1EA6"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DA6C86" w:rsidRPr="00DD49B6" w14:paraId="5EDF1EA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295AB534" w:rsidR="00DA6C86" w:rsidRPr="00C1149C" w:rsidRDefault="00375B76" w:rsidP="00375B76">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7. 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50505C33" w:rsidR="00DA6C86" w:rsidRPr="00DD49B6" w:rsidRDefault="004159BF"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r w:rsidR="00EA09C1">
              <w:rPr>
                <w:rFonts w:ascii="Times New Roman" w:hAnsi="Times New Roman" w:cs="Times New Roman"/>
                <w:spacing w:val="-2"/>
                <w:sz w:val="24"/>
                <w:szCs w:val="24"/>
              </w:rPr>
              <w:t>.pants</w:t>
            </w:r>
          </w:p>
        </w:tc>
        <w:tc>
          <w:tcPr>
            <w:tcW w:w="2657" w:type="dxa"/>
            <w:gridSpan w:val="3"/>
            <w:tcBorders>
              <w:top w:val="outset" w:sz="6" w:space="0" w:color="auto"/>
              <w:left w:val="outset" w:sz="6" w:space="0" w:color="auto"/>
              <w:bottom w:val="outset" w:sz="6" w:space="0" w:color="auto"/>
              <w:right w:val="outset" w:sz="6" w:space="0" w:color="auto"/>
            </w:tcBorders>
          </w:tcPr>
          <w:p w14:paraId="5EDF1EAB" w14:textId="0D765D3C" w:rsidR="00DA6C86"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par horizontālo principu atbildīgās institūcijas, to tiesības un pienākumi tiks noteikti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5EDF1EAD" w14:textId="425928A9" w:rsidR="00DA6C86" w:rsidRPr="00DD49B6" w:rsidRDefault="0032763C" w:rsidP="0032763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197F0B7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362419" w14:textId="789AC2D6" w:rsidR="00E42943" w:rsidRPr="00C1149C" w:rsidRDefault="00375B76" w:rsidP="00375B76">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 xml:space="preserve">egulas </w:t>
            </w:r>
            <w:r w:rsidRPr="00C1149C">
              <w:rPr>
                <w:rFonts w:ascii="Times New Roman" w:hAnsi="Times New Roman" w:cs="Times New Roman"/>
                <w:sz w:val="24"/>
                <w:szCs w:val="28"/>
              </w:rPr>
              <w:t>8.pants</w:t>
            </w:r>
          </w:p>
        </w:tc>
        <w:tc>
          <w:tcPr>
            <w:tcW w:w="2090" w:type="dxa"/>
            <w:gridSpan w:val="3"/>
            <w:tcBorders>
              <w:top w:val="outset" w:sz="6" w:space="0" w:color="auto"/>
              <w:left w:val="outset" w:sz="6" w:space="0" w:color="auto"/>
              <w:bottom w:val="outset" w:sz="6" w:space="0" w:color="auto"/>
              <w:right w:val="outset" w:sz="6" w:space="0" w:color="auto"/>
            </w:tcBorders>
          </w:tcPr>
          <w:p w14:paraId="1613D263" w14:textId="35EDFBFA" w:rsidR="00E42943" w:rsidRPr="00DD49B6" w:rsidRDefault="004159BF"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8</w:t>
            </w:r>
            <w:r w:rsidR="00EA09C1">
              <w:rPr>
                <w:rFonts w:ascii="Times New Roman" w:hAnsi="Times New Roman" w:cs="Times New Roman"/>
                <w:spacing w:val="-2"/>
                <w:sz w:val="24"/>
                <w:szCs w:val="24"/>
              </w:rPr>
              <w:t>.pants</w:t>
            </w:r>
          </w:p>
        </w:tc>
        <w:tc>
          <w:tcPr>
            <w:tcW w:w="2657" w:type="dxa"/>
            <w:gridSpan w:val="3"/>
            <w:tcBorders>
              <w:top w:val="outset" w:sz="6" w:space="0" w:color="auto"/>
              <w:left w:val="outset" w:sz="6" w:space="0" w:color="auto"/>
              <w:bottom w:val="outset" w:sz="6" w:space="0" w:color="auto"/>
              <w:right w:val="outset" w:sz="6" w:space="0" w:color="auto"/>
            </w:tcBorders>
          </w:tcPr>
          <w:p w14:paraId="117AEAD2" w14:textId="76C16240"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par horizontālo principu atbildīgās institūcijas, to tiesības un pienākumi tiks noteikti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338F3F60" w14:textId="34CEEF74" w:rsidR="00E42943"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5E5F405F"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67774A9" w14:textId="61F23091" w:rsidR="00AA22DE"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egulas 47.panta 2.punkt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FC356A1" w14:textId="406E2AFC" w:rsidR="00AA22DE" w:rsidRPr="00DD49B6" w:rsidRDefault="004159BF" w:rsidP="00035F1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16</w:t>
            </w:r>
            <w:r w:rsidR="00D21EF7">
              <w:rPr>
                <w:rFonts w:ascii="Times New Roman" w:hAnsi="Times New Roman" w:cs="Times New Roman"/>
                <w:spacing w:val="-2"/>
                <w:sz w:val="24"/>
                <w:szCs w:val="24"/>
              </w:rPr>
              <w:t xml:space="preserve">.panta </w:t>
            </w:r>
            <w:r w:rsidR="00035F18">
              <w:rPr>
                <w:rFonts w:ascii="Times New Roman" w:hAnsi="Times New Roman" w:cs="Times New Roman"/>
                <w:spacing w:val="-2"/>
                <w:sz w:val="24"/>
                <w:szCs w:val="24"/>
              </w:rPr>
              <w:t xml:space="preserve">sestā </w:t>
            </w:r>
            <w:r w:rsidR="00D21EF7">
              <w:rPr>
                <w:rFonts w:ascii="Times New Roman" w:hAnsi="Times New Roman" w:cs="Times New Roman"/>
                <w:spacing w:val="-2"/>
                <w:sz w:val="24"/>
                <w:szCs w:val="24"/>
              </w:rPr>
              <w:t>daļa</w:t>
            </w:r>
          </w:p>
        </w:tc>
        <w:tc>
          <w:tcPr>
            <w:tcW w:w="2657" w:type="dxa"/>
            <w:gridSpan w:val="3"/>
            <w:tcBorders>
              <w:top w:val="outset" w:sz="6" w:space="0" w:color="auto"/>
              <w:left w:val="outset" w:sz="6" w:space="0" w:color="auto"/>
              <w:bottom w:val="outset" w:sz="6" w:space="0" w:color="auto"/>
              <w:right w:val="outset" w:sz="6" w:space="0" w:color="auto"/>
            </w:tcBorders>
          </w:tcPr>
          <w:p w14:paraId="43DF3328" w14:textId="3884E993" w:rsidR="00AA22DE" w:rsidRPr="00DD49B6" w:rsidRDefault="004431BD"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64BA691C" w14:textId="01C5089D"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3F1E3465"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9552DAA" w14:textId="151BEAD8" w:rsidR="00AA22DE"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egulas 48.pant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63C5A75A" w14:textId="5D73DF16" w:rsidR="00AA22DE" w:rsidRPr="00DD49B6" w:rsidRDefault="00112CEE" w:rsidP="00112CE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16</w:t>
            </w:r>
            <w:r w:rsidR="00D21EF7">
              <w:rPr>
                <w:rFonts w:ascii="Times New Roman" w:hAnsi="Times New Roman" w:cs="Times New Roman"/>
                <w:spacing w:val="-2"/>
                <w:sz w:val="24"/>
                <w:szCs w:val="24"/>
              </w:rPr>
              <w:t>.panta otrā daļa</w:t>
            </w:r>
          </w:p>
        </w:tc>
        <w:tc>
          <w:tcPr>
            <w:tcW w:w="2657" w:type="dxa"/>
            <w:gridSpan w:val="3"/>
            <w:tcBorders>
              <w:top w:val="outset" w:sz="6" w:space="0" w:color="auto"/>
              <w:left w:val="outset" w:sz="6" w:space="0" w:color="auto"/>
              <w:bottom w:val="outset" w:sz="6" w:space="0" w:color="auto"/>
              <w:right w:val="outset" w:sz="6" w:space="0" w:color="auto"/>
            </w:tcBorders>
          </w:tcPr>
          <w:p w14:paraId="30B2044F" w14:textId="7B59CC43" w:rsidR="00AA22DE" w:rsidRPr="00DD49B6" w:rsidRDefault="004431BD"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385C11A8" w14:textId="7EE82FD8"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047BCA7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12704FF" w14:textId="206F8609" w:rsidR="00AA22DE"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 xml:space="preserve">egulas </w:t>
            </w:r>
            <w:r w:rsidRPr="00C1149C">
              <w:rPr>
                <w:rFonts w:ascii="Times New Roman" w:hAnsi="Times New Roman" w:cs="Times New Roman"/>
                <w:sz w:val="24"/>
                <w:szCs w:val="28"/>
              </w:rPr>
              <w:t>49.</w:t>
            </w:r>
            <w:r w:rsidR="00AA22DE" w:rsidRPr="00C1149C">
              <w:rPr>
                <w:rFonts w:ascii="Times New Roman" w:hAnsi="Times New Roman" w:cs="Times New Roman"/>
                <w:sz w:val="24"/>
                <w:szCs w:val="28"/>
              </w:rPr>
              <w:t>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60F77BC8" w14:textId="41422B27" w:rsidR="00AA22DE" w:rsidRPr="00DD49B6" w:rsidRDefault="00112CEE" w:rsidP="00112CE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16</w:t>
            </w:r>
            <w:r w:rsidR="00D21EF7">
              <w:rPr>
                <w:rFonts w:ascii="Times New Roman" w:hAnsi="Times New Roman" w:cs="Times New Roman"/>
                <w:spacing w:val="-2"/>
                <w:sz w:val="24"/>
                <w:szCs w:val="24"/>
              </w:rPr>
              <w:t>.panta pirmā daļa</w:t>
            </w:r>
          </w:p>
        </w:tc>
        <w:tc>
          <w:tcPr>
            <w:tcW w:w="2657" w:type="dxa"/>
            <w:gridSpan w:val="3"/>
            <w:tcBorders>
              <w:top w:val="outset" w:sz="6" w:space="0" w:color="auto"/>
              <w:left w:val="outset" w:sz="6" w:space="0" w:color="auto"/>
              <w:bottom w:val="outset" w:sz="6" w:space="0" w:color="auto"/>
              <w:right w:val="outset" w:sz="6" w:space="0" w:color="auto"/>
            </w:tcBorders>
          </w:tcPr>
          <w:p w14:paraId="11549CFF" w14:textId="356A47A5" w:rsidR="00AA22DE" w:rsidRPr="00DD49B6" w:rsidRDefault="004431BD"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7617A758" w14:textId="2C80763F"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6E9C487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2B223DF" w14:textId="5780E320" w:rsidR="00AA22DE"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egulas 71.pant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0716C89B" w14:textId="227E610B" w:rsidR="00AA22DE" w:rsidRPr="00DD49B6" w:rsidRDefault="00035F18"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19</w:t>
            </w:r>
            <w:r w:rsidR="00D21EF7">
              <w:rPr>
                <w:rFonts w:ascii="Times New Roman" w:hAnsi="Times New Roman" w:cs="Times New Roman"/>
                <w:spacing w:val="-2"/>
                <w:sz w:val="24"/>
                <w:szCs w:val="24"/>
              </w:rPr>
              <w:t xml:space="preserve">.panta pirmās daļas </w:t>
            </w:r>
            <w:r w:rsidR="00FD37A7">
              <w:rPr>
                <w:rFonts w:ascii="Times New Roman" w:hAnsi="Times New Roman" w:cs="Times New Roman"/>
                <w:spacing w:val="-2"/>
                <w:sz w:val="24"/>
                <w:szCs w:val="24"/>
              </w:rPr>
              <w:t>6.punkts</w:t>
            </w:r>
          </w:p>
        </w:tc>
        <w:tc>
          <w:tcPr>
            <w:tcW w:w="2657" w:type="dxa"/>
            <w:gridSpan w:val="3"/>
            <w:tcBorders>
              <w:top w:val="outset" w:sz="6" w:space="0" w:color="auto"/>
              <w:left w:val="outset" w:sz="6" w:space="0" w:color="auto"/>
              <w:bottom w:val="outset" w:sz="6" w:space="0" w:color="auto"/>
              <w:right w:val="outset" w:sz="6" w:space="0" w:color="auto"/>
            </w:tcBorders>
          </w:tcPr>
          <w:p w14:paraId="101A8455" w14:textId="67431707" w:rsidR="00893C1F" w:rsidRPr="00DD49B6" w:rsidRDefault="00893C1F" w:rsidP="00893C1F">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Ieviests pilnībā. Regulā noteikti dalībvalsts pienākumi projektu uzraudzībā. Likumprojektā noteikts </w:t>
            </w:r>
            <w:r>
              <w:rPr>
                <w:rFonts w:ascii="Times New Roman" w:hAnsi="Times New Roman" w:cs="Times New Roman"/>
                <w:spacing w:val="-2"/>
                <w:sz w:val="24"/>
                <w:szCs w:val="24"/>
              </w:rPr>
              <w:lastRenderedPageBreak/>
              <w:t>pienākums finansējuma saņēmējam regulā noteiktajā laika periodā neveikt projektā būtiskas pārmaiņas, nepārtraukt ražošanu vai nepārcelt to uz citu vietu ārpus darbības programmas teritorijas.</w:t>
            </w:r>
          </w:p>
        </w:tc>
        <w:tc>
          <w:tcPr>
            <w:tcW w:w="2585" w:type="dxa"/>
            <w:gridSpan w:val="2"/>
            <w:tcBorders>
              <w:top w:val="outset" w:sz="6" w:space="0" w:color="auto"/>
              <w:left w:val="outset" w:sz="6" w:space="0" w:color="auto"/>
              <w:bottom w:val="outset" w:sz="6" w:space="0" w:color="auto"/>
              <w:right w:val="outset" w:sz="6" w:space="0" w:color="auto"/>
            </w:tcBorders>
          </w:tcPr>
          <w:p w14:paraId="645366D1" w14:textId="57451458"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lastRenderedPageBreak/>
              <w:t>Likumprojekts neparedz stingrākas prasības</w:t>
            </w:r>
          </w:p>
        </w:tc>
      </w:tr>
      <w:tr w:rsidR="00F46D80" w:rsidRPr="00DD49B6" w14:paraId="6438544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D2E12D9" w14:textId="744B0301" w:rsidR="00F46D80" w:rsidRPr="00C1149C" w:rsidRDefault="00F46D80"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lastRenderedPageBreak/>
              <w:t>Regulas 101.pants</w:t>
            </w:r>
          </w:p>
        </w:tc>
        <w:tc>
          <w:tcPr>
            <w:tcW w:w="2090" w:type="dxa"/>
            <w:gridSpan w:val="3"/>
            <w:tcBorders>
              <w:top w:val="outset" w:sz="6" w:space="0" w:color="auto"/>
              <w:left w:val="outset" w:sz="6" w:space="0" w:color="auto"/>
              <w:bottom w:val="outset" w:sz="6" w:space="0" w:color="auto"/>
              <w:right w:val="outset" w:sz="6" w:space="0" w:color="auto"/>
            </w:tcBorders>
          </w:tcPr>
          <w:p w14:paraId="5B95E1C7" w14:textId="230EFF31" w:rsidR="00F46D80" w:rsidRPr="00DD49B6" w:rsidRDefault="00F46D80"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w:t>
            </w:r>
            <w:r w:rsidR="006C20CF">
              <w:rPr>
                <w:rFonts w:ascii="Times New Roman" w:hAnsi="Times New Roman" w:cs="Times New Roman"/>
                <w:spacing w:val="-2"/>
                <w:sz w:val="24"/>
                <w:szCs w:val="24"/>
              </w:rPr>
              <w:t>0</w:t>
            </w:r>
            <w:r>
              <w:rPr>
                <w:rFonts w:ascii="Times New Roman" w:hAnsi="Times New Roman" w:cs="Times New Roman"/>
                <w:spacing w:val="-2"/>
                <w:sz w:val="24"/>
                <w:szCs w:val="24"/>
              </w:rPr>
              <w:t xml:space="preserve">.panta </w:t>
            </w:r>
            <w:r w:rsidR="006C20CF">
              <w:rPr>
                <w:rFonts w:ascii="Times New Roman" w:hAnsi="Times New Roman" w:cs="Times New Roman"/>
                <w:spacing w:val="-2"/>
                <w:sz w:val="24"/>
                <w:szCs w:val="24"/>
              </w:rPr>
              <w:t xml:space="preserve">otrās </w:t>
            </w:r>
            <w:r>
              <w:rPr>
                <w:rFonts w:ascii="Times New Roman" w:hAnsi="Times New Roman" w:cs="Times New Roman"/>
                <w:spacing w:val="-2"/>
                <w:sz w:val="24"/>
                <w:szCs w:val="24"/>
              </w:rPr>
              <w:t>daļas 6.punkts</w:t>
            </w:r>
          </w:p>
        </w:tc>
        <w:tc>
          <w:tcPr>
            <w:tcW w:w="2657" w:type="dxa"/>
            <w:gridSpan w:val="3"/>
            <w:tcBorders>
              <w:top w:val="outset" w:sz="6" w:space="0" w:color="auto"/>
              <w:left w:val="outset" w:sz="6" w:space="0" w:color="auto"/>
              <w:bottom w:val="outset" w:sz="6" w:space="0" w:color="auto"/>
              <w:right w:val="outset" w:sz="6" w:space="0" w:color="auto"/>
            </w:tcBorders>
          </w:tcPr>
          <w:p w14:paraId="20036C0E" w14:textId="7CDCAB9F" w:rsidR="00F46D80" w:rsidRPr="00DD49B6" w:rsidRDefault="00BE7C4D" w:rsidP="00BE7C4D">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Detalizētāka lielā projekta saskaņošana tiks noteikta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3E5529FB" w14:textId="102A5C6C" w:rsidR="00F46D80"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46D80" w:rsidRPr="00DD49B6" w14:paraId="42BFA664"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B60F774" w14:textId="0A2AA0DA" w:rsidR="00F46D80" w:rsidRPr="00C1149C" w:rsidRDefault="00F46D80"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Regulas 102.pants</w:t>
            </w:r>
          </w:p>
        </w:tc>
        <w:tc>
          <w:tcPr>
            <w:tcW w:w="2090" w:type="dxa"/>
            <w:gridSpan w:val="3"/>
            <w:tcBorders>
              <w:top w:val="outset" w:sz="6" w:space="0" w:color="auto"/>
              <w:left w:val="outset" w:sz="6" w:space="0" w:color="auto"/>
              <w:bottom w:val="outset" w:sz="6" w:space="0" w:color="auto"/>
              <w:right w:val="outset" w:sz="6" w:space="0" w:color="auto"/>
            </w:tcBorders>
          </w:tcPr>
          <w:p w14:paraId="2201D377" w14:textId="2185BF77" w:rsidR="00F46D80" w:rsidRPr="00DD49B6" w:rsidRDefault="00F46D80"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w:t>
            </w:r>
            <w:r w:rsidR="006C20CF">
              <w:rPr>
                <w:rFonts w:ascii="Times New Roman" w:hAnsi="Times New Roman" w:cs="Times New Roman"/>
                <w:spacing w:val="-2"/>
                <w:sz w:val="24"/>
                <w:szCs w:val="24"/>
              </w:rPr>
              <w:t>0</w:t>
            </w:r>
            <w:r>
              <w:rPr>
                <w:rFonts w:ascii="Times New Roman" w:hAnsi="Times New Roman" w:cs="Times New Roman"/>
                <w:spacing w:val="-2"/>
                <w:sz w:val="24"/>
                <w:szCs w:val="24"/>
              </w:rPr>
              <w:t xml:space="preserve">.panta </w:t>
            </w:r>
            <w:r w:rsidR="006C20CF">
              <w:rPr>
                <w:rFonts w:ascii="Times New Roman" w:hAnsi="Times New Roman" w:cs="Times New Roman"/>
                <w:spacing w:val="-2"/>
                <w:sz w:val="24"/>
                <w:szCs w:val="24"/>
              </w:rPr>
              <w:t>otrās</w:t>
            </w:r>
            <w:r w:rsidR="006668A0">
              <w:rPr>
                <w:rFonts w:ascii="Times New Roman" w:hAnsi="Times New Roman" w:cs="Times New Roman"/>
                <w:spacing w:val="-2"/>
                <w:sz w:val="24"/>
                <w:szCs w:val="24"/>
              </w:rPr>
              <w:t xml:space="preserve"> </w:t>
            </w:r>
            <w:r>
              <w:rPr>
                <w:rFonts w:ascii="Times New Roman" w:hAnsi="Times New Roman" w:cs="Times New Roman"/>
                <w:spacing w:val="-2"/>
                <w:sz w:val="24"/>
                <w:szCs w:val="24"/>
              </w:rPr>
              <w:t>daļas 6.punkts</w:t>
            </w:r>
          </w:p>
        </w:tc>
        <w:tc>
          <w:tcPr>
            <w:tcW w:w="2657" w:type="dxa"/>
            <w:gridSpan w:val="3"/>
            <w:tcBorders>
              <w:top w:val="outset" w:sz="6" w:space="0" w:color="auto"/>
              <w:left w:val="outset" w:sz="6" w:space="0" w:color="auto"/>
              <w:bottom w:val="outset" w:sz="6" w:space="0" w:color="auto"/>
              <w:right w:val="outset" w:sz="6" w:space="0" w:color="auto"/>
            </w:tcBorders>
          </w:tcPr>
          <w:p w14:paraId="3B1A4A28" w14:textId="395F2C53" w:rsidR="00F46D80" w:rsidRPr="00DD49B6" w:rsidRDefault="00BE7C4D"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Detalizētāka lielā projekta saskaņošana tiks noteikta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7A9BB6C5" w14:textId="442856A7" w:rsidR="00F46D80"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180E16D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4C7CD2C" w14:textId="374461A0" w:rsidR="00AA22DE"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egulas 110.pant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016FA09" w14:textId="1D214CA3" w:rsidR="00AA22DE" w:rsidRPr="00DD49B6" w:rsidRDefault="00C62286"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10.panta otrās daļas 9.punkts, 11.panta trešās daļas 5.punkts, </w:t>
            </w:r>
            <w:r w:rsidR="006668A0">
              <w:rPr>
                <w:rFonts w:ascii="Times New Roman" w:hAnsi="Times New Roman" w:cs="Times New Roman"/>
                <w:spacing w:val="-2"/>
                <w:sz w:val="24"/>
                <w:szCs w:val="24"/>
              </w:rPr>
              <w:t>16</w:t>
            </w:r>
            <w:r w:rsidR="00D21EF7">
              <w:rPr>
                <w:rFonts w:ascii="Times New Roman" w:hAnsi="Times New Roman" w:cs="Times New Roman"/>
                <w:spacing w:val="-2"/>
                <w:sz w:val="24"/>
                <w:szCs w:val="24"/>
              </w:rPr>
              <w:t>.panta pirmā daļa</w:t>
            </w:r>
            <w:r>
              <w:rPr>
                <w:rFonts w:ascii="Times New Roman" w:hAnsi="Times New Roman" w:cs="Times New Roman"/>
                <w:spacing w:val="-2"/>
                <w:sz w:val="24"/>
                <w:szCs w:val="24"/>
              </w:rPr>
              <w:t>, 22.panta trešā daļa</w:t>
            </w:r>
          </w:p>
        </w:tc>
        <w:tc>
          <w:tcPr>
            <w:tcW w:w="2657" w:type="dxa"/>
            <w:gridSpan w:val="3"/>
            <w:tcBorders>
              <w:top w:val="outset" w:sz="6" w:space="0" w:color="auto"/>
              <w:left w:val="outset" w:sz="6" w:space="0" w:color="auto"/>
              <w:bottom w:val="outset" w:sz="6" w:space="0" w:color="auto"/>
              <w:right w:val="outset" w:sz="6" w:space="0" w:color="auto"/>
            </w:tcBorders>
          </w:tcPr>
          <w:p w14:paraId="7C82F838" w14:textId="42A2C60C" w:rsidR="00AA22DE" w:rsidRPr="00DD49B6" w:rsidRDefault="00BE7C4D"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47796B16" w14:textId="5A912014"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7D8388E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42A41CA" w14:textId="5D221A29" w:rsidR="00AA22DE" w:rsidRPr="00DA4962" w:rsidRDefault="00AF0385" w:rsidP="00AF0385">
            <w:pPr>
              <w:spacing w:after="0" w:line="240" w:lineRule="auto"/>
              <w:ind w:left="57"/>
              <w:rPr>
                <w:rFonts w:ascii="Times New Roman" w:hAnsi="Times New Roman" w:cs="Times New Roman"/>
                <w:sz w:val="24"/>
                <w:szCs w:val="28"/>
                <w:highlight w:val="yellow"/>
              </w:rPr>
            </w:pPr>
            <w:r w:rsidRPr="00DA4962">
              <w:rPr>
                <w:rFonts w:ascii="Times New Roman" w:hAnsi="Times New Roman" w:cs="Times New Roman"/>
                <w:sz w:val="24"/>
                <w:szCs w:val="28"/>
              </w:rPr>
              <w:t>R</w:t>
            </w:r>
            <w:r w:rsidR="00AA22DE" w:rsidRPr="00DA4962">
              <w:rPr>
                <w:rFonts w:ascii="Times New Roman" w:hAnsi="Times New Roman" w:cs="Times New Roman"/>
                <w:sz w:val="24"/>
                <w:szCs w:val="28"/>
              </w:rPr>
              <w:t>egulas 115.panta 2.punkt</w:t>
            </w:r>
            <w:r w:rsidRPr="00DA4962">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42AA1B3" w14:textId="3D5D327F" w:rsidR="00AA22DE" w:rsidRPr="00DA4962" w:rsidRDefault="00DA4962" w:rsidP="00DA4962">
            <w:pPr>
              <w:spacing w:after="0" w:line="240" w:lineRule="auto"/>
              <w:rPr>
                <w:rFonts w:ascii="Times New Roman" w:hAnsi="Times New Roman" w:cs="Times New Roman"/>
                <w:spacing w:val="-2"/>
                <w:sz w:val="24"/>
                <w:szCs w:val="24"/>
                <w:highlight w:val="yellow"/>
              </w:rPr>
            </w:pPr>
            <w:r w:rsidRPr="00DA4962">
              <w:rPr>
                <w:rFonts w:ascii="Times New Roman" w:hAnsi="Times New Roman" w:cs="Times New Roman"/>
                <w:spacing w:val="-2"/>
                <w:sz w:val="24"/>
                <w:szCs w:val="24"/>
              </w:rPr>
              <w:t>36</w:t>
            </w:r>
            <w:r w:rsidR="00FD37A7" w:rsidRPr="00DA4962">
              <w:rPr>
                <w:rFonts w:ascii="Times New Roman" w:hAnsi="Times New Roman" w:cs="Times New Roman"/>
                <w:spacing w:val="-2"/>
                <w:sz w:val="24"/>
                <w:szCs w:val="24"/>
              </w:rPr>
              <w:t>.panta pirmā, otrā daļa</w:t>
            </w:r>
          </w:p>
        </w:tc>
        <w:tc>
          <w:tcPr>
            <w:tcW w:w="2657" w:type="dxa"/>
            <w:gridSpan w:val="3"/>
            <w:tcBorders>
              <w:top w:val="outset" w:sz="6" w:space="0" w:color="auto"/>
              <w:left w:val="outset" w:sz="6" w:space="0" w:color="auto"/>
              <w:bottom w:val="outset" w:sz="6" w:space="0" w:color="auto"/>
              <w:right w:val="outset" w:sz="6" w:space="0" w:color="auto"/>
            </w:tcBorders>
          </w:tcPr>
          <w:p w14:paraId="628A1629" w14:textId="080CA3CF" w:rsidR="00AA22DE" w:rsidRPr="00DD49B6" w:rsidRDefault="00783B3F"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6680FD55" w14:textId="6E102AA5"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AF5F37" w:rsidRPr="00DD49B6" w14:paraId="3A0A17A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7993972" w14:textId="71A7051F" w:rsidR="00AF5F37" w:rsidRPr="00C1149C" w:rsidRDefault="00AF5F37" w:rsidP="00AF0385">
            <w:pPr>
              <w:spacing w:after="0" w:line="240" w:lineRule="auto"/>
              <w:ind w:left="57"/>
              <w:rPr>
                <w:rFonts w:ascii="Times New Roman" w:hAnsi="Times New Roman" w:cs="Times New Roman"/>
                <w:sz w:val="24"/>
                <w:szCs w:val="26"/>
              </w:rPr>
            </w:pPr>
            <w:r w:rsidRPr="00C1149C">
              <w:rPr>
                <w:rFonts w:ascii="Times New Roman" w:hAnsi="Times New Roman" w:cs="Times New Roman"/>
                <w:sz w:val="24"/>
                <w:szCs w:val="26"/>
              </w:rPr>
              <w:t>Regulas 116.pants</w:t>
            </w:r>
          </w:p>
        </w:tc>
        <w:tc>
          <w:tcPr>
            <w:tcW w:w="2090" w:type="dxa"/>
            <w:gridSpan w:val="3"/>
            <w:tcBorders>
              <w:top w:val="outset" w:sz="6" w:space="0" w:color="auto"/>
              <w:left w:val="outset" w:sz="6" w:space="0" w:color="auto"/>
              <w:bottom w:val="outset" w:sz="6" w:space="0" w:color="auto"/>
              <w:right w:val="outset" w:sz="6" w:space="0" w:color="auto"/>
            </w:tcBorders>
          </w:tcPr>
          <w:p w14:paraId="2C3DA9B9" w14:textId="792F7F6A" w:rsidR="00AF5F37" w:rsidRDefault="006668A0"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w:t>
            </w:r>
            <w:r w:rsidR="00AF5F37">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AF5F37">
              <w:rPr>
                <w:rFonts w:ascii="Times New Roman" w:hAnsi="Times New Roman" w:cs="Times New Roman"/>
                <w:spacing w:val="-2"/>
                <w:sz w:val="24"/>
                <w:szCs w:val="24"/>
              </w:rPr>
              <w:t>daļas 7.punktā</w:t>
            </w:r>
          </w:p>
        </w:tc>
        <w:tc>
          <w:tcPr>
            <w:tcW w:w="2657" w:type="dxa"/>
            <w:gridSpan w:val="3"/>
            <w:tcBorders>
              <w:top w:val="outset" w:sz="6" w:space="0" w:color="auto"/>
              <w:left w:val="outset" w:sz="6" w:space="0" w:color="auto"/>
              <w:bottom w:val="outset" w:sz="6" w:space="0" w:color="auto"/>
              <w:right w:val="outset" w:sz="6" w:space="0" w:color="auto"/>
            </w:tcBorders>
          </w:tcPr>
          <w:p w14:paraId="54A4F9D8" w14:textId="4D250DB9" w:rsidR="00AF5F37"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5811B2ED" w14:textId="5716EEF8" w:rsidR="00AF5F37" w:rsidRPr="00AF5F37" w:rsidRDefault="00AF5F37" w:rsidP="00171D36">
            <w:pPr>
              <w:spacing w:after="0" w:line="240" w:lineRule="auto"/>
              <w:ind w:left="57"/>
              <w:rPr>
                <w:rFonts w:ascii="Times New Roman" w:hAnsi="Times New Roman" w:cs="Times New Roman"/>
                <w:b/>
                <w:spacing w:val="-2"/>
                <w:sz w:val="24"/>
                <w:szCs w:val="24"/>
              </w:rPr>
            </w:pPr>
            <w:r>
              <w:rPr>
                <w:rFonts w:ascii="Times New Roman" w:hAnsi="Times New Roman" w:cs="Times New Roman"/>
                <w:spacing w:val="-2"/>
                <w:sz w:val="24"/>
                <w:szCs w:val="24"/>
              </w:rPr>
              <w:t>Likumprojekts neparedz stingrākas prasības</w:t>
            </w:r>
          </w:p>
        </w:tc>
      </w:tr>
      <w:tr w:rsidR="00AA22DE" w:rsidRPr="00DD49B6" w14:paraId="720FC1D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6595F69" w14:textId="6C68270F" w:rsidR="00AA22DE" w:rsidRPr="008C1BAB" w:rsidRDefault="00AF0385" w:rsidP="00AF0385">
            <w:pPr>
              <w:spacing w:after="0" w:line="240" w:lineRule="auto"/>
              <w:ind w:left="57"/>
              <w:rPr>
                <w:rFonts w:ascii="Times New Roman" w:hAnsi="Times New Roman" w:cs="Times New Roman"/>
                <w:sz w:val="24"/>
                <w:szCs w:val="28"/>
              </w:rPr>
            </w:pPr>
            <w:r w:rsidRPr="008C1BAB">
              <w:rPr>
                <w:rFonts w:ascii="Times New Roman" w:hAnsi="Times New Roman" w:cs="Times New Roman"/>
                <w:sz w:val="24"/>
                <w:szCs w:val="26"/>
              </w:rPr>
              <w:t>R</w:t>
            </w:r>
            <w:r w:rsidR="00AA22DE" w:rsidRPr="008C1BAB">
              <w:rPr>
                <w:rFonts w:ascii="Times New Roman" w:hAnsi="Times New Roman" w:cs="Times New Roman"/>
                <w:sz w:val="24"/>
                <w:szCs w:val="26"/>
              </w:rPr>
              <w:t>egulas 124.pant</w:t>
            </w:r>
            <w:r w:rsidRPr="008C1BAB">
              <w:rPr>
                <w:rFonts w:ascii="Times New Roman" w:hAnsi="Times New Roman" w:cs="Times New Roman"/>
                <w:sz w:val="24"/>
                <w:szCs w:val="26"/>
              </w:rPr>
              <w:t>s</w:t>
            </w:r>
          </w:p>
        </w:tc>
        <w:tc>
          <w:tcPr>
            <w:tcW w:w="2090" w:type="dxa"/>
            <w:gridSpan w:val="3"/>
            <w:tcBorders>
              <w:top w:val="outset" w:sz="6" w:space="0" w:color="auto"/>
              <w:left w:val="outset" w:sz="6" w:space="0" w:color="auto"/>
              <w:bottom w:val="outset" w:sz="6" w:space="0" w:color="auto"/>
              <w:right w:val="outset" w:sz="6" w:space="0" w:color="auto"/>
            </w:tcBorders>
          </w:tcPr>
          <w:p w14:paraId="1DAE225A" w14:textId="2E380064" w:rsidR="00AA22DE" w:rsidRPr="008C1BAB" w:rsidRDefault="008C1BAB" w:rsidP="008C1BAB">
            <w:pPr>
              <w:spacing w:after="0" w:line="240" w:lineRule="auto"/>
              <w:ind w:left="57"/>
              <w:rPr>
                <w:rFonts w:ascii="Times New Roman" w:hAnsi="Times New Roman" w:cs="Times New Roman"/>
                <w:spacing w:val="-2"/>
                <w:sz w:val="24"/>
                <w:szCs w:val="24"/>
              </w:rPr>
            </w:pPr>
            <w:r w:rsidRPr="008C1BAB">
              <w:rPr>
                <w:rFonts w:ascii="Times New Roman" w:hAnsi="Times New Roman" w:cs="Times New Roman"/>
                <w:spacing w:val="-2"/>
                <w:sz w:val="24"/>
                <w:szCs w:val="24"/>
              </w:rPr>
              <w:t>2</w:t>
            </w:r>
            <w:r>
              <w:rPr>
                <w:rFonts w:ascii="Times New Roman" w:hAnsi="Times New Roman" w:cs="Times New Roman"/>
                <w:spacing w:val="-2"/>
                <w:sz w:val="24"/>
                <w:szCs w:val="24"/>
              </w:rPr>
              <w:t>0</w:t>
            </w:r>
            <w:r w:rsidR="00FD37A7" w:rsidRPr="008C1BAB">
              <w:rPr>
                <w:rFonts w:ascii="Times New Roman" w:hAnsi="Times New Roman" w:cs="Times New Roman"/>
                <w:spacing w:val="-2"/>
                <w:sz w:val="24"/>
                <w:szCs w:val="24"/>
              </w:rPr>
              <w:t>.panta trešā daļa</w:t>
            </w:r>
          </w:p>
        </w:tc>
        <w:tc>
          <w:tcPr>
            <w:tcW w:w="2657" w:type="dxa"/>
            <w:gridSpan w:val="3"/>
            <w:tcBorders>
              <w:top w:val="outset" w:sz="6" w:space="0" w:color="auto"/>
              <w:left w:val="outset" w:sz="6" w:space="0" w:color="auto"/>
              <w:bottom w:val="outset" w:sz="6" w:space="0" w:color="auto"/>
              <w:right w:val="outset" w:sz="6" w:space="0" w:color="auto"/>
            </w:tcBorders>
          </w:tcPr>
          <w:p w14:paraId="3C689D0E" w14:textId="1FFA86C4" w:rsidR="00AA22DE" w:rsidRPr="00DD49B6" w:rsidRDefault="00783B3F"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w:t>
            </w:r>
            <w:r w:rsidR="00AF5F37">
              <w:rPr>
                <w:rFonts w:ascii="Times New Roman" w:hAnsi="Times New Roman" w:cs="Times New Roman"/>
                <w:spacing w:val="-2"/>
                <w:sz w:val="24"/>
                <w:szCs w:val="24"/>
              </w:rPr>
              <w:t>ā</w:t>
            </w:r>
          </w:p>
        </w:tc>
        <w:tc>
          <w:tcPr>
            <w:tcW w:w="2585" w:type="dxa"/>
            <w:gridSpan w:val="2"/>
            <w:tcBorders>
              <w:top w:val="outset" w:sz="6" w:space="0" w:color="auto"/>
              <w:left w:val="outset" w:sz="6" w:space="0" w:color="auto"/>
              <w:bottom w:val="outset" w:sz="6" w:space="0" w:color="auto"/>
              <w:right w:val="outset" w:sz="6" w:space="0" w:color="auto"/>
            </w:tcBorders>
          </w:tcPr>
          <w:p w14:paraId="145DEB12" w14:textId="7D40F865" w:rsidR="00AA22DE"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1D9A1A6F"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CDE24AE" w14:textId="314B773D"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125.panta 1.punkt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71322769" w14:textId="374B0889" w:rsidR="00E42943" w:rsidRPr="00DD49B6" w:rsidRDefault="008C1BAB" w:rsidP="008C1BAB">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15.punkts</w:t>
            </w:r>
          </w:p>
        </w:tc>
        <w:tc>
          <w:tcPr>
            <w:tcW w:w="2657" w:type="dxa"/>
            <w:gridSpan w:val="3"/>
            <w:tcBorders>
              <w:top w:val="outset" w:sz="6" w:space="0" w:color="auto"/>
              <w:left w:val="outset" w:sz="6" w:space="0" w:color="auto"/>
              <w:bottom w:val="outset" w:sz="6" w:space="0" w:color="auto"/>
              <w:right w:val="outset" w:sz="6" w:space="0" w:color="auto"/>
            </w:tcBorders>
          </w:tcPr>
          <w:p w14:paraId="2C1EDF42" w14:textId="1D3D77A9"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3767A10C" w14:textId="40862FA8" w:rsidR="00E42943"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3FD56B2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BF4DC55" w14:textId="52217CDA"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 xml:space="preserve">Regulas 125.panta </w:t>
            </w:r>
            <w:r w:rsidR="008053B2" w:rsidRPr="00C1149C">
              <w:rPr>
                <w:rFonts w:ascii="Times New Roman" w:hAnsi="Times New Roman" w:cs="Times New Roman"/>
                <w:sz w:val="24"/>
                <w:szCs w:val="28"/>
              </w:rPr>
              <w:t>2.punkta a)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BB571B6" w14:textId="31817716" w:rsidR="00E42943" w:rsidRPr="00DD49B6" w:rsidRDefault="008C1BAB" w:rsidP="008C1BAB">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15.punkts</w:t>
            </w:r>
          </w:p>
        </w:tc>
        <w:tc>
          <w:tcPr>
            <w:tcW w:w="2657" w:type="dxa"/>
            <w:gridSpan w:val="3"/>
            <w:tcBorders>
              <w:top w:val="outset" w:sz="6" w:space="0" w:color="auto"/>
              <w:left w:val="outset" w:sz="6" w:space="0" w:color="auto"/>
              <w:bottom w:val="outset" w:sz="6" w:space="0" w:color="auto"/>
              <w:right w:val="outset" w:sz="6" w:space="0" w:color="auto"/>
            </w:tcBorders>
          </w:tcPr>
          <w:p w14:paraId="3AD81BE0" w14:textId="5A245487"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0FB2222A" w14:textId="76DF0856" w:rsidR="00E42943"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3644F82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0E7EE8B" w14:textId="7D3720B9" w:rsidR="008053B2"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8053B2" w:rsidRPr="00C1149C">
              <w:rPr>
                <w:rFonts w:ascii="Times New Roman" w:hAnsi="Times New Roman" w:cs="Times New Roman"/>
                <w:sz w:val="24"/>
                <w:szCs w:val="28"/>
              </w:rPr>
              <w:t>2.punkta b)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7CB70F47" w14:textId="10BC2C0E" w:rsidR="008053B2" w:rsidRPr="00DD49B6" w:rsidRDefault="008C1BAB" w:rsidP="008C1BAB">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15.punkts</w:t>
            </w:r>
          </w:p>
        </w:tc>
        <w:tc>
          <w:tcPr>
            <w:tcW w:w="2657" w:type="dxa"/>
            <w:gridSpan w:val="3"/>
            <w:tcBorders>
              <w:top w:val="outset" w:sz="6" w:space="0" w:color="auto"/>
              <w:left w:val="outset" w:sz="6" w:space="0" w:color="auto"/>
              <w:bottom w:val="outset" w:sz="6" w:space="0" w:color="auto"/>
              <w:right w:val="outset" w:sz="6" w:space="0" w:color="auto"/>
            </w:tcBorders>
          </w:tcPr>
          <w:p w14:paraId="15D20D42" w14:textId="3ECB997B"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36535732" w14:textId="654FAFF2" w:rsidR="008053B2"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2F5C6573"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F5BDFEE" w14:textId="4D3A3871"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125.panta 2.punkta c)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72AA68CD" w14:textId="2F9B7394" w:rsidR="00E42943" w:rsidRPr="00DD49B6" w:rsidRDefault="008C1BAB" w:rsidP="003C39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8.punkts</w:t>
            </w:r>
            <w:r w:rsidR="00CF6620">
              <w:rPr>
                <w:rFonts w:ascii="Times New Roman" w:hAnsi="Times New Roman" w:cs="Times New Roman"/>
                <w:spacing w:val="-2"/>
                <w:sz w:val="24"/>
                <w:szCs w:val="24"/>
              </w:rPr>
              <w:t>, 1</w:t>
            </w:r>
            <w:r w:rsidR="0035624D">
              <w:rPr>
                <w:rFonts w:ascii="Times New Roman" w:hAnsi="Times New Roman" w:cs="Times New Roman"/>
                <w:spacing w:val="-2"/>
                <w:sz w:val="24"/>
                <w:szCs w:val="24"/>
              </w:rPr>
              <w:t>2</w:t>
            </w:r>
            <w:r w:rsidR="00CF6620">
              <w:rPr>
                <w:rFonts w:ascii="Times New Roman" w:hAnsi="Times New Roman" w:cs="Times New Roman"/>
                <w:spacing w:val="-2"/>
                <w:sz w:val="24"/>
                <w:szCs w:val="24"/>
              </w:rPr>
              <w:t xml:space="preserve">.pants </w:t>
            </w:r>
            <w:r w:rsidR="00454F7A">
              <w:rPr>
                <w:rFonts w:ascii="Times New Roman" w:hAnsi="Times New Roman" w:cs="Times New Roman"/>
                <w:spacing w:val="-2"/>
                <w:sz w:val="24"/>
                <w:szCs w:val="24"/>
              </w:rPr>
              <w:t>trešās</w:t>
            </w:r>
            <w:r w:rsidR="0035624D">
              <w:rPr>
                <w:rFonts w:ascii="Times New Roman" w:hAnsi="Times New Roman" w:cs="Times New Roman"/>
                <w:spacing w:val="-2"/>
                <w:sz w:val="24"/>
                <w:szCs w:val="24"/>
              </w:rPr>
              <w:t xml:space="preserve"> </w:t>
            </w:r>
            <w:r w:rsidR="00CF6620">
              <w:rPr>
                <w:rFonts w:ascii="Times New Roman" w:hAnsi="Times New Roman" w:cs="Times New Roman"/>
                <w:spacing w:val="-2"/>
                <w:sz w:val="24"/>
                <w:szCs w:val="24"/>
              </w:rPr>
              <w:t xml:space="preserve">daļas </w:t>
            </w:r>
            <w:r w:rsidR="003C3971">
              <w:rPr>
                <w:rFonts w:ascii="Times New Roman" w:hAnsi="Times New Roman" w:cs="Times New Roman"/>
                <w:spacing w:val="-2"/>
                <w:sz w:val="24"/>
                <w:szCs w:val="24"/>
              </w:rPr>
              <w:t>6</w:t>
            </w:r>
            <w:r w:rsidR="00CF6620">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0E837B49" w14:textId="23CBE6BE"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651D47E7" w14:textId="3D1DB58D" w:rsidR="00E42943"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7F6DE49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0B280A8" w14:textId="3BD203BD" w:rsidR="008053B2" w:rsidRPr="00C1149C" w:rsidRDefault="008053B2"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Regulas 125.panta 2.punkta d) apakšpunkt</w:t>
            </w:r>
            <w:r w:rsidR="00AF0385"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0AFE9E07" w14:textId="79ADBBDF" w:rsidR="008053B2" w:rsidRPr="00DD49B6" w:rsidRDefault="0035624D" w:rsidP="003C39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12</w:t>
            </w:r>
            <w:r w:rsidR="001E3DE9">
              <w:rPr>
                <w:rFonts w:ascii="Times New Roman" w:hAnsi="Times New Roman" w:cs="Times New Roman"/>
                <w:spacing w:val="-2"/>
                <w:sz w:val="24"/>
                <w:szCs w:val="24"/>
              </w:rPr>
              <w:t xml:space="preserve">.pants </w:t>
            </w:r>
            <w:r w:rsidR="00454F7A">
              <w:rPr>
                <w:rFonts w:ascii="Times New Roman" w:hAnsi="Times New Roman" w:cs="Times New Roman"/>
                <w:spacing w:val="-2"/>
                <w:sz w:val="24"/>
                <w:szCs w:val="24"/>
              </w:rPr>
              <w:t>trešās</w:t>
            </w:r>
            <w:r>
              <w:rPr>
                <w:rFonts w:ascii="Times New Roman" w:hAnsi="Times New Roman" w:cs="Times New Roman"/>
                <w:spacing w:val="-2"/>
                <w:sz w:val="24"/>
                <w:szCs w:val="24"/>
              </w:rPr>
              <w:t xml:space="preserve"> </w:t>
            </w:r>
            <w:r w:rsidR="001E3DE9">
              <w:rPr>
                <w:rFonts w:ascii="Times New Roman" w:hAnsi="Times New Roman" w:cs="Times New Roman"/>
                <w:spacing w:val="-2"/>
                <w:sz w:val="24"/>
                <w:szCs w:val="24"/>
              </w:rPr>
              <w:t xml:space="preserve">daļas </w:t>
            </w:r>
            <w:r w:rsidR="003C3971">
              <w:rPr>
                <w:rFonts w:ascii="Times New Roman" w:hAnsi="Times New Roman" w:cs="Times New Roman"/>
                <w:spacing w:val="-2"/>
                <w:sz w:val="24"/>
                <w:szCs w:val="24"/>
              </w:rPr>
              <w:t>15</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650122B8" w14:textId="605FBF71"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779DE52D" w14:textId="37CAA582" w:rsidR="008053B2"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2EBF190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1AB7604" w14:textId="2E17A4A4" w:rsidR="008053B2"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125.panta 2.punkta e)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69DB4AFF" w14:textId="2CB5CAE9" w:rsidR="008053B2" w:rsidRPr="00DD49B6" w:rsidRDefault="0035624D" w:rsidP="003C39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11</w:t>
            </w:r>
            <w:r w:rsidR="00CF6620">
              <w:rPr>
                <w:rFonts w:ascii="Times New Roman" w:hAnsi="Times New Roman" w:cs="Times New Roman"/>
                <w:spacing w:val="-2"/>
                <w:sz w:val="24"/>
                <w:szCs w:val="24"/>
              </w:rPr>
              <w:t xml:space="preserve">.pants </w:t>
            </w:r>
            <w:r w:rsidR="003C3971">
              <w:rPr>
                <w:rFonts w:ascii="Times New Roman" w:hAnsi="Times New Roman" w:cs="Times New Roman"/>
                <w:spacing w:val="-2"/>
                <w:sz w:val="24"/>
                <w:szCs w:val="24"/>
              </w:rPr>
              <w:t xml:space="preserve">trešās </w:t>
            </w:r>
            <w:r w:rsidR="00CF6620">
              <w:rPr>
                <w:rFonts w:ascii="Times New Roman" w:hAnsi="Times New Roman" w:cs="Times New Roman"/>
                <w:spacing w:val="-2"/>
                <w:sz w:val="24"/>
                <w:szCs w:val="24"/>
              </w:rPr>
              <w:t xml:space="preserve">daļas </w:t>
            </w:r>
            <w:r>
              <w:rPr>
                <w:rFonts w:ascii="Times New Roman" w:hAnsi="Times New Roman" w:cs="Times New Roman"/>
                <w:spacing w:val="-2"/>
                <w:sz w:val="24"/>
                <w:szCs w:val="24"/>
              </w:rPr>
              <w:t>8</w:t>
            </w:r>
            <w:r w:rsidR="00CF6620">
              <w:rPr>
                <w:rFonts w:ascii="Times New Roman" w:hAnsi="Times New Roman" w:cs="Times New Roman"/>
                <w:spacing w:val="-2"/>
                <w:sz w:val="24"/>
                <w:szCs w:val="24"/>
              </w:rPr>
              <w:t>.punkts</w:t>
            </w:r>
            <w:r w:rsidR="00D21EF7">
              <w:rPr>
                <w:rFonts w:ascii="Times New Roman" w:hAnsi="Times New Roman" w:cs="Times New Roman"/>
                <w:spacing w:val="-2"/>
                <w:sz w:val="24"/>
                <w:szCs w:val="24"/>
              </w:rPr>
              <w:t xml:space="preserve">, </w:t>
            </w:r>
            <w:r w:rsidR="0046012D">
              <w:rPr>
                <w:rFonts w:ascii="Times New Roman" w:hAnsi="Times New Roman" w:cs="Times New Roman"/>
                <w:spacing w:val="-2"/>
                <w:sz w:val="24"/>
                <w:szCs w:val="24"/>
              </w:rPr>
              <w:t>12</w:t>
            </w:r>
            <w:r w:rsidR="00D21EF7">
              <w:rPr>
                <w:rFonts w:ascii="Times New Roman" w:hAnsi="Times New Roman" w:cs="Times New Roman"/>
                <w:spacing w:val="-2"/>
                <w:sz w:val="24"/>
                <w:szCs w:val="24"/>
              </w:rPr>
              <w:t xml:space="preserve">.pants </w:t>
            </w:r>
            <w:r w:rsidR="00454F7A">
              <w:rPr>
                <w:rFonts w:ascii="Times New Roman" w:hAnsi="Times New Roman" w:cs="Times New Roman"/>
                <w:spacing w:val="-2"/>
                <w:sz w:val="24"/>
                <w:szCs w:val="24"/>
              </w:rPr>
              <w:t>trešās</w:t>
            </w:r>
            <w:r w:rsidR="0046012D">
              <w:rPr>
                <w:rFonts w:ascii="Times New Roman" w:hAnsi="Times New Roman" w:cs="Times New Roman"/>
                <w:spacing w:val="-2"/>
                <w:sz w:val="24"/>
                <w:szCs w:val="24"/>
              </w:rPr>
              <w:t xml:space="preserve"> </w:t>
            </w:r>
            <w:r w:rsidR="00D21EF7">
              <w:rPr>
                <w:rFonts w:ascii="Times New Roman" w:hAnsi="Times New Roman" w:cs="Times New Roman"/>
                <w:spacing w:val="-2"/>
                <w:sz w:val="24"/>
                <w:szCs w:val="24"/>
              </w:rPr>
              <w:t xml:space="preserve">daļas </w:t>
            </w:r>
            <w:r w:rsidR="003C3971">
              <w:rPr>
                <w:rFonts w:ascii="Times New Roman" w:hAnsi="Times New Roman" w:cs="Times New Roman"/>
                <w:spacing w:val="-2"/>
                <w:sz w:val="24"/>
                <w:szCs w:val="24"/>
              </w:rPr>
              <w:t>8</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1CD906C9" w14:textId="544049A3"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CE600F2" w14:textId="743C4A69" w:rsidR="008053B2"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099B3C7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6ACC246" w14:textId="5557027E"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 xml:space="preserve">egulas 125.panta </w:t>
            </w:r>
            <w:r w:rsidR="008053B2" w:rsidRPr="00C1149C">
              <w:rPr>
                <w:rFonts w:ascii="Times New Roman" w:hAnsi="Times New Roman" w:cs="Times New Roman"/>
                <w:sz w:val="24"/>
                <w:szCs w:val="28"/>
              </w:rPr>
              <w:lastRenderedPageBreak/>
              <w:t>3.punkta a)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2CA5B493" w14:textId="553609EF" w:rsidR="00E42943" w:rsidRPr="00DD49B6" w:rsidRDefault="0046012D" w:rsidP="003C39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lastRenderedPageBreak/>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 xml:space="preserve">daļas </w:t>
            </w:r>
            <w:r w:rsidR="00F46D80">
              <w:rPr>
                <w:rFonts w:ascii="Times New Roman" w:hAnsi="Times New Roman" w:cs="Times New Roman"/>
                <w:spacing w:val="-2"/>
                <w:sz w:val="24"/>
                <w:szCs w:val="24"/>
              </w:rPr>
              <w:lastRenderedPageBreak/>
              <w:t xml:space="preserve">9.punkts, </w:t>
            </w:r>
            <w:r>
              <w:rPr>
                <w:rFonts w:ascii="Times New Roman" w:hAnsi="Times New Roman" w:cs="Times New Roman"/>
                <w:spacing w:val="-2"/>
                <w:sz w:val="24"/>
                <w:szCs w:val="24"/>
              </w:rPr>
              <w:t>11</w:t>
            </w:r>
            <w:r w:rsidR="00F46D80">
              <w:rPr>
                <w:rFonts w:ascii="Times New Roman" w:hAnsi="Times New Roman" w:cs="Times New Roman"/>
                <w:spacing w:val="-2"/>
                <w:sz w:val="24"/>
                <w:szCs w:val="24"/>
              </w:rPr>
              <w:t xml:space="preserve">.pants </w:t>
            </w:r>
            <w:r w:rsidR="003C3971">
              <w:rPr>
                <w:rFonts w:ascii="Times New Roman" w:hAnsi="Times New Roman" w:cs="Times New Roman"/>
                <w:spacing w:val="-2"/>
                <w:sz w:val="24"/>
                <w:szCs w:val="24"/>
              </w:rPr>
              <w:t xml:space="preserve">trešās </w:t>
            </w:r>
            <w:r w:rsidR="00F46D80">
              <w:rPr>
                <w:rFonts w:ascii="Times New Roman" w:hAnsi="Times New Roman" w:cs="Times New Roman"/>
                <w:spacing w:val="-2"/>
                <w:sz w:val="24"/>
                <w:szCs w:val="24"/>
              </w:rPr>
              <w:t>daļas 4.punkts</w:t>
            </w:r>
            <w:r w:rsidR="00CF6620">
              <w:rPr>
                <w:rFonts w:ascii="Times New Roman" w:hAnsi="Times New Roman" w:cs="Times New Roman"/>
                <w:spacing w:val="-2"/>
                <w:sz w:val="24"/>
                <w:szCs w:val="24"/>
              </w:rPr>
              <w:t xml:space="preserve">, </w:t>
            </w:r>
            <w:r>
              <w:rPr>
                <w:rFonts w:ascii="Times New Roman" w:hAnsi="Times New Roman" w:cs="Times New Roman"/>
                <w:spacing w:val="-2"/>
                <w:sz w:val="24"/>
                <w:szCs w:val="24"/>
              </w:rPr>
              <w:t>12</w:t>
            </w:r>
            <w:r w:rsidR="00CF6620">
              <w:rPr>
                <w:rFonts w:ascii="Times New Roman" w:hAnsi="Times New Roman" w:cs="Times New Roman"/>
                <w:spacing w:val="-2"/>
                <w:sz w:val="24"/>
                <w:szCs w:val="24"/>
              </w:rPr>
              <w:t xml:space="preserve">.pants </w:t>
            </w:r>
            <w:r w:rsidR="00454F7A">
              <w:rPr>
                <w:rFonts w:ascii="Times New Roman" w:hAnsi="Times New Roman" w:cs="Times New Roman"/>
                <w:spacing w:val="-2"/>
                <w:sz w:val="24"/>
                <w:szCs w:val="24"/>
              </w:rPr>
              <w:t>trešās</w:t>
            </w:r>
            <w:r>
              <w:rPr>
                <w:rFonts w:ascii="Times New Roman" w:hAnsi="Times New Roman" w:cs="Times New Roman"/>
                <w:spacing w:val="-2"/>
                <w:sz w:val="24"/>
                <w:szCs w:val="24"/>
              </w:rPr>
              <w:t xml:space="preserve"> </w:t>
            </w:r>
            <w:r w:rsidR="00CF6620">
              <w:rPr>
                <w:rFonts w:ascii="Times New Roman" w:hAnsi="Times New Roman" w:cs="Times New Roman"/>
                <w:spacing w:val="-2"/>
                <w:sz w:val="24"/>
                <w:szCs w:val="24"/>
              </w:rPr>
              <w:t xml:space="preserve">daļas </w:t>
            </w:r>
            <w:r>
              <w:rPr>
                <w:rFonts w:ascii="Times New Roman" w:hAnsi="Times New Roman" w:cs="Times New Roman"/>
                <w:spacing w:val="-2"/>
                <w:sz w:val="24"/>
                <w:szCs w:val="24"/>
              </w:rPr>
              <w:t>3</w:t>
            </w:r>
            <w:r w:rsidR="00CF6620">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6C0D2745" w14:textId="4155C828"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lastRenderedPageBreak/>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FA860ED" w14:textId="47FF8459" w:rsidR="00E42943"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Likumprojekts neparedz </w:t>
            </w:r>
            <w:r>
              <w:rPr>
                <w:rFonts w:ascii="Times New Roman" w:hAnsi="Times New Roman" w:cs="Times New Roman"/>
                <w:spacing w:val="-2"/>
                <w:sz w:val="24"/>
                <w:szCs w:val="24"/>
              </w:rPr>
              <w:lastRenderedPageBreak/>
              <w:t>stingrākas prasības</w:t>
            </w:r>
          </w:p>
        </w:tc>
      </w:tr>
      <w:tr w:rsidR="008053B2" w:rsidRPr="00DD49B6" w14:paraId="119F309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DB69124" w14:textId="19773927" w:rsidR="008053B2" w:rsidRPr="00C1149C" w:rsidRDefault="008053B2"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lastRenderedPageBreak/>
              <w:t>Regulas 125.panta 3.punkta b) apakšpunkt</w:t>
            </w:r>
            <w:r w:rsidR="00AF0385"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0FEAF49D" w14:textId="3A027448" w:rsidR="008053B2" w:rsidRPr="00DD49B6" w:rsidRDefault="00CF6620" w:rsidP="00454F7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12.pants </w:t>
            </w:r>
            <w:r w:rsidR="00454F7A">
              <w:rPr>
                <w:rFonts w:ascii="Times New Roman" w:hAnsi="Times New Roman" w:cs="Times New Roman"/>
                <w:spacing w:val="-2"/>
                <w:sz w:val="24"/>
                <w:szCs w:val="24"/>
              </w:rPr>
              <w:t>trešās</w:t>
            </w:r>
            <w:r w:rsidR="00E541D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daļas </w:t>
            </w:r>
            <w:r w:rsidR="0046012D">
              <w:rPr>
                <w:rFonts w:ascii="Times New Roman" w:hAnsi="Times New Roman" w:cs="Times New Roman"/>
                <w:spacing w:val="-2"/>
                <w:sz w:val="24"/>
                <w:szCs w:val="24"/>
              </w:rPr>
              <w:t>6</w:t>
            </w:r>
            <w:r>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43B6D91E" w14:textId="12EC8D7C"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58B42292" w14:textId="30851AE2" w:rsidR="008053B2" w:rsidRPr="00DD49B6" w:rsidRDefault="0032763C"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7A772078"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1A5BF0C" w14:textId="583E323B" w:rsidR="008053B2" w:rsidRPr="00C1149C" w:rsidRDefault="008053B2"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Regulas 125.panta 3.punkta c) apakšpunkt</w:t>
            </w:r>
            <w:r w:rsidR="00AF0385"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2E9F2659" w14:textId="09D0A80A" w:rsidR="008053B2" w:rsidRPr="00DD49B6" w:rsidRDefault="00F46D80" w:rsidP="0028467D">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12.pants </w:t>
            </w:r>
            <w:r w:rsidR="00454F7A">
              <w:rPr>
                <w:rFonts w:ascii="Times New Roman" w:hAnsi="Times New Roman" w:cs="Times New Roman"/>
                <w:spacing w:val="-2"/>
                <w:sz w:val="24"/>
                <w:szCs w:val="24"/>
              </w:rPr>
              <w:t>trešās</w:t>
            </w:r>
            <w:r w:rsidR="00E541D6">
              <w:rPr>
                <w:rFonts w:ascii="Times New Roman" w:hAnsi="Times New Roman" w:cs="Times New Roman"/>
                <w:spacing w:val="-2"/>
                <w:sz w:val="24"/>
                <w:szCs w:val="24"/>
              </w:rPr>
              <w:t xml:space="preserve"> </w:t>
            </w:r>
            <w:r>
              <w:rPr>
                <w:rFonts w:ascii="Times New Roman" w:hAnsi="Times New Roman" w:cs="Times New Roman"/>
                <w:spacing w:val="-2"/>
                <w:sz w:val="24"/>
                <w:szCs w:val="24"/>
              </w:rPr>
              <w:t>daļas 4.punkts</w:t>
            </w:r>
          </w:p>
        </w:tc>
        <w:tc>
          <w:tcPr>
            <w:tcW w:w="2657" w:type="dxa"/>
            <w:gridSpan w:val="3"/>
            <w:tcBorders>
              <w:top w:val="outset" w:sz="6" w:space="0" w:color="auto"/>
              <w:left w:val="outset" w:sz="6" w:space="0" w:color="auto"/>
              <w:bottom w:val="outset" w:sz="6" w:space="0" w:color="auto"/>
              <w:right w:val="outset" w:sz="6" w:space="0" w:color="auto"/>
            </w:tcBorders>
          </w:tcPr>
          <w:p w14:paraId="2A8EE8E5" w14:textId="17FC978E"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7895462" w14:textId="08AFD8F6" w:rsidR="008053B2"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41305570"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40EBA3C" w14:textId="617FE489" w:rsidR="00F16D0A"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F16D0A" w:rsidRPr="00C1149C">
              <w:rPr>
                <w:rFonts w:ascii="Times New Roman" w:hAnsi="Times New Roman" w:cs="Times New Roman"/>
                <w:sz w:val="24"/>
                <w:szCs w:val="28"/>
              </w:rPr>
              <w:t>3.punkta d)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740B8FFF" w14:textId="152805FF" w:rsidR="00F16D0A" w:rsidRPr="00DD49B6" w:rsidRDefault="0016546C" w:rsidP="003C3971">
            <w:pPr>
              <w:spacing w:after="0" w:line="240" w:lineRule="auto"/>
              <w:ind w:left="57"/>
              <w:rPr>
                <w:rFonts w:ascii="Times New Roman" w:hAnsi="Times New Roman" w:cs="Times New Roman"/>
                <w:spacing w:val="-2"/>
                <w:sz w:val="24"/>
                <w:szCs w:val="24"/>
              </w:rPr>
            </w:pPr>
            <w:r w:rsidRPr="0016546C">
              <w:rPr>
                <w:rFonts w:ascii="Times New Roman" w:hAnsi="Times New Roman" w:cs="Times New Roman"/>
                <w:spacing w:val="-2"/>
                <w:sz w:val="24"/>
                <w:szCs w:val="24"/>
              </w:rPr>
              <w:t>1</w:t>
            </w:r>
            <w:r w:rsidRPr="0028467D">
              <w:rPr>
                <w:rFonts w:ascii="Times New Roman" w:hAnsi="Times New Roman" w:cs="Times New Roman"/>
                <w:spacing w:val="-2"/>
                <w:sz w:val="24"/>
                <w:szCs w:val="24"/>
              </w:rPr>
              <w:t>2</w:t>
            </w:r>
            <w:r w:rsidR="00D21EF7" w:rsidRPr="0016546C">
              <w:rPr>
                <w:rFonts w:ascii="Times New Roman" w:hAnsi="Times New Roman" w:cs="Times New Roman"/>
                <w:spacing w:val="-2"/>
                <w:sz w:val="24"/>
                <w:szCs w:val="24"/>
              </w:rPr>
              <w:t xml:space="preserve">.pants </w:t>
            </w:r>
            <w:r w:rsidR="00454F7A">
              <w:rPr>
                <w:rFonts w:ascii="Times New Roman" w:hAnsi="Times New Roman" w:cs="Times New Roman"/>
                <w:spacing w:val="-2"/>
                <w:sz w:val="24"/>
                <w:szCs w:val="24"/>
              </w:rPr>
              <w:t>trešās</w:t>
            </w:r>
            <w:r w:rsidRPr="0016546C">
              <w:rPr>
                <w:rFonts w:ascii="Times New Roman" w:hAnsi="Times New Roman" w:cs="Times New Roman"/>
                <w:spacing w:val="-2"/>
                <w:sz w:val="24"/>
                <w:szCs w:val="24"/>
              </w:rPr>
              <w:t xml:space="preserve"> </w:t>
            </w:r>
            <w:r w:rsidR="00D21EF7" w:rsidRPr="0016546C">
              <w:rPr>
                <w:rFonts w:ascii="Times New Roman" w:hAnsi="Times New Roman" w:cs="Times New Roman"/>
                <w:spacing w:val="-2"/>
                <w:sz w:val="24"/>
                <w:szCs w:val="24"/>
              </w:rPr>
              <w:t xml:space="preserve">daļas </w:t>
            </w:r>
            <w:r w:rsidR="003C3971">
              <w:rPr>
                <w:rFonts w:ascii="Times New Roman" w:hAnsi="Times New Roman" w:cs="Times New Roman"/>
                <w:spacing w:val="-2"/>
                <w:sz w:val="24"/>
                <w:szCs w:val="24"/>
              </w:rPr>
              <w:t>8</w:t>
            </w:r>
            <w:r w:rsidR="00D21EF7" w:rsidRPr="0016546C">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7AA021BE" w14:textId="504EDD54"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6C3B7CD1" w14:textId="5D230CD0"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2C88AFB6"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4A78BC" w14:textId="2E6E7C4A" w:rsidR="00F16D0A"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F16D0A" w:rsidRPr="00C1149C">
              <w:rPr>
                <w:rFonts w:ascii="Times New Roman" w:hAnsi="Times New Roman" w:cs="Times New Roman"/>
                <w:sz w:val="24"/>
                <w:szCs w:val="28"/>
              </w:rPr>
              <w:t>3.punkta e)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2206B657" w14:textId="4D555A9D" w:rsidR="00F16D0A" w:rsidRPr="00DD49B6" w:rsidRDefault="0016546C" w:rsidP="0016546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14</w:t>
            </w:r>
            <w:r w:rsidR="00D21EF7">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otrās </w:t>
            </w:r>
            <w:r w:rsidR="00D21EF7">
              <w:rPr>
                <w:rFonts w:ascii="Times New Roman" w:hAnsi="Times New Roman" w:cs="Times New Roman"/>
                <w:spacing w:val="-2"/>
                <w:sz w:val="24"/>
                <w:szCs w:val="24"/>
              </w:rPr>
              <w:t xml:space="preserve">daļas </w:t>
            </w:r>
            <w:r>
              <w:rPr>
                <w:rFonts w:ascii="Times New Roman" w:hAnsi="Times New Roman" w:cs="Times New Roman"/>
                <w:spacing w:val="-2"/>
                <w:sz w:val="24"/>
                <w:szCs w:val="24"/>
              </w:rPr>
              <w:t>7</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768DECC3" w14:textId="7C8DC8F0"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3DC0E7C8" w14:textId="24AF714A"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15269716"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FD2B63E" w14:textId="5511F99C" w:rsidR="008053B2" w:rsidRPr="00C1149C" w:rsidRDefault="008053B2"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Regulas 125.panta 3.punkta f) apakšpunkt</w:t>
            </w:r>
            <w:r w:rsidR="00AF0385"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11A63960" w14:textId="3B7AB7E4" w:rsidR="008053B2" w:rsidRPr="00DD49B6" w:rsidRDefault="0016546C" w:rsidP="003C39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11</w:t>
            </w:r>
            <w:r w:rsidR="00F46D80">
              <w:rPr>
                <w:rFonts w:ascii="Times New Roman" w:hAnsi="Times New Roman" w:cs="Times New Roman"/>
                <w:spacing w:val="-2"/>
                <w:sz w:val="24"/>
                <w:szCs w:val="24"/>
              </w:rPr>
              <w:t xml:space="preserve">.pants </w:t>
            </w:r>
            <w:r w:rsidR="003C3971">
              <w:rPr>
                <w:rFonts w:ascii="Times New Roman" w:hAnsi="Times New Roman" w:cs="Times New Roman"/>
                <w:spacing w:val="-2"/>
                <w:sz w:val="24"/>
                <w:szCs w:val="24"/>
              </w:rPr>
              <w:t xml:space="preserve">trešās </w:t>
            </w:r>
            <w:r w:rsidR="00F46D80">
              <w:rPr>
                <w:rFonts w:ascii="Times New Roman" w:hAnsi="Times New Roman" w:cs="Times New Roman"/>
                <w:spacing w:val="-2"/>
                <w:sz w:val="24"/>
                <w:szCs w:val="24"/>
              </w:rPr>
              <w:t>daļas 4.punkts</w:t>
            </w:r>
            <w:r>
              <w:rPr>
                <w:rFonts w:ascii="Times New Roman" w:hAnsi="Times New Roman" w:cs="Times New Roman"/>
                <w:spacing w:val="-2"/>
                <w:sz w:val="24"/>
                <w:szCs w:val="24"/>
              </w:rPr>
              <w:t xml:space="preserve">, 12.panta </w:t>
            </w:r>
            <w:r w:rsidR="00454F7A">
              <w:rPr>
                <w:rFonts w:ascii="Times New Roman" w:hAnsi="Times New Roman" w:cs="Times New Roman"/>
                <w:spacing w:val="-2"/>
                <w:sz w:val="24"/>
                <w:szCs w:val="24"/>
              </w:rPr>
              <w:t>trešās</w:t>
            </w:r>
            <w:r>
              <w:rPr>
                <w:rFonts w:ascii="Times New Roman" w:hAnsi="Times New Roman" w:cs="Times New Roman"/>
                <w:spacing w:val="-2"/>
                <w:sz w:val="24"/>
                <w:szCs w:val="24"/>
              </w:rPr>
              <w:t xml:space="preserve"> daļas 3.punkts</w:t>
            </w:r>
          </w:p>
        </w:tc>
        <w:tc>
          <w:tcPr>
            <w:tcW w:w="2657" w:type="dxa"/>
            <w:gridSpan w:val="3"/>
            <w:tcBorders>
              <w:top w:val="outset" w:sz="6" w:space="0" w:color="auto"/>
              <w:left w:val="outset" w:sz="6" w:space="0" w:color="auto"/>
              <w:bottom w:val="outset" w:sz="6" w:space="0" w:color="auto"/>
              <w:right w:val="outset" w:sz="6" w:space="0" w:color="auto"/>
            </w:tcBorders>
          </w:tcPr>
          <w:p w14:paraId="30F3CAFA" w14:textId="66628ED4"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13BEAE04" w14:textId="7999E2AB" w:rsidR="008053B2"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6009603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619C9FE" w14:textId="0C91CC80" w:rsidR="008053B2"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8053B2" w:rsidRPr="00C1149C">
              <w:rPr>
                <w:rFonts w:ascii="Times New Roman" w:hAnsi="Times New Roman" w:cs="Times New Roman"/>
                <w:sz w:val="24"/>
                <w:szCs w:val="28"/>
              </w:rPr>
              <w:t>3.punkta  g)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667013F" w14:textId="2570EF02" w:rsidR="008053B2" w:rsidRPr="00DD49B6" w:rsidRDefault="0016546C" w:rsidP="0016546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15.punkts</w:t>
            </w:r>
          </w:p>
        </w:tc>
        <w:tc>
          <w:tcPr>
            <w:tcW w:w="2657" w:type="dxa"/>
            <w:gridSpan w:val="3"/>
            <w:tcBorders>
              <w:top w:val="outset" w:sz="6" w:space="0" w:color="auto"/>
              <w:left w:val="outset" w:sz="6" w:space="0" w:color="auto"/>
              <w:bottom w:val="outset" w:sz="6" w:space="0" w:color="auto"/>
              <w:right w:val="outset" w:sz="6" w:space="0" w:color="auto"/>
            </w:tcBorders>
          </w:tcPr>
          <w:p w14:paraId="28A79DE9" w14:textId="6E0E4DBA"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161CD2F" w14:textId="1F99C291" w:rsidR="008053B2"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799EE768"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6844155" w14:textId="7B7476EB" w:rsidR="00F16D0A"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F16D0A" w:rsidRPr="00C1149C">
              <w:rPr>
                <w:rFonts w:ascii="Times New Roman" w:hAnsi="Times New Roman" w:cs="Times New Roman"/>
                <w:sz w:val="24"/>
                <w:szCs w:val="28"/>
              </w:rPr>
              <w:t>4.punkta a)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ACB13A6" w14:textId="6DED7EC4" w:rsidR="00F16D0A" w:rsidRPr="00DD49B6" w:rsidRDefault="00454F7A" w:rsidP="00864BD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12</w:t>
            </w:r>
            <w:r w:rsidR="00D21EF7">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trešās </w:t>
            </w:r>
            <w:r w:rsidR="00D21EF7">
              <w:rPr>
                <w:rFonts w:ascii="Times New Roman" w:hAnsi="Times New Roman" w:cs="Times New Roman"/>
                <w:spacing w:val="-2"/>
                <w:sz w:val="24"/>
                <w:szCs w:val="24"/>
              </w:rPr>
              <w:t xml:space="preserve">daļas </w:t>
            </w:r>
            <w:r w:rsidR="00864BD1">
              <w:rPr>
                <w:rFonts w:ascii="Times New Roman" w:hAnsi="Times New Roman" w:cs="Times New Roman"/>
                <w:spacing w:val="-2"/>
                <w:sz w:val="24"/>
                <w:szCs w:val="24"/>
              </w:rPr>
              <w:t>8</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1BBDA2DF" w14:textId="35C8DC4C"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551DF723" w14:textId="68CA05AC"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666DA9E0"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0207DFC" w14:textId="6015ABFC" w:rsidR="00F16D0A"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F16D0A" w:rsidRPr="00C1149C">
              <w:rPr>
                <w:rFonts w:ascii="Times New Roman" w:hAnsi="Times New Roman" w:cs="Times New Roman"/>
                <w:sz w:val="24"/>
                <w:szCs w:val="28"/>
              </w:rPr>
              <w:t>4.punkta  b)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598E1A77" w14:textId="4B251658" w:rsidR="00F16D0A" w:rsidRPr="00DD49B6" w:rsidRDefault="00454F7A" w:rsidP="00864BD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12</w:t>
            </w:r>
            <w:r w:rsidR="00D21EF7">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trešās </w:t>
            </w:r>
            <w:r w:rsidR="00D21EF7">
              <w:rPr>
                <w:rFonts w:ascii="Times New Roman" w:hAnsi="Times New Roman" w:cs="Times New Roman"/>
                <w:spacing w:val="-2"/>
                <w:sz w:val="24"/>
                <w:szCs w:val="24"/>
              </w:rPr>
              <w:t xml:space="preserve">daļas </w:t>
            </w:r>
            <w:r w:rsidR="00864BD1">
              <w:rPr>
                <w:rFonts w:ascii="Times New Roman" w:hAnsi="Times New Roman" w:cs="Times New Roman"/>
                <w:spacing w:val="-2"/>
                <w:sz w:val="24"/>
                <w:szCs w:val="24"/>
              </w:rPr>
              <w:t>8</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3B9A32FA" w14:textId="75B80FAC"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25A2824E" w14:textId="29487EE3"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8053B2" w:rsidRPr="00DD49B6" w14:paraId="409AC0E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AC61853" w14:textId="68A219EB" w:rsidR="008053B2"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8053B2" w:rsidRPr="00C1149C">
              <w:rPr>
                <w:rFonts w:ascii="Times New Roman" w:hAnsi="Times New Roman" w:cs="Times New Roman"/>
                <w:sz w:val="24"/>
                <w:szCs w:val="28"/>
              </w:rPr>
              <w:t>4.punkta c)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0C9FE2AD" w14:textId="68D71298" w:rsidR="008053B2" w:rsidRPr="00DD49B6" w:rsidRDefault="00454F7A" w:rsidP="00864BD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daļas 1</w:t>
            </w:r>
            <w:r w:rsidR="001E3DE9">
              <w:rPr>
                <w:rFonts w:ascii="Times New Roman" w:hAnsi="Times New Roman" w:cs="Times New Roman"/>
                <w:spacing w:val="-2"/>
                <w:sz w:val="24"/>
                <w:szCs w:val="24"/>
              </w:rPr>
              <w:t>1</w:t>
            </w:r>
            <w:r w:rsidR="00F46D80">
              <w:rPr>
                <w:rFonts w:ascii="Times New Roman" w:hAnsi="Times New Roman" w:cs="Times New Roman"/>
                <w:spacing w:val="-2"/>
                <w:sz w:val="24"/>
                <w:szCs w:val="24"/>
              </w:rPr>
              <w:t>.punkts</w:t>
            </w:r>
            <w:r w:rsidR="00D21EF7">
              <w:rPr>
                <w:rFonts w:ascii="Times New Roman" w:hAnsi="Times New Roman" w:cs="Times New Roman"/>
                <w:spacing w:val="-2"/>
                <w:sz w:val="24"/>
                <w:szCs w:val="24"/>
              </w:rPr>
              <w:t xml:space="preserve">, </w:t>
            </w:r>
            <w:r>
              <w:rPr>
                <w:rFonts w:ascii="Times New Roman" w:hAnsi="Times New Roman" w:cs="Times New Roman"/>
                <w:spacing w:val="-2"/>
                <w:sz w:val="24"/>
                <w:szCs w:val="24"/>
              </w:rPr>
              <w:t>12</w:t>
            </w:r>
            <w:r w:rsidR="00D21EF7">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trešās </w:t>
            </w:r>
            <w:r w:rsidR="00D21EF7">
              <w:rPr>
                <w:rFonts w:ascii="Times New Roman" w:hAnsi="Times New Roman" w:cs="Times New Roman"/>
                <w:spacing w:val="-2"/>
                <w:sz w:val="24"/>
                <w:szCs w:val="24"/>
              </w:rPr>
              <w:t xml:space="preserve">daļas </w:t>
            </w:r>
            <w:r w:rsidR="00864BD1">
              <w:rPr>
                <w:rFonts w:ascii="Times New Roman" w:hAnsi="Times New Roman" w:cs="Times New Roman"/>
                <w:spacing w:val="-2"/>
                <w:sz w:val="24"/>
                <w:szCs w:val="24"/>
              </w:rPr>
              <w:t>8</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6CC7B500" w14:textId="313E1EF0" w:rsidR="008053B2"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477BD02" w14:textId="5D38976A" w:rsidR="008053B2"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24B3521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36A7473" w14:textId="1939A448"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125.panta 4.punkta d)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4602187F" w14:textId="4D7A11A8" w:rsidR="00E42943" w:rsidRPr="00DD49B6" w:rsidRDefault="00454F7A" w:rsidP="00864BD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F46D80">
              <w:rPr>
                <w:rFonts w:ascii="Times New Roman" w:hAnsi="Times New Roman" w:cs="Times New Roman"/>
                <w:spacing w:val="-2"/>
                <w:sz w:val="24"/>
                <w:szCs w:val="24"/>
              </w:rPr>
              <w:t xml:space="preserve">daļas 10.punkts, </w:t>
            </w:r>
            <w:r>
              <w:rPr>
                <w:rFonts w:ascii="Times New Roman" w:hAnsi="Times New Roman" w:cs="Times New Roman"/>
                <w:spacing w:val="-2"/>
                <w:sz w:val="24"/>
                <w:szCs w:val="24"/>
              </w:rPr>
              <w:t>11</w:t>
            </w:r>
            <w:r w:rsidR="00F46D80">
              <w:rPr>
                <w:rFonts w:ascii="Times New Roman" w:hAnsi="Times New Roman" w:cs="Times New Roman"/>
                <w:spacing w:val="-2"/>
                <w:sz w:val="24"/>
                <w:szCs w:val="24"/>
              </w:rPr>
              <w:t xml:space="preserve">.pants </w:t>
            </w:r>
            <w:r w:rsidR="00864BD1">
              <w:rPr>
                <w:rFonts w:ascii="Times New Roman" w:hAnsi="Times New Roman" w:cs="Times New Roman"/>
                <w:spacing w:val="-2"/>
                <w:sz w:val="24"/>
                <w:szCs w:val="24"/>
              </w:rPr>
              <w:t xml:space="preserve">trešās </w:t>
            </w:r>
            <w:r w:rsidR="00F46D80">
              <w:rPr>
                <w:rFonts w:ascii="Times New Roman" w:hAnsi="Times New Roman" w:cs="Times New Roman"/>
                <w:spacing w:val="-2"/>
                <w:sz w:val="24"/>
                <w:szCs w:val="24"/>
              </w:rPr>
              <w:t>daļas</w:t>
            </w:r>
            <w:r w:rsidR="00CF6620">
              <w:rPr>
                <w:rFonts w:ascii="Times New Roman" w:hAnsi="Times New Roman" w:cs="Times New Roman"/>
                <w:spacing w:val="-2"/>
                <w:sz w:val="24"/>
                <w:szCs w:val="24"/>
              </w:rPr>
              <w:t xml:space="preserve"> 6.punkts, </w:t>
            </w:r>
            <w:r>
              <w:rPr>
                <w:rFonts w:ascii="Times New Roman" w:hAnsi="Times New Roman" w:cs="Times New Roman"/>
                <w:spacing w:val="-2"/>
                <w:sz w:val="24"/>
                <w:szCs w:val="24"/>
              </w:rPr>
              <w:t>12</w:t>
            </w:r>
            <w:r w:rsidR="00CF6620">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trešās </w:t>
            </w:r>
            <w:r w:rsidR="00CF6620">
              <w:rPr>
                <w:rFonts w:ascii="Times New Roman" w:hAnsi="Times New Roman" w:cs="Times New Roman"/>
                <w:spacing w:val="-2"/>
                <w:sz w:val="24"/>
                <w:szCs w:val="24"/>
              </w:rPr>
              <w:t xml:space="preserve">daļas </w:t>
            </w:r>
            <w:r w:rsidR="00864BD1">
              <w:rPr>
                <w:rFonts w:ascii="Times New Roman" w:hAnsi="Times New Roman" w:cs="Times New Roman"/>
                <w:spacing w:val="-2"/>
                <w:sz w:val="24"/>
                <w:szCs w:val="24"/>
              </w:rPr>
              <w:t>11</w:t>
            </w:r>
            <w:r w:rsidR="00CF6620">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5972AD3B" w14:textId="3735B4EE"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1F6C9C42" w14:textId="5F15AC40"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6F978E26"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601199" w14:textId="084B89DA" w:rsidR="00E42943" w:rsidRPr="00C1149C" w:rsidRDefault="00AF0385" w:rsidP="00AF0385">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8053B2" w:rsidRPr="00C1149C">
              <w:rPr>
                <w:rFonts w:ascii="Times New Roman" w:hAnsi="Times New Roman" w:cs="Times New Roman"/>
                <w:sz w:val="24"/>
                <w:szCs w:val="28"/>
              </w:rPr>
              <w:t>egulas 125.panta 4.punkta e)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168FCFA2" w14:textId="4FF4DCB9" w:rsidR="00E42943" w:rsidRPr="00DD49B6" w:rsidRDefault="00A864E0" w:rsidP="00A864E0">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10</w:t>
            </w:r>
            <w:r w:rsidR="00F46D80">
              <w:rPr>
                <w:rFonts w:ascii="Times New Roman" w:hAnsi="Times New Roman" w:cs="Times New Roman"/>
                <w:spacing w:val="-2"/>
                <w:sz w:val="24"/>
                <w:szCs w:val="24"/>
              </w:rPr>
              <w:t xml:space="preserve">.panta </w:t>
            </w:r>
            <w:r>
              <w:rPr>
                <w:rFonts w:ascii="Times New Roman" w:hAnsi="Times New Roman" w:cs="Times New Roman"/>
                <w:spacing w:val="-2"/>
                <w:sz w:val="24"/>
                <w:szCs w:val="24"/>
              </w:rPr>
              <w:t>otr</w:t>
            </w:r>
            <w:r w:rsidR="0028467D">
              <w:rPr>
                <w:rFonts w:ascii="Times New Roman" w:hAnsi="Times New Roman" w:cs="Times New Roman"/>
                <w:spacing w:val="-2"/>
                <w:sz w:val="24"/>
                <w:szCs w:val="24"/>
              </w:rPr>
              <w:t>ā</w:t>
            </w:r>
            <w:r>
              <w:rPr>
                <w:rFonts w:ascii="Times New Roman" w:hAnsi="Times New Roman" w:cs="Times New Roman"/>
                <w:spacing w:val="-2"/>
                <w:sz w:val="24"/>
                <w:szCs w:val="24"/>
              </w:rPr>
              <w:t xml:space="preserve">s </w:t>
            </w:r>
            <w:r w:rsidR="00F46D80">
              <w:rPr>
                <w:rFonts w:ascii="Times New Roman" w:hAnsi="Times New Roman" w:cs="Times New Roman"/>
                <w:spacing w:val="-2"/>
                <w:sz w:val="24"/>
                <w:szCs w:val="24"/>
              </w:rPr>
              <w:t>daļas 14.punkts</w:t>
            </w:r>
          </w:p>
        </w:tc>
        <w:tc>
          <w:tcPr>
            <w:tcW w:w="2657" w:type="dxa"/>
            <w:gridSpan w:val="3"/>
            <w:tcBorders>
              <w:top w:val="outset" w:sz="6" w:space="0" w:color="auto"/>
              <w:left w:val="outset" w:sz="6" w:space="0" w:color="auto"/>
              <w:bottom w:val="outset" w:sz="6" w:space="0" w:color="auto"/>
              <w:right w:val="outset" w:sz="6" w:space="0" w:color="auto"/>
            </w:tcBorders>
          </w:tcPr>
          <w:p w14:paraId="261D4468" w14:textId="226ADCD7" w:rsidR="00E42943"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BD6195B" w14:textId="5D7DFEEC"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40B05D6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AAAB34A" w14:textId="6BB181CB" w:rsidR="00F16D0A" w:rsidRPr="00C1149C" w:rsidRDefault="00AF0385" w:rsidP="00AF0385">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 xml:space="preserve">Regulas 125.panta </w:t>
            </w:r>
            <w:r w:rsidR="00F16D0A" w:rsidRPr="00C1149C">
              <w:rPr>
                <w:rFonts w:ascii="Times New Roman" w:hAnsi="Times New Roman" w:cs="Times New Roman"/>
                <w:sz w:val="24"/>
                <w:szCs w:val="28"/>
              </w:rPr>
              <w:t>5.punkt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41ACE72A" w14:textId="5F0437D7" w:rsidR="00F16D0A" w:rsidRPr="00DD49B6" w:rsidRDefault="00A864E0" w:rsidP="00864BD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12</w:t>
            </w:r>
            <w:r w:rsidR="00D21EF7">
              <w:rPr>
                <w:rFonts w:ascii="Times New Roman" w:hAnsi="Times New Roman" w:cs="Times New Roman"/>
                <w:spacing w:val="-2"/>
                <w:sz w:val="24"/>
                <w:szCs w:val="24"/>
              </w:rPr>
              <w:t xml:space="preserve">.pants </w:t>
            </w:r>
            <w:r>
              <w:rPr>
                <w:rFonts w:ascii="Times New Roman" w:hAnsi="Times New Roman" w:cs="Times New Roman"/>
                <w:spacing w:val="-2"/>
                <w:sz w:val="24"/>
                <w:szCs w:val="24"/>
              </w:rPr>
              <w:t xml:space="preserve">trešās </w:t>
            </w:r>
            <w:r w:rsidR="00D21EF7">
              <w:rPr>
                <w:rFonts w:ascii="Times New Roman" w:hAnsi="Times New Roman" w:cs="Times New Roman"/>
                <w:spacing w:val="-2"/>
                <w:sz w:val="24"/>
                <w:szCs w:val="24"/>
              </w:rPr>
              <w:t xml:space="preserve">daļas </w:t>
            </w:r>
            <w:r w:rsidR="00864BD1">
              <w:rPr>
                <w:rFonts w:ascii="Times New Roman" w:hAnsi="Times New Roman" w:cs="Times New Roman"/>
                <w:spacing w:val="-2"/>
                <w:sz w:val="24"/>
                <w:szCs w:val="24"/>
              </w:rPr>
              <w:t>8</w:t>
            </w:r>
            <w:r w:rsidR="00D21EF7">
              <w:rPr>
                <w:rFonts w:ascii="Times New Roman" w:hAnsi="Times New Roman" w:cs="Times New Roman"/>
                <w:spacing w:val="-2"/>
                <w:sz w:val="24"/>
                <w:szCs w:val="24"/>
              </w:rPr>
              <w:t>.punkts</w:t>
            </w:r>
          </w:p>
        </w:tc>
        <w:tc>
          <w:tcPr>
            <w:tcW w:w="2657" w:type="dxa"/>
            <w:gridSpan w:val="3"/>
            <w:tcBorders>
              <w:top w:val="outset" w:sz="6" w:space="0" w:color="auto"/>
              <w:left w:val="outset" w:sz="6" w:space="0" w:color="auto"/>
              <w:bottom w:val="outset" w:sz="6" w:space="0" w:color="auto"/>
              <w:right w:val="outset" w:sz="6" w:space="0" w:color="auto"/>
            </w:tcBorders>
          </w:tcPr>
          <w:p w14:paraId="212D0276" w14:textId="78A6D76E"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56C4384A" w14:textId="45A97E3F"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72ACE20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90AF56" w14:textId="53005C1E" w:rsidR="00F16D0A" w:rsidRPr="00C1149C" w:rsidRDefault="002C21ED" w:rsidP="002C21ED">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t>R</w:t>
            </w:r>
            <w:r w:rsidR="00F16D0A" w:rsidRPr="00C1149C">
              <w:rPr>
                <w:rFonts w:ascii="Times New Roman" w:hAnsi="Times New Roman" w:cs="Times New Roman"/>
                <w:sz w:val="24"/>
                <w:szCs w:val="28"/>
              </w:rPr>
              <w:t>egulas 126.pant</w:t>
            </w:r>
            <w:r w:rsidRPr="00C1149C">
              <w:rPr>
                <w:rFonts w:ascii="Times New Roman" w:hAnsi="Times New Roman" w:cs="Times New Roman"/>
                <w:sz w:val="24"/>
                <w:szCs w:val="28"/>
              </w:rPr>
              <w:t>s</w:t>
            </w:r>
            <w:r w:rsidR="00F16D0A" w:rsidRPr="00C1149C">
              <w:rPr>
                <w:rFonts w:ascii="Times New Roman" w:hAnsi="Times New Roman" w:cs="Times New Roman"/>
                <w:sz w:val="24"/>
                <w:szCs w:val="28"/>
              </w:rPr>
              <w:t xml:space="preserve"> </w:t>
            </w:r>
          </w:p>
        </w:tc>
        <w:tc>
          <w:tcPr>
            <w:tcW w:w="2090" w:type="dxa"/>
            <w:gridSpan w:val="3"/>
            <w:tcBorders>
              <w:top w:val="outset" w:sz="6" w:space="0" w:color="auto"/>
              <w:left w:val="outset" w:sz="6" w:space="0" w:color="auto"/>
              <w:bottom w:val="outset" w:sz="6" w:space="0" w:color="auto"/>
              <w:right w:val="outset" w:sz="6" w:space="0" w:color="auto"/>
            </w:tcBorders>
          </w:tcPr>
          <w:p w14:paraId="27A36942" w14:textId="4CA5B6F9" w:rsidR="00F16D0A" w:rsidRPr="00DD49B6" w:rsidRDefault="00A864E0" w:rsidP="00A864E0">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15</w:t>
            </w:r>
            <w:r w:rsidR="00D21EF7">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D21EF7">
              <w:rPr>
                <w:rFonts w:ascii="Times New Roman" w:hAnsi="Times New Roman" w:cs="Times New Roman"/>
                <w:spacing w:val="-2"/>
                <w:sz w:val="24"/>
                <w:szCs w:val="24"/>
              </w:rPr>
              <w:t>daļas 2.punkts</w:t>
            </w:r>
          </w:p>
        </w:tc>
        <w:tc>
          <w:tcPr>
            <w:tcW w:w="2657" w:type="dxa"/>
            <w:gridSpan w:val="3"/>
            <w:tcBorders>
              <w:top w:val="outset" w:sz="6" w:space="0" w:color="auto"/>
              <w:left w:val="outset" w:sz="6" w:space="0" w:color="auto"/>
              <w:bottom w:val="outset" w:sz="6" w:space="0" w:color="auto"/>
              <w:right w:val="outset" w:sz="6" w:space="0" w:color="auto"/>
            </w:tcBorders>
          </w:tcPr>
          <w:p w14:paraId="4309DBEC" w14:textId="650FB91A"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 Detalizētāka kārtība, kādā sertifikācijas iestāde veic savus pienākumus tiks noteikta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6C46C97E" w14:textId="125D20EA"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F16D0A" w:rsidRPr="00DD49B6" w14:paraId="47C4283F"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6CFB416" w14:textId="72F23415" w:rsidR="00F16D0A" w:rsidRPr="00C1149C" w:rsidRDefault="002C21ED" w:rsidP="002C21ED">
            <w:pPr>
              <w:spacing w:after="0" w:line="240" w:lineRule="auto"/>
              <w:ind w:left="57"/>
              <w:rPr>
                <w:rFonts w:ascii="Times New Roman" w:hAnsi="Times New Roman" w:cs="Times New Roman"/>
                <w:sz w:val="24"/>
                <w:szCs w:val="28"/>
              </w:rPr>
            </w:pPr>
            <w:r w:rsidRPr="00C1149C">
              <w:rPr>
                <w:rFonts w:ascii="Times New Roman" w:hAnsi="Times New Roman" w:cs="Times New Roman"/>
                <w:sz w:val="24"/>
                <w:szCs w:val="28"/>
              </w:rPr>
              <w:lastRenderedPageBreak/>
              <w:t>R</w:t>
            </w:r>
            <w:r w:rsidR="00F16D0A" w:rsidRPr="00C1149C">
              <w:rPr>
                <w:rFonts w:ascii="Times New Roman" w:hAnsi="Times New Roman" w:cs="Times New Roman"/>
                <w:sz w:val="24"/>
                <w:szCs w:val="28"/>
              </w:rPr>
              <w:t>egulas 126.panta f) apakšpunkt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293C96F2" w14:textId="3FF0074C" w:rsidR="00F16D0A" w:rsidRPr="00DD49B6" w:rsidRDefault="00A864E0" w:rsidP="00A864E0">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15</w:t>
            </w:r>
            <w:r w:rsidR="00D21EF7">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D21EF7">
              <w:rPr>
                <w:rFonts w:ascii="Times New Roman" w:hAnsi="Times New Roman" w:cs="Times New Roman"/>
                <w:spacing w:val="-2"/>
                <w:sz w:val="24"/>
                <w:szCs w:val="24"/>
              </w:rPr>
              <w:t>daļas 1.punkts</w:t>
            </w:r>
          </w:p>
        </w:tc>
        <w:tc>
          <w:tcPr>
            <w:tcW w:w="2657" w:type="dxa"/>
            <w:gridSpan w:val="3"/>
            <w:tcBorders>
              <w:top w:val="outset" w:sz="6" w:space="0" w:color="auto"/>
              <w:left w:val="outset" w:sz="6" w:space="0" w:color="auto"/>
              <w:bottom w:val="outset" w:sz="6" w:space="0" w:color="auto"/>
              <w:right w:val="outset" w:sz="6" w:space="0" w:color="auto"/>
            </w:tcBorders>
          </w:tcPr>
          <w:p w14:paraId="14778B6C" w14:textId="229AFE15" w:rsidR="00F16D0A" w:rsidRPr="00DD49B6" w:rsidRDefault="00AF5F37"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492C68FA" w14:textId="19C4654F" w:rsidR="00F16D0A"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487ECF5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847D85F" w14:textId="2CA0F716" w:rsidR="00E42943" w:rsidRPr="00C1149C" w:rsidRDefault="002C21ED" w:rsidP="002C21ED">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F16D0A" w:rsidRPr="00C1149C">
              <w:rPr>
                <w:rFonts w:ascii="Times New Roman" w:hAnsi="Times New Roman" w:cs="Times New Roman"/>
                <w:sz w:val="24"/>
                <w:szCs w:val="28"/>
              </w:rPr>
              <w:t>egulas 127.pant</w:t>
            </w:r>
            <w:r w:rsidRPr="00C1149C">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14:paraId="374492C6" w14:textId="2C08478E" w:rsidR="00E42943" w:rsidRPr="00DD49B6" w:rsidRDefault="00A864E0" w:rsidP="00A864E0">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14</w:t>
            </w:r>
            <w:r w:rsidR="00D21EF7">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D21EF7">
              <w:rPr>
                <w:rFonts w:ascii="Times New Roman" w:hAnsi="Times New Roman" w:cs="Times New Roman"/>
                <w:spacing w:val="-2"/>
                <w:sz w:val="24"/>
                <w:szCs w:val="24"/>
              </w:rPr>
              <w:t>daļas 8.punkts</w:t>
            </w:r>
          </w:p>
        </w:tc>
        <w:tc>
          <w:tcPr>
            <w:tcW w:w="2657" w:type="dxa"/>
            <w:gridSpan w:val="3"/>
            <w:tcBorders>
              <w:top w:val="outset" w:sz="6" w:space="0" w:color="auto"/>
              <w:left w:val="outset" w:sz="6" w:space="0" w:color="auto"/>
              <w:bottom w:val="outset" w:sz="6" w:space="0" w:color="auto"/>
              <w:right w:val="outset" w:sz="6" w:space="0" w:color="auto"/>
            </w:tcBorders>
          </w:tcPr>
          <w:p w14:paraId="5CBF7CBC" w14:textId="52CC7D57" w:rsidR="00E42943" w:rsidRPr="00DD49B6" w:rsidRDefault="0053272A" w:rsidP="0053272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 Detalizētāka kārtība, kādā revīzijas iestāde veic savus pienākumus tiks noteikta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39212B16" w14:textId="1E6F594C"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08F7311A"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3E45EF2" w14:textId="64B1C306" w:rsidR="00E42943" w:rsidRPr="00C1149C" w:rsidRDefault="002C21ED" w:rsidP="00171D36">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 xml:space="preserve">Regulas </w:t>
            </w:r>
            <w:r w:rsidR="00AA22DE" w:rsidRPr="00C1149C">
              <w:rPr>
                <w:rFonts w:ascii="Times New Roman" w:hAnsi="Times New Roman" w:cs="Times New Roman"/>
                <w:sz w:val="24"/>
                <w:szCs w:val="28"/>
              </w:rPr>
              <w:t xml:space="preserve">XII </w:t>
            </w:r>
            <w:r w:rsidRPr="00C1149C">
              <w:rPr>
                <w:rFonts w:ascii="Times New Roman" w:hAnsi="Times New Roman" w:cs="Times New Roman"/>
                <w:sz w:val="24"/>
                <w:szCs w:val="28"/>
              </w:rPr>
              <w:t>pielikums</w:t>
            </w:r>
          </w:p>
        </w:tc>
        <w:tc>
          <w:tcPr>
            <w:tcW w:w="2090" w:type="dxa"/>
            <w:gridSpan w:val="3"/>
            <w:tcBorders>
              <w:top w:val="outset" w:sz="6" w:space="0" w:color="auto"/>
              <w:left w:val="outset" w:sz="6" w:space="0" w:color="auto"/>
              <w:bottom w:val="outset" w:sz="6" w:space="0" w:color="auto"/>
              <w:right w:val="outset" w:sz="6" w:space="0" w:color="auto"/>
            </w:tcBorders>
          </w:tcPr>
          <w:p w14:paraId="2B1B41CE" w14:textId="2F81E134" w:rsidR="00E42943" w:rsidRPr="00DD49B6" w:rsidRDefault="00A864E0" w:rsidP="00A864E0">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36</w:t>
            </w:r>
            <w:r w:rsidR="00FD37A7">
              <w:rPr>
                <w:rFonts w:ascii="Times New Roman" w:hAnsi="Times New Roman" w:cs="Times New Roman"/>
                <w:spacing w:val="-2"/>
                <w:sz w:val="24"/>
                <w:szCs w:val="24"/>
              </w:rPr>
              <w:t>.panta pirmā, otrā daļa</w:t>
            </w:r>
          </w:p>
        </w:tc>
        <w:tc>
          <w:tcPr>
            <w:tcW w:w="2657" w:type="dxa"/>
            <w:gridSpan w:val="3"/>
            <w:tcBorders>
              <w:top w:val="outset" w:sz="6" w:space="0" w:color="auto"/>
              <w:left w:val="outset" w:sz="6" w:space="0" w:color="auto"/>
              <w:bottom w:val="outset" w:sz="6" w:space="0" w:color="auto"/>
              <w:right w:val="outset" w:sz="6" w:space="0" w:color="auto"/>
            </w:tcBorders>
          </w:tcPr>
          <w:p w14:paraId="4FB85826" w14:textId="3E850C18" w:rsidR="00E42943" w:rsidRPr="00DD49B6" w:rsidRDefault="0053272A"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Detalizētāka informācijas un komunikācijas kārtība tiks noteikta MK noteikumos. Atbildīgā institūcija – FM.</w:t>
            </w:r>
          </w:p>
        </w:tc>
        <w:tc>
          <w:tcPr>
            <w:tcW w:w="2585" w:type="dxa"/>
            <w:gridSpan w:val="2"/>
            <w:tcBorders>
              <w:top w:val="outset" w:sz="6" w:space="0" w:color="auto"/>
              <w:left w:val="outset" w:sz="6" w:space="0" w:color="auto"/>
              <w:bottom w:val="outset" w:sz="6" w:space="0" w:color="auto"/>
              <w:right w:val="outset" w:sz="6" w:space="0" w:color="auto"/>
            </w:tcBorders>
          </w:tcPr>
          <w:p w14:paraId="6E1A7B40" w14:textId="30C18B08"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E42943" w:rsidRPr="00DD49B6" w14:paraId="0C4970A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2366D3" w14:textId="02D7F306" w:rsidR="00E42943" w:rsidRPr="00C1149C" w:rsidRDefault="002C21ED" w:rsidP="00171D36">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t>R</w:t>
            </w:r>
            <w:r w:rsidR="00AA22DE" w:rsidRPr="00C1149C">
              <w:rPr>
                <w:rFonts w:ascii="Times New Roman" w:hAnsi="Times New Roman" w:cs="Times New Roman"/>
                <w:sz w:val="24"/>
                <w:szCs w:val="28"/>
              </w:rPr>
              <w:t xml:space="preserve">egulas XIII </w:t>
            </w:r>
            <w:r w:rsidRPr="00C1149C">
              <w:rPr>
                <w:rFonts w:ascii="Times New Roman" w:hAnsi="Times New Roman" w:cs="Times New Roman"/>
                <w:sz w:val="24"/>
                <w:szCs w:val="28"/>
              </w:rPr>
              <w:t>pielikums</w:t>
            </w:r>
          </w:p>
        </w:tc>
        <w:tc>
          <w:tcPr>
            <w:tcW w:w="2090" w:type="dxa"/>
            <w:gridSpan w:val="3"/>
            <w:tcBorders>
              <w:top w:val="outset" w:sz="6" w:space="0" w:color="auto"/>
              <w:left w:val="outset" w:sz="6" w:space="0" w:color="auto"/>
              <w:bottom w:val="outset" w:sz="6" w:space="0" w:color="auto"/>
              <w:right w:val="outset" w:sz="6" w:space="0" w:color="auto"/>
            </w:tcBorders>
          </w:tcPr>
          <w:p w14:paraId="7F2C5EDA" w14:textId="229FA498" w:rsidR="00E42943" w:rsidRPr="00DD49B6" w:rsidRDefault="00A864E0" w:rsidP="00112CE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14</w:t>
            </w:r>
            <w:r w:rsidR="00D21EF7">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otrās </w:t>
            </w:r>
            <w:r w:rsidR="00D21EF7">
              <w:rPr>
                <w:rFonts w:ascii="Times New Roman" w:hAnsi="Times New Roman" w:cs="Times New Roman"/>
                <w:spacing w:val="-2"/>
                <w:sz w:val="24"/>
                <w:szCs w:val="24"/>
              </w:rPr>
              <w:t>daļas 1., 2., 5., 6.punkts</w:t>
            </w:r>
            <w:r w:rsidR="00FD37A7">
              <w:rPr>
                <w:rFonts w:ascii="Times New Roman" w:hAnsi="Times New Roman" w:cs="Times New Roman"/>
                <w:spacing w:val="-2"/>
                <w:sz w:val="24"/>
                <w:szCs w:val="24"/>
              </w:rPr>
              <w:t xml:space="preserve">, </w:t>
            </w:r>
            <w:r w:rsidR="00112CEE">
              <w:rPr>
                <w:rFonts w:ascii="Times New Roman" w:hAnsi="Times New Roman" w:cs="Times New Roman"/>
                <w:spacing w:val="-2"/>
                <w:sz w:val="24"/>
                <w:szCs w:val="24"/>
              </w:rPr>
              <w:t>20</w:t>
            </w:r>
            <w:r w:rsidR="00FD37A7">
              <w:rPr>
                <w:rFonts w:ascii="Times New Roman" w:hAnsi="Times New Roman" w:cs="Times New Roman"/>
                <w:spacing w:val="-2"/>
                <w:sz w:val="24"/>
                <w:szCs w:val="24"/>
              </w:rPr>
              <w:t>.panta pirmā, otrā, trešā daļa</w:t>
            </w:r>
          </w:p>
        </w:tc>
        <w:tc>
          <w:tcPr>
            <w:tcW w:w="2657" w:type="dxa"/>
            <w:gridSpan w:val="3"/>
            <w:tcBorders>
              <w:top w:val="outset" w:sz="6" w:space="0" w:color="auto"/>
              <w:left w:val="outset" w:sz="6" w:space="0" w:color="auto"/>
              <w:bottom w:val="outset" w:sz="6" w:space="0" w:color="auto"/>
              <w:right w:val="outset" w:sz="6" w:space="0" w:color="auto"/>
            </w:tcBorders>
          </w:tcPr>
          <w:p w14:paraId="643FC5DB" w14:textId="0C59A57A" w:rsidR="00E42943" w:rsidRPr="00DD49B6" w:rsidRDefault="0053272A"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gridSpan w:val="2"/>
            <w:tcBorders>
              <w:top w:val="outset" w:sz="6" w:space="0" w:color="auto"/>
              <w:left w:val="outset" w:sz="6" w:space="0" w:color="auto"/>
              <w:bottom w:val="outset" w:sz="6" w:space="0" w:color="auto"/>
              <w:right w:val="outset" w:sz="6" w:space="0" w:color="auto"/>
            </w:tcBorders>
          </w:tcPr>
          <w:p w14:paraId="7D965BB7" w14:textId="0BFF8442" w:rsidR="00E42943" w:rsidRPr="00DD49B6" w:rsidRDefault="00A4572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DA6C86" w:rsidRPr="00DD49B6" w14:paraId="5EDF1EB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sidR="00584507">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EDF1EB0"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8"/>
            <w:tcBorders>
              <w:top w:val="outset" w:sz="6" w:space="0" w:color="auto"/>
              <w:left w:val="outset" w:sz="6" w:space="0" w:color="auto"/>
              <w:bottom w:val="outset" w:sz="6" w:space="0" w:color="auto"/>
              <w:right w:val="outset" w:sz="6" w:space="0" w:color="auto"/>
            </w:tcBorders>
          </w:tcPr>
          <w:p w14:paraId="5EDF1EB1" w14:textId="50D9A13C" w:rsidR="00DA6C86" w:rsidRPr="00DD49B6" w:rsidRDefault="00BF6E02"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DA6C86" w:rsidRPr="00DD49B6" w14:paraId="5EDF1EB5"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DD49B6" w:rsidRDefault="00DA6C86" w:rsidP="002C5BB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sidR="002C5BB1">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8"/>
            <w:tcBorders>
              <w:top w:val="outset" w:sz="6" w:space="0" w:color="auto"/>
              <w:left w:val="outset" w:sz="6" w:space="0" w:color="auto"/>
              <w:bottom w:val="outset" w:sz="6" w:space="0" w:color="auto"/>
              <w:right w:val="outset" w:sz="6" w:space="0" w:color="auto"/>
            </w:tcBorders>
          </w:tcPr>
          <w:p w14:paraId="5EDF1EB4" w14:textId="2E84C678" w:rsidR="00DA6C86" w:rsidRPr="00DD49B6" w:rsidRDefault="001730E1"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DA6C86" w:rsidRPr="00DD49B6" w14:paraId="5EDF1EB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332" w:type="dxa"/>
            <w:gridSpan w:val="8"/>
            <w:tcBorders>
              <w:top w:val="outset" w:sz="6" w:space="0" w:color="auto"/>
              <w:left w:val="outset" w:sz="6" w:space="0" w:color="auto"/>
              <w:bottom w:val="outset" w:sz="6" w:space="0" w:color="auto"/>
              <w:right w:val="outset" w:sz="6" w:space="0" w:color="auto"/>
            </w:tcBorders>
          </w:tcPr>
          <w:p w14:paraId="5EDF1EB8" w14:textId="6725EE7B"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E42943" w:rsidRPr="00DD49B6" w14:paraId="213BC9AB" w14:textId="77777777" w:rsidTr="00223CCD">
        <w:trPr>
          <w:jc w:val="center"/>
        </w:trPr>
        <w:tc>
          <w:tcPr>
            <w:tcW w:w="9535" w:type="dxa"/>
            <w:gridSpan w:val="10"/>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3AAD7480" w14:textId="77777777" w:rsidR="00E42943" w:rsidRDefault="00E42943" w:rsidP="00171D36">
            <w:pPr>
              <w:spacing w:after="0" w:line="240" w:lineRule="auto"/>
              <w:ind w:left="57"/>
              <w:rPr>
                <w:rFonts w:ascii="Times New Roman" w:hAnsi="Times New Roman" w:cs="Times New Roman"/>
                <w:sz w:val="24"/>
                <w:szCs w:val="24"/>
              </w:rPr>
            </w:pPr>
          </w:p>
          <w:p w14:paraId="0BFA6D32" w14:textId="77777777" w:rsidR="003A4318" w:rsidRPr="00DD49B6" w:rsidRDefault="003A4318" w:rsidP="00171D36">
            <w:pPr>
              <w:spacing w:after="0" w:line="240" w:lineRule="auto"/>
              <w:ind w:left="57"/>
              <w:rPr>
                <w:rFonts w:ascii="Times New Roman" w:hAnsi="Times New Roman" w:cs="Times New Roman"/>
                <w:sz w:val="24"/>
                <w:szCs w:val="24"/>
              </w:rPr>
            </w:pPr>
          </w:p>
        </w:tc>
      </w:tr>
      <w:tr w:rsidR="00C62286" w:rsidRPr="00DD49B6" w14:paraId="5DAC5379" w14:textId="77777777" w:rsidTr="00C6228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6B6ADBB" w14:textId="77777777" w:rsidR="00C62286" w:rsidRPr="00DD49B6" w:rsidRDefault="00C62286" w:rsidP="003744B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8"/>
            <w:tcBorders>
              <w:top w:val="outset" w:sz="6" w:space="0" w:color="auto"/>
              <w:left w:val="outset" w:sz="6" w:space="0" w:color="auto"/>
              <w:bottom w:val="outset" w:sz="6" w:space="0" w:color="auto"/>
              <w:right w:val="outset" w:sz="6" w:space="0" w:color="auto"/>
            </w:tcBorders>
          </w:tcPr>
          <w:p w14:paraId="4933A777" w14:textId="5F34D07C" w:rsidR="00C62286" w:rsidRPr="00DD49B6" w:rsidRDefault="00223CCD" w:rsidP="003744BC">
            <w:pPr>
              <w:spacing w:after="0" w:line="240" w:lineRule="auto"/>
              <w:ind w:left="57"/>
              <w:jc w:val="both"/>
              <w:rPr>
                <w:rFonts w:ascii="Times New Roman" w:hAnsi="Times New Roman" w:cs="Times New Roman"/>
                <w:sz w:val="24"/>
                <w:szCs w:val="24"/>
              </w:rPr>
            </w:pPr>
            <w:r w:rsidRPr="00EF7BBB">
              <w:rPr>
                <w:rFonts w:ascii="Times New Roman" w:hAnsi="Times New Roman" w:cs="Times New Roman"/>
                <w:sz w:val="24"/>
                <w:szCs w:val="24"/>
              </w:rPr>
              <w:t>Eiropas Parlamenta un Padomes</w:t>
            </w:r>
            <w:r>
              <w:rPr>
                <w:rFonts w:ascii="Times New Roman" w:hAnsi="Times New Roman" w:cs="Times New Roman"/>
                <w:sz w:val="24"/>
                <w:szCs w:val="24"/>
              </w:rPr>
              <w:t xml:space="preserve"> 2013.gada 17.decembra</w:t>
            </w:r>
            <w:r w:rsidRPr="00EF7BBB">
              <w:rPr>
                <w:rFonts w:ascii="Times New Roman" w:hAnsi="Times New Roman" w:cs="Times New Roman"/>
                <w:sz w:val="24"/>
                <w:szCs w:val="24"/>
              </w:rPr>
              <w:t xml:space="preserve"> regulu </w:t>
            </w:r>
            <w:r>
              <w:rPr>
                <w:rFonts w:ascii="Times New Roman" w:hAnsi="Times New Roman" w:cs="Times New Roman"/>
                <w:sz w:val="24"/>
                <w:szCs w:val="24"/>
              </w:rPr>
              <w:t xml:space="preserve">(ES) </w:t>
            </w:r>
            <w:r w:rsidRPr="00EF7BBB">
              <w:rPr>
                <w:rFonts w:ascii="Times New Roman" w:hAnsi="Times New Roman" w:cs="Times New Roman"/>
                <w:sz w:val="24"/>
                <w:szCs w:val="24"/>
              </w:rPr>
              <w:t>Nr</w:t>
            </w:r>
            <w:r>
              <w:rPr>
                <w:rFonts w:ascii="Times New Roman" w:hAnsi="Times New Roman" w:cs="Times New Roman"/>
                <w:sz w:val="24"/>
                <w:szCs w:val="24"/>
              </w:rPr>
              <w:t xml:space="preserve">.1301/2013 </w:t>
            </w:r>
            <w:r w:rsidRPr="00EF7BBB">
              <w:rPr>
                <w:rFonts w:ascii="Times New Roman" w:hAnsi="Times New Roman" w:cs="Times New Roman"/>
                <w:sz w:val="24"/>
                <w:szCs w:val="24"/>
              </w:rPr>
              <w:t xml:space="preserve">par  Eiropas Reģionālās attīstības fondu un īpašiem noteikumiem attiecībā uz mērķi “Ieguldījums izaugsmei un nodarbinātībai” un </w:t>
            </w:r>
            <w:r>
              <w:rPr>
                <w:rFonts w:ascii="Times New Roman" w:hAnsi="Times New Roman" w:cs="Times New Roman"/>
                <w:sz w:val="24"/>
                <w:szCs w:val="24"/>
              </w:rPr>
              <w:t>ar ko atceļ</w:t>
            </w:r>
            <w:r w:rsidRPr="00EF7BBB">
              <w:rPr>
                <w:rFonts w:ascii="Times New Roman" w:hAnsi="Times New Roman" w:cs="Times New Roman"/>
                <w:sz w:val="24"/>
                <w:szCs w:val="24"/>
              </w:rPr>
              <w:t xml:space="preserve"> Regul</w:t>
            </w:r>
            <w:r>
              <w:rPr>
                <w:rFonts w:ascii="Times New Roman" w:hAnsi="Times New Roman" w:cs="Times New Roman"/>
                <w:sz w:val="24"/>
                <w:szCs w:val="24"/>
              </w:rPr>
              <w:t>u</w:t>
            </w:r>
            <w:r w:rsidRPr="00EF7BBB">
              <w:rPr>
                <w:rFonts w:ascii="Times New Roman" w:hAnsi="Times New Roman" w:cs="Times New Roman"/>
                <w:sz w:val="24"/>
                <w:szCs w:val="24"/>
              </w:rPr>
              <w:t xml:space="preserve"> (EK) Nr.1080/2006</w:t>
            </w:r>
          </w:p>
        </w:tc>
      </w:tr>
      <w:tr w:rsidR="00C62286" w:rsidRPr="00DD49B6" w14:paraId="0F258FE8"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370B4198" w14:textId="77777777" w:rsidR="00C62286" w:rsidRPr="00DD49B6" w:rsidRDefault="00C62286" w:rsidP="003744B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444" w:type="dxa"/>
            <w:gridSpan w:val="4"/>
            <w:tcBorders>
              <w:top w:val="outset" w:sz="6" w:space="0" w:color="auto"/>
              <w:left w:val="outset" w:sz="6" w:space="0" w:color="auto"/>
              <w:bottom w:val="outset" w:sz="6" w:space="0" w:color="auto"/>
              <w:right w:val="outset" w:sz="6" w:space="0" w:color="auto"/>
            </w:tcBorders>
            <w:vAlign w:val="center"/>
          </w:tcPr>
          <w:p w14:paraId="45E028A1" w14:textId="77777777" w:rsidR="00C62286" w:rsidRPr="00DD49B6" w:rsidRDefault="00C62286" w:rsidP="003744B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444" w:type="dxa"/>
            <w:gridSpan w:val="3"/>
            <w:tcBorders>
              <w:top w:val="outset" w:sz="6" w:space="0" w:color="auto"/>
              <w:left w:val="outset" w:sz="6" w:space="0" w:color="auto"/>
              <w:bottom w:val="outset" w:sz="6" w:space="0" w:color="auto"/>
              <w:right w:val="outset" w:sz="6" w:space="0" w:color="auto"/>
            </w:tcBorders>
            <w:vAlign w:val="center"/>
          </w:tcPr>
          <w:p w14:paraId="43837C1C" w14:textId="77777777" w:rsidR="00C62286" w:rsidRPr="00DD49B6" w:rsidRDefault="00C62286" w:rsidP="003744B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444" w:type="dxa"/>
            <w:tcBorders>
              <w:top w:val="outset" w:sz="6" w:space="0" w:color="auto"/>
              <w:left w:val="outset" w:sz="6" w:space="0" w:color="auto"/>
              <w:bottom w:val="outset" w:sz="6" w:space="0" w:color="auto"/>
              <w:right w:val="outset" w:sz="6" w:space="0" w:color="auto"/>
            </w:tcBorders>
            <w:vAlign w:val="center"/>
          </w:tcPr>
          <w:p w14:paraId="263D0CEC" w14:textId="77777777" w:rsidR="00C62286" w:rsidRPr="00DD49B6" w:rsidRDefault="00C62286" w:rsidP="003744B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C62286" w:rsidRPr="00E42943" w14:paraId="46986807"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F0E666A"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Attiecīgā ES tiesību akta panta numurs (uzskaitot katru tiesību akta vienību – pantu, daļu, punktu, </w:t>
            </w:r>
            <w:r w:rsidRPr="00E42943">
              <w:rPr>
                <w:rFonts w:ascii="Times New Roman" w:hAnsi="Times New Roman" w:cs="Times New Roman"/>
                <w:spacing w:val="-3"/>
                <w:sz w:val="20"/>
                <w:szCs w:val="24"/>
              </w:rPr>
              <w:lastRenderedPageBreak/>
              <w:t>apakšpunktu)</w:t>
            </w:r>
          </w:p>
        </w:tc>
        <w:tc>
          <w:tcPr>
            <w:tcW w:w="2444" w:type="dxa"/>
            <w:gridSpan w:val="4"/>
            <w:tcBorders>
              <w:top w:val="outset" w:sz="6" w:space="0" w:color="auto"/>
              <w:left w:val="outset" w:sz="6" w:space="0" w:color="auto"/>
              <w:bottom w:val="outset" w:sz="6" w:space="0" w:color="auto"/>
              <w:right w:val="outset" w:sz="6" w:space="0" w:color="auto"/>
            </w:tcBorders>
          </w:tcPr>
          <w:p w14:paraId="567BADA6"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lastRenderedPageBreak/>
              <w:t xml:space="preserve">Projekta vienība, kas pārņem vai ievieš katru šīs tabulas A ailē minēto ES tiesību akta vienību, vai tiesību akts, kur </w:t>
            </w:r>
            <w:r w:rsidRPr="00E42943">
              <w:rPr>
                <w:rFonts w:ascii="Times New Roman" w:hAnsi="Times New Roman" w:cs="Times New Roman"/>
                <w:spacing w:val="-3"/>
                <w:sz w:val="20"/>
                <w:szCs w:val="24"/>
              </w:rPr>
              <w:lastRenderedPageBreak/>
              <w:t>attiecīgā ES tiesību akta vienība pārņemta vai ieviesta</w:t>
            </w:r>
          </w:p>
        </w:tc>
        <w:tc>
          <w:tcPr>
            <w:tcW w:w="2444" w:type="dxa"/>
            <w:gridSpan w:val="3"/>
            <w:tcBorders>
              <w:top w:val="outset" w:sz="6" w:space="0" w:color="auto"/>
              <w:left w:val="outset" w:sz="6" w:space="0" w:color="auto"/>
              <w:bottom w:val="outset" w:sz="6" w:space="0" w:color="auto"/>
              <w:right w:val="outset" w:sz="6" w:space="0" w:color="auto"/>
            </w:tcBorders>
          </w:tcPr>
          <w:p w14:paraId="61C19B89" w14:textId="77777777" w:rsidR="00C62286" w:rsidRPr="00E42943" w:rsidRDefault="00C62286" w:rsidP="003744BC">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lastRenderedPageBreak/>
              <w:t xml:space="preserve">Informācija par to, vai šīs tabulas A ailē minētās ES tiesību akta vienības tiek pārņemtas vai ieviestas </w:t>
            </w:r>
            <w:r w:rsidRPr="00E42943">
              <w:rPr>
                <w:rFonts w:ascii="Times New Roman" w:hAnsi="Times New Roman" w:cs="Times New Roman"/>
                <w:spacing w:val="-3"/>
                <w:sz w:val="20"/>
                <w:szCs w:val="24"/>
              </w:rPr>
              <w:lastRenderedPageBreak/>
              <w:t>pilnībā vai daļēji.</w:t>
            </w:r>
          </w:p>
          <w:p w14:paraId="5B78B5A1" w14:textId="77777777" w:rsidR="00C62286" w:rsidRPr="00E42943" w:rsidRDefault="00C62286" w:rsidP="003744BC">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40DCB9AE"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2444" w:type="dxa"/>
            <w:tcBorders>
              <w:top w:val="outset" w:sz="6" w:space="0" w:color="auto"/>
              <w:left w:val="outset" w:sz="6" w:space="0" w:color="auto"/>
              <w:bottom w:val="outset" w:sz="6" w:space="0" w:color="auto"/>
              <w:right w:val="outset" w:sz="6" w:space="0" w:color="auto"/>
            </w:tcBorders>
          </w:tcPr>
          <w:p w14:paraId="6ECC1A08"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lastRenderedPageBreak/>
              <w:t xml:space="preserve">Informācija par to, vai šīs </w:t>
            </w:r>
            <w:r w:rsidRPr="00E42943">
              <w:rPr>
                <w:rFonts w:ascii="Times New Roman" w:hAnsi="Times New Roman" w:cs="Times New Roman"/>
                <w:sz w:val="20"/>
                <w:szCs w:val="24"/>
              </w:rPr>
              <w:t xml:space="preserve">tabulas B ailē minētās projekta vienības paredz stingrākas prasības nekā šīs </w:t>
            </w:r>
            <w:r w:rsidRPr="00E42943">
              <w:rPr>
                <w:rFonts w:ascii="Times New Roman" w:hAnsi="Times New Roman" w:cs="Times New Roman"/>
                <w:sz w:val="20"/>
                <w:szCs w:val="24"/>
              </w:rPr>
              <w:lastRenderedPageBreak/>
              <w:t>tabulas A ailē minētās ES tiesību akta vienības.</w:t>
            </w:r>
          </w:p>
          <w:p w14:paraId="270F8C3C"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Pr="00E42943">
              <w:rPr>
                <w:rFonts w:ascii="Times New Roman" w:hAnsi="Times New Roman" w:cs="Times New Roman"/>
                <w:sz w:val="20"/>
                <w:szCs w:val="24"/>
              </w:rPr>
              <w:softHyphen/>
              <w:t>kas prasības nekā attie</w:t>
            </w:r>
            <w:r w:rsidRPr="00E42943">
              <w:rPr>
                <w:rFonts w:ascii="Times New Roman" w:hAnsi="Times New Roman" w:cs="Times New Roman"/>
                <w:sz w:val="20"/>
                <w:szCs w:val="24"/>
              </w:rPr>
              <w:softHyphen/>
              <w:t>cīgais ES tiesību akts, norāda pamatojumu un samērīgumu.</w:t>
            </w:r>
          </w:p>
          <w:p w14:paraId="1A839FDC" w14:textId="77777777" w:rsidR="00C62286" w:rsidRPr="00E42943" w:rsidRDefault="00C62286" w:rsidP="003744BC">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C62286" w:rsidRPr="00DD49B6" w14:paraId="0EECDA8A"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FDBBBB8" w14:textId="3E827946" w:rsidR="00C62286" w:rsidRPr="00DD49B6" w:rsidRDefault="00223CCD" w:rsidP="003744BC">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Regulas 7.panta 4. un 5.punkts</w:t>
            </w:r>
          </w:p>
        </w:tc>
        <w:tc>
          <w:tcPr>
            <w:tcW w:w="2444" w:type="dxa"/>
            <w:gridSpan w:val="4"/>
            <w:tcBorders>
              <w:top w:val="outset" w:sz="6" w:space="0" w:color="auto"/>
              <w:left w:val="outset" w:sz="6" w:space="0" w:color="auto"/>
              <w:bottom w:val="outset" w:sz="6" w:space="0" w:color="auto"/>
              <w:right w:val="outset" w:sz="6" w:space="0" w:color="auto"/>
            </w:tcBorders>
          </w:tcPr>
          <w:p w14:paraId="0BBD6042" w14:textId="2B10AC87" w:rsidR="00C62286" w:rsidRPr="00DD49B6" w:rsidRDefault="00223CCD" w:rsidP="003744B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10.panta otrās daļas 17.punkts, 12.panta trešās daļas 3.punkts</w:t>
            </w:r>
          </w:p>
        </w:tc>
        <w:tc>
          <w:tcPr>
            <w:tcW w:w="2444" w:type="dxa"/>
            <w:gridSpan w:val="3"/>
            <w:tcBorders>
              <w:top w:val="outset" w:sz="6" w:space="0" w:color="auto"/>
              <w:left w:val="outset" w:sz="6" w:space="0" w:color="auto"/>
              <w:bottom w:val="outset" w:sz="6" w:space="0" w:color="auto"/>
              <w:right w:val="outset" w:sz="6" w:space="0" w:color="auto"/>
            </w:tcBorders>
          </w:tcPr>
          <w:p w14:paraId="7B5A04EF" w14:textId="77777777" w:rsidR="00C62286" w:rsidRDefault="00223CCD" w:rsidP="003744B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Ieviests pilnībā</w:t>
            </w:r>
          </w:p>
          <w:p w14:paraId="7B22725B" w14:textId="53512054" w:rsidR="00223CCD" w:rsidRPr="00DD49B6" w:rsidRDefault="00223CCD" w:rsidP="003744BC">
            <w:pPr>
              <w:spacing w:after="0" w:line="240" w:lineRule="auto"/>
              <w:rPr>
                <w:rFonts w:ascii="Times New Roman" w:hAnsi="Times New Roman" w:cs="Times New Roman"/>
                <w:sz w:val="24"/>
                <w:szCs w:val="24"/>
              </w:rPr>
            </w:pPr>
          </w:p>
        </w:tc>
        <w:tc>
          <w:tcPr>
            <w:tcW w:w="2444" w:type="dxa"/>
            <w:tcBorders>
              <w:top w:val="outset" w:sz="6" w:space="0" w:color="auto"/>
              <w:left w:val="outset" w:sz="6" w:space="0" w:color="auto"/>
              <w:bottom w:val="outset" w:sz="6" w:space="0" w:color="auto"/>
              <w:right w:val="outset" w:sz="6" w:space="0" w:color="auto"/>
            </w:tcBorders>
          </w:tcPr>
          <w:p w14:paraId="7389F79B" w14:textId="071B940C" w:rsidR="00C62286" w:rsidRPr="00DD49B6" w:rsidRDefault="00223CCD" w:rsidP="003744BC">
            <w:pPr>
              <w:spacing w:after="0" w:line="240" w:lineRule="auto"/>
              <w:ind w:left="57"/>
              <w:rPr>
                <w:rFonts w:ascii="Times New Roman" w:hAnsi="Times New Roman" w:cs="Times New Roman"/>
                <w:sz w:val="24"/>
                <w:szCs w:val="24"/>
              </w:rPr>
            </w:pPr>
            <w:r>
              <w:rPr>
                <w:rFonts w:ascii="Times New Roman" w:hAnsi="Times New Roman" w:cs="Times New Roman"/>
                <w:spacing w:val="-2"/>
                <w:sz w:val="24"/>
                <w:szCs w:val="24"/>
              </w:rPr>
              <w:t>Likumprojekts neparedz stingrākas prasības</w:t>
            </w:r>
          </w:p>
        </w:tc>
      </w:tr>
      <w:tr w:rsidR="00C62286" w:rsidRPr="00DD49B6" w14:paraId="118DE704"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F88A2E5" w14:textId="77777777" w:rsidR="00C62286" w:rsidRPr="00DD49B6" w:rsidRDefault="00C62286" w:rsidP="003744B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27DDFEF7" w14:textId="77777777" w:rsidR="00C62286" w:rsidRPr="00DD49B6" w:rsidRDefault="00C62286" w:rsidP="003744BC">
            <w:pPr>
              <w:spacing w:after="0" w:line="240" w:lineRule="auto"/>
              <w:ind w:left="57"/>
              <w:rPr>
                <w:rFonts w:ascii="Times New Roman" w:hAnsi="Times New Roman" w:cs="Times New Roman"/>
                <w:sz w:val="24"/>
                <w:szCs w:val="24"/>
              </w:rPr>
            </w:pPr>
            <w:r w:rsidRPr="00DD49B6">
              <w:rPr>
                <w:rFonts w:ascii="Times New Roman" w:hAnsi="Times New Roman" w:cs="Times New Roman"/>
                <w:spacing w:val="-3"/>
                <w:sz w:val="24"/>
                <w:szCs w:val="24"/>
              </w:rPr>
              <w:t>Kādēļ?</w:t>
            </w:r>
          </w:p>
        </w:tc>
        <w:tc>
          <w:tcPr>
            <w:tcW w:w="7332" w:type="dxa"/>
            <w:gridSpan w:val="8"/>
            <w:tcBorders>
              <w:top w:val="outset" w:sz="6" w:space="0" w:color="auto"/>
              <w:left w:val="outset" w:sz="6" w:space="0" w:color="auto"/>
              <w:bottom w:val="outset" w:sz="6" w:space="0" w:color="auto"/>
              <w:right w:val="outset" w:sz="6" w:space="0" w:color="auto"/>
            </w:tcBorders>
          </w:tcPr>
          <w:p w14:paraId="0A8B000F" w14:textId="57B3DC0D" w:rsidR="00C62286" w:rsidRPr="00DD49B6" w:rsidRDefault="00223CCD" w:rsidP="003744B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C62286" w:rsidRPr="00DD49B6" w14:paraId="5CAD51FD"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BE43456" w14:textId="77777777" w:rsidR="00C62286" w:rsidRPr="00DD49B6" w:rsidRDefault="00C62286" w:rsidP="003744BC">
            <w:pPr>
              <w:spacing w:after="0" w:line="240" w:lineRule="auto"/>
              <w:ind w:left="57"/>
              <w:rPr>
                <w:rFonts w:ascii="Times New Roman" w:hAnsi="Times New Roman" w:cs="Times New Roman"/>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8"/>
            <w:tcBorders>
              <w:top w:val="outset" w:sz="6" w:space="0" w:color="auto"/>
              <w:left w:val="outset" w:sz="6" w:space="0" w:color="auto"/>
              <w:bottom w:val="outset" w:sz="6" w:space="0" w:color="auto"/>
              <w:right w:val="outset" w:sz="6" w:space="0" w:color="auto"/>
            </w:tcBorders>
          </w:tcPr>
          <w:p w14:paraId="4CB87D57" w14:textId="3A409DD3" w:rsidR="00C62286" w:rsidRPr="00DD49B6" w:rsidRDefault="00223CCD" w:rsidP="003744B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C62286" w:rsidRPr="00DD49B6" w14:paraId="574DF8D5" w14:textId="77777777" w:rsidTr="003744B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02F3985" w14:textId="77777777" w:rsidR="00C62286" w:rsidRPr="00DD49B6" w:rsidRDefault="00C62286" w:rsidP="003744BC">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7332" w:type="dxa"/>
            <w:gridSpan w:val="8"/>
            <w:tcBorders>
              <w:top w:val="outset" w:sz="6" w:space="0" w:color="auto"/>
              <w:left w:val="outset" w:sz="6" w:space="0" w:color="auto"/>
              <w:bottom w:val="outset" w:sz="6" w:space="0" w:color="auto"/>
              <w:right w:val="outset" w:sz="6" w:space="0" w:color="auto"/>
            </w:tcBorders>
          </w:tcPr>
          <w:p w14:paraId="2EBE584B" w14:textId="25EFA524" w:rsidR="00C62286" w:rsidRPr="00DD49B6" w:rsidRDefault="00223CCD" w:rsidP="003744B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223CCD" w:rsidRPr="00DD49B6" w14:paraId="420D5C22" w14:textId="77777777" w:rsidTr="00223CCD">
        <w:trPr>
          <w:jc w:val="center"/>
        </w:trPr>
        <w:tc>
          <w:tcPr>
            <w:tcW w:w="9535" w:type="dxa"/>
            <w:gridSpan w:val="10"/>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5E9BD440" w14:textId="77777777" w:rsidR="00223CCD" w:rsidRDefault="00223CCD" w:rsidP="00651B2D">
            <w:pPr>
              <w:spacing w:after="0" w:line="240" w:lineRule="auto"/>
              <w:ind w:left="57"/>
              <w:jc w:val="both"/>
              <w:rPr>
                <w:rFonts w:ascii="Times New Roman" w:hAnsi="Times New Roman" w:cs="Times New Roman"/>
                <w:sz w:val="24"/>
                <w:szCs w:val="24"/>
              </w:rPr>
            </w:pPr>
          </w:p>
          <w:p w14:paraId="6079F733" w14:textId="77777777" w:rsidR="00223CCD" w:rsidRPr="00012F4F" w:rsidRDefault="00223CCD" w:rsidP="00651B2D">
            <w:pPr>
              <w:spacing w:after="0" w:line="240" w:lineRule="auto"/>
              <w:ind w:left="57"/>
              <w:jc w:val="both"/>
              <w:rPr>
                <w:rFonts w:ascii="Times New Roman" w:hAnsi="Times New Roman" w:cs="Times New Roman"/>
                <w:sz w:val="24"/>
                <w:szCs w:val="24"/>
              </w:rPr>
            </w:pPr>
          </w:p>
        </w:tc>
      </w:tr>
      <w:tr w:rsidR="00E42943" w:rsidRPr="00DD49B6" w14:paraId="5F4DE988"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C0EDA84" w14:textId="6A42D164"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8"/>
            <w:tcBorders>
              <w:top w:val="outset" w:sz="6" w:space="0" w:color="auto"/>
              <w:left w:val="outset" w:sz="6" w:space="0" w:color="auto"/>
              <w:bottom w:val="outset" w:sz="6" w:space="0" w:color="auto"/>
              <w:right w:val="outset" w:sz="6" w:space="0" w:color="auto"/>
            </w:tcBorders>
          </w:tcPr>
          <w:p w14:paraId="30E1BE4A" w14:textId="27AC2E13" w:rsidR="00E42943" w:rsidRPr="00DD49B6" w:rsidRDefault="00E42943" w:rsidP="00651B2D">
            <w:pPr>
              <w:spacing w:after="0" w:line="240" w:lineRule="auto"/>
              <w:ind w:left="57"/>
              <w:jc w:val="both"/>
              <w:rPr>
                <w:rFonts w:ascii="Times New Roman" w:hAnsi="Times New Roman" w:cs="Times New Roman"/>
                <w:sz w:val="24"/>
                <w:szCs w:val="24"/>
              </w:rPr>
            </w:pPr>
            <w:r w:rsidRPr="00012F4F">
              <w:rPr>
                <w:rFonts w:ascii="Times New Roman" w:hAnsi="Times New Roman" w:cs="Times New Roman"/>
                <w:sz w:val="24"/>
                <w:szCs w:val="24"/>
              </w:rPr>
              <w:t>Eiropas Parlamenta un Padom</w:t>
            </w:r>
            <w:r w:rsidR="005E26F3">
              <w:rPr>
                <w:rFonts w:ascii="Times New Roman" w:hAnsi="Times New Roman" w:cs="Times New Roman"/>
                <w:sz w:val="24"/>
                <w:szCs w:val="24"/>
              </w:rPr>
              <w:t>es 2009.gada 18.jūnija direktīv</w:t>
            </w:r>
            <w:r>
              <w:rPr>
                <w:rFonts w:ascii="Times New Roman" w:hAnsi="Times New Roman" w:cs="Times New Roman"/>
                <w:sz w:val="24"/>
                <w:szCs w:val="24"/>
              </w:rPr>
              <w:t>a</w:t>
            </w:r>
            <w:r w:rsidRPr="00012F4F">
              <w:rPr>
                <w:rStyle w:val="apple-converted-space"/>
                <w:rFonts w:ascii="Times New Roman" w:hAnsi="Times New Roman" w:cs="Times New Roman"/>
                <w:sz w:val="24"/>
                <w:szCs w:val="24"/>
              </w:rPr>
              <w:t> </w:t>
            </w:r>
            <w:hyperlink r:id="rId9" w:tgtFrame="_blank" w:history="1">
              <w:r w:rsidRPr="00012F4F">
                <w:rPr>
                  <w:rStyle w:val="Hyperlink"/>
                  <w:rFonts w:ascii="Times New Roman" w:hAnsi="Times New Roman" w:cs="Times New Roman"/>
                  <w:sz w:val="24"/>
                  <w:szCs w:val="24"/>
                </w:rPr>
                <w:t>2009/52/EK</w:t>
              </w:r>
            </w:hyperlink>
            <w:r w:rsidRPr="00012F4F">
              <w:rPr>
                <w:rFonts w:ascii="Times New Roman" w:hAnsi="Times New Roman" w:cs="Times New Roman"/>
                <w:sz w:val="24"/>
                <w:szCs w:val="24"/>
              </w:rPr>
              <w:t xml:space="preserve">, ar ko nosaka minimālos standartus sankcijām un pasākumiem pret darba devējiem, kas nodarbina trešo valstu </w:t>
            </w:r>
            <w:proofErr w:type="spellStart"/>
            <w:r w:rsidRPr="00012F4F">
              <w:rPr>
                <w:rFonts w:ascii="Times New Roman" w:hAnsi="Times New Roman" w:cs="Times New Roman"/>
                <w:sz w:val="24"/>
                <w:szCs w:val="24"/>
              </w:rPr>
              <w:t>valstspiederīgos</w:t>
            </w:r>
            <w:proofErr w:type="spellEnd"/>
            <w:r w:rsidRPr="00012F4F">
              <w:rPr>
                <w:rFonts w:ascii="Times New Roman" w:hAnsi="Times New Roman" w:cs="Times New Roman"/>
                <w:sz w:val="24"/>
                <w:szCs w:val="24"/>
              </w:rPr>
              <w:t>, kuri dalībvalstīs uzturas nelikumīgi</w:t>
            </w:r>
          </w:p>
        </w:tc>
      </w:tr>
      <w:tr w:rsidR="00E42943" w:rsidRPr="00DD49B6" w14:paraId="650A8CCB"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2BB34C8D" w14:textId="660FBC9F" w:rsidR="00E42943" w:rsidRPr="00DD49B6" w:rsidRDefault="00E42943" w:rsidP="00E42943">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444" w:type="dxa"/>
            <w:gridSpan w:val="4"/>
            <w:tcBorders>
              <w:top w:val="outset" w:sz="6" w:space="0" w:color="auto"/>
              <w:left w:val="outset" w:sz="6" w:space="0" w:color="auto"/>
              <w:bottom w:val="outset" w:sz="6" w:space="0" w:color="auto"/>
              <w:right w:val="outset" w:sz="6" w:space="0" w:color="auto"/>
            </w:tcBorders>
            <w:vAlign w:val="center"/>
          </w:tcPr>
          <w:p w14:paraId="019AB71C" w14:textId="04C41E2B" w:rsidR="00E42943" w:rsidRPr="00DD49B6" w:rsidRDefault="00E42943" w:rsidP="00E42943">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444" w:type="dxa"/>
            <w:gridSpan w:val="3"/>
            <w:tcBorders>
              <w:top w:val="outset" w:sz="6" w:space="0" w:color="auto"/>
              <w:left w:val="outset" w:sz="6" w:space="0" w:color="auto"/>
              <w:bottom w:val="outset" w:sz="6" w:space="0" w:color="auto"/>
              <w:right w:val="outset" w:sz="6" w:space="0" w:color="auto"/>
            </w:tcBorders>
            <w:vAlign w:val="center"/>
          </w:tcPr>
          <w:p w14:paraId="276F6658" w14:textId="72C61B81" w:rsidR="00E42943" w:rsidRPr="00DD49B6" w:rsidRDefault="00E42943" w:rsidP="00E42943">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444" w:type="dxa"/>
            <w:tcBorders>
              <w:top w:val="outset" w:sz="6" w:space="0" w:color="auto"/>
              <w:left w:val="outset" w:sz="6" w:space="0" w:color="auto"/>
              <w:bottom w:val="outset" w:sz="6" w:space="0" w:color="auto"/>
              <w:right w:val="outset" w:sz="6" w:space="0" w:color="auto"/>
            </w:tcBorders>
            <w:vAlign w:val="center"/>
          </w:tcPr>
          <w:p w14:paraId="188C9A5C" w14:textId="351A136F" w:rsidR="00E42943" w:rsidRPr="00DD49B6" w:rsidRDefault="00E42943" w:rsidP="00E42943">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E42943" w:rsidRPr="00DD49B6" w14:paraId="600CA7C5"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3BB0D30" w14:textId="3198D4EB"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444" w:type="dxa"/>
            <w:gridSpan w:val="4"/>
            <w:tcBorders>
              <w:top w:val="outset" w:sz="6" w:space="0" w:color="auto"/>
              <w:left w:val="outset" w:sz="6" w:space="0" w:color="auto"/>
              <w:bottom w:val="outset" w:sz="6" w:space="0" w:color="auto"/>
              <w:right w:val="outset" w:sz="6" w:space="0" w:color="auto"/>
            </w:tcBorders>
          </w:tcPr>
          <w:p w14:paraId="19F5C3D4" w14:textId="4F2D0A6B"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444" w:type="dxa"/>
            <w:gridSpan w:val="3"/>
            <w:tcBorders>
              <w:top w:val="outset" w:sz="6" w:space="0" w:color="auto"/>
              <w:left w:val="outset" w:sz="6" w:space="0" w:color="auto"/>
              <w:bottom w:val="outset" w:sz="6" w:space="0" w:color="auto"/>
              <w:right w:val="outset" w:sz="6" w:space="0" w:color="auto"/>
            </w:tcBorders>
          </w:tcPr>
          <w:p w14:paraId="0DF59CEA" w14:textId="77777777" w:rsidR="00E42943" w:rsidRPr="00E42943" w:rsidRDefault="00E42943" w:rsidP="00E42943">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22918205" w14:textId="77777777" w:rsidR="00E42943" w:rsidRPr="00E42943" w:rsidRDefault="00E42943" w:rsidP="00E42943">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 xml:space="preserve">Ja attiecīgā ES tiesību akta </w:t>
            </w:r>
            <w:r w:rsidRPr="00E42943">
              <w:rPr>
                <w:rFonts w:ascii="Times New Roman" w:hAnsi="Times New Roman" w:cs="Times New Roman"/>
                <w:spacing w:val="-3"/>
                <w:sz w:val="20"/>
                <w:szCs w:val="24"/>
              </w:rPr>
              <w:lastRenderedPageBreak/>
              <w:t>vienība tiek pārņemta vai ieviesta daļēji, sniedz attiecīgu skaidrojumu, kā arī precīzi norāda, kad un kādā veidā ES tiesību akta vienība tiks pārņemta vai ieviesta pilnībā.</w:t>
            </w:r>
          </w:p>
          <w:p w14:paraId="04666A3F" w14:textId="4335B875"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2444" w:type="dxa"/>
            <w:tcBorders>
              <w:top w:val="outset" w:sz="6" w:space="0" w:color="auto"/>
              <w:left w:val="outset" w:sz="6" w:space="0" w:color="auto"/>
              <w:bottom w:val="outset" w:sz="6" w:space="0" w:color="auto"/>
              <w:right w:val="outset" w:sz="6" w:space="0" w:color="auto"/>
            </w:tcBorders>
          </w:tcPr>
          <w:p w14:paraId="7EF234A5" w14:textId="77777777"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lastRenderedPageBreak/>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2CDA9D79" w14:textId="77777777"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lastRenderedPageBreak/>
              <w:t>Ja projekts satur stingrā</w:t>
            </w:r>
            <w:r w:rsidRPr="00E42943">
              <w:rPr>
                <w:rFonts w:ascii="Times New Roman" w:hAnsi="Times New Roman" w:cs="Times New Roman"/>
                <w:sz w:val="20"/>
                <w:szCs w:val="24"/>
              </w:rPr>
              <w:softHyphen/>
              <w:t>kas prasības nekā attie</w:t>
            </w:r>
            <w:r w:rsidRPr="00E42943">
              <w:rPr>
                <w:rFonts w:ascii="Times New Roman" w:hAnsi="Times New Roman" w:cs="Times New Roman"/>
                <w:sz w:val="20"/>
                <w:szCs w:val="24"/>
              </w:rPr>
              <w:softHyphen/>
              <w:t>cīgais ES tiesību akts, norāda pamatojumu un samērīgumu.</w:t>
            </w:r>
          </w:p>
          <w:p w14:paraId="68069846" w14:textId="59D7E46D" w:rsidR="00E42943" w:rsidRPr="00E42943" w:rsidRDefault="00E42943" w:rsidP="00E42943">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E42943" w:rsidRPr="00DD49B6" w14:paraId="14003759"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74E2378" w14:textId="728D87CA" w:rsidR="00E42943" w:rsidRPr="00DD49B6" w:rsidRDefault="007505EB"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Direktīvas 7.panta 1.punkta a) apakšpunkts</w:t>
            </w:r>
          </w:p>
        </w:tc>
        <w:tc>
          <w:tcPr>
            <w:tcW w:w="2444" w:type="dxa"/>
            <w:gridSpan w:val="4"/>
            <w:tcBorders>
              <w:top w:val="outset" w:sz="6" w:space="0" w:color="auto"/>
              <w:left w:val="outset" w:sz="6" w:space="0" w:color="auto"/>
              <w:bottom w:val="outset" w:sz="6" w:space="0" w:color="auto"/>
              <w:right w:val="outset" w:sz="6" w:space="0" w:color="auto"/>
            </w:tcBorders>
          </w:tcPr>
          <w:p w14:paraId="0BB3BA24" w14:textId="0CC76A4D" w:rsidR="00E42943" w:rsidRPr="00DD49B6" w:rsidRDefault="007505EB"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25.panta pirmās daļas 2.punkta a) apakšpunkts, otrās daļas 1.punkts</w:t>
            </w:r>
          </w:p>
        </w:tc>
        <w:tc>
          <w:tcPr>
            <w:tcW w:w="2444" w:type="dxa"/>
            <w:gridSpan w:val="3"/>
            <w:tcBorders>
              <w:top w:val="outset" w:sz="6" w:space="0" w:color="auto"/>
              <w:left w:val="outset" w:sz="6" w:space="0" w:color="auto"/>
              <w:bottom w:val="outset" w:sz="6" w:space="0" w:color="auto"/>
              <w:right w:val="outset" w:sz="6" w:space="0" w:color="auto"/>
            </w:tcBorders>
          </w:tcPr>
          <w:p w14:paraId="08F8C130" w14:textId="5AAFC548" w:rsidR="00E42943" w:rsidRPr="00DD49B6" w:rsidRDefault="00007445" w:rsidP="00007445">
            <w:pPr>
              <w:spacing w:after="0" w:line="240" w:lineRule="auto"/>
              <w:rPr>
                <w:rFonts w:ascii="Times New Roman" w:hAnsi="Times New Roman" w:cs="Times New Roman"/>
                <w:sz w:val="24"/>
                <w:szCs w:val="24"/>
              </w:rPr>
            </w:pPr>
            <w:r>
              <w:rPr>
                <w:rFonts w:ascii="Times New Roman" w:hAnsi="Times New Roman" w:cs="Times New Roman"/>
                <w:sz w:val="24"/>
                <w:szCs w:val="24"/>
              </w:rPr>
              <w:t>Attiecībā uz ES fondu 2014.-2020.gada plānošanas periodu ieviesta pilnībā. Attiecībā uz 2007.-2013.gada plānošanas periodu šāds ierobežojums pretendēt uz ES fondu finansējumu ietverts projektu iesniegumu vērtēšanas kritērijos, kas iekļauti MK noteikumos par aktivitāšu īstenošanu.</w:t>
            </w:r>
          </w:p>
        </w:tc>
        <w:tc>
          <w:tcPr>
            <w:tcW w:w="2444" w:type="dxa"/>
            <w:tcBorders>
              <w:top w:val="outset" w:sz="6" w:space="0" w:color="auto"/>
              <w:left w:val="outset" w:sz="6" w:space="0" w:color="auto"/>
              <w:bottom w:val="outset" w:sz="6" w:space="0" w:color="auto"/>
              <w:right w:val="outset" w:sz="6" w:space="0" w:color="auto"/>
            </w:tcBorders>
          </w:tcPr>
          <w:p w14:paraId="4A17F433" w14:textId="4C8D8F1A" w:rsidR="00E42943" w:rsidRPr="00DD49B6" w:rsidRDefault="00007445"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Likumprojekts neparedz stingrākas prasības. Direktīvā paredzēta iespēja liegt tiesības saņemt ES fondu finansējumu uz laiku līdz pieciem gadiem.</w:t>
            </w:r>
          </w:p>
        </w:tc>
      </w:tr>
      <w:tr w:rsidR="00E42943" w:rsidRPr="00DD49B6" w14:paraId="4FCA70D3"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F2C42B" w14:textId="77777777" w:rsidR="00E42943" w:rsidRPr="00DD49B6" w:rsidRDefault="00E42943" w:rsidP="00E42943">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62B8BA4A" w14:textId="5A5CA60C" w:rsidR="00E42943" w:rsidRPr="00DD49B6" w:rsidRDefault="00E42943" w:rsidP="00E42943">
            <w:pPr>
              <w:spacing w:after="0" w:line="240" w:lineRule="auto"/>
              <w:ind w:left="57"/>
              <w:rPr>
                <w:rFonts w:ascii="Times New Roman" w:hAnsi="Times New Roman" w:cs="Times New Roman"/>
                <w:sz w:val="24"/>
                <w:szCs w:val="24"/>
              </w:rPr>
            </w:pPr>
            <w:r w:rsidRPr="00DD49B6">
              <w:rPr>
                <w:rFonts w:ascii="Times New Roman" w:hAnsi="Times New Roman" w:cs="Times New Roman"/>
                <w:spacing w:val="-3"/>
                <w:sz w:val="24"/>
                <w:szCs w:val="24"/>
              </w:rPr>
              <w:t>Kādēļ?</w:t>
            </w:r>
          </w:p>
        </w:tc>
        <w:tc>
          <w:tcPr>
            <w:tcW w:w="7332" w:type="dxa"/>
            <w:gridSpan w:val="8"/>
            <w:tcBorders>
              <w:top w:val="outset" w:sz="6" w:space="0" w:color="auto"/>
              <w:left w:val="outset" w:sz="6" w:space="0" w:color="auto"/>
              <w:bottom w:val="outset" w:sz="6" w:space="0" w:color="auto"/>
              <w:right w:val="outset" w:sz="6" w:space="0" w:color="auto"/>
            </w:tcBorders>
          </w:tcPr>
          <w:p w14:paraId="37799EB6" w14:textId="5EBF7F93" w:rsidR="00E42943" w:rsidRPr="00DD49B6" w:rsidRDefault="00007445" w:rsidP="00C25F3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Direktīvā paredzēta iespēja liegt tiesības saņemt ES fondu finansējumu uz laiku līdz pieciem gadiem, taču likumprojektā minētais termiņš noteikts trīs gadi. Šajā gadījumā </w:t>
            </w:r>
            <w:r w:rsidR="00742A0A">
              <w:rPr>
                <w:rFonts w:ascii="Times New Roman" w:hAnsi="Times New Roman" w:cs="Times New Roman"/>
                <w:sz w:val="24"/>
                <w:szCs w:val="24"/>
              </w:rPr>
              <w:t>termiņš pielīdzināts Publisko iepirkumu likumā noteiktajam termiņam, uz kuru darba devējiem liedz piedalīties publisko iepirkumu procedūrās.</w:t>
            </w:r>
          </w:p>
        </w:tc>
      </w:tr>
      <w:tr w:rsidR="00E42943" w:rsidRPr="00DD49B6" w14:paraId="771A3134"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4573E26" w14:textId="72E4151C"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8"/>
            <w:tcBorders>
              <w:top w:val="outset" w:sz="6" w:space="0" w:color="auto"/>
              <w:left w:val="outset" w:sz="6" w:space="0" w:color="auto"/>
              <w:bottom w:val="outset" w:sz="6" w:space="0" w:color="auto"/>
              <w:right w:val="outset" w:sz="6" w:space="0" w:color="auto"/>
            </w:tcBorders>
          </w:tcPr>
          <w:p w14:paraId="248400AA" w14:textId="2F61755A" w:rsidR="00E42943" w:rsidRPr="00DD49B6" w:rsidRDefault="00742A0A"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E42943" w:rsidRPr="00DD49B6" w14:paraId="00CA215E"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2447021" w14:textId="65A43B59" w:rsidR="00E42943" w:rsidRPr="00DD49B6" w:rsidRDefault="00E42943" w:rsidP="00171D36">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7332" w:type="dxa"/>
            <w:gridSpan w:val="8"/>
            <w:tcBorders>
              <w:top w:val="outset" w:sz="6" w:space="0" w:color="auto"/>
              <w:left w:val="outset" w:sz="6" w:space="0" w:color="auto"/>
              <w:bottom w:val="outset" w:sz="6" w:space="0" w:color="auto"/>
              <w:right w:val="outset" w:sz="6" w:space="0" w:color="auto"/>
            </w:tcBorders>
          </w:tcPr>
          <w:p w14:paraId="668E6BCA" w14:textId="48DFDBE1" w:rsidR="00E42943" w:rsidRPr="00DD49B6" w:rsidRDefault="00742A0A"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E42943" w:rsidRPr="00DD49B6" w14:paraId="2F2EAF7A" w14:textId="77777777" w:rsidTr="00E42943">
        <w:trPr>
          <w:jc w:val="center"/>
        </w:trPr>
        <w:tc>
          <w:tcPr>
            <w:tcW w:w="9535" w:type="dxa"/>
            <w:gridSpan w:val="10"/>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C119C7F" w14:textId="77777777" w:rsidR="00E42943" w:rsidRDefault="00E42943" w:rsidP="00171D36">
            <w:pPr>
              <w:spacing w:after="0" w:line="240" w:lineRule="auto"/>
              <w:ind w:left="57"/>
              <w:rPr>
                <w:rFonts w:ascii="Times New Roman" w:hAnsi="Times New Roman" w:cs="Times New Roman"/>
                <w:sz w:val="24"/>
                <w:szCs w:val="24"/>
              </w:rPr>
            </w:pPr>
          </w:p>
          <w:p w14:paraId="04E70EC8" w14:textId="77777777" w:rsidR="003A4318" w:rsidRPr="00DD49B6" w:rsidRDefault="003A4318" w:rsidP="00171D36">
            <w:pPr>
              <w:spacing w:after="0" w:line="240" w:lineRule="auto"/>
              <w:ind w:left="57"/>
              <w:rPr>
                <w:rFonts w:ascii="Times New Roman" w:hAnsi="Times New Roman" w:cs="Times New Roman"/>
                <w:sz w:val="24"/>
                <w:szCs w:val="24"/>
              </w:rPr>
            </w:pPr>
          </w:p>
        </w:tc>
      </w:tr>
      <w:tr w:rsidR="00E42943" w:rsidRPr="00DD49B6" w14:paraId="5EDF1EBD" w14:textId="77777777" w:rsidTr="00171D36">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14:paraId="5EDF1EBA"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lastRenderedPageBreak/>
              <w:t>2.tabula</w:t>
            </w:r>
          </w:p>
          <w:p w14:paraId="5EDF1EBB"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EDF1EBC"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E42943" w:rsidRPr="00DD49B6" w14:paraId="5EDF1EC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65" w:type="dxa"/>
            <w:gridSpan w:val="7"/>
            <w:tcBorders>
              <w:top w:val="outset" w:sz="6" w:space="0" w:color="auto"/>
              <w:left w:val="outset" w:sz="6" w:space="0" w:color="auto"/>
              <w:bottom w:val="outset" w:sz="6" w:space="0" w:color="auto"/>
              <w:right w:val="outset" w:sz="6" w:space="0" w:color="auto"/>
            </w:tcBorders>
          </w:tcPr>
          <w:p w14:paraId="5EDF1EBF" w14:textId="114A729F" w:rsidR="00E42943" w:rsidRPr="00DD49B6" w:rsidRDefault="00E42943" w:rsidP="00305E8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E42943" w:rsidRPr="00DD49B6" w14:paraId="5EDF1EC4"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14:paraId="5EDF1EC2"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963" w:type="dxa"/>
            <w:gridSpan w:val="3"/>
            <w:tcBorders>
              <w:top w:val="outset" w:sz="6" w:space="0" w:color="auto"/>
              <w:left w:val="outset" w:sz="6" w:space="0" w:color="auto"/>
              <w:bottom w:val="outset" w:sz="6" w:space="0" w:color="auto"/>
              <w:right w:val="outset" w:sz="6" w:space="0" w:color="auto"/>
            </w:tcBorders>
            <w:vAlign w:val="center"/>
          </w:tcPr>
          <w:p w14:paraId="5EDF1EC3"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E42943" w:rsidRPr="00DD49B6" w14:paraId="5EDF1ECB"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5EDF1EC6"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14:paraId="5EDF1EC7"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3"/>
            <w:tcBorders>
              <w:top w:val="outset" w:sz="6" w:space="0" w:color="auto"/>
              <w:left w:val="outset" w:sz="6" w:space="0" w:color="auto"/>
              <w:bottom w:val="outset" w:sz="6" w:space="0" w:color="auto"/>
              <w:right w:val="outset" w:sz="6" w:space="0" w:color="auto"/>
            </w:tcBorders>
          </w:tcPr>
          <w:p w14:paraId="5EDF1EC8"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EDF1EC9" w14:textId="5993BC31"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DF1ECA" w14:textId="77777777" w:rsidR="00E42943" w:rsidRPr="00DD49B6" w:rsidRDefault="00E42943" w:rsidP="00171D36">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E42943" w:rsidRPr="00DD49B6" w14:paraId="5EDF1ED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41BE26AB" w:rsidR="00E42943" w:rsidRPr="00DD49B6" w:rsidRDefault="00E42943" w:rsidP="00171D36">
            <w:pPr>
              <w:spacing w:after="0" w:line="240" w:lineRule="auto"/>
              <w:ind w:left="57"/>
              <w:rPr>
                <w:rFonts w:ascii="Times New Roman" w:hAnsi="Times New Roman" w:cs="Times New Roman"/>
                <w:sz w:val="24"/>
                <w:szCs w:val="24"/>
              </w:rPr>
            </w:pPr>
          </w:p>
        </w:tc>
        <w:tc>
          <w:tcPr>
            <w:tcW w:w="3102" w:type="dxa"/>
            <w:gridSpan w:val="4"/>
            <w:tcBorders>
              <w:top w:val="outset" w:sz="6" w:space="0" w:color="auto"/>
              <w:left w:val="outset" w:sz="6" w:space="0" w:color="auto"/>
              <w:bottom w:val="outset" w:sz="6" w:space="0" w:color="auto"/>
              <w:right w:val="outset" w:sz="6" w:space="0" w:color="auto"/>
            </w:tcBorders>
          </w:tcPr>
          <w:p w14:paraId="5EDF1ECD" w14:textId="769EB622" w:rsidR="00E42943" w:rsidRPr="00DD49B6" w:rsidRDefault="00E42943" w:rsidP="00171D36">
            <w:pPr>
              <w:spacing w:after="0" w:line="240" w:lineRule="auto"/>
              <w:ind w:left="57"/>
              <w:rPr>
                <w:rFonts w:ascii="Times New Roman" w:hAnsi="Times New Roman" w:cs="Times New Roman"/>
                <w:sz w:val="24"/>
                <w:szCs w:val="24"/>
              </w:rPr>
            </w:pPr>
          </w:p>
        </w:tc>
        <w:tc>
          <w:tcPr>
            <w:tcW w:w="3963" w:type="dxa"/>
            <w:gridSpan w:val="3"/>
            <w:tcBorders>
              <w:top w:val="outset" w:sz="6" w:space="0" w:color="auto"/>
              <w:left w:val="outset" w:sz="6" w:space="0" w:color="auto"/>
              <w:bottom w:val="outset" w:sz="6" w:space="0" w:color="auto"/>
              <w:right w:val="outset" w:sz="6" w:space="0" w:color="auto"/>
            </w:tcBorders>
          </w:tcPr>
          <w:p w14:paraId="5EDF1ECF" w14:textId="2AB18096" w:rsidR="00E42943" w:rsidRPr="00DD49B6" w:rsidRDefault="00E42943" w:rsidP="00171D36">
            <w:pPr>
              <w:spacing w:after="0" w:line="240" w:lineRule="auto"/>
              <w:ind w:left="57"/>
              <w:rPr>
                <w:rFonts w:ascii="Times New Roman" w:hAnsi="Times New Roman" w:cs="Times New Roman"/>
                <w:sz w:val="24"/>
                <w:szCs w:val="24"/>
              </w:rPr>
            </w:pPr>
          </w:p>
        </w:tc>
      </w:tr>
      <w:tr w:rsidR="00E42943" w:rsidRPr="00DD49B6" w14:paraId="5EDF1ED3"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7065" w:type="dxa"/>
            <w:gridSpan w:val="7"/>
            <w:tcBorders>
              <w:top w:val="outset" w:sz="6" w:space="0" w:color="auto"/>
              <w:left w:val="outset" w:sz="6" w:space="0" w:color="auto"/>
              <w:bottom w:val="outset" w:sz="6" w:space="0" w:color="auto"/>
              <w:right w:val="outset" w:sz="6" w:space="0" w:color="auto"/>
            </w:tcBorders>
          </w:tcPr>
          <w:p w14:paraId="5EDF1ED2" w14:textId="7241129E" w:rsidR="00E42943" w:rsidRPr="00DD49B6" w:rsidRDefault="00223CCD"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E42943" w:rsidRPr="00DD49B6" w14:paraId="5EDF1ED7"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065" w:type="dxa"/>
            <w:gridSpan w:val="7"/>
            <w:tcBorders>
              <w:top w:val="outset" w:sz="6" w:space="0" w:color="auto"/>
              <w:left w:val="outset" w:sz="6" w:space="0" w:color="auto"/>
              <w:bottom w:val="outset" w:sz="6" w:space="0" w:color="auto"/>
              <w:right w:val="outset" w:sz="6" w:space="0" w:color="auto"/>
            </w:tcBorders>
          </w:tcPr>
          <w:p w14:paraId="5EDF1ED6" w14:textId="0BA13B48" w:rsidR="00E42943" w:rsidRPr="00DD49B6" w:rsidRDefault="00E42943"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5EDF1ED8" w14:textId="77777777" w:rsidR="00DA6C86" w:rsidRDefault="00DA6C86" w:rsidP="00171D36">
      <w:pPr>
        <w:spacing w:after="0" w:line="240" w:lineRule="auto"/>
        <w:rPr>
          <w:rFonts w:ascii="Times New Roman" w:hAnsi="Times New Roman" w:cs="Times New Roman"/>
          <w:sz w:val="24"/>
          <w:szCs w:val="24"/>
        </w:rPr>
      </w:pPr>
    </w:p>
    <w:p w14:paraId="0EBDE4EF" w14:textId="77777777" w:rsidR="00E65755" w:rsidRDefault="00E65755" w:rsidP="00171D36">
      <w:pPr>
        <w:spacing w:after="0" w:line="240" w:lineRule="auto"/>
        <w:rPr>
          <w:rFonts w:ascii="Times New Roman" w:hAnsi="Times New Roman" w:cs="Times New Roman"/>
          <w:sz w:val="24"/>
          <w:szCs w:val="24"/>
        </w:rPr>
      </w:pPr>
    </w:p>
    <w:p w14:paraId="51CA812E" w14:textId="77777777" w:rsidR="00F56EA8" w:rsidRPr="00991CBE" w:rsidDel="009D1634" w:rsidRDefault="00F56EA8" w:rsidP="00171D3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991CBE" w:rsidRPr="00991CBE" w14:paraId="5EDF1EDA" w14:textId="77777777" w:rsidTr="004544D2">
        <w:trPr>
          <w:trHeight w:val="421"/>
          <w:jc w:val="center"/>
        </w:trPr>
        <w:tc>
          <w:tcPr>
            <w:tcW w:w="9524" w:type="dxa"/>
            <w:gridSpan w:val="3"/>
            <w:vAlign w:val="center"/>
          </w:tcPr>
          <w:p w14:paraId="5EDF1ED9" w14:textId="77777777" w:rsidR="00DA6C86" w:rsidRPr="00991CBE" w:rsidRDefault="00DA6C86" w:rsidP="00171D36">
            <w:pPr>
              <w:pStyle w:val="naisnod"/>
              <w:spacing w:before="0" w:beforeAutospacing="0" w:after="0" w:afterAutospacing="0"/>
              <w:ind w:left="57" w:right="57"/>
              <w:jc w:val="center"/>
            </w:pPr>
            <w:r w:rsidRPr="00991CBE">
              <w:rPr>
                <w:b/>
              </w:rPr>
              <w:t>VI. Sabiedrības līdzdalība un komunikācijas aktivitātes</w:t>
            </w:r>
          </w:p>
        </w:tc>
      </w:tr>
      <w:tr w:rsidR="00991CBE" w:rsidRPr="00991CBE" w14:paraId="5EDF1EDE" w14:textId="77777777" w:rsidTr="007A4496">
        <w:trPr>
          <w:trHeight w:val="553"/>
          <w:jc w:val="center"/>
        </w:trPr>
        <w:tc>
          <w:tcPr>
            <w:tcW w:w="476" w:type="dxa"/>
          </w:tcPr>
          <w:p w14:paraId="5EDF1EDB"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1.</w:t>
            </w:r>
          </w:p>
        </w:tc>
        <w:tc>
          <w:tcPr>
            <w:tcW w:w="2842" w:type="dxa"/>
          </w:tcPr>
          <w:p w14:paraId="5EDF1EDC" w14:textId="77777777" w:rsidR="00DA6C86" w:rsidRPr="00991CBE" w:rsidRDefault="00DA6C86" w:rsidP="002C5BB1">
            <w:pPr>
              <w:tabs>
                <w:tab w:val="left" w:pos="170"/>
              </w:tabs>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Plānotās sabiedrības līdzdalības un komunikācijas aktivitātes saistībā ar projektu</w:t>
            </w:r>
          </w:p>
        </w:tc>
        <w:tc>
          <w:tcPr>
            <w:tcW w:w="6206" w:type="dxa"/>
          </w:tcPr>
          <w:p w14:paraId="5EDF1EDD" w14:textId="6EAE4D76" w:rsidR="00DA6C86" w:rsidRPr="00991CBE" w:rsidRDefault="00232EA5" w:rsidP="00C25F3D">
            <w:pPr>
              <w:shd w:val="clear" w:color="auto" w:fill="FFFFFF"/>
              <w:spacing w:after="0" w:line="240" w:lineRule="auto"/>
              <w:ind w:left="57" w:right="57"/>
              <w:jc w:val="both"/>
              <w:rPr>
                <w:rFonts w:ascii="Times New Roman" w:hAnsi="Times New Roman" w:cs="Times New Roman"/>
                <w:sz w:val="24"/>
                <w:szCs w:val="24"/>
              </w:rPr>
            </w:pPr>
            <w:bookmarkStart w:id="0" w:name="p61"/>
            <w:bookmarkEnd w:id="0"/>
            <w:r>
              <w:rPr>
                <w:rFonts w:ascii="Times New Roman" w:hAnsi="Times New Roman" w:cs="Times New Roman"/>
                <w:sz w:val="24"/>
                <w:szCs w:val="24"/>
              </w:rPr>
              <w:t>Sabiedrības pārstāvji varē</w:t>
            </w:r>
            <w:r w:rsidR="00C25F3D">
              <w:rPr>
                <w:rFonts w:ascii="Times New Roman" w:hAnsi="Times New Roman" w:cs="Times New Roman"/>
                <w:sz w:val="24"/>
                <w:szCs w:val="24"/>
              </w:rPr>
              <w:t>ja</w:t>
            </w:r>
            <w:r>
              <w:rPr>
                <w:rFonts w:ascii="Times New Roman" w:hAnsi="Times New Roman" w:cs="Times New Roman"/>
                <w:sz w:val="24"/>
                <w:szCs w:val="24"/>
              </w:rPr>
              <w:t xml:space="preserve"> līdzdarboties likumprojekta izstrādē, sniedzot atzinumu par to pēc izsludināšanas Valsts sekretāru sanāksmē, kā arī piedalīties </w:t>
            </w:r>
            <w:r w:rsidR="00C25F3D">
              <w:rPr>
                <w:rFonts w:ascii="Times New Roman" w:hAnsi="Times New Roman" w:cs="Times New Roman"/>
                <w:sz w:val="24"/>
                <w:szCs w:val="24"/>
              </w:rPr>
              <w:t>sabiedriskajā apspriedē</w:t>
            </w:r>
            <w:r>
              <w:rPr>
                <w:rFonts w:ascii="Times New Roman" w:hAnsi="Times New Roman" w:cs="Times New Roman"/>
                <w:sz w:val="24"/>
                <w:szCs w:val="24"/>
              </w:rPr>
              <w:t xml:space="preserve">. Par </w:t>
            </w:r>
            <w:r w:rsidR="00C25F3D">
              <w:rPr>
                <w:rFonts w:ascii="Times New Roman" w:hAnsi="Times New Roman" w:cs="Times New Roman"/>
                <w:sz w:val="24"/>
                <w:szCs w:val="24"/>
              </w:rPr>
              <w:t xml:space="preserve">minētajām </w:t>
            </w:r>
            <w:r>
              <w:rPr>
                <w:rFonts w:ascii="Times New Roman" w:hAnsi="Times New Roman" w:cs="Times New Roman"/>
                <w:sz w:val="24"/>
                <w:szCs w:val="24"/>
              </w:rPr>
              <w:t>iespēj</w:t>
            </w:r>
            <w:r w:rsidR="00C25F3D">
              <w:rPr>
                <w:rFonts w:ascii="Times New Roman" w:hAnsi="Times New Roman" w:cs="Times New Roman"/>
                <w:sz w:val="24"/>
                <w:szCs w:val="24"/>
              </w:rPr>
              <w:t>ām</w:t>
            </w:r>
            <w:r>
              <w:rPr>
                <w:rFonts w:ascii="Times New Roman" w:hAnsi="Times New Roman" w:cs="Times New Roman"/>
                <w:sz w:val="24"/>
                <w:szCs w:val="24"/>
              </w:rPr>
              <w:t xml:space="preserve"> sabiedrības pārstāvjiem sniegt atzinumu tik</w:t>
            </w:r>
            <w:r w:rsidR="00757D86">
              <w:rPr>
                <w:rFonts w:ascii="Times New Roman" w:hAnsi="Times New Roman" w:cs="Times New Roman"/>
                <w:sz w:val="24"/>
                <w:szCs w:val="24"/>
              </w:rPr>
              <w:t>a</w:t>
            </w:r>
            <w:r>
              <w:rPr>
                <w:rFonts w:ascii="Times New Roman" w:hAnsi="Times New Roman" w:cs="Times New Roman"/>
                <w:sz w:val="24"/>
                <w:szCs w:val="24"/>
              </w:rPr>
              <w:t xml:space="preserve"> sagatavota un izplatīta preses </w:t>
            </w:r>
            <w:proofErr w:type="spellStart"/>
            <w:r>
              <w:rPr>
                <w:rFonts w:ascii="Times New Roman" w:hAnsi="Times New Roman" w:cs="Times New Roman"/>
                <w:sz w:val="24"/>
                <w:szCs w:val="24"/>
              </w:rPr>
              <w:t>relīze</w:t>
            </w:r>
            <w:proofErr w:type="spellEnd"/>
            <w:r>
              <w:rPr>
                <w:rFonts w:ascii="Times New Roman" w:hAnsi="Times New Roman" w:cs="Times New Roman"/>
                <w:sz w:val="24"/>
                <w:szCs w:val="24"/>
              </w:rPr>
              <w:t>.</w:t>
            </w:r>
          </w:p>
        </w:tc>
      </w:tr>
      <w:tr w:rsidR="00991CBE" w:rsidRPr="00991CBE" w14:paraId="5EDF1EE2" w14:textId="77777777" w:rsidTr="007A4496">
        <w:trPr>
          <w:trHeight w:val="339"/>
          <w:jc w:val="center"/>
        </w:trPr>
        <w:tc>
          <w:tcPr>
            <w:tcW w:w="476" w:type="dxa"/>
          </w:tcPr>
          <w:p w14:paraId="5EDF1EDF"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2.</w:t>
            </w:r>
          </w:p>
        </w:tc>
        <w:tc>
          <w:tcPr>
            <w:tcW w:w="2842" w:type="dxa"/>
          </w:tcPr>
          <w:p w14:paraId="5EDF1EE0"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 projekta izstrādē</w:t>
            </w:r>
          </w:p>
        </w:tc>
        <w:tc>
          <w:tcPr>
            <w:tcW w:w="6206" w:type="dxa"/>
          </w:tcPr>
          <w:p w14:paraId="6C231630" w14:textId="77777777" w:rsidR="00DA6C86" w:rsidRDefault="003722FD" w:rsidP="00C25F3D">
            <w:pPr>
              <w:shd w:val="clear" w:color="auto" w:fill="FFFFFF"/>
              <w:spacing w:after="0" w:line="240" w:lineRule="auto"/>
              <w:ind w:left="57" w:right="57" w:firstLine="396"/>
              <w:jc w:val="both"/>
              <w:rPr>
                <w:rFonts w:ascii="Times New Roman" w:hAnsi="Times New Roman" w:cs="Times New Roman"/>
                <w:sz w:val="24"/>
                <w:szCs w:val="24"/>
              </w:rPr>
            </w:pPr>
            <w:bookmarkStart w:id="1" w:name="p62"/>
            <w:bookmarkEnd w:id="1"/>
            <w:r>
              <w:rPr>
                <w:rFonts w:ascii="Times New Roman" w:hAnsi="Times New Roman" w:cs="Times New Roman"/>
                <w:sz w:val="24"/>
                <w:szCs w:val="24"/>
              </w:rPr>
              <w:t xml:space="preserve">Valsts kancelejas vadītajā starpinstitūciju darba grupā, kura izstrādāja priekšlikumus arī likumprojektam, piedalījās Latvijas </w:t>
            </w:r>
            <w:r w:rsidR="00D20B04">
              <w:rPr>
                <w:rFonts w:ascii="Times New Roman" w:hAnsi="Times New Roman" w:cs="Times New Roman"/>
                <w:sz w:val="24"/>
                <w:szCs w:val="24"/>
              </w:rPr>
              <w:t>D</w:t>
            </w:r>
            <w:r>
              <w:rPr>
                <w:rFonts w:ascii="Times New Roman" w:hAnsi="Times New Roman" w:cs="Times New Roman"/>
                <w:sz w:val="24"/>
                <w:szCs w:val="24"/>
              </w:rPr>
              <w:t>arba devēju konfederācijas, Latvijas Pašvaldību savienības un Latvijas Tirdzniecības un rūpniecības kameras pārstāvji.</w:t>
            </w:r>
          </w:p>
          <w:p w14:paraId="3A6151F7" w14:textId="77777777" w:rsidR="00D20B04" w:rsidRDefault="006119A1" w:rsidP="00C25F3D">
            <w:pPr>
              <w:shd w:val="clear" w:color="auto" w:fill="FFFFFF"/>
              <w:spacing w:after="0" w:line="240" w:lineRule="auto"/>
              <w:ind w:left="57" w:right="57" w:firstLine="396"/>
              <w:jc w:val="both"/>
              <w:rPr>
                <w:rFonts w:ascii="Times New Roman" w:hAnsi="Times New Roman" w:cs="Times New Roman"/>
                <w:sz w:val="24"/>
                <w:szCs w:val="24"/>
              </w:rPr>
            </w:pPr>
            <w:r>
              <w:rPr>
                <w:rFonts w:ascii="Times New Roman" w:hAnsi="Times New Roman" w:cs="Times New Roman"/>
                <w:sz w:val="24"/>
                <w:szCs w:val="24"/>
              </w:rPr>
              <w:t>Savukārt Vidzemes plānošanas reģions, Zemgales plānošanas reģions, Rīgas plānošanas reģions</w:t>
            </w:r>
            <w:r w:rsidR="0093487E">
              <w:rPr>
                <w:rFonts w:ascii="Times New Roman" w:hAnsi="Times New Roman" w:cs="Times New Roman"/>
                <w:sz w:val="24"/>
                <w:szCs w:val="24"/>
              </w:rPr>
              <w:t xml:space="preserve">, </w:t>
            </w:r>
            <w:r>
              <w:rPr>
                <w:rFonts w:ascii="Times New Roman" w:hAnsi="Times New Roman" w:cs="Times New Roman"/>
                <w:sz w:val="24"/>
                <w:szCs w:val="24"/>
              </w:rPr>
              <w:t>Latvijas Lielo pilsētu asociācija</w:t>
            </w:r>
            <w:r w:rsidR="0093487E">
              <w:rPr>
                <w:rFonts w:ascii="Times New Roman" w:hAnsi="Times New Roman" w:cs="Times New Roman"/>
                <w:sz w:val="24"/>
                <w:szCs w:val="24"/>
              </w:rPr>
              <w:t>,</w:t>
            </w:r>
            <w:r>
              <w:rPr>
                <w:rFonts w:ascii="Times New Roman" w:hAnsi="Times New Roman" w:cs="Times New Roman"/>
                <w:sz w:val="24"/>
                <w:szCs w:val="24"/>
              </w:rPr>
              <w:t xml:space="preserve"> Latvijas Pilsoniskā alianse</w:t>
            </w:r>
            <w:r w:rsidR="0093487E">
              <w:rPr>
                <w:rFonts w:ascii="Times New Roman" w:hAnsi="Times New Roman" w:cs="Times New Roman"/>
                <w:sz w:val="24"/>
                <w:szCs w:val="24"/>
              </w:rPr>
              <w:t xml:space="preserve">, Latvijas </w:t>
            </w:r>
            <w:r w:rsidR="0093487E">
              <w:rPr>
                <w:rFonts w:ascii="Times New Roman" w:hAnsi="Times New Roman" w:cs="Times New Roman"/>
                <w:sz w:val="24"/>
                <w:szCs w:val="24"/>
              </w:rPr>
              <w:lastRenderedPageBreak/>
              <w:t xml:space="preserve">Informācijas un komunikācijas tehnoloģijas asociācija </w:t>
            </w:r>
            <w:r w:rsidR="00F611EC">
              <w:rPr>
                <w:rFonts w:ascii="Times New Roman" w:hAnsi="Times New Roman" w:cs="Times New Roman"/>
                <w:sz w:val="24"/>
                <w:szCs w:val="24"/>
              </w:rPr>
              <w:t xml:space="preserve">(turpmāk – LIKTA) </w:t>
            </w:r>
            <w:r w:rsidR="0093487E">
              <w:rPr>
                <w:rFonts w:ascii="Times New Roman" w:hAnsi="Times New Roman" w:cs="Times New Roman"/>
                <w:sz w:val="24"/>
                <w:szCs w:val="24"/>
              </w:rPr>
              <w:t>un Ventspils pilsētas dome</w:t>
            </w:r>
            <w:r>
              <w:rPr>
                <w:rFonts w:ascii="Times New Roman" w:hAnsi="Times New Roman" w:cs="Times New Roman"/>
                <w:sz w:val="24"/>
                <w:szCs w:val="24"/>
              </w:rPr>
              <w:t xml:space="preserve"> sniedza priekšlikumus likumprojektam, atsaucoties uz vadošās iestādes aicinājumu  (Finanšu ministrijas 2013.gada 17.aprīļa vēstule Nr.11-3-01/2297).</w:t>
            </w:r>
          </w:p>
          <w:p w14:paraId="5EDF1EE1" w14:textId="18AFAE9D" w:rsidR="0023307F" w:rsidRPr="00991CBE" w:rsidRDefault="0023307F" w:rsidP="00C25F3D">
            <w:pPr>
              <w:shd w:val="clear" w:color="auto" w:fill="FFFFFF"/>
              <w:spacing w:after="0" w:line="240" w:lineRule="auto"/>
              <w:ind w:left="57" w:right="57" w:firstLine="396"/>
              <w:jc w:val="both"/>
              <w:rPr>
                <w:rFonts w:ascii="Times New Roman" w:hAnsi="Times New Roman" w:cs="Times New Roman"/>
                <w:sz w:val="24"/>
                <w:szCs w:val="24"/>
              </w:rPr>
            </w:pPr>
            <w:r>
              <w:rPr>
                <w:rFonts w:ascii="Times New Roman" w:hAnsi="Times New Roman" w:cs="Times New Roman"/>
                <w:sz w:val="24"/>
                <w:szCs w:val="24"/>
              </w:rPr>
              <w:t xml:space="preserve">Finanšu ministrijas 2014.gada 14.februārī rīkotajā sabiedriskajā apspriedē piedalījās </w:t>
            </w:r>
            <w:r w:rsidRPr="0023307F">
              <w:rPr>
                <w:rFonts w:ascii="Times New Roman" w:hAnsi="Times New Roman" w:cs="Times New Roman"/>
                <w:sz w:val="24"/>
                <w:szCs w:val="24"/>
              </w:rPr>
              <w:t>Rīgas plānošanas reģion</w:t>
            </w:r>
            <w:r>
              <w:rPr>
                <w:rFonts w:ascii="Times New Roman" w:hAnsi="Times New Roman" w:cs="Times New Roman"/>
                <w:sz w:val="24"/>
                <w:szCs w:val="24"/>
              </w:rPr>
              <w:t xml:space="preserve">a, </w:t>
            </w:r>
            <w:r w:rsidRPr="0023307F">
              <w:rPr>
                <w:rFonts w:ascii="Times New Roman" w:hAnsi="Times New Roman" w:cs="Times New Roman"/>
                <w:sz w:val="24"/>
                <w:szCs w:val="24"/>
              </w:rPr>
              <w:t>Zemgales plānošanas reģion</w:t>
            </w:r>
            <w:r>
              <w:rPr>
                <w:rFonts w:ascii="Times New Roman" w:hAnsi="Times New Roman" w:cs="Times New Roman"/>
                <w:sz w:val="24"/>
                <w:szCs w:val="24"/>
              </w:rPr>
              <w:t xml:space="preserve">a, </w:t>
            </w:r>
            <w:r w:rsidRPr="0023307F">
              <w:rPr>
                <w:rFonts w:ascii="Times New Roman" w:hAnsi="Times New Roman" w:cs="Times New Roman"/>
                <w:sz w:val="24"/>
                <w:szCs w:val="24"/>
              </w:rPr>
              <w:t>Kurzemes plānošanas reģion</w:t>
            </w:r>
            <w:r>
              <w:rPr>
                <w:rFonts w:ascii="Times New Roman" w:hAnsi="Times New Roman" w:cs="Times New Roman"/>
                <w:sz w:val="24"/>
                <w:szCs w:val="24"/>
              </w:rPr>
              <w:t xml:space="preserve">a, </w:t>
            </w:r>
            <w:r w:rsidRPr="0023307F">
              <w:rPr>
                <w:rFonts w:ascii="Times New Roman" w:hAnsi="Times New Roman" w:cs="Times New Roman"/>
                <w:sz w:val="24"/>
                <w:szCs w:val="24"/>
              </w:rPr>
              <w:t>Vidzemes plānošanas reģion</w:t>
            </w:r>
            <w:r w:rsidR="00304067">
              <w:rPr>
                <w:rFonts w:ascii="Times New Roman" w:hAnsi="Times New Roman" w:cs="Times New Roman"/>
                <w:sz w:val="24"/>
                <w:szCs w:val="24"/>
              </w:rPr>
              <w:t>a</w:t>
            </w:r>
            <w:r>
              <w:rPr>
                <w:rFonts w:ascii="Times New Roman" w:hAnsi="Times New Roman" w:cs="Times New Roman"/>
                <w:sz w:val="24"/>
                <w:szCs w:val="24"/>
              </w:rPr>
              <w:t xml:space="preserve">, </w:t>
            </w:r>
            <w:r w:rsidRPr="0023307F">
              <w:rPr>
                <w:rFonts w:ascii="Times New Roman" w:hAnsi="Times New Roman" w:cs="Times New Roman"/>
                <w:sz w:val="24"/>
                <w:szCs w:val="24"/>
              </w:rPr>
              <w:t>Latvijas Mazo un Vidējo uzņēmumu asociācija</w:t>
            </w:r>
            <w:r>
              <w:rPr>
                <w:rFonts w:ascii="Times New Roman" w:hAnsi="Times New Roman" w:cs="Times New Roman"/>
                <w:sz w:val="24"/>
                <w:szCs w:val="24"/>
              </w:rPr>
              <w:t xml:space="preserve">s, </w:t>
            </w:r>
            <w:r w:rsidRPr="0023307F">
              <w:rPr>
                <w:rFonts w:ascii="Times New Roman" w:hAnsi="Times New Roman" w:cs="Times New Roman"/>
                <w:sz w:val="24"/>
                <w:szCs w:val="24"/>
              </w:rPr>
              <w:t>Latvijas Banka</w:t>
            </w:r>
            <w:r>
              <w:rPr>
                <w:rFonts w:ascii="Times New Roman" w:hAnsi="Times New Roman" w:cs="Times New Roman"/>
                <w:sz w:val="24"/>
                <w:szCs w:val="24"/>
              </w:rPr>
              <w:t xml:space="preserve">s, </w:t>
            </w:r>
            <w:r w:rsidRPr="0023307F">
              <w:rPr>
                <w:rFonts w:ascii="Times New Roman" w:hAnsi="Times New Roman" w:cs="Times New Roman"/>
                <w:sz w:val="24"/>
                <w:szCs w:val="24"/>
              </w:rPr>
              <w:t>Augstākās izglītības padome</w:t>
            </w:r>
            <w:r>
              <w:rPr>
                <w:rFonts w:ascii="Times New Roman" w:hAnsi="Times New Roman" w:cs="Times New Roman"/>
                <w:sz w:val="24"/>
                <w:szCs w:val="24"/>
              </w:rPr>
              <w:t xml:space="preserve">s, </w:t>
            </w:r>
            <w:r w:rsidRPr="0023307F">
              <w:rPr>
                <w:rFonts w:ascii="Times New Roman" w:hAnsi="Times New Roman" w:cs="Times New Roman"/>
                <w:sz w:val="24"/>
                <w:szCs w:val="24"/>
              </w:rPr>
              <w:t>Rīgas uzņēmēju biedrība</w:t>
            </w:r>
            <w:r>
              <w:rPr>
                <w:rFonts w:ascii="Times New Roman" w:hAnsi="Times New Roman" w:cs="Times New Roman"/>
                <w:sz w:val="24"/>
                <w:szCs w:val="24"/>
              </w:rPr>
              <w:t xml:space="preserve">s, </w:t>
            </w:r>
            <w:r w:rsidRPr="0023307F">
              <w:rPr>
                <w:rFonts w:ascii="Times New Roman" w:hAnsi="Times New Roman" w:cs="Times New Roman"/>
                <w:sz w:val="24"/>
                <w:szCs w:val="24"/>
              </w:rPr>
              <w:t>Latvijas atvērto tehnoloģiju asociācija</w:t>
            </w:r>
            <w:r>
              <w:rPr>
                <w:rFonts w:ascii="Times New Roman" w:hAnsi="Times New Roman" w:cs="Times New Roman"/>
                <w:sz w:val="24"/>
                <w:szCs w:val="24"/>
              </w:rPr>
              <w:t xml:space="preserve">s, </w:t>
            </w:r>
            <w:r w:rsidRPr="0023307F">
              <w:rPr>
                <w:rFonts w:ascii="Times New Roman" w:hAnsi="Times New Roman" w:cs="Times New Roman"/>
                <w:sz w:val="24"/>
                <w:szCs w:val="24"/>
              </w:rPr>
              <w:t>Latvijas Lielo pilsētu asociācija</w:t>
            </w:r>
            <w:r>
              <w:rPr>
                <w:rFonts w:ascii="Times New Roman" w:hAnsi="Times New Roman" w:cs="Times New Roman"/>
                <w:sz w:val="24"/>
                <w:szCs w:val="24"/>
              </w:rPr>
              <w:t xml:space="preserve">s, </w:t>
            </w:r>
            <w:r w:rsidRPr="0023307F">
              <w:rPr>
                <w:rFonts w:ascii="Times New Roman" w:hAnsi="Times New Roman" w:cs="Times New Roman"/>
                <w:sz w:val="24"/>
                <w:szCs w:val="24"/>
              </w:rPr>
              <w:t>Rīgas domes Pilsētas attīstības departament</w:t>
            </w:r>
            <w:r>
              <w:rPr>
                <w:rFonts w:ascii="Times New Roman" w:hAnsi="Times New Roman" w:cs="Times New Roman"/>
                <w:sz w:val="24"/>
                <w:szCs w:val="24"/>
              </w:rPr>
              <w:t xml:space="preserve">a, </w:t>
            </w:r>
            <w:r w:rsidRPr="0023307F">
              <w:rPr>
                <w:rFonts w:ascii="Times New Roman" w:hAnsi="Times New Roman" w:cs="Times New Roman"/>
                <w:sz w:val="24"/>
                <w:szCs w:val="24"/>
              </w:rPr>
              <w:t>Latvijas Dabas fond</w:t>
            </w:r>
            <w:r>
              <w:rPr>
                <w:rFonts w:ascii="Times New Roman" w:hAnsi="Times New Roman" w:cs="Times New Roman"/>
                <w:sz w:val="24"/>
                <w:szCs w:val="24"/>
              </w:rPr>
              <w:t xml:space="preserve">a, </w:t>
            </w:r>
            <w:r w:rsidRPr="0023307F">
              <w:rPr>
                <w:rFonts w:ascii="Times New Roman" w:hAnsi="Times New Roman" w:cs="Times New Roman"/>
                <w:sz w:val="24"/>
                <w:szCs w:val="24"/>
              </w:rPr>
              <w:t>Valmieras pilsētas pašvaldība</w:t>
            </w:r>
            <w:r>
              <w:rPr>
                <w:rFonts w:ascii="Times New Roman" w:hAnsi="Times New Roman" w:cs="Times New Roman"/>
                <w:sz w:val="24"/>
                <w:szCs w:val="24"/>
              </w:rPr>
              <w:t xml:space="preserve">s, </w:t>
            </w:r>
            <w:r w:rsidR="00304067">
              <w:rPr>
                <w:rFonts w:ascii="Times New Roman" w:hAnsi="Times New Roman" w:cs="Times New Roman"/>
                <w:sz w:val="24"/>
                <w:szCs w:val="24"/>
              </w:rPr>
              <w:t xml:space="preserve">Latvijas </w:t>
            </w:r>
            <w:proofErr w:type="spellStart"/>
            <w:r w:rsidR="00304067">
              <w:rPr>
                <w:rFonts w:ascii="Times New Roman" w:hAnsi="Times New Roman" w:cs="Times New Roman"/>
                <w:sz w:val="24"/>
                <w:szCs w:val="24"/>
              </w:rPr>
              <w:t>Datortirgotāj</w:t>
            </w:r>
            <w:r w:rsidRPr="0023307F">
              <w:rPr>
                <w:rFonts w:ascii="Times New Roman" w:hAnsi="Times New Roman" w:cs="Times New Roman"/>
                <w:sz w:val="24"/>
                <w:szCs w:val="24"/>
              </w:rPr>
              <w:t>u</w:t>
            </w:r>
            <w:proofErr w:type="spellEnd"/>
            <w:r w:rsidRPr="0023307F">
              <w:rPr>
                <w:rFonts w:ascii="Times New Roman" w:hAnsi="Times New Roman" w:cs="Times New Roman"/>
                <w:sz w:val="24"/>
                <w:szCs w:val="24"/>
              </w:rPr>
              <w:t xml:space="preserve"> Asociācija</w:t>
            </w:r>
            <w:r>
              <w:rPr>
                <w:rFonts w:ascii="Times New Roman" w:hAnsi="Times New Roman" w:cs="Times New Roman"/>
                <w:sz w:val="24"/>
                <w:szCs w:val="24"/>
              </w:rPr>
              <w:t xml:space="preserve">s, </w:t>
            </w:r>
            <w:r w:rsidRPr="0023307F">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xml:space="preserve">s, </w:t>
            </w:r>
            <w:r w:rsidRPr="0023307F">
              <w:rPr>
                <w:rFonts w:ascii="Times New Roman" w:hAnsi="Times New Roman" w:cs="Times New Roman"/>
                <w:sz w:val="24"/>
                <w:szCs w:val="24"/>
              </w:rPr>
              <w:t>Jūrmalas pilsētas dome</w:t>
            </w:r>
            <w:r>
              <w:rPr>
                <w:rFonts w:ascii="Times New Roman" w:hAnsi="Times New Roman" w:cs="Times New Roman"/>
                <w:sz w:val="24"/>
                <w:szCs w:val="24"/>
              </w:rPr>
              <w:t xml:space="preserve">s, </w:t>
            </w:r>
            <w:r w:rsidRPr="0023307F">
              <w:rPr>
                <w:rFonts w:ascii="Times New Roman" w:hAnsi="Times New Roman" w:cs="Times New Roman"/>
                <w:sz w:val="24"/>
                <w:szCs w:val="24"/>
              </w:rPr>
              <w:t>Rīgas Stradiņa universitāte</w:t>
            </w:r>
            <w:r>
              <w:rPr>
                <w:rFonts w:ascii="Times New Roman" w:hAnsi="Times New Roman" w:cs="Times New Roman"/>
                <w:sz w:val="24"/>
                <w:szCs w:val="24"/>
              </w:rPr>
              <w:t xml:space="preserve">s un </w:t>
            </w:r>
            <w:r w:rsidRPr="0023307F">
              <w:rPr>
                <w:rFonts w:ascii="Times New Roman" w:hAnsi="Times New Roman" w:cs="Times New Roman"/>
                <w:sz w:val="24"/>
                <w:szCs w:val="24"/>
              </w:rPr>
              <w:t>Centrālā finanšu un līgumu aģentūra</w:t>
            </w:r>
            <w:r>
              <w:rPr>
                <w:rFonts w:ascii="Times New Roman" w:hAnsi="Times New Roman" w:cs="Times New Roman"/>
                <w:sz w:val="24"/>
                <w:szCs w:val="24"/>
              </w:rPr>
              <w:t>s pārstāvji</w:t>
            </w:r>
            <w:r w:rsidR="00304067">
              <w:rPr>
                <w:rFonts w:ascii="Times New Roman" w:hAnsi="Times New Roman" w:cs="Times New Roman"/>
                <w:sz w:val="24"/>
                <w:szCs w:val="24"/>
              </w:rPr>
              <w:t>, kuras laikā tika dota iespēja sabiedrības pārstāvjiem izteikt komentārus un priekšlikumus par likumprojektu.</w:t>
            </w:r>
          </w:p>
        </w:tc>
      </w:tr>
      <w:tr w:rsidR="00991CBE" w:rsidRPr="00991CBE" w14:paraId="5EDF1EE6" w14:textId="77777777" w:rsidTr="007A4496">
        <w:trPr>
          <w:trHeight w:val="476"/>
          <w:jc w:val="center"/>
        </w:trPr>
        <w:tc>
          <w:tcPr>
            <w:tcW w:w="476" w:type="dxa"/>
          </w:tcPr>
          <w:p w14:paraId="5EDF1EE3"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lastRenderedPageBreak/>
              <w:t>3.</w:t>
            </w:r>
          </w:p>
        </w:tc>
        <w:tc>
          <w:tcPr>
            <w:tcW w:w="2842" w:type="dxa"/>
          </w:tcPr>
          <w:p w14:paraId="5EDF1EE4"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līdzdalības rezultāti</w:t>
            </w:r>
          </w:p>
        </w:tc>
        <w:tc>
          <w:tcPr>
            <w:tcW w:w="6206" w:type="dxa"/>
          </w:tcPr>
          <w:p w14:paraId="7773790C" w14:textId="4DE3C350" w:rsidR="00ED4614" w:rsidRPr="003D7C54" w:rsidRDefault="00ED4614"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Ir ņemts vērā darba grupas </w:t>
            </w:r>
            <w:r w:rsidR="00DE6036">
              <w:rPr>
                <w:rFonts w:ascii="Times New Roman" w:hAnsi="Times New Roman" w:cs="Times New Roman"/>
                <w:sz w:val="24"/>
                <w:szCs w:val="24"/>
              </w:rPr>
              <w:t>priekšlikums</w:t>
            </w:r>
            <w:r>
              <w:rPr>
                <w:rFonts w:ascii="Times New Roman" w:hAnsi="Times New Roman" w:cs="Times New Roman"/>
                <w:sz w:val="24"/>
                <w:szCs w:val="24"/>
              </w:rPr>
              <w:t xml:space="preserve"> </w:t>
            </w:r>
            <w:r w:rsidR="00DE6036">
              <w:rPr>
                <w:rFonts w:ascii="Times New Roman" w:hAnsi="Times New Roman" w:cs="Times New Roman"/>
                <w:sz w:val="24"/>
                <w:szCs w:val="24"/>
              </w:rPr>
              <w:t>uzlabot regulējumu attiecībā uz projektu iesniedzēju tiesībām iepazīties ar tā projekta iesnieguma lietu, kā arī ieteikums noteikt vienotus nosacījumus attiecībā uz informācijas pieejamību par projekta iesniegumiem, kurus iesniegušas valsts tiešās pārvaldes, pastarpinātās pārvaldes iestādes, kā arī atvasinātas publiskas personas (</w:t>
            </w:r>
            <w:r w:rsidR="00DE6036" w:rsidRPr="003D7C54">
              <w:rPr>
                <w:rFonts w:ascii="Times New Roman" w:hAnsi="Times New Roman" w:cs="Times New Roman"/>
                <w:sz w:val="24"/>
                <w:szCs w:val="24"/>
              </w:rPr>
              <w:t>likumprojekta 3</w:t>
            </w:r>
            <w:r w:rsidR="003D7C54" w:rsidRPr="003D7C54">
              <w:rPr>
                <w:rFonts w:ascii="Times New Roman" w:hAnsi="Times New Roman" w:cs="Times New Roman"/>
                <w:sz w:val="24"/>
                <w:szCs w:val="24"/>
              </w:rPr>
              <w:t>5</w:t>
            </w:r>
            <w:r w:rsidR="00DE6036" w:rsidRPr="003D7C54">
              <w:rPr>
                <w:rFonts w:ascii="Times New Roman" w:hAnsi="Times New Roman" w:cs="Times New Roman"/>
                <w:sz w:val="24"/>
                <w:szCs w:val="24"/>
              </w:rPr>
              <w:t>., 3</w:t>
            </w:r>
            <w:r w:rsidR="003D7C54" w:rsidRPr="003D7C54">
              <w:rPr>
                <w:rFonts w:ascii="Times New Roman" w:hAnsi="Times New Roman" w:cs="Times New Roman"/>
                <w:sz w:val="24"/>
                <w:szCs w:val="24"/>
              </w:rPr>
              <w:t>6</w:t>
            </w:r>
            <w:r w:rsidR="00DE6036" w:rsidRPr="003D7C54">
              <w:rPr>
                <w:rFonts w:ascii="Times New Roman" w:hAnsi="Times New Roman" w:cs="Times New Roman"/>
                <w:sz w:val="24"/>
                <w:szCs w:val="24"/>
              </w:rPr>
              <w:t>.pants)</w:t>
            </w:r>
            <w:r w:rsidR="00F611EC" w:rsidRPr="003D7C54">
              <w:rPr>
                <w:rFonts w:ascii="Times New Roman" w:hAnsi="Times New Roman" w:cs="Times New Roman"/>
                <w:sz w:val="24"/>
                <w:szCs w:val="24"/>
              </w:rPr>
              <w:t>.</w:t>
            </w:r>
          </w:p>
          <w:p w14:paraId="34B40998" w14:textId="720BA2D3" w:rsidR="00F611EC" w:rsidRPr="003D7C54" w:rsidRDefault="00F611EC"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sidRPr="003D7C54">
              <w:rPr>
                <w:rFonts w:ascii="Times New Roman" w:hAnsi="Times New Roman" w:cs="Times New Roman"/>
                <w:sz w:val="24"/>
                <w:szCs w:val="24"/>
              </w:rPr>
              <w:t>Ir ņemts vērā Vidzemes plānošanas reģiona priekšlikums noteikt, kādā kārtībā risināmi strīdi, ja finansējuma saņēmējs ir publiska persona (</w:t>
            </w:r>
            <w:r w:rsidR="00E70959" w:rsidRPr="003D7C54">
              <w:rPr>
                <w:rFonts w:ascii="Times New Roman" w:hAnsi="Times New Roman" w:cs="Times New Roman"/>
                <w:sz w:val="24"/>
                <w:szCs w:val="24"/>
              </w:rPr>
              <w:t xml:space="preserve">likumprojekta </w:t>
            </w:r>
            <w:r w:rsidRPr="003D7C54">
              <w:rPr>
                <w:rFonts w:ascii="Times New Roman" w:hAnsi="Times New Roman" w:cs="Times New Roman"/>
                <w:sz w:val="24"/>
                <w:szCs w:val="24"/>
              </w:rPr>
              <w:t>3</w:t>
            </w:r>
            <w:r w:rsidR="003D7C54" w:rsidRPr="003D7C54">
              <w:rPr>
                <w:rFonts w:ascii="Times New Roman" w:hAnsi="Times New Roman" w:cs="Times New Roman"/>
                <w:sz w:val="24"/>
                <w:szCs w:val="24"/>
              </w:rPr>
              <w:t>3</w:t>
            </w:r>
            <w:r w:rsidRPr="003D7C54">
              <w:rPr>
                <w:rFonts w:ascii="Times New Roman" w:hAnsi="Times New Roman" w:cs="Times New Roman"/>
                <w:sz w:val="24"/>
                <w:szCs w:val="24"/>
              </w:rPr>
              <w:t>.pants).</w:t>
            </w:r>
          </w:p>
          <w:p w14:paraId="34D6737C" w14:textId="64C7526E" w:rsidR="00F611EC" w:rsidRPr="003D7C54" w:rsidRDefault="00F611EC"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sidRPr="003D7C54">
              <w:rPr>
                <w:rFonts w:ascii="Times New Roman" w:hAnsi="Times New Roman" w:cs="Times New Roman"/>
                <w:sz w:val="24"/>
                <w:szCs w:val="24"/>
              </w:rPr>
              <w:t>Ir ņemts vērā Vidzemes plānošanas reģiona priekšlikums skaidri nodalīt atbildīgās iestādes un sadarbības iestādes funkcijas (</w:t>
            </w:r>
            <w:r w:rsidR="00E70959" w:rsidRPr="003D7C54">
              <w:rPr>
                <w:rFonts w:ascii="Times New Roman" w:hAnsi="Times New Roman" w:cs="Times New Roman"/>
                <w:sz w:val="24"/>
                <w:szCs w:val="24"/>
              </w:rPr>
              <w:t xml:space="preserve">likumprojekta </w:t>
            </w:r>
            <w:r w:rsidRPr="003D7C54">
              <w:rPr>
                <w:rFonts w:ascii="Times New Roman" w:hAnsi="Times New Roman" w:cs="Times New Roman"/>
                <w:sz w:val="24"/>
                <w:szCs w:val="24"/>
              </w:rPr>
              <w:t>1</w:t>
            </w:r>
            <w:r w:rsidR="003D7C54" w:rsidRPr="003D7C54">
              <w:rPr>
                <w:rFonts w:ascii="Times New Roman" w:hAnsi="Times New Roman" w:cs="Times New Roman"/>
                <w:sz w:val="24"/>
                <w:szCs w:val="24"/>
              </w:rPr>
              <w:t>1</w:t>
            </w:r>
            <w:r w:rsidRPr="003D7C54">
              <w:rPr>
                <w:rFonts w:ascii="Times New Roman" w:hAnsi="Times New Roman" w:cs="Times New Roman"/>
                <w:sz w:val="24"/>
                <w:szCs w:val="24"/>
              </w:rPr>
              <w:t>., 1</w:t>
            </w:r>
            <w:r w:rsidR="003D7C54" w:rsidRPr="003D7C54">
              <w:rPr>
                <w:rFonts w:ascii="Times New Roman" w:hAnsi="Times New Roman" w:cs="Times New Roman"/>
                <w:sz w:val="24"/>
                <w:szCs w:val="24"/>
              </w:rPr>
              <w:t>2</w:t>
            </w:r>
            <w:r w:rsidRPr="003D7C54">
              <w:rPr>
                <w:rFonts w:ascii="Times New Roman" w:hAnsi="Times New Roman" w:cs="Times New Roman"/>
                <w:sz w:val="24"/>
                <w:szCs w:val="24"/>
              </w:rPr>
              <w:t>.pants).</w:t>
            </w:r>
          </w:p>
          <w:p w14:paraId="477FBFA3" w14:textId="14A66A94" w:rsidR="00E70959" w:rsidRPr="003D7C54" w:rsidRDefault="00E70959"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sidRPr="003D7C54">
              <w:rPr>
                <w:rFonts w:ascii="Times New Roman" w:hAnsi="Times New Roman" w:cs="Times New Roman"/>
                <w:sz w:val="24"/>
                <w:szCs w:val="24"/>
              </w:rPr>
              <w:t xml:space="preserve">Ir ņemts vērā Zemgales plānošanas reģiona priekšlikums noteikt ES fondu vadībā iesaistītajām institūcijām pienākumu izstrādāt dažādus metodiskos materiālus (likumprojekta </w:t>
            </w:r>
            <w:r w:rsidR="003D7C54" w:rsidRPr="003D7C54">
              <w:rPr>
                <w:rFonts w:ascii="Times New Roman" w:hAnsi="Times New Roman" w:cs="Times New Roman"/>
                <w:sz w:val="24"/>
                <w:szCs w:val="24"/>
              </w:rPr>
              <w:t>9</w:t>
            </w:r>
            <w:r w:rsidRPr="003D7C54">
              <w:rPr>
                <w:rFonts w:ascii="Times New Roman" w:hAnsi="Times New Roman" w:cs="Times New Roman"/>
                <w:sz w:val="24"/>
                <w:szCs w:val="24"/>
              </w:rPr>
              <w:t>.panta otrā daļa).</w:t>
            </w:r>
          </w:p>
          <w:p w14:paraId="1CC16BC2" w14:textId="05FFB275" w:rsidR="00E141B2" w:rsidRDefault="00E141B2"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sidRPr="003D7C54">
              <w:rPr>
                <w:rFonts w:ascii="Times New Roman" w:hAnsi="Times New Roman" w:cs="Times New Roman"/>
                <w:sz w:val="24"/>
                <w:szCs w:val="24"/>
              </w:rPr>
              <w:t>Zemgales plānošanas reģions ierosina</w:t>
            </w:r>
            <w:r>
              <w:rPr>
                <w:rFonts w:ascii="Times New Roman" w:hAnsi="Times New Roman" w:cs="Times New Roman"/>
                <w:sz w:val="24"/>
                <w:szCs w:val="24"/>
              </w:rPr>
              <w:t xml:space="preserve"> paredzēt elektronisko projekta iesnieguma aizpildīšanas iespēju, kā arī elektronisko atskaitīšanās sistēmu. Lai gan likumprojektā šāda iespēja vēl nav paredzēta, taču tāda nākotnē būs</w:t>
            </w:r>
            <w:r w:rsidR="00C25F3D">
              <w:rPr>
                <w:rFonts w:ascii="Times New Roman" w:hAnsi="Times New Roman" w:cs="Times New Roman"/>
                <w:sz w:val="24"/>
                <w:szCs w:val="24"/>
              </w:rPr>
              <w:t>,</w:t>
            </w:r>
            <w:r>
              <w:rPr>
                <w:rFonts w:ascii="Times New Roman" w:hAnsi="Times New Roman" w:cs="Times New Roman"/>
                <w:sz w:val="24"/>
                <w:szCs w:val="24"/>
              </w:rPr>
              <w:t xml:space="preserve"> tiklīdz tiks izstrādāta attiecīga elektroniskā datu apmaiņas sistēma līdz 2015.gada beigām.</w:t>
            </w:r>
          </w:p>
          <w:p w14:paraId="54071ADA" w14:textId="6D61D62B" w:rsidR="00DA6C86" w:rsidRDefault="0093487E"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Nav ņemts vērā darba grupas </w:t>
            </w:r>
            <w:r w:rsidR="00DE6036">
              <w:rPr>
                <w:rFonts w:ascii="Times New Roman" w:hAnsi="Times New Roman" w:cs="Times New Roman"/>
                <w:sz w:val="24"/>
                <w:szCs w:val="24"/>
              </w:rPr>
              <w:t>priekšlikums</w:t>
            </w:r>
            <w:r>
              <w:rPr>
                <w:rFonts w:ascii="Times New Roman" w:hAnsi="Times New Roman" w:cs="Times New Roman"/>
                <w:sz w:val="24"/>
                <w:szCs w:val="24"/>
              </w:rPr>
              <w:t xml:space="preserve"> ar privātpersonām slēgt administratīvos līgumus (pamatojumu skat. </w:t>
            </w:r>
            <w:r w:rsidRPr="003D7C54">
              <w:rPr>
                <w:rFonts w:ascii="Times New Roman" w:hAnsi="Times New Roman" w:cs="Times New Roman"/>
                <w:sz w:val="24"/>
                <w:szCs w:val="24"/>
              </w:rPr>
              <w:t>anotācijas I sadaļas 2.punktā (</w:t>
            </w:r>
            <w:r w:rsidR="00864BD1">
              <w:rPr>
                <w:rFonts w:ascii="Times New Roman" w:hAnsi="Times New Roman" w:cs="Times New Roman"/>
                <w:sz w:val="24"/>
                <w:szCs w:val="24"/>
              </w:rPr>
              <w:t>26</w:t>
            </w:r>
            <w:r w:rsidRPr="003D7C54">
              <w:rPr>
                <w:rFonts w:ascii="Times New Roman" w:hAnsi="Times New Roman" w:cs="Times New Roman"/>
                <w:sz w:val="24"/>
                <w:szCs w:val="24"/>
              </w:rPr>
              <w:t>.punkts</w:t>
            </w:r>
            <w:r>
              <w:rPr>
                <w:rFonts w:ascii="Times New Roman" w:hAnsi="Times New Roman" w:cs="Times New Roman"/>
                <w:sz w:val="24"/>
                <w:szCs w:val="24"/>
              </w:rPr>
              <w:t>)).</w:t>
            </w:r>
          </w:p>
          <w:p w14:paraId="786C074D" w14:textId="4DDE0393" w:rsidR="00ED4614" w:rsidRDefault="0093487E"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Nav ņemts vērā </w:t>
            </w:r>
            <w:r w:rsidR="00ED4614">
              <w:rPr>
                <w:rFonts w:ascii="Times New Roman" w:hAnsi="Times New Roman" w:cs="Times New Roman"/>
                <w:sz w:val="24"/>
                <w:szCs w:val="24"/>
              </w:rPr>
              <w:t xml:space="preserve">darba grupas </w:t>
            </w:r>
            <w:r w:rsidR="00DE6036">
              <w:rPr>
                <w:rFonts w:ascii="Times New Roman" w:hAnsi="Times New Roman" w:cs="Times New Roman"/>
                <w:sz w:val="24"/>
                <w:szCs w:val="24"/>
              </w:rPr>
              <w:t>priekšlikums</w:t>
            </w:r>
            <w:r>
              <w:rPr>
                <w:rFonts w:ascii="Times New Roman" w:hAnsi="Times New Roman" w:cs="Times New Roman"/>
                <w:sz w:val="24"/>
                <w:szCs w:val="24"/>
              </w:rPr>
              <w:t xml:space="preserve"> veidot finansējuma rezervi, lai nodrošinātu noraidīta projekta</w:t>
            </w:r>
            <w:r w:rsidR="004229F8">
              <w:rPr>
                <w:rFonts w:ascii="Times New Roman" w:hAnsi="Times New Roman" w:cs="Times New Roman"/>
                <w:sz w:val="24"/>
                <w:szCs w:val="24"/>
              </w:rPr>
              <w:t xml:space="preserve"> finansēšanu, ja tiek atcelts lēmums par projekta iesnieguma </w:t>
            </w:r>
            <w:r w:rsidR="004229F8">
              <w:rPr>
                <w:rFonts w:ascii="Times New Roman" w:hAnsi="Times New Roman" w:cs="Times New Roman"/>
                <w:sz w:val="24"/>
                <w:szCs w:val="24"/>
              </w:rPr>
              <w:lastRenderedPageBreak/>
              <w:t>noraidījumu. Šādas rezerves veidošana apgrūtinātu ES fondu finansējuma apgūšanu un finanšu plūsmu, turklāt ne vienmēr garantētu, ka atvēlēta pietiekami liela rezerve. Nākamajā plānošanas periodā, tāpat kā jau 2007.-2013.gada plānošanas periodā, atbildīgā iestāde šādā gadījumā varēs ierosināt lemt par finansējuma pārdali attiecīgā specifiskā atbalsta mērķa projektu īstenošanai. Tādējādi, ja projekta iesniegums ir noraidīts nepietiekama finansējuma dē</w:t>
            </w:r>
            <w:r w:rsidR="00ED4614">
              <w:rPr>
                <w:rFonts w:ascii="Times New Roman" w:hAnsi="Times New Roman" w:cs="Times New Roman"/>
                <w:sz w:val="24"/>
                <w:szCs w:val="24"/>
              </w:rPr>
              <w:t>ļ un specifiskā atbalsta mērķa ieviešanai tiek piešķirts papildu finansējums, sadarbības iestāde atceļ lēmumu par projekta iesnieguma noraidīšanu un pieņem lēmumu par tā apstiprināšanu.</w:t>
            </w:r>
            <w:r w:rsidR="00E70959">
              <w:rPr>
                <w:rFonts w:ascii="Times New Roman" w:hAnsi="Times New Roman" w:cs="Times New Roman"/>
                <w:sz w:val="24"/>
                <w:szCs w:val="24"/>
              </w:rPr>
              <w:t xml:space="preserve"> Šāds risinājums pēc būtības attiecas arī uz un Zemgales plānošanas reģiona priekšlikumu veidot projektu rezerves sarakstu, kad projekti noraidīti nepietiekama finansējuma dēļ, bet specifiskā atbalsta mērķa rezultatīvie rādītāji nav sasniegti.</w:t>
            </w:r>
          </w:p>
          <w:p w14:paraId="4E3E88C5" w14:textId="651141EE" w:rsidR="00ED4614" w:rsidRDefault="00ED4614"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Nav ņemts vērā darba grupas </w:t>
            </w:r>
            <w:r w:rsidR="00DE6036">
              <w:rPr>
                <w:rFonts w:ascii="Times New Roman" w:hAnsi="Times New Roman" w:cs="Times New Roman"/>
                <w:sz w:val="24"/>
                <w:szCs w:val="24"/>
              </w:rPr>
              <w:t>priekšlikums</w:t>
            </w:r>
            <w:r>
              <w:rPr>
                <w:rFonts w:ascii="Times New Roman" w:hAnsi="Times New Roman" w:cs="Times New Roman"/>
                <w:sz w:val="24"/>
                <w:szCs w:val="24"/>
              </w:rPr>
              <w:t xml:space="preserve"> paredzēt iespēju organizēt projekta ideju atlasi un dalītu projekta iesnieguma vērtēšanu. Pamatojums:</w:t>
            </w:r>
          </w:p>
          <w:p w14:paraId="2667ADA9" w14:textId="7632413A" w:rsidR="00ED4614" w:rsidRPr="00ED4614" w:rsidRDefault="00E141B2" w:rsidP="00C25F3D">
            <w:pPr>
              <w:shd w:val="clear" w:color="auto" w:fill="FFFFFF"/>
              <w:tabs>
                <w:tab w:val="left" w:pos="878"/>
              </w:tabs>
              <w:spacing w:after="120" w:line="240" w:lineRule="auto"/>
              <w:ind w:left="453" w:right="57"/>
              <w:jc w:val="both"/>
              <w:rPr>
                <w:rFonts w:ascii="Times New Roman" w:hAnsi="Times New Roman" w:cs="Times New Roman"/>
                <w:sz w:val="24"/>
                <w:szCs w:val="24"/>
              </w:rPr>
            </w:pPr>
            <w:r>
              <w:rPr>
                <w:rFonts w:ascii="Times New Roman" w:hAnsi="Times New Roman" w:cs="Times New Roman"/>
                <w:sz w:val="24"/>
                <w:szCs w:val="24"/>
              </w:rPr>
              <w:t>8.1.</w:t>
            </w:r>
            <w:r w:rsidR="00ED4614">
              <w:rPr>
                <w:rFonts w:ascii="Times New Roman" w:hAnsi="Times New Roman" w:cs="Times New Roman"/>
                <w:sz w:val="24"/>
                <w:szCs w:val="24"/>
              </w:rPr>
              <w:t xml:space="preserve"> </w:t>
            </w:r>
            <w:r w:rsidR="00ED4614" w:rsidRPr="00ED4614">
              <w:rPr>
                <w:rFonts w:ascii="Times New Roman" w:hAnsi="Times New Roman" w:cs="Times New Roman"/>
                <w:sz w:val="24"/>
                <w:szCs w:val="24"/>
              </w:rPr>
              <w:t>palielinās administratīvais slogs tiem projektu iesniedzējiem, kuru iesniegums 1.kārtā tiek apstiprināts, jo salīdzinājumā ar esošo periodu, viņam vispirms vēl jāgatavo 1.kārtas iesniegums;</w:t>
            </w:r>
          </w:p>
          <w:p w14:paraId="18BFDE9E" w14:textId="1176FC2E" w:rsidR="00ED4614" w:rsidRPr="00ED4614" w:rsidRDefault="00E141B2" w:rsidP="00C25F3D">
            <w:pPr>
              <w:shd w:val="clear" w:color="auto" w:fill="FFFFFF"/>
              <w:tabs>
                <w:tab w:val="left" w:pos="878"/>
              </w:tabs>
              <w:spacing w:after="120" w:line="240" w:lineRule="auto"/>
              <w:ind w:left="453" w:right="57"/>
              <w:jc w:val="both"/>
              <w:rPr>
                <w:rFonts w:ascii="Times New Roman" w:hAnsi="Times New Roman" w:cs="Times New Roman"/>
                <w:sz w:val="24"/>
                <w:szCs w:val="24"/>
              </w:rPr>
            </w:pPr>
            <w:r>
              <w:rPr>
                <w:rFonts w:ascii="Times New Roman" w:hAnsi="Times New Roman" w:cs="Times New Roman"/>
                <w:sz w:val="24"/>
                <w:szCs w:val="24"/>
              </w:rPr>
              <w:t>8</w:t>
            </w:r>
            <w:r w:rsidR="00ED4614" w:rsidRPr="00ED4614">
              <w:rPr>
                <w:rFonts w:ascii="Times New Roman" w:hAnsi="Times New Roman" w:cs="Times New Roman"/>
                <w:sz w:val="24"/>
                <w:szCs w:val="24"/>
              </w:rPr>
              <w:t>.2. kopumā palielinās administratīvais slogs iestādēm, jo vērtēšana notiek divās kārtās, kas kopumā nozīmē vairāk projektu iesniegumu un vairāk sagatavojamo lēmumu (tie apjoma ziņā tie 1. un 2.kārtā ne vienmēr atšķirsies);</w:t>
            </w:r>
          </w:p>
          <w:p w14:paraId="481F83A0" w14:textId="6F8A1C75" w:rsidR="00ED4614" w:rsidRPr="00ED4614" w:rsidRDefault="00E141B2" w:rsidP="00C25F3D">
            <w:pPr>
              <w:shd w:val="clear" w:color="auto" w:fill="FFFFFF"/>
              <w:tabs>
                <w:tab w:val="left" w:pos="878"/>
              </w:tabs>
              <w:spacing w:after="120" w:line="240" w:lineRule="auto"/>
              <w:ind w:left="453" w:right="57"/>
              <w:jc w:val="both"/>
              <w:rPr>
                <w:rFonts w:ascii="Times New Roman" w:hAnsi="Times New Roman" w:cs="Times New Roman"/>
                <w:sz w:val="24"/>
                <w:szCs w:val="24"/>
              </w:rPr>
            </w:pPr>
            <w:r>
              <w:rPr>
                <w:rFonts w:ascii="Times New Roman" w:hAnsi="Times New Roman" w:cs="Times New Roman"/>
                <w:sz w:val="24"/>
                <w:szCs w:val="24"/>
              </w:rPr>
              <w:t>8</w:t>
            </w:r>
            <w:r w:rsidR="00ED4614" w:rsidRPr="00ED4614">
              <w:rPr>
                <w:rFonts w:ascii="Times New Roman" w:hAnsi="Times New Roman" w:cs="Times New Roman"/>
                <w:sz w:val="24"/>
                <w:szCs w:val="24"/>
              </w:rPr>
              <w:t>.3. pagarinās termiņš līdz gala lēmumam par projekta iesnieguma apstiprināšanu – atkarībā no specifiskā atbalsta mērķa specifikas tie varētu būt 1-3 mēneši;</w:t>
            </w:r>
          </w:p>
          <w:p w14:paraId="463C01D7" w14:textId="3AEBED91" w:rsidR="00ED4614" w:rsidRPr="00ED4614" w:rsidRDefault="00C25F3D" w:rsidP="00C25F3D">
            <w:pPr>
              <w:shd w:val="clear" w:color="auto" w:fill="FFFFFF"/>
              <w:tabs>
                <w:tab w:val="left" w:pos="878"/>
              </w:tabs>
              <w:spacing w:after="120" w:line="240" w:lineRule="auto"/>
              <w:ind w:left="453" w:right="57"/>
              <w:jc w:val="both"/>
              <w:rPr>
                <w:rFonts w:ascii="Times New Roman" w:hAnsi="Times New Roman" w:cs="Times New Roman"/>
                <w:sz w:val="24"/>
                <w:szCs w:val="24"/>
              </w:rPr>
            </w:pPr>
            <w:r>
              <w:rPr>
                <w:rFonts w:ascii="Times New Roman" w:hAnsi="Times New Roman" w:cs="Times New Roman"/>
                <w:sz w:val="24"/>
                <w:szCs w:val="24"/>
              </w:rPr>
              <w:t>8</w:t>
            </w:r>
            <w:r w:rsidR="00ED4614" w:rsidRPr="00ED4614">
              <w:rPr>
                <w:rFonts w:ascii="Times New Roman" w:hAnsi="Times New Roman" w:cs="Times New Roman"/>
                <w:sz w:val="24"/>
                <w:szCs w:val="24"/>
              </w:rPr>
              <w:t>.4. palielinās apstrīdēto lēmumu skaits un attiecīgi resursi, kas tam ir nepieciešami.</w:t>
            </w:r>
          </w:p>
          <w:p w14:paraId="1279B0EB" w14:textId="77777777" w:rsidR="00ED4614" w:rsidRDefault="00DE6036"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Nav ņemts vērā Ventspils pilsētas domes priekšlikums, organizējot ierobežotu projektu iesniegumu atlasi, </w:t>
            </w:r>
            <w:proofErr w:type="spellStart"/>
            <w:r>
              <w:rPr>
                <w:rFonts w:ascii="Times New Roman" w:hAnsi="Times New Roman" w:cs="Times New Roman"/>
                <w:sz w:val="24"/>
                <w:szCs w:val="24"/>
              </w:rPr>
              <w:t>priekšatlases</w:t>
            </w:r>
            <w:proofErr w:type="spellEnd"/>
            <w:r>
              <w:rPr>
                <w:rFonts w:ascii="Times New Roman" w:hAnsi="Times New Roman" w:cs="Times New Roman"/>
                <w:sz w:val="24"/>
                <w:szCs w:val="24"/>
              </w:rPr>
              <w:t xml:space="preserve"> kritēriji, pēc kādiem tiek izvēlēti potenciālie finansējuma saņēmēji un/vai projektu idejas, tiek apstiprināti Ministru kabinetā</w:t>
            </w:r>
            <w:r w:rsidR="00F611EC">
              <w:rPr>
                <w:rFonts w:ascii="Times New Roman" w:hAnsi="Times New Roman" w:cs="Times New Roman"/>
                <w:sz w:val="24"/>
                <w:szCs w:val="24"/>
              </w:rPr>
              <w:t xml:space="preserve">, lai nodrošinātu caurspīdīgu, demokrātisku projektu ideju </w:t>
            </w:r>
            <w:proofErr w:type="spellStart"/>
            <w:r w:rsidR="00F611EC">
              <w:rPr>
                <w:rFonts w:ascii="Times New Roman" w:hAnsi="Times New Roman" w:cs="Times New Roman"/>
                <w:sz w:val="24"/>
                <w:szCs w:val="24"/>
              </w:rPr>
              <w:t>priekšatlasi</w:t>
            </w:r>
            <w:proofErr w:type="spellEnd"/>
            <w:r w:rsidR="00F611EC">
              <w:rPr>
                <w:rFonts w:ascii="Times New Roman" w:hAnsi="Times New Roman" w:cs="Times New Roman"/>
                <w:sz w:val="24"/>
                <w:szCs w:val="24"/>
              </w:rPr>
              <w:t>, lai visām pašvaldībām būtu skaidra metodika</w:t>
            </w:r>
            <w:r>
              <w:rPr>
                <w:rFonts w:ascii="Times New Roman" w:hAnsi="Times New Roman" w:cs="Times New Roman"/>
                <w:sz w:val="24"/>
                <w:szCs w:val="24"/>
              </w:rPr>
              <w:t xml:space="preserve">. Ņemot vērā to, ka </w:t>
            </w:r>
            <w:r w:rsidR="00F611EC">
              <w:rPr>
                <w:rFonts w:ascii="Times New Roman" w:hAnsi="Times New Roman" w:cs="Times New Roman"/>
                <w:sz w:val="24"/>
                <w:szCs w:val="24"/>
              </w:rPr>
              <w:t xml:space="preserve">šajā gadījumā runa ir tikai par pašvaldībām, t.i., publiskām personām, tad ierosināto regulējumu nav nepieciešams iekļaut ārējā normatīvajā aktā. Vienlaikus jāuzsver, ka Vides aizsardzības un reģionālas attīstības ministrijai un citām ministrijām, kuras organizē līdzīgas </w:t>
            </w:r>
            <w:proofErr w:type="spellStart"/>
            <w:r w:rsidR="00F611EC">
              <w:rPr>
                <w:rFonts w:ascii="Times New Roman" w:hAnsi="Times New Roman" w:cs="Times New Roman"/>
                <w:sz w:val="24"/>
                <w:szCs w:val="24"/>
              </w:rPr>
              <w:t>priekšatlases</w:t>
            </w:r>
            <w:proofErr w:type="spellEnd"/>
            <w:r w:rsidR="00F611EC">
              <w:rPr>
                <w:rFonts w:ascii="Times New Roman" w:hAnsi="Times New Roman" w:cs="Times New Roman"/>
                <w:sz w:val="24"/>
                <w:szCs w:val="24"/>
              </w:rPr>
              <w:t xml:space="preserve"> publiskām personām, ir jānodrošina skaidra, caurspīdīga un demokrātiska procedūra.</w:t>
            </w:r>
          </w:p>
          <w:p w14:paraId="26CA8365" w14:textId="77777777" w:rsidR="00F611EC" w:rsidRDefault="00F611EC" w:rsidP="00C25F3D">
            <w:pPr>
              <w:pStyle w:val="ListParagraph"/>
              <w:numPr>
                <w:ilvl w:val="0"/>
                <w:numId w:val="25"/>
              </w:numPr>
              <w:shd w:val="clear" w:color="auto" w:fill="FFFFFF"/>
              <w:tabs>
                <w:tab w:val="left" w:pos="878"/>
              </w:tabs>
              <w:spacing w:after="120" w:line="240" w:lineRule="auto"/>
              <w:ind w:left="57" w:right="57" w:firstLine="425"/>
              <w:contextualSpacing w:val="0"/>
              <w:jc w:val="both"/>
              <w:rPr>
                <w:rFonts w:ascii="Times New Roman" w:hAnsi="Times New Roman" w:cs="Times New Roman"/>
                <w:sz w:val="24"/>
                <w:szCs w:val="24"/>
              </w:rPr>
            </w:pPr>
            <w:r>
              <w:rPr>
                <w:rFonts w:ascii="Times New Roman" w:hAnsi="Times New Roman" w:cs="Times New Roman"/>
                <w:sz w:val="24"/>
                <w:szCs w:val="24"/>
              </w:rPr>
              <w:t>Nav ņemti vērā tie priekšlikumi</w:t>
            </w:r>
            <w:r w:rsidR="00E70959">
              <w:rPr>
                <w:rFonts w:ascii="Times New Roman" w:hAnsi="Times New Roman" w:cs="Times New Roman"/>
                <w:sz w:val="24"/>
                <w:szCs w:val="24"/>
              </w:rPr>
              <w:t xml:space="preserve">, kas neatbilst </w:t>
            </w:r>
            <w:r w:rsidR="00E70959" w:rsidRPr="00EF7BBB">
              <w:rPr>
                <w:rFonts w:ascii="Times New Roman" w:hAnsi="Times New Roman" w:cs="Times New Roman"/>
                <w:sz w:val="24"/>
                <w:szCs w:val="24"/>
              </w:rPr>
              <w:t>Koncepcij</w:t>
            </w:r>
            <w:r w:rsidR="00E70959">
              <w:rPr>
                <w:rFonts w:ascii="Times New Roman" w:hAnsi="Times New Roman" w:cs="Times New Roman"/>
                <w:sz w:val="24"/>
                <w:szCs w:val="24"/>
              </w:rPr>
              <w:t>ai</w:t>
            </w:r>
            <w:r w:rsidR="00E70959" w:rsidRPr="00EF7BBB">
              <w:rPr>
                <w:rFonts w:ascii="Times New Roman" w:hAnsi="Times New Roman" w:cs="Times New Roman"/>
                <w:sz w:val="24"/>
                <w:szCs w:val="24"/>
              </w:rPr>
              <w:t xml:space="preserve"> par Eiropas Reģionālās attīstības fonda, Eiropas Sociālā fonda, Kohēzijas fonda, Eiropas Lauksaimniecības fonda lauku attīstībai un Eiropas Jūrlietu un zivsaimniecības </w:t>
            </w:r>
            <w:r w:rsidR="00E70959" w:rsidRPr="00EF7BBB">
              <w:rPr>
                <w:rFonts w:ascii="Times New Roman" w:hAnsi="Times New Roman" w:cs="Times New Roman"/>
                <w:sz w:val="24"/>
                <w:szCs w:val="24"/>
              </w:rPr>
              <w:lastRenderedPageBreak/>
              <w:t>fonda ieviešanu 2014.-2020.gadā Latvijā</w:t>
            </w:r>
            <w:r w:rsidR="00E70959">
              <w:rPr>
                <w:rFonts w:ascii="Times New Roman" w:hAnsi="Times New Roman" w:cs="Times New Roman"/>
                <w:sz w:val="24"/>
                <w:szCs w:val="24"/>
              </w:rPr>
              <w:t xml:space="preserve"> un </w:t>
            </w:r>
            <w:r w:rsidR="00E70959" w:rsidRPr="003D38D2">
              <w:rPr>
                <w:rFonts w:ascii="Times New Roman" w:hAnsi="Times New Roman" w:cs="Times New Roman"/>
                <w:sz w:val="24"/>
                <w:szCs w:val="24"/>
              </w:rPr>
              <w:t>Informatīv</w:t>
            </w:r>
            <w:r w:rsidR="00E70959">
              <w:rPr>
                <w:rFonts w:ascii="Times New Roman" w:hAnsi="Times New Roman" w:cs="Times New Roman"/>
                <w:sz w:val="24"/>
                <w:szCs w:val="24"/>
              </w:rPr>
              <w:t>ajam ziņojumam</w:t>
            </w:r>
            <w:r w:rsidR="00E70959" w:rsidRPr="003D38D2">
              <w:rPr>
                <w:rFonts w:ascii="Times New Roman" w:hAnsi="Times New Roman" w:cs="Times New Roman"/>
                <w:sz w:val="24"/>
                <w:szCs w:val="24"/>
              </w:rPr>
              <w:t xml:space="preserve"> par Eiropas Reģionālās attīstības fonda, Eiropas Sociālā fonda un Kohēzijas fonda vadības un kontroles sistēmu 2014.-2020.gada plānošanas periodam</w:t>
            </w:r>
            <w:r w:rsidR="00E70959">
              <w:rPr>
                <w:rFonts w:ascii="Times New Roman" w:hAnsi="Times New Roman" w:cs="Times New Roman"/>
                <w:sz w:val="24"/>
                <w:szCs w:val="24"/>
              </w:rPr>
              <w:t>, kā arī tie, kuri</w:t>
            </w:r>
            <w:r w:rsidR="00FC0FAB">
              <w:rPr>
                <w:rFonts w:ascii="Times New Roman" w:hAnsi="Times New Roman" w:cs="Times New Roman"/>
                <w:sz w:val="24"/>
                <w:szCs w:val="24"/>
              </w:rPr>
              <w:t xml:space="preserve"> attiecas uz Ministru kabineta noteikumiem</w:t>
            </w:r>
            <w:r w:rsidR="00E70959">
              <w:rPr>
                <w:rFonts w:ascii="Times New Roman" w:hAnsi="Times New Roman" w:cs="Times New Roman"/>
                <w:sz w:val="24"/>
                <w:szCs w:val="24"/>
              </w:rPr>
              <w:t>.</w:t>
            </w:r>
          </w:p>
          <w:p w14:paraId="28F0F1B0" w14:textId="30899775" w:rsidR="005633BF" w:rsidRPr="00E908BC" w:rsidRDefault="00C521A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E908BC">
              <w:rPr>
                <w:rFonts w:ascii="Times New Roman" w:hAnsi="Times New Roman" w:cs="Times New Roman"/>
                <w:sz w:val="24"/>
                <w:szCs w:val="24"/>
              </w:rPr>
              <w:t>S</w:t>
            </w:r>
            <w:r w:rsidR="0092218A" w:rsidRPr="00E908BC">
              <w:rPr>
                <w:rFonts w:ascii="Times New Roman" w:hAnsi="Times New Roman" w:cs="Times New Roman"/>
                <w:sz w:val="24"/>
                <w:szCs w:val="24"/>
              </w:rPr>
              <w:t>abiedriskajā apspriedē</w:t>
            </w:r>
            <w:r w:rsidR="00E908BC" w:rsidRPr="00E908BC">
              <w:rPr>
                <w:rFonts w:ascii="Times New Roman" w:hAnsi="Times New Roman" w:cs="Times New Roman"/>
                <w:sz w:val="24"/>
                <w:szCs w:val="24"/>
              </w:rPr>
              <w:t>, atbildot uz</w:t>
            </w:r>
            <w:r w:rsidR="0092218A" w:rsidRPr="00E908BC">
              <w:rPr>
                <w:rFonts w:ascii="Times New Roman" w:hAnsi="Times New Roman" w:cs="Times New Roman"/>
                <w:sz w:val="24"/>
                <w:szCs w:val="24"/>
              </w:rPr>
              <w:t xml:space="preserve"> Latvijas Dabas fonda</w:t>
            </w:r>
            <w:r w:rsidR="00304067" w:rsidRPr="00E908BC">
              <w:rPr>
                <w:rFonts w:ascii="Times New Roman" w:hAnsi="Times New Roman" w:cs="Times New Roman"/>
                <w:sz w:val="24"/>
                <w:szCs w:val="24"/>
              </w:rPr>
              <w:t xml:space="preserve"> </w:t>
            </w:r>
            <w:r w:rsidRPr="00E908BC">
              <w:rPr>
                <w:rFonts w:ascii="Times New Roman" w:hAnsi="Times New Roman" w:cs="Times New Roman"/>
                <w:sz w:val="24"/>
                <w:szCs w:val="24"/>
              </w:rPr>
              <w:t>pārstāv</w:t>
            </w:r>
            <w:r w:rsidR="00E908BC" w:rsidRPr="00E908BC">
              <w:rPr>
                <w:rFonts w:ascii="Times New Roman" w:hAnsi="Times New Roman" w:cs="Times New Roman"/>
                <w:sz w:val="24"/>
                <w:szCs w:val="24"/>
              </w:rPr>
              <w:t xml:space="preserve">ja jautājumu, </w:t>
            </w:r>
            <w:r w:rsidR="005633BF" w:rsidRPr="00E908BC">
              <w:rPr>
                <w:rFonts w:ascii="Times New Roman" w:hAnsi="Times New Roman" w:cs="Times New Roman"/>
                <w:sz w:val="24"/>
                <w:szCs w:val="24"/>
              </w:rPr>
              <w:t xml:space="preserve">izskaidrots, </w:t>
            </w:r>
            <w:r w:rsidRPr="00E908BC">
              <w:rPr>
                <w:rFonts w:ascii="Times New Roman" w:hAnsi="Times New Roman" w:cs="Times New Roman"/>
                <w:sz w:val="24"/>
                <w:szCs w:val="24"/>
              </w:rPr>
              <w:t xml:space="preserve">ka </w:t>
            </w:r>
            <w:r w:rsidR="005633BF" w:rsidRPr="00E908BC">
              <w:rPr>
                <w:rFonts w:ascii="Times New Roman" w:hAnsi="Times New Roman" w:cs="Times New Roman"/>
                <w:sz w:val="24"/>
                <w:szCs w:val="24"/>
              </w:rPr>
              <w:t xml:space="preserve">ES fondu 2014.-2020.gada plānošanas periodā, lai nodrošināto vienādu pieeju visiem projektu iesniedzējiem, </w:t>
            </w:r>
            <w:r w:rsidRPr="00E908BC">
              <w:rPr>
                <w:rFonts w:ascii="Times New Roman" w:hAnsi="Times New Roman" w:cs="Times New Roman"/>
                <w:sz w:val="24"/>
                <w:szCs w:val="24"/>
              </w:rPr>
              <w:t>vadošā iestāde izstrādās vieno</w:t>
            </w:r>
            <w:r w:rsidR="005633BF" w:rsidRPr="00E908BC">
              <w:rPr>
                <w:rFonts w:ascii="Times New Roman" w:hAnsi="Times New Roman" w:cs="Times New Roman"/>
                <w:sz w:val="24"/>
                <w:szCs w:val="24"/>
              </w:rPr>
              <w:t>t</w:t>
            </w:r>
            <w:r w:rsidR="00E908BC" w:rsidRPr="00E908BC">
              <w:rPr>
                <w:rFonts w:ascii="Times New Roman" w:hAnsi="Times New Roman" w:cs="Times New Roman"/>
                <w:sz w:val="24"/>
                <w:szCs w:val="24"/>
              </w:rPr>
              <w:t>o</w:t>
            </w:r>
            <w:r w:rsidR="005633BF" w:rsidRPr="00E908BC">
              <w:rPr>
                <w:rFonts w:ascii="Times New Roman" w:hAnsi="Times New Roman" w:cs="Times New Roman"/>
                <w:sz w:val="24"/>
                <w:szCs w:val="24"/>
              </w:rPr>
              <w:t xml:space="preserve"> kritēriju</w:t>
            </w:r>
            <w:r w:rsidR="00E908BC" w:rsidRPr="00E908BC">
              <w:rPr>
                <w:rFonts w:ascii="Times New Roman" w:hAnsi="Times New Roman" w:cs="Times New Roman"/>
                <w:sz w:val="24"/>
                <w:szCs w:val="24"/>
              </w:rPr>
              <w:t xml:space="preserve"> paraugu</w:t>
            </w:r>
            <w:r w:rsidR="005633BF" w:rsidRPr="00E908BC">
              <w:rPr>
                <w:rFonts w:ascii="Times New Roman" w:hAnsi="Times New Roman" w:cs="Times New Roman"/>
                <w:sz w:val="24"/>
                <w:szCs w:val="24"/>
              </w:rPr>
              <w:t xml:space="preserve">, </w:t>
            </w:r>
            <w:r w:rsidRPr="00E908BC">
              <w:rPr>
                <w:rFonts w:ascii="Times New Roman" w:hAnsi="Times New Roman" w:cs="Times New Roman"/>
                <w:sz w:val="24"/>
                <w:szCs w:val="24"/>
              </w:rPr>
              <w:t xml:space="preserve">savukārt </w:t>
            </w:r>
            <w:r w:rsidR="00E908BC" w:rsidRPr="00E908BC">
              <w:rPr>
                <w:rFonts w:ascii="Times New Roman" w:hAnsi="Times New Roman" w:cs="Times New Roman"/>
                <w:sz w:val="24"/>
                <w:szCs w:val="24"/>
              </w:rPr>
              <w:t xml:space="preserve">nozarei </w:t>
            </w:r>
            <w:r w:rsidRPr="00E908BC">
              <w:rPr>
                <w:rFonts w:ascii="Times New Roman" w:hAnsi="Times New Roman" w:cs="Times New Roman"/>
                <w:sz w:val="24"/>
                <w:szCs w:val="24"/>
              </w:rPr>
              <w:t xml:space="preserve">specifiskus kritērijus izstrādās atbildīgās iestādes. </w:t>
            </w:r>
            <w:r w:rsidR="00E908BC" w:rsidRPr="00E908BC">
              <w:rPr>
                <w:rFonts w:ascii="Times New Roman" w:hAnsi="Times New Roman" w:cs="Times New Roman"/>
                <w:sz w:val="24"/>
                <w:szCs w:val="24"/>
              </w:rPr>
              <w:t>A</w:t>
            </w:r>
            <w:r w:rsidRPr="00E908BC">
              <w:rPr>
                <w:rFonts w:ascii="Times New Roman" w:hAnsi="Times New Roman" w:cs="Times New Roman"/>
                <w:sz w:val="24"/>
                <w:szCs w:val="24"/>
              </w:rPr>
              <w:t xml:space="preserve">tbilstoši </w:t>
            </w:r>
            <w:r w:rsidR="00E71451" w:rsidRPr="00E908BC">
              <w:rPr>
                <w:rFonts w:ascii="Times New Roman" w:hAnsi="Times New Roman" w:cs="Times New Roman"/>
                <w:sz w:val="24"/>
                <w:szCs w:val="24"/>
              </w:rPr>
              <w:t>R</w:t>
            </w:r>
            <w:r w:rsidRPr="00E908BC">
              <w:rPr>
                <w:rFonts w:ascii="Times New Roman" w:hAnsi="Times New Roman" w:cs="Times New Roman"/>
                <w:sz w:val="24"/>
                <w:szCs w:val="24"/>
              </w:rPr>
              <w:t xml:space="preserve">egulā </w:t>
            </w:r>
            <w:r w:rsidR="00E71451" w:rsidRPr="00E908BC">
              <w:rPr>
                <w:rFonts w:ascii="Times New Roman" w:hAnsi="Times New Roman" w:cs="Times New Roman"/>
                <w:sz w:val="24"/>
                <w:szCs w:val="24"/>
              </w:rPr>
              <w:t xml:space="preserve"> Nr.1303/2013 </w:t>
            </w:r>
            <w:r w:rsidRPr="00E908BC">
              <w:rPr>
                <w:rFonts w:ascii="Times New Roman" w:hAnsi="Times New Roman" w:cs="Times New Roman"/>
                <w:sz w:val="24"/>
                <w:szCs w:val="24"/>
              </w:rPr>
              <w:t>noteiktajam</w:t>
            </w:r>
            <w:r w:rsidR="005633BF" w:rsidRPr="00E908BC">
              <w:rPr>
                <w:rFonts w:ascii="Times New Roman" w:hAnsi="Times New Roman" w:cs="Times New Roman"/>
                <w:sz w:val="24"/>
                <w:szCs w:val="24"/>
              </w:rPr>
              <w:t xml:space="preserve"> </w:t>
            </w:r>
            <w:r w:rsidR="00E908BC" w:rsidRPr="00E908BC">
              <w:rPr>
                <w:rFonts w:ascii="Times New Roman" w:hAnsi="Times New Roman" w:cs="Times New Roman"/>
                <w:sz w:val="24"/>
                <w:szCs w:val="24"/>
              </w:rPr>
              <w:t xml:space="preserve">projektu iesniegumu vērtēšanas kritērijus </w:t>
            </w:r>
            <w:r w:rsidR="005633BF" w:rsidRPr="00E908BC">
              <w:rPr>
                <w:rFonts w:ascii="Times New Roman" w:hAnsi="Times New Roman" w:cs="Times New Roman"/>
                <w:sz w:val="24"/>
                <w:szCs w:val="24"/>
              </w:rPr>
              <w:t>apstiprinās Uzraudzības komiteja</w:t>
            </w:r>
            <w:r w:rsidR="00E908BC" w:rsidRPr="00E908BC">
              <w:rPr>
                <w:rFonts w:ascii="Times New Roman" w:hAnsi="Times New Roman" w:cs="Times New Roman"/>
                <w:sz w:val="24"/>
                <w:szCs w:val="24"/>
              </w:rPr>
              <w:t xml:space="preserve">, nodrošinot atklātu, caurspīdīgu un skaidru kritēriju apstiprināšanas procedūru. </w:t>
            </w:r>
            <w:r w:rsidR="005633BF" w:rsidRPr="00E908BC">
              <w:rPr>
                <w:rFonts w:ascii="Times New Roman" w:hAnsi="Times New Roman" w:cs="Times New Roman"/>
                <w:sz w:val="24"/>
                <w:szCs w:val="24"/>
              </w:rPr>
              <w:t xml:space="preserve">Papildus paskaidrots, ka </w:t>
            </w:r>
            <w:r w:rsidRPr="00E908BC">
              <w:rPr>
                <w:rFonts w:ascii="Times New Roman" w:hAnsi="Times New Roman" w:cs="Times New Roman"/>
                <w:sz w:val="24"/>
                <w:szCs w:val="24"/>
              </w:rPr>
              <w:t>Ministru kabineta noteikumos tiks noteikta kārtība, kādā kritēriji jāizstrādā un jāpublisko, kā arī tiks nodrošināta U</w:t>
            </w:r>
            <w:r w:rsidR="00D926F5" w:rsidRPr="00E908BC">
              <w:rPr>
                <w:rFonts w:ascii="Times New Roman" w:hAnsi="Times New Roman" w:cs="Times New Roman"/>
                <w:sz w:val="24"/>
                <w:szCs w:val="24"/>
              </w:rPr>
              <w:t>zraudzības komitejas</w:t>
            </w:r>
            <w:r w:rsidRPr="00E908BC">
              <w:rPr>
                <w:rFonts w:ascii="Times New Roman" w:hAnsi="Times New Roman" w:cs="Times New Roman"/>
                <w:sz w:val="24"/>
                <w:szCs w:val="24"/>
              </w:rPr>
              <w:t xml:space="preserve"> lēmumu pieejamība.</w:t>
            </w:r>
          </w:p>
          <w:p w14:paraId="34A78DF6" w14:textId="2DFAD73E" w:rsidR="00D926F5" w:rsidRDefault="0092218A"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5633BF">
              <w:rPr>
                <w:rFonts w:ascii="Times New Roman" w:hAnsi="Times New Roman" w:cs="Times New Roman"/>
                <w:sz w:val="24"/>
                <w:szCs w:val="24"/>
              </w:rPr>
              <w:t xml:space="preserve">Ņemts vērā sabiedriskajā apspriedē  Augstākās izglītības padomes izteiktais </w:t>
            </w:r>
            <w:r w:rsidR="00F43C52" w:rsidRPr="005633BF">
              <w:rPr>
                <w:rFonts w:ascii="Times New Roman" w:hAnsi="Times New Roman" w:cs="Times New Roman"/>
                <w:sz w:val="24"/>
                <w:szCs w:val="24"/>
              </w:rPr>
              <w:t>priekšlikums</w:t>
            </w:r>
            <w:r w:rsidRPr="005633BF">
              <w:rPr>
                <w:rFonts w:ascii="Times New Roman" w:hAnsi="Times New Roman" w:cs="Times New Roman"/>
                <w:sz w:val="24"/>
                <w:szCs w:val="24"/>
              </w:rPr>
              <w:t xml:space="preserve"> izstrādāt racionālus kontroles mehānismus, lai nepieļautu situācijas, kad vairāku kontrolējošo iestāžu pārbaudes projektā pārklājas, kā arī lūgums precīzi noteikt kontrolējošās iestādes un to darbības jomas.</w:t>
            </w:r>
            <w:r w:rsidR="00E908BC">
              <w:rPr>
                <w:rFonts w:ascii="Times New Roman" w:hAnsi="Times New Roman" w:cs="Times New Roman"/>
                <w:sz w:val="24"/>
                <w:szCs w:val="24"/>
              </w:rPr>
              <w:t xml:space="preserve"> Šis regulējums tiks iestrādāts Ministru kabineta noteikumos, kā arī koordinēts, ES fondu vadībā iesaistītajām institūcijām sadarbojoties pārbaužu organizēšanā.</w:t>
            </w:r>
          </w:p>
          <w:p w14:paraId="19DD1B30" w14:textId="737F19B0" w:rsidR="00D926F5" w:rsidRDefault="0092218A"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D926F5">
              <w:rPr>
                <w:rFonts w:ascii="Times New Roman" w:hAnsi="Times New Roman" w:cs="Times New Roman"/>
                <w:sz w:val="24"/>
                <w:szCs w:val="24"/>
              </w:rPr>
              <w:t xml:space="preserve">Ņemts vērā sabiedriskajā apspriedē Zemgales plānošanas reģiona izteiktais </w:t>
            </w:r>
            <w:r w:rsidR="00F43C52" w:rsidRPr="00D926F5">
              <w:rPr>
                <w:rFonts w:ascii="Times New Roman" w:hAnsi="Times New Roman" w:cs="Times New Roman"/>
                <w:sz w:val="24"/>
                <w:szCs w:val="24"/>
              </w:rPr>
              <w:t>priekšlikums</w:t>
            </w:r>
            <w:r w:rsidRPr="00D926F5">
              <w:rPr>
                <w:rFonts w:ascii="Times New Roman" w:hAnsi="Times New Roman" w:cs="Times New Roman"/>
                <w:sz w:val="24"/>
                <w:szCs w:val="24"/>
              </w:rPr>
              <w:t xml:space="preserve"> nodrošināt kontrolējošo iestāžu skaidru funkciju nodalījumu.</w:t>
            </w:r>
            <w:r w:rsidR="00283A81" w:rsidRPr="00D926F5">
              <w:rPr>
                <w:rFonts w:ascii="Times New Roman" w:hAnsi="Times New Roman" w:cs="Times New Roman"/>
                <w:sz w:val="24"/>
                <w:szCs w:val="24"/>
              </w:rPr>
              <w:t xml:space="preserve"> (likumprojekta </w:t>
            </w:r>
            <w:r w:rsidR="002166BB" w:rsidRPr="003D7C54">
              <w:rPr>
                <w:rFonts w:ascii="Times New Roman" w:hAnsi="Times New Roman" w:cs="Times New Roman"/>
                <w:sz w:val="24"/>
                <w:szCs w:val="24"/>
              </w:rPr>
              <w:t>1</w:t>
            </w:r>
            <w:r w:rsidR="003D7C54" w:rsidRPr="003D7C54">
              <w:rPr>
                <w:rFonts w:ascii="Times New Roman" w:hAnsi="Times New Roman" w:cs="Times New Roman"/>
                <w:sz w:val="24"/>
                <w:szCs w:val="24"/>
              </w:rPr>
              <w:t>0</w:t>
            </w:r>
            <w:r w:rsidR="002166BB" w:rsidRPr="003D7C54">
              <w:rPr>
                <w:rFonts w:ascii="Times New Roman" w:hAnsi="Times New Roman" w:cs="Times New Roman"/>
                <w:sz w:val="24"/>
                <w:szCs w:val="24"/>
              </w:rPr>
              <w:t xml:space="preserve">., </w:t>
            </w:r>
            <w:r w:rsidR="00283A81" w:rsidRPr="003D7C54">
              <w:rPr>
                <w:rFonts w:ascii="Times New Roman" w:hAnsi="Times New Roman" w:cs="Times New Roman"/>
                <w:sz w:val="24"/>
                <w:szCs w:val="24"/>
              </w:rPr>
              <w:t>1</w:t>
            </w:r>
            <w:r w:rsidR="003D7C54" w:rsidRPr="003D7C54">
              <w:rPr>
                <w:rFonts w:ascii="Times New Roman" w:hAnsi="Times New Roman" w:cs="Times New Roman"/>
                <w:sz w:val="24"/>
                <w:szCs w:val="24"/>
              </w:rPr>
              <w:t>1</w:t>
            </w:r>
            <w:r w:rsidR="00283A81" w:rsidRPr="003D7C54">
              <w:rPr>
                <w:rFonts w:ascii="Times New Roman" w:hAnsi="Times New Roman" w:cs="Times New Roman"/>
                <w:sz w:val="24"/>
                <w:szCs w:val="24"/>
              </w:rPr>
              <w:t>., 1</w:t>
            </w:r>
            <w:r w:rsidR="003D7C54" w:rsidRPr="003D7C54">
              <w:rPr>
                <w:rFonts w:ascii="Times New Roman" w:hAnsi="Times New Roman" w:cs="Times New Roman"/>
                <w:sz w:val="24"/>
                <w:szCs w:val="24"/>
              </w:rPr>
              <w:t>2</w:t>
            </w:r>
            <w:r w:rsidR="00283A81" w:rsidRPr="003D7C54">
              <w:rPr>
                <w:rFonts w:ascii="Times New Roman" w:hAnsi="Times New Roman" w:cs="Times New Roman"/>
                <w:sz w:val="24"/>
                <w:szCs w:val="24"/>
              </w:rPr>
              <w:t>.</w:t>
            </w:r>
            <w:r w:rsidR="002166BB" w:rsidRPr="003D7C54">
              <w:rPr>
                <w:rFonts w:ascii="Times New Roman" w:hAnsi="Times New Roman" w:cs="Times New Roman"/>
                <w:sz w:val="24"/>
                <w:szCs w:val="24"/>
              </w:rPr>
              <w:t xml:space="preserve"> un 1</w:t>
            </w:r>
            <w:r w:rsidR="003D7C54" w:rsidRPr="003D7C54">
              <w:rPr>
                <w:rFonts w:ascii="Times New Roman" w:hAnsi="Times New Roman" w:cs="Times New Roman"/>
                <w:sz w:val="24"/>
                <w:szCs w:val="24"/>
              </w:rPr>
              <w:t>3</w:t>
            </w:r>
            <w:r w:rsidR="002166BB" w:rsidRPr="003D7C54">
              <w:rPr>
                <w:rFonts w:ascii="Times New Roman" w:hAnsi="Times New Roman" w:cs="Times New Roman"/>
                <w:sz w:val="24"/>
                <w:szCs w:val="24"/>
              </w:rPr>
              <w:t>.</w:t>
            </w:r>
            <w:r w:rsidR="00283A81" w:rsidRPr="003D7C54">
              <w:rPr>
                <w:rFonts w:ascii="Times New Roman" w:hAnsi="Times New Roman" w:cs="Times New Roman"/>
                <w:sz w:val="24"/>
                <w:szCs w:val="24"/>
              </w:rPr>
              <w:t>pants</w:t>
            </w:r>
            <w:r w:rsidR="002166BB" w:rsidRPr="003D7C54">
              <w:rPr>
                <w:rFonts w:ascii="Times New Roman" w:hAnsi="Times New Roman" w:cs="Times New Roman"/>
                <w:sz w:val="24"/>
                <w:szCs w:val="24"/>
              </w:rPr>
              <w:t>)</w:t>
            </w:r>
            <w:r w:rsidR="00E908BC" w:rsidRPr="003D7C54">
              <w:rPr>
                <w:rFonts w:ascii="Times New Roman" w:hAnsi="Times New Roman" w:cs="Times New Roman"/>
                <w:sz w:val="24"/>
                <w:szCs w:val="24"/>
              </w:rPr>
              <w:t>.</w:t>
            </w:r>
          </w:p>
          <w:p w14:paraId="1CEBC98F" w14:textId="77777777" w:rsidR="00D926F5" w:rsidRDefault="00D96C4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D926F5">
              <w:rPr>
                <w:rFonts w:ascii="Times New Roman" w:hAnsi="Times New Roman" w:cs="Times New Roman"/>
                <w:sz w:val="24"/>
                <w:szCs w:val="24"/>
              </w:rPr>
              <w:t xml:space="preserve">Ņemts vērā sabiedriskajā apspriedē Rīgas Stradiņa universitātes izteiktais </w:t>
            </w:r>
            <w:r w:rsidR="00D76BCA" w:rsidRPr="00D926F5">
              <w:rPr>
                <w:rFonts w:ascii="Times New Roman" w:hAnsi="Times New Roman" w:cs="Times New Roman"/>
                <w:sz w:val="24"/>
                <w:szCs w:val="24"/>
              </w:rPr>
              <w:t>priekšlikums, ka nevajadzētu pieļaut situācijas, kad par vienu un to pašu gadījumu institūcijām ir dažādi viedokļi, kā arī to, ka institūcijai mainās viedoklis.</w:t>
            </w:r>
          </w:p>
          <w:p w14:paraId="11C12CC9" w14:textId="77777777" w:rsidR="00D926F5" w:rsidRDefault="00D76BCA"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D926F5">
              <w:rPr>
                <w:rFonts w:ascii="Times New Roman" w:hAnsi="Times New Roman" w:cs="Times New Roman"/>
                <w:sz w:val="24"/>
                <w:szCs w:val="24"/>
              </w:rPr>
              <w:t xml:space="preserve">Ņemts vērā sabiedriskajā apspriedē Zemgales plānošanas reģiona izteiktais </w:t>
            </w:r>
            <w:r w:rsidR="00F43C52" w:rsidRPr="00D926F5">
              <w:rPr>
                <w:rFonts w:ascii="Times New Roman" w:hAnsi="Times New Roman" w:cs="Times New Roman"/>
                <w:sz w:val="24"/>
                <w:szCs w:val="24"/>
              </w:rPr>
              <w:t>priekšlikums</w:t>
            </w:r>
            <w:r w:rsidRPr="00D926F5">
              <w:rPr>
                <w:rFonts w:ascii="Times New Roman" w:hAnsi="Times New Roman" w:cs="Times New Roman"/>
                <w:sz w:val="24"/>
                <w:szCs w:val="24"/>
              </w:rPr>
              <w:t xml:space="preserve"> nodrošināt tiesisko paļāvību gadījumos, ja tiek veikti grozījumi normatīvajos aktos.</w:t>
            </w:r>
          </w:p>
          <w:p w14:paraId="68904E5C" w14:textId="6B4C3B0F" w:rsidR="00D926F5" w:rsidRDefault="00757D86"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D926F5">
              <w:rPr>
                <w:rFonts w:ascii="Times New Roman" w:hAnsi="Times New Roman" w:cs="Times New Roman"/>
                <w:sz w:val="24"/>
                <w:szCs w:val="24"/>
              </w:rPr>
              <w:t>Nav ņ</w:t>
            </w:r>
            <w:r w:rsidR="00D76BCA" w:rsidRPr="00D926F5">
              <w:rPr>
                <w:rFonts w:ascii="Times New Roman" w:hAnsi="Times New Roman" w:cs="Times New Roman"/>
                <w:sz w:val="24"/>
                <w:szCs w:val="24"/>
              </w:rPr>
              <w:t xml:space="preserve">emts vērā sabiedriskajā apspriedē Rīgas plānošanas reģions izteiktais priekšlikums saglabāt ES fondu informācijas centru kompetenci, jo </w:t>
            </w:r>
            <w:r w:rsidR="00596840">
              <w:rPr>
                <w:rFonts w:ascii="Times New Roman" w:hAnsi="Times New Roman" w:cs="Times New Roman"/>
                <w:sz w:val="24"/>
                <w:szCs w:val="24"/>
              </w:rPr>
              <w:t>ES fondu 2014.-2020.gada plānošanas periodā visus pasākumus, kas saistīti ar potenciālo projektu iesniedzēju un finansējuma saņēmēju informēšanu un konsultēšanu īstenos CFLA un tās reģionālās nodaļas</w:t>
            </w:r>
            <w:r w:rsidR="00D76BCA" w:rsidRPr="00D926F5">
              <w:rPr>
                <w:rFonts w:ascii="Times New Roman" w:hAnsi="Times New Roman" w:cs="Times New Roman"/>
                <w:sz w:val="24"/>
                <w:szCs w:val="24"/>
              </w:rPr>
              <w:t>.</w:t>
            </w:r>
            <w:r w:rsidRPr="00D926F5">
              <w:rPr>
                <w:rFonts w:ascii="Times New Roman" w:hAnsi="Times New Roman" w:cs="Times New Roman"/>
                <w:sz w:val="24"/>
                <w:szCs w:val="24"/>
              </w:rPr>
              <w:t xml:space="preserve"> </w:t>
            </w:r>
          </w:p>
          <w:p w14:paraId="7B3517DA" w14:textId="6725253E" w:rsidR="00D926F5" w:rsidRDefault="00E908BC"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Pr>
                <w:rFonts w:ascii="Times New Roman" w:hAnsi="Times New Roman" w:cs="Times New Roman"/>
                <w:sz w:val="24"/>
                <w:szCs w:val="24"/>
              </w:rPr>
              <w:t>Nav ņ</w:t>
            </w:r>
            <w:r w:rsidR="00D76BCA" w:rsidRPr="00D926F5">
              <w:rPr>
                <w:rFonts w:ascii="Times New Roman" w:hAnsi="Times New Roman" w:cs="Times New Roman"/>
                <w:sz w:val="24"/>
                <w:szCs w:val="24"/>
              </w:rPr>
              <w:t xml:space="preserve">emts vērā sabiedriskajā apspriedē Zemgales plānošanas reģiona izteiktais priekšlikums </w:t>
            </w:r>
            <w:r w:rsidR="00751978" w:rsidRPr="00D926F5">
              <w:rPr>
                <w:rFonts w:ascii="Times New Roman" w:hAnsi="Times New Roman" w:cs="Times New Roman"/>
                <w:sz w:val="24"/>
                <w:szCs w:val="24"/>
              </w:rPr>
              <w:t>saglabāt informācijas centru Zemgalē, kas nepieciešamas sabiedrības informēšanai par ES fondu finansējumu reģionos.</w:t>
            </w:r>
            <w:r w:rsidR="00596840">
              <w:rPr>
                <w:rFonts w:ascii="Times New Roman" w:hAnsi="Times New Roman" w:cs="Times New Roman"/>
                <w:sz w:val="24"/>
                <w:szCs w:val="24"/>
              </w:rPr>
              <w:t xml:space="preserve"> CFLA izvērtēs un, ja būs nepieciešams, izveidos reģionālo nodaļu arī </w:t>
            </w:r>
            <w:r w:rsidR="00596840">
              <w:rPr>
                <w:rFonts w:ascii="Times New Roman" w:hAnsi="Times New Roman" w:cs="Times New Roman"/>
                <w:sz w:val="24"/>
                <w:szCs w:val="24"/>
              </w:rPr>
              <w:lastRenderedPageBreak/>
              <w:t>Zemgales reģionā.</w:t>
            </w:r>
          </w:p>
          <w:p w14:paraId="56376420" w14:textId="1716E166" w:rsidR="00D926F5" w:rsidRPr="006C0838" w:rsidRDefault="006C083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6C0838">
              <w:rPr>
                <w:rFonts w:ascii="Times New Roman" w:hAnsi="Times New Roman" w:cs="Times New Roman"/>
                <w:sz w:val="24"/>
                <w:szCs w:val="24"/>
              </w:rPr>
              <w:t>Atbildot uz</w:t>
            </w:r>
            <w:r w:rsidR="00751978" w:rsidRPr="006C0838">
              <w:rPr>
                <w:rFonts w:ascii="Times New Roman" w:hAnsi="Times New Roman" w:cs="Times New Roman"/>
                <w:sz w:val="24"/>
                <w:szCs w:val="24"/>
              </w:rPr>
              <w:t xml:space="preserve"> Latvijas </w:t>
            </w:r>
            <w:proofErr w:type="spellStart"/>
            <w:r w:rsidR="00751978" w:rsidRPr="006C0838">
              <w:rPr>
                <w:rFonts w:ascii="Times New Roman" w:hAnsi="Times New Roman" w:cs="Times New Roman"/>
                <w:sz w:val="24"/>
                <w:szCs w:val="24"/>
              </w:rPr>
              <w:t>Datortirgotāju</w:t>
            </w:r>
            <w:proofErr w:type="spellEnd"/>
            <w:r w:rsidR="00751978" w:rsidRPr="006C0838">
              <w:rPr>
                <w:rFonts w:ascii="Times New Roman" w:hAnsi="Times New Roman" w:cs="Times New Roman"/>
                <w:sz w:val="24"/>
                <w:szCs w:val="24"/>
              </w:rPr>
              <w:t xml:space="preserve"> asociācijas</w:t>
            </w:r>
            <w:r w:rsidR="00D926F5" w:rsidRPr="006C0838">
              <w:rPr>
                <w:rFonts w:ascii="Times New Roman" w:hAnsi="Times New Roman" w:cs="Times New Roman"/>
                <w:sz w:val="24"/>
                <w:szCs w:val="24"/>
              </w:rPr>
              <w:t xml:space="preserve"> pārstāv</w:t>
            </w:r>
            <w:r w:rsidRPr="006C0838">
              <w:rPr>
                <w:rFonts w:ascii="Times New Roman" w:hAnsi="Times New Roman" w:cs="Times New Roman"/>
                <w:sz w:val="24"/>
                <w:szCs w:val="24"/>
              </w:rPr>
              <w:t>ja jautājumu,</w:t>
            </w:r>
            <w:r w:rsidR="00D926F5" w:rsidRPr="006C0838">
              <w:rPr>
                <w:rFonts w:ascii="Times New Roman" w:hAnsi="Times New Roman" w:cs="Times New Roman"/>
                <w:sz w:val="24"/>
                <w:szCs w:val="24"/>
              </w:rPr>
              <w:t xml:space="preserve"> skaidrots, ka vērtējot ilgtspēju projektā, kurā tika apmācīts personāls, jāņem vērā projekta mērķis un specifiskā atbalsta mērķa rezultāta rādītāji. Ja projekta mērķis ir celt konkrētā uzņēmuma kapacitāti, tad ilgtspējas nodrošināšanai ir nepieciešams, lai apmācāmie darbinieki paliktu šajā uzņēmumā. Ja projekta mērķis ir celt konkrētas nozares kapacitāti, tad mērķis ir sasniegts, ja apmācāmie darbinieki paliks konkrētajā nozarē. Minētie ilgtspējas nosacījumi tiks definēti MK noteikumos </w:t>
            </w:r>
            <w:r w:rsidRPr="006C0838">
              <w:rPr>
                <w:rFonts w:ascii="Times New Roman" w:hAnsi="Times New Roman" w:cs="Times New Roman"/>
                <w:sz w:val="24"/>
                <w:szCs w:val="24"/>
              </w:rPr>
              <w:t xml:space="preserve">par specifiskā atbalsta mērķa īstenošanu </w:t>
            </w:r>
            <w:r w:rsidR="00D926F5" w:rsidRPr="006C0838">
              <w:rPr>
                <w:rFonts w:ascii="Times New Roman" w:hAnsi="Times New Roman" w:cs="Times New Roman"/>
                <w:sz w:val="24"/>
                <w:szCs w:val="24"/>
              </w:rPr>
              <w:t xml:space="preserve">un projektu iesniegumu </w:t>
            </w:r>
            <w:r w:rsidRPr="006C0838">
              <w:rPr>
                <w:rFonts w:ascii="Times New Roman" w:hAnsi="Times New Roman" w:cs="Times New Roman"/>
                <w:sz w:val="24"/>
                <w:szCs w:val="24"/>
              </w:rPr>
              <w:t>vērtēšanas</w:t>
            </w:r>
            <w:r w:rsidR="00D926F5" w:rsidRPr="006C0838">
              <w:rPr>
                <w:rFonts w:ascii="Times New Roman" w:hAnsi="Times New Roman" w:cs="Times New Roman"/>
                <w:sz w:val="24"/>
                <w:szCs w:val="24"/>
              </w:rPr>
              <w:t xml:space="preserve"> kritērijos. </w:t>
            </w:r>
          </w:p>
          <w:p w14:paraId="6A6FFB29" w14:textId="3E84FDD2" w:rsidR="007D72AD" w:rsidRPr="006C0838" w:rsidRDefault="006C083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6C0838">
              <w:rPr>
                <w:rFonts w:ascii="Times New Roman" w:hAnsi="Times New Roman" w:cs="Times New Roman"/>
                <w:sz w:val="24"/>
                <w:szCs w:val="24"/>
              </w:rPr>
              <w:t>Atbildot uz</w:t>
            </w:r>
            <w:r w:rsidR="00751978" w:rsidRPr="006C0838">
              <w:rPr>
                <w:rFonts w:ascii="Times New Roman" w:hAnsi="Times New Roman" w:cs="Times New Roman"/>
                <w:sz w:val="24"/>
                <w:szCs w:val="24"/>
              </w:rPr>
              <w:t xml:space="preserve"> Rīgas plānošanas reģiona</w:t>
            </w:r>
            <w:r w:rsidR="00D926F5" w:rsidRPr="006C0838">
              <w:rPr>
                <w:rFonts w:ascii="Times New Roman" w:hAnsi="Times New Roman" w:cs="Times New Roman"/>
                <w:sz w:val="24"/>
                <w:szCs w:val="24"/>
              </w:rPr>
              <w:t xml:space="preserve"> pārstāv</w:t>
            </w:r>
            <w:r w:rsidRPr="006C0838">
              <w:rPr>
                <w:rFonts w:ascii="Times New Roman" w:hAnsi="Times New Roman" w:cs="Times New Roman"/>
                <w:sz w:val="24"/>
                <w:szCs w:val="24"/>
              </w:rPr>
              <w:t>ja jautājumu,</w:t>
            </w:r>
            <w:r w:rsidR="00D926F5" w:rsidRPr="006C0838">
              <w:rPr>
                <w:rFonts w:ascii="Times New Roman" w:hAnsi="Times New Roman" w:cs="Times New Roman"/>
                <w:sz w:val="24"/>
                <w:szCs w:val="24"/>
              </w:rPr>
              <w:t xml:space="preserve"> skaidrots, ka valdes un padomes locekļu atbildība katrā gadījumā ir  vērtējama atsevišķi, t.i., atkarībā no konkrētās personas iesaistes attiecīgajā pārkāpumā. Šobrīd minēto personu atbildība tiek vērtēta, ņemot vērā Publisko iepirkumu likumā noteikto procedūru šajā jomā.</w:t>
            </w:r>
          </w:p>
          <w:p w14:paraId="63E0FEFE" w14:textId="3D15A808" w:rsidR="00E71451" w:rsidRPr="003D7C54" w:rsidRDefault="006C083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Pr>
                <w:rFonts w:ascii="Times New Roman" w:hAnsi="Times New Roman" w:cs="Times New Roman"/>
                <w:sz w:val="24"/>
                <w:szCs w:val="24"/>
              </w:rPr>
              <w:t>D</w:t>
            </w:r>
            <w:r w:rsidRPr="007D72AD">
              <w:rPr>
                <w:rFonts w:ascii="Times New Roman" w:hAnsi="Times New Roman" w:cs="Times New Roman"/>
                <w:sz w:val="24"/>
                <w:szCs w:val="24"/>
              </w:rPr>
              <w:t xml:space="preserve">aļēji </w:t>
            </w:r>
            <w:r w:rsidRPr="003D7C54">
              <w:rPr>
                <w:rFonts w:ascii="Times New Roman" w:hAnsi="Times New Roman" w:cs="Times New Roman"/>
                <w:sz w:val="24"/>
                <w:szCs w:val="24"/>
              </w:rPr>
              <w:t>ņ</w:t>
            </w:r>
            <w:r w:rsidR="00751978" w:rsidRPr="003D7C54">
              <w:rPr>
                <w:rFonts w:ascii="Times New Roman" w:hAnsi="Times New Roman" w:cs="Times New Roman"/>
                <w:sz w:val="24"/>
                <w:szCs w:val="24"/>
              </w:rPr>
              <w:t>emts vērā sabiedriskajā apspriedē Augstākās izglītības padomes priekšlikums  normatīvajos aktos  noteikt, kāda informācija projektā ir vispārpieejama un kāda – ierobežotas pieejamības informācija</w:t>
            </w:r>
            <w:r w:rsidRPr="003D7C54">
              <w:rPr>
                <w:rFonts w:ascii="Times New Roman" w:hAnsi="Times New Roman" w:cs="Times New Roman"/>
                <w:sz w:val="24"/>
                <w:szCs w:val="24"/>
              </w:rPr>
              <w:t>.</w:t>
            </w:r>
            <w:r w:rsidR="00283A81" w:rsidRPr="003D7C54">
              <w:rPr>
                <w:rFonts w:ascii="Times New Roman" w:hAnsi="Times New Roman" w:cs="Times New Roman"/>
                <w:sz w:val="24"/>
                <w:szCs w:val="24"/>
              </w:rPr>
              <w:t xml:space="preserve"> (</w:t>
            </w:r>
            <w:r w:rsidRPr="003D7C54">
              <w:rPr>
                <w:rFonts w:ascii="Times New Roman" w:hAnsi="Times New Roman" w:cs="Times New Roman"/>
                <w:sz w:val="24"/>
                <w:szCs w:val="24"/>
              </w:rPr>
              <w:t>L</w:t>
            </w:r>
            <w:r w:rsidR="00283A81" w:rsidRPr="003D7C54">
              <w:rPr>
                <w:rFonts w:ascii="Times New Roman" w:hAnsi="Times New Roman" w:cs="Times New Roman"/>
                <w:sz w:val="24"/>
                <w:szCs w:val="24"/>
              </w:rPr>
              <w:t>ikumprojekta 3</w:t>
            </w:r>
            <w:r w:rsidR="003D7C54" w:rsidRPr="003D7C54">
              <w:rPr>
                <w:rFonts w:ascii="Times New Roman" w:hAnsi="Times New Roman" w:cs="Times New Roman"/>
                <w:sz w:val="24"/>
                <w:szCs w:val="24"/>
              </w:rPr>
              <w:t>5</w:t>
            </w:r>
            <w:r w:rsidR="00283A81" w:rsidRPr="003D7C54">
              <w:rPr>
                <w:rFonts w:ascii="Times New Roman" w:hAnsi="Times New Roman" w:cs="Times New Roman"/>
                <w:sz w:val="24"/>
                <w:szCs w:val="24"/>
              </w:rPr>
              <w:t>. un 3</w:t>
            </w:r>
            <w:r w:rsidR="003D7C54" w:rsidRPr="003D7C54">
              <w:rPr>
                <w:rFonts w:ascii="Times New Roman" w:hAnsi="Times New Roman" w:cs="Times New Roman"/>
                <w:sz w:val="24"/>
                <w:szCs w:val="24"/>
              </w:rPr>
              <w:t>6</w:t>
            </w:r>
            <w:r w:rsidR="00283A81" w:rsidRPr="003D7C54">
              <w:rPr>
                <w:rFonts w:ascii="Times New Roman" w:hAnsi="Times New Roman" w:cs="Times New Roman"/>
                <w:sz w:val="24"/>
                <w:szCs w:val="24"/>
              </w:rPr>
              <w:t>.pants)</w:t>
            </w:r>
          </w:p>
          <w:p w14:paraId="0D0A68BC" w14:textId="7420923D" w:rsidR="00E71451" w:rsidRPr="00996B8C" w:rsidRDefault="00996B8C"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996B8C">
              <w:rPr>
                <w:rFonts w:ascii="Times New Roman" w:hAnsi="Times New Roman" w:cs="Times New Roman"/>
                <w:sz w:val="24"/>
                <w:szCs w:val="24"/>
              </w:rPr>
              <w:t>Atbildot uz</w:t>
            </w:r>
            <w:r w:rsidR="00751978" w:rsidRPr="00996B8C">
              <w:rPr>
                <w:rFonts w:ascii="Times New Roman" w:hAnsi="Times New Roman" w:cs="Times New Roman"/>
                <w:sz w:val="24"/>
                <w:szCs w:val="24"/>
              </w:rPr>
              <w:t xml:space="preserve"> Latvijas Lielo pilsētu asociācijas </w:t>
            </w:r>
            <w:r w:rsidR="007D72AD" w:rsidRPr="00996B8C">
              <w:rPr>
                <w:rFonts w:ascii="Times New Roman" w:hAnsi="Times New Roman" w:cs="Times New Roman"/>
                <w:sz w:val="24"/>
                <w:szCs w:val="24"/>
              </w:rPr>
              <w:t>pārstāv</w:t>
            </w:r>
            <w:r w:rsidRPr="00996B8C">
              <w:rPr>
                <w:rFonts w:ascii="Times New Roman" w:hAnsi="Times New Roman" w:cs="Times New Roman"/>
                <w:sz w:val="24"/>
                <w:szCs w:val="24"/>
              </w:rPr>
              <w:t>ja jautājumu,</w:t>
            </w:r>
            <w:r w:rsidR="007D72AD" w:rsidRPr="00996B8C">
              <w:rPr>
                <w:rFonts w:ascii="Times New Roman" w:hAnsi="Times New Roman" w:cs="Times New Roman"/>
                <w:sz w:val="24"/>
                <w:szCs w:val="24"/>
              </w:rPr>
              <w:t xml:space="preserve"> skaidrots, ka līdzšinējā prakse </w:t>
            </w:r>
            <w:r w:rsidR="00E71451" w:rsidRPr="00996B8C">
              <w:rPr>
                <w:rFonts w:ascii="Times New Roman" w:hAnsi="Times New Roman" w:cs="Times New Roman"/>
                <w:sz w:val="24"/>
                <w:szCs w:val="24"/>
              </w:rPr>
              <w:t xml:space="preserve">par </w:t>
            </w:r>
            <w:r w:rsidRPr="00996B8C">
              <w:rPr>
                <w:rFonts w:ascii="Times New Roman" w:hAnsi="Times New Roman" w:cs="Times New Roman"/>
                <w:sz w:val="24"/>
                <w:szCs w:val="24"/>
              </w:rPr>
              <w:t>u</w:t>
            </w:r>
            <w:r w:rsidR="00E71451" w:rsidRPr="00996B8C">
              <w:rPr>
                <w:rFonts w:ascii="Times New Roman" w:hAnsi="Times New Roman" w:cs="Times New Roman"/>
                <w:sz w:val="24"/>
                <w:szCs w:val="24"/>
              </w:rPr>
              <w:t xml:space="preserve">zraudzības komitejā skatāmo dokumentu spēku </w:t>
            </w:r>
            <w:r w:rsidR="007D72AD" w:rsidRPr="00996B8C">
              <w:rPr>
                <w:rFonts w:ascii="Times New Roman" w:hAnsi="Times New Roman" w:cs="Times New Roman"/>
                <w:sz w:val="24"/>
                <w:szCs w:val="24"/>
              </w:rPr>
              <w:t xml:space="preserve">nemainās. Atbilstoši </w:t>
            </w:r>
            <w:r w:rsidR="00E71451" w:rsidRPr="00996B8C">
              <w:rPr>
                <w:rFonts w:ascii="Times New Roman" w:hAnsi="Times New Roman" w:cs="Times New Roman"/>
                <w:sz w:val="24"/>
                <w:szCs w:val="24"/>
              </w:rPr>
              <w:t xml:space="preserve">Regulā Nr.1303/2013 noteiktajam regulējumam </w:t>
            </w:r>
            <w:r w:rsidRPr="00996B8C">
              <w:rPr>
                <w:rFonts w:ascii="Times New Roman" w:hAnsi="Times New Roman" w:cs="Times New Roman"/>
                <w:sz w:val="24"/>
                <w:szCs w:val="24"/>
              </w:rPr>
              <w:t>u</w:t>
            </w:r>
            <w:r w:rsidR="00E71451" w:rsidRPr="00996B8C">
              <w:rPr>
                <w:rFonts w:ascii="Times New Roman" w:hAnsi="Times New Roman" w:cs="Times New Roman"/>
                <w:sz w:val="24"/>
                <w:szCs w:val="24"/>
              </w:rPr>
              <w:t>zraudzības komiteja</w:t>
            </w:r>
            <w:r w:rsidR="007D72AD" w:rsidRPr="00996B8C">
              <w:rPr>
                <w:rFonts w:ascii="Times New Roman" w:hAnsi="Times New Roman" w:cs="Times New Roman"/>
                <w:sz w:val="24"/>
                <w:szCs w:val="24"/>
              </w:rPr>
              <w:t xml:space="preserve"> apstiprina plānošanas dokumentus. Savukārt atbilstoši nacionālajam regulējumam </w:t>
            </w:r>
            <w:r w:rsidRPr="00996B8C">
              <w:rPr>
                <w:rFonts w:ascii="Times New Roman" w:hAnsi="Times New Roman" w:cs="Times New Roman"/>
                <w:sz w:val="24"/>
                <w:szCs w:val="24"/>
              </w:rPr>
              <w:t xml:space="preserve">pēc uzraudzības komitejas lēmuma pieņemšanas </w:t>
            </w:r>
            <w:r w:rsidR="007D72AD" w:rsidRPr="00996B8C">
              <w:rPr>
                <w:rFonts w:ascii="Times New Roman" w:hAnsi="Times New Roman" w:cs="Times New Roman"/>
                <w:sz w:val="24"/>
                <w:szCs w:val="24"/>
              </w:rPr>
              <w:t>plānošanas dokumentus apstiprina M</w:t>
            </w:r>
            <w:r w:rsidR="00E71451" w:rsidRPr="00996B8C">
              <w:rPr>
                <w:rFonts w:ascii="Times New Roman" w:hAnsi="Times New Roman" w:cs="Times New Roman"/>
                <w:sz w:val="24"/>
                <w:szCs w:val="24"/>
              </w:rPr>
              <w:t>inistru kabinets</w:t>
            </w:r>
            <w:r w:rsidR="007D72AD" w:rsidRPr="00996B8C">
              <w:rPr>
                <w:rFonts w:ascii="Times New Roman" w:hAnsi="Times New Roman" w:cs="Times New Roman"/>
                <w:sz w:val="24"/>
                <w:szCs w:val="24"/>
              </w:rPr>
              <w:t xml:space="preserve">. </w:t>
            </w:r>
            <w:r w:rsidR="00E71451" w:rsidRPr="00996B8C">
              <w:rPr>
                <w:rFonts w:ascii="Times New Roman" w:hAnsi="Times New Roman" w:cs="Times New Roman"/>
                <w:sz w:val="24"/>
                <w:szCs w:val="24"/>
              </w:rPr>
              <w:t>Papildus sabiedriskās apspriedes dalībnieki tiek informēti, ka a</w:t>
            </w:r>
            <w:r w:rsidR="007D72AD" w:rsidRPr="00996B8C">
              <w:rPr>
                <w:rFonts w:ascii="Times New Roman" w:hAnsi="Times New Roman" w:cs="Times New Roman"/>
                <w:sz w:val="24"/>
                <w:szCs w:val="24"/>
              </w:rPr>
              <w:t>ttiecībā uz grozījumiem darbības programmas papildinājumā, regulējums vēl tiek vērtēts.</w:t>
            </w:r>
          </w:p>
          <w:p w14:paraId="3FBA6D3E" w14:textId="511A494A" w:rsidR="007D72AD" w:rsidRPr="00E71451" w:rsidRDefault="00751978" w:rsidP="00E65755">
            <w:pPr>
              <w:pStyle w:val="ListParagraph"/>
              <w:numPr>
                <w:ilvl w:val="0"/>
                <w:numId w:val="25"/>
              </w:numPr>
              <w:shd w:val="clear" w:color="auto" w:fill="FFFFFF"/>
              <w:tabs>
                <w:tab w:val="left" w:pos="736"/>
                <w:tab w:val="left" w:pos="878"/>
              </w:tabs>
              <w:spacing w:after="120" w:line="240" w:lineRule="auto"/>
              <w:ind w:left="57" w:right="57" w:firstLine="396"/>
              <w:contextualSpacing w:val="0"/>
              <w:jc w:val="both"/>
              <w:rPr>
                <w:rFonts w:ascii="Times New Roman" w:hAnsi="Times New Roman" w:cs="Times New Roman"/>
                <w:sz w:val="24"/>
                <w:szCs w:val="24"/>
              </w:rPr>
            </w:pPr>
            <w:r w:rsidRPr="00E71451">
              <w:rPr>
                <w:rFonts w:ascii="Times New Roman" w:hAnsi="Times New Roman" w:cs="Times New Roman"/>
                <w:sz w:val="24"/>
                <w:szCs w:val="24"/>
              </w:rPr>
              <w:t>Ņemts vērā sabiedriskajā apspriedē Rīgas plānošanas reģions izteiktais priekšlikums izvērtēt nepieciešamību nodrošināt uzraudzības komiteja sēdēs līdzvērtīgu informācijas pieejamību kā Ministru kabineta sēdēs</w:t>
            </w:r>
            <w:r w:rsidR="00996B8C">
              <w:rPr>
                <w:rFonts w:ascii="Times New Roman" w:hAnsi="Times New Roman" w:cs="Times New Roman"/>
                <w:sz w:val="24"/>
                <w:szCs w:val="24"/>
              </w:rPr>
              <w:t xml:space="preserve">, izņemot sēdes tiešraides nodrošināšanu tiešsaistē (likumprojekta </w:t>
            </w:r>
            <w:r w:rsidR="00996B8C" w:rsidRPr="003D7C54">
              <w:rPr>
                <w:rFonts w:ascii="Times New Roman" w:hAnsi="Times New Roman" w:cs="Times New Roman"/>
                <w:sz w:val="24"/>
                <w:szCs w:val="24"/>
              </w:rPr>
              <w:t>1</w:t>
            </w:r>
            <w:r w:rsidR="003D7C54" w:rsidRPr="003D7C54">
              <w:rPr>
                <w:rFonts w:ascii="Times New Roman" w:hAnsi="Times New Roman" w:cs="Times New Roman"/>
                <w:sz w:val="24"/>
                <w:szCs w:val="24"/>
              </w:rPr>
              <w:t>7</w:t>
            </w:r>
            <w:r w:rsidR="00996B8C" w:rsidRPr="003D7C54">
              <w:rPr>
                <w:rFonts w:ascii="Times New Roman" w:hAnsi="Times New Roman" w:cs="Times New Roman"/>
                <w:sz w:val="24"/>
                <w:szCs w:val="24"/>
              </w:rPr>
              <w:t>.pants</w:t>
            </w:r>
            <w:r w:rsidR="00996B8C">
              <w:rPr>
                <w:rFonts w:ascii="Times New Roman" w:hAnsi="Times New Roman" w:cs="Times New Roman"/>
                <w:sz w:val="24"/>
                <w:szCs w:val="24"/>
              </w:rPr>
              <w:t>)</w:t>
            </w:r>
            <w:r w:rsidRPr="00E71451">
              <w:rPr>
                <w:rFonts w:ascii="Times New Roman" w:hAnsi="Times New Roman" w:cs="Times New Roman"/>
                <w:sz w:val="24"/>
                <w:szCs w:val="24"/>
              </w:rPr>
              <w:t>.</w:t>
            </w:r>
          </w:p>
          <w:p w14:paraId="5EDF1EE5" w14:textId="3507EE98" w:rsidR="00751978" w:rsidRPr="007D72AD" w:rsidRDefault="00996B8C" w:rsidP="00E65755">
            <w:pPr>
              <w:pStyle w:val="ListParagraph"/>
              <w:numPr>
                <w:ilvl w:val="0"/>
                <w:numId w:val="25"/>
              </w:numPr>
              <w:shd w:val="clear" w:color="auto" w:fill="FFFFFF"/>
              <w:tabs>
                <w:tab w:val="left" w:pos="736"/>
                <w:tab w:val="left" w:pos="878"/>
              </w:tabs>
              <w:spacing w:after="0" w:line="240" w:lineRule="auto"/>
              <w:ind w:left="57" w:right="57" w:firstLine="396"/>
              <w:contextualSpacing w:val="0"/>
              <w:jc w:val="both"/>
              <w:rPr>
                <w:rFonts w:ascii="Times New Roman" w:hAnsi="Times New Roman" w:cs="Times New Roman"/>
                <w:sz w:val="24"/>
                <w:szCs w:val="24"/>
              </w:rPr>
            </w:pPr>
            <w:r>
              <w:rPr>
                <w:rFonts w:ascii="Times New Roman" w:hAnsi="Times New Roman" w:cs="Times New Roman"/>
                <w:sz w:val="24"/>
                <w:szCs w:val="24"/>
              </w:rPr>
              <w:t>Atbildot uz</w:t>
            </w:r>
            <w:r w:rsidR="00751978" w:rsidRPr="007D72AD">
              <w:rPr>
                <w:rFonts w:ascii="Times New Roman" w:hAnsi="Times New Roman" w:cs="Times New Roman"/>
                <w:sz w:val="24"/>
                <w:szCs w:val="24"/>
              </w:rPr>
              <w:t xml:space="preserve"> Zemgales plānošanas reģiona </w:t>
            </w:r>
            <w:r>
              <w:rPr>
                <w:rFonts w:ascii="Times New Roman" w:hAnsi="Times New Roman" w:cs="Times New Roman"/>
                <w:sz w:val="24"/>
                <w:szCs w:val="24"/>
              </w:rPr>
              <w:t xml:space="preserve">pārstāvja </w:t>
            </w:r>
            <w:r w:rsidR="00F43C52" w:rsidRPr="007D72AD">
              <w:rPr>
                <w:rFonts w:ascii="Times New Roman" w:hAnsi="Times New Roman" w:cs="Times New Roman"/>
                <w:sz w:val="24"/>
                <w:szCs w:val="24"/>
              </w:rPr>
              <w:t>izteikt</w:t>
            </w:r>
            <w:r>
              <w:rPr>
                <w:rFonts w:ascii="Times New Roman" w:hAnsi="Times New Roman" w:cs="Times New Roman"/>
                <w:sz w:val="24"/>
                <w:szCs w:val="24"/>
              </w:rPr>
              <w:t>o</w:t>
            </w:r>
            <w:r w:rsidR="00F43C52" w:rsidRPr="007D72AD">
              <w:rPr>
                <w:rFonts w:ascii="Times New Roman" w:hAnsi="Times New Roman" w:cs="Times New Roman"/>
                <w:sz w:val="24"/>
                <w:szCs w:val="24"/>
              </w:rPr>
              <w:t xml:space="preserve"> </w:t>
            </w:r>
            <w:r w:rsidR="00751978" w:rsidRPr="007D72AD">
              <w:rPr>
                <w:rFonts w:ascii="Times New Roman" w:hAnsi="Times New Roman" w:cs="Times New Roman"/>
                <w:sz w:val="24"/>
                <w:szCs w:val="24"/>
              </w:rPr>
              <w:t>priekšlikum</w:t>
            </w:r>
            <w:r>
              <w:rPr>
                <w:rFonts w:ascii="Times New Roman" w:hAnsi="Times New Roman" w:cs="Times New Roman"/>
                <w:sz w:val="24"/>
                <w:szCs w:val="24"/>
              </w:rPr>
              <w:t>u</w:t>
            </w:r>
            <w:r w:rsidR="00751978" w:rsidRPr="007D72AD">
              <w:rPr>
                <w:rFonts w:ascii="Times New Roman" w:hAnsi="Times New Roman" w:cs="Times New Roman"/>
                <w:sz w:val="24"/>
                <w:szCs w:val="24"/>
              </w:rPr>
              <w:t xml:space="preserve"> izvērtēt iespēju nodrošināt avansa maksājumus lielākā apmērā</w:t>
            </w:r>
            <w:r>
              <w:rPr>
                <w:rFonts w:ascii="Times New Roman" w:hAnsi="Times New Roman" w:cs="Times New Roman"/>
                <w:sz w:val="24"/>
                <w:szCs w:val="24"/>
              </w:rPr>
              <w:t xml:space="preserve">, </w:t>
            </w:r>
            <w:r w:rsidR="00D7420A">
              <w:rPr>
                <w:rFonts w:ascii="Times New Roman" w:hAnsi="Times New Roman" w:cs="Times New Roman"/>
                <w:sz w:val="24"/>
                <w:szCs w:val="24"/>
              </w:rPr>
              <w:t>skaidrots</w:t>
            </w:r>
            <w:r w:rsidR="00283A81" w:rsidRPr="007D72AD">
              <w:rPr>
                <w:rFonts w:ascii="Times New Roman" w:hAnsi="Times New Roman" w:cs="Times New Roman"/>
                <w:sz w:val="24"/>
                <w:szCs w:val="24"/>
              </w:rPr>
              <w:t xml:space="preserve">, ka avansa maksājumu apjoma palielināšana tiks vērtēta, izstrādājot Ministru kabineta noteikumus par </w:t>
            </w:r>
            <w:r w:rsidR="00D7420A">
              <w:rPr>
                <w:rFonts w:ascii="Times New Roman" w:hAnsi="Times New Roman" w:cs="Times New Roman"/>
                <w:sz w:val="24"/>
                <w:szCs w:val="24"/>
              </w:rPr>
              <w:t>specifiskā atbalsta mērķa īstenošanu</w:t>
            </w:r>
            <w:r w:rsidR="00283A81" w:rsidRPr="007D72AD">
              <w:rPr>
                <w:rFonts w:ascii="Times New Roman" w:hAnsi="Times New Roman" w:cs="Times New Roman"/>
                <w:sz w:val="24"/>
                <w:szCs w:val="24"/>
              </w:rPr>
              <w:t>)</w:t>
            </w:r>
            <w:r w:rsidR="00D7420A">
              <w:rPr>
                <w:rFonts w:ascii="Times New Roman" w:hAnsi="Times New Roman" w:cs="Times New Roman"/>
                <w:sz w:val="24"/>
                <w:szCs w:val="24"/>
              </w:rPr>
              <w:t>.</w:t>
            </w:r>
          </w:p>
        </w:tc>
      </w:tr>
      <w:tr w:rsidR="00991CBE" w:rsidRPr="00991CBE" w14:paraId="5EDF1EEB" w14:textId="77777777" w:rsidTr="007A4496">
        <w:trPr>
          <w:trHeight w:val="476"/>
          <w:jc w:val="center"/>
        </w:trPr>
        <w:tc>
          <w:tcPr>
            <w:tcW w:w="476" w:type="dxa"/>
          </w:tcPr>
          <w:p w14:paraId="5EDF1EE7" w14:textId="6AA0A14B" w:rsidR="00DA6C86" w:rsidRPr="00991CBE" w:rsidRDefault="004D6D5B"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lastRenderedPageBreak/>
              <w:t>4.</w:t>
            </w:r>
          </w:p>
        </w:tc>
        <w:tc>
          <w:tcPr>
            <w:tcW w:w="2842" w:type="dxa"/>
          </w:tcPr>
          <w:p w14:paraId="5EDF1EE8"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Cita informācija</w:t>
            </w:r>
          </w:p>
        </w:tc>
        <w:tc>
          <w:tcPr>
            <w:tcW w:w="6206" w:type="dxa"/>
          </w:tcPr>
          <w:p w14:paraId="5EDF1EEA" w14:textId="5FB7AB59" w:rsidR="00DA6C86" w:rsidRPr="00991CBE" w:rsidRDefault="00380812" w:rsidP="00D7420A">
            <w:pPr>
              <w:spacing w:after="0" w:line="240" w:lineRule="auto"/>
              <w:ind w:left="57" w:right="57"/>
              <w:jc w:val="both"/>
              <w:rPr>
                <w:rFonts w:ascii="Times New Roman" w:hAnsi="Times New Roman" w:cs="Times New Roman"/>
                <w:sz w:val="24"/>
                <w:szCs w:val="24"/>
              </w:rPr>
            </w:pPr>
            <w:r w:rsidRPr="00991CBE">
              <w:rPr>
                <w:rFonts w:ascii="Times New Roman" w:hAnsi="Times New Roman" w:cs="Times New Roman"/>
                <w:sz w:val="24"/>
                <w:szCs w:val="24"/>
              </w:rPr>
              <w:t>Nav</w:t>
            </w:r>
          </w:p>
        </w:tc>
      </w:tr>
    </w:tbl>
    <w:p w14:paraId="5EDF1EEC" w14:textId="77777777" w:rsidR="00DA6C86" w:rsidRDefault="00DA6C86" w:rsidP="00171D36">
      <w:pPr>
        <w:spacing w:after="0" w:line="240" w:lineRule="auto"/>
        <w:rPr>
          <w:rFonts w:ascii="Times New Roman" w:hAnsi="Times New Roman" w:cs="Times New Roman"/>
          <w:sz w:val="24"/>
          <w:szCs w:val="24"/>
        </w:rPr>
      </w:pPr>
    </w:p>
    <w:p w14:paraId="60CA9122" w14:textId="77777777" w:rsidR="00F56EA8" w:rsidRDefault="00F56EA8" w:rsidP="00171D36">
      <w:pPr>
        <w:spacing w:after="0" w:line="240" w:lineRule="auto"/>
        <w:rPr>
          <w:rFonts w:ascii="Times New Roman" w:hAnsi="Times New Roman" w:cs="Times New Roman"/>
          <w:sz w:val="24"/>
          <w:szCs w:val="24"/>
        </w:rPr>
      </w:pPr>
    </w:p>
    <w:p w14:paraId="77916134" w14:textId="77777777" w:rsidR="00E92316" w:rsidRPr="00991CBE" w:rsidRDefault="00E92316" w:rsidP="00171D3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991CBE" w:rsidRPr="00991CBE" w14:paraId="5EDF1EEE" w14:textId="77777777" w:rsidTr="004544D2">
        <w:trPr>
          <w:trHeight w:val="381"/>
          <w:jc w:val="center"/>
        </w:trPr>
        <w:tc>
          <w:tcPr>
            <w:tcW w:w="9518" w:type="dxa"/>
            <w:gridSpan w:val="3"/>
            <w:vAlign w:val="center"/>
          </w:tcPr>
          <w:p w14:paraId="5EDF1EED"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5EDF1EF2" w14:textId="77777777" w:rsidTr="001E69FC">
        <w:trPr>
          <w:trHeight w:val="427"/>
          <w:jc w:val="center"/>
        </w:trPr>
        <w:tc>
          <w:tcPr>
            <w:tcW w:w="437" w:type="dxa"/>
          </w:tcPr>
          <w:p w14:paraId="5EDF1EEF" w14:textId="77777777" w:rsidR="00DA6C86" w:rsidRPr="00DD49B6" w:rsidRDefault="00DA6C86" w:rsidP="00171D36">
            <w:pPr>
              <w:pStyle w:val="naisnod"/>
              <w:spacing w:before="0" w:beforeAutospacing="0" w:after="0" w:afterAutospacing="0"/>
              <w:ind w:left="57" w:right="57"/>
              <w:jc w:val="both"/>
            </w:pPr>
            <w:r w:rsidRPr="00DD49B6">
              <w:lastRenderedPageBreak/>
              <w:t>1.</w:t>
            </w:r>
          </w:p>
        </w:tc>
        <w:tc>
          <w:tcPr>
            <w:tcW w:w="3615" w:type="dxa"/>
          </w:tcPr>
          <w:p w14:paraId="5EDF1EF0"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466" w:type="dxa"/>
          </w:tcPr>
          <w:p w14:paraId="5EDF1EF1" w14:textId="6DAE8216" w:rsidR="00DA6C86" w:rsidRPr="00DD49B6" w:rsidRDefault="00D36792" w:rsidP="00445C0F">
            <w:pPr>
              <w:shd w:val="clear" w:color="auto" w:fill="FFFFFF"/>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Pr>
                <w:rFonts w:ascii="Times New Roman" w:hAnsi="Times New Roman" w:cs="Times New Roman"/>
                <w:sz w:val="24"/>
                <w:szCs w:val="24"/>
              </w:rPr>
              <w:t xml:space="preserve">Finanšu ministrija kā vadošā iestāde un revīzijas iestāde, </w:t>
            </w:r>
            <w:r w:rsidRPr="00D36792">
              <w:rPr>
                <w:rFonts w:ascii="Times New Roman" w:hAnsi="Times New Roman" w:cs="Times New Roman"/>
                <w:sz w:val="24"/>
                <w:szCs w:val="24"/>
              </w:rPr>
              <w:t>Ekonomikas ministrija, Izglītības un zinātnes ministrija, Kultūras ministrija, Labklājības ministrija, Satiksmes ministrija, Tieslietu ministrija, Veselības ministrija, Vides aizsardzības un reģionālās attīstības ministrija</w:t>
            </w:r>
            <w:r w:rsidR="00445C0F">
              <w:rPr>
                <w:rFonts w:ascii="Times New Roman" w:hAnsi="Times New Roman" w:cs="Times New Roman"/>
                <w:sz w:val="24"/>
                <w:szCs w:val="24"/>
              </w:rPr>
              <w:t>,</w:t>
            </w:r>
            <w:r w:rsidRPr="00D36792">
              <w:rPr>
                <w:rFonts w:ascii="Times New Roman" w:hAnsi="Times New Roman" w:cs="Times New Roman"/>
                <w:sz w:val="24"/>
                <w:szCs w:val="24"/>
              </w:rPr>
              <w:t xml:space="preserve"> Zemkopības ministrija</w:t>
            </w:r>
            <w:r>
              <w:rPr>
                <w:rFonts w:ascii="Times New Roman" w:hAnsi="Times New Roman" w:cs="Times New Roman"/>
                <w:sz w:val="24"/>
                <w:szCs w:val="24"/>
              </w:rPr>
              <w:t xml:space="preserve"> </w:t>
            </w:r>
            <w:r w:rsidR="00445C0F">
              <w:rPr>
                <w:rFonts w:ascii="Times New Roman" w:hAnsi="Times New Roman" w:cs="Times New Roman"/>
                <w:sz w:val="24"/>
                <w:szCs w:val="24"/>
              </w:rPr>
              <w:t xml:space="preserve">un Valsts kanceleja </w:t>
            </w:r>
            <w:r>
              <w:rPr>
                <w:rFonts w:ascii="Times New Roman" w:hAnsi="Times New Roman" w:cs="Times New Roman"/>
                <w:sz w:val="24"/>
                <w:szCs w:val="24"/>
              </w:rPr>
              <w:t xml:space="preserve">kā atbildīgās iestādes, Centrālā finanšu un līgumu aģentūra kā sadarbības iestāde, Valsts kase kā sertifikācijas iestāde, Iepirkuma uzraudzības birojs </w:t>
            </w:r>
          </w:p>
        </w:tc>
      </w:tr>
      <w:tr w:rsidR="00DA6C86" w:rsidRPr="00DD49B6" w14:paraId="5EDF1EF8" w14:textId="77777777" w:rsidTr="001E69FC">
        <w:trPr>
          <w:trHeight w:val="463"/>
          <w:jc w:val="center"/>
        </w:trPr>
        <w:tc>
          <w:tcPr>
            <w:tcW w:w="437" w:type="dxa"/>
          </w:tcPr>
          <w:p w14:paraId="5EDF1EF3" w14:textId="77777777" w:rsidR="00DA6C86" w:rsidRPr="00DD49B6" w:rsidRDefault="00DA6C86" w:rsidP="00171D36">
            <w:pPr>
              <w:pStyle w:val="naisnod"/>
              <w:spacing w:before="0" w:beforeAutospacing="0" w:after="0" w:afterAutospacing="0"/>
              <w:ind w:left="57" w:right="57"/>
              <w:jc w:val="both"/>
            </w:pPr>
            <w:r w:rsidRPr="00DD49B6">
              <w:t>2.</w:t>
            </w:r>
          </w:p>
        </w:tc>
        <w:tc>
          <w:tcPr>
            <w:tcW w:w="3615" w:type="dxa"/>
          </w:tcPr>
          <w:p w14:paraId="5EDF1EF4" w14:textId="376D97F5"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5EDF1EF5" w14:textId="026B5512"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466" w:type="dxa"/>
          </w:tcPr>
          <w:p w14:paraId="5980F511" w14:textId="77777777" w:rsidR="002E1DFC" w:rsidRDefault="002130ED"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sidRPr="002E1DFC">
              <w:rPr>
                <w:rFonts w:ascii="Times New Roman" w:hAnsi="Times New Roman" w:cs="Times New Roman"/>
                <w:sz w:val="24"/>
                <w:szCs w:val="24"/>
              </w:rPr>
              <w:t xml:space="preserve">ES fondu ieviešanas sistēmā 2014-2020.gada plānošanas periodā salīdzinājumā ar 2007.-2013.gada plānošanas periodā, ņemot vērā darbības programmā „Izaugsme un nodarbinātība” paredzētos specifiskā atbalsta mērķus, kā jaunas atbildīgās iestādes būs Tieslietu ministrija </w:t>
            </w:r>
            <w:r w:rsidR="002E1DFC" w:rsidRPr="002E1DFC">
              <w:rPr>
                <w:rFonts w:ascii="Times New Roman" w:hAnsi="Times New Roman" w:cs="Times New Roman"/>
                <w:sz w:val="24"/>
                <w:szCs w:val="24"/>
              </w:rPr>
              <w:t>un Zemkopības ministrija.</w:t>
            </w:r>
          </w:p>
          <w:p w14:paraId="1B699D1F" w14:textId="767AA70F" w:rsidR="00DA6C86" w:rsidRPr="002E1DFC" w:rsidRDefault="002E1DFC"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sidRPr="002E1DFC">
              <w:rPr>
                <w:rFonts w:ascii="Times New Roman" w:hAnsi="Times New Roman" w:cs="Times New Roman"/>
                <w:sz w:val="24"/>
                <w:szCs w:val="24"/>
              </w:rPr>
              <w:t xml:space="preserve">Savukārt, ņemot vērā </w:t>
            </w:r>
            <w:r w:rsidRPr="002E1DFC">
              <w:rPr>
                <w:rFonts w:ascii="Times New Roman" w:hAnsi="Times New Roman" w:cs="Times New Roman"/>
                <w:sz w:val="24"/>
                <w:szCs w:val="28"/>
              </w:rPr>
              <w:t xml:space="preserve">Koncepcijā par Eiropas Reģionālās attīstības fonda, Eiropas Sociālā fonda, Kohēzijas fonda, Eiropas Lauksaimniecības fonda lauku attīstībai un Eiropas Jūrlietu un zivsaimniecības fonda ieviešanu 2014.–2020.gadā Latvijā noteikto, būs tikai viena sadarbības iestāde – </w:t>
            </w:r>
            <w:r w:rsidR="000A0B88">
              <w:rPr>
                <w:rFonts w:ascii="Times New Roman" w:hAnsi="Times New Roman" w:cs="Times New Roman"/>
                <w:sz w:val="24"/>
                <w:szCs w:val="28"/>
              </w:rPr>
              <w:t>CFLA</w:t>
            </w:r>
            <w:r w:rsidRPr="002E1DFC">
              <w:rPr>
                <w:rFonts w:ascii="Times New Roman" w:hAnsi="Times New Roman" w:cs="Times New Roman"/>
                <w:sz w:val="24"/>
                <w:szCs w:val="28"/>
              </w:rPr>
              <w:t>. Tas nozīmē, ka Nodarbinātības valsts aģentūra, Latvijas Investīciju un attīstības aģentūra, Valsts reģionālās attīstības aģentūra, Valsts izglītības attīstības aģentūra un Sabiedrības integrācijas fonds vairs nepildīs sadarbības iestādes funkcijas ES fondu ieviešanā nākamajā plānošanas periodā, taču turpinās veikt sadarbības iestādes funkcijas attiecībā uz 2007.-2013.gada plānošanas periodu.</w:t>
            </w:r>
          </w:p>
          <w:p w14:paraId="61DB6E84" w14:textId="3CF24EDA" w:rsidR="002E1DFC" w:rsidRDefault="00D7420A"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2F700B">
              <w:rPr>
                <w:rFonts w:ascii="Times New Roman" w:hAnsi="Times New Roman" w:cs="Times New Roman"/>
                <w:sz w:val="24"/>
                <w:szCs w:val="24"/>
              </w:rPr>
              <w:t>adarbības iestādes būs finanšu ministra funkcionālajā pakļautībā, kas to īsteno ar vadošās iestādes vadītāja starpniecību.</w:t>
            </w:r>
          </w:p>
          <w:p w14:paraId="4212CC2D" w14:textId="564501BF" w:rsidR="006C6FEF" w:rsidRPr="0094686C" w:rsidRDefault="006C6FEF"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sidRPr="006C6FEF">
              <w:rPr>
                <w:rFonts w:ascii="Times New Roman" w:hAnsi="Times New Roman" w:cs="Times New Roman"/>
                <w:sz w:val="24"/>
                <w:szCs w:val="28"/>
              </w:rPr>
              <w:t xml:space="preserve">2014.-2020.gada plānošanas periodā, lai vienkāršotu ES fondu ieviešanas sistēmu, </w:t>
            </w:r>
            <w:r>
              <w:rPr>
                <w:rFonts w:ascii="Times New Roman" w:hAnsi="Times New Roman" w:cs="Times New Roman"/>
                <w:sz w:val="24"/>
                <w:szCs w:val="28"/>
              </w:rPr>
              <w:t>ir noteikts</w:t>
            </w:r>
            <w:r w:rsidRPr="006C6FEF">
              <w:rPr>
                <w:rFonts w:ascii="Times New Roman" w:hAnsi="Times New Roman" w:cs="Times New Roman"/>
                <w:sz w:val="24"/>
                <w:szCs w:val="28"/>
              </w:rPr>
              <w:t xml:space="preserve"> skaidrs atbildīgo iestāžu un sadarbības iestādes funkciju sadalījums, t.i., viena funkcija tiek deleģēta tikai vienai iestādei – tikai atbildīgajai iestādei vai sadarbības iestādei. Tādējādi tiek samazināts administratīvais slogs ne tikai finansējuma saņēmējiem, bet arī ES KP fondu administrēšanā esošajām iestādēm, t.sk. vadošajai iestādei, optimizējot tās resursus, lai efektīvi pārvaldītu un kontrolētu tās deleģēto funkciju izpildi.</w:t>
            </w:r>
            <w:r>
              <w:rPr>
                <w:rFonts w:ascii="Times New Roman" w:hAnsi="Times New Roman" w:cs="Times New Roman"/>
                <w:sz w:val="24"/>
                <w:szCs w:val="28"/>
              </w:rPr>
              <w:t xml:space="preserve"> Tādējādi atbildīgo iestāžu funkcijas būs saistītas tikai ar nozares politikas attīstību un ieviešanas uzraudzību un specifisko atbalsta mērķu iznākuma, rezultātu un finanšu rādītāju sasniegšanu. Savukārt sadarbības iestādes funkcijas būs saistītas ar projektu iesniegumu atlasi, līgumu un vienošanās slēgšanu un projektu īstenošanas </w:t>
            </w:r>
            <w:r>
              <w:rPr>
                <w:rFonts w:ascii="Times New Roman" w:hAnsi="Times New Roman" w:cs="Times New Roman"/>
                <w:sz w:val="24"/>
                <w:szCs w:val="28"/>
              </w:rPr>
              <w:lastRenderedPageBreak/>
              <w:t>uzraudzību.</w:t>
            </w:r>
            <w:r w:rsidR="0094686C">
              <w:rPr>
                <w:rFonts w:ascii="Times New Roman" w:hAnsi="Times New Roman" w:cs="Times New Roman"/>
                <w:sz w:val="24"/>
                <w:szCs w:val="28"/>
              </w:rPr>
              <w:t xml:space="preserve"> </w:t>
            </w:r>
          </w:p>
          <w:p w14:paraId="35DAB2AC" w14:textId="6FDF62E5" w:rsidR="0094686C" w:rsidRPr="006C6FEF" w:rsidRDefault="0094686C"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Vadošajai iestādei nākamajā plānošanas periodā kā jauna funkcijas paredzēta  sadarbības </w:t>
            </w:r>
            <w:r w:rsidR="007F1EDB">
              <w:rPr>
                <w:rFonts w:ascii="Times New Roman" w:hAnsi="Times New Roman" w:cs="Times New Roman"/>
                <w:sz w:val="24"/>
                <w:szCs w:val="24"/>
              </w:rPr>
              <w:t xml:space="preserve">iestādes </w:t>
            </w:r>
            <w:r>
              <w:rPr>
                <w:rFonts w:ascii="Times New Roman" w:hAnsi="Times New Roman" w:cs="Times New Roman"/>
                <w:sz w:val="24"/>
                <w:szCs w:val="24"/>
              </w:rPr>
              <w:t>apstrīdēto lēmumu izskatīšana un finansējuma saņēmēju, kuri ir publiskas personas, un sadarbības iestādes strīdu izskatīšana.</w:t>
            </w:r>
          </w:p>
          <w:p w14:paraId="07905D11" w14:textId="4BF3AE0C" w:rsidR="002F700B" w:rsidRPr="000A0B88" w:rsidRDefault="000A0B88" w:rsidP="00500402">
            <w:pPr>
              <w:pStyle w:val="ListParagraph"/>
              <w:numPr>
                <w:ilvl w:val="0"/>
                <w:numId w:val="24"/>
              </w:numPr>
              <w:shd w:val="clear" w:color="auto" w:fill="FFFFFF"/>
              <w:spacing w:after="120" w:line="240" w:lineRule="auto"/>
              <w:ind w:left="57" w:right="57" w:firstLine="357"/>
              <w:contextualSpacing w:val="0"/>
              <w:jc w:val="both"/>
              <w:rPr>
                <w:rFonts w:ascii="Times New Roman" w:hAnsi="Times New Roman" w:cs="Times New Roman"/>
                <w:sz w:val="24"/>
                <w:szCs w:val="24"/>
              </w:rPr>
            </w:pPr>
            <w:r>
              <w:rPr>
                <w:rFonts w:ascii="Times New Roman" w:hAnsi="Times New Roman" w:cs="Times New Roman"/>
                <w:sz w:val="24"/>
                <w:szCs w:val="28"/>
              </w:rPr>
              <w:t>Ņemot vērā vadošās iestādes un sadarbības iestādes jaunās funkcijas, p</w:t>
            </w:r>
            <w:r w:rsidRPr="000A0B88">
              <w:rPr>
                <w:rFonts w:ascii="Times New Roman" w:hAnsi="Times New Roman" w:cs="Times New Roman"/>
                <w:sz w:val="24"/>
                <w:szCs w:val="28"/>
              </w:rPr>
              <w:t xml:space="preserve">aredzēts, ka cilvēkresursi </w:t>
            </w:r>
            <w:r>
              <w:rPr>
                <w:rFonts w:ascii="Times New Roman" w:hAnsi="Times New Roman" w:cs="Times New Roman"/>
                <w:sz w:val="24"/>
                <w:szCs w:val="28"/>
              </w:rPr>
              <w:t xml:space="preserve">Finanšu ministrijā un </w:t>
            </w:r>
            <w:r w:rsidRPr="000A0B88">
              <w:rPr>
                <w:rFonts w:ascii="Times New Roman" w:hAnsi="Times New Roman" w:cs="Times New Roman"/>
                <w:sz w:val="24"/>
                <w:szCs w:val="28"/>
              </w:rPr>
              <w:t>CFLA tiks piesaistīti pakāpeniski, ņemot vērā  plānošanas dokumentos noteikto specifisko atbalsta mērķu uzsākšanas laika grafiku</w:t>
            </w:r>
            <w:r w:rsidR="00A45B2D">
              <w:rPr>
                <w:rFonts w:ascii="Times New Roman" w:hAnsi="Times New Roman" w:cs="Times New Roman"/>
                <w:sz w:val="24"/>
                <w:szCs w:val="28"/>
              </w:rPr>
              <w:t xml:space="preserve">, un atbilstoši Finanšu ministrijas un nozaru ministriju izstrādātajam plānam par nepieciešamajiem cilvēkresursiem ES fondu 2014.-2020.gada plānošanas periodā (saskaņā ar Ministru kabineta 2013.gada 17.decembra sēdes prot. Nr.67 139.§ 6.punktu plāns jāiesniedz Ministru kabinetā trīs mēnešu laikā pēc darbības programmas “Izaugsme un nodarbinātība” apstiprināšanas Eiropas Komisijā. </w:t>
            </w:r>
            <w:r w:rsidRPr="000A0B88">
              <w:rPr>
                <w:rFonts w:ascii="Times New Roman" w:hAnsi="Times New Roman" w:cs="Times New Roman"/>
                <w:sz w:val="24"/>
                <w:szCs w:val="28"/>
              </w:rPr>
              <w:t xml:space="preserve">CFLA jau 2007.-2013.gada plānošanas periodā ir strādājusi ar vairāku nozaru projektiem. Kā izaicinājums jaunajā plānošanas periodā ir minama Eiropas Sociāla fonda projektu specifika, lai gan </w:t>
            </w:r>
            <w:r w:rsidR="006C62AB">
              <w:rPr>
                <w:rFonts w:ascii="Times New Roman" w:hAnsi="Times New Roman" w:cs="Times New Roman"/>
                <w:sz w:val="24"/>
                <w:szCs w:val="28"/>
              </w:rPr>
              <w:t xml:space="preserve">CFLA </w:t>
            </w:r>
            <w:r w:rsidRPr="000A0B88">
              <w:rPr>
                <w:rFonts w:ascii="Times New Roman" w:hAnsi="Times New Roman" w:cs="Times New Roman"/>
                <w:sz w:val="24"/>
                <w:szCs w:val="28"/>
              </w:rPr>
              <w:t>ir neliela pieredze E</w:t>
            </w:r>
            <w:r w:rsidR="007F1EDB">
              <w:rPr>
                <w:rFonts w:ascii="Times New Roman" w:hAnsi="Times New Roman" w:cs="Times New Roman"/>
                <w:sz w:val="24"/>
                <w:szCs w:val="28"/>
              </w:rPr>
              <w:t xml:space="preserve">iropas </w:t>
            </w:r>
            <w:r w:rsidRPr="000A0B88">
              <w:rPr>
                <w:rFonts w:ascii="Times New Roman" w:hAnsi="Times New Roman" w:cs="Times New Roman"/>
                <w:sz w:val="24"/>
                <w:szCs w:val="28"/>
              </w:rPr>
              <w:t>S</w:t>
            </w:r>
            <w:r w:rsidR="007F1EDB">
              <w:rPr>
                <w:rFonts w:ascii="Times New Roman" w:hAnsi="Times New Roman" w:cs="Times New Roman"/>
                <w:sz w:val="24"/>
                <w:szCs w:val="28"/>
              </w:rPr>
              <w:t>ociālā fonda</w:t>
            </w:r>
            <w:r w:rsidRPr="000A0B88">
              <w:rPr>
                <w:rFonts w:ascii="Times New Roman" w:hAnsi="Times New Roman" w:cs="Times New Roman"/>
                <w:sz w:val="24"/>
                <w:szCs w:val="28"/>
              </w:rPr>
              <w:t xml:space="preserve"> projektu administrēšanā, un projekti ar tādiem finansējuma saņēmējiem  kā komersanti</w:t>
            </w:r>
            <w:r>
              <w:rPr>
                <w:rFonts w:ascii="Times New Roman" w:hAnsi="Times New Roman" w:cs="Times New Roman"/>
                <w:sz w:val="24"/>
                <w:szCs w:val="28"/>
              </w:rPr>
              <w:t>,</w:t>
            </w:r>
            <w:r w:rsidRPr="000A0B88">
              <w:rPr>
                <w:rFonts w:ascii="Times New Roman" w:hAnsi="Times New Roman" w:cs="Times New Roman"/>
                <w:sz w:val="24"/>
                <w:szCs w:val="28"/>
              </w:rPr>
              <w:t xml:space="preserve"> biedrības un nodibinājumi, bet šajās jomās CFLA stiprinās savu kompetenci un kapacitāti, piesaistot atbilstošus ekspertus.</w:t>
            </w:r>
            <w:r w:rsidR="0085451E">
              <w:rPr>
                <w:rFonts w:ascii="Times New Roman" w:hAnsi="Times New Roman" w:cs="Times New Roman"/>
                <w:sz w:val="24"/>
                <w:szCs w:val="28"/>
              </w:rPr>
              <w:t xml:space="preserve"> Gan projektu iesniegumu atlasē, gan strīdu izskatīšanā paredzēts piesaistīt nozares ministriju un atbildīgo iestāžu ekspertus.</w:t>
            </w:r>
          </w:p>
          <w:p w14:paraId="5EDF1EF7" w14:textId="7D7A4C55" w:rsidR="000A0B88" w:rsidRPr="0085451E" w:rsidRDefault="0085451E" w:rsidP="00500402">
            <w:pPr>
              <w:pStyle w:val="ListParagraph"/>
              <w:numPr>
                <w:ilvl w:val="0"/>
                <w:numId w:val="24"/>
              </w:numPr>
              <w:shd w:val="clear" w:color="auto" w:fill="FFFFFF"/>
              <w:spacing w:after="0" w:line="240" w:lineRule="auto"/>
              <w:ind w:left="57" w:right="57" w:firstLine="357"/>
              <w:jc w:val="both"/>
              <w:rPr>
                <w:rFonts w:ascii="Times New Roman" w:hAnsi="Times New Roman" w:cs="Times New Roman"/>
                <w:sz w:val="24"/>
                <w:szCs w:val="24"/>
              </w:rPr>
            </w:pPr>
            <w:r w:rsidRPr="0085451E">
              <w:rPr>
                <w:rFonts w:ascii="Times New Roman" w:hAnsi="Times New Roman" w:cs="Times New Roman"/>
                <w:sz w:val="24"/>
              </w:rPr>
              <w:t>Jaunu institūciju izveide, esošu institūciju likvidācija vai reorga</w:t>
            </w:r>
            <w:r w:rsidRPr="0085451E">
              <w:rPr>
                <w:rFonts w:ascii="Times New Roman" w:hAnsi="Times New Roman" w:cs="Times New Roman"/>
                <w:sz w:val="24"/>
              </w:rPr>
              <w:softHyphen/>
              <w:t>nizācija</w:t>
            </w:r>
            <w:r>
              <w:rPr>
                <w:rFonts w:ascii="Times New Roman" w:hAnsi="Times New Roman" w:cs="Times New Roman"/>
                <w:sz w:val="24"/>
              </w:rPr>
              <w:t xml:space="preserve"> nav paredzēta.</w:t>
            </w:r>
          </w:p>
        </w:tc>
      </w:tr>
      <w:tr w:rsidR="00DA6C86" w:rsidRPr="00DD49B6" w14:paraId="5EDF1EFD"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7E131F31" w:rsidR="00DA6C86" w:rsidRPr="00DD49B6" w:rsidRDefault="00DA6C86" w:rsidP="00171D36">
            <w:pPr>
              <w:pStyle w:val="naisnod"/>
              <w:spacing w:before="0" w:beforeAutospacing="0" w:after="0" w:afterAutospacing="0"/>
              <w:ind w:left="57" w:right="57"/>
              <w:jc w:val="both"/>
            </w:pPr>
            <w:r w:rsidRPr="00DD49B6">
              <w:lastRenderedPageBreak/>
              <w:t>3.</w:t>
            </w:r>
          </w:p>
        </w:tc>
        <w:tc>
          <w:tcPr>
            <w:tcW w:w="3615" w:type="dxa"/>
            <w:tcBorders>
              <w:top w:val="single" w:sz="4" w:space="0" w:color="auto"/>
              <w:left w:val="single" w:sz="4" w:space="0" w:color="auto"/>
              <w:bottom w:val="single" w:sz="4" w:space="0" w:color="auto"/>
              <w:right w:val="single" w:sz="4" w:space="0" w:color="auto"/>
            </w:tcBorders>
          </w:tcPr>
          <w:p w14:paraId="5EDF1EFA" w14:textId="77777777" w:rsidR="00DA6C86" w:rsidRPr="00DD49B6" w:rsidRDefault="00DA6C86" w:rsidP="002C5BB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EDF1EFC" w14:textId="51273B00" w:rsidR="00DA6C86" w:rsidRPr="00DD49B6" w:rsidRDefault="00380812" w:rsidP="00171D36">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5EDF1EFE" w14:textId="77777777" w:rsidR="00380812" w:rsidRPr="00700A10" w:rsidRDefault="00380812" w:rsidP="00171D36">
      <w:pPr>
        <w:pStyle w:val="ListParagraph"/>
        <w:spacing w:after="0" w:line="240" w:lineRule="auto"/>
        <w:ind w:left="357"/>
        <w:jc w:val="both"/>
        <w:rPr>
          <w:rFonts w:ascii="Times New Roman" w:hAnsi="Times New Roman" w:cs="Times New Roman"/>
          <w:sz w:val="28"/>
          <w:szCs w:val="28"/>
        </w:rPr>
      </w:pPr>
    </w:p>
    <w:p w14:paraId="231DDDA7" w14:textId="77777777" w:rsidR="00236887" w:rsidRDefault="00236887" w:rsidP="00171D36">
      <w:pPr>
        <w:spacing w:after="0" w:line="240" w:lineRule="auto"/>
        <w:jc w:val="both"/>
        <w:rPr>
          <w:rFonts w:ascii="Times New Roman" w:hAnsi="Times New Roman" w:cs="Times New Roman"/>
          <w:sz w:val="20"/>
          <w:szCs w:val="20"/>
        </w:rPr>
      </w:pPr>
    </w:p>
    <w:p w14:paraId="2B5B2D77" w14:textId="77777777" w:rsidR="003A4318" w:rsidRDefault="003A4318" w:rsidP="00171D36">
      <w:pPr>
        <w:spacing w:after="0" w:line="240" w:lineRule="auto"/>
        <w:jc w:val="both"/>
        <w:rPr>
          <w:rFonts w:ascii="Times New Roman" w:hAnsi="Times New Roman" w:cs="Times New Roman"/>
          <w:sz w:val="20"/>
          <w:szCs w:val="20"/>
        </w:rPr>
      </w:pPr>
    </w:p>
    <w:p w14:paraId="132F51EB" w14:textId="77777777" w:rsidR="00236887" w:rsidRPr="00236887" w:rsidRDefault="00236887" w:rsidP="00236887">
      <w:pPr>
        <w:pStyle w:val="naisf"/>
        <w:rPr>
          <w:szCs w:val="28"/>
        </w:rPr>
      </w:pPr>
      <w:r w:rsidRPr="00236887">
        <w:rPr>
          <w:szCs w:val="28"/>
        </w:rPr>
        <w:t>Finanšu ministrs</w:t>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t>A.Vilks</w:t>
      </w:r>
    </w:p>
    <w:p w14:paraId="19665E12" w14:textId="77777777" w:rsidR="00236887" w:rsidRDefault="00236887" w:rsidP="00236887">
      <w:pPr>
        <w:pStyle w:val="Header"/>
        <w:rPr>
          <w:rFonts w:ascii="Times New Roman" w:hAnsi="Times New Roman" w:cs="Times New Roman"/>
          <w:sz w:val="20"/>
          <w:szCs w:val="20"/>
        </w:rPr>
      </w:pPr>
    </w:p>
    <w:p w14:paraId="073386C6" w14:textId="77777777" w:rsidR="00236887" w:rsidRPr="00236887" w:rsidRDefault="00236887" w:rsidP="00236887">
      <w:pPr>
        <w:pStyle w:val="Header"/>
        <w:rPr>
          <w:rFonts w:ascii="Times New Roman" w:hAnsi="Times New Roman" w:cs="Times New Roman"/>
          <w:sz w:val="20"/>
          <w:szCs w:val="20"/>
        </w:rPr>
      </w:pPr>
    </w:p>
    <w:p w14:paraId="5EC6102D" w14:textId="7409D0BC" w:rsidR="00236887" w:rsidRPr="00236887" w:rsidRDefault="00E92316" w:rsidP="00236887">
      <w:pPr>
        <w:pStyle w:val="Header"/>
        <w:rPr>
          <w:rFonts w:ascii="Times New Roman" w:hAnsi="Times New Roman" w:cs="Times New Roman"/>
          <w:sz w:val="20"/>
          <w:szCs w:val="20"/>
        </w:rPr>
      </w:pPr>
      <w:r>
        <w:rPr>
          <w:rFonts w:ascii="Times New Roman" w:hAnsi="Times New Roman" w:cs="Times New Roman"/>
          <w:sz w:val="20"/>
          <w:szCs w:val="20"/>
        </w:rPr>
        <w:t>30</w:t>
      </w:r>
      <w:r w:rsidR="00ED29E7">
        <w:rPr>
          <w:rFonts w:ascii="Times New Roman" w:hAnsi="Times New Roman" w:cs="Times New Roman"/>
          <w:sz w:val="20"/>
          <w:szCs w:val="20"/>
        </w:rPr>
        <w:t>.05</w:t>
      </w:r>
      <w:r w:rsidR="00163A60">
        <w:rPr>
          <w:rFonts w:ascii="Times New Roman" w:hAnsi="Times New Roman" w:cs="Times New Roman"/>
          <w:sz w:val="20"/>
          <w:szCs w:val="20"/>
        </w:rPr>
        <w:t>.2014.</w:t>
      </w:r>
      <w:r w:rsidR="00236887" w:rsidRPr="00236887">
        <w:rPr>
          <w:rFonts w:ascii="Times New Roman" w:hAnsi="Times New Roman" w:cs="Times New Roman"/>
          <w:sz w:val="20"/>
          <w:szCs w:val="20"/>
        </w:rPr>
        <w:t xml:space="preserve"> </w:t>
      </w:r>
      <w:r w:rsidR="00411AD2">
        <w:rPr>
          <w:rFonts w:ascii="Times New Roman" w:hAnsi="Times New Roman" w:cs="Times New Roman"/>
          <w:sz w:val="20"/>
          <w:szCs w:val="20"/>
        </w:rPr>
        <w:t>08:55</w:t>
      </w:r>
    </w:p>
    <w:p w14:paraId="6F677BAA" w14:textId="1D352B07" w:rsidR="00236887" w:rsidRPr="00236887" w:rsidRDefault="00411AD2" w:rsidP="00236887">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12352</w:t>
      </w:r>
      <w:bookmarkStart w:id="6" w:name="_GoBack"/>
      <w:bookmarkEnd w:id="6"/>
    </w:p>
    <w:p w14:paraId="7000297B"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L. Barbara</w:t>
      </w:r>
    </w:p>
    <w:p w14:paraId="51445648"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Finanšu ministrijas</w:t>
      </w:r>
    </w:p>
    <w:p w14:paraId="45AEF913"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Eiropas Savienības fondu</w:t>
      </w:r>
    </w:p>
    <w:p w14:paraId="64961D7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vadības sistēmas departamenta</w:t>
      </w:r>
    </w:p>
    <w:p w14:paraId="6DF5A76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Eiropas Savienības fondu tiesiskā nodrošinājuma</w:t>
      </w:r>
    </w:p>
    <w:p w14:paraId="04245C0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nodaļas vadītāja</w:t>
      </w:r>
    </w:p>
    <w:p w14:paraId="01EB8689" w14:textId="77777777" w:rsidR="00236887" w:rsidRPr="00236887" w:rsidRDefault="00236887" w:rsidP="00236887">
      <w:pPr>
        <w:spacing w:after="0" w:line="240" w:lineRule="auto"/>
        <w:rPr>
          <w:rFonts w:ascii="Times New Roman" w:hAnsi="Times New Roman" w:cs="Times New Roman"/>
          <w:sz w:val="20"/>
          <w:szCs w:val="20"/>
        </w:rPr>
      </w:pPr>
      <w:r w:rsidRPr="00236887">
        <w:rPr>
          <w:rFonts w:ascii="Times New Roman" w:hAnsi="Times New Roman" w:cs="Times New Roman"/>
          <w:sz w:val="20"/>
          <w:szCs w:val="20"/>
        </w:rPr>
        <w:t>tālr.:</w:t>
      </w:r>
      <w:r w:rsidRPr="00236887">
        <w:rPr>
          <w:rFonts w:ascii="Times New Roman" w:hAnsi="Times New Roman" w:cs="Times New Roman"/>
          <w:b/>
          <w:bCs/>
          <w:sz w:val="20"/>
          <w:szCs w:val="20"/>
        </w:rPr>
        <w:t xml:space="preserve"> </w:t>
      </w:r>
      <w:r w:rsidRPr="00236887">
        <w:rPr>
          <w:rFonts w:ascii="Times New Roman" w:hAnsi="Times New Roman" w:cs="Times New Roman"/>
          <w:sz w:val="20"/>
          <w:szCs w:val="20"/>
        </w:rPr>
        <w:t>67083861</w:t>
      </w:r>
    </w:p>
    <w:p w14:paraId="4394F143" w14:textId="77777777" w:rsidR="00236887" w:rsidRPr="00236887" w:rsidRDefault="00236887" w:rsidP="00236887">
      <w:pPr>
        <w:spacing w:after="0" w:line="240" w:lineRule="auto"/>
        <w:rPr>
          <w:rFonts w:ascii="Times New Roman" w:hAnsi="Times New Roman" w:cs="Times New Roman"/>
          <w:color w:val="943634"/>
          <w:sz w:val="20"/>
          <w:szCs w:val="20"/>
        </w:rPr>
      </w:pPr>
      <w:r w:rsidRPr="00236887">
        <w:rPr>
          <w:rFonts w:ascii="Times New Roman" w:hAnsi="Times New Roman" w:cs="Times New Roman"/>
          <w:sz w:val="20"/>
          <w:szCs w:val="20"/>
        </w:rPr>
        <w:t xml:space="preserve">e-pasts: </w:t>
      </w:r>
      <w:hyperlink r:id="rId10" w:history="1">
        <w:r w:rsidRPr="00236887">
          <w:rPr>
            <w:rStyle w:val="Hyperlink"/>
            <w:rFonts w:ascii="Times New Roman" w:hAnsi="Times New Roman" w:cs="Times New Roman"/>
            <w:sz w:val="20"/>
            <w:szCs w:val="20"/>
          </w:rPr>
          <w:t>Linda.Barbara@fm.gov.lv</w:t>
        </w:r>
      </w:hyperlink>
    </w:p>
    <w:p w14:paraId="4BCD046B" w14:textId="77777777" w:rsidR="00236887" w:rsidRPr="00236887" w:rsidRDefault="00236887" w:rsidP="00171D36">
      <w:pPr>
        <w:spacing w:after="0" w:line="240" w:lineRule="auto"/>
        <w:jc w:val="both"/>
        <w:rPr>
          <w:rFonts w:ascii="Times New Roman" w:hAnsi="Times New Roman" w:cs="Times New Roman"/>
          <w:sz w:val="20"/>
          <w:szCs w:val="20"/>
        </w:rPr>
      </w:pPr>
    </w:p>
    <w:sectPr w:rsidR="00236887" w:rsidRPr="00236887" w:rsidSect="00411AD2">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5F61" w14:textId="77777777" w:rsidR="00060773" w:rsidRDefault="00060773" w:rsidP="004369B2">
      <w:pPr>
        <w:spacing w:after="0" w:line="240" w:lineRule="auto"/>
      </w:pPr>
      <w:r>
        <w:separator/>
      </w:r>
    </w:p>
  </w:endnote>
  <w:endnote w:type="continuationSeparator" w:id="0">
    <w:p w14:paraId="694272A6" w14:textId="77777777" w:rsidR="00060773" w:rsidRDefault="00060773"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3EDC43E1" w:rsidR="00060773" w:rsidRPr="00171D36" w:rsidRDefault="00060773" w:rsidP="00171D36">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FMAnot_300514_ESfondi; </w:t>
    </w:r>
    <w:r w:rsidRPr="00236887">
      <w:rPr>
        <w:rFonts w:ascii="Times New Roman" w:hAnsi="Times New Roman" w:cs="Times New Roman"/>
        <w:sz w:val="20"/>
        <w:szCs w:val="24"/>
      </w:rPr>
      <w:t>Likumprojekts „Eiropas Savienības struktūrfondu un Kohēzijas fonda 2014.-2020.gada plānošanas perioda vadības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4071E57B" w:rsidR="00060773" w:rsidRPr="00236887" w:rsidRDefault="00060773" w:rsidP="00236887">
    <w:pPr>
      <w:pStyle w:val="Footer"/>
    </w:pPr>
    <w:r>
      <w:rPr>
        <w:rFonts w:ascii="Times New Roman" w:hAnsi="Times New Roman" w:cs="Times New Roman"/>
        <w:sz w:val="18"/>
        <w:szCs w:val="20"/>
      </w:rPr>
      <w:t xml:space="preserve">FMAnot_300514_ESfondi; </w:t>
    </w:r>
    <w:r w:rsidRPr="00236887">
      <w:rPr>
        <w:rFonts w:ascii="Times New Roman" w:hAnsi="Times New Roman" w:cs="Times New Roman"/>
        <w:sz w:val="20"/>
        <w:szCs w:val="24"/>
      </w:rPr>
      <w:t>Likumprojekts „Eiropas Savienības struktūrfondu un Kohēzijas fonda 2014.-2020.gada plānošanas perioda vadības 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3F124451" w:rsidR="00060773" w:rsidRPr="00171D36" w:rsidRDefault="00060773" w:rsidP="00CA691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FMAnot_300514_ESfondi; </w:t>
    </w:r>
    <w:r w:rsidRPr="00236887">
      <w:rPr>
        <w:rFonts w:ascii="Times New Roman" w:hAnsi="Times New Roman" w:cs="Times New Roman"/>
        <w:sz w:val="20"/>
        <w:szCs w:val="24"/>
      </w:rPr>
      <w:t>Likumprojekts „Eiropas Savienības struktūrfondu un Kohēzijas fonda 2014.-2020.gada plānošanas perioda vadības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1EC5" w14:textId="77777777" w:rsidR="00060773" w:rsidRDefault="00060773" w:rsidP="004369B2">
      <w:pPr>
        <w:spacing w:after="0" w:line="240" w:lineRule="auto"/>
      </w:pPr>
      <w:r>
        <w:separator/>
      </w:r>
    </w:p>
  </w:footnote>
  <w:footnote w:type="continuationSeparator" w:id="0">
    <w:p w14:paraId="0BF69071" w14:textId="77777777" w:rsidR="00060773" w:rsidRDefault="00060773" w:rsidP="004369B2">
      <w:pPr>
        <w:spacing w:after="0" w:line="240" w:lineRule="auto"/>
      </w:pPr>
      <w:r>
        <w:continuationSeparator/>
      </w:r>
    </w:p>
  </w:footnote>
  <w:footnote w:id="1">
    <w:p w14:paraId="59FCA039" w14:textId="0019BF15" w:rsidR="00060773" w:rsidRDefault="00060773">
      <w:pPr>
        <w:pStyle w:val="FootnoteText"/>
      </w:pPr>
      <w:r>
        <w:rPr>
          <w:rStyle w:val="FootnoteReference"/>
        </w:rPr>
        <w:footnoteRef/>
      </w:r>
      <w:r>
        <w:t xml:space="preserve"> SIA „SAFEGE Baltija” veiktais </w:t>
      </w:r>
      <w:r w:rsidRPr="00BE0B3D">
        <w:rPr>
          <w:sz w:val="22"/>
          <w:szCs w:val="24"/>
        </w:rPr>
        <w:t xml:space="preserve">Eiropas Savienības struktūrfondu un Kohēzijas fonda ieviešanas sistēmas </w:t>
      </w:r>
      <w:proofErr w:type="spellStart"/>
      <w:r w:rsidRPr="00BE0B3D">
        <w:rPr>
          <w:sz w:val="22"/>
          <w:szCs w:val="24"/>
        </w:rPr>
        <w:t>efe</w:t>
      </w:r>
      <w:r>
        <w:rPr>
          <w:sz w:val="22"/>
          <w:szCs w:val="24"/>
        </w:rPr>
        <w:t>ktivizācijas</w:t>
      </w:r>
      <w:proofErr w:type="spellEnd"/>
      <w:r>
        <w:rPr>
          <w:sz w:val="22"/>
          <w:szCs w:val="24"/>
        </w:rPr>
        <w:t xml:space="preserve"> iespēju </w:t>
      </w:r>
      <w:proofErr w:type="spellStart"/>
      <w:r>
        <w:rPr>
          <w:sz w:val="22"/>
          <w:szCs w:val="24"/>
        </w:rPr>
        <w:t>izvērtējums</w:t>
      </w:r>
      <w:proofErr w:type="spellEnd"/>
      <w:r>
        <w:rPr>
          <w:sz w:val="22"/>
          <w:szCs w:val="24"/>
        </w:rPr>
        <w:t xml:space="preserve">, 20.lpp. Pieņemts 25.11.2013.; pieejams šeit: </w:t>
      </w:r>
      <w:hyperlink r:id="rId1" w:history="1">
        <w:r w:rsidRPr="00A96113">
          <w:rPr>
            <w:rStyle w:val="Hyperlink"/>
            <w:sz w:val="22"/>
            <w:szCs w:val="24"/>
          </w:rPr>
          <w:t>http://www.esfondi.lv/page.php?id=1104</w:t>
        </w:r>
      </w:hyperlink>
      <w:r>
        <w:rPr>
          <w:sz w:val="22"/>
          <w:szCs w:val="24"/>
        </w:rPr>
        <w:t xml:space="preserve"> </w:t>
      </w:r>
    </w:p>
  </w:footnote>
  <w:footnote w:id="2">
    <w:p w14:paraId="02DE6870" w14:textId="57F87790" w:rsidR="00060773" w:rsidRDefault="00060773">
      <w:pPr>
        <w:pStyle w:val="FootnoteText"/>
      </w:pPr>
      <w:r>
        <w:rPr>
          <w:rStyle w:val="FootnoteReference"/>
        </w:rPr>
        <w:footnoteRef/>
      </w:r>
      <w:r>
        <w:t xml:space="preserve"> </w:t>
      </w:r>
      <w:proofErr w:type="spellStart"/>
      <w:r>
        <w:t>Creifelds</w:t>
      </w:r>
      <w:proofErr w:type="spellEnd"/>
      <w:r>
        <w:t xml:space="preserve"> </w:t>
      </w:r>
      <w:proofErr w:type="spellStart"/>
      <w:r>
        <w:t>Rechtsw</w:t>
      </w:r>
      <w:r>
        <w:rPr>
          <w:rFonts w:cs="Times New Roman"/>
        </w:rPr>
        <w:t>ö</w:t>
      </w:r>
      <w:r>
        <w:t>rterbuch</w:t>
      </w:r>
      <w:proofErr w:type="spellEnd"/>
      <w:r>
        <w:t xml:space="preserve">, 19.Auflage, </w:t>
      </w:r>
      <w:proofErr w:type="spellStart"/>
      <w:r>
        <w:t>Verlag</w:t>
      </w:r>
      <w:proofErr w:type="spellEnd"/>
      <w:r>
        <w:t xml:space="preserve"> </w:t>
      </w:r>
      <w:proofErr w:type="spellStart"/>
      <w:r>
        <w:t>C.H.Beck</w:t>
      </w:r>
      <w:proofErr w:type="spellEnd"/>
      <w:r>
        <w:t xml:space="preserve"> </w:t>
      </w:r>
      <w:proofErr w:type="spellStart"/>
      <w:r>
        <w:t>M</w:t>
      </w:r>
      <w:r>
        <w:rPr>
          <w:rFonts w:cs="Times New Roman"/>
        </w:rPr>
        <w:t>ü</w:t>
      </w:r>
      <w:r>
        <w:t>nchen</w:t>
      </w:r>
      <w:proofErr w:type="spellEnd"/>
      <w:r>
        <w:t>, 2007, S.320, S.1128</w:t>
      </w:r>
    </w:p>
  </w:footnote>
  <w:footnote w:id="3">
    <w:p w14:paraId="2A43A185" w14:textId="720FC64C" w:rsidR="00060773" w:rsidRDefault="00060773">
      <w:pPr>
        <w:pStyle w:val="FootnoteText"/>
      </w:pPr>
      <w:r>
        <w:rPr>
          <w:rStyle w:val="FootnoteReference"/>
        </w:rPr>
        <w:footnoteRef/>
      </w:r>
      <w:r>
        <w:t xml:space="preserve"> </w:t>
      </w:r>
      <w:proofErr w:type="spellStart"/>
      <w:r>
        <w:t>Creifelds</w:t>
      </w:r>
      <w:proofErr w:type="spellEnd"/>
      <w:r>
        <w:t xml:space="preserve"> </w:t>
      </w:r>
      <w:proofErr w:type="spellStart"/>
      <w:r>
        <w:t>Rechtsw</w:t>
      </w:r>
      <w:r>
        <w:rPr>
          <w:rFonts w:cs="Times New Roman"/>
        </w:rPr>
        <w:t>ö</w:t>
      </w:r>
      <w:r>
        <w:t>rterbuch</w:t>
      </w:r>
      <w:proofErr w:type="spellEnd"/>
      <w:r>
        <w:t xml:space="preserve">, 19.Auflage, </w:t>
      </w:r>
      <w:proofErr w:type="spellStart"/>
      <w:r>
        <w:t>Verlag</w:t>
      </w:r>
      <w:proofErr w:type="spellEnd"/>
      <w:r>
        <w:t xml:space="preserve"> </w:t>
      </w:r>
      <w:proofErr w:type="spellStart"/>
      <w:r>
        <w:t>C.H.Beck</w:t>
      </w:r>
      <w:proofErr w:type="spellEnd"/>
      <w:r>
        <w:t xml:space="preserve"> </w:t>
      </w:r>
      <w:proofErr w:type="spellStart"/>
      <w:r>
        <w:t>M</w:t>
      </w:r>
      <w:r>
        <w:rPr>
          <w:rFonts w:cs="Times New Roman"/>
        </w:rPr>
        <w:t>ü</w:t>
      </w:r>
      <w:r>
        <w:t>nchen</w:t>
      </w:r>
      <w:proofErr w:type="spellEnd"/>
      <w:r>
        <w:t>, 2007, S.1130</w:t>
      </w:r>
    </w:p>
  </w:footnote>
  <w:footnote w:id="4">
    <w:p w14:paraId="7CC23DDA" w14:textId="77777777" w:rsidR="00060773" w:rsidRDefault="00060773" w:rsidP="002301B4">
      <w:pPr>
        <w:pStyle w:val="FootnoteText"/>
      </w:pPr>
      <w:r>
        <w:rPr>
          <w:rStyle w:val="FootnoteReference"/>
        </w:rPr>
        <w:footnoteRef/>
      </w:r>
      <w:r>
        <w:t xml:space="preserve"> </w:t>
      </w:r>
      <w:r w:rsidRPr="00046823">
        <w:t>Augstākās tiesas Senāta Administratīvo lietu departamenta 2012.gada 5.aprīļa lēmuma lietā Nr.SKA-380/2012 15.punkts.</w:t>
      </w:r>
    </w:p>
  </w:footnote>
  <w:footnote w:id="5">
    <w:p w14:paraId="42CBC9D5" w14:textId="77777777" w:rsidR="00060773" w:rsidRDefault="00060773" w:rsidP="002301B4">
      <w:pPr>
        <w:pStyle w:val="FootnoteText"/>
      </w:pPr>
      <w:r>
        <w:rPr>
          <w:rStyle w:val="FootnoteReference"/>
        </w:rPr>
        <w:footnoteRef/>
      </w:r>
      <w:r>
        <w:t xml:space="preserve"> </w:t>
      </w:r>
      <w:proofErr w:type="spellStart"/>
      <w:r>
        <w:t>Maurer</w:t>
      </w:r>
      <w:proofErr w:type="spellEnd"/>
      <w:r>
        <w:t xml:space="preserve"> H. </w:t>
      </w:r>
      <w:proofErr w:type="spellStart"/>
      <w:r>
        <w:t>Allgemeines</w:t>
      </w:r>
      <w:proofErr w:type="spellEnd"/>
      <w:r>
        <w:t xml:space="preserve"> </w:t>
      </w:r>
      <w:proofErr w:type="spellStart"/>
      <w:r>
        <w:t>Verwaltungsrecht</w:t>
      </w:r>
      <w:proofErr w:type="spellEnd"/>
      <w:r>
        <w:t xml:space="preserve">. 17.Auflage, </w:t>
      </w:r>
      <w:proofErr w:type="spellStart"/>
      <w:r>
        <w:t>Verlag</w:t>
      </w:r>
      <w:proofErr w:type="spellEnd"/>
      <w:r>
        <w:t xml:space="preserve"> </w:t>
      </w:r>
      <w:proofErr w:type="spellStart"/>
      <w:r>
        <w:t>C.H.Beck</w:t>
      </w:r>
      <w:proofErr w:type="spellEnd"/>
      <w:r>
        <w:t>, 2009, S.124-126</w:t>
      </w:r>
    </w:p>
  </w:footnote>
  <w:footnote w:id="6">
    <w:p w14:paraId="1F0AD11D" w14:textId="77777777" w:rsidR="00060773" w:rsidRDefault="00060773" w:rsidP="002301B4">
      <w:pPr>
        <w:pStyle w:val="FootnoteText"/>
      </w:pPr>
      <w:r>
        <w:rPr>
          <w:rStyle w:val="FootnoteReference"/>
        </w:rPr>
        <w:footnoteRef/>
      </w:r>
      <w:r>
        <w:t xml:space="preserve"> </w:t>
      </w:r>
      <w:r w:rsidRPr="00F4553D">
        <w:t>Augstākās tiesas Senāta Administratīvo lietu departamenta 2009.gada 19.oktobra sprieduma lietā Nr. SKA-89/2009 16.punkts.</w:t>
      </w:r>
    </w:p>
  </w:footnote>
  <w:footnote w:id="7">
    <w:p w14:paraId="7535C969" w14:textId="67DFCA18" w:rsidR="00060773" w:rsidRPr="00B24E50" w:rsidRDefault="00060773" w:rsidP="00B24E50">
      <w:pPr>
        <w:pStyle w:val="FootnoteText"/>
        <w:jc w:val="both"/>
        <w:rPr>
          <w:sz w:val="16"/>
        </w:rPr>
      </w:pPr>
      <w:r>
        <w:rPr>
          <w:rStyle w:val="FootnoteReference"/>
        </w:rPr>
        <w:footnoteRef/>
      </w:r>
      <w:r>
        <w:t xml:space="preserve"> </w:t>
      </w:r>
      <w:r w:rsidRPr="00B24E50">
        <w:rPr>
          <w:rFonts w:cs="Times New Roman"/>
          <w:szCs w:val="24"/>
        </w:rPr>
        <w:t>Pētījums „Valsts dibināto fondu sistēmas turpmākās attīstības modelis”, 2012.gada 12.jūlijs. Pētījums pieejams šeit: http://www.mk.gov.lv/esstrukturfondi/vk-realizetie-projekti/strukturaloreformuistenosana/reformu-novertejumi-un-petijumi/</w:t>
      </w:r>
    </w:p>
  </w:footnote>
  <w:footnote w:id="8">
    <w:p w14:paraId="28A58BF2" w14:textId="53AE7B89" w:rsidR="00060773" w:rsidRDefault="00060773">
      <w:pPr>
        <w:pStyle w:val="FootnoteText"/>
      </w:pPr>
      <w:r>
        <w:rPr>
          <w:rStyle w:val="FootnoteReference"/>
        </w:rPr>
        <w:footnoteRef/>
      </w:r>
      <w:r>
        <w:t xml:space="preserve"> </w:t>
      </w:r>
      <w:proofErr w:type="spellStart"/>
      <w:r w:rsidRPr="00E73815">
        <w:t>Ģenerāladvokātes</w:t>
      </w:r>
      <w:proofErr w:type="spellEnd"/>
      <w:r w:rsidRPr="00E73815">
        <w:t xml:space="preserve"> </w:t>
      </w:r>
      <w:proofErr w:type="spellStart"/>
      <w:r w:rsidRPr="00E73815">
        <w:t>Julianas</w:t>
      </w:r>
      <w:proofErr w:type="spellEnd"/>
      <w:r w:rsidRPr="00E73815">
        <w:t xml:space="preserve"> </w:t>
      </w:r>
      <w:proofErr w:type="spellStart"/>
      <w:r w:rsidRPr="00E73815">
        <w:t>Kokotes</w:t>
      </w:r>
      <w:proofErr w:type="spellEnd"/>
      <w:r w:rsidRPr="00E73815">
        <w:t xml:space="preserve"> secinājumu lietā C-489/10 60., 63., 71.punkts. </w:t>
      </w:r>
    </w:p>
  </w:footnote>
  <w:footnote w:id="9">
    <w:p w14:paraId="20A10941" w14:textId="77777777" w:rsidR="00060773" w:rsidRDefault="00060773" w:rsidP="00F56EA8">
      <w:pPr>
        <w:pStyle w:val="FootnoteText"/>
      </w:pPr>
      <w:r>
        <w:rPr>
          <w:rStyle w:val="FootnoteReference"/>
        </w:rPr>
        <w:footnoteRef/>
      </w:r>
      <w:r>
        <w:t xml:space="preserve"> 14287/2 ADD1REV1 109.pants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060773" w:rsidRPr="00171D36" w:rsidRDefault="00060773">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11AD2">
          <w:rPr>
            <w:rFonts w:ascii="Times New Roman" w:hAnsi="Times New Roman" w:cs="Times New Roman"/>
            <w:noProof/>
            <w:sz w:val="24"/>
          </w:rPr>
          <w:t>40</w:t>
        </w:r>
        <w:r w:rsidRPr="00171D36">
          <w:rPr>
            <w:rFonts w:ascii="Times New Roman" w:hAnsi="Times New Roman" w:cs="Times New Roman"/>
            <w:noProof/>
            <w:sz w:val="24"/>
          </w:rPr>
          <w:fldChar w:fldCharType="end"/>
        </w:r>
      </w:p>
    </w:sdtContent>
  </w:sdt>
  <w:p w14:paraId="5EDF1F2A" w14:textId="77777777" w:rsidR="00060773" w:rsidRDefault="00060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060773" w:rsidRPr="00171D36" w:rsidRDefault="00060773">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11AD2">
          <w:rPr>
            <w:rFonts w:ascii="Times New Roman" w:hAnsi="Times New Roman" w:cs="Times New Roman"/>
            <w:noProof/>
            <w:sz w:val="24"/>
          </w:rPr>
          <w:t>39</w:t>
        </w:r>
        <w:r w:rsidRPr="00171D36">
          <w:rPr>
            <w:rFonts w:ascii="Times New Roman" w:hAnsi="Times New Roman" w:cs="Times New Roman"/>
            <w:noProof/>
            <w:sz w:val="24"/>
          </w:rPr>
          <w:fldChar w:fldCharType="end"/>
        </w:r>
      </w:p>
    </w:sdtContent>
  </w:sdt>
  <w:p w14:paraId="0D2BB5B5" w14:textId="77777777" w:rsidR="00060773" w:rsidRDefault="00060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060773" w:rsidRDefault="00060773"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7">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0">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1">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3">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7">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26"/>
  </w:num>
  <w:num w:numId="4">
    <w:abstractNumId w:val="0"/>
  </w:num>
  <w:num w:numId="5">
    <w:abstractNumId w:val="7"/>
  </w:num>
  <w:num w:numId="6">
    <w:abstractNumId w:val="9"/>
  </w:num>
  <w:num w:numId="7">
    <w:abstractNumId w:val="4"/>
  </w:num>
  <w:num w:numId="8">
    <w:abstractNumId w:val="12"/>
  </w:num>
  <w:num w:numId="9">
    <w:abstractNumId w:val="1"/>
  </w:num>
  <w:num w:numId="10">
    <w:abstractNumId w:val="3"/>
  </w:num>
  <w:num w:numId="11">
    <w:abstractNumId w:val="27"/>
  </w:num>
  <w:num w:numId="12">
    <w:abstractNumId w:val="14"/>
  </w:num>
  <w:num w:numId="13">
    <w:abstractNumId w:val="28"/>
  </w:num>
  <w:num w:numId="14">
    <w:abstractNumId w:val="22"/>
  </w:num>
  <w:num w:numId="15">
    <w:abstractNumId w:val="21"/>
  </w:num>
  <w:num w:numId="16">
    <w:abstractNumId w:val="29"/>
  </w:num>
  <w:num w:numId="17">
    <w:abstractNumId w:val="23"/>
  </w:num>
  <w:num w:numId="18">
    <w:abstractNumId w:val="18"/>
  </w:num>
  <w:num w:numId="19">
    <w:abstractNumId w:val="15"/>
  </w:num>
  <w:num w:numId="20">
    <w:abstractNumId w:val="16"/>
  </w:num>
  <w:num w:numId="21">
    <w:abstractNumId w:val="10"/>
  </w:num>
  <w:num w:numId="22">
    <w:abstractNumId w:val="5"/>
  </w:num>
  <w:num w:numId="23">
    <w:abstractNumId w:val="13"/>
  </w:num>
  <w:num w:numId="24">
    <w:abstractNumId w:val="25"/>
  </w:num>
  <w:num w:numId="25">
    <w:abstractNumId w:val="11"/>
  </w:num>
  <w:num w:numId="26">
    <w:abstractNumId w:val="20"/>
  </w:num>
  <w:num w:numId="27">
    <w:abstractNumId w:val="19"/>
  </w:num>
  <w:num w:numId="28">
    <w:abstractNumId w:val="2"/>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2AC4"/>
    <w:rsid w:val="00003F2D"/>
    <w:rsid w:val="000044FD"/>
    <w:rsid w:val="000066F2"/>
    <w:rsid w:val="00007445"/>
    <w:rsid w:val="00011A47"/>
    <w:rsid w:val="00012F4F"/>
    <w:rsid w:val="000136A3"/>
    <w:rsid w:val="00013770"/>
    <w:rsid w:val="00013DA3"/>
    <w:rsid w:val="0002742F"/>
    <w:rsid w:val="000277B3"/>
    <w:rsid w:val="00034F6A"/>
    <w:rsid w:val="00035F18"/>
    <w:rsid w:val="00047C66"/>
    <w:rsid w:val="00050722"/>
    <w:rsid w:val="00053C57"/>
    <w:rsid w:val="00056305"/>
    <w:rsid w:val="00060773"/>
    <w:rsid w:val="000612C8"/>
    <w:rsid w:val="000627FE"/>
    <w:rsid w:val="00062FE4"/>
    <w:rsid w:val="00067F85"/>
    <w:rsid w:val="00071243"/>
    <w:rsid w:val="00071906"/>
    <w:rsid w:val="00072A6D"/>
    <w:rsid w:val="00077BC4"/>
    <w:rsid w:val="00085D9E"/>
    <w:rsid w:val="00090102"/>
    <w:rsid w:val="000A0B88"/>
    <w:rsid w:val="000A150F"/>
    <w:rsid w:val="000A193A"/>
    <w:rsid w:val="000A3A53"/>
    <w:rsid w:val="000A6B02"/>
    <w:rsid w:val="000A6BCF"/>
    <w:rsid w:val="000A76F1"/>
    <w:rsid w:val="000B6416"/>
    <w:rsid w:val="000B6F71"/>
    <w:rsid w:val="000C0E98"/>
    <w:rsid w:val="000C3185"/>
    <w:rsid w:val="000C674A"/>
    <w:rsid w:val="000C7217"/>
    <w:rsid w:val="000D1A7F"/>
    <w:rsid w:val="000D2783"/>
    <w:rsid w:val="000F56D3"/>
    <w:rsid w:val="000F5B89"/>
    <w:rsid w:val="001028F2"/>
    <w:rsid w:val="00106E13"/>
    <w:rsid w:val="00107BB6"/>
    <w:rsid w:val="00112CEE"/>
    <w:rsid w:val="00117C3F"/>
    <w:rsid w:val="0012183D"/>
    <w:rsid w:val="00125F0B"/>
    <w:rsid w:val="00126271"/>
    <w:rsid w:val="0012659F"/>
    <w:rsid w:val="00127DB5"/>
    <w:rsid w:val="0013023A"/>
    <w:rsid w:val="00133320"/>
    <w:rsid w:val="001343C0"/>
    <w:rsid w:val="0014325E"/>
    <w:rsid w:val="0014439A"/>
    <w:rsid w:val="0014724B"/>
    <w:rsid w:val="00151EA6"/>
    <w:rsid w:val="00156205"/>
    <w:rsid w:val="00163A60"/>
    <w:rsid w:val="0016546C"/>
    <w:rsid w:val="00166EA2"/>
    <w:rsid w:val="001719E3"/>
    <w:rsid w:val="00171D17"/>
    <w:rsid w:val="00171D36"/>
    <w:rsid w:val="001730E1"/>
    <w:rsid w:val="00174AC6"/>
    <w:rsid w:val="00175420"/>
    <w:rsid w:val="00176CB2"/>
    <w:rsid w:val="0018354B"/>
    <w:rsid w:val="00184133"/>
    <w:rsid w:val="001846D8"/>
    <w:rsid w:val="001A30FE"/>
    <w:rsid w:val="001A3439"/>
    <w:rsid w:val="001A68E1"/>
    <w:rsid w:val="001A6A7F"/>
    <w:rsid w:val="001A7231"/>
    <w:rsid w:val="001A7D41"/>
    <w:rsid w:val="001B1210"/>
    <w:rsid w:val="001B2D57"/>
    <w:rsid w:val="001B42C1"/>
    <w:rsid w:val="001C144E"/>
    <w:rsid w:val="001D0E62"/>
    <w:rsid w:val="001E3DE9"/>
    <w:rsid w:val="001E4F58"/>
    <w:rsid w:val="001E69FC"/>
    <w:rsid w:val="001F004D"/>
    <w:rsid w:val="001F0072"/>
    <w:rsid w:val="001F4356"/>
    <w:rsid w:val="001F6940"/>
    <w:rsid w:val="0020233E"/>
    <w:rsid w:val="002030E5"/>
    <w:rsid w:val="00203193"/>
    <w:rsid w:val="00205DB2"/>
    <w:rsid w:val="00205F39"/>
    <w:rsid w:val="00206258"/>
    <w:rsid w:val="002121D7"/>
    <w:rsid w:val="002130ED"/>
    <w:rsid w:val="00213A02"/>
    <w:rsid w:val="002166BB"/>
    <w:rsid w:val="00223CCD"/>
    <w:rsid w:val="002301B4"/>
    <w:rsid w:val="0023149A"/>
    <w:rsid w:val="00232B4D"/>
    <w:rsid w:val="00232EA5"/>
    <w:rsid w:val="0023307F"/>
    <w:rsid w:val="00233CDB"/>
    <w:rsid w:val="002342E8"/>
    <w:rsid w:val="00234A68"/>
    <w:rsid w:val="00235345"/>
    <w:rsid w:val="00236887"/>
    <w:rsid w:val="00240818"/>
    <w:rsid w:val="002441D0"/>
    <w:rsid w:val="00247EBD"/>
    <w:rsid w:val="00250602"/>
    <w:rsid w:val="00261AF2"/>
    <w:rsid w:val="0026678C"/>
    <w:rsid w:val="00272C49"/>
    <w:rsid w:val="002731B1"/>
    <w:rsid w:val="0027384E"/>
    <w:rsid w:val="00274308"/>
    <w:rsid w:val="00276EAD"/>
    <w:rsid w:val="00277B1F"/>
    <w:rsid w:val="00280188"/>
    <w:rsid w:val="0028065B"/>
    <w:rsid w:val="00280696"/>
    <w:rsid w:val="00283435"/>
    <w:rsid w:val="00283A81"/>
    <w:rsid w:val="0028467D"/>
    <w:rsid w:val="00284D83"/>
    <w:rsid w:val="00285418"/>
    <w:rsid w:val="002909AD"/>
    <w:rsid w:val="00292140"/>
    <w:rsid w:val="00296224"/>
    <w:rsid w:val="0029664A"/>
    <w:rsid w:val="002A470E"/>
    <w:rsid w:val="002B2580"/>
    <w:rsid w:val="002B3F0F"/>
    <w:rsid w:val="002B525A"/>
    <w:rsid w:val="002B6227"/>
    <w:rsid w:val="002C10EA"/>
    <w:rsid w:val="002C21ED"/>
    <w:rsid w:val="002C3769"/>
    <w:rsid w:val="002C5BB1"/>
    <w:rsid w:val="002D1DBA"/>
    <w:rsid w:val="002D3A9E"/>
    <w:rsid w:val="002D3E6B"/>
    <w:rsid w:val="002D6C9C"/>
    <w:rsid w:val="002E1C28"/>
    <w:rsid w:val="002E1DFC"/>
    <w:rsid w:val="002F0510"/>
    <w:rsid w:val="002F29D1"/>
    <w:rsid w:val="002F700B"/>
    <w:rsid w:val="003033B2"/>
    <w:rsid w:val="00304067"/>
    <w:rsid w:val="00304AE2"/>
    <w:rsid w:val="00305E8A"/>
    <w:rsid w:val="0031152D"/>
    <w:rsid w:val="00311AFF"/>
    <w:rsid w:val="00320ED9"/>
    <w:rsid w:val="0032258D"/>
    <w:rsid w:val="00325324"/>
    <w:rsid w:val="00325B01"/>
    <w:rsid w:val="0032763C"/>
    <w:rsid w:val="00333A9B"/>
    <w:rsid w:val="00343428"/>
    <w:rsid w:val="00352DF3"/>
    <w:rsid w:val="00353520"/>
    <w:rsid w:val="0035624D"/>
    <w:rsid w:val="003654AA"/>
    <w:rsid w:val="003714C5"/>
    <w:rsid w:val="003722FD"/>
    <w:rsid w:val="003744BC"/>
    <w:rsid w:val="00375B76"/>
    <w:rsid w:val="00380812"/>
    <w:rsid w:val="003855FF"/>
    <w:rsid w:val="00386316"/>
    <w:rsid w:val="00393CFF"/>
    <w:rsid w:val="0039446F"/>
    <w:rsid w:val="003A1256"/>
    <w:rsid w:val="003A1663"/>
    <w:rsid w:val="003A4318"/>
    <w:rsid w:val="003A44CF"/>
    <w:rsid w:val="003B1968"/>
    <w:rsid w:val="003C04B5"/>
    <w:rsid w:val="003C3971"/>
    <w:rsid w:val="003D38D2"/>
    <w:rsid w:val="003D664D"/>
    <w:rsid w:val="003D7C54"/>
    <w:rsid w:val="003E1193"/>
    <w:rsid w:val="003F5099"/>
    <w:rsid w:val="0040070B"/>
    <w:rsid w:val="00405BC6"/>
    <w:rsid w:val="00411AD2"/>
    <w:rsid w:val="004159BF"/>
    <w:rsid w:val="00415F33"/>
    <w:rsid w:val="004229F8"/>
    <w:rsid w:val="004246AB"/>
    <w:rsid w:val="00427F59"/>
    <w:rsid w:val="004317B5"/>
    <w:rsid w:val="0043316C"/>
    <w:rsid w:val="004369B2"/>
    <w:rsid w:val="0044167E"/>
    <w:rsid w:val="004431BD"/>
    <w:rsid w:val="00444F92"/>
    <w:rsid w:val="00445C0F"/>
    <w:rsid w:val="0044749C"/>
    <w:rsid w:val="004538B3"/>
    <w:rsid w:val="004544D2"/>
    <w:rsid w:val="00454F7A"/>
    <w:rsid w:val="0046012D"/>
    <w:rsid w:val="00474EEF"/>
    <w:rsid w:val="0047700D"/>
    <w:rsid w:val="004822D6"/>
    <w:rsid w:val="00485D16"/>
    <w:rsid w:val="00486E31"/>
    <w:rsid w:val="00487A04"/>
    <w:rsid w:val="00487D25"/>
    <w:rsid w:val="004900D0"/>
    <w:rsid w:val="00492774"/>
    <w:rsid w:val="0049352B"/>
    <w:rsid w:val="004A0FA2"/>
    <w:rsid w:val="004A30A9"/>
    <w:rsid w:val="004A5864"/>
    <w:rsid w:val="004A758F"/>
    <w:rsid w:val="004B056A"/>
    <w:rsid w:val="004B06D2"/>
    <w:rsid w:val="004B247B"/>
    <w:rsid w:val="004B263A"/>
    <w:rsid w:val="004C187A"/>
    <w:rsid w:val="004C67B2"/>
    <w:rsid w:val="004D394D"/>
    <w:rsid w:val="004D6D5B"/>
    <w:rsid w:val="004F12C2"/>
    <w:rsid w:val="004F1F14"/>
    <w:rsid w:val="004F2C94"/>
    <w:rsid w:val="004F527E"/>
    <w:rsid w:val="004F6353"/>
    <w:rsid w:val="00500402"/>
    <w:rsid w:val="00502937"/>
    <w:rsid w:val="00503049"/>
    <w:rsid w:val="00504770"/>
    <w:rsid w:val="0050499F"/>
    <w:rsid w:val="00510E7D"/>
    <w:rsid w:val="005119D6"/>
    <w:rsid w:val="00512934"/>
    <w:rsid w:val="00517601"/>
    <w:rsid w:val="00524E56"/>
    <w:rsid w:val="00525379"/>
    <w:rsid w:val="005258CC"/>
    <w:rsid w:val="005259C6"/>
    <w:rsid w:val="005307DD"/>
    <w:rsid w:val="0053272A"/>
    <w:rsid w:val="00541141"/>
    <w:rsid w:val="00541CC6"/>
    <w:rsid w:val="00542124"/>
    <w:rsid w:val="0054344C"/>
    <w:rsid w:val="00543ADE"/>
    <w:rsid w:val="00545FF6"/>
    <w:rsid w:val="00546129"/>
    <w:rsid w:val="00550879"/>
    <w:rsid w:val="005546D3"/>
    <w:rsid w:val="005561E6"/>
    <w:rsid w:val="00560C94"/>
    <w:rsid w:val="0056254F"/>
    <w:rsid w:val="005633BF"/>
    <w:rsid w:val="00566531"/>
    <w:rsid w:val="00567F6F"/>
    <w:rsid w:val="005840B6"/>
    <w:rsid w:val="00584507"/>
    <w:rsid w:val="00585200"/>
    <w:rsid w:val="00585B64"/>
    <w:rsid w:val="00585F65"/>
    <w:rsid w:val="005906C4"/>
    <w:rsid w:val="00592AE3"/>
    <w:rsid w:val="00596840"/>
    <w:rsid w:val="00596F47"/>
    <w:rsid w:val="00597631"/>
    <w:rsid w:val="005A1D14"/>
    <w:rsid w:val="005A5076"/>
    <w:rsid w:val="005A5A37"/>
    <w:rsid w:val="005A5C64"/>
    <w:rsid w:val="005A6697"/>
    <w:rsid w:val="005B22B7"/>
    <w:rsid w:val="005B4A09"/>
    <w:rsid w:val="005C2ABD"/>
    <w:rsid w:val="005C2DF1"/>
    <w:rsid w:val="005C61E3"/>
    <w:rsid w:val="005D0645"/>
    <w:rsid w:val="005D5CB2"/>
    <w:rsid w:val="005E056B"/>
    <w:rsid w:val="005E26F3"/>
    <w:rsid w:val="005E3B60"/>
    <w:rsid w:val="005E5AE3"/>
    <w:rsid w:val="005E6A88"/>
    <w:rsid w:val="005F3251"/>
    <w:rsid w:val="005F73B9"/>
    <w:rsid w:val="006112F6"/>
    <w:rsid w:val="006119A1"/>
    <w:rsid w:val="00617970"/>
    <w:rsid w:val="00632431"/>
    <w:rsid w:val="006358E7"/>
    <w:rsid w:val="00643263"/>
    <w:rsid w:val="00645BC9"/>
    <w:rsid w:val="00647B1B"/>
    <w:rsid w:val="00651B2D"/>
    <w:rsid w:val="006562E0"/>
    <w:rsid w:val="00662CA0"/>
    <w:rsid w:val="00663D43"/>
    <w:rsid w:val="00665314"/>
    <w:rsid w:val="00665490"/>
    <w:rsid w:val="006668A0"/>
    <w:rsid w:val="00666C0C"/>
    <w:rsid w:val="006671FC"/>
    <w:rsid w:val="00667E7D"/>
    <w:rsid w:val="0067092B"/>
    <w:rsid w:val="0067202D"/>
    <w:rsid w:val="0067322B"/>
    <w:rsid w:val="00681548"/>
    <w:rsid w:val="006845B7"/>
    <w:rsid w:val="00686DA3"/>
    <w:rsid w:val="006878C6"/>
    <w:rsid w:val="00694926"/>
    <w:rsid w:val="00694976"/>
    <w:rsid w:val="00696872"/>
    <w:rsid w:val="006A11AC"/>
    <w:rsid w:val="006A293E"/>
    <w:rsid w:val="006A326F"/>
    <w:rsid w:val="006A7F89"/>
    <w:rsid w:val="006B142D"/>
    <w:rsid w:val="006B2115"/>
    <w:rsid w:val="006B2DC9"/>
    <w:rsid w:val="006B4287"/>
    <w:rsid w:val="006C0838"/>
    <w:rsid w:val="006C20CF"/>
    <w:rsid w:val="006C4D67"/>
    <w:rsid w:val="006C62AB"/>
    <w:rsid w:val="006C6FEF"/>
    <w:rsid w:val="006C719C"/>
    <w:rsid w:val="006E2085"/>
    <w:rsid w:val="006E412A"/>
    <w:rsid w:val="006E7B52"/>
    <w:rsid w:val="00700A10"/>
    <w:rsid w:val="00701901"/>
    <w:rsid w:val="007059C6"/>
    <w:rsid w:val="00706313"/>
    <w:rsid w:val="007079D9"/>
    <w:rsid w:val="0071422E"/>
    <w:rsid w:val="007153BD"/>
    <w:rsid w:val="00721279"/>
    <w:rsid w:val="007245B9"/>
    <w:rsid w:val="007253C1"/>
    <w:rsid w:val="00731DBF"/>
    <w:rsid w:val="00732104"/>
    <w:rsid w:val="0073592E"/>
    <w:rsid w:val="0073620D"/>
    <w:rsid w:val="007367C4"/>
    <w:rsid w:val="00742A0A"/>
    <w:rsid w:val="00746D33"/>
    <w:rsid w:val="007505EB"/>
    <w:rsid w:val="00751978"/>
    <w:rsid w:val="00752631"/>
    <w:rsid w:val="00752A06"/>
    <w:rsid w:val="00753A6D"/>
    <w:rsid w:val="00756A78"/>
    <w:rsid w:val="00757D86"/>
    <w:rsid w:val="00765E16"/>
    <w:rsid w:val="00767188"/>
    <w:rsid w:val="00771A61"/>
    <w:rsid w:val="00774E67"/>
    <w:rsid w:val="00776E44"/>
    <w:rsid w:val="00780F05"/>
    <w:rsid w:val="007837A4"/>
    <w:rsid w:val="00783B3F"/>
    <w:rsid w:val="00784413"/>
    <w:rsid w:val="00786848"/>
    <w:rsid w:val="00787650"/>
    <w:rsid w:val="00794CB8"/>
    <w:rsid w:val="00795BDA"/>
    <w:rsid w:val="00796885"/>
    <w:rsid w:val="00796E59"/>
    <w:rsid w:val="00797147"/>
    <w:rsid w:val="007A001E"/>
    <w:rsid w:val="007A4496"/>
    <w:rsid w:val="007A5414"/>
    <w:rsid w:val="007B0193"/>
    <w:rsid w:val="007B2372"/>
    <w:rsid w:val="007B7B6C"/>
    <w:rsid w:val="007C2883"/>
    <w:rsid w:val="007C3A54"/>
    <w:rsid w:val="007C7070"/>
    <w:rsid w:val="007D03DA"/>
    <w:rsid w:val="007D1B7E"/>
    <w:rsid w:val="007D5708"/>
    <w:rsid w:val="007D72AD"/>
    <w:rsid w:val="007E6C75"/>
    <w:rsid w:val="007E7F78"/>
    <w:rsid w:val="007F047A"/>
    <w:rsid w:val="007F1EDB"/>
    <w:rsid w:val="007F201D"/>
    <w:rsid w:val="007F303A"/>
    <w:rsid w:val="007F32B9"/>
    <w:rsid w:val="008023D7"/>
    <w:rsid w:val="008053B2"/>
    <w:rsid w:val="008079EB"/>
    <w:rsid w:val="00815A08"/>
    <w:rsid w:val="00816043"/>
    <w:rsid w:val="00824B32"/>
    <w:rsid w:val="008310F4"/>
    <w:rsid w:val="008313C7"/>
    <w:rsid w:val="008331FB"/>
    <w:rsid w:val="00836902"/>
    <w:rsid w:val="00843663"/>
    <w:rsid w:val="00843AFD"/>
    <w:rsid w:val="00844B59"/>
    <w:rsid w:val="0084646A"/>
    <w:rsid w:val="0085451E"/>
    <w:rsid w:val="008608FC"/>
    <w:rsid w:val="00862FD3"/>
    <w:rsid w:val="00864BD1"/>
    <w:rsid w:val="00865C2B"/>
    <w:rsid w:val="00867305"/>
    <w:rsid w:val="0087130E"/>
    <w:rsid w:val="00874568"/>
    <w:rsid w:val="0087502C"/>
    <w:rsid w:val="008769A0"/>
    <w:rsid w:val="00876B5D"/>
    <w:rsid w:val="008833EC"/>
    <w:rsid w:val="00885312"/>
    <w:rsid w:val="00890063"/>
    <w:rsid w:val="00892C67"/>
    <w:rsid w:val="00893C1F"/>
    <w:rsid w:val="008A0BA7"/>
    <w:rsid w:val="008A388C"/>
    <w:rsid w:val="008A38A0"/>
    <w:rsid w:val="008A5837"/>
    <w:rsid w:val="008A68A8"/>
    <w:rsid w:val="008A7536"/>
    <w:rsid w:val="008B2F04"/>
    <w:rsid w:val="008B627E"/>
    <w:rsid w:val="008B7959"/>
    <w:rsid w:val="008C1BAB"/>
    <w:rsid w:val="008C434C"/>
    <w:rsid w:val="008D2D9E"/>
    <w:rsid w:val="008E0921"/>
    <w:rsid w:val="008E1FAC"/>
    <w:rsid w:val="008E441B"/>
    <w:rsid w:val="008E731F"/>
    <w:rsid w:val="008F04F9"/>
    <w:rsid w:val="008F3FB9"/>
    <w:rsid w:val="00900304"/>
    <w:rsid w:val="00900DB3"/>
    <w:rsid w:val="00901B16"/>
    <w:rsid w:val="0090552E"/>
    <w:rsid w:val="0090638D"/>
    <w:rsid w:val="00906D29"/>
    <w:rsid w:val="00907095"/>
    <w:rsid w:val="00907E8C"/>
    <w:rsid w:val="00907EE4"/>
    <w:rsid w:val="00920261"/>
    <w:rsid w:val="0092098F"/>
    <w:rsid w:val="0092218A"/>
    <w:rsid w:val="0092231D"/>
    <w:rsid w:val="00925166"/>
    <w:rsid w:val="009253C9"/>
    <w:rsid w:val="00930C42"/>
    <w:rsid w:val="009310B9"/>
    <w:rsid w:val="00933948"/>
    <w:rsid w:val="00933EBA"/>
    <w:rsid w:val="00934722"/>
    <w:rsid w:val="0093487E"/>
    <w:rsid w:val="00942B9F"/>
    <w:rsid w:val="0094325B"/>
    <w:rsid w:val="00943F67"/>
    <w:rsid w:val="0094686C"/>
    <w:rsid w:val="00951191"/>
    <w:rsid w:val="00955714"/>
    <w:rsid w:val="00955D91"/>
    <w:rsid w:val="00957476"/>
    <w:rsid w:val="00962FAE"/>
    <w:rsid w:val="00965B97"/>
    <w:rsid w:val="00966AE4"/>
    <w:rsid w:val="0097514C"/>
    <w:rsid w:val="00983615"/>
    <w:rsid w:val="00985966"/>
    <w:rsid w:val="00991CBE"/>
    <w:rsid w:val="0099587C"/>
    <w:rsid w:val="00995E9B"/>
    <w:rsid w:val="00996B8C"/>
    <w:rsid w:val="009A0A1E"/>
    <w:rsid w:val="009A3179"/>
    <w:rsid w:val="009B00CA"/>
    <w:rsid w:val="009C0A72"/>
    <w:rsid w:val="009C7B2D"/>
    <w:rsid w:val="009D5F0F"/>
    <w:rsid w:val="009D6789"/>
    <w:rsid w:val="009E0B81"/>
    <w:rsid w:val="009E0F59"/>
    <w:rsid w:val="009E1574"/>
    <w:rsid w:val="009E6AF8"/>
    <w:rsid w:val="009E7B4D"/>
    <w:rsid w:val="009F0AA4"/>
    <w:rsid w:val="009F21E6"/>
    <w:rsid w:val="009F6D16"/>
    <w:rsid w:val="009F7855"/>
    <w:rsid w:val="00A016C3"/>
    <w:rsid w:val="00A02881"/>
    <w:rsid w:val="00A02F6C"/>
    <w:rsid w:val="00A045E2"/>
    <w:rsid w:val="00A078FF"/>
    <w:rsid w:val="00A127ED"/>
    <w:rsid w:val="00A14481"/>
    <w:rsid w:val="00A156FB"/>
    <w:rsid w:val="00A23B32"/>
    <w:rsid w:val="00A256D4"/>
    <w:rsid w:val="00A259C9"/>
    <w:rsid w:val="00A25AF9"/>
    <w:rsid w:val="00A271C7"/>
    <w:rsid w:val="00A2782D"/>
    <w:rsid w:val="00A30A2C"/>
    <w:rsid w:val="00A3389D"/>
    <w:rsid w:val="00A36995"/>
    <w:rsid w:val="00A413B2"/>
    <w:rsid w:val="00A45722"/>
    <w:rsid w:val="00A45B2D"/>
    <w:rsid w:val="00A47FDA"/>
    <w:rsid w:val="00A51AE5"/>
    <w:rsid w:val="00A54E12"/>
    <w:rsid w:val="00A55113"/>
    <w:rsid w:val="00A6009E"/>
    <w:rsid w:val="00A62884"/>
    <w:rsid w:val="00A65F57"/>
    <w:rsid w:val="00A70F8B"/>
    <w:rsid w:val="00A737C2"/>
    <w:rsid w:val="00A745EF"/>
    <w:rsid w:val="00A864E0"/>
    <w:rsid w:val="00A87078"/>
    <w:rsid w:val="00A87ABE"/>
    <w:rsid w:val="00AA21AA"/>
    <w:rsid w:val="00AA22DE"/>
    <w:rsid w:val="00AB4526"/>
    <w:rsid w:val="00AB54A5"/>
    <w:rsid w:val="00AB5683"/>
    <w:rsid w:val="00AB57D0"/>
    <w:rsid w:val="00AD473A"/>
    <w:rsid w:val="00AE54F6"/>
    <w:rsid w:val="00AF0385"/>
    <w:rsid w:val="00AF424C"/>
    <w:rsid w:val="00AF57D0"/>
    <w:rsid w:val="00AF5F37"/>
    <w:rsid w:val="00B013C4"/>
    <w:rsid w:val="00B03955"/>
    <w:rsid w:val="00B1000C"/>
    <w:rsid w:val="00B1096C"/>
    <w:rsid w:val="00B1286E"/>
    <w:rsid w:val="00B12EB3"/>
    <w:rsid w:val="00B214F9"/>
    <w:rsid w:val="00B23AC9"/>
    <w:rsid w:val="00B241FD"/>
    <w:rsid w:val="00B243A9"/>
    <w:rsid w:val="00B24E50"/>
    <w:rsid w:val="00B24FE1"/>
    <w:rsid w:val="00B32539"/>
    <w:rsid w:val="00B34110"/>
    <w:rsid w:val="00B4681E"/>
    <w:rsid w:val="00B64BD4"/>
    <w:rsid w:val="00B666B2"/>
    <w:rsid w:val="00B67A73"/>
    <w:rsid w:val="00B70707"/>
    <w:rsid w:val="00B72C38"/>
    <w:rsid w:val="00B824EA"/>
    <w:rsid w:val="00B865E0"/>
    <w:rsid w:val="00B96385"/>
    <w:rsid w:val="00B97A36"/>
    <w:rsid w:val="00BB5B31"/>
    <w:rsid w:val="00BD2436"/>
    <w:rsid w:val="00BD2D05"/>
    <w:rsid w:val="00BD5CDD"/>
    <w:rsid w:val="00BD67FD"/>
    <w:rsid w:val="00BE0B3D"/>
    <w:rsid w:val="00BE1116"/>
    <w:rsid w:val="00BE7C4D"/>
    <w:rsid w:val="00BF6E02"/>
    <w:rsid w:val="00C03E09"/>
    <w:rsid w:val="00C05026"/>
    <w:rsid w:val="00C10625"/>
    <w:rsid w:val="00C1149C"/>
    <w:rsid w:val="00C15E62"/>
    <w:rsid w:val="00C171CB"/>
    <w:rsid w:val="00C178F2"/>
    <w:rsid w:val="00C25F3D"/>
    <w:rsid w:val="00C31B0F"/>
    <w:rsid w:val="00C32E20"/>
    <w:rsid w:val="00C34A63"/>
    <w:rsid w:val="00C357B0"/>
    <w:rsid w:val="00C365F0"/>
    <w:rsid w:val="00C36AD7"/>
    <w:rsid w:val="00C40C4E"/>
    <w:rsid w:val="00C41AC2"/>
    <w:rsid w:val="00C47345"/>
    <w:rsid w:val="00C513D0"/>
    <w:rsid w:val="00C521A8"/>
    <w:rsid w:val="00C557F9"/>
    <w:rsid w:val="00C569ED"/>
    <w:rsid w:val="00C607A9"/>
    <w:rsid w:val="00C62286"/>
    <w:rsid w:val="00C624CB"/>
    <w:rsid w:val="00C65499"/>
    <w:rsid w:val="00C66814"/>
    <w:rsid w:val="00C72DA0"/>
    <w:rsid w:val="00C72DA9"/>
    <w:rsid w:val="00C7379D"/>
    <w:rsid w:val="00C76627"/>
    <w:rsid w:val="00C86B50"/>
    <w:rsid w:val="00C930BD"/>
    <w:rsid w:val="00C947C2"/>
    <w:rsid w:val="00C95025"/>
    <w:rsid w:val="00C95529"/>
    <w:rsid w:val="00C95729"/>
    <w:rsid w:val="00CA6915"/>
    <w:rsid w:val="00CB2E5A"/>
    <w:rsid w:val="00CB67F0"/>
    <w:rsid w:val="00CB779C"/>
    <w:rsid w:val="00CC059E"/>
    <w:rsid w:val="00CC525F"/>
    <w:rsid w:val="00CC68FE"/>
    <w:rsid w:val="00CC69FE"/>
    <w:rsid w:val="00CC730E"/>
    <w:rsid w:val="00CC745B"/>
    <w:rsid w:val="00CD1B47"/>
    <w:rsid w:val="00CD234C"/>
    <w:rsid w:val="00CD6F61"/>
    <w:rsid w:val="00CE07DF"/>
    <w:rsid w:val="00CE1498"/>
    <w:rsid w:val="00CE5DBE"/>
    <w:rsid w:val="00CF0360"/>
    <w:rsid w:val="00CF6620"/>
    <w:rsid w:val="00CF6995"/>
    <w:rsid w:val="00CF72D5"/>
    <w:rsid w:val="00D01D49"/>
    <w:rsid w:val="00D06EA2"/>
    <w:rsid w:val="00D1132B"/>
    <w:rsid w:val="00D1554D"/>
    <w:rsid w:val="00D20B04"/>
    <w:rsid w:val="00D2104D"/>
    <w:rsid w:val="00D21EF7"/>
    <w:rsid w:val="00D23C4A"/>
    <w:rsid w:val="00D24398"/>
    <w:rsid w:val="00D2552F"/>
    <w:rsid w:val="00D279E9"/>
    <w:rsid w:val="00D31FDC"/>
    <w:rsid w:val="00D3576F"/>
    <w:rsid w:val="00D36792"/>
    <w:rsid w:val="00D445E3"/>
    <w:rsid w:val="00D4599A"/>
    <w:rsid w:val="00D468CB"/>
    <w:rsid w:val="00D46F0A"/>
    <w:rsid w:val="00D54966"/>
    <w:rsid w:val="00D56B6D"/>
    <w:rsid w:val="00D56E11"/>
    <w:rsid w:val="00D61BBA"/>
    <w:rsid w:val="00D61DD2"/>
    <w:rsid w:val="00D62EEC"/>
    <w:rsid w:val="00D631D8"/>
    <w:rsid w:val="00D71EF1"/>
    <w:rsid w:val="00D725FE"/>
    <w:rsid w:val="00D7420A"/>
    <w:rsid w:val="00D76BCA"/>
    <w:rsid w:val="00D76ED0"/>
    <w:rsid w:val="00D84835"/>
    <w:rsid w:val="00D86085"/>
    <w:rsid w:val="00D864E4"/>
    <w:rsid w:val="00D870D7"/>
    <w:rsid w:val="00D926F5"/>
    <w:rsid w:val="00D95A41"/>
    <w:rsid w:val="00D96634"/>
    <w:rsid w:val="00D96C48"/>
    <w:rsid w:val="00D96D1B"/>
    <w:rsid w:val="00D97EFC"/>
    <w:rsid w:val="00DA015A"/>
    <w:rsid w:val="00DA4962"/>
    <w:rsid w:val="00DA4A19"/>
    <w:rsid w:val="00DA58B9"/>
    <w:rsid w:val="00DA5A1C"/>
    <w:rsid w:val="00DA6C86"/>
    <w:rsid w:val="00DA70A6"/>
    <w:rsid w:val="00DB37E2"/>
    <w:rsid w:val="00DB58DA"/>
    <w:rsid w:val="00DB78BB"/>
    <w:rsid w:val="00DC023D"/>
    <w:rsid w:val="00DC0370"/>
    <w:rsid w:val="00DC1273"/>
    <w:rsid w:val="00DD1016"/>
    <w:rsid w:val="00DD47C8"/>
    <w:rsid w:val="00DD49B6"/>
    <w:rsid w:val="00DD5E73"/>
    <w:rsid w:val="00DD6926"/>
    <w:rsid w:val="00DE002F"/>
    <w:rsid w:val="00DE3EE8"/>
    <w:rsid w:val="00DE4554"/>
    <w:rsid w:val="00DE5F35"/>
    <w:rsid w:val="00DE6036"/>
    <w:rsid w:val="00DE6610"/>
    <w:rsid w:val="00DF300E"/>
    <w:rsid w:val="00DF5521"/>
    <w:rsid w:val="00DF6772"/>
    <w:rsid w:val="00E0686D"/>
    <w:rsid w:val="00E1099B"/>
    <w:rsid w:val="00E137C0"/>
    <w:rsid w:val="00E141B2"/>
    <w:rsid w:val="00E163C4"/>
    <w:rsid w:val="00E17E51"/>
    <w:rsid w:val="00E208B9"/>
    <w:rsid w:val="00E404DB"/>
    <w:rsid w:val="00E4130D"/>
    <w:rsid w:val="00E42943"/>
    <w:rsid w:val="00E43215"/>
    <w:rsid w:val="00E52099"/>
    <w:rsid w:val="00E52FB5"/>
    <w:rsid w:val="00E541D6"/>
    <w:rsid w:val="00E544F6"/>
    <w:rsid w:val="00E54EF5"/>
    <w:rsid w:val="00E569E8"/>
    <w:rsid w:val="00E57FCE"/>
    <w:rsid w:val="00E60E6E"/>
    <w:rsid w:val="00E65755"/>
    <w:rsid w:val="00E70959"/>
    <w:rsid w:val="00E71451"/>
    <w:rsid w:val="00E718B7"/>
    <w:rsid w:val="00E71B57"/>
    <w:rsid w:val="00E72CE0"/>
    <w:rsid w:val="00E73815"/>
    <w:rsid w:val="00E74E50"/>
    <w:rsid w:val="00E80A81"/>
    <w:rsid w:val="00E82DCB"/>
    <w:rsid w:val="00E84B9F"/>
    <w:rsid w:val="00E86166"/>
    <w:rsid w:val="00E862B5"/>
    <w:rsid w:val="00E8633C"/>
    <w:rsid w:val="00E8652F"/>
    <w:rsid w:val="00E877B0"/>
    <w:rsid w:val="00E908BC"/>
    <w:rsid w:val="00E92316"/>
    <w:rsid w:val="00E96220"/>
    <w:rsid w:val="00E96997"/>
    <w:rsid w:val="00EA09C1"/>
    <w:rsid w:val="00EA2C51"/>
    <w:rsid w:val="00EA365B"/>
    <w:rsid w:val="00EA6DDF"/>
    <w:rsid w:val="00EB1C58"/>
    <w:rsid w:val="00EB387F"/>
    <w:rsid w:val="00EB5637"/>
    <w:rsid w:val="00EC100E"/>
    <w:rsid w:val="00EC5E31"/>
    <w:rsid w:val="00EC6231"/>
    <w:rsid w:val="00ED0CC5"/>
    <w:rsid w:val="00ED29E7"/>
    <w:rsid w:val="00ED4614"/>
    <w:rsid w:val="00ED47C4"/>
    <w:rsid w:val="00ED7D50"/>
    <w:rsid w:val="00EE1D30"/>
    <w:rsid w:val="00EE24A7"/>
    <w:rsid w:val="00EE2F22"/>
    <w:rsid w:val="00EE5754"/>
    <w:rsid w:val="00EE6D99"/>
    <w:rsid w:val="00EF282C"/>
    <w:rsid w:val="00EF324E"/>
    <w:rsid w:val="00EF65CD"/>
    <w:rsid w:val="00EF7BBB"/>
    <w:rsid w:val="00F01460"/>
    <w:rsid w:val="00F0244D"/>
    <w:rsid w:val="00F0402E"/>
    <w:rsid w:val="00F0451B"/>
    <w:rsid w:val="00F04F71"/>
    <w:rsid w:val="00F0661D"/>
    <w:rsid w:val="00F1174D"/>
    <w:rsid w:val="00F12A40"/>
    <w:rsid w:val="00F13596"/>
    <w:rsid w:val="00F143AE"/>
    <w:rsid w:val="00F16D0A"/>
    <w:rsid w:val="00F17392"/>
    <w:rsid w:val="00F17467"/>
    <w:rsid w:val="00F2490D"/>
    <w:rsid w:val="00F3363B"/>
    <w:rsid w:val="00F33780"/>
    <w:rsid w:val="00F34CB6"/>
    <w:rsid w:val="00F3572D"/>
    <w:rsid w:val="00F3756E"/>
    <w:rsid w:val="00F40FC7"/>
    <w:rsid w:val="00F437F3"/>
    <w:rsid w:val="00F43C52"/>
    <w:rsid w:val="00F43CFB"/>
    <w:rsid w:val="00F447CF"/>
    <w:rsid w:val="00F46D80"/>
    <w:rsid w:val="00F50AA1"/>
    <w:rsid w:val="00F561D7"/>
    <w:rsid w:val="00F564CD"/>
    <w:rsid w:val="00F56EA8"/>
    <w:rsid w:val="00F57E68"/>
    <w:rsid w:val="00F611EC"/>
    <w:rsid w:val="00F61F43"/>
    <w:rsid w:val="00F62F8F"/>
    <w:rsid w:val="00F637F1"/>
    <w:rsid w:val="00F70A14"/>
    <w:rsid w:val="00F719FE"/>
    <w:rsid w:val="00F73424"/>
    <w:rsid w:val="00F76B7F"/>
    <w:rsid w:val="00F7764D"/>
    <w:rsid w:val="00F779B3"/>
    <w:rsid w:val="00F81E8D"/>
    <w:rsid w:val="00F8287F"/>
    <w:rsid w:val="00F84618"/>
    <w:rsid w:val="00F86147"/>
    <w:rsid w:val="00F9141E"/>
    <w:rsid w:val="00F9283B"/>
    <w:rsid w:val="00F92F50"/>
    <w:rsid w:val="00F943FB"/>
    <w:rsid w:val="00FA2F18"/>
    <w:rsid w:val="00FA679D"/>
    <w:rsid w:val="00FB7381"/>
    <w:rsid w:val="00FC02B0"/>
    <w:rsid w:val="00FC0FAB"/>
    <w:rsid w:val="00FC183C"/>
    <w:rsid w:val="00FC5432"/>
    <w:rsid w:val="00FC6921"/>
    <w:rsid w:val="00FD2B16"/>
    <w:rsid w:val="00FD37A7"/>
    <w:rsid w:val="00FE1195"/>
    <w:rsid w:val="00FE2432"/>
    <w:rsid w:val="00FE3E56"/>
    <w:rsid w:val="00FE478C"/>
    <w:rsid w:val="00FE5D69"/>
    <w:rsid w:val="00FF2742"/>
    <w:rsid w:val="00FF576C"/>
    <w:rsid w:val="00FF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F1D1C"/>
  <w15:docId w15:val="{40CD0304-0C86-4B45-B42A-525D562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168:0024:01:LV: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da.Barbara@fm.gov.lv" TargetMode="External"/><Relationship Id="rId4" Type="http://schemas.openxmlformats.org/officeDocument/2006/relationships/settings" Target="settings.xml"/><Relationship Id="rId9" Type="http://schemas.openxmlformats.org/officeDocument/2006/relationships/hyperlink" Target="http://eur-lex.europa.eu/LexUriServ/LexUriServ.do?uri=OJ:L:2009:168:0024:01:LV: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page.php?id=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E8B758-9060-4C4E-8DD2-53D24A61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63539</Words>
  <Characters>36218</Characters>
  <Application>Microsoft Office Word</Application>
  <DocSecurity>0</DocSecurity>
  <Lines>301</Lines>
  <Paragraphs>199</Paragraphs>
  <ScaleCrop>false</ScaleCrop>
  <HeadingPairs>
    <vt:vector size="2" baseType="variant">
      <vt:variant>
        <vt:lpstr>Title</vt:lpstr>
      </vt:variant>
      <vt:variant>
        <vt:i4>1</vt:i4>
      </vt:variant>
    </vt:vector>
  </HeadingPairs>
  <TitlesOfParts>
    <vt:vector size="1" baseType="lpstr">
      <vt:lpstr>Likumprojekta „Eiropas Savienības struktūrfondu un Kohēzijas fonda 2014.-2020.gada plānošanas perioda vadības likums” sākotnējās ietekmes novērtējuma ziņojums (anotācija)</vt:lpstr>
    </vt:vector>
  </TitlesOfParts>
  <Company>CFLA</Company>
  <LinksUpToDate>false</LinksUpToDate>
  <CharactersWithSpaces>99558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Savienības struktūrfondu un Kohēzijas fonda 2014.-2020.gada plānošanas perioda vadības likums” sākotnējās ietekmes novērtējuma ziņojums (anotācija)</dc:title>
  <dc:subject>Anotācija</dc:subject>
  <dc:creator>Linda Barbara</dc:creator>
  <dc:description>L.Barbara
Tālr. 67083861</dc:description>
  <cp:lastModifiedBy>Linda Barbara</cp:lastModifiedBy>
  <cp:revision>9</cp:revision>
  <cp:lastPrinted>2013-04-23T07:30:00Z</cp:lastPrinted>
  <dcterms:created xsi:type="dcterms:W3CDTF">2014-05-29T19:14:00Z</dcterms:created>
  <dcterms:modified xsi:type="dcterms:W3CDTF">2014-05-30T05:55:00Z</dcterms:modified>
</cp:coreProperties>
</file>