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F1" w:rsidRDefault="006C4EB7" w:rsidP="00A7297A">
      <w:pPr>
        <w:jc w:val="center"/>
        <w:rPr>
          <w:b/>
        </w:rPr>
      </w:pPr>
      <w:r w:rsidRPr="001910F3">
        <w:rPr>
          <w:b/>
        </w:rPr>
        <w:t xml:space="preserve">Ministru kabineta noteikumu projekta </w:t>
      </w:r>
      <w:r w:rsidR="00A7297A" w:rsidRPr="001910F3">
        <w:rPr>
          <w:b/>
        </w:rPr>
        <w:t>„Grozījum</w:t>
      </w:r>
      <w:r w:rsidR="00422444">
        <w:rPr>
          <w:b/>
        </w:rPr>
        <w:t>s</w:t>
      </w:r>
      <w:r w:rsidR="00A7297A" w:rsidRPr="001910F3">
        <w:rPr>
          <w:b/>
        </w:rPr>
        <w:t xml:space="preserve"> Ministru kabineta 2012.gada 29.maija noteikumos Nr.375 </w:t>
      </w:r>
      <w:r w:rsidR="005D21BF">
        <w:rPr>
          <w:b/>
        </w:rPr>
        <w:t>„</w:t>
      </w:r>
      <w:r w:rsidR="00A7297A" w:rsidRPr="001910F3">
        <w:rPr>
          <w:b/>
        </w:rPr>
        <w:t>Saimnieciskā gada pārskata sagatavošanas kārtība””</w:t>
      </w:r>
      <w:r w:rsidR="00C92DBC" w:rsidRPr="001910F3">
        <w:rPr>
          <w:b/>
        </w:rPr>
        <w:t xml:space="preserve"> </w:t>
      </w:r>
      <w:r w:rsidR="000F41F1" w:rsidRPr="001910F3">
        <w:rPr>
          <w:b/>
        </w:rPr>
        <w:t>sākotnējās ietekmes novērtējuma ziņojums (anotācija)</w:t>
      </w:r>
    </w:p>
    <w:p w:rsidR="001609FF" w:rsidRPr="001910F3" w:rsidRDefault="001609FF" w:rsidP="00A7297A">
      <w:pPr>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543"/>
        <w:gridCol w:w="6229"/>
      </w:tblGrid>
      <w:tr w:rsidR="006C4EB7" w:rsidRPr="001910F3" w:rsidTr="00A83BDB">
        <w:tc>
          <w:tcPr>
            <w:tcW w:w="9288" w:type="dxa"/>
            <w:gridSpan w:val="3"/>
            <w:shd w:val="clear" w:color="auto" w:fill="auto"/>
          </w:tcPr>
          <w:p w:rsidR="006C4EB7" w:rsidRPr="001910F3" w:rsidRDefault="006C4EB7" w:rsidP="001F20CA">
            <w:pPr>
              <w:pStyle w:val="NormalWeb"/>
            </w:pPr>
            <w:r w:rsidRPr="001910F3">
              <w:rPr>
                <w:b/>
                <w:bCs/>
              </w:rPr>
              <w:t>I. Tiesību akta projekta izstrādes nepieciešamība</w:t>
            </w:r>
          </w:p>
        </w:tc>
      </w:tr>
      <w:tr w:rsidR="0049512E" w:rsidRPr="001910F3" w:rsidTr="001609FF">
        <w:tc>
          <w:tcPr>
            <w:tcW w:w="516" w:type="dxa"/>
            <w:shd w:val="clear" w:color="auto" w:fill="auto"/>
          </w:tcPr>
          <w:p w:rsidR="0049512E" w:rsidRPr="001910F3" w:rsidRDefault="0049512E" w:rsidP="001F20CA">
            <w:pPr>
              <w:pStyle w:val="NormalWeb"/>
            </w:pPr>
            <w:r w:rsidRPr="001910F3">
              <w:t>1.</w:t>
            </w:r>
          </w:p>
        </w:tc>
        <w:tc>
          <w:tcPr>
            <w:tcW w:w="2543" w:type="dxa"/>
            <w:shd w:val="clear" w:color="auto" w:fill="auto"/>
          </w:tcPr>
          <w:p w:rsidR="0049512E" w:rsidRPr="001910F3" w:rsidRDefault="0049512E" w:rsidP="001F20CA">
            <w:pPr>
              <w:pStyle w:val="NormalWeb"/>
            </w:pPr>
            <w:r w:rsidRPr="001910F3">
              <w:t>Pamatojums</w:t>
            </w:r>
          </w:p>
        </w:tc>
        <w:tc>
          <w:tcPr>
            <w:tcW w:w="6229" w:type="dxa"/>
            <w:shd w:val="clear" w:color="auto" w:fill="auto"/>
          </w:tcPr>
          <w:p w:rsidR="00C9406F" w:rsidRPr="009473B4" w:rsidRDefault="005D21BF" w:rsidP="009473B4">
            <w:pPr>
              <w:pStyle w:val="tv2131"/>
              <w:spacing w:line="240" w:lineRule="auto"/>
              <w:ind w:firstLine="0"/>
              <w:jc w:val="both"/>
              <w:rPr>
                <w:sz w:val="24"/>
                <w:szCs w:val="24"/>
              </w:rPr>
            </w:pPr>
            <w:r w:rsidRPr="009473B4">
              <w:rPr>
                <w:color w:val="auto"/>
                <w:sz w:val="24"/>
                <w:szCs w:val="24"/>
              </w:rPr>
              <w:t>Likuma par budžetu un finanšu vadību 31.panta otrā daļa</w:t>
            </w:r>
            <w:r w:rsidR="00A41A7A" w:rsidRPr="009473B4">
              <w:rPr>
                <w:color w:val="auto"/>
                <w:sz w:val="24"/>
                <w:szCs w:val="24"/>
              </w:rPr>
              <w:t xml:space="preserve"> nosaka, ka Ministru kabinets nosaka kārtību un apjomu, kādā Finanšu ministrija sagatavo saimnieciskā gada pārskatu, tajā ietverot Finanšu ministrijas vadības ziņojumu par saimnieciskā gada pārskatu, valsts konsolidēto grāmatvedības bilanci un tās pielikumus, pārskatu par konsolidētā kopbudžeta izpildi un tā pielikumus un pārskatu par valsts konsolidēto parādu un tā pielikumus</w:t>
            </w:r>
            <w:r w:rsidR="009473B4" w:rsidRPr="009473B4">
              <w:rPr>
                <w:color w:val="auto"/>
                <w:sz w:val="24"/>
                <w:szCs w:val="24"/>
              </w:rPr>
              <w:t>, t.sk.</w:t>
            </w:r>
            <w:r w:rsidR="004A05B3" w:rsidRPr="009473B4" w:rsidDel="004A05B3">
              <w:rPr>
                <w:color w:val="auto"/>
                <w:sz w:val="24"/>
                <w:szCs w:val="24"/>
              </w:rPr>
              <w:t xml:space="preserve"> </w:t>
            </w:r>
            <w:r w:rsidR="009473B4" w:rsidRPr="009473B4">
              <w:rPr>
                <w:color w:val="auto"/>
                <w:sz w:val="24"/>
                <w:szCs w:val="24"/>
              </w:rPr>
              <w:t>pārskata „Valsts budžeta, no valsts budžeta daļēji finansētu atvasinātu publisku personu budžetu un budžeta nefinansētu iestāžu budžetu izpilde saimnieciskajā gadā”, kas ir pārskat</w:t>
            </w:r>
            <w:r w:rsidR="009473B4">
              <w:rPr>
                <w:color w:val="auto"/>
                <w:sz w:val="24"/>
                <w:szCs w:val="24"/>
              </w:rPr>
              <w:t>a</w:t>
            </w:r>
            <w:r w:rsidR="009473B4" w:rsidRPr="009473B4">
              <w:rPr>
                <w:color w:val="auto"/>
                <w:sz w:val="24"/>
                <w:szCs w:val="24"/>
              </w:rPr>
              <w:t xml:space="preserve"> par konsolidētā kopbudžeta izpildi  pielikums, sagatavošanas kārtību. </w:t>
            </w:r>
          </w:p>
        </w:tc>
      </w:tr>
      <w:tr w:rsidR="0049512E" w:rsidRPr="001910F3" w:rsidTr="00D037B5">
        <w:trPr>
          <w:trHeight w:val="2104"/>
        </w:trPr>
        <w:tc>
          <w:tcPr>
            <w:tcW w:w="516" w:type="dxa"/>
            <w:shd w:val="clear" w:color="auto" w:fill="auto"/>
          </w:tcPr>
          <w:p w:rsidR="0049512E" w:rsidRPr="001910F3" w:rsidRDefault="0049512E" w:rsidP="001F20CA">
            <w:pPr>
              <w:pStyle w:val="NormalWeb"/>
            </w:pPr>
            <w:r w:rsidRPr="001910F3">
              <w:t>2.</w:t>
            </w:r>
          </w:p>
        </w:tc>
        <w:tc>
          <w:tcPr>
            <w:tcW w:w="2543" w:type="dxa"/>
            <w:shd w:val="clear" w:color="auto" w:fill="auto"/>
          </w:tcPr>
          <w:p w:rsidR="0049512E" w:rsidRPr="001910F3" w:rsidRDefault="00C20814" w:rsidP="001F20CA">
            <w:pPr>
              <w:pStyle w:val="NormalWeb"/>
            </w:pPr>
            <w:r w:rsidRPr="00AD3EFF">
              <w:t xml:space="preserve"> Pašreizējā situācija un problēmas, kuru risināšanai tiesību akta projekts izstrādāts, tiesiskā regulējuma mērķis un būtība</w:t>
            </w:r>
          </w:p>
        </w:tc>
        <w:tc>
          <w:tcPr>
            <w:tcW w:w="6229" w:type="dxa"/>
            <w:shd w:val="clear" w:color="auto" w:fill="auto"/>
          </w:tcPr>
          <w:p w:rsidR="005D21BF" w:rsidRDefault="003023FA" w:rsidP="00DD330A">
            <w:pPr>
              <w:pStyle w:val="NormalWeb"/>
              <w:spacing w:before="0" w:beforeAutospacing="0" w:after="0" w:afterAutospacing="0"/>
              <w:jc w:val="both"/>
            </w:pPr>
            <w:r w:rsidRPr="00D037B5">
              <w:t>Ministru kabine</w:t>
            </w:r>
            <w:r>
              <w:t>ta 2012.gada 29.maija noteikumu</w:t>
            </w:r>
            <w:r w:rsidRPr="00D037B5">
              <w:t xml:space="preserve"> Nr.375 „Noteikumi par saimnieciskā gada pārskata sagatavošanas kārtību” (turpmāk</w:t>
            </w:r>
            <w:r w:rsidRPr="001910F3">
              <w:t xml:space="preserve"> – </w:t>
            </w:r>
            <w:r w:rsidRPr="00D037B5">
              <w:t xml:space="preserve">MK noteikumi) </w:t>
            </w:r>
            <w:r w:rsidR="005D21BF">
              <w:t xml:space="preserve">35.punktā </w:t>
            </w:r>
            <w:r w:rsidR="00E163D9">
              <w:t xml:space="preserve">jānosaka </w:t>
            </w:r>
            <w:r w:rsidR="005D21BF" w:rsidRPr="00507DCC">
              <w:t xml:space="preserve">pārskata </w:t>
            </w:r>
            <w:r w:rsidR="005D21BF">
              <w:t>„</w:t>
            </w:r>
            <w:r w:rsidR="005D21BF" w:rsidRPr="00507DCC">
              <w:t>Valsts budžeta, no valsts budžeta daļēji finansētu atvasinātu publisku personu budžetu un budžeta nefinansēt</w:t>
            </w:r>
            <w:r w:rsidR="005D21BF">
              <w:t>u</w:t>
            </w:r>
            <w:r w:rsidR="005D21BF" w:rsidRPr="00507DCC">
              <w:t xml:space="preserve"> iestāžu budžetu izpilde saimnieciskā gadā</w:t>
            </w:r>
            <w:r w:rsidR="005D21BF">
              <w:t>”</w:t>
            </w:r>
            <w:r w:rsidR="005D21BF" w:rsidRPr="00507DCC">
              <w:t xml:space="preserve"> sagatavošanas kārtīb</w:t>
            </w:r>
            <w:r w:rsidR="00E163D9">
              <w:t>a, atbilstoši MK noteikumu 1.pielikuma formai</w:t>
            </w:r>
            <w:r w:rsidR="00D037B5">
              <w:t>,</w:t>
            </w:r>
            <w:r w:rsidR="005D21BF">
              <w:t xml:space="preserve"> tādējādi izslēdzot no pašreizējās MK noteikumu 35.punkta redakcijas visus apakšpunktus un izsakot 35.punktu jaunā redakcijā.</w:t>
            </w:r>
          </w:p>
          <w:p w:rsidR="00C20814" w:rsidRPr="007800C5" w:rsidRDefault="003023FA" w:rsidP="004A05B3">
            <w:pPr>
              <w:pStyle w:val="NormalWeb"/>
              <w:spacing w:before="0" w:beforeAutospacing="0" w:after="0" w:afterAutospacing="0"/>
              <w:jc w:val="both"/>
              <w:rPr>
                <w:b/>
                <w:lang w:eastAsia="en-US"/>
              </w:rPr>
            </w:pPr>
            <w:r>
              <w:t xml:space="preserve">Ministru kabineta noteikumu projekts „Grozījums Ministru kabineta 2012.gada 29.maija noteikumos Nr.375 „Saimnieciskā gada pārskata sagatavošanas kārtība”” (turpmāk – noteikumu projekts) </w:t>
            </w:r>
            <w:r w:rsidRPr="00D037B5">
              <w:t xml:space="preserve">izstrādāts, lai precizētu informāciju par </w:t>
            </w:r>
            <w:r>
              <w:t xml:space="preserve">MK noteikumu </w:t>
            </w:r>
            <w:r w:rsidRPr="00D037B5">
              <w:t xml:space="preserve">35.punktā minētā </w:t>
            </w:r>
            <w:r>
              <w:t>pārskata „</w:t>
            </w:r>
            <w:r w:rsidRPr="00D037B5">
              <w:t>Valsts budžeta, no valsts budžeta daļēji finansētu atvasinātu publisku personu budžetu un budžeta nefinansētu iestāžu budžetu izpilde saimnieciskajā gadā</w:t>
            </w:r>
            <w:r>
              <w:t>”</w:t>
            </w:r>
            <w:r w:rsidRPr="00D037B5">
              <w:t xml:space="preserve"> sagatavošanas kārtību.</w:t>
            </w:r>
            <w:r w:rsidR="004A05B3" w:rsidDel="004A05B3">
              <w:t xml:space="preserve"> </w:t>
            </w:r>
          </w:p>
        </w:tc>
      </w:tr>
      <w:tr w:rsidR="009D64B9" w:rsidRPr="001910F3" w:rsidTr="001609FF">
        <w:tc>
          <w:tcPr>
            <w:tcW w:w="516" w:type="dxa"/>
            <w:shd w:val="clear" w:color="auto" w:fill="auto"/>
          </w:tcPr>
          <w:p w:rsidR="009D64B9" w:rsidRPr="001910F3" w:rsidRDefault="00C20814" w:rsidP="001F20CA">
            <w:pPr>
              <w:pStyle w:val="NormalWeb"/>
            </w:pPr>
            <w:r>
              <w:t>3</w:t>
            </w:r>
            <w:r w:rsidR="009D64B9" w:rsidRPr="001910F3">
              <w:t>.</w:t>
            </w:r>
          </w:p>
        </w:tc>
        <w:tc>
          <w:tcPr>
            <w:tcW w:w="2543" w:type="dxa"/>
            <w:shd w:val="clear" w:color="auto" w:fill="auto"/>
          </w:tcPr>
          <w:p w:rsidR="009D64B9" w:rsidRPr="001910F3" w:rsidRDefault="009D64B9" w:rsidP="001F20CA">
            <w:pPr>
              <w:pStyle w:val="NormalWeb"/>
            </w:pPr>
            <w:r w:rsidRPr="001910F3">
              <w:t>Projekta izstrādē iesaistītās institūcijas</w:t>
            </w:r>
          </w:p>
        </w:tc>
        <w:tc>
          <w:tcPr>
            <w:tcW w:w="6229" w:type="dxa"/>
            <w:shd w:val="clear" w:color="auto" w:fill="auto"/>
          </w:tcPr>
          <w:p w:rsidR="009D64B9" w:rsidRPr="001910F3" w:rsidRDefault="005D21BF" w:rsidP="00845533">
            <w:pPr>
              <w:pStyle w:val="NormalWeb"/>
              <w:spacing w:before="0" w:beforeAutospacing="0" w:after="0" w:afterAutospacing="0"/>
              <w:jc w:val="both"/>
            </w:pPr>
            <w:r>
              <w:t>Noteikumu p</w:t>
            </w:r>
            <w:r w:rsidR="00816723" w:rsidRPr="001910F3">
              <w:t>rojekts šo jomu neskar</w:t>
            </w:r>
            <w:r>
              <w:t>.</w:t>
            </w:r>
          </w:p>
        </w:tc>
      </w:tr>
      <w:tr w:rsidR="009D64B9" w:rsidRPr="001910F3" w:rsidTr="001609FF">
        <w:tc>
          <w:tcPr>
            <w:tcW w:w="516" w:type="dxa"/>
            <w:shd w:val="clear" w:color="auto" w:fill="auto"/>
          </w:tcPr>
          <w:p w:rsidR="009D64B9" w:rsidRPr="001910F3" w:rsidRDefault="00C20814" w:rsidP="00C20814">
            <w:pPr>
              <w:pStyle w:val="NormalWeb"/>
            </w:pPr>
            <w:r>
              <w:t>4</w:t>
            </w:r>
            <w:r w:rsidR="009D64B9" w:rsidRPr="001910F3">
              <w:t>.</w:t>
            </w:r>
          </w:p>
        </w:tc>
        <w:tc>
          <w:tcPr>
            <w:tcW w:w="2543" w:type="dxa"/>
            <w:shd w:val="clear" w:color="auto" w:fill="auto"/>
          </w:tcPr>
          <w:p w:rsidR="009D64B9" w:rsidRPr="001910F3" w:rsidRDefault="009D64B9" w:rsidP="001F20CA">
            <w:pPr>
              <w:pStyle w:val="NormalWeb"/>
            </w:pPr>
            <w:r w:rsidRPr="001910F3">
              <w:t>Cita informācija</w:t>
            </w:r>
          </w:p>
        </w:tc>
        <w:tc>
          <w:tcPr>
            <w:tcW w:w="6229" w:type="dxa"/>
            <w:shd w:val="clear" w:color="auto" w:fill="auto"/>
          </w:tcPr>
          <w:p w:rsidR="000A5D04" w:rsidRPr="001910F3" w:rsidRDefault="005D21BF" w:rsidP="00323F5C">
            <w:pPr>
              <w:pStyle w:val="tv213"/>
              <w:rPr>
                <w:b/>
                <w:lang w:val="lv-LV"/>
              </w:rPr>
            </w:pPr>
            <w:r>
              <w:rPr>
                <w:lang w:val="lv-LV"/>
              </w:rPr>
              <w:t>Nav.</w:t>
            </w:r>
            <w:r w:rsidR="00770C93" w:rsidRPr="001910F3">
              <w:rPr>
                <w:lang w:val="lv-LV"/>
              </w:rPr>
              <w:t xml:space="preserve"> </w:t>
            </w:r>
          </w:p>
        </w:tc>
      </w:tr>
    </w:tbl>
    <w:p w:rsidR="000F41F1" w:rsidRPr="001910F3"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975"/>
        <w:gridCol w:w="6736"/>
      </w:tblGrid>
      <w:tr w:rsidR="006C4EB7" w:rsidRPr="001910F3" w:rsidTr="001609FF">
        <w:tc>
          <w:tcPr>
            <w:tcW w:w="9287" w:type="dxa"/>
            <w:gridSpan w:val="3"/>
            <w:shd w:val="clear" w:color="auto" w:fill="auto"/>
          </w:tcPr>
          <w:p w:rsidR="006C4EB7" w:rsidRPr="001910F3" w:rsidRDefault="006C4EB7" w:rsidP="00A83BDB">
            <w:pPr>
              <w:pStyle w:val="NormalWeb"/>
              <w:jc w:val="center"/>
            </w:pPr>
            <w:r w:rsidRPr="001910F3">
              <w:rPr>
                <w:b/>
                <w:bCs/>
              </w:rPr>
              <w:t>II. Tiesību akta projekta ietekme uz sabiedrību</w:t>
            </w:r>
            <w:r w:rsidR="00BA09FD" w:rsidRPr="00AD3EFF">
              <w:rPr>
                <w:b/>
                <w:bCs/>
              </w:rPr>
              <w:t>, tautsaimniecības attīstību un administratīvo slogu</w:t>
            </w:r>
          </w:p>
        </w:tc>
      </w:tr>
      <w:tr w:rsidR="006C4EB7" w:rsidRPr="001910F3" w:rsidTr="001609FF">
        <w:tc>
          <w:tcPr>
            <w:tcW w:w="576" w:type="dxa"/>
            <w:shd w:val="clear" w:color="auto" w:fill="auto"/>
          </w:tcPr>
          <w:p w:rsidR="006C4EB7" w:rsidRPr="001910F3" w:rsidRDefault="006C4EB7" w:rsidP="001F20CA">
            <w:pPr>
              <w:pStyle w:val="NormalWeb"/>
            </w:pPr>
            <w:r w:rsidRPr="001910F3">
              <w:t>1.</w:t>
            </w:r>
          </w:p>
        </w:tc>
        <w:tc>
          <w:tcPr>
            <w:tcW w:w="1975" w:type="dxa"/>
            <w:shd w:val="clear" w:color="auto" w:fill="auto"/>
          </w:tcPr>
          <w:p w:rsidR="006C4EB7" w:rsidRPr="001910F3" w:rsidRDefault="006C4EB7" w:rsidP="001F20CA">
            <w:pPr>
              <w:pStyle w:val="NormalWeb"/>
            </w:pPr>
            <w:r w:rsidRPr="001910F3">
              <w:t xml:space="preserve">Sabiedrības </w:t>
            </w:r>
            <w:proofErr w:type="spellStart"/>
            <w:r w:rsidRPr="001910F3">
              <w:t>mērķgrupa</w:t>
            </w:r>
            <w:proofErr w:type="spellEnd"/>
            <w:r w:rsidR="00BA09FD" w:rsidRPr="00AD3EFF">
              <w:t xml:space="preserve"> kuras tiesiskais regulējums ietekmē vai varētu ietekmēt</w:t>
            </w:r>
          </w:p>
        </w:tc>
        <w:tc>
          <w:tcPr>
            <w:tcW w:w="6736" w:type="dxa"/>
            <w:shd w:val="clear" w:color="auto" w:fill="auto"/>
          </w:tcPr>
          <w:p w:rsidR="006C4EB7" w:rsidRPr="001910F3" w:rsidRDefault="005D21BF" w:rsidP="0086687F">
            <w:pPr>
              <w:pStyle w:val="NormalWeb"/>
              <w:jc w:val="both"/>
            </w:pPr>
            <w:r>
              <w:t>Noteikumu p</w:t>
            </w:r>
            <w:r w:rsidR="00816723" w:rsidRPr="001910F3">
              <w:t>rojekts attiecināms uz Valsts kases darbiniekiem, kuri sagatavos saimnieciskā gada pārskatu – aptuveni 18 darbinieki.</w:t>
            </w:r>
          </w:p>
        </w:tc>
      </w:tr>
      <w:tr w:rsidR="006C4EB7" w:rsidRPr="001910F3" w:rsidTr="001609FF">
        <w:tc>
          <w:tcPr>
            <w:tcW w:w="576" w:type="dxa"/>
            <w:shd w:val="clear" w:color="auto" w:fill="auto"/>
          </w:tcPr>
          <w:p w:rsidR="006C4EB7" w:rsidRPr="001910F3" w:rsidRDefault="00BA09FD" w:rsidP="001F20CA">
            <w:pPr>
              <w:pStyle w:val="NormalWeb"/>
            </w:pPr>
            <w:r>
              <w:t>2.</w:t>
            </w:r>
            <w:r w:rsidR="006C4EB7" w:rsidRPr="001910F3">
              <w:t>.</w:t>
            </w:r>
          </w:p>
        </w:tc>
        <w:tc>
          <w:tcPr>
            <w:tcW w:w="1975" w:type="dxa"/>
            <w:shd w:val="clear" w:color="auto" w:fill="auto"/>
          </w:tcPr>
          <w:p w:rsidR="006C4EB7" w:rsidRPr="001910F3" w:rsidRDefault="00BA09FD" w:rsidP="001F20CA">
            <w:pPr>
              <w:pStyle w:val="NormalWeb"/>
            </w:pPr>
            <w:r w:rsidRPr="00AD3EFF">
              <w:t xml:space="preserve">Tiesiskā regulējuma ietekme uz </w:t>
            </w:r>
            <w:r w:rsidRPr="00AD3EFF">
              <w:lastRenderedPageBreak/>
              <w:t>tautsaimniecību un administratīvo slogu</w:t>
            </w:r>
          </w:p>
        </w:tc>
        <w:tc>
          <w:tcPr>
            <w:tcW w:w="6736" w:type="dxa"/>
            <w:shd w:val="clear" w:color="auto" w:fill="auto"/>
          </w:tcPr>
          <w:p w:rsidR="00C07AF1" w:rsidRPr="001910F3" w:rsidRDefault="002363BE" w:rsidP="0086687F">
            <w:pPr>
              <w:pStyle w:val="NormalWeb"/>
              <w:spacing w:before="0" w:beforeAutospacing="0" w:after="0" w:afterAutospacing="0"/>
              <w:jc w:val="both"/>
            </w:pPr>
            <w:r w:rsidRPr="001910F3">
              <w:lastRenderedPageBreak/>
              <w:t>Noteikumu projekts paredz kārtību, k</w:t>
            </w:r>
            <w:r w:rsidR="0086687F">
              <w:t>a</w:t>
            </w:r>
            <w:r w:rsidRPr="001910F3">
              <w:t xml:space="preserve"> reizi gadā </w:t>
            </w:r>
            <w:r w:rsidR="00770C93" w:rsidRPr="001910F3">
              <w:t xml:space="preserve">Finanšu ministrija (Valsts kase) sagatavo saimnieciskā </w:t>
            </w:r>
            <w:r w:rsidRPr="001910F3">
              <w:t>gada pārskatu</w:t>
            </w:r>
            <w:r w:rsidR="00A72C5A" w:rsidRPr="001910F3">
              <w:t>.</w:t>
            </w:r>
            <w:r w:rsidRPr="001910F3">
              <w:t xml:space="preserve"> </w:t>
            </w:r>
          </w:p>
        </w:tc>
      </w:tr>
      <w:tr w:rsidR="006C4EB7" w:rsidRPr="001910F3" w:rsidTr="001609FF">
        <w:tc>
          <w:tcPr>
            <w:tcW w:w="576" w:type="dxa"/>
            <w:shd w:val="clear" w:color="auto" w:fill="auto"/>
          </w:tcPr>
          <w:p w:rsidR="006C4EB7" w:rsidRPr="001910F3" w:rsidRDefault="00BA09FD" w:rsidP="00BA09FD">
            <w:pPr>
              <w:pStyle w:val="NormalWeb"/>
            </w:pPr>
            <w:r>
              <w:lastRenderedPageBreak/>
              <w:t>3</w:t>
            </w:r>
            <w:r w:rsidR="006C4EB7" w:rsidRPr="001910F3">
              <w:t>.</w:t>
            </w:r>
          </w:p>
        </w:tc>
        <w:tc>
          <w:tcPr>
            <w:tcW w:w="1975" w:type="dxa"/>
            <w:shd w:val="clear" w:color="auto" w:fill="auto"/>
          </w:tcPr>
          <w:p w:rsidR="006C4EB7" w:rsidRPr="001910F3" w:rsidRDefault="006C4EB7" w:rsidP="001F20CA">
            <w:pPr>
              <w:pStyle w:val="NormalWeb"/>
            </w:pPr>
            <w:r w:rsidRPr="001910F3">
              <w:t>Administratīvo izmaksu monetārs novērtējums</w:t>
            </w:r>
          </w:p>
        </w:tc>
        <w:tc>
          <w:tcPr>
            <w:tcW w:w="6736" w:type="dxa"/>
            <w:shd w:val="clear" w:color="auto" w:fill="auto"/>
          </w:tcPr>
          <w:p w:rsidR="006C4EB7" w:rsidRPr="001910F3" w:rsidRDefault="005D21BF" w:rsidP="001F20CA">
            <w:pPr>
              <w:pStyle w:val="NormalWeb"/>
            </w:pPr>
            <w:r>
              <w:t>Noteikumu p</w:t>
            </w:r>
            <w:r w:rsidR="00EA0CB5" w:rsidRPr="001910F3">
              <w:t>rojekts šo jomu neskar</w:t>
            </w:r>
            <w:r>
              <w:t>.</w:t>
            </w:r>
          </w:p>
        </w:tc>
      </w:tr>
      <w:tr w:rsidR="006C4EB7" w:rsidRPr="001910F3" w:rsidTr="001609FF">
        <w:tc>
          <w:tcPr>
            <w:tcW w:w="576" w:type="dxa"/>
            <w:shd w:val="clear" w:color="auto" w:fill="auto"/>
          </w:tcPr>
          <w:p w:rsidR="006C4EB7" w:rsidRPr="001910F3" w:rsidRDefault="00BA09FD" w:rsidP="001F20CA">
            <w:pPr>
              <w:pStyle w:val="NormalWeb"/>
            </w:pPr>
            <w:r>
              <w:t>4</w:t>
            </w:r>
            <w:r w:rsidR="006C4EB7" w:rsidRPr="001910F3">
              <w:t>.</w:t>
            </w:r>
          </w:p>
        </w:tc>
        <w:tc>
          <w:tcPr>
            <w:tcW w:w="1975" w:type="dxa"/>
            <w:shd w:val="clear" w:color="auto" w:fill="auto"/>
          </w:tcPr>
          <w:p w:rsidR="006C4EB7" w:rsidRPr="001910F3" w:rsidRDefault="006C4EB7" w:rsidP="001F20CA">
            <w:pPr>
              <w:pStyle w:val="NormalWeb"/>
            </w:pPr>
            <w:r w:rsidRPr="001910F3">
              <w:t>Cita informācija</w:t>
            </w:r>
          </w:p>
        </w:tc>
        <w:tc>
          <w:tcPr>
            <w:tcW w:w="6736" w:type="dxa"/>
            <w:shd w:val="clear" w:color="auto" w:fill="auto"/>
          </w:tcPr>
          <w:p w:rsidR="006C4EB7" w:rsidRPr="001910F3" w:rsidRDefault="00393820" w:rsidP="001F20CA">
            <w:pPr>
              <w:pStyle w:val="NormalWeb"/>
            </w:pPr>
            <w:r w:rsidRPr="001910F3">
              <w:t>Nav</w:t>
            </w:r>
            <w:r w:rsidR="005D21BF">
              <w:t>.</w:t>
            </w:r>
          </w:p>
        </w:tc>
      </w:tr>
    </w:tbl>
    <w:p w:rsidR="006C4EB7" w:rsidRPr="001910F3" w:rsidRDefault="006C4EB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3"/>
        <w:gridCol w:w="1701"/>
        <w:gridCol w:w="1701"/>
        <w:gridCol w:w="1275"/>
        <w:gridCol w:w="1276"/>
      </w:tblGrid>
      <w:tr w:rsidR="009B7092" w:rsidRPr="001910F3" w:rsidTr="009B7092">
        <w:trPr>
          <w:trHeight w:val="413"/>
        </w:trPr>
        <w:tc>
          <w:tcPr>
            <w:tcW w:w="9356" w:type="dxa"/>
            <w:gridSpan w:val="6"/>
          </w:tcPr>
          <w:p w:rsidR="009B7092" w:rsidRPr="001910F3" w:rsidRDefault="009B7092" w:rsidP="008C6EF2">
            <w:pPr>
              <w:pStyle w:val="naisnod"/>
              <w:spacing w:before="0" w:after="0"/>
              <w:ind w:left="-18" w:firstLine="18"/>
              <w:rPr>
                <w:i/>
              </w:rPr>
            </w:pPr>
            <w:r w:rsidRPr="001910F3">
              <w:br w:type="page"/>
              <w:t>III. Tiesību akta projekta ietekme uz valsts budžetu un pašvaldību budžetiem</w:t>
            </w:r>
          </w:p>
        </w:tc>
      </w:tr>
      <w:tr w:rsidR="009B7092" w:rsidRPr="001910F3" w:rsidTr="009B7092">
        <w:tc>
          <w:tcPr>
            <w:tcW w:w="2410" w:type="dxa"/>
            <w:vMerge w:val="restart"/>
            <w:vAlign w:val="center"/>
          </w:tcPr>
          <w:p w:rsidR="009B7092" w:rsidRPr="001910F3" w:rsidRDefault="009B7092" w:rsidP="008C6EF2">
            <w:pPr>
              <w:pStyle w:val="naisf"/>
              <w:spacing w:before="0" w:after="0"/>
              <w:ind w:firstLine="0"/>
              <w:jc w:val="center"/>
              <w:rPr>
                <w:b/>
              </w:rPr>
            </w:pPr>
            <w:r w:rsidRPr="001910F3">
              <w:rPr>
                <w:b/>
              </w:rPr>
              <w:t>Rādītāji</w:t>
            </w:r>
          </w:p>
        </w:tc>
        <w:tc>
          <w:tcPr>
            <w:tcW w:w="2694" w:type="dxa"/>
            <w:gridSpan w:val="2"/>
            <w:vMerge w:val="restart"/>
            <w:vAlign w:val="center"/>
          </w:tcPr>
          <w:p w:rsidR="009B7092" w:rsidRPr="001910F3" w:rsidRDefault="009B7092" w:rsidP="001609FF">
            <w:pPr>
              <w:pStyle w:val="naisf"/>
              <w:spacing w:before="0" w:after="0"/>
              <w:ind w:firstLine="0"/>
              <w:jc w:val="center"/>
              <w:rPr>
                <w:b/>
              </w:rPr>
            </w:pPr>
            <w:r w:rsidRPr="001910F3">
              <w:rPr>
                <w:b/>
              </w:rPr>
              <w:t>201</w:t>
            </w:r>
            <w:r w:rsidR="001609FF">
              <w:rPr>
                <w:b/>
              </w:rPr>
              <w:t>4</w:t>
            </w:r>
            <w:r w:rsidRPr="001910F3">
              <w:rPr>
                <w:b/>
              </w:rPr>
              <w:t>. gads</w:t>
            </w:r>
          </w:p>
        </w:tc>
        <w:tc>
          <w:tcPr>
            <w:tcW w:w="4252" w:type="dxa"/>
            <w:gridSpan w:val="3"/>
            <w:vAlign w:val="center"/>
          </w:tcPr>
          <w:p w:rsidR="009B7092" w:rsidRPr="001910F3" w:rsidRDefault="009B7092" w:rsidP="008C6EF2">
            <w:pPr>
              <w:pStyle w:val="naisf"/>
              <w:spacing w:before="0" w:after="0"/>
              <w:ind w:firstLine="0"/>
              <w:jc w:val="center"/>
              <w:rPr>
                <w:b/>
                <w:i/>
              </w:rPr>
            </w:pPr>
            <w:r w:rsidRPr="001910F3">
              <w:t xml:space="preserve">Turpmākie trīs gadi (tūkst. </w:t>
            </w:r>
            <w:proofErr w:type="spellStart"/>
            <w:r w:rsidRPr="001910F3">
              <w:rPr>
                <w:i/>
              </w:rPr>
              <w:t>euro</w:t>
            </w:r>
            <w:proofErr w:type="spellEnd"/>
            <w:r w:rsidRPr="001910F3">
              <w:t>)</w:t>
            </w:r>
          </w:p>
        </w:tc>
      </w:tr>
      <w:tr w:rsidR="009B7092" w:rsidRPr="001910F3" w:rsidTr="009B7092">
        <w:tc>
          <w:tcPr>
            <w:tcW w:w="2410" w:type="dxa"/>
            <w:vMerge/>
            <w:vAlign w:val="center"/>
          </w:tcPr>
          <w:p w:rsidR="009B7092" w:rsidRPr="001910F3" w:rsidRDefault="009B7092" w:rsidP="008C6EF2">
            <w:pPr>
              <w:pStyle w:val="naisf"/>
              <w:spacing w:before="0" w:after="0"/>
              <w:ind w:firstLine="0"/>
              <w:jc w:val="center"/>
              <w:rPr>
                <w:b/>
                <w:i/>
              </w:rPr>
            </w:pPr>
          </w:p>
        </w:tc>
        <w:tc>
          <w:tcPr>
            <w:tcW w:w="2694" w:type="dxa"/>
            <w:gridSpan w:val="2"/>
            <w:vMerge/>
            <w:vAlign w:val="center"/>
          </w:tcPr>
          <w:p w:rsidR="009B7092" w:rsidRPr="001910F3" w:rsidRDefault="009B7092" w:rsidP="008C6EF2">
            <w:pPr>
              <w:pStyle w:val="naisf"/>
              <w:spacing w:before="0" w:after="0"/>
              <w:ind w:firstLine="0"/>
              <w:jc w:val="center"/>
              <w:rPr>
                <w:b/>
                <w:i/>
              </w:rPr>
            </w:pPr>
          </w:p>
        </w:tc>
        <w:tc>
          <w:tcPr>
            <w:tcW w:w="1701" w:type="dxa"/>
            <w:vAlign w:val="center"/>
          </w:tcPr>
          <w:p w:rsidR="009B7092" w:rsidRPr="001910F3" w:rsidRDefault="009B7092" w:rsidP="001609FF">
            <w:pPr>
              <w:pStyle w:val="naisf"/>
              <w:spacing w:before="0" w:after="0"/>
              <w:ind w:firstLine="0"/>
              <w:jc w:val="center"/>
              <w:rPr>
                <w:b/>
                <w:i/>
              </w:rPr>
            </w:pPr>
            <w:r w:rsidRPr="001910F3">
              <w:rPr>
                <w:b/>
              </w:rPr>
              <w:t>201</w:t>
            </w:r>
            <w:r w:rsidR="001609FF">
              <w:rPr>
                <w:b/>
              </w:rPr>
              <w:t>5</w:t>
            </w:r>
            <w:r w:rsidRPr="001910F3">
              <w:rPr>
                <w:b/>
              </w:rPr>
              <w:t>. gads</w:t>
            </w:r>
          </w:p>
        </w:tc>
        <w:tc>
          <w:tcPr>
            <w:tcW w:w="1275" w:type="dxa"/>
            <w:vAlign w:val="center"/>
          </w:tcPr>
          <w:p w:rsidR="009B7092" w:rsidRPr="001910F3" w:rsidRDefault="009B7092" w:rsidP="001609FF">
            <w:pPr>
              <w:pStyle w:val="naisf"/>
              <w:spacing w:before="0" w:after="0"/>
              <w:ind w:firstLine="0"/>
              <w:jc w:val="center"/>
              <w:rPr>
                <w:b/>
                <w:i/>
              </w:rPr>
            </w:pPr>
            <w:r w:rsidRPr="001910F3">
              <w:rPr>
                <w:b/>
              </w:rPr>
              <w:t>201</w:t>
            </w:r>
            <w:r w:rsidR="001609FF">
              <w:rPr>
                <w:b/>
              </w:rPr>
              <w:t>6</w:t>
            </w:r>
            <w:r w:rsidRPr="001910F3">
              <w:rPr>
                <w:b/>
              </w:rPr>
              <w:t>. gads</w:t>
            </w:r>
          </w:p>
        </w:tc>
        <w:tc>
          <w:tcPr>
            <w:tcW w:w="1276" w:type="dxa"/>
            <w:vAlign w:val="center"/>
          </w:tcPr>
          <w:p w:rsidR="009B7092" w:rsidRPr="001910F3" w:rsidRDefault="009B7092" w:rsidP="001609FF">
            <w:pPr>
              <w:pStyle w:val="naisf"/>
              <w:spacing w:before="0" w:after="0"/>
              <w:ind w:firstLine="0"/>
              <w:jc w:val="center"/>
              <w:rPr>
                <w:b/>
                <w:i/>
              </w:rPr>
            </w:pPr>
            <w:r w:rsidRPr="001910F3">
              <w:rPr>
                <w:b/>
              </w:rPr>
              <w:t>201</w:t>
            </w:r>
            <w:r w:rsidR="001609FF">
              <w:rPr>
                <w:b/>
              </w:rPr>
              <w:t>7</w:t>
            </w:r>
            <w:r w:rsidRPr="001910F3">
              <w:rPr>
                <w:b/>
              </w:rPr>
              <w:t>. gads</w:t>
            </w:r>
          </w:p>
        </w:tc>
      </w:tr>
      <w:tr w:rsidR="009B7092" w:rsidRPr="001910F3" w:rsidTr="00182E92">
        <w:tc>
          <w:tcPr>
            <w:tcW w:w="2410" w:type="dxa"/>
            <w:vMerge/>
            <w:vAlign w:val="center"/>
          </w:tcPr>
          <w:p w:rsidR="009B7092" w:rsidRPr="001910F3" w:rsidRDefault="009B7092" w:rsidP="008C6EF2">
            <w:pPr>
              <w:pStyle w:val="naisf"/>
              <w:spacing w:before="0" w:after="0"/>
              <w:ind w:firstLine="0"/>
              <w:jc w:val="center"/>
              <w:rPr>
                <w:b/>
                <w:i/>
              </w:rPr>
            </w:pPr>
          </w:p>
        </w:tc>
        <w:tc>
          <w:tcPr>
            <w:tcW w:w="993" w:type="dxa"/>
            <w:vAlign w:val="center"/>
          </w:tcPr>
          <w:p w:rsidR="009B7092" w:rsidRPr="001910F3" w:rsidRDefault="009B7092" w:rsidP="008C6EF2">
            <w:pPr>
              <w:pStyle w:val="naisf"/>
              <w:spacing w:before="0" w:after="0"/>
              <w:ind w:firstLine="0"/>
              <w:jc w:val="center"/>
              <w:rPr>
                <w:b/>
                <w:i/>
                <w:sz w:val="20"/>
                <w:szCs w:val="20"/>
              </w:rPr>
            </w:pPr>
            <w:r w:rsidRPr="001910F3">
              <w:rPr>
                <w:sz w:val="20"/>
                <w:szCs w:val="20"/>
              </w:rPr>
              <w:t>Saskaņā ar valsts budžetu kārtējam gadam</w:t>
            </w:r>
          </w:p>
        </w:tc>
        <w:tc>
          <w:tcPr>
            <w:tcW w:w="1701" w:type="dxa"/>
            <w:vAlign w:val="center"/>
          </w:tcPr>
          <w:p w:rsidR="009B7092" w:rsidRPr="001910F3" w:rsidRDefault="009B7092" w:rsidP="008C6EF2">
            <w:pPr>
              <w:pStyle w:val="naisf"/>
              <w:spacing w:before="0" w:after="0"/>
              <w:ind w:firstLine="0"/>
              <w:jc w:val="center"/>
              <w:rPr>
                <w:b/>
                <w:i/>
                <w:sz w:val="20"/>
                <w:szCs w:val="20"/>
              </w:rPr>
            </w:pPr>
            <w:r w:rsidRPr="001910F3">
              <w:rPr>
                <w:sz w:val="20"/>
                <w:szCs w:val="20"/>
              </w:rPr>
              <w:t>Izmaiņas kārtējā gadā, salīdzinot ar budžetu kārtējam gadam</w:t>
            </w:r>
          </w:p>
        </w:tc>
        <w:tc>
          <w:tcPr>
            <w:tcW w:w="1701" w:type="dxa"/>
            <w:vAlign w:val="center"/>
          </w:tcPr>
          <w:p w:rsidR="009B7092" w:rsidRPr="001910F3" w:rsidRDefault="009B7092" w:rsidP="001609FF">
            <w:pPr>
              <w:pStyle w:val="naisf"/>
              <w:spacing w:before="0" w:after="0"/>
              <w:ind w:firstLine="0"/>
              <w:jc w:val="center"/>
              <w:rPr>
                <w:b/>
                <w:i/>
                <w:sz w:val="20"/>
                <w:szCs w:val="20"/>
              </w:rPr>
            </w:pPr>
            <w:r w:rsidRPr="001910F3">
              <w:rPr>
                <w:sz w:val="20"/>
                <w:szCs w:val="20"/>
              </w:rPr>
              <w:t>Izmaiņas, salīdzinot ar kārtējo 201</w:t>
            </w:r>
            <w:r w:rsidR="001609FF">
              <w:rPr>
                <w:sz w:val="20"/>
                <w:szCs w:val="20"/>
              </w:rPr>
              <w:t>4</w:t>
            </w:r>
            <w:r w:rsidRPr="001910F3">
              <w:rPr>
                <w:sz w:val="20"/>
                <w:szCs w:val="20"/>
              </w:rPr>
              <w:t>. gadu</w:t>
            </w:r>
          </w:p>
        </w:tc>
        <w:tc>
          <w:tcPr>
            <w:tcW w:w="1275" w:type="dxa"/>
            <w:vAlign w:val="center"/>
          </w:tcPr>
          <w:p w:rsidR="009B7092" w:rsidRPr="001910F3" w:rsidRDefault="009B7092" w:rsidP="001609FF">
            <w:pPr>
              <w:pStyle w:val="naisf"/>
              <w:spacing w:before="0" w:after="0"/>
              <w:ind w:firstLine="0"/>
              <w:jc w:val="center"/>
              <w:rPr>
                <w:b/>
                <w:i/>
                <w:sz w:val="20"/>
                <w:szCs w:val="20"/>
              </w:rPr>
            </w:pPr>
            <w:r w:rsidRPr="001910F3">
              <w:rPr>
                <w:sz w:val="20"/>
                <w:szCs w:val="20"/>
              </w:rPr>
              <w:t>Izmaiņas, salīdzinot ar kārtējo 201</w:t>
            </w:r>
            <w:r w:rsidR="001609FF">
              <w:rPr>
                <w:sz w:val="20"/>
                <w:szCs w:val="20"/>
              </w:rPr>
              <w:t>4</w:t>
            </w:r>
            <w:r w:rsidRPr="001910F3">
              <w:rPr>
                <w:sz w:val="20"/>
                <w:szCs w:val="20"/>
              </w:rPr>
              <w:t>. gadu</w:t>
            </w:r>
          </w:p>
        </w:tc>
        <w:tc>
          <w:tcPr>
            <w:tcW w:w="1276" w:type="dxa"/>
            <w:vAlign w:val="center"/>
          </w:tcPr>
          <w:p w:rsidR="009B7092" w:rsidRPr="001910F3" w:rsidRDefault="009B7092" w:rsidP="001609FF">
            <w:pPr>
              <w:pStyle w:val="naisf"/>
              <w:spacing w:before="0" w:after="0"/>
              <w:ind w:firstLine="0"/>
              <w:jc w:val="center"/>
              <w:rPr>
                <w:b/>
                <w:i/>
                <w:sz w:val="20"/>
                <w:szCs w:val="20"/>
              </w:rPr>
            </w:pPr>
            <w:r w:rsidRPr="001910F3">
              <w:rPr>
                <w:sz w:val="20"/>
                <w:szCs w:val="20"/>
              </w:rPr>
              <w:t>Izmaiņas, salīdzinot ar kārtējo 201</w:t>
            </w:r>
            <w:r w:rsidR="001609FF">
              <w:rPr>
                <w:sz w:val="20"/>
                <w:szCs w:val="20"/>
              </w:rPr>
              <w:t>4</w:t>
            </w:r>
            <w:r w:rsidRPr="001910F3">
              <w:rPr>
                <w:sz w:val="20"/>
                <w:szCs w:val="20"/>
              </w:rPr>
              <w:t>. gadu</w:t>
            </w:r>
          </w:p>
        </w:tc>
      </w:tr>
      <w:tr w:rsidR="009B7092" w:rsidRPr="001910F3" w:rsidTr="00182E92">
        <w:tc>
          <w:tcPr>
            <w:tcW w:w="2410" w:type="dxa"/>
            <w:vAlign w:val="center"/>
          </w:tcPr>
          <w:p w:rsidR="009B7092" w:rsidRPr="001910F3" w:rsidRDefault="009B7092" w:rsidP="008C6EF2">
            <w:pPr>
              <w:pStyle w:val="naisf"/>
              <w:spacing w:before="0" w:after="0"/>
              <w:ind w:firstLine="0"/>
              <w:jc w:val="center"/>
              <w:rPr>
                <w:bCs/>
              </w:rPr>
            </w:pPr>
            <w:r w:rsidRPr="001910F3">
              <w:rPr>
                <w:bCs/>
              </w:rPr>
              <w:t>1</w:t>
            </w:r>
          </w:p>
        </w:tc>
        <w:tc>
          <w:tcPr>
            <w:tcW w:w="993" w:type="dxa"/>
            <w:vAlign w:val="center"/>
          </w:tcPr>
          <w:p w:rsidR="009B7092" w:rsidRPr="001910F3" w:rsidRDefault="009B7092" w:rsidP="008C6EF2">
            <w:pPr>
              <w:pStyle w:val="naisf"/>
              <w:spacing w:before="0" w:after="0"/>
              <w:ind w:firstLine="0"/>
              <w:jc w:val="center"/>
              <w:rPr>
                <w:bCs/>
              </w:rPr>
            </w:pPr>
            <w:r w:rsidRPr="001910F3">
              <w:rPr>
                <w:bCs/>
              </w:rPr>
              <w:t>2</w:t>
            </w:r>
          </w:p>
        </w:tc>
        <w:tc>
          <w:tcPr>
            <w:tcW w:w="1701" w:type="dxa"/>
            <w:vAlign w:val="center"/>
          </w:tcPr>
          <w:p w:rsidR="009B7092" w:rsidRPr="001910F3" w:rsidRDefault="009B7092" w:rsidP="008C6EF2">
            <w:pPr>
              <w:pStyle w:val="naisf"/>
              <w:spacing w:before="0" w:after="0"/>
              <w:ind w:firstLine="0"/>
              <w:jc w:val="center"/>
              <w:rPr>
                <w:bCs/>
              </w:rPr>
            </w:pPr>
            <w:r w:rsidRPr="001910F3">
              <w:rPr>
                <w:bCs/>
              </w:rPr>
              <w:t>3</w:t>
            </w:r>
          </w:p>
        </w:tc>
        <w:tc>
          <w:tcPr>
            <w:tcW w:w="1701" w:type="dxa"/>
            <w:vAlign w:val="center"/>
          </w:tcPr>
          <w:p w:rsidR="009B7092" w:rsidRPr="001910F3" w:rsidRDefault="009B7092" w:rsidP="008C6EF2">
            <w:pPr>
              <w:pStyle w:val="naisf"/>
              <w:spacing w:before="0" w:after="0"/>
              <w:ind w:firstLine="0"/>
              <w:jc w:val="center"/>
              <w:rPr>
                <w:bCs/>
              </w:rPr>
            </w:pPr>
            <w:r w:rsidRPr="001910F3">
              <w:rPr>
                <w:bCs/>
              </w:rPr>
              <w:t>4</w:t>
            </w:r>
          </w:p>
        </w:tc>
        <w:tc>
          <w:tcPr>
            <w:tcW w:w="1275" w:type="dxa"/>
            <w:vAlign w:val="center"/>
          </w:tcPr>
          <w:p w:rsidR="009B7092" w:rsidRPr="001910F3" w:rsidRDefault="009B7092" w:rsidP="008C6EF2">
            <w:pPr>
              <w:pStyle w:val="naisf"/>
              <w:spacing w:before="0" w:after="0"/>
              <w:ind w:firstLine="0"/>
              <w:jc w:val="center"/>
              <w:rPr>
                <w:bCs/>
              </w:rPr>
            </w:pPr>
            <w:r w:rsidRPr="001910F3">
              <w:rPr>
                <w:bCs/>
              </w:rPr>
              <w:t>5</w:t>
            </w:r>
          </w:p>
        </w:tc>
        <w:tc>
          <w:tcPr>
            <w:tcW w:w="1276" w:type="dxa"/>
            <w:vAlign w:val="center"/>
          </w:tcPr>
          <w:p w:rsidR="009B7092" w:rsidRPr="001910F3" w:rsidRDefault="009B7092" w:rsidP="008C6EF2">
            <w:pPr>
              <w:pStyle w:val="naisf"/>
              <w:spacing w:before="0" w:after="0"/>
              <w:ind w:firstLine="0"/>
              <w:jc w:val="center"/>
              <w:rPr>
                <w:bCs/>
              </w:rPr>
            </w:pPr>
            <w:r w:rsidRPr="001910F3">
              <w:rPr>
                <w:bCs/>
              </w:rPr>
              <w:t>6</w:t>
            </w:r>
          </w:p>
        </w:tc>
      </w:tr>
      <w:tr w:rsidR="009B7092" w:rsidRPr="001910F3" w:rsidTr="00182E92">
        <w:tc>
          <w:tcPr>
            <w:tcW w:w="2410" w:type="dxa"/>
          </w:tcPr>
          <w:p w:rsidR="009B7092" w:rsidRPr="001910F3" w:rsidRDefault="009B7092" w:rsidP="008C6EF2">
            <w:pPr>
              <w:pStyle w:val="naisf"/>
              <w:spacing w:before="0" w:after="0"/>
              <w:ind w:firstLine="0"/>
              <w:rPr>
                <w:i/>
                <w:sz w:val="20"/>
                <w:szCs w:val="20"/>
              </w:rPr>
            </w:pPr>
            <w:r w:rsidRPr="001910F3">
              <w:rPr>
                <w:sz w:val="20"/>
                <w:szCs w:val="20"/>
              </w:rPr>
              <w:t>1. Budžeta ieņēmumi:</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pStyle w:val="naisf"/>
              <w:spacing w:before="0" w:after="0"/>
              <w:ind w:firstLine="0"/>
              <w:rPr>
                <w:i/>
                <w:sz w:val="20"/>
                <w:szCs w:val="20"/>
              </w:rPr>
            </w:pPr>
            <w:r w:rsidRPr="001910F3">
              <w:rPr>
                <w:sz w:val="20"/>
                <w:szCs w:val="20"/>
              </w:rPr>
              <w:t>1.1. valsts pamatbudžets, tai skaitā ieņēmumi no maksas pakalpojumiem un citi pašu ieņēmumi</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pStyle w:val="naisf"/>
              <w:spacing w:before="0" w:after="0"/>
              <w:ind w:firstLine="0"/>
              <w:rPr>
                <w:i/>
                <w:sz w:val="20"/>
                <w:szCs w:val="20"/>
              </w:rPr>
            </w:pPr>
            <w:r w:rsidRPr="001910F3">
              <w:rPr>
                <w:sz w:val="20"/>
                <w:szCs w:val="20"/>
              </w:rPr>
              <w:t>1.2. valsts speciālais budžets</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pStyle w:val="naisf"/>
              <w:spacing w:before="0" w:after="0"/>
              <w:ind w:firstLine="0"/>
              <w:rPr>
                <w:i/>
                <w:sz w:val="20"/>
                <w:szCs w:val="20"/>
              </w:rPr>
            </w:pPr>
            <w:r w:rsidRPr="001910F3">
              <w:rPr>
                <w:sz w:val="20"/>
                <w:szCs w:val="20"/>
              </w:rPr>
              <w:t>1.3. pašvaldību budžets</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2. Budžeta izdevumi:</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2.1. valsts pamatbudžets</w:t>
            </w:r>
          </w:p>
        </w:tc>
        <w:tc>
          <w:tcPr>
            <w:tcW w:w="993" w:type="dxa"/>
          </w:tcPr>
          <w:p w:rsidR="009B7092" w:rsidRPr="001910F3" w:rsidRDefault="009B7092" w:rsidP="008C6EF2">
            <w:pPr>
              <w:pStyle w:val="naisf"/>
              <w:spacing w:before="0" w:after="0"/>
              <w:ind w:firstLine="0"/>
              <w:jc w:val="left"/>
            </w:pPr>
          </w:p>
        </w:tc>
        <w:tc>
          <w:tcPr>
            <w:tcW w:w="1701" w:type="dxa"/>
          </w:tcPr>
          <w:p w:rsidR="009B7092" w:rsidRPr="001910F3" w:rsidRDefault="009B7092" w:rsidP="008C6EF2">
            <w:pPr>
              <w:pStyle w:val="naisf"/>
              <w:spacing w:before="0" w:after="0"/>
              <w:ind w:firstLine="0"/>
              <w:jc w:val="left"/>
            </w:pPr>
          </w:p>
        </w:tc>
        <w:tc>
          <w:tcPr>
            <w:tcW w:w="1701" w:type="dxa"/>
          </w:tcPr>
          <w:p w:rsidR="009B7092" w:rsidRPr="001910F3" w:rsidRDefault="009B7092" w:rsidP="008C6EF2">
            <w:pPr>
              <w:pStyle w:val="naisf"/>
              <w:spacing w:before="0" w:after="0"/>
              <w:ind w:firstLine="0"/>
              <w:jc w:val="left"/>
            </w:pPr>
          </w:p>
        </w:tc>
        <w:tc>
          <w:tcPr>
            <w:tcW w:w="1275" w:type="dxa"/>
          </w:tcPr>
          <w:p w:rsidR="009B7092" w:rsidRPr="001910F3" w:rsidRDefault="009B7092" w:rsidP="008C6EF2">
            <w:pPr>
              <w:pStyle w:val="naisf"/>
              <w:spacing w:before="0" w:after="0"/>
              <w:ind w:firstLine="0"/>
              <w:jc w:val="left"/>
            </w:pPr>
          </w:p>
        </w:tc>
        <w:tc>
          <w:tcPr>
            <w:tcW w:w="1276" w:type="dxa"/>
          </w:tcPr>
          <w:p w:rsidR="009B7092" w:rsidRPr="001910F3" w:rsidRDefault="009B7092" w:rsidP="008C6EF2">
            <w:pPr>
              <w:pStyle w:val="naisf"/>
              <w:spacing w:before="0" w:after="0"/>
              <w:ind w:firstLine="0"/>
              <w:jc w:val="left"/>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2.2. valsts speciālais budžets</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 xml:space="preserve">2.3. pašvaldību budžets </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3. Finansiālā ietekme:</w:t>
            </w:r>
          </w:p>
        </w:tc>
        <w:tc>
          <w:tcPr>
            <w:tcW w:w="993" w:type="dxa"/>
            <w:shd w:val="clear" w:color="auto" w:fill="auto"/>
            <w:vAlign w:val="center"/>
          </w:tcPr>
          <w:p w:rsidR="009B7092" w:rsidRPr="001910F3" w:rsidRDefault="009B7092" w:rsidP="008C6EF2">
            <w:pPr>
              <w:pStyle w:val="naisf"/>
              <w:spacing w:before="0" w:after="0"/>
              <w:ind w:firstLine="0"/>
              <w:jc w:val="cente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3.1. valsts pamatbudžets</w:t>
            </w:r>
          </w:p>
        </w:tc>
        <w:tc>
          <w:tcPr>
            <w:tcW w:w="993" w:type="dxa"/>
            <w:shd w:val="clear" w:color="auto" w:fill="auto"/>
          </w:tcPr>
          <w:p w:rsidR="009B7092" w:rsidRPr="001910F3" w:rsidRDefault="009B7092" w:rsidP="008C6EF2">
            <w:pPr>
              <w:pStyle w:val="naisf"/>
              <w:spacing w:before="0" w:after="0"/>
              <w:ind w:firstLine="0"/>
              <w:rPr>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3.2. speciālais budžets</w:t>
            </w:r>
          </w:p>
        </w:tc>
        <w:tc>
          <w:tcPr>
            <w:tcW w:w="993" w:type="dxa"/>
            <w:shd w:val="clear" w:color="auto" w:fill="auto"/>
          </w:tcPr>
          <w:p w:rsidR="009B7092" w:rsidRPr="001910F3" w:rsidRDefault="009B7092" w:rsidP="008C6EF2">
            <w:pPr>
              <w:pStyle w:val="naisf"/>
              <w:spacing w:before="0" w:after="0"/>
              <w:ind w:firstLine="0"/>
              <w:rPr>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 xml:space="preserve">3.3. pašvaldību budžets </w:t>
            </w:r>
          </w:p>
        </w:tc>
        <w:tc>
          <w:tcPr>
            <w:tcW w:w="993" w:type="dxa"/>
            <w:shd w:val="clear" w:color="auto" w:fill="auto"/>
          </w:tcPr>
          <w:p w:rsidR="009B7092" w:rsidRPr="001910F3" w:rsidRDefault="009B7092" w:rsidP="008C6EF2">
            <w:pPr>
              <w:pStyle w:val="naisf"/>
              <w:spacing w:before="0" w:after="0"/>
              <w:ind w:firstLine="0"/>
              <w:rPr>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vMerge w:val="restart"/>
          </w:tcPr>
          <w:p w:rsidR="009B7092" w:rsidRPr="001910F3" w:rsidRDefault="009B7092" w:rsidP="008C6EF2">
            <w:pPr>
              <w:jc w:val="both"/>
              <w:rPr>
                <w:sz w:val="20"/>
                <w:szCs w:val="20"/>
              </w:rPr>
            </w:pPr>
            <w:r w:rsidRPr="001910F3">
              <w:rPr>
                <w:sz w:val="20"/>
                <w:szCs w:val="20"/>
              </w:rPr>
              <w:t>4. Finanšu līdzekļi papildu izde</w:t>
            </w:r>
            <w:r w:rsidRPr="001910F3">
              <w:rPr>
                <w:sz w:val="20"/>
                <w:szCs w:val="20"/>
              </w:rPr>
              <w:softHyphen/>
              <w:t>vumu finansēšanai (kompensējošu izdevumu samazinājumu norāda ar "+" zīmi)</w:t>
            </w:r>
          </w:p>
        </w:tc>
        <w:tc>
          <w:tcPr>
            <w:tcW w:w="993" w:type="dxa"/>
            <w:vMerge w:val="restart"/>
          </w:tcPr>
          <w:p w:rsidR="009B7092" w:rsidRPr="001910F3" w:rsidRDefault="009B7092" w:rsidP="008C6EF2">
            <w:pPr>
              <w:pStyle w:val="naisf"/>
              <w:spacing w:before="0" w:after="0"/>
              <w:ind w:firstLine="0"/>
              <w:jc w:val="center"/>
              <w:rPr>
                <w:i/>
              </w:rPr>
            </w:pPr>
            <w:r w:rsidRPr="001910F3">
              <w:t>X</w:t>
            </w:r>
          </w:p>
        </w:tc>
        <w:tc>
          <w:tcPr>
            <w:tcW w:w="1701" w:type="dxa"/>
          </w:tcPr>
          <w:p w:rsidR="009B7092" w:rsidRPr="001910F3" w:rsidRDefault="009B7092" w:rsidP="008C6EF2">
            <w:pPr>
              <w:pStyle w:val="naisf"/>
              <w:spacing w:before="0" w:after="0"/>
              <w:ind w:firstLine="0"/>
              <w:jc w:val="left"/>
              <w:rPr>
                <w:b/>
                <w:i/>
              </w:rPr>
            </w:pPr>
          </w:p>
        </w:tc>
        <w:tc>
          <w:tcPr>
            <w:tcW w:w="1701" w:type="dxa"/>
          </w:tcPr>
          <w:p w:rsidR="009B7092" w:rsidRPr="001910F3" w:rsidRDefault="009B7092" w:rsidP="008C6EF2">
            <w:pPr>
              <w:pStyle w:val="naisf"/>
              <w:spacing w:before="0" w:after="0"/>
              <w:ind w:firstLine="0"/>
              <w:jc w:val="left"/>
              <w:rPr>
                <w:b/>
                <w:i/>
              </w:rPr>
            </w:pPr>
          </w:p>
        </w:tc>
        <w:tc>
          <w:tcPr>
            <w:tcW w:w="1275" w:type="dxa"/>
          </w:tcPr>
          <w:p w:rsidR="009B7092" w:rsidRPr="001910F3" w:rsidRDefault="009B7092" w:rsidP="008C6EF2">
            <w:pPr>
              <w:pStyle w:val="naisf"/>
              <w:spacing w:before="0" w:after="0"/>
              <w:ind w:firstLine="0"/>
              <w:jc w:val="left"/>
              <w:rPr>
                <w:b/>
                <w:i/>
              </w:rPr>
            </w:pPr>
          </w:p>
        </w:tc>
        <w:tc>
          <w:tcPr>
            <w:tcW w:w="1276" w:type="dxa"/>
          </w:tcPr>
          <w:p w:rsidR="009B7092" w:rsidRPr="001910F3" w:rsidRDefault="009B7092" w:rsidP="008C6EF2">
            <w:pPr>
              <w:pStyle w:val="naisf"/>
              <w:spacing w:before="0" w:after="0"/>
              <w:ind w:firstLine="0"/>
              <w:jc w:val="left"/>
              <w:rPr>
                <w:b/>
                <w:i/>
              </w:rPr>
            </w:pPr>
          </w:p>
        </w:tc>
      </w:tr>
      <w:tr w:rsidR="009B7092" w:rsidRPr="001910F3" w:rsidTr="00182E92">
        <w:tc>
          <w:tcPr>
            <w:tcW w:w="2410" w:type="dxa"/>
            <w:vMerge/>
          </w:tcPr>
          <w:p w:rsidR="009B7092" w:rsidRPr="001910F3" w:rsidRDefault="009B7092" w:rsidP="008C6EF2">
            <w:pPr>
              <w:jc w:val="both"/>
              <w:rPr>
                <w:sz w:val="20"/>
                <w:szCs w:val="20"/>
              </w:rPr>
            </w:pPr>
          </w:p>
        </w:tc>
        <w:tc>
          <w:tcPr>
            <w:tcW w:w="993" w:type="dxa"/>
            <w:vMerge/>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jc w:val="left"/>
              <w:rPr>
                <w:b/>
                <w:i/>
              </w:rPr>
            </w:pPr>
          </w:p>
        </w:tc>
        <w:tc>
          <w:tcPr>
            <w:tcW w:w="1701" w:type="dxa"/>
          </w:tcPr>
          <w:p w:rsidR="009B7092" w:rsidRPr="001910F3" w:rsidRDefault="009B7092" w:rsidP="008C6EF2">
            <w:pPr>
              <w:pStyle w:val="naisf"/>
              <w:spacing w:before="0" w:after="0"/>
              <w:ind w:firstLine="0"/>
              <w:jc w:val="left"/>
              <w:rPr>
                <w:b/>
                <w:i/>
              </w:rPr>
            </w:pPr>
          </w:p>
        </w:tc>
        <w:tc>
          <w:tcPr>
            <w:tcW w:w="1275" w:type="dxa"/>
          </w:tcPr>
          <w:p w:rsidR="009B7092" w:rsidRPr="001910F3" w:rsidRDefault="009B7092" w:rsidP="008C6EF2">
            <w:pPr>
              <w:pStyle w:val="naisf"/>
              <w:spacing w:before="0" w:after="0"/>
              <w:ind w:firstLine="0"/>
              <w:jc w:val="left"/>
              <w:rPr>
                <w:b/>
                <w:i/>
              </w:rPr>
            </w:pPr>
          </w:p>
        </w:tc>
        <w:tc>
          <w:tcPr>
            <w:tcW w:w="1276" w:type="dxa"/>
          </w:tcPr>
          <w:p w:rsidR="009B7092" w:rsidRPr="001910F3" w:rsidRDefault="009B7092" w:rsidP="008C6EF2">
            <w:pPr>
              <w:pStyle w:val="naisf"/>
              <w:spacing w:before="0" w:after="0"/>
              <w:ind w:firstLine="0"/>
              <w:jc w:val="left"/>
              <w:rPr>
                <w:b/>
                <w:i/>
              </w:rPr>
            </w:pPr>
          </w:p>
        </w:tc>
      </w:tr>
      <w:tr w:rsidR="009B7092" w:rsidRPr="001910F3" w:rsidTr="00182E92">
        <w:tc>
          <w:tcPr>
            <w:tcW w:w="2410" w:type="dxa"/>
            <w:vMerge/>
          </w:tcPr>
          <w:p w:rsidR="009B7092" w:rsidRPr="001910F3" w:rsidRDefault="009B7092" w:rsidP="008C6EF2">
            <w:pPr>
              <w:jc w:val="both"/>
              <w:rPr>
                <w:sz w:val="20"/>
                <w:szCs w:val="20"/>
              </w:rPr>
            </w:pPr>
          </w:p>
        </w:tc>
        <w:tc>
          <w:tcPr>
            <w:tcW w:w="993" w:type="dxa"/>
            <w:vMerge/>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jc w:val="left"/>
              <w:rPr>
                <w:b/>
                <w:i/>
              </w:rPr>
            </w:pPr>
          </w:p>
        </w:tc>
        <w:tc>
          <w:tcPr>
            <w:tcW w:w="1701" w:type="dxa"/>
          </w:tcPr>
          <w:p w:rsidR="009B7092" w:rsidRPr="001910F3" w:rsidRDefault="009B7092" w:rsidP="008C6EF2">
            <w:pPr>
              <w:pStyle w:val="naisf"/>
              <w:spacing w:before="0" w:after="0"/>
              <w:ind w:firstLine="0"/>
              <w:jc w:val="left"/>
              <w:rPr>
                <w:b/>
                <w:i/>
              </w:rPr>
            </w:pPr>
          </w:p>
        </w:tc>
        <w:tc>
          <w:tcPr>
            <w:tcW w:w="1275" w:type="dxa"/>
          </w:tcPr>
          <w:p w:rsidR="009B7092" w:rsidRPr="001910F3" w:rsidRDefault="009B7092" w:rsidP="008C6EF2">
            <w:pPr>
              <w:pStyle w:val="naisf"/>
              <w:spacing w:before="0" w:after="0"/>
              <w:ind w:firstLine="0"/>
              <w:jc w:val="left"/>
              <w:rPr>
                <w:b/>
                <w:i/>
              </w:rPr>
            </w:pPr>
          </w:p>
        </w:tc>
        <w:tc>
          <w:tcPr>
            <w:tcW w:w="1276" w:type="dxa"/>
          </w:tcPr>
          <w:p w:rsidR="009B7092" w:rsidRPr="001910F3" w:rsidRDefault="009B7092" w:rsidP="008C6EF2">
            <w:pPr>
              <w:pStyle w:val="naisf"/>
              <w:spacing w:before="0" w:after="0"/>
              <w:ind w:firstLine="0"/>
              <w:jc w:val="left"/>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5. Precizēta finansiālā ietekme:</w:t>
            </w:r>
          </w:p>
        </w:tc>
        <w:tc>
          <w:tcPr>
            <w:tcW w:w="993" w:type="dxa"/>
            <w:vMerge w:val="restart"/>
          </w:tcPr>
          <w:p w:rsidR="009B7092" w:rsidRPr="001910F3" w:rsidRDefault="009B7092" w:rsidP="008C6EF2">
            <w:pPr>
              <w:pStyle w:val="naisf"/>
              <w:spacing w:before="0" w:after="0"/>
              <w:ind w:firstLine="0"/>
              <w:jc w:val="center"/>
              <w:rPr>
                <w:i/>
              </w:rPr>
            </w:pPr>
            <w:r w:rsidRPr="001910F3">
              <w:t>X</w:t>
            </w: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5.1. valsts pamatbudžets</w:t>
            </w:r>
          </w:p>
        </w:tc>
        <w:tc>
          <w:tcPr>
            <w:tcW w:w="993" w:type="dxa"/>
            <w:vMerge/>
            <w:vAlign w:val="center"/>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rPr>
                <w:b/>
                <w:i/>
              </w:rPr>
            </w:pPr>
            <w:r w:rsidRPr="001910F3">
              <w:rPr>
                <w:b/>
                <w:i/>
              </w:rPr>
              <w:t>0</w:t>
            </w:r>
          </w:p>
        </w:tc>
        <w:tc>
          <w:tcPr>
            <w:tcW w:w="1701" w:type="dxa"/>
          </w:tcPr>
          <w:p w:rsidR="009B7092" w:rsidRPr="001910F3" w:rsidRDefault="009B7092" w:rsidP="008C6EF2">
            <w:pPr>
              <w:pStyle w:val="naisf"/>
              <w:spacing w:before="0" w:after="0"/>
              <w:ind w:firstLine="0"/>
              <w:rPr>
                <w:b/>
                <w:i/>
              </w:rPr>
            </w:pPr>
            <w:r w:rsidRPr="001910F3">
              <w:rPr>
                <w:b/>
                <w:i/>
              </w:rPr>
              <w:t>0</w:t>
            </w:r>
          </w:p>
        </w:tc>
        <w:tc>
          <w:tcPr>
            <w:tcW w:w="1275" w:type="dxa"/>
          </w:tcPr>
          <w:p w:rsidR="009B7092" w:rsidRPr="001910F3" w:rsidRDefault="009B7092" w:rsidP="008C6EF2">
            <w:pPr>
              <w:pStyle w:val="naisf"/>
              <w:spacing w:before="0" w:after="0"/>
              <w:ind w:firstLine="0"/>
              <w:rPr>
                <w:b/>
                <w:i/>
              </w:rPr>
            </w:pPr>
            <w:r w:rsidRPr="001910F3">
              <w:rPr>
                <w:b/>
                <w:i/>
              </w:rPr>
              <w:t>0</w:t>
            </w:r>
          </w:p>
        </w:tc>
        <w:tc>
          <w:tcPr>
            <w:tcW w:w="1276" w:type="dxa"/>
          </w:tcPr>
          <w:p w:rsidR="009B7092" w:rsidRPr="001910F3" w:rsidRDefault="009B7092" w:rsidP="008C6EF2">
            <w:pPr>
              <w:pStyle w:val="naisf"/>
              <w:spacing w:before="0" w:after="0"/>
              <w:ind w:firstLine="0"/>
              <w:rPr>
                <w:b/>
                <w:i/>
              </w:rPr>
            </w:pPr>
            <w:r w:rsidRPr="001910F3">
              <w:rPr>
                <w:b/>
                <w:i/>
              </w:rPr>
              <w:t>0</w:t>
            </w: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5.2. speciālais budžets</w:t>
            </w:r>
          </w:p>
        </w:tc>
        <w:tc>
          <w:tcPr>
            <w:tcW w:w="993" w:type="dxa"/>
            <w:vMerge/>
            <w:vAlign w:val="center"/>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rPr>
                <w:b/>
                <w:i/>
              </w:rPr>
            </w:pPr>
            <w:r w:rsidRPr="001910F3">
              <w:rPr>
                <w:b/>
                <w:i/>
              </w:rPr>
              <w:t>0</w:t>
            </w:r>
          </w:p>
        </w:tc>
        <w:tc>
          <w:tcPr>
            <w:tcW w:w="1701" w:type="dxa"/>
          </w:tcPr>
          <w:p w:rsidR="009B7092" w:rsidRPr="001910F3" w:rsidRDefault="009B7092" w:rsidP="008C6EF2">
            <w:pPr>
              <w:pStyle w:val="naisf"/>
              <w:spacing w:before="0" w:after="0"/>
              <w:ind w:firstLine="0"/>
              <w:rPr>
                <w:b/>
                <w:i/>
              </w:rPr>
            </w:pPr>
            <w:r w:rsidRPr="001910F3">
              <w:rPr>
                <w:b/>
                <w:i/>
              </w:rPr>
              <w:t>0</w:t>
            </w:r>
          </w:p>
        </w:tc>
        <w:tc>
          <w:tcPr>
            <w:tcW w:w="1275" w:type="dxa"/>
          </w:tcPr>
          <w:p w:rsidR="009B7092" w:rsidRPr="001910F3" w:rsidRDefault="009B7092" w:rsidP="008C6EF2">
            <w:pPr>
              <w:pStyle w:val="naisf"/>
              <w:spacing w:before="0" w:after="0"/>
              <w:ind w:firstLine="0"/>
              <w:rPr>
                <w:b/>
                <w:i/>
              </w:rPr>
            </w:pPr>
            <w:r w:rsidRPr="001910F3">
              <w:rPr>
                <w:b/>
                <w:i/>
              </w:rPr>
              <w:t>0</w:t>
            </w:r>
          </w:p>
        </w:tc>
        <w:tc>
          <w:tcPr>
            <w:tcW w:w="1276" w:type="dxa"/>
          </w:tcPr>
          <w:p w:rsidR="009B7092" w:rsidRPr="001910F3" w:rsidRDefault="009B7092" w:rsidP="008C6EF2">
            <w:pPr>
              <w:pStyle w:val="naisf"/>
              <w:spacing w:before="0" w:after="0"/>
              <w:ind w:firstLine="0"/>
              <w:rPr>
                <w:b/>
                <w:i/>
              </w:rPr>
            </w:pPr>
            <w:r w:rsidRPr="001910F3">
              <w:rPr>
                <w:b/>
                <w:i/>
              </w:rPr>
              <w:t>0</w:t>
            </w: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 xml:space="preserve">5.3. pašvaldību budžets </w:t>
            </w:r>
          </w:p>
        </w:tc>
        <w:tc>
          <w:tcPr>
            <w:tcW w:w="993" w:type="dxa"/>
            <w:vMerge/>
            <w:vAlign w:val="center"/>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rPr>
                <w:b/>
                <w:i/>
              </w:rPr>
            </w:pPr>
            <w:r w:rsidRPr="001910F3">
              <w:rPr>
                <w:b/>
                <w:i/>
              </w:rPr>
              <w:t>0</w:t>
            </w:r>
          </w:p>
        </w:tc>
        <w:tc>
          <w:tcPr>
            <w:tcW w:w="1701" w:type="dxa"/>
          </w:tcPr>
          <w:p w:rsidR="009B7092" w:rsidRPr="001910F3" w:rsidRDefault="009B7092" w:rsidP="008C6EF2">
            <w:pPr>
              <w:pStyle w:val="naisf"/>
              <w:spacing w:before="0" w:after="0"/>
              <w:ind w:firstLine="0"/>
              <w:rPr>
                <w:b/>
                <w:i/>
              </w:rPr>
            </w:pPr>
            <w:r w:rsidRPr="001910F3">
              <w:rPr>
                <w:b/>
                <w:i/>
              </w:rPr>
              <w:t>0</w:t>
            </w:r>
          </w:p>
        </w:tc>
        <w:tc>
          <w:tcPr>
            <w:tcW w:w="1275" w:type="dxa"/>
          </w:tcPr>
          <w:p w:rsidR="009B7092" w:rsidRPr="001910F3" w:rsidRDefault="009B7092" w:rsidP="008C6EF2">
            <w:pPr>
              <w:pStyle w:val="naisf"/>
              <w:spacing w:before="0" w:after="0"/>
              <w:ind w:firstLine="0"/>
              <w:rPr>
                <w:b/>
                <w:i/>
              </w:rPr>
            </w:pPr>
            <w:r w:rsidRPr="001910F3">
              <w:rPr>
                <w:b/>
                <w:i/>
              </w:rPr>
              <w:t>0</w:t>
            </w:r>
          </w:p>
        </w:tc>
        <w:tc>
          <w:tcPr>
            <w:tcW w:w="1276" w:type="dxa"/>
          </w:tcPr>
          <w:p w:rsidR="009B7092" w:rsidRPr="001910F3" w:rsidRDefault="009B7092" w:rsidP="008C6EF2">
            <w:pPr>
              <w:pStyle w:val="naisf"/>
              <w:spacing w:before="0" w:after="0"/>
              <w:ind w:firstLine="0"/>
              <w:rPr>
                <w:b/>
                <w:i/>
              </w:rPr>
            </w:pPr>
            <w:r w:rsidRPr="001910F3">
              <w:rPr>
                <w:b/>
                <w:i/>
              </w:rPr>
              <w:t>0</w:t>
            </w:r>
          </w:p>
        </w:tc>
      </w:tr>
      <w:tr w:rsidR="009B7092" w:rsidRPr="001910F3" w:rsidTr="009B7092">
        <w:tc>
          <w:tcPr>
            <w:tcW w:w="2410" w:type="dxa"/>
          </w:tcPr>
          <w:p w:rsidR="009B7092" w:rsidRPr="001910F3" w:rsidRDefault="009B7092" w:rsidP="008C6EF2">
            <w:pPr>
              <w:jc w:val="both"/>
              <w:rPr>
                <w:sz w:val="20"/>
                <w:szCs w:val="20"/>
              </w:rPr>
            </w:pPr>
            <w:r w:rsidRPr="001910F3">
              <w:rPr>
                <w:sz w:val="20"/>
                <w:szCs w:val="20"/>
              </w:rPr>
              <w:t>6. Detalizēts ieņēmumu un izdevu</w:t>
            </w:r>
            <w:r w:rsidRPr="001910F3">
              <w:rPr>
                <w:sz w:val="20"/>
                <w:szCs w:val="20"/>
              </w:rPr>
              <w:softHyphen/>
              <w:t>mu aprēķins (ja nepieciešams, detalizētu ieņēmumu un izdevumu aprēķinu var pievienot anotācijas pielikumā):</w:t>
            </w:r>
          </w:p>
        </w:tc>
        <w:tc>
          <w:tcPr>
            <w:tcW w:w="6946" w:type="dxa"/>
            <w:gridSpan w:val="5"/>
            <w:vMerge w:val="restart"/>
          </w:tcPr>
          <w:p w:rsidR="009B7092" w:rsidRPr="001910F3" w:rsidRDefault="009B7092" w:rsidP="008C6EF2">
            <w:pPr>
              <w:pStyle w:val="naisf"/>
              <w:spacing w:before="0" w:after="0"/>
              <w:ind w:firstLine="0"/>
            </w:pPr>
          </w:p>
          <w:p w:rsidR="009B7092" w:rsidRPr="001910F3" w:rsidRDefault="009B7092" w:rsidP="008C6EF2">
            <w:pPr>
              <w:pStyle w:val="naisf"/>
              <w:spacing w:before="0" w:after="0"/>
              <w:ind w:firstLine="452"/>
            </w:pPr>
          </w:p>
        </w:tc>
      </w:tr>
      <w:tr w:rsidR="009B7092" w:rsidRPr="001910F3" w:rsidTr="009B7092">
        <w:tc>
          <w:tcPr>
            <w:tcW w:w="2410" w:type="dxa"/>
          </w:tcPr>
          <w:p w:rsidR="009B7092" w:rsidRPr="001910F3" w:rsidRDefault="009B7092" w:rsidP="008C6EF2">
            <w:pPr>
              <w:jc w:val="both"/>
              <w:rPr>
                <w:sz w:val="20"/>
                <w:szCs w:val="20"/>
              </w:rPr>
            </w:pPr>
            <w:r w:rsidRPr="001910F3">
              <w:rPr>
                <w:sz w:val="20"/>
                <w:szCs w:val="20"/>
              </w:rPr>
              <w:t>6.1. detalizēts ieņēmumu aprēķins</w:t>
            </w:r>
          </w:p>
        </w:tc>
        <w:tc>
          <w:tcPr>
            <w:tcW w:w="6946" w:type="dxa"/>
            <w:gridSpan w:val="5"/>
            <w:vMerge/>
          </w:tcPr>
          <w:p w:rsidR="009B7092" w:rsidRPr="001910F3" w:rsidRDefault="009B7092" w:rsidP="008C6EF2">
            <w:pPr>
              <w:pStyle w:val="naisf"/>
              <w:spacing w:before="0" w:after="0"/>
              <w:ind w:firstLine="0"/>
              <w:rPr>
                <w:b/>
                <w:i/>
              </w:rPr>
            </w:pPr>
          </w:p>
        </w:tc>
      </w:tr>
      <w:tr w:rsidR="009B7092" w:rsidRPr="001910F3" w:rsidTr="009B7092">
        <w:tc>
          <w:tcPr>
            <w:tcW w:w="2410" w:type="dxa"/>
          </w:tcPr>
          <w:p w:rsidR="009B7092" w:rsidRPr="001910F3" w:rsidRDefault="009B7092" w:rsidP="008C6EF2">
            <w:pPr>
              <w:jc w:val="both"/>
              <w:rPr>
                <w:sz w:val="20"/>
                <w:szCs w:val="20"/>
              </w:rPr>
            </w:pPr>
            <w:r w:rsidRPr="001910F3">
              <w:rPr>
                <w:sz w:val="20"/>
                <w:szCs w:val="20"/>
              </w:rPr>
              <w:lastRenderedPageBreak/>
              <w:t>6.2. detalizēts izdevumu aprēķins</w:t>
            </w:r>
          </w:p>
        </w:tc>
        <w:tc>
          <w:tcPr>
            <w:tcW w:w="6946" w:type="dxa"/>
            <w:gridSpan w:val="5"/>
            <w:vMerge/>
          </w:tcPr>
          <w:p w:rsidR="009B7092" w:rsidRPr="001910F3" w:rsidRDefault="009B7092" w:rsidP="008C6EF2">
            <w:pPr>
              <w:pStyle w:val="naisf"/>
              <w:spacing w:before="0" w:after="0"/>
              <w:ind w:firstLine="0"/>
              <w:rPr>
                <w:b/>
                <w:i/>
              </w:rPr>
            </w:pPr>
          </w:p>
        </w:tc>
      </w:tr>
      <w:tr w:rsidR="009B7092" w:rsidRPr="001910F3" w:rsidTr="009B7092">
        <w:tc>
          <w:tcPr>
            <w:tcW w:w="2410" w:type="dxa"/>
          </w:tcPr>
          <w:p w:rsidR="002A3037" w:rsidRDefault="002A3037" w:rsidP="008C6EF2">
            <w:pPr>
              <w:jc w:val="both"/>
              <w:rPr>
                <w:sz w:val="20"/>
                <w:szCs w:val="20"/>
              </w:rPr>
            </w:pPr>
          </w:p>
          <w:p w:rsidR="009B7092" w:rsidRPr="001910F3" w:rsidRDefault="009B7092" w:rsidP="008C6EF2">
            <w:pPr>
              <w:jc w:val="both"/>
              <w:rPr>
                <w:sz w:val="20"/>
                <w:szCs w:val="20"/>
              </w:rPr>
            </w:pPr>
            <w:r w:rsidRPr="001910F3">
              <w:rPr>
                <w:sz w:val="20"/>
                <w:szCs w:val="20"/>
              </w:rPr>
              <w:t>7. Cita informācija</w:t>
            </w:r>
          </w:p>
        </w:tc>
        <w:tc>
          <w:tcPr>
            <w:tcW w:w="6946" w:type="dxa"/>
            <w:gridSpan w:val="5"/>
          </w:tcPr>
          <w:p w:rsidR="009B7092" w:rsidRPr="001910F3" w:rsidRDefault="009B7092" w:rsidP="008C6EF2">
            <w:pPr>
              <w:pStyle w:val="naisf"/>
              <w:spacing w:before="0" w:after="0"/>
              <w:ind w:firstLine="0"/>
              <w:rPr>
                <w:highlight w:val="yellow"/>
              </w:rPr>
            </w:pPr>
            <w:r w:rsidRPr="001910F3">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1609FF" w:rsidRDefault="001609FF" w:rsidP="00574FB0">
      <w:pPr>
        <w:rPr>
          <w:b/>
        </w:rPr>
      </w:pPr>
    </w:p>
    <w:p w:rsidR="00574FB0" w:rsidRDefault="00574FB0" w:rsidP="00574FB0">
      <w:pPr>
        <w:rPr>
          <w:b/>
        </w:rPr>
      </w:pPr>
      <w:r w:rsidRPr="001910F3">
        <w:rPr>
          <w:b/>
        </w:rPr>
        <w:t xml:space="preserve">Anotācijas </w:t>
      </w:r>
      <w:r w:rsidR="00146CB3" w:rsidRPr="001910F3">
        <w:rPr>
          <w:b/>
          <w:bCs/>
        </w:rPr>
        <w:t>IV,</w:t>
      </w:r>
      <w:r w:rsidRPr="001910F3">
        <w:rPr>
          <w:b/>
        </w:rPr>
        <w:t>V</w:t>
      </w:r>
      <w:r w:rsidR="00146CB3" w:rsidRPr="001910F3">
        <w:rPr>
          <w:b/>
        </w:rPr>
        <w:t>,</w:t>
      </w:r>
      <w:r w:rsidRPr="001910F3">
        <w:rPr>
          <w:b/>
        </w:rPr>
        <w:t xml:space="preserve"> un VI sadaļa –</w:t>
      </w:r>
      <w:r w:rsidR="005D21BF">
        <w:rPr>
          <w:b/>
        </w:rPr>
        <w:t xml:space="preserve"> noteikumu</w:t>
      </w:r>
      <w:r w:rsidRPr="001910F3">
        <w:rPr>
          <w:b/>
        </w:rPr>
        <w:t xml:space="preserve"> projekts šo jomu neskar.</w:t>
      </w:r>
    </w:p>
    <w:p w:rsidR="000F41F1" w:rsidRPr="001910F3"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880"/>
        <w:gridCol w:w="5939"/>
      </w:tblGrid>
      <w:tr w:rsidR="001F20CA" w:rsidRPr="001910F3" w:rsidTr="001609FF">
        <w:tc>
          <w:tcPr>
            <w:tcW w:w="9287" w:type="dxa"/>
            <w:gridSpan w:val="3"/>
            <w:shd w:val="clear" w:color="auto" w:fill="auto"/>
          </w:tcPr>
          <w:p w:rsidR="001F20CA" w:rsidRPr="001910F3" w:rsidRDefault="001F20CA" w:rsidP="00A83BDB">
            <w:pPr>
              <w:jc w:val="center"/>
            </w:pPr>
            <w:r w:rsidRPr="001910F3">
              <w:rPr>
                <w:b/>
                <w:bCs/>
              </w:rPr>
              <w:t>VII. Tiesību akta projekta izpildes nodrošināšana un tās ietekme uz institūcijām</w:t>
            </w:r>
          </w:p>
        </w:tc>
      </w:tr>
      <w:tr w:rsidR="001F20CA" w:rsidRPr="001910F3" w:rsidTr="001609FF">
        <w:tc>
          <w:tcPr>
            <w:tcW w:w="468" w:type="dxa"/>
            <w:shd w:val="clear" w:color="auto" w:fill="auto"/>
          </w:tcPr>
          <w:p w:rsidR="001F20CA" w:rsidRPr="001910F3" w:rsidRDefault="001F20CA" w:rsidP="001F20CA">
            <w:pPr>
              <w:pStyle w:val="NormalWeb"/>
            </w:pPr>
            <w:r w:rsidRPr="001910F3">
              <w:t>1.</w:t>
            </w:r>
          </w:p>
        </w:tc>
        <w:tc>
          <w:tcPr>
            <w:tcW w:w="2880" w:type="dxa"/>
            <w:shd w:val="clear" w:color="auto" w:fill="auto"/>
          </w:tcPr>
          <w:p w:rsidR="001F20CA" w:rsidRPr="001910F3" w:rsidRDefault="001F20CA" w:rsidP="001F20CA">
            <w:pPr>
              <w:pStyle w:val="NormalWeb"/>
            </w:pPr>
            <w:r w:rsidRPr="001910F3">
              <w:t>Projekta izpildē iesaistītās institūcijas</w:t>
            </w:r>
          </w:p>
        </w:tc>
        <w:tc>
          <w:tcPr>
            <w:tcW w:w="5939" w:type="dxa"/>
            <w:shd w:val="clear" w:color="auto" w:fill="auto"/>
          </w:tcPr>
          <w:p w:rsidR="001F20CA" w:rsidRPr="001910F3" w:rsidRDefault="00D92CE5" w:rsidP="004B5D16">
            <w:pPr>
              <w:pStyle w:val="NormalWeb"/>
              <w:jc w:val="both"/>
            </w:pPr>
            <w:r w:rsidRPr="001910F3">
              <w:t>Finanšu ministrija</w:t>
            </w:r>
            <w:r w:rsidR="004B5D16">
              <w:t xml:space="preserve"> un </w:t>
            </w:r>
            <w:r w:rsidR="0086687F" w:rsidRPr="001910F3">
              <w:t>Valsts kase</w:t>
            </w:r>
            <w:r w:rsidR="005D21BF">
              <w:t>.</w:t>
            </w:r>
          </w:p>
        </w:tc>
      </w:tr>
      <w:tr w:rsidR="001F20CA" w:rsidRPr="001910F3" w:rsidTr="001609FF">
        <w:tc>
          <w:tcPr>
            <w:tcW w:w="468" w:type="dxa"/>
            <w:shd w:val="clear" w:color="auto" w:fill="auto"/>
          </w:tcPr>
          <w:p w:rsidR="001F20CA" w:rsidRPr="001910F3" w:rsidRDefault="001F20CA" w:rsidP="001F20CA">
            <w:pPr>
              <w:pStyle w:val="NormalWeb"/>
            </w:pPr>
            <w:r w:rsidRPr="001910F3">
              <w:t>2.</w:t>
            </w:r>
          </w:p>
        </w:tc>
        <w:tc>
          <w:tcPr>
            <w:tcW w:w="2880" w:type="dxa"/>
            <w:shd w:val="clear" w:color="auto" w:fill="auto"/>
          </w:tcPr>
          <w:p w:rsidR="001F20CA" w:rsidRPr="001910F3" w:rsidRDefault="001F20CA" w:rsidP="001609FF">
            <w:r w:rsidRPr="001910F3">
              <w:t>Projekta izpildes ietekme uz pārvaldes funkcijām</w:t>
            </w:r>
            <w:r w:rsidR="00BA09FD">
              <w:t xml:space="preserve"> </w:t>
            </w:r>
            <w:r w:rsidR="00BA09FD" w:rsidRPr="00AD3EFF">
              <w:t>un institucionālo struktūru. Jaunu institūciju izveide, esošu institūciju likvidācija vai reorganizācija, to ietekme uz institūcijas cilvēkresursiem</w:t>
            </w:r>
          </w:p>
        </w:tc>
        <w:tc>
          <w:tcPr>
            <w:tcW w:w="5939" w:type="dxa"/>
            <w:shd w:val="clear" w:color="auto" w:fill="auto"/>
          </w:tcPr>
          <w:p w:rsidR="001F20CA" w:rsidRPr="001910F3" w:rsidRDefault="005D21BF" w:rsidP="001F20CA">
            <w:pPr>
              <w:pStyle w:val="NormalWeb"/>
            </w:pPr>
            <w:r>
              <w:t>Noteikumu p</w:t>
            </w:r>
            <w:r w:rsidR="00EA0CB5" w:rsidRPr="001910F3">
              <w:t>rojekts šo jomu neskar</w:t>
            </w:r>
            <w:r>
              <w:t>.</w:t>
            </w:r>
          </w:p>
        </w:tc>
      </w:tr>
      <w:tr w:rsidR="001F20CA" w:rsidRPr="001910F3" w:rsidTr="001609FF">
        <w:tc>
          <w:tcPr>
            <w:tcW w:w="468" w:type="dxa"/>
            <w:shd w:val="clear" w:color="auto" w:fill="auto"/>
          </w:tcPr>
          <w:p w:rsidR="001F20CA" w:rsidRPr="001910F3" w:rsidRDefault="00BA09FD" w:rsidP="001F20CA">
            <w:pPr>
              <w:pStyle w:val="NormalWeb"/>
            </w:pPr>
            <w:r>
              <w:t>3</w:t>
            </w:r>
            <w:r w:rsidR="001F20CA" w:rsidRPr="001910F3">
              <w:t>.</w:t>
            </w:r>
          </w:p>
        </w:tc>
        <w:tc>
          <w:tcPr>
            <w:tcW w:w="2880" w:type="dxa"/>
            <w:shd w:val="clear" w:color="auto" w:fill="auto"/>
          </w:tcPr>
          <w:p w:rsidR="001F20CA" w:rsidRPr="001910F3" w:rsidRDefault="001F20CA" w:rsidP="00A83BDB">
            <w:pPr>
              <w:pStyle w:val="NormalWeb"/>
              <w:spacing w:before="0" w:beforeAutospacing="0" w:after="0" w:afterAutospacing="0"/>
            </w:pPr>
            <w:r w:rsidRPr="001910F3">
              <w:t>Cita informācija</w:t>
            </w:r>
          </w:p>
        </w:tc>
        <w:tc>
          <w:tcPr>
            <w:tcW w:w="5939" w:type="dxa"/>
            <w:shd w:val="clear" w:color="auto" w:fill="auto"/>
          </w:tcPr>
          <w:p w:rsidR="001F20CA" w:rsidRPr="001910F3" w:rsidRDefault="00FA2831" w:rsidP="001F20CA">
            <w:pPr>
              <w:pStyle w:val="NormalWeb"/>
            </w:pPr>
            <w:r w:rsidRPr="001910F3">
              <w:t>Nav</w:t>
            </w:r>
            <w:r w:rsidR="005D21BF">
              <w:t>.</w:t>
            </w:r>
          </w:p>
        </w:tc>
      </w:tr>
    </w:tbl>
    <w:p w:rsidR="001F20CA" w:rsidRPr="001910F3" w:rsidRDefault="001F20CA"/>
    <w:p w:rsidR="0073500A" w:rsidRDefault="0073500A" w:rsidP="002615B9">
      <w:pPr>
        <w:rPr>
          <w:sz w:val="28"/>
          <w:szCs w:val="28"/>
        </w:rPr>
      </w:pPr>
    </w:p>
    <w:p w:rsidR="008D6286" w:rsidRPr="00E26327" w:rsidRDefault="008D6286" w:rsidP="008D6286">
      <w:pPr>
        <w:ind w:firstLine="709"/>
        <w:jc w:val="both"/>
        <w:rPr>
          <w:b/>
          <w:noProof/>
        </w:rPr>
      </w:pPr>
    </w:p>
    <w:p w:rsidR="008D6286" w:rsidRPr="00890485" w:rsidRDefault="008D6286" w:rsidP="008D6286">
      <w:pPr>
        <w:pStyle w:val="naisf"/>
        <w:spacing w:before="0" w:after="0"/>
        <w:ind w:firstLine="0"/>
        <w:rPr>
          <w:sz w:val="28"/>
          <w:szCs w:val="28"/>
        </w:rPr>
      </w:pPr>
      <w:r w:rsidRPr="00890485">
        <w:rPr>
          <w:sz w:val="28"/>
          <w:szCs w:val="28"/>
        </w:rPr>
        <w:t>Finanšu ministr</w:t>
      </w:r>
      <w:r>
        <w:rPr>
          <w:sz w:val="28"/>
          <w:szCs w:val="28"/>
        </w:rPr>
        <w:t>a</w:t>
      </w:r>
      <w:r w:rsidRPr="00890485">
        <w:rPr>
          <w:sz w:val="28"/>
          <w:szCs w:val="28"/>
        </w:rPr>
        <w:t xml:space="preserve"> vietā- </w:t>
      </w:r>
    </w:p>
    <w:p w:rsidR="006604A2" w:rsidRDefault="008D6286" w:rsidP="008D6286">
      <w:pPr>
        <w:rPr>
          <w:sz w:val="20"/>
          <w:szCs w:val="20"/>
        </w:rPr>
      </w:pPr>
      <w:proofErr w:type="spellStart"/>
      <w:r w:rsidRPr="00890485">
        <w:rPr>
          <w:sz w:val="28"/>
          <w:szCs w:val="28"/>
        </w:rPr>
        <w:t>iekšlietu</w:t>
      </w:r>
      <w:proofErr w:type="spellEnd"/>
      <w:r w:rsidRPr="00890485">
        <w:rPr>
          <w:sz w:val="28"/>
          <w:szCs w:val="28"/>
        </w:rPr>
        <w:t xml:space="preserve"> ministrs</w:t>
      </w:r>
      <w:r w:rsidRPr="00890485">
        <w:rPr>
          <w:sz w:val="28"/>
          <w:szCs w:val="28"/>
        </w:rPr>
        <w:tab/>
      </w:r>
      <w:r w:rsidRPr="00890485">
        <w:rPr>
          <w:sz w:val="28"/>
          <w:szCs w:val="28"/>
        </w:rPr>
        <w:tab/>
      </w:r>
      <w:r w:rsidRPr="00890485">
        <w:rPr>
          <w:sz w:val="28"/>
          <w:szCs w:val="28"/>
        </w:rPr>
        <w:tab/>
      </w:r>
      <w:r w:rsidRPr="00890485">
        <w:rPr>
          <w:sz w:val="28"/>
          <w:szCs w:val="28"/>
        </w:rPr>
        <w:tab/>
      </w:r>
      <w:r w:rsidRPr="00890485">
        <w:rPr>
          <w:sz w:val="28"/>
          <w:szCs w:val="28"/>
        </w:rPr>
        <w:tab/>
      </w:r>
      <w:r w:rsidRPr="00890485">
        <w:rPr>
          <w:sz w:val="28"/>
          <w:szCs w:val="28"/>
        </w:rPr>
        <w:tab/>
      </w:r>
      <w:r w:rsidR="00AB0444">
        <w:rPr>
          <w:sz w:val="28"/>
          <w:szCs w:val="28"/>
        </w:rPr>
        <w:t xml:space="preserve">                   </w:t>
      </w:r>
      <w:proofErr w:type="spellStart"/>
      <w:r w:rsidRPr="00890485">
        <w:rPr>
          <w:sz w:val="28"/>
          <w:szCs w:val="28"/>
        </w:rPr>
        <w:t>R.Kozlovskis</w:t>
      </w:r>
      <w:proofErr w:type="spellEnd"/>
    </w:p>
    <w:p w:rsidR="005D21BF" w:rsidRDefault="005D21BF" w:rsidP="0016226E">
      <w:pPr>
        <w:rPr>
          <w:sz w:val="20"/>
          <w:szCs w:val="20"/>
        </w:rPr>
      </w:pPr>
    </w:p>
    <w:p w:rsidR="005D21BF" w:rsidRDefault="005D21BF" w:rsidP="0016226E">
      <w:pPr>
        <w:rPr>
          <w:sz w:val="20"/>
          <w:szCs w:val="20"/>
        </w:rPr>
      </w:pPr>
    </w:p>
    <w:p w:rsidR="005D21BF" w:rsidRDefault="005D21BF" w:rsidP="0016226E">
      <w:pPr>
        <w:rPr>
          <w:sz w:val="20"/>
          <w:szCs w:val="20"/>
        </w:rPr>
      </w:pPr>
    </w:p>
    <w:p w:rsidR="005D21BF" w:rsidRPr="001910F3" w:rsidRDefault="005D21BF" w:rsidP="0016226E">
      <w:pPr>
        <w:rPr>
          <w:sz w:val="20"/>
          <w:szCs w:val="20"/>
        </w:rPr>
      </w:pPr>
    </w:p>
    <w:p w:rsidR="001910F3" w:rsidRPr="00DB1D3A" w:rsidRDefault="00981A0E" w:rsidP="001910F3">
      <w:pPr>
        <w:jc w:val="both"/>
        <w:rPr>
          <w:sz w:val="22"/>
          <w:szCs w:val="22"/>
        </w:rPr>
      </w:pPr>
      <w:r>
        <w:rPr>
          <w:sz w:val="22"/>
          <w:szCs w:val="22"/>
        </w:rPr>
        <w:t>31.07.2014 14:44</w:t>
      </w:r>
    </w:p>
    <w:p w:rsidR="001910F3" w:rsidRPr="00E26327" w:rsidRDefault="001910F3" w:rsidP="001910F3">
      <w:pPr>
        <w:jc w:val="both"/>
        <w:rPr>
          <w:sz w:val="22"/>
          <w:szCs w:val="22"/>
        </w:rPr>
      </w:pPr>
      <w:r w:rsidRPr="00DB1D3A">
        <w:rPr>
          <w:sz w:val="22"/>
          <w:szCs w:val="22"/>
        </w:rPr>
        <w:fldChar w:fldCharType="begin"/>
      </w:r>
      <w:r w:rsidRPr="00DB1D3A">
        <w:rPr>
          <w:sz w:val="22"/>
          <w:szCs w:val="22"/>
        </w:rPr>
        <w:instrText xml:space="preserve"> NUMWORDS  \* MERGEFORMAT </w:instrText>
      </w:r>
      <w:r w:rsidRPr="00DB1D3A">
        <w:rPr>
          <w:sz w:val="22"/>
          <w:szCs w:val="22"/>
        </w:rPr>
        <w:fldChar w:fldCharType="separate"/>
      </w:r>
      <w:r w:rsidR="00882255">
        <w:rPr>
          <w:noProof/>
          <w:sz w:val="22"/>
          <w:szCs w:val="22"/>
        </w:rPr>
        <w:t>612</w:t>
      </w:r>
      <w:r w:rsidRPr="00DB1D3A">
        <w:rPr>
          <w:noProof/>
          <w:sz w:val="22"/>
          <w:szCs w:val="22"/>
        </w:rPr>
        <w:fldChar w:fldCharType="end"/>
      </w:r>
    </w:p>
    <w:p w:rsidR="00A72C5A" w:rsidRPr="001910F3" w:rsidRDefault="005D21BF">
      <w:pPr>
        <w:rPr>
          <w:sz w:val="22"/>
          <w:szCs w:val="22"/>
          <w:lang w:eastAsia="en-US"/>
        </w:rPr>
      </w:pPr>
      <w:r>
        <w:rPr>
          <w:sz w:val="22"/>
          <w:szCs w:val="22"/>
          <w:lang w:eastAsia="en-US"/>
        </w:rPr>
        <w:t>I.</w:t>
      </w:r>
      <w:r w:rsidR="00A72C5A" w:rsidRPr="001910F3">
        <w:rPr>
          <w:sz w:val="22"/>
          <w:szCs w:val="22"/>
          <w:lang w:eastAsia="en-US"/>
        </w:rPr>
        <w:t>Šuksta</w:t>
      </w:r>
    </w:p>
    <w:p w:rsidR="001F20CA" w:rsidRPr="001910F3" w:rsidRDefault="006604A2">
      <w:r w:rsidRPr="001910F3">
        <w:rPr>
          <w:sz w:val="22"/>
          <w:szCs w:val="22"/>
          <w:lang w:eastAsia="en-US"/>
        </w:rPr>
        <w:t>670942</w:t>
      </w:r>
      <w:r w:rsidR="00A72C5A" w:rsidRPr="001910F3">
        <w:rPr>
          <w:sz w:val="22"/>
          <w:szCs w:val="22"/>
          <w:lang w:eastAsia="en-US"/>
        </w:rPr>
        <w:t>10</w:t>
      </w:r>
      <w:r w:rsidRPr="001910F3">
        <w:rPr>
          <w:sz w:val="22"/>
          <w:szCs w:val="22"/>
          <w:lang w:eastAsia="en-US"/>
        </w:rPr>
        <w:t xml:space="preserve">, </w:t>
      </w:r>
      <w:r w:rsidR="00A72C5A" w:rsidRPr="001910F3">
        <w:rPr>
          <w:sz w:val="22"/>
          <w:szCs w:val="22"/>
          <w:lang w:eastAsia="en-US"/>
        </w:rPr>
        <w:t>irena.suksta</w:t>
      </w:r>
      <w:r w:rsidRPr="001910F3">
        <w:rPr>
          <w:sz w:val="22"/>
          <w:szCs w:val="22"/>
          <w:lang w:eastAsia="en-US"/>
        </w:rPr>
        <w:t>@kase.g</w:t>
      </w:r>
      <w:bookmarkStart w:id="0" w:name="_GoBack"/>
      <w:bookmarkEnd w:id="0"/>
      <w:r w:rsidRPr="001910F3">
        <w:rPr>
          <w:sz w:val="22"/>
          <w:szCs w:val="22"/>
          <w:lang w:eastAsia="en-US"/>
        </w:rPr>
        <w:t>ov.lv</w:t>
      </w:r>
    </w:p>
    <w:sectPr w:rsidR="001F20CA" w:rsidRPr="001910F3" w:rsidSect="0078029C">
      <w:headerReference w:type="default" r:id="rId8"/>
      <w:footerReference w:type="default" r:id="rId9"/>
      <w:headerReference w:type="firs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8D" w:rsidRDefault="0084498D">
      <w:r>
        <w:separator/>
      </w:r>
    </w:p>
  </w:endnote>
  <w:endnote w:type="continuationSeparator" w:id="0">
    <w:p w:rsidR="0084498D" w:rsidRDefault="0084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8" w:rsidRDefault="00882255" w:rsidP="005D21BF">
    <w:pPr>
      <w:pStyle w:val="Footer"/>
    </w:pPr>
    <w:r>
      <w:fldChar w:fldCharType="begin"/>
    </w:r>
    <w:r>
      <w:instrText xml:space="preserve"> FILENAME </w:instrText>
    </w:r>
    <w:r>
      <w:fldChar w:fldCharType="separate"/>
    </w:r>
    <w:r>
      <w:rPr>
        <w:noProof/>
      </w:rPr>
      <w:t>FMAnot_310714_groz.</w:t>
    </w:r>
    <w:r>
      <w:rPr>
        <w:noProof/>
      </w:rPr>
      <w:fldChar w:fldCharType="end"/>
    </w:r>
    <w:r w:rsidR="005D21BF" w:rsidRPr="00E6248E">
      <w:t>;</w:t>
    </w:r>
    <w:r w:rsidR="005D21BF">
      <w:t xml:space="preserve"> </w:t>
    </w:r>
    <w:r w:rsidR="005D21BF" w:rsidRPr="00E6248E">
      <w:t>Ministru kabineta noteikumu projekta „</w:t>
    </w:r>
    <w:r w:rsidR="005D21BF" w:rsidRPr="00A7297A">
      <w:t>Grozījum</w:t>
    </w:r>
    <w:r w:rsidR="005D21BF">
      <w:t>s</w:t>
    </w:r>
    <w:r w:rsidR="005D21BF" w:rsidRPr="00A7297A">
      <w:t xml:space="preserve"> Ministru kabineta 2012.gada 29.maija noteikumos Nr.375 </w:t>
    </w:r>
    <w:r w:rsidR="005D21BF">
      <w:t>„</w:t>
    </w:r>
    <w:r w:rsidR="005D21BF" w:rsidRPr="00A7297A">
      <w:t>Saimnieciskā gada pārskata sagatavošanas kārtība”</w:t>
    </w:r>
    <w:r w:rsidR="005D21BF">
      <w:t>”</w:t>
    </w:r>
    <w:r w:rsidR="005D21BF" w:rsidRPr="00E6248E">
      <w:t xml:space="preserve"> sākotnējās ietekmes novērtējuma ziņojums (anotācija)</w:t>
    </w:r>
    <w:r w:rsidR="005D21BF" w:rsidRPr="00E6248E" w:rsidDel="005D21B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8" w:rsidRDefault="00D70B7F" w:rsidP="00E163D9">
    <w:pPr>
      <w:pStyle w:val="Heading4"/>
      <w:spacing w:before="0" w:beforeAutospacing="0" w:after="0" w:afterAutospacing="0"/>
      <w:jc w:val="both"/>
    </w:pPr>
    <w:r w:rsidRPr="00E6248E">
      <w:rPr>
        <w:b w:val="0"/>
      </w:rPr>
      <w:fldChar w:fldCharType="begin"/>
    </w:r>
    <w:r w:rsidR="006B7A58" w:rsidRPr="00E6248E">
      <w:rPr>
        <w:b w:val="0"/>
      </w:rPr>
      <w:instrText xml:space="preserve"> FILENAME </w:instrText>
    </w:r>
    <w:r w:rsidRPr="00E6248E">
      <w:rPr>
        <w:b w:val="0"/>
      </w:rPr>
      <w:fldChar w:fldCharType="separate"/>
    </w:r>
    <w:r w:rsidR="00882255">
      <w:rPr>
        <w:b w:val="0"/>
        <w:noProof/>
      </w:rPr>
      <w:t>FMAnot_310714_groz.docx</w:t>
    </w:r>
    <w:r w:rsidRPr="00E6248E">
      <w:rPr>
        <w:b w:val="0"/>
      </w:rPr>
      <w:fldChar w:fldCharType="end"/>
    </w:r>
    <w:r w:rsidR="006B7A58" w:rsidRPr="00E6248E">
      <w:rPr>
        <w:b w:val="0"/>
      </w:rPr>
      <w:t>;</w:t>
    </w:r>
    <w:r w:rsidR="009B3FCD">
      <w:rPr>
        <w:b w:val="0"/>
      </w:rPr>
      <w:t xml:space="preserve"> </w:t>
    </w:r>
    <w:r w:rsidR="006B7A58" w:rsidRPr="00E6248E">
      <w:rPr>
        <w:b w:val="0"/>
      </w:rPr>
      <w:t>Ministru kabineta noteikumu projekta „</w:t>
    </w:r>
    <w:r w:rsidR="00065100" w:rsidRPr="00A7297A">
      <w:rPr>
        <w:b w:val="0"/>
      </w:rPr>
      <w:t>Grozījum</w:t>
    </w:r>
    <w:r w:rsidR="00422444">
      <w:rPr>
        <w:b w:val="0"/>
      </w:rPr>
      <w:t>s</w:t>
    </w:r>
    <w:r w:rsidR="00065100" w:rsidRPr="00A7297A">
      <w:rPr>
        <w:b w:val="0"/>
      </w:rPr>
      <w:t xml:space="preserve"> Ministru kabineta 2012.gada 29.maija noteikumos Nr.375 </w:t>
    </w:r>
    <w:r w:rsidR="005D21BF">
      <w:rPr>
        <w:b w:val="0"/>
      </w:rPr>
      <w:t>„</w:t>
    </w:r>
    <w:r w:rsidR="00065100" w:rsidRPr="00A7297A">
      <w:rPr>
        <w:b w:val="0"/>
      </w:rPr>
      <w:t>Saimnieciskā gada pārskata sagatavošanas kārtība”</w:t>
    </w:r>
    <w:r w:rsidR="006B7A58">
      <w:rPr>
        <w:b w:val="0"/>
      </w:rPr>
      <w:t>”</w:t>
    </w:r>
    <w:r w:rsidR="006B7A58" w:rsidRPr="00E6248E">
      <w:rPr>
        <w:b w:val="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8D" w:rsidRDefault="0084498D">
      <w:r>
        <w:separator/>
      </w:r>
    </w:p>
  </w:footnote>
  <w:footnote w:type="continuationSeparator" w:id="0">
    <w:p w:rsidR="0084498D" w:rsidRDefault="0084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8" w:rsidRDefault="00D70B7F">
    <w:pPr>
      <w:pStyle w:val="Header"/>
      <w:jc w:val="center"/>
    </w:pPr>
    <w:r>
      <w:fldChar w:fldCharType="begin"/>
    </w:r>
    <w:r w:rsidR="006B7A58">
      <w:instrText xml:space="preserve"> PAGE   \* MERGEFORMAT </w:instrText>
    </w:r>
    <w:r>
      <w:fldChar w:fldCharType="separate"/>
    </w:r>
    <w:r w:rsidR="00981A0E">
      <w:rPr>
        <w:noProof/>
      </w:rPr>
      <w:t>2</w:t>
    </w:r>
    <w:r>
      <w:rPr>
        <w:noProof/>
      </w:rPr>
      <w:fldChar w:fldCharType="end"/>
    </w:r>
  </w:p>
  <w:p w:rsidR="006B7A58" w:rsidRDefault="006B7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8" w:rsidRDefault="006B7A58" w:rsidP="009951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B1C"/>
    <w:multiLevelType w:val="hybridMultilevel"/>
    <w:tmpl w:val="A896F144"/>
    <w:lvl w:ilvl="0" w:tplc="7040B28A">
      <w:start w:val="1"/>
      <w:numFmt w:val="decimal"/>
      <w:lvlText w:val="%1."/>
      <w:lvlJc w:val="left"/>
      <w:pPr>
        <w:ind w:left="720" w:hanging="360"/>
      </w:pPr>
      <w:rPr>
        <w:b w:val="0"/>
      </w:rPr>
    </w:lvl>
    <w:lvl w:ilvl="1" w:tplc="04090019">
      <w:start w:val="1"/>
      <w:numFmt w:val="lowerLetter"/>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96BDF"/>
    <w:multiLevelType w:val="hybridMultilevel"/>
    <w:tmpl w:val="E7064D88"/>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12C71B1E"/>
    <w:multiLevelType w:val="hybridMultilevel"/>
    <w:tmpl w:val="A770DDC0"/>
    <w:lvl w:ilvl="0" w:tplc="F776107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
    <w:nsid w:val="16C52B22"/>
    <w:multiLevelType w:val="hybridMultilevel"/>
    <w:tmpl w:val="EDE0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47C30"/>
    <w:multiLevelType w:val="hybridMultilevel"/>
    <w:tmpl w:val="4FA272D6"/>
    <w:lvl w:ilvl="0" w:tplc="0426000F">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5">
    <w:nsid w:val="194C3039"/>
    <w:multiLevelType w:val="multilevel"/>
    <w:tmpl w:val="70421C6E"/>
    <w:lvl w:ilvl="0">
      <w:start w:val="1"/>
      <w:numFmt w:val="decimal"/>
      <w:lvlText w:val="%1."/>
      <w:lvlJc w:val="left"/>
      <w:pPr>
        <w:ind w:left="915" w:hanging="615"/>
      </w:pPr>
      <w:rPr>
        <w:rFonts w:hint="default"/>
        <w:b w:val="0"/>
      </w:rPr>
    </w:lvl>
    <w:lvl w:ilvl="1">
      <w:start w:val="1"/>
      <w:numFmt w:val="decimal"/>
      <w:isLgl/>
      <w:lvlText w:val="%1.%2."/>
      <w:lvlJc w:val="left"/>
      <w:pPr>
        <w:ind w:left="1854"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6">
    <w:nsid w:val="21E44E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D535D2"/>
    <w:multiLevelType w:val="hybridMultilevel"/>
    <w:tmpl w:val="92761FC0"/>
    <w:lvl w:ilvl="0" w:tplc="5D1216C6">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2EFB1C97"/>
    <w:multiLevelType w:val="hybridMultilevel"/>
    <w:tmpl w:val="AD96D03A"/>
    <w:lvl w:ilvl="0" w:tplc="0409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31A13441"/>
    <w:multiLevelType w:val="multilevel"/>
    <w:tmpl w:val="0F30290E"/>
    <w:lvl w:ilvl="0">
      <w:start w:val="1"/>
      <w:numFmt w:val="decimal"/>
      <w:lvlText w:val="%1."/>
      <w:lvlJc w:val="left"/>
      <w:pPr>
        <w:ind w:left="720" w:hanging="360"/>
      </w:pPr>
      <w:rPr>
        <w:rFonts w:hint="default"/>
        <w:i w:val="0"/>
      </w:rPr>
    </w:lvl>
    <w:lvl w:ilvl="1">
      <w:start w:val="2"/>
      <w:numFmt w:val="decimal"/>
      <w:isLgl/>
      <w:lvlText w:val="%1.%2."/>
      <w:lvlJc w:val="left"/>
      <w:pPr>
        <w:ind w:left="1434" w:hanging="1020"/>
      </w:pPr>
      <w:rPr>
        <w:rFonts w:hint="default"/>
      </w:rPr>
    </w:lvl>
    <w:lvl w:ilvl="2">
      <w:start w:val="1"/>
      <w:numFmt w:val="decimal"/>
      <w:isLgl/>
      <w:lvlText w:val="%1.%2.%3."/>
      <w:lvlJc w:val="left"/>
      <w:pPr>
        <w:ind w:left="1488" w:hanging="1020"/>
      </w:pPr>
      <w:rPr>
        <w:rFonts w:hint="default"/>
      </w:rPr>
    </w:lvl>
    <w:lvl w:ilvl="3">
      <w:start w:val="1"/>
      <w:numFmt w:val="decimal"/>
      <w:isLgl/>
      <w:lvlText w:val="%1.%2.%3.%4."/>
      <w:lvlJc w:val="left"/>
      <w:pPr>
        <w:ind w:left="1542" w:hanging="10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0">
    <w:nsid w:val="334E626D"/>
    <w:multiLevelType w:val="hybridMultilevel"/>
    <w:tmpl w:val="EC727EA2"/>
    <w:lvl w:ilvl="0" w:tplc="AF4459C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82809D6"/>
    <w:multiLevelType w:val="hybridMultilevel"/>
    <w:tmpl w:val="2E3866CE"/>
    <w:lvl w:ilvl="0" w:tplc="05340E5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nsid w:val="3C234EF0"/>
    <w:multiLevelType w:val="multilevel"/>
    <w:tmpl w:val="1F52D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95B06"/>
    <w:multiLevelType w:val="hybridMultilevel"/>
    <w:tmpl w:val="8D28B0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48975FD"/>
    <w:multiLevelType w:val="multilevel"/>
    <w:tmpl w:val="3BA6A3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7D0A65"/>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nsid w:val="47CD5622"/>
    <w:multiLevelType w:val="hybridMultilevel"/>
    <w:tmpl w:val="6CAEDEFC"/>
    <w:lvl w:ilvl="0" w:tplc="332C873C">
      <w:start w:val="1"/>
      <w:numFmt w:val="decimal"/>
      <w:lvlText w:val="%1."/>
      <w:lvlJc w:val="left"/>
      <w:pPr>
        <w:ind w:left="324" w:hanging="360"/>
      </w:pPr>
      <w:rPr>
        <w:rFonts w:hint="default"/>
      </w:rPr>
    </w:lvl>
    <w:lvl w:ilvl="1" w:tplc="04260019" w:tentative="1">
      <w:start w:val="1"/>
      <w:numFmt w:val="lowerLetter"/>
      <w:lvlText w:val="%2."/>
      <w:lvlJc w:val="left"/>
      <w:pPr>
        <w:ind w:left="1044" w:hanging="360"/>
      </w:pPr>
    </w:lvl>
    <w:lvl w:ilvl="2" w:tplc="0426001B" w:tentative="1">
      <w:start w:val="1"/>
      <w:numFmt w:val="lowerRoman"/>
      <w:lvlText w:val="%3."/>
      <w:lvlJc w:val="right"/>
      <w:pPr>
        <w:ind w:left="1764" w:hanging="180"/>
      </w:pPr>
    </w:lvl>
    <w:lvl w:ilvl="3" w:tplc="0426000F" w:tentative="1">
      <w:start w:val="1"/>
      <w:numFmt w:val="decimal"/>
      <w:lvlText w:val="%4."/>
      <w:lvlJc w:val="left"/>
      <w:pPr>
        <w:ind w:left="2484" w:hanging="360"/>
      </w:pPr>
    </w:lvl>
    <w:lvl w:ilvl="4" w:tplc="04260019" w:tentative="1">
      <w:start w:val="1"/>
      <w:numFmt w:val="lowerLetter"/>
      <w:lvlText w:val="%5."/>
      <w:lvlJc w:val="left"/>
      <w:pPr>
        <w:ind w:left="3204" w:hanging="360"/>
      </w:pPr>
    </w:lvl>
    <w:lvl w:ilvl="5" w:tplc="0426001B" w:tentative="1">
      <w:start w:val="1"/>
      <w:numFmt w:val="lowerRoman"/>
      <w:lvlText w:val="%6."/>
      <w:lvlJc w:val="right"/>
      <w:pPr>
        <w:ind w:left="3924" w:hanging="180"/>
      </w:pPr>
    </w:lvl>
    <w:lvl w:ilvl="6" w:tplc="0426000F" w:tentative="1">
      <w:start w:val="1"/>
      <w:numFmt w:val="decimal"/>
      <w:lvlText w:val="%7."/>
      <w:lvlJc w:val="left"/>
      <w:pPr>
        <w:ind w:left="4644" w:hanging="360"/>
      </w:pPr>
    </w:lvl>
    <w:lvl w:ilvl="7" w:tplc="04260019" w:tentative="1">
      <w:start w:val="1"/>
      <w:numFmt w:val="lowerLetter"/>
      <w:lvlText w:val="%8."/>
      <w:lvlJc w:val="left"/>
      <w:pPr>
        <w:ind w:left="5364" w:hanging="360"/>
      </w:pPr>
    </w:lvl>
    <w:lvl w:ilvl="8" w:tplc="0426001B" w:tentative="1">
      <w:start w:val="1"/>
      <w:numFmt w:val="lowerRoman"/>
      <w:lvlText w:val="%9."/>
      <w:lvlJc w:val="right"/>
      <w:pPr>
        <w:ind w:left="6084" w:hanging="180"/>
      </w:pPr>
    </w:lvl>
  </w:abstractNum>
  <w:abstractNum w:abstractNumId="17">
    <w:nsid w:val="4F610505"/>
    <w:multiLevelType w:val="hybridMultilevel"/>
    <w:tmpl w:val="27B22070"/>
    <w:lvl w:ilvl="0" w:tplc="907E97D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nsid w:val="51A90F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9A5178"/>
    <w:multiLevelType w:val="hybridMultilevel"/>
    <w:tmpl w:val="401A9238"/>
    <w:lvl w:ilvl="0" w:tplc="D990FF06">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CB6DF6"/>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1">
    <w:nsid w:val="65C20301"/>
    <w:multiLevelType w:val="hybridMultilevel"/>
    <w:tmpl w:val="D5CC8444"/>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2">
    <w:nsid w:val="6AFC1D27"/>
    <w:multiLevelType w:val="hybridMultilevel"/>
    <w:tmpl w:val="481CD87E"/>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3">
    <w:nsid w:val="72ED353C"/>
    <w:multiLevelType w:val="hybridMultilevel"/>
    <w:tmpl w:val="164CE260"/>
    <w:lvl w:ilvl="0" w:tplc="37D8A39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7663759D"/>
    <w:multiLevelType w:val="multilevel"/>
    <w:tmpl w:val="E29E433E"/>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5">
    <w:nsid w:val="770007A7"/>
    <w:multiLevelType w:val="hybridMultilevel"/>
    <w:tmpl w:val="97E492EC"/>
    <w:lvl w:ilvl="0" w:tplc="A94A029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7D046843"/>
    <w:multiLevelType w:val="multilevel"/>
    <w:tmpl w:val="20606E9E"/>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7">
    <w:nsid w:val="7FF76E43"/>
    <w:multiLevelType w:val="multilevel"/>
    <w:tmpl w:val="B76C4466"/>
    <w:lvl w:ilvl="0">
      <w:start w:val="1"/>
      <w:numFmt w:val="decimal"/>
      <w:lvlText w:val="%1."/>
      <w:lvlJc w:val="left"/>
      <w:pPr>
        <w:ind w:left="915" w:hanging="615"/>
      </w:pPr>
      <w:rPr>
        <w:rFonts w:hint="default"/>
        <w:b w:val="0"/>
      </w:rPr>
    </w:lvl>
    <w:lvl w:ilvl="1">
      <w:start w:val="1"/>
      <w:numFmt w:val="decimal"/>
      <w:isLgl/>
      <w:lvlText w:val="%1.%2."/>
      <w:lvlJc w:val="left"/>
      <w:pPr>
        <w:ind w:left="1854"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12"/>
  </w:num>
  <w:num w:numId="2">
    <w:abstractNumId w:val="10"/>
  </w:num>
  <w:num w:numId="3">
    <w:abstractNumId w:val="1"/>
  </w:num>
  <w:num w:numId="4">
    <w:abstractNumId w:val="8"/>
  </w:num>
  <w:num w:numId="5">
    <w:abstractNumId w:val="22"/>
  </w:num>
  <w:num w:numId="6">
    <w:abstractNumId w:val="23"/>
  </w:num>
  <w:num w:numId="7">
    <w:abstractNumId w:val="7"/>
  </w:num>
  <w:num w:numId="8">
    <w:abstractNumId w:val="18"/>
  </w:num>
  <w:num w:numId="9">
    <w:abstractNumId w:val="2"/>
  </w:num>
  <w:num w:numId="10">
    <w:abstractNumId w:val="11"/>
  </w:num>
  <w:num w:numId="11">
    <w:abstractNumId w:val="13"/>
  </w:num>
  <w:num w:numId="12">
    <w:abstractNumId w:val="21"/>
  </w:num>
  <w:num w:numId="13">
    <w:abstractNumId w:val="9"/>
  </w:num>
  <w:num w:numId="14">
    <w:abstractNumId w:val="24"/>
  </w:num>
  <w:num w:numId="15">
    <w:abstractNumId w:val="26"/>
  </w:num>
  <w:num w:numId="16">
    <w:abstractNumId w:val="27"/>
  </w:num>
  <w:num w:numId="17">
    <w:abstractNumId w:val="4"/>
  </w:num>
  <w:num w:numId="18">
    <w:abstractNumId w:val="20"/>
  </w:num>
  <w:num w:numId="19">
    <w:abstractNumId w:val="15"/>
  </w:num>
  <w:num w:numId="20">
    <w:abstractNumId w:val="25"/>
  </w:num>
  <w:num w:numId="21">
    <w:abstractNumId w:val="16"/>
  </w:num>
  <w:num w:numId="22">
    <w:abstractNumId w:val="3"/>
  </w:num>
  <w:num w:numId="23">
    <w:abstractNumId w:val="0"/>
  </w:num>
  <w:num w:numId="24">
    <w:abstractNumId w:val="17"/>
  </w:num>
  <w:num w:numId="25">
    <w:abstractNumId w:val="19"/>
  </w:num>
  <w:num w:numId="26">
    <w:abstractNumId w:val="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F1"/>
    <w:rsid w:val="00000CB4"/>
    <w:rsid w:val="00002897"/>
    <w:rsid w:val="00005FAB"/>
    <w:rsid w:val="000107F7"/>
    <w:rsid w:val="00014EE3"/>
    <w:rsid w:val="00021EE3"/>
    <w:rsid w:val="0002233E"/>
    <w:rsid w:val="00027279"/>
    <w:rsid w:val="00032F9E"/>
    <w:rsid w:val="0003577D"/>
    <w:rsid w:val="00036CBB"/>
    <w:rsid w:val="0005298C"/>
    <w:rsid w:val="0006367E"/>
    <w:rsid w:val="00065100"/>
    <w:rsid w:val="000659C0"/>
    <w:rsid w:val="00066545"/>
    <w:rsid w:val="00067ED5"/>
    <w:rsid w:val="00070F19"/>
    <w:rsid w:val="00072910"/>
    <w:rsid w:val="00080DD8"/>
    <w:rsid w:val="00081D23"/>
    <w:rsid w:val="000849E6"/>
    <w:rsid w:val="00087E32"/>
    <w:rsid w:val="000A11E4"/>
    <w:rsid w:val="000A350E"/>
    <w:rsid w:val="000A5D04"/>
    <w:rsid w:val="000A6F07"/>
    <w:rsid w:val="000B0B9D"/>
    <w:rsid w:val="000B5327"/>
    <w:rsid w:val="000B7D60"/>
    <w:rsid w:val="000C03B9"/>
    <w:rsid w:val="000D0790"/>
    <w:rsid w:val="000D7DC7"/>
    <w:rsid w:val="000E29DC"/>
    <w:rsid w:val="000E3632"/>
    <w:rsid w:val="000E7315"/>
    <w:rsid w:val="000F41F1"/>
    <w:rsid w:val="000F7AB7"/>
    <w:rsid w:val="001008CA"/>
    <w:rsid w:val="00105B37"/>
    <w:rsid w:val="00125C74"/>
    <w:rsid w:val="00142349"/>
    <w:rsid w:val="0014438A"/>
    <w:rsid w:val="001454EA"/>
    <w:rsid w:val="00146CB3"/>
    <w:rsid w:val="0015231A"/>
    <w:rsid w:val="001609FF"/>
    <w:rsid w:val="0016166B"/>
    <w:rsid w:val="0016226E"/>
    <w:rsid w:val="001654D7"/>
    <w:rsid w:val="00167AA7"/>
    <w:rsid w:val="00170734"/>
    <w:rsid w:val="00181B0B"/>
    <w:rsid w:val="00182E92"/>
    <w:rsid w:val="00183FB0"/>
    <w:rsid w:val="001910F3"/>
    <w:rsid w:val="001974B4"/>
    <w:rsid w:val="001A1572"/>
    <w:rsid w:val="001A3BE7"/>
    <w:rsid w:val="001A44A1"/>
    <w:rsid w:val="001A7B4D"/>
    <w:rsid w:val="001B2882"/>
    <w:rsid w:val="001B5664"/>
    <w:rsid w:val="001D044F"/>
    <w:rsid w:val="001D2503"/>
    <w:rsid w:val="001D29DF"/>
    <w:rsid w:val="001E2463"/>
    <w:rsid w:val="001E7075"/>
    <w:rsid w:val="001F11CE"/>
    <w:rsid w:val="001F20CA"/>
    <w:rsid w:val="00200022"/>
    <w:rsid w:val="0020242D"/>
    <w:rsid w:val="00204E3B"/>
    <w:rsid w:val="00224CAE"/>
    <w:rsid w:val="002260A9"/>
    <w:rsid w:val="002262E6"/>
    <w:rsid w:val="002363BE"/>
    <w:rsid w:val="002372C0"/>
    <w:rsid w:val="0023783C"/>
    <w:rsid w:val="002401F6"/>
    <w:rsid w:val="00241B7D"/>
    <w:rsid w:val="00251597"/>
    <w:rsid w:val="00260E09"/>
    <w:rsid w:val="002615B9"/>
    <w:rsid w:val="002655FF"/>
    <w:rsid w:val="0028562E"/>
    <w:rsid w:val="0029070D"/>
    <w:rsid w:val="00291EB5"/>
    <w:rsid w:val="00294883"/>
    <w:rsid w:val="0029702C"/>
    <w:rsid w:val="002A063E"/>
    <w:rsid w:val="002A3037"/>
    <w:rsid w:val="002B08D3"/>
    <w:rsid w:val="002B292D"/>
    <w:rsid w:val="002C3C1C"/>
    <w:rsid w:val="002C3DBD"/>
    <w:rsid w:val="002D2AE4"/>
    <w:rsid w:val="002D5C82"/>
    <w:rsid w:val="002E15E6"/>
    <w:rsid w:val="002E7F01"/>
    <w:rsid w:val="002F4193"/>
    <w:rsid w:val="00301879"/>
    <w:rsid w:val="0030193E"/>
    <w:rsid w:val="003023FA"/>
    <w:rsid w:val="003046B1"/>
    <w:rsid w:val="003216A5"/>
    <w:rsid w:val="00322047"/>
    <w:rsid w:val="00323F5C"/>
    <w:rsid w:val="003264CC"/>
    <w:rsid w:val="00342934"/>
    <w:rsid w:val="00351A19"/>
    <w:rsid w:val="003528A5"/>
    <w:rsid w:val="003636D9"/>
    <w:rsid w:val="00363B84"/>
    <w:rsid w:val="003775AA"/>
    <w:rsid w:val="003861A7"/>
    <w:rsid w:val="00393820"/>
    <w:rsid w:val="00397982"/>
    <w:rsid w:val="003A0DF9"/>
    <w:rsid w:val="003A1038"/>
    <w:rsid w:val="003A77D3"/>
    <w:rsid w:val="003B17FF"/>
    <w:rsid w:val="003B1F05"/>
    <w:rsid w:val="003C467E"/>
    <w:rsid w:val="003D0C91"/>
    <w:rsid w:val="003D5F7F"/>
    <w:rsid w:val="003E12AA"/>
    <w:rsid w:val="003E2868"/>
    <w:rsid w:val="003F1668"/>
    <w:rsid w:val="003F2F32"/>
    <w:rsid w:val="003F5BB6"/>
    <w:rsid w:val="003F7F27"/>
    <w:rsid w:val="00400C92"/>
    <w:rsid w:val="0040372C"/>
    <w:rsid w:val="00404EC8"/>
    <w:rsid w:val="0040769D"/>
    <w:rsid w:val="00412614"/>
    <w:rsid w:val="00422444"/>
    <w:rsid w:val="00427D02"/>
    <w:rsid w:val="00433123"/>
    <w:rsid w:val="00435F83"/>
    <w:rsid w:val="0043641D"/>
    <w:rsid w:val="00445652"/>
    <w:rsid w:val="0044608F"/>
    <w:rsid w:val="004505CC"/>
    <w:rsid w:val="00460402"/>
    <w:rsid w:val="0046789E"/>
    <w:rsid w:val="00470FD8"/>
    <w:rsid w:val="004715E3"/>
    <w:rsid w:val="00472BB8"/>
    <w:rsid w:val="0048581B"/>
    <w:rsid w:val="00486E33"/>
    <w:rsid w:val="00490C73"/>
    <w:rsid w:val="00493DAF"/>
    <w:rsid w:val="0049512E"/>
    <w:rsid w:val="004A05B3"/>
    <w:rsid w:val="004A51B6"/>
    <w:rsid w:val="004A6300"/>
    <w:rsid w:val="004B03A6"/>
    <w:rsid w:val="004B326F"/>
    <w:rsid w:val="004B3386"/>
    <w:rsid w:val="004B4278"/>
    <w:rsid w:val="004B5D16"/>
    <w:rsid w:val="004B7281"/>
    <w:rsid w:val="004C06AC"/>
    <w:rsid w:val="004C58E5"/>
    <w:rsid w:val="004C5F7E"/>
    <w:rsid w:val="004C7A53"/>
    <w:rsid w:val="004D62D7"/>
    <w:rsid w:val="004E3E7C"/>
    <w:rsid w:val="004E7916"/>
    <w:rsid w:val="004F2D63"/>
    <w:rsid w:val="004F3AE8"/>
    <w:rsid w:val="004F3D84"/>
    <w:rsid w:val="0050284C"/>
    <w:rsid w:val="00507157"/>
    <w:rsid w:val="00507951"/>
    <w:rsid w:val="00510C9C"/>
    <w:rsid w:val="00510DCB"/>
    <w:rsid w:val="00510E72"/>
    <w:rsid w:val="005114B6"/>
    <w:rsid w:val="005142CA"/>
    <w:rsid w:val="00517225"/>
    <w:rsid w:val="005206B8"/>
    <w:rsid w:val="005272F5"/>
    <w:rsid w:val="00530F55"/>
    <w:rsid w:val="00531706"/>
    <w:rsid w:val="005327C9"/>
    <w:rsid w:val="00536B16"/>
    <w:rsid w:val="005375C1"/>
    <w:rsid w:val="005451EC"/>
    <w:rsid w:val="00547988"/>
    <w:rsid w:val="00550066"/>
    <w:rsid w:val="005504A6"/>
    <w:rsid w:val="00567244"/>
    <w:rsid w:val="00572D49"/>
    <w:rsid w:val="00574FB0"/>
    <w:rsid w:val="005975A6"/>
    <w:rsid w:val="00597C7D"/>
    <w:rsid w:val="005A2AA1"/>
    <w:rsid w:val="005A37AE"/>
    <w:rsid w:val="005B3DC6"/>
    <w:rsid w:val="005B3EE5"/>
    <w:rsid w:val="005B4610"/>
    <w:rsid w:val="005C16A3"/>
    <w:rsid w:val="005C25E1"/>
    <w:rsid w:val="005D21BF"/>
    <w:rsid w:val="005D3322"/>
    <w:rsid w:val="005D39F1"/>
    <w:rsid w:val="005D3DF0"/>
    <w:rsid w:val="005F47AF"/>
    <w:rsid w:val="00604B95"/>
    <w:rsid w:val="00626858"/>
    <w:rsid w:val="006359F8"/>
    <w:rsid w:val="00642EC3"/>
    <w:rsid w:val="006458AF"/>
    <w:rsid w:val="006462BA"/>
    <w:rsid w:val="00647B63"/>
    <w:rsid w:val="006604A2"/>
    <w:rsid w:val="00666F32"/>
    <w:rsid w:val="00673DAD"/>
    <w:rsid w:val="006759C4"/>
    <w:rsid w:val="006769C6"/>
    <w:rsid w:val="00680DC2"/>
    <w:rsid w:val="006853AF"/>
    <w:rsid w:val="006936AA"/>
    <w:rsid w:val="00693998"/>
    <w:rsid w:val="006B50FC"/>
    <w:rsid w:val="006B715D"/>
    <w:rsid w:val="006B7A58"/>
    <w:rsid w:val="006B7B6A"/>
    <w:rsid w:val="006C4EB7"/>
    <w:rsid w:val="006C7277"/>
    <w:rsid w:val="006E1223"/>
    <w:rsid w:val="006E4E4B"/>
    <w:rsid w:val="007001A8"/>
    <w:rsid w:val="007137D1"/>
    <w:rsid w:val="00714B7B"/>
    <w:rsid w:val="00715B9E"/>
    <w:rsid w:val="00724727"/>
    <w:rsid w:val="00725923"/>
    <w:rsid w:val="0073500A"/>
    <w:rsid w:val="00740252"/>
    <w:rsid w:val="007409A9"/>
    <w:rsid w:val="00742CAE"/>
    <w:rsid w:val="007469E9"/>
    <w:rsid w:val="00747976"/>
    <w:rsid w:val="007552E1"/>
    <w:rsid w:val="00764DBF"/>
    <w:rsid w:val="00770C93"/>
    <w:rsid w:val="007719FF"/>
    <w:rsid w:val="00772348"/>
    <w:rsid w:val="00773FCD"/>
    <w:rsid w:val="0077675C"/>
    <w:rsid w:val="007800C5"/>
    <w:rsid w:val="0078029C"/>
    <w:rsid w:val="0078155A"/>
    <w:rsid w:val="00782263"/>
    <w:rsid w:val="00785F18"/>
    <w:rsid w:val="00792AC2"/>
    <w:rsid w:val="007937BB"/>
    <w:rsid w:val="00797C5D"/>
    <w:rsid w:val="007A0BB1"/>
    <w:rsid w:val="007A1D05"/>
    <w:rsid w:val="007A793E"/>
    <w:rsid w:val="007B18F2"/>
    <w:rsid w:val="007B1B13"/>
    <w:rsid w:val="007B27DD"/>
    <w:rsid w:val="007B7093"/>
    <w:rsid w:val="007C0A0B"/>
    <w:rsid w:val="007C1BC8"/>
    <w:rsid w:val="007D5F51"/>
    <w:rsid w:val="007D7CBA"/>
    <w:rsid w:val="007E2279"/>
    <w:rsid w:val="007E4632"/>
    <w:rsid w:val="007E5EEE"/>
    <w:rsid w:val="007F2FE1"/>
    <w:rsid w:val="007F6937"/>
    <w:rsid w:val="00801999"/>
    <w:rsid w:val="00802F19"/>
    <w:rsid w:val="008108BF"/>
    <w:rsid w:val="0081231A"/>
    <w:rsid w:val="0081558E"/>
    <w:rsid w:val="00816723"/>
    <w:rsid w:val="008302F5"/>
    <w:rsid w:val="00830346"/>
    <w:rsid w:val="00830625"/>
    <w:rsid w:val="00832D84"/>
    <w:rsid w:val="00840A49"/>
    <w:rsid w:val="00841DD8"/>
    <w:rsid w:val="0084498D"/>
    <w:rsid w:val="00845533"/>
    <w:rsid w:val="0085084B"/>
    <w:rsid w:val="0085566B"/>
    <w:rsid w:val="0086687F"/>
    <w:rsid w:val="00870A87"/>
    <w:rsid w:val="00874824"/>
    <w:rsid w:val="00876F3B"/>
    <w:rsid w:val="0088049F"/>
    <w:rsid w:val="00882255"/>
    <w:rsid w:val="00882EA4"/>
    <w:rsid w:val="00883283"/>
    <w:rsid w:val="00885901"/>
    <w:rsid w:val="00885A69"/>
    <w:rsid w:val="00890134"/>
    <w:rsid w:val="00891890"/>
    <w:rsid w:val="008939FB"/>
    <w:rsid w:val="00894AA5"/>
    <w:rsid w:val="008C56D1"/>
    <w:rsid w:val="008C7E21"/>
    <w:rsid w:val="008D21F9"/>
    <w:rsid w:val="008D6286"/>
    <w:rsid w:val="008E0BF1"/>
    <w:rsid w:val="008E52AF"/>
    <w:rsid w:val="008E62FB"/>
    <w:rsid w:val="008F23E1"/>
    <w:rsid w:val="008F28B8"/>
    <w:rsid w:val="00906FD1"/>
    <w:rsid w:val="00912DAB"/>
    <w:rsid w:val="00920006"/>
    <w:rsid w:val="00930645"/>
    <w:rsid w:val="00936117"/>
    <w:rsid w:val="009376EA"/>
    <w:rsid w:val="009453D3"/>
    <w:rsid w:val="00947179"/>
    <w:rsid w:val="009473B4"/>
    <w:rsid w:val="00951AD3"/>
    <w:rsid w:val="009527AB"/>
    <w:rsid w:val="009534F9"/>
    <w:rsid w:val="009605AE"/>
    <w:rsid w:val="0096136B"/>
    <w:rsid w:val="0096473B"/>
    <w:rsid w:val="00964CD1"/>
    <w:rsid w:val="00976627"/>
    <w:rsid w:val="00981574"/>
    <w:rsid w:val="00981A0E"/>
    <w:rsid w:val="00987A61"/>
    <w:rsid w:val="009917D0"/>
    <w:rsid w:val="0099512E"/>
    <w:rsid w:val="009A0134"/>
    <w:rsid w:val="009A09EB"/>
    <w:rsid w:val="009A1A8F"/>
    <w:rsid w:val="009A3356"/>
    <w:rsid w:val="009A57D4"/>
    <w:rsid w:val="009A7941"/>
    <w:rsid w:val="009B3BAC"/>
    <w:rsid w:val="009B3FCD"/>
    <w:rsid w:val="009B7092"/>
    <w:rsid w:val="009C5883"/>
    <w:rsid w:val="009D64B9"/>
    <w:rsid w:val="009D6C0A"/>
    <w:rsid w:val="009D71FA"/>
    <w:rsid w:val="009E024C"/>
    <w:rsid w:val="009E1FF0"/>
    <w:rsid w:val="009F02E0"/>
    <w:rsid w:val="009F091F"/>
    <w:rsid w:val="009F14B5"/>
    <w:rsid w:val="009F6CF0"/>
    <w:rsid w:val="009F790B"/>
    <w:rsid w:val="00A03741"/>
    <w:rsid w:val="00A06BB9"/>
    <w:rsid w:val="00A11519"/>
    <w:rsid w:val="00A154D3"/>
    <w:rsid w:val="00A20C07"/>
    <w:rsid w:val="00A30504"/>
    <w:rsid w:val="00A41A7A"/>
    <w:rsid w:val="00A501FF"/>
    <w:rsid w:val="00A525E5"/>
    <w:rsid w:val="00A60BC4"/>
    <w:rsid w:val="00A61BE6"/>
    <w:rsid w:val="00A61FC9"/>
    <w:rsid w:val="00A6479F"/>
    <w:rsid w:val="00A719DD"/>
    <w:rsid w:val="00A7297A"/>
    <w:rsid w:val="00A72C5A"/>
    <w:rsid w:val="00A75F6A"/>
    <w:rsid w:val="00A83BDB"/>
    <w:rsid w:val="00A973DE"/>
    <w:rsid w:val="00AA46F7"/>
    <w:rsid w:val="00AB0444"/>
    <w:rsid w:val="00AB2BC5"/>
    <w:rsid w:val="00AB4D6E"/>
    <w:rsid w:val="00AB5277"/>
    <w:rsid w:val="00AC113F"/>
    <w:rsid w:val="00AC2198"/>
    <w:rsid w:val="00AC6FF8"/>
    <w:rsid w:val="00AC7B4E"/>
    <w:rsid w:val="00AD26B5"/>
    <w:rsid w:val="00AD334B"/>
    <w:rsid w:val="00AD385A"/>
    <w:rsid w:val="00AE375A"/>
    <w:rsid w:val="00AE638F"/>
    <w:rsid w:val="00AF363B"/>
    <w:rsid w:val="00B03C9B"/>
    <w:rsid w:val="00B05332"/>
    <w:rsid w:val="00B0703D"/>
    <w:rsid w:val="00B25CA3"/>
    <w:rsid w:val="00B31430"/>
    <w:rsid w:val="00B31CF9"/>
    <w:rsid w:val="00B35FBE"/>
    <w:rsid w:val="00B472E3"/>
    <w:rsid w:val="00B47991"/>
    <w:rsid w:val="00B47F5D"/>
    <w:rsid w:val="00B52870"/>
    <w:rsid w:val="00B54F0D"/>
    <w:rsid w:val="00B55FA0"/>
    <w:rsid w:val="00B6462A"/>
    <w:rsid w:val="00B647B8"/>
    <w:rsid w:val="00B64AE6"/>
    <w:rsid w:val="00B64C8F"/>
    <w:rsid w:val="00B64E2F"/>
    <w:rsid w:val="00B732EE"/>
    <w:rsid w:val="00B77FA1"/>
    <w:rsid w:val="00B80393"/>
    <w:rsid w:val="00B84421"/>
    <w:rsid w:val="00B934F4"/>
    <w:rsid w:val="00B95C9E"/>
    <w:rsid w:val="00BA0887"/>
    <w:rsid w:val="00BA09FD"/>
    <w:rsid w:val="00BA7299"/>
    <w:rsid w:val="00BB6DD2"/>
    <w:rsid w:val="00BC1FF0"/>
    <w:rsid w:val="00BC481A"/>
    <w:rsid w:val="00BD3BBB"/>
    <w:rsid w:val="00BD54E6"/>
    <w:rsid w:val="00BD695D"/>
    <w:rsid w:val="00BE3564"/>
    <w:rsid w:val="00BE394D"/>
    <w:rsid w:val="00BE5934"/>
    <w:rsid w:val="00BF3AF7"/>
    <w:rsid w:val="00BF644F"/>
    <w:rsid w:val="00C053A6"/>
    <w:rsid w:val="00C07AF1"/>
    <w:rsid w:val="00C11354"/>
    <w:rsid w:val="00C1447D"/>
    <w:rsid w:val="00C15055"/>
    <w:rsid w:val="00C1566C"/>
    <w:rsid w:val="00C20814"/>
    <w:rsid w:val="00C232A2"/>
    <w:rsid w:val="00C26AD4"/>
    <w:rsid w:val="00C3201F"/>
    <w:rsid w:val="00C46972"/>
    <w:rsid w:val="00C554CF"/>
    <w:rsid w:val="00C57654"/>
    <w:rsid w:val="00C82F86"/>
    <w:rsid w:val="00C85C47"/>
    <w:rsid w:val="00C8737E"/>
    <w:rsid w:val="00C9099C"/>
    <w:rsid w:val="00C92697"/>
    <w:rsid w:val="00C92DBC"/>
    <w:rsid w:val="00C9406F"/>
    <w:rsid w:val="00C97068"/>
    <w:rsid w:val="00CA2446"/>
    <w:rsid w:val="00CA61EB"/>
    <w:rsid w:val="00CB2CFD"/>
    <w:rsid w:val="00CB64BC"/>
    <w:rsid w:val="00CC119A"/>
    <w:rsid w:val="00CC132B"/>
    <w:rsid w:val="00CC1DDB"/>
    <w:rsid w:val="00CC63BB"/>
    <w:rsid w:val="00CC7273"/>
    <w:rsid w:val="00CC7CB9"/>
    <w:rsid w:val="00CD4B15"/>
    <w:rsid w:val="00CE04CB"/>
    <w:rsid w:val="00CE3971"/>
    <w:rsid w:val="00D01454"/>
    <w:rsid w:val="00D02C6A"/>
    <w:rsid w:val="00D036CC"/>
    <w:rsid w:val="00D037B5"/>
    <w:rsid w:val="00D1250A"/>
    <w:rsid w:val="00D13AE5"/>
    <w:rsid w:val="00D145D1"/>
    <w:rsid w:val="00D14A4A"/>
    <w:rsid w:val="00D16713"/>
    <w:rsid w:val="00D171D2"/>
    <w:rsid w:val="00D21781"/>
    <w:rsid w:val="00D26DE3"/>
    <w:rsid w:val="00D303AF"/>
    <w:rsid w:val="00D35FB5"/>
    <w:rsid w:val="00D46EA7"/>
    <w:rsid w:val="00D522E3"/>
    <w:rsid w:val="00D56597"/>
    <w:rsid w:val="00D604A9"/>
    <w:rsid w:val="00D61B93"/>
    <w:rsid w:val="00D639E5"/>
    <w:rsid w:val="00D6469B"/>
    <w:rsid w:val="00D66D88"/>
    <w:rsid w:val="00D70B7F"/>
    <w:rsid w:val="00D77D4E"/>
    <w:rsid w:val="00D91908"/>
    <w:rsid w:val="00D92CE5"/>
    <w:rsid w:val="00D97B37"/>
    <w:rsid w:val="00DA07A4"/>
    <w:rsid w:val="00DB1158"/>
    <w:rsid w:val="00DB1D3A"/>
    <w:rsid w:val="00DB61AE"/>
    <w:rsid w:val="00DC490F"/>
    <w:rsid w:val="00DC4C9B"/>
    <w:rsid w:val="00DD330A"/>
    <w:rsid w:val="00DE150B"/>
    <w:rsid w:val="00DE7C23"/>
    <w:rsid w:val="00DF204D"/>
    <w:rsid w:val="00DF523D"/>
    <w:rsid w:val="00E05912"/>
    <w:rsid w:val="00E107A6"/>
    <w:rsid w:val="00E13838"/>
    <w:rsid w:val="00E163D9"/>
    <w:rsid w:val="00E1789B"/>
    <w:rsid w:val="00E2023A"/>
    <w:rsid w:val="00E227B4"/>
    <w:rsid w:val="00E247AC"/>
    <w:rsid w:val="00E25E8F"/>
    <w:rsid w:val="00E3194F"/>
    <w:rsid w:val="00E333AB"/>
    <w:rsid w:val="00E3493D"/>
    <w:rsid w:val="00E349A2"/>
    <w:rsid w:val="00E40D86"/>
    <w:rsid w:val="00E44C52"/>
    <w:rsid w:val="00E45EFB"/>
    <w:rsid w:val="00E6248E"/>
    <w:rsid w:val="00E64C93"/>
    <w:rsid w:val="00E67AE1"/>
    <w:rsid w:val="00E703A1"/>
    <w:rsid w:val="00E70800"/>
    <w:rsid w:val="00E81E66"/>
    <w:rsid w:val="00E85D02"/>
    <w:rsid w:val="00E909A9"/>
    <w:rsid w:val="00E9388D"/>
    <w:rsid w:val="00E94C97"/>
    <w:rsid w:val="00EA0CB5"/>
    <w:rsid w:val="00EA7EC9"/>
    <w:rsid w:val="00EB0F0E"/>
    <w:rsid w:val="00EB1A3D"/>
    <w:rsid w:val="00EB54D1"/>
    <w:rsid w:val="00EB6720"/>
    <w:rsid w:val="00EB689A"/>
    <w:rsid w:val="00EB75BB"/>
    <w:rsid w:val="00ED0A6B"/>
    <w:rsid w:val="00ED456E"/>
    <w:rsid w:val="00EE0677"/>
    <w:rsid w:val="00EF172F"/>
    <w:rsid w:val="00EF3CB7"/>
    <w:rsid w:val="00EF4286"/>
    <w:rsid w:val="00EF791C"/>
    <w:rsid w:val="00F0243C"/>
    <w:rsid w:val="00F04297"/>
    <w:rsid w:val="00F04594"/>
    <w:rsid w:val="00F06589"/>
    <w:rsid w:val="00F10DC0"/>
    <w:rsid w:val="00F14086"/>
    <w:rsid w:val="00F17E9B"/>
    <w:rsid w:val="00F36922"/>
    <w:rsid w:val="00F36CA0"/>
    <w:rsid w:val="00F43492"/>
    <w:rsid w:val="00F4429D"/>
    <w:rsid w:val="00F4438F"/>
    <w:rsid w:val="00F446DE"/>
    <w:rsid w:val="00F44ABD"/>
    <w:rsid w:val="00F4674C"/>
    <w:rsid w:val="00F47706"/>
    <w:rsid w:val="00F53EA5"/>
    <w:rsid w:val="00F61F3B"/>
    <w:rsid w:val="00F72DC5"/>
    <w:rsid w:val="00F7412E"/>
    <w:rsid w:val="00F74FB2"/>
    <w:rsid w:val="00F778B2"/>
    <w:rsid w:val="00F80DAA"/>
    <w:rsid w:val="00F86A3C"/>
    <w:rsid w:val="00F87AFE"/>
    <w:rsid w:val="00F96B4D"/>
    <w:rsid w:val="00FA2831"/>
    <w:rsid w:val="00FA7716"/>
    <w:rsid w:val="00FB0185"/>
    <w:rsid w:val="00FC4C27"/>
    <w:rsid w:val="00FD1B17"/>
    <w:rsid w:val="00FE061B"/>
    <w:rsid w:val="00FE273D"/>
    <w:rsid w:val="00FE5796"/>
    <w:rsid w:val="00FF1802"/>
    <w:rsid w:val="00FF4A5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2DEEE6-9288-48D3-902F-F902C812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semiHidden/>
    <w:rsid w:val="00D02C6A"/>
    <w:rPr>
      <w:sz w:val="20"/>
      <w:szCs w:val="20"/>
    </w:rPr>
  </w:style>
  <w:style w:type="paragraph" w:styleId="BalloonText">
    <w:name w:val="Balloon Text"/>
    <w:basedOn w:val="Normal"/>
    <w:link w:val="BalloonTextChar"/>
    <w:uiPriority w:val="99"/>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rPr>
  </w:style>
  <w:style w:type="character" w:customStyle="1" w:styleId="CommentTextChar">
    <w:name w:val="Comment Text Char"/>
    <w:basedOn w:val="DefaultParagraphFont"/>
    <w:link w:val="CommentText"/>
    <w:semiHidden/>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rPr>
  </w:style>
  <w:style w:type="character" w:customStyle="1" w:styleId="BodyTextChar">
    <w:name w:val="Body Text Char"/>
    <w:basedOn w:val="DefaultParagraphFont"/>
    <w:link w:val="BodyText"/>
    <w:rsid w:val="0049512E"/>
    <w:rPr>
      <w:iCs/>
      <w:sz w:val="24"/>
      <w:szCs w:val="24"/>
    </w:rPr>
  </w:style>
  <w:style w:type="character" w:customStyle="1" w:styleId="Heading4Char">
    <w:name w:val="Heading 4 Char"/>
    <w:link w:val="Heading4"/>
    <w:rsid w:val="005375C1"/>
    <w:rPr>
      <w:b/>
      <w:bCs/>
      <w:sz w:val="24"/>
      <w:szCs w:val="24"/>
    </w:rPr>
  </w:style>
  <w:style w:type="paragraph" w:customStyle="1" w:styleId="naisf">
    <w:name w:val="naisf"/>
    <w:basedOn w:val="Normal"/>
    <w:rsid w:val="00DC490F"/>
    <w:pPr>
      <w:spacing w:before="75" w:after="75"/>
      <w:ind w:firstLine="375"/>
      <w:jc w:val="both"/>
    </w:pPr>
  </w:style>
  <w:style w:type="paragraph" w:styleId="ListParagraph">
    <w:name w:val="List Paragraph"/>
    <w:basedOn w:val="Normal"/>
    <w:uiPriority w:val="34"/>
    <w:qFormat/>
    <w:rsid w:val="00EB54D1"/>
    <w:pPr>
      <w:ind w:left="720"/>
      <w:contextualSpacing/>
    </w:pPr>
    <w:rPr>
      <w:rFonts w:eastAsia="Calibri"/>
      <w:sz w:val="28"/>
      <w:szCs w:val="28"/>
      <w:lang w:val="en-GB" w:eastAsia="en-US"/>
    </w:rPr>
  </w:style>
  <w:style w:type="character" w:customStyle="1" w:styleId="BalloonTextChar">
    <w:name w:val="Balloon Text Char"/>
    <w:link w:val="BalloonText"/>
    <w:uiPriority w:val="99"/>
    <w:semiHidden/>
    <w:rsid w:val="00EB54D1"/>
    <w:rPr>
      <w:rFonts w:ascii="Tahoma" w:hAnsi="Tahoma" w:cs="Tahoma"/>
      <w:sz w:val="16"/>
      <w:szCs w:val="16"/>
    </w:rPr>
  </w:style>
  <w:style w:type="paragraph" w:customStyle="1" w:styleId="naisnod">
    <w:name w:val="naisnod"/>
    <w:basedOn w:val="Normal"/>
    <w:rsid w:val="009B7092"/>
    <w:pPr>
      <w:spacing w:before="150" w:after="150"/>
      <w:jc w:val="center"/>
    </w:pPr>
    <w:rPr>
      <w:b/>
      <w:bCs/>
    </w:rPr>
  </w:style>
  <w:style w:type="paragraph" w:customStyle="1" w:styleId="tv213">
    <w:name w:val="tv213"/>
    <w:basedOn w:val="Normal"/>
    <w:rsid w:val="00FF1802"/>
    <w:pPr>
      <w:spacing w:before="100" w:beforeAutospacing="1" w:after="100" w:afterAutospacing="1"/>
    </w:pPr>
    <w:rPr>
      <w:lang w:val="en-US" w:eastAsia="en-US"/>
    </w:rPr>
  </w:style>
  <w:style w:type="paragraph" w:customStyle="1" w:styleId="tv2131">
    <w:name w:val="tv2131"/>
    <w:basedOn w:val="Normal"/>
    <w:rsid w:val="00A41A7A"/>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98480">
      <w:bodyDiv w:val="1"/>
      <w:marLeft w:val="0"/>
      <w:marRight w:val="0"/>
      <w:marTop w:val="0"/>
      <w:marBottom w:val="0"/>
      <w:divBdr>
        <w:top w:val="none" w:sz="0" w:space="0" w:color="auto"/>
        <w:left w:val="none" w:sz="0" w:space="0" w:color="auto"/>
        <w:bottom w:val="none" w:sz="0" w:space="0" w:color="auto"/>
        <w:right w:val="none" w:sz="0" w:space="0" w:color="auto"/>
      </w:divBdr>
    </w:div>
    <w:div w:id="679434839">
      <w:bodyDiv w:val="1"/>
      <w:marLeft w:val="0"/>
      <w:marRight w:val="0"/>
      <w:marTop w:val="0"/>
      <w:marBottom w:val="0"/>
      <w:divBdr>
        <w:top w:val="none" w:sz="0" w:space="0" w:color="auto"/>
        <w:left w:val="none" w:sz="0" w:space="0" w:color="auto"/>
        <w:bottom w:val="none" w:sz="0" w:space="0" w:color="auto"/>
        <w:right w:val="none" w:sz="0" w:space="0" w:color="auto"/>
      </w:divBdr>
      <w:divsChild>
        <w:div w:id="7292053">
          <w:marLeft w:val="0"/>
          <w:marRight w:val="0"/>
          <w:marTop w:val="0"/>
          <w:marBottom w:val="0"/>
          <w:divBdr>
            <w:top w:val="none" w:sz="0" w:space="0" w:color="auto"/>
            <w:left w:val="none" w:sz="0" w:space="0" w:color="auto"/>
            <w:bottom w:val="none" w:sz="0" w:space="0" w:color="auto"/>
            <w:right w:val="none" w:sz="0" w:space="0" w:color="auto"/>
          </w:divBdr>
        </w:div>
        <w:div w:id="102655223">
          <w:marLeft w:val="0"/>
          <w:marRight w:val="0"/>
          <w:marTop w:val="0"/>
          <w:marBottom w:val="0"/>
          <w:divBdr>
            <w:top w:val="none" w:sz="0" w:space="0" w:color="auto"/>
            <w:left w:val="none" w:sz="0" w:space="0" w:color="auto"/>
            <w:bottom w:val="none" w:sz="0" w:space="0" w:color="auto"/>
            <w:right w:val="none" w:sz="0" w:space="0" w:color="auto"/>
          </w:divBdr>
        </w:div>
        <w:div w:id="191767022">
          <w:marLeft w:val="0"/>
          <w:marRight w:val="0"/>
          <w:marTop w:val="0"/>
          <w:marBottom w:val="0"/>
          <w:divBdr>
            <w:top w:val="none" w:sz="0" w:space="0" w:color="auto"/>
            <w:left w:val="none" w:sz="0" w:space="0" w:color="auto"/>
            <w:bottom w:val="none" w:sz="0" w:space="0" w:color="auto"/>
            <w:right w:val="none" w:sz="0" w:space="0" w:color="auto"/>
          </w:divBdr>
        </w:div>
        <w:div w:id="306202789">
          <w:marLeft w:val="0"/>
          <w:marRight w:val="0"/>
          <w:marTop w:val="0"/>
          <w:marBottom w:val="0"/>
          <w:divBdr>
            <w:top w:val="none" w:sz="0" w:space="0" w:color="auto"/>
            <w:left w:val="none" w:sz="0" w:space="0" w:color="auto"/>
            <w:bottom w:val="none" w:sz="0" w:space="0" w:color="auto"/>
            <w:right w:val="none" w:sz="0" w:space="0" w:color="auto"/>
          </w:divBdr>
        </w:div>
        <w:div w:id="388648313">
          <w:marLeft w:val="0"/>
          <w:marRight w:val="0"/>
          <w:marTop w:val="0"/>
          <w:marBottom w:val="0"/>
          <w:divBdr>
            <w:top w:val="none" w:sz="0" w:space="0" w:color="auto"/>
            <w:left w:val="none" w:sz="0" w:space="0" w:color="auto"/>
            <w:bottom w:val="none" w:sz="0" w:space="0" w:color="auto"/>
            <w:right w:val="none" w:sz="0" w:space="0" w:color="auto"/>
          </w:divBdr>
        </w:div>
        <w:div w:id="461265460">
          <w:marLeft w:val="0"/>
          <w:marRight w:val="0"/>
          <w:marTop w:val="0"/>
          <w:marBottom w:val="0"/>
          <w:divBdr>
            <w:top w:val="none" w:sz="0" w:space="0" w:color="auto"/>
            <w:left w:val="none" w:sz="0" w:space="0" w:color="auto"/>
            <w:bottom w:val="none" w:sz="0" w:space="0" w:color="auto"/>
            <w:right w:val="none" w:sz="0" w:space="0" w:color="auto"/>
          </w:divBdr>
        </w:div>
        <w:div w:id="920217380">
          <w:marLeft w:val="0"/>
          <w:marRight w:val="0"/>
          <w:marTop w:val="0"/>
          <w:marBottom w:val="0"/>
          <w:divBdr>
            <w:top w:val="none" w:sz="0" w:space="0" w:color="auto"/>
            <w:left w:val="none" w:sz="0" w:space="0" w:color="auto"/>
            <w:bottom w:val="none" w:sz="0" w:space="0" w:color="auto"/>
            <w:right w:val="none" w:sz="0" w:space="0" w:color="auto"/>
          </w:divBdr>
        </w:div>
        <w:div w:id="1225995426">
          <w:marLeft w:val="0"/>
          <w:marRight w:val="0"/>
          <w:marTop w:val="0"/>
          <w:marBottom w:val="0"/>
          <w:divBdr>
            <w:top w:val="none" w:sz="0" w:space="0" w:color="auto"/>
            <w:left w:val="none" w:sz="0" w:space="0" w:color="auto"/>
            <w:bottom w:val="none" w:sz="0" w:space="0" w:color="auto"/>
            <w:right w:val="none" w:sz="0" w:space="0" w:color="auto"/>
          </w:divBdr>
        </w:div>
        <w:div w:id="1238250724">
          <w:marLeft w:val="0"/>
          <w:marRight w:val="0"/>
          <w:marTop w:val="0"/>
          <w:marBottom w:val="0"/>
          <w:divBdr>
            <w:top w:val="none" w:sz="0" w:space="0" w:color="auto"/>
            <w:left w:val="none" w:sz="0" w:space="0" w:color="auto"/>
            <w:bottom w:val="none" w:sz="0" w:space="0" w:color="auto"/>
            <w:right w:val="none" w:sz="0" w:space="0" w:color="auto"/>
          </w:divBdr>
        </w:div>
        <w:div w:id="1256859203">
          <w:marLeft w:val="0"/>
          <w:marRight w:val="0"/>
          <w:marTop w:val="0"/>
          <w:marBottom w:val="0"/>
          <w:divBdr>
            <w:top w:val="none" w:sz="0" w:space="0" w:color="auto"/>
            <w:left w:val="none" w:sz="0" w:space="0" w:color="auto"/>
            <w:bottom w:val="none" w:sz="0" w:space="0" w:color="auto"/>
            <w:right w:val="none" w:sz="0" w:space="0" w:color="auto"/>
          </w:divBdr>
        </w:div>
        <w:div w:id="1597597003">
          <w:marLeft w:val="0"/>
          <w:marRight w:val="0"/>
          <w:marTop w:val="0"/>
          <w:marBottom w:val="0"/>
          <w:divBdr>
            <w:top w:val="none" w:sz="0" w:space="0" w:color="auto"/>
            <w:left w:val="none" w:sz="0" w:space="0" w:color="auto"/>
            <w:bottom w:val="none" w:sz="0" w:space="0" w:color="auto"/>
            <w:right w:val="none" w:sz="0" w:space="0" w:color="auto"/>
          </w:divBdr>
        </w:div>
        <w:div w:id="1740864766">
          <w:marLeft w:val="0"/>
          <w:marRight w:val="0"/>
          <w:marTop w:val="0"/>
          <w:marBottom w:val="0"/>
          <w:divBdr>
            <w:top w:val="none" w:sz="0" w:space="0" w:color="auto"/>
            <w:left w:val="none" w:sz="0" w:space="0" w:color="auto"/>
            <w:bottom w:val="none" w:sz="0" w:space="0" w:color="auto"/>
            <w:right w:val="none" w:sz="0" w:space="0" w:color="auto"/>
          </w:divBdr>
        </w:div>
        <w:div w:id="1756046883">
          <w:marLeft w:val="0"/>
          <w:marRight w:val="0"/>
          <w:marTop w:val="0"/>
          <w:marBottom w:val="0"/>
          <w:divBdr>
            <w:top w:val="none" w:sz="0" w:space="0" w:color="auto"/>
            <w:left w:val="none" w:sz="0" w:space="0" w:color="auto"/>
            <w:bottom w:val="none" w:sz="0" w:space="0" w:color="auto"/>
            <w:right w:val="none" w:sz="0" w:space="0" w:color="auto"/>
          </w:divBdr>
        </w:div>
        <w:div w:id="1912496825">
          <w:marLeft w:val="0"/>
          <w:marRight w:val="0"/>
          <w:marTop w:val="0"/>
          <w:marBottom w:val="0"/>
          <w:divBdr>
            <w:top w:val="none" w:sz="0" w:space="0" w:color="auto"/>
            <w:left w:val="none" w:sz="0" w:space="0" w:color="auto"/>
            <w:bottom w:val="none" w:sz="0" w:space="0" w:color="auto"/>
            <w:right w:val="none" w:sz="0" w:space="0" w:color="auto"/>
          </w:divBdr>
        </w:div>
        <w:div w:id="2146465532">
          <w:marLeft w:val="0"/>
          <w:marRight w:val="0"/>
          <w:marTop w:val="0"/>
          <w:marBottom w:val="0"/>
          <w:divBdr>
            <w:top w:val="none" w:sz="0" w:space="0" w:color="auto"/>
            <w:left w:val="none" w:sz="0" w:space="0" w:color="auto"/>
            <w:bottom w:val="none" w:sz="0" w:space="0" w:color="auto"/>
            <w:right w:val="none" w:sz="0" w:space="0" w:color="auto"/>
          </w:divBdr>
        </w:div>
      </w:divsChild>
    </w:div>
    <w:div w:id="1273784017">
      <w:bodyDiv w:val="1"/>
      <w:marLeft w:val="0"/>
      <w:marRight w:val="0"/>
      <w:marTop w:val="0"/>
      <w:marBottom w:val="0"/>
      <w:divBdr>
        <w:top w:val="none" w:sz="0" w:space="0" w:color="auto"/>
        <w:left w:val="none" w:sz="0" w:space="0" w:color="auto"/>
        <w:bottom w:val="none" w:sz="0" w:space="0" w:color="auto"/>
        <w:right w:val="none" w:sz="0" w:space="0" w:color="auto"/>
      </w:divBdr>
      <w:divsChild>
        <w:div w:id="542668814">
          <w:marLeft w:val="0"/>
          <w:marRight w:val="0"/>
          <w:marTop w:val="0"/>
          <w:marBottom w:val="0"/>
          <w:divBdr>
            <w:top w:val="none" w:sz="0" w:space="0" w:color="auto"/>
            <w:left w:val="none" w:sz="0" w:space="0" w:color="auto"/>
            <w:bottom w:val="none" w:sz="0" w:space="0" w:color="auto"/>
            <w:right w:val="none" w:sz="0" w:space="0" w:color="auto"/>
          </w:divBdr>
          <w:divsChild>
            <w:div w:id="209731753">
              <w:marLeft w:val="0"/>
              <w:marRight w:val="0"/>
              <w:marTop w:val="0"/>
              <w:marBottom w:val="0"/>
              <w:divBdr>
                <w:top w:val="none" w:sz="0" w:space="0" w:color="auto"/>
                <w:left w:val="none" w:sz="0" w:space="0" w:color="auto"/>
                <w:bottom w:val="none" w:sz="0" w:space="0" w:color="auto"/>
                <w:right w:val="none" w:sz="0" w:space="0" w:color="auto"/>
              </w:divBdr>
              <w:divsChild>
                <w:div w:id="1175076718">
                  <w:marLeft w:val="0"/>
                  <w:marRight w:val="0"/>
                  <w:marTop w:val="0"/>
                  <w:marBottom w:val="0"/>
                  <w:divBdr>
                    <w:top w:val="none" w:sz="0" w:space="0" w:color="auto"/>
                    <w:left w:val="none" w:sz="0" w:space="0" w:color="auto"/>
                    <w:bottom w:val="none" w:sz="0" w:space="0" w:color="auto"/>
                    <w:right w:val="none" w:sz="0" w:space="0" w:color="auto"/>
                  </w:divBdr>
                  <w:divsChild>
                    <w:div w:id="1147434975">
                      <w:marLeft w:val="0"/>
                      <w:marRight w:val="0"/>
                      <w:marTop w:val="0"/>
                      <w:marBottom w:val="0"/>
                      <w:divBdr>
                        <w:top w:val="none" w:sz="0" w:space="0" w:color="auto"/>
                        <w:left w:val="none" w:sz="0" w:space="0" w:color="auto"/>
                        <w:bottom w:val="none" w:sz="0" w:space="0" w:color="auto"/>
                        <w:right w:val="none" w:sz="0" w:space="0" w:color="auto"/>
                      </w:divBdr>
                      <w:divsChild>
                        <w:div w:id="770273197">
                          <w:marLeft w:val="0"/>
                          <w:marRight w:val="0"/>
                          <w:marTop w:val="300"/>
                          <w:marBottom w:val="0"/>
                          <w:divBdr>
                            <w:top w:val="none" w:sz="0" w:space="0" w:color="auto"/>
                            <w:left w:val="none" w:sz="0" w:space="0" w:color="auto"/>
                            <w:bottom w:val="none" w:sz="0" w:space="0" w:color="auto"/>
                            <w:right w:val="none" w:sz="0" w:space="0" w:color="auto"/>
                          </w:divBdr>
                          <w:divsChild>
                            <w:div w:id="15453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174734">
      <w:bodyDiv w:val="1"/>
      <w:marLeft w:val="0"/>
      <w:marRight w:val="0"/>
      <w:marTop w:val="0"/>
      <w:marBottom w:val="0"/>
      <w:divBdr>
        <w:top w:val="none" w:sz="0" w:space="0" w:color="auto"/>
        <w:left w:val="none" w:sz="0" w:space="0" w:color="auto"/>
        <w:bottom w:val="none" w:sz="0" w:space="0" w:color="auto"/>
        <w:right w:val="none" w:sz="0" w:space="0" w:color="auto"/>
      </w:divBdr>
      <w:divsChild>
        <w:div w:id="132605084">
          <w:marLeft w:val="0"/>
          <w:marRight w:val="0"/>
          <w:marTop w:val="0"/>
          <w:marBottom w:val="0"/>
          <w:divBdr>
            <w:top w:val="none" w:sz="0" w:space="0" w:color="auto"/>
            <w:left w:val="none" w:sz="0" w:space="0" w:color="auto"/>
            <w:bottom w:val="none" w:sz="0" w:space="0" w:color="auto"/>
            <w:right w:val="none" w:sz="0" w:space="0" w:color="auto"/>
          </w:divBdr>
          <w:divsChild>
            <w:div w:id="390544028">
              <w:marLeft w:val="0"/>
              <w:marRight w:val="0"/>
              <w:marTop w:val="0"/>
              <w:marBottom w:val="0"/>
              <w:divBdr>
                <w:top w:val="none" w:sz="0" w:space="0" w:color="auto"/>
                <w:left w:val="none" w:sz="0" w:space="0" w:color="auto"/>
                <w:bottom w:val="none" w:sz="0" w:space="0" w:color="auto"/>
                <w:right w:val="none" w:sz="0" w:space="0" w:color="auto"/>
              </w:divBdr>
              <w:divsChild>
                <w:div w:id="1860001666">
                  <w:marLeft w:val="0"/>
                  <w:marRight w:val="0"/>
                  <w:marTop w:val="0"/>
                  <w:marBottom w:val="0"/>
                  <w:divBdr>
                    <w:top w:val="none" w:sz="0" w:space="0" w:color="auto"/>
                    <w:left w:val="none" w:sz="0" w:space="0" w:color="auto"/>
                    <w:bottom w:val="none" w:sz="0" w:space="0" w:color="auto"/>
                    <w:right w:val="none" w:sz="0" w:space="0" w:color="auto"/>
                  </w:divBdr>
                  <w:divsChild>
                    <w:div w:id="482282470">
                      <w:marLeft w:val="0"/>
                      <w:marRight w:val="0"/>
                      <w:marTop w:val="0"/>
                      <w:marBottom w:val="0"/>
                      <w:divBdr>
                        <w:top w:val="none" w:sz="0" w:space="0" w:color="auto"/>
                        <w:left w:val="none" w:sz="0" w:space="0" w:color="auto"/>
                        <w:bottom w:val="none" w:sz="0" w:space="0" w:color="auto"/>
                        <w:right w:val="none" w:sz="0" w:space="0" w:color="auto"/>
                      </w:divBdr>
                      <w:divsChild>
                        <w:div w:id="1304194395">
                          <w:marLeft w:val="0"/>
                          <w:marRight w:val="0"/>
                          <w:marTop w:val="300"/>
                          <w:marBottom w:val="0"/>
                          <w:divBdr>
                            <w:top w:val="none" w:sz="0" w:space="0" w:color="auto"/>
                            <w:left w:val="none" w:sz="0" w:space="0" w:color="auto"/>
                            <w:bottom w:val="none" w:sz="0" w:space="0" w:color="auto"/>
                            <w:right w:val="none" w:sz="0" w:space="0" w:color="auto"/>
                          </w:divBdr>
                          <w:divsChild>
                            <w:div w:id="1987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A437-5647-4442-BDB2-BC6E2CCE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3231</Words>
  <Characters>1842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2012.gada 29.maija noteikumos Nr.375 "Saimnieciskā gada pārskata sagatvošanas kārtība"" sākotnējās ietekmes novērtējuma ziņojums (anotācija)</vt:lpstr>
      <vt:lpstr>MK noteikumu projekta "Grozījumi ministru kabineta 2012.gada 29.maija noteikumos Nr.375 "Saimnieciskā gada pārskata sagatvošanas kārtība"" sākotnējās ietekmes novērtējuma ziņojums (anotācija)</vt:lpstr>
    </vt:vector>
  </TitlesOfParts>
  <Manager>Ligita.Agleniece@kase.gov.lv</Manager>
  <Company>Valsts kase</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29.maija noteikumos Nr.375 "Saimnieciskā gada pārskata sagatvošanas kārtība"" sākotnējās ietekmes novērtējuma ziņojums (anotācija)</dc:title>
  <dc:subject>Anotācija</dc:subject>
  <dc:creator>Irena.Suksta@kase.gov.lv</dc:creator>
  <dc:description>Pārskatu departament direktora vietniece, Irēna Šuksta, 67094210;
irena.suksta@kase.gov.lv</dc:description>
  <cp:lastModifiedBy>Liene Strēlniece</cp:lastModifiedBy>
  <cp:revision>10</cp:revision>
  <cp:lastPrinted>2014-07-31T11:44:00Z</cp:lastPrinted>
  <dcterms:created xsi:type="dcterms:W3CDTF">2014-07-31T10:53:00Z</dcterms:created>
  <dcterms:modified xsi:type="dcterms:W3CDTF">2014-08-06T06:54:00Z</dcterms:modified>
</cp:coreProperties>
</file>