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F2" w:rsidRDefault="00B45F33" w:rsidP="008C0DC4">
      <w:pPr>
        <w:pStyle w:val="BodyText"/>
        <w:ind w:left="-567" w:right="-1333"/>
      </w:pPr>
      <w:r>
        <w:t xml:space="preserve">Likumprojekta "Noguldījumu garantiju likums" </w:t>
      </w:r>
      <w:r w:rsidR="00AF5AA2">
        <w:t>sākotnējās ietekmes novērtējuma ziņojums (anotācija)</w:t>
      </w:r>
    </w:p>
    <w:p w:rsidR="008766F2" w:rsidRDefault="008766F2" w:rsidP="008C0DC4">
      <w:pPr>
        <w:ind w:right="-1333"/>
        <w:jc w:val="center"/>
        <w:rPr>
          <w:b/>
          <w:bCs/>
        </w:rPr>
      </w:pPr>
    </w:p>
    <w:tbl>
      <w:tblPr>
        <w:tblW w:w="10206"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687"/>
        <w:gridCol w:w="6979"/>
      </w:tblGrid>
      <w:tr w:rsidR="008766F2" w:rsidRPr="008F5F2F" w:rsidTr="00D82EEB">
        <w:trPr>
          <w:jc w:val="center"/>
        </w:trPr>
        <w:tc>
          <w:tcPr>
            <w:tcW w:w="10206" w:type="dxa"/>
            <w:gridSpan w:val="3"/>
            <w:tcBorders>
              <w:top w:val="single" w:sz="6" w:space="0" w:color="auto"/>
              <w:left w:val="single" w:sz="6" w:space="0" w:color="auto"/>
              <w:bottom w:val="single" w:sz="6" w:space="0" w:color="auto"/>
              <w:right w:val="single" w:sz="6" w:space="0" w:color="auto"/>
            </w:tcBorders>
          </w:tcPr>
          <w:p w:rsidR="008766F2" w:rsidRPr="00673510" w:rsidRDefault="00673510" w:rsidP="008C0DC4">
            <w:pPr>
              <w:pStyle w:val="BodyTextIndent"/>
              <w:tabs>
                <w:tab w:val="left" w:pos="9504"/>
              </w:tabs>
              <w:jc w:val="center"/>
            </w:pPr>
            <w:r w:rsidRPr="00673510">
              <w:rPr>
                <w:bCs w:val="0"/>
              </w:rPr>
              <w:t>I. Tiesību akta projekta izstrādes nepieciešamība</w:t>
            </w:r>
          </w:p>
        </w:tc>
      </w:tr>
      <w:tr w:rsidR="008766F2" w:rsidRPr="00A75F12" w:rsidTr="00D82EEB">
        <w:trPr>
          <w:trHeight w:val="65"/>
          <w:jc w:val="center"/>
        </w:trPr>
        <w:tc>
          <w:tcPr>
            <w:tcW w:w="540" w:type="dxa"/>
            <w:tcBorders>
              <w:top w:val="single" w:sz="6" w:space="0" w:color="auto"/>
              <w:left w:val="single" w:sz="6" w:space="0" w:color="auto"/>
              <w:bottom w:val="single" w:sz="6" w:space="0" w:color="auto"/>
              <w:right w:val="single" w:sz="6" w:space="0" w:color="auto"/>
            </w:tcBorders>
          </w:tcPr>
          <w:p w:rsidR="008766F2" w:rsidRPr="00A75F12" w:rsidRDefault="00AF5AA2">
            <w:pPr>
              <w:pStyle w:val="BodyText"/>
              <w:jc w:val="both"/>
              <w:rPr>
                <w:b w:val="0"/>
                <w:bCs w:val="0"/>
                <w:sz w:val="24"/>
                <w:szCs w:val="24"/>
              </w:rPr>
            </w:pPr>
            <w:r w:rsidRPr="00A75F12">
              <w:rPr>
                <w:b w:val="0"/>
                <w:bCs w:val="0"/>
                <w:sz w:val="24"/>
                <w:szCs w:val="24"/>
              </w:rPr>
              <w:t xml:space="preserve">1. </w:t>
            </w:r>
          </w:p>
        </w:tc>
        <w:tc>
          <w:tcPr>
            <w:tcW w:w="2687" w:type="dxa"/>
            <w:tcBorders>
              <w:top w:val="single" w:sz="6" w:space="0" w:color="auto"/>
              <w:left w:val="single" w:sz="6" w:space="0" w:color="auto"/>
              <w:bottom w:val="single" w:sz="6" w:space="0" w:color="auto"/>
              <w:right w:val="single" w:sz="6" w:space="0" w:color="auto"/>
            </w:tcBorders>
          </w:tcPr>
          <w:p w:rsidR="008766F2" w:rsidRPr="00A75F12" w:rsidRDefault="00AF5AA2" w:rsidP="00995238">
            <w:pPr>
              <w:pStyle w:val="BodyTextIndent"/>
              <w:spacing w:after="0"/>
              <w:rPr>
                <w:b w:val="0"/>
                <w:bCs w:val="0"/>
              </w:rPr>
            </w:pPr>
            <w:r w:rsidRPr="00A75F12">
              <w:rPr>
                <w:b w:val="0"/>
                <w:bCs w:val="0"/>
              </w:rPr>
              <w:t>Pamatojums</w:t>
            </w:r>
          </w:p>
        </w:tc>
        <w:tc>
          <w:tcPr>
            <w:tcW w:w="6979" w:type="dxa"/>
            <w:tcBorders>
              <w:top w:val="single" w:sz="6" w:space="0" w:color="auto"/>
              <w:left w:val="single" w:sz="6" w:space="0" w:color="auto"/>
              <w:bottom w:val="single" w:sz="6" w:space="0" w:color="auto"/>
              <w:right w:val="single" w:sz="6" w:space="0" w:color="auto"/>
            </w:tcBorders>
          </w:tcPr>
          <w:p w:rsidR="008766F2" w:rsidRPr="00B45F33" w:rsidRDefault="00B45F33" w:rsidP="00B45F33">
            <w:pPr>
              <w:pStyle w:val="BodyTextIndent"/>
              <w:rPr>
                <w:b w:val="0"/>
              </w:rPr>
            </w:pPr>
            <w:r w:rsidRPr="00B45F33">
              <w:rPr>
                <w:b w:val="0"/>
              </w:rPr>
              <w:t xml:space="preserve">Likumprojekts "Noguldījumu garantiju likums" </w:t>
            </w:r>
            <w:r w:rsidR="00E5730E">
              <w:rPr>
                <w:b w:val="0"/>
              </w:rPr>
              <w:t xml:space="preserve">(turpmāk – Likumprojekts) </w:t>
            </w:r>
            <w:r w:rsidRPr="00B45F33">
              <w:rPr>
                <w:b w:val="0"/>
              </w:rPr>
              <w:t xml:space="preserve">ir izstrādāts, lai nodrošinātu </w:t>
            </w:r>
            <w:r w:rsidRPr="00B45F33">
              <w:rPr>
                <w:b w:val="0"/>
                <w:i/>
              </w:rPr>
              <w:t>Eiropas Parlamenta un Padomes 2014.</w:t>
            </w:r>
            <w:r w:rsidR="005937AA">
              <w:rPr>
                <w:b w:val="0"/>
                <w:i/>
              </w:rPr>
              <w:t xml:space="preserve"> </w:t>
            </w:r>
            <w:r w:rsidRPr="00B45F33">
              <w:rPr>
                <w:b w:val="0"/>
                <w:i/>
              </w:rPr>
              <w:t>gada 16.</w:t>
            </w:r>
            <w:r w:rsidR="005937AA">
              <w:rPr>
                <w:b w:val="0"/>
                <w:i/>
              </w:rPr>
              <w:t xml:space="preserve"> </w:t>
            </w:r>
            <w:r w:rsidRPr="00B45F33">
              <w:rPr>
                <w:b w:val="0"/>
                <w:i/>
              </w:rPr>
              <w:t>aprīļa direktīvas 2014/49/ES par noguldījumu garantiju sistēmām</w:t>
            </w:r>
            <w:r w:rsidRPr="00B45F33">
              <w:rPr>
                <w:b w:val="0"/>
              </w:rPr>
              <w:t xml:space="preserve"> (turpm</w:t>
            </w:r>
            <w:r>
              <w:rPr>
                <w:b w:val="0"/>
              </w:rPr>
              <w:t>āk </w:t>
            </w:r>
            <w:r w:rsidRPr="00B45F33">
              <w:rPr>
                <w:b w:val="0"/>
              </w:rPr>
              <w:t>– direktīva 2014/49/ES) prasību ieviešanu nacionālajā normatīvajā regulējumā.</w:t>
            </w:r>
          </w:p>
        </w:tc>
      </w:tr>
      <w:tr w:rsidR="00EB707C" w:rsidRPr="008F5F2F" w:rsidTr="00D82EEB">
        <w:trPr>
          <w:jc w:val="center"/>
        </w:trPr>
        <w:tc>
          <w:tcPr>
            <w:tcW w:w="540" w:type="dxa"/>
            <w:tcBorders>
              <w:top w:val="single" w:sz="6" w:space="0" w:color="auto"/>
              <w:left w:val="single" w:sz="6" w:space="0" w:color="auto"/>
              <w:bottom w:val="single" w:sz="6" w:space="0" w:color="auto"/>
              <w:right w:val="single" w:sz="6" w:space="0" w:color="auto"/>
            </w:tcBorders>
          </w:tcPr>
          <w:p w:rsidR="00EB707C" w:rsidRPr="00A75F12" w:rsidRDefault="00EB707C">
            <w:pPr>
              <w:pStyle w:val="BodyText"/>
              <w:jc w:val="both"/>
              <w:rPr>
                <w:b w:val="0"/>
                <w:bCs w:val="0"/>
                <w:sz w:val="24"/>
                <w:szCs w:val="24"/>
              </w:rPr>
            </w:pPr>
            <w:r w:rsidRPr="00A75F12">
              <w:rPr>
                <w:b w:val="0"/>
                <w:bCs w:val="0"/>
                <w:sz w:val="24"/>
                <w:szCs w:val="24"/>
              </w:rPr>
              <w:t>2.</w:t>
            </w:r>
          </w:p>
        </w:tc>
        <w:tc>
          <w:tcPr>
            <w:tcW w:w="2687" w:type="dxa"/>
            <w:tcBorders>
              <w:top w:val="single" w:sz="6" w:space="0" w:color="auto"/>
              <w:left w:val="single" w:sz="6" w:space="0" w:color="auto"/>
              <w:bottom w:val="single" w:sz="6" w:space="0" w:color="auto"/>
              <w:right w:val="single" w:sz="6" w:space="0" w:color="auto"/>
            </w:tcBorders>
          </w:tcPr>
          <w:p w:rsidR="00EB707C" w:rsidRPr="004D371B" w:rsidRDefault="00EB707C">
            <w:pPr>
              <w:jc w:val="both"/>
            </w:pPr>
            <w:r w:rsidRPr="004D371B">
              <w:t>Pašreizējā situācija un problēmas, kuru risināšanai tiesību akta projekts izstrādāts, tiesiskā regulējuma mērķis un būtība</w:t>
            </w:r>
          </w:p>
        </w:tc>
        <w:tc>
          <w:tcPr>
            <w:tcW w:w="6979" w:type="dxa"/>
            <w:tcBorders>
              <w:top w:val="single" w:sz="6" w:space="0" w:color="auto"/>
              <w:left w:val="single" w:sz="6" w:space="0" w:color="auto"/>
              <w:bottom w:val="single" w:sz="6" w:space="0" w:color="auto"/>
              <w:right w:val="single" w:sz="6" w:space="0" w:color="auto"/>
            </w:tcBorders>
          </w:tcPr>
          <w:p w:rsidR="00E5730E" w:rsidRPr="004D371B" w:rsidRDefault="00B45F33" w:rsidP="00E5730E">
            <w:pPr>
              <w:pStyle w:val="Datums"/>
              <w:spacing w:before="0"/>
              <w:jc w:val="both"/>
              <w:rPr>
                <w:b/>
                <w:szCs w:val="24"/>
                <w:lang w:val="lv-LV"/>
              </w:rPr>
            </w:pPr>
            <w:r w:rsidRPr="004D371B">
              <w:rPr>
                <w:rFonts w:eastAsia="Calibri"/>
                <w:lang w:val="lv-LV"/>
              </w:rPr>
              <w:t>Atbilstoši pašreizējai situācijai garantēto atlīdzību izmaksas kārtību un noguldījumu garantiju fondā veicamās iemaksas reglamentē spēkā esošā noguldījumu garantiju likuma prasības. Taču</w:t>
            </w:r>
            <w:r w:rsidR="005937AA" w:rsidRPr="004D371B">
              <w:rPr>
                <w:rFonts w:eastAsia="Calibri"/>
                <w:lang w:val="lv-LV"/>
              </w:rPr>
              <w:t>,</w:t>
            </w:r>
            <w:r w:rsidRPr="004D371B">
              <w:rPr>
                <w:rFonts w:eastAsia="Calibri"/>
                <w:lang w:val="lv-LV"/>
              </w:rPr>
              <w:t xml:space="preserve"> ievērojot, ka </w:t>
            </w:r>
            <w:r w:rsidR="00E5730E" w:rsidRPr="004D371B">
              <w:rPr>
                <w:szCs w:val="24"/>
                <w:lang w:val="lv-LV"/>
              </w:rPr>
              <w:t>saistībā ar direktīvas 2014/49/ES</w:t>
            </w:r>
            <w:r w:rsidR="00E5730E" w:rsidRPr="004D371B">
              <w:rPr>
                <w:lang w:val="lv-LV"/>
              </w:rPr>
              <w:t xml:space="preserve"> </w:t>
            </w:r>
            <w:r w:rsidR="00E5730E" w:rsidRPr="004D371B">
              <w:rPr>
                <w:szCs w:val="24"/>
                <w:lang w:val="lv-LV"/>
              </w:rPr>
              <w:t xml:space="preserve">ieviešanu plānotais grozījumu apjoms varētu pārsniegt vairāk </w:t>
            </w:r>
            <w:r w:rsidR="005937AA" w:rsidRPr="004D371B">
              <w:rPr>
                <w:szCs w:val="24"/>
                <w:lang w:val="lv-LV"/>
              </w:rPr>
              <w:t>ne</w:t>
            </w:r>
            <w:r w:rsidR="00E5730E" w:rsidRPr="004D371B">
              <w:rPr>
                <w:szCs w:val="24"/>
                <w:lang w:val="lv-LV"/>
              </w:rPr>
              <w:t xml:space="preserve">kā pusi no veicamajiem grozījumiem Noguldījumu garantiju likumā, Komisija ierosina izdot jaunu likumu, izstrādājot Likumprojekta prasības. </w:t>
            </w:r>
          </w:p>
          <w:p w:rsidR="000D5347" w:rsidRPr="004D371B" w:rsidRDefault="000D5347" w:rsidP="00B45F33">
            <w:pPr>
              <w:spacing w:after="60"/>
              <w:jc w:val="both"/>
              <w:rPr>
                <w:rFonts w:eastAsia="Calibri"/>
              </w:rPr>
            </w:pPr>
          </w:p>
          <w:p w:rsidR="00BE289E" w:rsidRPr="004D371B" w:rsidRDefault="00BE289E" w:rsidP="00BE289E">
            <w:pPr>
              <w:jc w:val="both"/>
            </w:pPr>
            <w:r w:rsidRPr="004D371B">
              <w:t>Ieviešot direktīvas 2014/49/ES prasības, veicamos grozījumus (salīdzinot ar spēkā esošajām Noguldījumu garantiju likuma prasībām) var iedalīt šādos būtiskos punktos:</w:t>
            </w:r>
          </w:p>
          <w:p w:rsidR="00BE289E" w:rsidRPr="004D371B" w:rsidRDefault="00BE289E" w:rsidP="00BE289E">
            <w:pPr>
              <w:jc w:val="both"/>
            </w:pPr>
          </w:p>
          <w:p w:rsidR="00BE289E" w:rsidRPr="004D371B" w:rsidRDefault="00BE289E" w:rsidP="00BE289E">
            <w:pPr>
              <w:jc w:val="both"/>
            </w:pPr>
            <w:r w:rsidRPr="004D371B">
              <w:t>1.</w:t>
            </w:r>
            <w:r w:rsidR="005937AA" w:rsidRPr="004D371B">
              <w:t xml:space="preserve"> </w:t>
            </w:r>
            <w:r w:rsidRPr="004D371B">
              <w:t>Noguldījumu garantiju likumā lietotās terminoloģijas pre</w:t>
            </w:r>
            <w:r w:rsidR="00FC2FA5" w:rsidRPr="004D371B">
              <w:t>cizēšana</w:t>
            </w:r>
          </w:p>
          <w:p w:rsidR="00FC2FA5" w:rsidRPr="004D371B" w:rsidRDefault="00BE289E" w:rsidP="00BE289E">
            <w:pPr>
              <w:jc w:val="both"/>
            </w:pPr>
            <w:r w:rsidRPr="004D371B">
              <w:t xml:space="preserve">Ar Likumprojekta regulējumu tiek precizēts termina "noguldījums" saturs, kā arī </w:t>
            </w:r>
            <w:r w:rsidR="00FC2FA5" w:rsidRPr="004D371B">
              <w:t>ieviesti jauni ter</w:t>
            </w:r>
            <w:r w:rsidR="00E601C7" w:rsidRPr="004D371B">
              <w:t>mini "atbilstīgais noguldījums", “</w:t>
            </w:r>
            <w:proofErr w:type="spellStart"/>
            <w:r w:rsidR="00E601C7" w:rsidRPr="004D371B">
              <w:t>mērķapjoms</w:t>
            </w:r>
            <w:proofErr w:type="spellEnd"/>
            <w:r w:rsidR="00E601C7" w:rsidRPr="004D371B">
              <w:t xml:space="preserve">”, “pieejami finanšu līdzekļi”, “maksājumu saistības “ </w:t>
            </w:r>
            <w:r w:rsidR="00FC2FA5" w:rsidRPr="004D371B">
              <w:t>un "segtais noguldījums".</w:t>
            </w:r>
          </w:p>
          <w:p w:rsidR="00FC2FA5" w:rsidRPr="004D371B" w:rsidRDefault="00FC2FA5" w:rsidP="00BE289E">
            <w:pPr>
              <w:jc w:val="both"/>
            </w:pPr>
          </w:p>
          <w:p w:rsidR="00FC2FA5" w:rsidRPr="004D371B" w:rsidRDefault="00FC2FA5" w:rsidP="00BE289E">
            <w:pPr>
              <w:jc w:val="both"/>
            </w:pPr>
            <w:r w:rsidRPr="004D371B">
              <w:t>2.</w:t>
            </w:r>
            <w:r w:rsidR="00BE289E" w:rsidRPr="004D371B">
              <w:t> Noguldījumu garantiju fond</w:t>
            </w:r>
            <w:r w:rsidR="005937AA" w:rsidRPr="004D371B">
              <w:t>ā</w:t>
            </w:r>
            <w:r w:rsidR="00BE289E" w:rsidRPr="004D371B">
              <w:t xml:space="preserve"> veicamo iemaksu precizēšana</w:t>
            </w:r>
          </w:p>
          <w:p w:rsidR="00FC2FA5" w:rsidRPr="004D371B" w:rsidRDefault="00FC2FA5" w:rsidP="00BE289E">
            <w:pPr>
              <w:jc w:val="both"/>
            </w:pPr>
            <w:r w:rsidRPr="004D371B">
              <w:t xml:space="preserve">Likumprojekts nosaka minimālo </w:t>
            </w:r>
            <w:proofErr w:type="spellStart"/>
            <w:r w:rsidRPr="004D371B">
              <w:t>mērķapjomu</w:t>
            </w:r>
            <w:proofErr w:type="spellEnd"/>
            <w:r w:rsidRPr="004D371B">
              <w:t xml:space="preserve">, kas jānodrošina noguldījumu garantiju fondā. </w:t>
            </w:r>
            <w:r w:rsidR="00E57FF5" w:rsidRPr="004D371B">
              <w:t>Likumprojekts paredz</w:t>
            </w:r>
            <w:r w:rsidR="005937AA" w:rsidRPr="004D371B">
              <w:t>,</w:t>
            </w:r>
            <w:r w:rsidR="00E57FF5" w:rsidRPr="004D371B">
              <w:t xml:space="preserve"> </w:t>
            </w:r>
            <w:r w:rsidR="00616BBF" w:rsidRPr="004D371B">
              <w:t>salīdzinot ar spēkā esošā Noguldījumu garantiju likuma prasībām</w:t>
            </w:r>
            <w:r w:rsidR="005937AA" w:rsidRPr="004D371B">
              <w:t>,</w:t>
            </w:r>
            <w:r w:rsidR="00616BBF" w:rsidRPr="004D371B">
              <w:t xml:space="preserve"> </w:t>
            </w:r>
            <w:r w:rsidR="00E57FF5" w:rsidRPr="004D371B">
              <w:t>i</w:t>
            </w:r>
            <w:r w:rsidR="00616BBF" w:rsidRPr="004D371B">
              <w:t xml:space="preserve">eviest ārkārtas iemaksu veikšanas kārtību, atbilstoši kurai, </w:t>
            </w:r>
            <w:r w:rsidR="005937AA" w:rsidRPr="004D371B">
              <w:t xml:space="preserve">ja </w:t>
            </w:r>
            <w:r w:rsidR="00616BBF" w:rsidRPr="004D371B">
              <w:t>noguldījumu garantiju fondā i</w:t>
            </w:r>
            <w:r w:rsidR="00D82DEB" w:rsidRPr="004D371B">
              <w:t>r</w:t>
            </w:r>
            <w:r w:rsidR="00616BBF" w:rsidRPr="004D371B">
              <w:t xml:space="preserve"> nepietiekami līdzekļi</w:t>
            </w:r>
            <w:r w:rsidR="00D82DEB" w:rsidRPr="004D371B">
              <w:t xml:space="preserve"> noguldījumu garantiju izmaksai</w:t>
            </w:r>
            <w:r w:rsidR="00616BBF" w:rsidRPr="004D371B">
              <w:t xml:space="preserve">, noguldījumu piesaistītājs </w:t>
            </w:r>
            <w:r w:rsidR="005B52B6" w:rsidRPr="004D371B">
              <w:t xml:space="preserve">nodrošina šādu </w:t>
            </w:r>
            <w:r w:rsidR="00D82DEB" w:rsidRPr="004D371B">
              <w:t xml:space="preserve">ārkārtas </w:t>
            </w:r>
            <w:r w:rsidR="005B52B6" w:rsidRPr="004D371B">
              <w:t xml:space="preserve">iemaksu veikšanu. </w:t>
            </w:r>
          </w:p>
          <w:p w:rsidR="00FC2FA5" w:rsidRPr="004D371B" w:rsidRDefault="00FC2FA5" w:rsidP="00BE289E">
            <w:pPr>
              <w:jc w:val="both"/>
            </w:pPr>
          </w:p>
          <w:p w:rsidR="00D82DEB" w:rsidRPr="004D371B" w:rsidRDefault="00D82DEB" w:rsidP="00BE289E">
            <w:pPr>
              <w:jc w:val="both"/>
            </w:pPr>
            <w:r w:rsidRPr="004D371B">
              <w:t>3. </w:t>
            </w:r>
            <w:r w:rsidR="00BE289E" w:rsidRPr="004D371B">
              <w:t>Garantēto atlīdzību izmaksas termiņa pakāpeniska samazināšana</w:t>
            </w:r>
          </w:p>
          <w:p w:rsidR="00D82DEB" w:rsidRPr="004D371B" w:rsidRDefault="00D82DEB" w:rsidP="00BE289E">
            <w:pPr>
              <w:jc w:val="both"/>
            </w:pPr>
            <w:r w:rsidRPr="004D371B">
              <w:t>Likumprojekts paredz pakāpeniski samazināt garantēto atlīdzību izmaksas termiņu. Ja saskaņā ar spēkā esošajām Noguldījumu garantiju likuma prasībām šāds termiņš noteikts 20 darbdienas ar iespēju termiņu pagarināt vēl par 10 darbdienām, tad pakāpenisk</w:t>
            </w:r>
            <w:r w:rsidR="005937AA" w:rsidRPr="004D371B">
              <w:t>i</w:t>
            </w:r>
            <w:r w:rsidRPr="004D371B">
              <w:t xml:space="preserve"> pārejas periodā līdz pat 2024.</w:t>
            </w:r>
            <w:r w:rsidR="005937AA" w:rsidRPr="004D371B">
              <w:t xml:space="preserve"> </w:t>
            </w:r>
            <w:r w:rsidRPr="004D371B">
              <w:t xml:space="preserve">gadam garantētās atlīdzības termiņš nosakāms septiņas darbdienas. </w:t>
            </w:r>
          </w:p>
          <w:p w:rsidR="00D82DEB" w:rsidRPr="004D371B" w:rsidRDefault="00D82DEB" w:rsidP="00BE289E">
            <w:pPr>
              <w:jc w:val="both"/>
            </w:pPr>
          </w:p>
          <w:p w:rsidR="00BE289E" w:rsidRPr="004D371B" w:rsidRDefault="00D82DEB" w:rsidP="00BE289E">
            <w:pPr>
              <w:jc w:val="both"/>
            </w:pPr>
            <w:r w:rsidRPr="004D371B">
              <w:t>4. </w:t>
            </w:r>
            <w:r w:rsidR="00BE289E" w:rsidRPr="004D371B">
              <w:t>Tiesības veikt daļēju</w:t>
            </w:r>
            <w:r w:rsidRPr="004D371B">
              <w:t xml:space="preserve"> garantētās atlīdzības izmaksu</w:t>
            </w:r>
          </w:p>
          <w:p w:rsidR="00D82DEB" w:rsidRPr="004D371B" w:rsidRDefault="00D82DEB" w:rsidP="00BE289E">
            <w:pPr>
              <w:jc w:val="both"/>
            </w:pPr>
            <w:r w:rsidRPr="004D371B">
              <w:t>Spēkā esošajā Noguldījumu garantiju likumā noguldītājam ir paredzētas tiesības uz garantēto atlīdzību vienā maksājumā pilnā tās apmērā. Savukārt Likumprojekts paredz, ka Komisija, pirms lem</w:t>
            </w:r>
            <w:r w:rsidR="005937AA" w:rsidRPr="004D371B">
              <w:t>j</w:t>
            </w:r>
            <w:r w:rsidRPr="004D371B">
              <w:t xml:space="preserve"> par garantētās atlīdzības izmaksu pilnā apmērā</w:t>
            </w:r>
            <w:r w:rsidR="005937AA" w:rsidRPr="004D371B">
              <w:t>,</w:t>
            </w:r>
            <w:r w:rsidRPr="004D371B">
              <w:t xml:space="preserve"> var lemt par daļēju </w:t>
            </w:r>
            <w:r w:rsidRPr="004D371B">
              <w:lastRenderedPageBreak/>
              <w:t xml:space="preserve">garantētās atlīdzības izmaksu, kuras apmēra noteikšanā ņem vērā noguldītāja kopējo garantētajā atlīdzībā izmaksājamās summas apmēru. </w:t>
            </w:r>
          </w:p>
          <w:p w:rsidR="00D82DEB" w:rsidRPr="004D371B" w:rsidRDefault="00D82DEB" w:rsidP="00BE289E">
            <w:pPr>
              <w:jc w:val="both"/>
            </w:pPr>
          </w:p>
          <w:p w:rsidR="00BE289E" w:rsidRPr="004D371B" w:rsidRDefault="00D82DEB" w:rsidP="00BE289E">
            <w:pPr>
              <w:jc w:val="both"/>
            </w:pPr>
            <w:r w:rsidRPr="004D371B">
              <w:t>5. </w:t>
            </w:r>
            <w:r w:rsidR="00BE289E" w:rsidRPr="004D371B">
              <w:t>Tiesību subjekta loka precizēšana, kuriem nav piemērojamas tiesības saņemt garantē</w:t>
            </w:r>
            <w:r w:rsidRPr="004D371B">
              <w:t>to atlīdzību</w:t>
            </w:r>
          </w:p>
          <w:p w:rsidR="007B58C6" w:rsidRPr="004D371B" w:rsidRDefault="008E5FCA" w:rsidP="00BE289E">
            <w:pPr>
              <w:jc w:val="both"/>
            </w:pPr>
            <w:r w:rsidRPr="004D371B">
              <w:t>Salīdzinot ar spēkā esošajām Noguldījumu garantiju likuma prasībām</w:t>
            </w:r>
            <w:r w:rsidR="005937AA" w:rsidRPr="004D371B">
              <w:t>,</w:t>
            </w:r>
            <w:r w:rsidRPr="004D371B">
              <w:t xml:space="preserve"> </w:t>
            </w:r>
            <w:r w:rsidR="007B58C6" w:rsidRPr="004D371B">
              <w:t>tiesības saņemt garantēto atlīdzību tiek attiecināt</w:t>
            </w:r>
            <w:r w:rsidR="005937AA" w:rsidRPr="004D371B">
              <w:t>a</w:t>
            </w:r>
            <w:r w:rsidR="007B58C6" w:rsidRPr="004D371B">
              <w:t>s uz noguldījumu piesaistītāja akcionāri</w:t>
            </w:r>
            <w:r w:rsidR="005937AA" w:rsidRPr="004D371B">
              <w:t>em</w:t>
            </w:r>
            <w:r w:rsidR="007B58C6" w:rsidRPr="004D371B">
              <w:t xml:space="preserve"> un valdes un padomes locekļi</w:t>
            </w:r>
            <w:r w:rsidR="005937AA" w:rsidRPr="004D371B">
              <w:t>em</w:t>
            </w:r>
            <w:r w:rsidR="007B58C6" w:rsidRPr="004D371B">
              <w:t xml:space="preserve">, kā arī pašvaldībām, kuru gada budžets nepārsniedz 500 000 </w:t>
            </w:r>
            <w:proofErr w:type="spellStart"/>
            <w:r w:rsidR="007B58C6" w:rsidRPr="004D371B">
              <w:rPr>
                <w:i/>
              </w:rPr>
              <w:t>euro</w:t>
            </w:r>
            <w:proofErr w:type="spellEnd"/>
            <w:r w:rsidR="007B58C6" w:rsidRPr="004D371B">
              <w:rPr>
                <w:i/>
              </w:rPr>
              <w:t xml:space="preserve">. </w:t>
            </w:r>
            <w:r w:rsidR="007B58C6" w:rsidRPr="004D371B">
              <w:t>Savukārt tiesību subjektu loks, kuriem nav tiesīb</w:t>
            </w:r>
            <w:r w:rsidR="005937AA" w:rsidRPr="004D371B">
              <w:t>u</w:t>
            </w:r>
            <w:r w:rsidR="007B58C6" w:rsidRPr="004D371B">
              <w:t xml:space="preserve"> saņemt garantēto atlīdzību, ir papildināts ar noguldījumiem, ar kuriem pēdējo divu gadu laiku nav veikti nekādi darījumi un kuru vērtība ir mazāka par 10 </w:t>
            </w:r>
            <w:proofErr w:type="spellStart"/>
            <w:r w:rsidR="007B58C6" w:rsidRPr="004D371B">
              <w:rPr>
                <w:i/>
              </w:rPr>
              <w:t>euro</w:t>
            </w:r>
            <w:proofErr w:type="spellEnd"/>
            <w:r w:rsidR="007B58C6" w:rsidRPr="004D371B">
              <w:t>.</w:t>
            </w:r>
          </w:p>
          <w:p w:rsidR="007B58C6" w:rsidRPr="004D371B" w:rsidRDefault="007B58C6" w:rsidP="00BE289E">
            <w:pPr>
              <w:jc w:val="both"/>
            </w:pPr>
          </w:p>
          <w:p w:rsidR="00BE289E" w:rsidRPr="004D371B" w:rsidRDefault="007B58C6" w:rsidP="00BE289E">
            <w:pPr>
              <w:jc w:val="both"/>
            </w:pPr>
            <w:r w:rsidRPr="004D371B">
              <w:t>6. </w:t>
            </w:r>
            <w:r w:rsidR="00BE289E" w:rsidRPr="004D371B">
              <w:t>Tiesību subjektu loka paplašināšana, kuriem ir tiesības saņemt atsevišķa</w:t>
            </w:r>
            <w:r w:rsidR="005937AA" w:rsidRPr="004D371B">
              <w:t>s</w:t>
            </w:r>
            <w:r w:rsidR="00BE289E" w:rsidRPr="004D371B">
              <w:t xml:space="preserve"> noguldījumu kategorijas papildu</w:t>
            </w:r>
            <w:r w:rsidR="00856BE9" w:rsidRPr="004D371B">
              <w:t>s savai garantētajai atlīdzībai</w:t>
            </w:r>
          </w:p>
          <w:p w:rsidR="00856BE9" w:rsidRPr="004D371B" w:rsidRDefault="00856BE9" w:rsidP="00BE289E">
            <w:pPr>
              <w:jc w:val="both"/>
            </w:pPr>
            <w:r w:rsidRPr="004D371B">
              <w:t xml:space="preserve">Likumprojekts paredz atsevišķām noguldījumu kategorijām (piemēram, </w:t>
            </w:r>
            <w:r w:rsidR="00D740BE" w:rsidRPr="004D371B">
              <w:t>noguldījumiem par sev piederoša nekustamā īpašuma, kurā persona dzīvo, atsavināšanas darījumiem, noguldījumiem, kuri izmaksāti sociālam mērķim normatīvajos aktos noteiktajā kārtībā</w:t>
            </w:r>
            <w:r w:rsidR="005937AA" w:rsidRPr="004D371B">
              <w:t>,</w:t>
            </w:r>
            <w:r w:rsidR="00D740BE" w:rsidRPr="004D371B">
              <w:t xml:space="preserve"> un noguldījumiem, kuri izmaksāti kā kompensācija par krimināla rakstura kaitējumu vai personas nepatiesu notiesāšanu normatīvajos aktos noteiktajā kārtībā</w:t>
            </w:r>
            <w:r w:rsidRPr="004D371B">
              <w:t xml:space="preserve">) piemērot papildu aizsardzību, nosakot, ka </w:t>
            </w:r>
            <w:r w:rsidR="0044047C" w:rsidRPr="004D371B">
              <w:t xml:space="preserve">papildus garantētajai atlīdzībai šie noguldījumi tiek aizsargāti ne vairāk kā </w:t>
            </w:r>
            <w:r w:rsidR="00D740BE" w:rsidRPr="004D371B">
              <w:t xml:space="preserve">200 000 </w:t>
            </w:r>
            <w:proofErr w:type="spellStart"/>
            <w:r w:rsidR="00D740BE" w:rsidRPr="004D371B">
              <w:rPr>
                <w:i/>
              </w:rPr>
              <w:t>euro</w:t>
            </w:r>
            <w:proofErr w:type="spellEnd"/>
            <w:r w:rsidR="00D740BE" w:rsidRPr="004D371B">
              <w:t xml:space="preserve"> apmērā. </w:t>
            </w:r>
          </w:p>
          <w:p w:rsidR="003573CF" w:rsidRPr="004D371B" w:rsidRDefault="003573CF" w:rsidP="00BE289E">
            <w:pPr>
              <w:jc w:val="both"/>
            </w:pPr>
          </w:p>
          <w:p w:rsidR="00BE289E" w:rsidRPr="004D371B" w:rsidRDefault="003573CF" w:rsidP="00BE289E">
            <w:pPr>
              <w:jc w:val="both"/>
            </w:pPr>
            <w:r w:rsidRPr="004D371B">
              <w:t>7. </w:t>
            </w:r>
            <w:r w:rsidR="00BE289E" w:rsidRPr="004D371B">
              <w:t>Noteikta savstarpēja noguldījumu gar</w:t>
            </w:r>
            <w:r w:rsidRPr="004D371B">
              <w:t>antiju fondu sadarbības kārtība</w:t>
            </w:r>
          </w:p>
          <w:p w:rsidR="003573CF" w:rsidRPr="004D371B" w:rsidRDefault="006053A1" w:rsidP="00BE289E">
            <w:pPr>
              <w:jc w:val="both"/>
            </w:pPr>
            <w:r w:rsidRPr="004D371B">
              <w:t xml:space="preserve">Likumprojekts paredz ieviest kārtību, kādā dalībvalstu noguldījumu garantiju fondi savstarpēji apmainās ar informāciju, kas nepieciešama, lai nodrošinātu sekmīgu garantēto atlīdzību izmaksu procesu. </w:t>
            </w:r>
          </w:p>
          <w:p w:rsidR="006053A1" w:rsidRPr="004D371B" w:rsidRDefault="006053A1" w:rsidP="00BE289E">
            <w:pPr>
              <w:jc w:val="both"/>
            </w:pPr>
          </w:p>
          <w:p w:rsidR="00BE289E" w:rsidRPr="004D371B" w:rsidRDefault="006053A1" w:rsidP="00BE289E">
            <w:pPr>
              <w:spacing w:after="60"/>
              <w:jc w:val="both"/>
            </w:pPr>
            <w:r w:rsidRPr="004D371B">
              <w:t>8. </w:t>
            </w:r>
            <w:r w:rsidR="00BE289E" w:rsidRPr="004D371B">
              <w:t>Precizēta kārtīb</w:t>
            </w:r>
            <w:r w:rsidR="005937AA" w:rsidRPr="004D371B">
              <w:t>a</w:t>
            </w:r>
            <w:r w:rsidR="00BE289E" w:rsidRPr="004D371B">
              <w:t>, kādā noguldījumu piesaistītājs noguldītājiem dara pieejamu informāciju par noguldījumu aizsardzību</w:t>
            </w:r>
          </w:p>
          <w:p w:rsidR="00F72185" w:rsidRPr="004D371B" w:rsidRDefault="006053A1" w:rsidP="00BE289E">
            <w:pPr>
              <w:spacing w:after="60"/>
              <w:jc w:val="both"/>
            </w:pPr>
            <w:r w:rsidRPr="004D371B">
              <w:t>Ar Likumprojekta regul</w:t>
            </w:r>
            <w:r w:rsidR="002E7EBC" w:rsidRPr="004D371B">
              <w:t xml:space="preserve">ējumu noteikts, ka noguldītājs </w:t>
            </w:r>
            <w:r w:rsidRPr="004D371B">
              <w:t xml:space="preserve">pirms konta </w:t>
            </w:r>
            <w:r w:rsidR="002E7EBC" w:rsidRPr="004D371B">
              <w:t xml:space="preserve">atvēršanas pie noguldījumu piesaistītāja apliecina, ka personai ir sniegta visa nepieciešamā informācija par </w:t>
            </w:r>
            <w:r w:rsidR="00F72185" w:rsidRPr="004D371B">
              <w:t xml:space="preserve">tiesībām saņemt garantēto atlīdzību un par </w:t>
            </w:r>
            <w:r w:rsidR="002E7EBC" w:rsidRPr="004D371B">
              <w:t>garant</w:t>
            </w:r>
            <w:r w:rsidR="00F72185" w:rsidRPr="004D371B">
              <w:t xml:space="preserve">ēto </w:t>
            </w:r>
            <w:r w:rsidR="002E7EBC" w:rsidRPr="004D371B">
              <w:t>atlīdzību</w:t>
            </w:r>
            <w:r w:rsidR="00F72185" w:rsidRPr="004D371B">
              <w:t xml:space="preserve"> izmaksas kārtību. </w:t>
            </w:r>
          </w:p>
        </w:tc>
      </w:tr>
      <w:tr w:rsidR="00EB707C" w:rsidRPr="00A72207" w:rsidTr="00D82EEB">
        <w:trPr>
          <w:jc w:val="center"/>
        </w:trPr>
        <w:tc>
          <w:tcPr>
            <w:tcW w:w="540" w:type="dxa"/>
            <w:tcBorders>
              <w:top w:val="single" w:sz="6" w:space="0" w:color="auto"/>
              <w:left w:val="single" w:sz="6" w:space="0" w:color="auto"/>
              <w:bottom w:val="single" w:sz="6" w:space="0" w:color="auto"/>
              <w:right w:val="single" w:sz="6" w:space="0" w:color="auto"/>
            </w:tcBorders>
          </w:tcPr>
          <w:p w:rsidR="00EB707C" w:rsidRPr="005920FE" w:rsidRDefault="00EB707C">
            <w:pPr>
              <w:pStyle w:val="BodyText"/>
              <w:jc w:val="both"/>
              <w:rPr>
                <w:b w:val="0"/>
                <w:bCs w:val="0"/>
                <w:sz w:val="24"/>
                <w:szCs w:val="24"/>
              </w:rPr>
            </w:pPr>
            <w:r w:rsidRPr="005920FE">
              <w:rPr>
                <w:b w:val="0"/>
                <w:bCs w:val="0"/>
                <w:sz w:val="24"/>
                <w:szCs w:val="24"/>
              </w:rPr>
              <w:lastRenderedPageBreak/>
              <w:t xml:space="preserve">3. </w:t>
            </w:r>
          </w:p>
        </w:tc>
        <w:tc>
          <w:tcPr>
            <w:tcW w:w="2687" w:type="dxa"/>
            <w:tcBorders>
              <w:top w:val="single" w:sz="6" w:space="0" w:color="auto"/>
              <w:left w:val="single" w:sz="6" w:space="0" w:color="auto"/>
              <w:bottom w:val="single" w:sz="6" w:space="0" w:color="auto"/>
              <w:right w:val="single" w:sz="6" w:space="0" w:color="auto"/>
            </w:tcBorders>
          </w:tcPr>
          <w:p w:rsidR="00EB707C" w:rsidRPr="005920FE" w:rsidRDefault="00EB707C">
            <w:pPr>
              <w:pStyle w:val="BodyTextIndent"/>
              <w:rPr>
                <w:b w:val="0"/>
                <w:bCs w:val="0"/>
              </w:rPr>
            </w:pPr>
            <w:r w:rsidRPr="005920FE">
              <w:rPr>
                <w:b w:val="0"/>
                <w:bCs w:val="0"/>
              </w:rPr>
              <w:t>Projekta izstrādē iesaistītās institūcijas</w:t>
            </w:r>
          </w:p>
        </w:tc>
        <w:tc>
          <w:tcPr>
            <w:tcW w:w="6979" w:type="dxa"/>
            <w:tcBorders>
              <w:top w:val="single" w:sz="6" w:space="0" w:color="auto"/>
              <w:left w:val="single" w:sz="6" w:space="0" w:color="auto"/>
              <w:bottom w:val="single" w:sz="6" w:space="0" w:color="auto"/>
              <w:right w:val="single" w:sz="6" w:space="0" w:color="auto"/>
            </w:tcBorders>
          </w:tcPr>
          <w:p w:rsidR="00EB707C" w:rsidRPr="00E5730E" w:rsidRDefault="00233153" w:rsidP="0096586B">
            <w:pPr>
              <w:pStyle w:val="NormalWeb"/>
              <w:jc w:val="both"/>
              <w:rPr>
                <w:lang w:val="lv-LV"/>
              </w:rPr>
            </w:pPr>
            <w:r w:rsidRPr="00E5730E">
              <w:rPr>
                <w:bCs/>
                <w:lang w:val="lv-LV"/>
              </w:rPr>
              <w:t>Finanšu ministrija</w:t>
            </w:r>
            <w:r w:rsidR="005937AA">
              <w:rPr>
                <w:bCs/>
                <w:lang w:val="lv-LV"/>
              </w:rPr>
              <w:t>.</w:t>
            </w:r>
          </w:p>
        </w:tc>
      </w:tr>
      <w:tr w:rsidR="00EB707C" w:rsidRPr="008F5F2F" w:rsidTr="00D82EEB">
        <w:trPr>
          <w:jc w:val="center"/>
        </w:trPr>
        <w:tc>
          <w:tcPr>
            <w:tcW w:w="540" w:type="dxa"/>
            <w:tcBorders>
              <w:top w:val="single" w:sz="6" w:space="0" w:color="auto"/>
              <w:left w:val="single" w:sz="6" w:space="0" w:color="auto"/>
              <w:bottom w:val="single" w:sz="6" w:space="0" w:color="auto"/>
              <w:right w:val="single" w:sz="6" w:space="0" w:color="auto"/>
            </w:tcBorders>
          </w:tcPr>
          <w:p w:rsidR="00EB707C" w:rsidRPr="005A33C5" w:rsidRDefault="00EB707C">
            <w:pPr>
              <w:pStyle w:val="BodyText"/>
              <w:jc w:val="both"/>
              <w:rPr>
                <w:b w:val="0"/>
                <w:bCs w:val="0"/>
                <w:sz w:val="24"/>
                <w:szCs w:val="24"/>
              </w:rPr>
            </w:pPr>
            <w:r w:rsidRPr="005A33C5">
              <w:rPr>
                <w:b w:val="0"/>
                <w:bCs w:val="0"/>
                <w:sz w:val="24"/>
                <w:szCs w:val="24"/>
              </w:rPr>
              <w:t xml:space="preserve">4. </w:t>
            </w:r>
          </w:p>
        </w:tc>
        <w:tc>
          <w:tcPr>
            <w:tcW w:w="2687" w:type="dxa"/>
            <w:tcBorders>
              <w:top w:val="single" w:sz="6" w:space="0" w:color="auto"/>
              <w:left w:val="single" w:sz="6" w:space="0" w:color="auto"/>
              <w:bottom w:val="single" w:sz="6" w:space="0" w:color="auto"/>
              <w:right w:val="single" w:sz="6" w:space="0" w:color="auto"/>
            </w:tcBorders>
          </w:tcPr>
          <w:p w:rsidR="00EB707C" w:rsidRPr="005A33C5" w:rsidRDefault="00EB707C" w:rsidP="00995238">
            <w:pPr>
              <w:jc w:val="both"/>
            </w:pPr>
            <w:r w:rsidRPr="005A33C5">
              <w:t>Cita informācija</w:t>
            </w:r>
          </w:p>
        </w:tc>
        <w:tc>
          <w:tcPr>
            <w:tcW w:w="6979" w:type="dxa"/>
            <w:tcBorders>
              <w:top w:val="single" w:sz="6" w:space="0" w:color="auto"/>
              <w:left w:val="single" w:sz="6" w:space="0" w:color="auto"/>
              <w:bottom w:val="single" w:sz="6" w:space="0" w:color="auto"/>
              <w:right w:val="single" w:sz="6" w:space="0" w:color="auto"/>
            </w:tcBorders>
          </w:tcPr>
          <w:p w:rsidR="00EB707C" w:rsidRPr="00AF5AA2" w:rsidRDefault="00EB707C" w:rsidP="00995238">
            <w:pPr>
              <w:jc w:val="both"/>
            </w:pPr>
            <w:r w:rsidRPr="005A33C5">
              <w:t>Nav.</w:t>
            </w:r>
          </w:p>
        </w:tc>
      </w:tr>
    </w:tbl>
    <w:p w:rsidR="008766F2" w:rsidRDefault="008766F2">
      <w:pPr>
        <w:rPr>
          <w:b/>
          <w:bCs/>
          <w:i/>
          <w:iCs/>
        </w:rPr>
      </w:pPr>
    </w:p>
    <w:p w:rsidR="00063831" w:rsidRPr="00995238" w:rsidRDefault="00063831">
      <w:pPr>
        <w:rPr>
          <w:b/>
          <w:bCs/>
          <w:i/>
          <w:iCs/>
          <w:sz w:val="16"/>
          <w:szCs w:val="16"/>
        </w:rPr>
      </w:pPr>
    </w:p>
    <w:p w:rsidR="00A72F4A" w:rsidRDefault="00A72F4A" w:rsidP="00995238">
      <w:pPr>
        <w:rPr>
          <w:b/>
          <w:bCs/>
          <w:i/>
          <w:iCs/>
        </w:rPr>
      </w:pPr>
      <w:r>
        <w:rPr>
          <w:b/>
          <w:bCs/>
          <w:i/>
          <w:iCs/>
        </w:rPr>
        <w:t xml:space="preserve">II </w:t>
      </w:r>
      <w:r w:rsidR="00F72185">
        <w:rPr>
          <w:b/>
          <w:bCs/>
          <w:i/>
          <w:iCs/>
        </w:rPr>
        <w:t xml:space="preserve">un III </w:t>
      </w:r>
      <w:r>
        <w:rPr>
          <w:b/>
          <w:bCs/>
          <w:i/>
          <w:iCs/>
        </w:rPr>
        <w:t xml:space="preserve">sadaļa </w:t>
      </w:r>
      <w:r w:rsidR="005937AA">
        <w:rPr>
          <w:b/>
          <w:bCs/>
          <w:i/>
          <w:iCs/>
        </w:rPr>
        <w:t>–</w:t>
      </w:r>
      <w:r w:rsidRPr="00A72F4A">
        <w:rPr>
          <w:b/>
          <w:bCs/>
          <w:i/>
          <w:iCs/>
        </w:rPr>
        <w:t xml:space="preserve"> </w:t>
      </w:r>
      <w:r w:rsidR="00F72185">
        <w:rPr>
          <w:b/>
          <w:bCs/>
          <w:i/>
          <w:iCs/>
        </w:rPr>
        <w:t>Likump</w:t>
      </w:r>
      <w:r w:rsidRPr="005A601A">
        <w:rPr>
          <w:b/>
          <w:bCs/>
          <w:i/>
          <w:iCs/>
        </w:rPr>
        <w:t>rojekts š</w:t>
      </w:r>
      <w:r w:rsidR="0091668F">
        <w:rPr>
          <w:b/>
          <w:bCs/>
          <w:i/>
          <w:iCs/>
        </w:rPr>
        <w:t>o</w:t>
      </w:r>
      <w:r w:rsidRPr="005A601A">
        <w:rPr>
          <w:b/>
          <w:bCs/>
          <w:i/>
          <w:iCs/>
        </w:rPr>
        <w:t xml:space="preserve"> jom</w:t>
      </w:r>
      <w:r w:rsidR="0091668F">
        <w:rPr>
          <w:b/>
          <w:bCs/>
          <w:i/>
          <w:iCs/>
        </w:rPr>
        <w:t>u</w:t>
      </w:r>
      <w:r w:rsidRPr="005A601A">
        <w:rPr>
          <w:b/>
          <w:bCs/>
          <w:i/>
          <w:iCs/>
        </w:rPr>
        <w:t xml:space="preserve"> neskar.</w:t>
      </w:r>
    </w:p>
    <w:p w:rsidR="00A72F4A" w:rsidRDefault="00A72F4A" w:rsidP="00995238">
      <w:pPr>
        <w:rPr>
          <w:b/>
          <w:bCs/>
          <w:i/>
          <w:iCs/>
        </w:rPr>
      </w:pPr>
    </w:p>
    <w:p w:rsidR="00F72185" w:rsidRPr="00A1437D" w:rsidRDefault="00F72185" w:rsidP="00F72185">
      <w:pPr>
        <w:pStyle w:val="naiskr"/>
        <w:tabs>
          <w:tab w:val="left" w:pos="2628"/>
        </w:tabs>
        <w:spacing w:before="0" w:after="0"/>
      </w:pP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126"/>
        <w:gridCol w:w="7229"/>
      </w:tblGrid>
      <w:tr w:rsidR="00F72185" w:rsidRPr="00E84EF4" w:rsidTr="00D82EEB">
        <w:trPr>
          <w:jc w:val="center"/>
        </w:trPr>
        <w:tc>
          <w:tcPr>
            <w:tcW w:w="10206" w:type="dxa"/>
            <w:gridSpan w:val="3"/>
          </w:tcPr>
          <w:p w:rsidR="00F72185" w:rsidRPr="00E84EF4" w:rsidRDefault="00F72185" w:rsidP="00F72185">
            <w:pPr>
              <w:jc w:val="center"/>
            </w:pPr>
            <w:r w:rsidRPr="00E84EF4">
              <w:rPr>
                <w:b/>
              </w:rPr>
              <w:t> IV. Tiesību akta projekta ietekme uz spēkā esošo tiesību normu sistēmu</w:t>
            </w:r>
          </w:p>
        </w:tc>
      </w:tr>
      <w:tr w:rsidR="00F72185" w:rsidRPr="00E84EF4" w:rsidTr="00D82EEB">
        <w:trPr>
          <w:jc w:val="center"/>
        </w:trPr>
        <w:tc>
          <w:tcPr>
            <w:tcW w:w="851" w:type="dxa"/>
          </w:tcPr>
          <w:p w:rsidR="00F72185" w:rsidRPr="00E84EF4" w:rsidRDefault="00F72185" w:rsidP="00F72185">
            <w:pPr>
              <w:ind w:right="-57"/>
            </w:pPr>
            <w:r w:rsidRPr="00E84EF4">
              <w:t>1.</w:t>
            </w:r>
          </w:p>
        </w:tc>
        <w:tc>
          <w:tcPr>
            <w:tcW w:w="2126" w:type="dxa"/>
          </w:tcPr>
          <w:p w:rsidR="00F72185" w:rsidRPr="00E84EF4" w:rsidRDefault="00F72185" w:rsidP="00F72185">
            <w:pPr>
              <w:ind w:right="-57"/>
            </w:pPr>
            <w:r w:rsidRPr="00E84EF4">
              <w:t>Nepieciešamie saistītie tiesību aktu projekti</w:t>
            </w:r>
          </w:p>
        </w:tc>
        <w:tc>
          <w:tcPr>
            <w:tcW w:w="7229" w:type="dxa"/>
          </w:tcPr>
          <w:p w:rsidR="00F72185" w:rsidRPr="00F70CC2" w:rsidRDefault="00C47367" w:rsidP="005937AA">
            <w:pPr>
              <w:pStyle w:val="Footer"/>
              <w:tabs>
                <w:tab w:val="clear" w:pos="4153"/>
                <w:tab w:val="clear" w:pos="8306"/>
                <w:tab w:val="left" w:pos="3150"/>
              </w:tabs>
              <w:jc w:val="both"/>
            </w:pPr>
            <w:r>
              <w:t>Pastarpināti saistībā ar</w:t>
            </w:r>
            <w:r w:rsidR="00F70CC2" w:rsidRPr="00F70CC2">
              <w:t xml:space="preserve"> direktīvas 2014/49/ES prasību ieviešanu nacionālajā normatīvajā regulējum</w:t>
            </w:r>
            <w:r w:rsidR="005937AA">
              <w:t>ā</w:t>
            </w:r>
            <w:r w:rsidR="00F70CC2" w:rsidRPr="00F70CC2">
              <w:t xml:space="preserve"> papildus ir izstrādāts arī </w:t>
            </w:r>
            <w:r w:rsidR="00F70CC2" w:rsidRPr="00F70CC2">
              <w:lastRenderedPageBreak/>
              <w:t>likumprojekts "Kredītiestāžu un ieguldījumu brokeru sabiedrību darbības atjaunošanas un noregulēšanas likums".</w:t>
            </w:r>
            <w:r w:rsidR="00F70CC2">
              <w:t xml:space="preserve"> </w:t>
            </w:r>
          </w:p>
        </w:tc>
      </w:tr>
      <w:tr w:rsidR="00F72185" w:rsidRPr="00E84EF4" w:rsidTr="00D82EEB">
        <w:trPr>
          <w:jc w:val="center"/>
        </w:trPr>
        <w:tc>
          <w:tcPr>
            <w:tcW w:w="851" w:type="dxa"/>
          </w:tcPr>
          <w:p w:rsidR="00F72185" w:rsidRPr="00E84EF4" w:rsidRDefault="00F72185" w:rsidP="00F72185">
            <w:pPr>
              <w:ind w:right="-57"/>
            </w:pPr>
            <w:r>
              <w:lastRenderedPageBreak/>
              <w:t xml:space="preserve">2. </w:t>
            </w:r>
          </w:p>
        </w:tc>
        <w:tc>
          <w:tcPr>
            <w:tcW w:w="2126" w:type="dxa"/>
          </w:tcPr>
          <w:p w:rsidR="00F72185" w:rsidRPr="00575F9E" w:rsidRDefault="00F72185" w:rsidP="00F72185">
            <w:pPr>
              <w:ind w:right="-57"/>
            </w:pPr>
            <w:r w:rsidRPr="00575F9E">
              <w:t>Atbildīgā institūcija</w:t>
            </w:r>
          </w:p>
        </w:tc>
        <w:tc>
          <w:tcPr>
            <w:tcW w:w="7229" w:type="dxa"/>
          </w:tcPr>
          <w:p w:rsidR="00F72185" w:rsidRDefault="00F70CC2" w:rsidP="00F72185">
            <w:pPr>
              <w:pStyle w:val="Footer"/>
              <w:tabs>
                <w:tab w:val="clear" w:pos="4153"/>
                <w:tab w:val="clear" w:pos="8306"/>
                <w:tab w:val="left" w:pos="3150"/>
              </w:tabs>
              <w:jc w:val="both"/>
            </w:pPr>
            <w:r>
              <w:t>Finanšu ministrija.</w:t>
            </w:r>
          </w:p>
        </w:tc>
      </w:tr>
      <w:tr w:rsidR="00F72185" w:rsidRPr="00E84EF4" w:rsidTr="00D82EEB">
        <w:trPr>
          <w:jc w:val="center"/>
        </w:trPr>
        <w:tc>
          <w:tcPr>
            <w:tcW w:w="851" w:type="dxa"/>
          </w:tcPr>
          <w:p w:rsidR="00F72185" w:rsidRPr="00E84EF4" w:rsidRDefault="00F72185" w:rsidP="00F72185">
            <w:r>
              <w:t>3.</w:t>
            </w:r>
          </w:p>
        </w:tc>
        <w:tc>
          <w:tcPr>
            <w:tcW w:w="2126" w:type="dxa"/>
          </w:tcPr>
          <w:p w:rsidR="00F72185" w:rsidRPr="00E84EF4" w:rsidRDefault="00F72185" w:rsidP="00F72185">
            <w:r w:rsidRPr="00E84EF4">
              <w:t xml:space="preserve">Cita informācija </w:t>
            </w:r>
          </w:p>
        </w:tc>
        <w:tc>
          <w:tcPr>
            <w:tcW w:w="7229" w:type="dxa"/>
          </w:tcPr>
          <w:p w:rsidR="00F72185" w:rsidRPr="00E84EF4" w:rsidRDefault="00F70CC2" w:rsidP="00F72185">
            <w:pPr>
              <w:ind w:firstLine="34"/>
              <w:jc w:val="both"/>
            </w:pPr>
            <w:r>
              <w:t>Likumprojektam "Noguldījumu garantiju likums" un likumprojektam</w:t>
            </w:r>
            <w:r w:rsidRPr="00F70CC2">
              <w:t xml:space="preserve"> "Kredītiestāžu un ieguldījumu brokeru sabiedrību darbības atjaunošanas un noregulēšanas likums</w:t>
            </w:r>
            <w:r>
              <w:t>" nosakāms vienots spēkā stāšanās termiņš – no 2015.</w:t>
            </w:r>
            <w:r w:rsidR="005937AA">
              <w:t xml:space="preserve"> </w:t>
            </w:r>
            <w:r>
              <w:t>gada 1.</w:t>
            </w:r>
            <w:r w:rsidR="005937AA">
              <w:t xml:space="preserve"> </w:t>
            </w:r>
            <w:r>
              <w:t xml:space="preserve">janvāra. </w:t>
            </w:r>
          </w:p>
        </w:tc>
      </w:tr>
    </w:tbl>
    <w:p w:rsidR="00F72185" w:rsidRDefault="00F72185" w:rsidP="00F72185">
      <w:pPr>
        <w:pStyle w:val="naiskr"/>
        <w:tabs>
          <w:tab w:val="left" w:pos="2628"/>
        </w:tabs>
        <w:spacing w:before="0" w:after="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2669"/>
        <w:gridCol w:w="7122"/>
      </w:tblGrid>
      <w:tr w:rsidR="00F72185" w:rsidTr="00D82EEB">
        <w:trPr>
          <w:jc w:val="center"/>
        </w:trPr>
        <w:tc>
          <w:tcPr>
            <w:tcW w:w="10206" w:type="dxa"/>
            <w:gridSpan w:val="3"/>
          </w:tcPr>
          <w:p w:rsidR="00F72185" w:rsidRDefault="00F72185" w:rsidP="00F72185">
            <w:pPr>
              <w:pStyle w:val="naisnod"/>
              <w:spacing w:before="0" w:after="0"/>
            </w:pPr>
            <w:r>
              <w:t>V. Tiesību akta projekta atbilstība Latvijas Republikas starptautiskajām saistībām</w:t>
            </w:r>
          </w:p>
        </w:tc>
      </w:tr>
      <w:tr w:rsidR="00F72185" w:rsidTr="00D82EEB">
        <w:trPr>
          <w:jc w:val="center"/>
        </w:trPr>
        <w:tc>
          <w:tcPr>
            <w:tcW w:w="415" w:type="dxa"/>
          </w:tcPr>
          <w:p w:rsidR="00F72185" w:rsidRDefault="00F72185" w:rsidP="00F72185">
            <w:pPr>
              <w:pStyle w:val="naiskr"/>
              <w:tabs>
                <w:tab w:val="left" w:pos="2628"/>
              </w:tabs>
              <w:spacing w:before="0" w:after="0"/>
              <w:jc w:val="center"/>
              <w:rPr>
                <w:iCs/>
              </w:rPr>
            </w:pPr>
            <w:r>
              <w:rPr>
                <w:iCs/>
              </w:rPr>
              <w:t>1.</w:t>
            </w:r>
          </w:p>
        </w:tc>
        <w:tc>
          <w:tcPr>
            <w:tcW w:w="2669" w:type="dxa"/>
          </w:tcPr>
          <w:p w:rsidR="00F72185" w:rsidRDefault="00F72185" w:rsidP="00F72185">
            <w:pPr>
              <w:pStyle w:val="naiskr"/>
              <w:tabs>
                <w:tab w:val="left" w:pos="2628"/>
              </w:tabs>
              <w:spacing w:before="0" w:after="0"/>
              <w:jc w:val="both"/>
              <w:rPr>
                <w:iCs/>
              </w:rPr>
            </w:pPr>
            <w:r>
              <w:t>Saistības pret Eiropas Savienību</w:t>
            </w:r>
          </w:p>
        </w:tc>
        <w:tc>
          <w:tcPr>
            <w:tcW w:w="7122" w:type="dxa"/>
          </w:tcPr>
          <w:p w:rsidR="00F72185" w:rsidRPr="001D13E9" w:rsidRDefault="00F70CC2" w:rsidP="00F72185">
            <w:pPr>
              <w:jc w:val="both"/>
            </w:pPr>
            <w:r>
              <w:t xml:space="preserve">Ar Likumprojektu nacionālajā normatīvajā regulējumā tiek ieviestas </w:t>
            </w:r>
            <w:r w:rsidRPr="00F70CC2">
              <w:t>direktīvas 2014/49/ES prasīb</w:t>
            </w:r>
            <w:r>
              <w:t xml:space="preserve">as. </w:t>
            </w:r>
          </w:p>
        </w:tc>
      </w:tr>
      <w:tr w:rsidR="00F72185" w:rsidTr="00D82EEB">
        <w:trPr>
          <w:jc w:val="center"/>
        </w:trPr>
        <w:tc>
          <w:tcPr>
            <w:tcW w:w="415" w:type="dxa"/>
          </w:tcPr>
          <w:p w:rsidR="00F72185" w:rsidRDefault="00F72185" w:rsidP="00F72185">
            <w:pPr>
              <w:pStyle w:val="naiskr"/>
              <w:tabs>
                <w:tab w:val="left" w:pos="2628"/>
              </w:tabs>
              <w:spacing w:before="0" w:after="0"/>
              <w:jc w:val="center"/>
              <w:rPr>
                <w:iCs/>
              </w:rPr>
            </w:pPr>
            <w:r>
              <w:rPr>
                <w:iCs/>
              </w:rPr>
              <w:t>2.</w:t>
            </w:r>
          </w:p>
        </w:tc>
        <w:tc>
          <w:tcPr>
            <w:tcW w:w="2669" w:type="dxa"/>
          </w:tcPr>
          <w:p w:rsidR="00F72185" w:rsidRDefault="00F72185" w:rsidP="00F72185">
            <w:pPr>
              <w:pStyle w:val="naiskr"/>
              <w:tabs>
                <w:tab w:val="left" w:pos="2628"/>
              </w:tabs>
              <w:spacing w:before="0" w:after="0"/>
              <w:jc w:val="both"/>
              <w:rPr>
                <w:iCs/>
              </w:rPr>
            </w:pPr>
            <w:r>
              <w:t>Citas starptautiskās saistības</w:t>
            </w:r>
          </w:p>
        </w:tc>
        <w:tc>
          <w:tcPr>
            <w:tcW w:w="7122" w:type="dxa"/>
          </w:tcPr>
          <w:p w:rsidR="00F72185" w:rsidRDefault="00F72185" w:rsidP="00F72185">
            <w:pPr>
              <w:rPr>
                <w:iCs/>
              </w:rPr>
            </w:pPr>
            <w:r w:rsidRPr="001951E5">
              <w:rPr>
                <w:i/>
              </w:rPr>
              <w:t>Projekts šo jomu neskar</w:t>
            </w:r>
            <w:r>
              <w:rPr>
                <w:i/>
              </w:rPr>
              <w:t>.</w:t>
            </w:r>
            <w:r>
              <w:rPr>
                <w:iCs/>
              </w:rPr>
              <w:t xml:space="preserve"> </w:t>
            </w:r>
          </w:p>
        </w:tc>
      </w:tr>
      <w:tr w:rsidR="00F72185" w:rsidTr="00D82EEB">
        <w:trPr>
          <w:jc w:val="center"/>
        </w:trPr>
        <w:tc>
          <w:tcPr>
            <w:tcW w:w="415" w:type="dxa"/>
          </w:tcPr>
          <w:p w:rsidR="00F72185" w:rsidRDefault="00F72185" w:rsidP="00F72185">
            <w:pPr>
              <w:pStyle w:val="naiskr"/>
              <w:tabs>
                <w:tab w:val="left" w:pos="2628"/>
              </w:tabs>
              <w:spacing w:before="0" w:after="0"/>
              <w:jc w:val="center"/>
              <w:rPr>
                <w:iCs/>
              </w:rPr>
            </w:pPr>
            <w:r>
              <w:rPr>
                <w:iCs/>
              </w:rPr>
              <w:t>3.</w:t>
            </w:r>
          </w:p>
        </w:tc>
        <w:tc>
          <w:tcPr>
            <w:tcW w:w="2669" w:type="dxa"/>
          </w:tcPr>
          <w:p w:rsidR="00F72185" w:rsidRDefault="00F72185" w:rsidP="00F72185">
            <w:pPr>
              <w:pStyle w:val="naiskr"/>
              <w:tabs>
                <w:tab w:val="left" w:pos="2628"/>
              </w:tabs>
              <w:spacing w:before="0" w:after="0"/>
              <w:jc w:val="both"/>
            </w:pPr>
            <w:r>
              <w:t>Cita informācija</w:t>
            </w:r>
          </w:p>
        </w:tc>
        <w:tc>
          <w:tcPr>
            <w:tcW w:w="7122" w:type="dxa"/>
          </w:tcPr>
          <w:p w:rsidR="00F72185" w:rsidRPr="000D64BE" w:rsidRDefault="00F72185" w:rsidP="00F72185">
            <w:pPr>
              <w:autoSpaceDE w:val="0"/>
              <w:autoSpaceDN w:val="0"/>
              <w:adjustRightInd w:val="0"/>
              <w:jc w:val="both"/>
              <w:rPr>
                <w:iCs/>
              </w:rPr>
            </w:pPr>
            <w:r w:rsidRPr="001951E5">
              <w:rPr>
                <w:i/>
              </w:rPr>
              <w:t>Projekts šo jomu neskar</w:t>
            </w:r>
            <w:r>
              <w:rPr>
                <w:i/>
              </w:rPr>
              <w:t>.</w:t>
            </w:r>
          </w:p>
        </w:tc>
      </w:tr>
    </w:tbl>
    <w:p w:rsidR="00F72185" w:rsidRDefault="00F72185" w:rsidP="00F72185">
      <w:pPr>
        <w:pStyle w:val="naisf"/>
        <w:spacing w:before="0" w:after="0"/>
        <w:ind w:firstLin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885"/>
        <w:gridCol w:w="2351"/>
        <w:gridCol w:w="2792"/>
        <w:gridCol w:w="3178"/>
      </w:tblGrid>
      <w:tr w:rsidR="00F72185" w:rsidTr="00D82EEB">
        <w:trPr>
          <w:trHeight w:val="523"/>
          <w:jc w:val="center"/>
        </w:trPr>
        <w:tc>
          <w:tcPr>
            <w:tcW w:w="10206" w:type="dxa"/>
            <w:gridSpan w:val="4"/>
            <w:vAlign w:val="center"/>
          </w:tcPr>
          <w:p w:rsidR="00F72185" w:rsidRDefault="00F72185" w:rsidP="00F72185">
            <w:pPr>
              <w:pStyle w:val="naisnod"/>
              <w:spacing w:before="0" w:after="0"/>
            </w:pPr>
            <w:r>
              <w:t xml:space="preserve">1. tabula </w:t>
            </w:r>
          </w:p>
          <w:p w:rsidR="00F72185" w:rsidRDefault="00F72185" w:rsidP="00F72185">
            <w:pPr>
              <w:pStyle w:val="naisnod"/>
              <w:spacing w:before="0" w:after="0"/>
              <w:rPr>
                <w:i/>
              </w:rPr>
            </w:pPr>
            <w:r>
              <w:t>Tiesību akta projekta atbilstība ES tiesību aktiem</w:t>
            </w:r>
          </w:p>
        </w:tc>
      </w:tr>
      <w:tr w:rsidR="00F72185" w:rsidTr="00D82EEB">
        <w:trPr>
          <w:trHeight w:val="1058"/>
          <w:jc w:val="center"/>
        </w:trPr>
        <w:tc>
          <w:tcPr>
            <w:tcW w:w="1885" w:type="dxa"/>
            <w:vAlign w:val="center"/>
          </w:tcPr>
          <w:p w:rsidR="00F72185" w:rsidRPr="00F70CC2" w:rsidRDefault="00F70CC2" w:rsidP="00F70CC2">
            <w:pPr>
              <w:pStyle w:val="naiskr"/>
              <w:spacing w:before="0" w:after="0"/>
              <w:ind w:hanging="10"/>
              <w:jc w:val="center"/>
            </w:pPr>
            <w:r w:rsidRPr="00F70CC2">
              <w:t>Eiropas Parlamenta un Padomes</w:t>
            </w:r>
            <w:r>
              <w:t xml:space="preserve"> 2014.gada 16.aprīļa direktīvas </w:t>
            </w:r>
            <w:r w:rsidRPr="00F70CC2">
              <w:t>2014/49/ES par noguldījumu garantiju sistēmām</w:t>
            </w:r>
          </w:p>
        </w:tc>
        <w:tc>
          <w:tcPr>
            <w:tcW w:w="8321" w:type="dxa"/>
            <w:gridSpan w:val="3"/>
            <w:vAlign w:val="center"/>
          </w:tcPr>
          <w:p w:rsidR="00F72185" w:rsidRDefault="00F72185" w:rsidP="00F72185">
            <w:pPr>
              <w:pStyle w:val="naiskr"/>
              <w:spacing w:before="0" w:after="0"/>
              <w:jc w:val="center"/>
            </w:pPr>
            <w:r>
              <w:t>Aizpilda, ja ar projektu tiek pārņemts vai ieviests vairāk nekā viens ES tiesību akts, – jānorāda tā pati informācija, kas prasīta instrukcijas 55.1. apakšpunktā un jau tikusi norādīta arī V sadaļas 1. punkta ietvaros.</w:t>
            </w:r>
          </w:p>
        </w:tc>
      </w:tr>
      <w:tr w:rsidR="00F72185" w:rsidTr="00D82EEB">
        <w:trPr>
          <w:trHeight w:val="165"/>
          <w:jc w:val="center"/>
        </w:trPr>
        <w:tc>
          <w:tcPr>
            <w:tcW w:w="1885" w:type="dxa"/>
            <w:vAlign w:val="center"/>
          </w:tcPr>
          <w:p w:rsidR="00F72185" w:rsidRDefault="00F72185" w:rsidP="00F72185">
            <w:pPr>
              <w:pStyle w:val="naiskr"/>
              <w:spacing w:before="0" w:after="0"/>
              <w:jc w:val="both"/>
            </w:pPr>
            <w:r>
              <w:t>A</w:t>
            </w:r>
          </w:p>
        </w:tc>
        <w:tc>
          <w:tcPr>
            <w:tcW w:w="2351" w:type="dxa"/>
            <w:vAlign w:val="center"/>
          </w:tcPr>
          <w:p w:rsidR="00F72185" w:rsidRDefault="00F72185" w:rsidP="00F72185">
            <w:pPr>
              <w:pStyle w:val="naiskr"/>
              <w:spacing w:before="0" w:after="0"/>
              <w:jc w:val="center"/>
            </w:pPr>
            <w:r>
              <w:t>B</w:t>
            </w:r>
          </w:p>
        </w:tc>
        <w:tc>
          <w:tcPr>
            <w:tcW w:w="2792" w:type="dxa"/>
            <w:vAlign w:val="center"/>
          </w:tcPr>
          <w:p w:rsidR="00F72185" w:rsidRDefault="00F72185" w:rsidP="00F72185">
            <w:pPr>
              <w:pStyle w:val="naiskr"/>
              <w:spacing w:before="0" w:after="0"/>
              <w:jc w:val="center"/>
            </w:pPr>
            <w:r>
              <w:t>C</w:t>
            </w:r>
          </w:p>
        </w:tc>
        <w:tc>
          <w:tcPr>
            <w:tcW w:w="3178" w:type="dxa"/>
            <w:vAlign w:val="center"/>
          </w:tcPr>
          <w:p w:rsidR="00F72185" w:rsidRDefault="00F72185" w:rsidP="00F72185">
            <w:pPr>
              <w:pStyle w:val="naiskr"/>
              <w:spacing w:before="0" w:after="0"/>
              <w:jc w:val="center"/>
            </w:pPr>
            <w:r>
              <w:t>D</w:t>
            </w:r>
          </w:p>
        </w:tc>
      </w:tr>
      <w:tr w:rsidR="00F72185" w:rsidTr="00D82EEB">
        <w:trPr>
          <w:trHeight w:val="4708"/>
          <w:jc w:val="center"/>
        </w:trPr>
        <w:tc>
          <w:tcPr>
            <w:tcW w:w="1885" w:type="dxa"/>
          </w:tcPr>
          <w:p w:rsidR="00F72185" w:rsidRDefault="00F72185" w:rsidP="00F72185">
            <w:pPr>
              <w:pStyle w:val="naiskr"/>
              <w:spacing w:before="0" w:after="0"/>
              <w:jc w:val="both"/>
            </w:pPr>
            <w:r>
              <w:rPr>
                <w:color w:val="000000"/>
              </w:rPr>
              <w:t>Attiecīgā ES tiesību akta panta numurs (uzskaitot katru tiesību akta</w:t>
            </w:r>
            <w:r>
              <w:rPr>
                <w:color w:val="000000"/>
              </w:rPr>
              <w:br/>
              <w:t>vienību - pantu, daļu, punktu, apakšpunktu)</w:t>
            </w:r>
          </w:p>
        </w:tc>
        <w:tc>
          <w:tcPr>
            <w:tcW w:w="2351" w:type="dxa"/>
          </w:tcPr>
          <w:p w:rsidR="00F72185" w:rsidRDefault="00F72185" w:rsidP="00F72185">
            <w:pPr>
              <w:pStyle w:val="naiskr"/>
              <w:spacing w:before="0" w:after="0"/>
              <w:jc w:val="both"/>
            </w:pPr>
            <w:r>
              <w:rPr>
                <w:color w:val="000000"/>
              </w:rPr>
              <w:t>Projekta vienība, kas pārņem vai ievieš katru šīs tabulas A ailē minēto ES tiesību akta vienību</w:t>
            </w:r>
          </w:p>
        </w:tc>
        <w:tc>
          <w:tcPr>
            <w:tcW w:w="2792" w:type="dxa"/>
          </w:tcPr>
          <w:p w:rsidR="00F72185" w:rsidRDefault="00F72185" w:rsidP="00F72185">
            <w:pPr>
              <w:jc w:val="both"/>
              <w:rPr>
                <w:color w:val="000000"/>
              </w:rPr>
            </w:pPr>
            <w:r>
              <w:rPr>
                <w:color w:val="000000"/>
              </w:rPr>
              <w:t>Informācija par to, vai šīs tabulas A ailē minētās ES tiesību akta vienības tiek pārņemtas vai ieviestas pilnībā vai daļēji.</w:t>
            </w:r>
          </w:p>
          <w:p w:rsidR="00F72185" w:rsidRDefault="00F72185" w:rsidP="00F72185">
            <w:pPr>
              <w:jc w:val="both"/>
              <w:rPr>
                <w:color w:val="000000"/>
              </w:rPr>
            </w:pPr>
            <w:r>
              <w:rPr>
                <w:color w:val="000000"/>
              </w:rPr>
              <w:t>Ja attiecīgā ES tiesību akta vienība tiek pārņemta vai ieviesta daļēji, - sniedz attiecīgu skaidrojumu, kā arī precīzi norāda, kad un kādā veidā ES tiesību akta vienība tiks pārņemta vai ieviesta pilnībā.</w:t>
            </w:r>
          </w:p>
          <w:p w:rsidR="00F72185" w:rsidRDefault="00F72185" w:rsidP="00F72185">
            <w:pPr>
              <w:pStyle w:val="naiskr"/>
              <w:spacing w:before="0" w:after="0"/>
              <w:jc w:val="both"/>
            </w:pPr>
            <w:r>
              <w:rPr>
                <w:color w:val="000000"/>
              </w:rPr>
              <w:t>Norāda institūciju, kas ir atbildīga par šo saistību izpildi pilnībā.</w:t>
            </w:r>
          </w:p>
        </w:tc>
        <w:tc>
          <w:tcPr>
            <w:tcW w:w="3178" w:type="dxa"/>
          </w:tcPr>
          <w:p w:rsidR="00F72185" w:rsidRDefault="00F72185" w:rsidP="00F72185">
            <w:pPr>
              <w:jc w:val="both"/>
              <w:rPr>
                <w:color w:val="000000"/>
              </w:rPr>
            </w:pPr>
            <w:r>
              <w:rPr>
                <w:color w:val="000000"/>
              </w:rPr>
              <w:t>Informācija par to, vai šīs tabulas B ailē minētās projekta vienības paredz stingrākas prasības nekā šīs tabulas A ailē minētās ES tiesību akta vienības.</w:t>
            </w:r>
          </w:p>
          <w:p w:rsidR="00F72185" w:rsidRDefault="00F72185" w:rsidP="00F72185">
            <w:pPr>
              <w:jc w:val="both"/>
              <w:rPr>
                <w:color w:val="000000"/>
              </w:rPr>
            </w:pPr>
            <w:r>
              <w:rPr>
                <w:color w:val="000000"/>
              </w:rPr>
              <w:t>Ja projekts satur stingrākas prasības nekā attiecīgais ES tiesību akts, - norāda pamatojumu un samērīgumu.</w:t>
            </w:r>
          </w:p>
          <w:p w:rsidR="00F72185" w:rsidRDefault="00F72185" w:rsidP="00F72185">
            <w:pPr>
              <w:pStyle w:val="naiskr"/>
              <w:spacing w:before="0" w:after="0"/>
              <w:jc w:val="both"/>
            </w:pPr>
            <w:r>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F70CC2" w:rsidTr="00D82EEB">
        <w:trPr>
          <w:trHeight w:val="289"/>
          <w:jc w:val="center"/>
        </w:trPr>
        <w:tc>
          <w:tcPr>
            <w:tcW w:w="1885" w:type="dxa"/>
          </w:tcPr>
          <w:p w:rsidR="00F70CC2" w:rsidRPr="00635585" w:rsidRDefault="00C47367" w:rsidP="00F72185">
            <w:pPr>
              <w:pStyle w:val="naiskr"/>
              <w:spacing w:before="0" w:after="0"/>
              <w:jc w:val="center"/>
            </w:pPr>
            <w:r>
              <w:t>1</w:t>
            </w:r>
            <w:r w:rsidRPr="00635585">
              <w:t xml:space="preserve">. panta 1. </w:t>
            </w:r>
            <w:r>
              <w:t>p</w:t>
            </w:r>
            <w:r w:rsidRPr="00635585">
              <w:t>unkts</w:t>
            </w:r>
          </w:p>
        </w:tc>
        <w:tc>
          <w:tcPr>
            <w:tcW w:w="2351" w:type="dxa"/>
          </w:tcPr>
          <w:p w:rsidR="00F70CC2" w:rsidRPr="00635585" w:rsidRDefault="00720FAA" w:rsidP="00720FAA">
            <w:pPr>
              <w:pStyle w:val="naiskr"/>
              <w:spacing w:before="0" w:after="0"/>
              <w:jc w:val="center"/>
            </w:pPr>
            <w:r>
              <w:t>2.</w:t>
            </w:r>
            <w:r w:rsidR="007F50F4">
              <w:t xml:space="preserve"> </w:t>
            </w:r>
            <w:r>
              <w:t>panta pirmā daļa</w:t>
            </w:r>
          </w:p>
        </w:tc>
        <w:tc>
          <w:tcPr>
            <w:tcW w:w="2792" w:type="dxa"/>
          </w:tcPr>
          <w:p w:rsidR="00F70CC2" w:rsidRPr="00635585" w:rsidRDefault="00C47367" w:rsidP="00F72185">
            <w:pPr>
              <w:pStyle w:val="naiskr"/>
              <w:spacing w:before="0" w:after="0"/>
              <w:jc w:val="center"/>
            </w:pPr>
            <w:r w:rsidRPr="00635585">
              <w:t>Ieviests pilnībā</w:t>
            </w:r>
          </w:p>
        </w:tc>
        <w:tc>
          <w:tcPr>
            <w:tcW w:w="3178" w:type="dxa"/>
          </w:tcPr>
          <w:p w:rsidR="00F70CC2" w:rsidRPr="00635585" w:rsidRDefault="00C47367"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C47367">
            <w:pPr>
              <w:pStyle w:val="naiskr"/>
              <w:spacing w:before="0" w:after="0"/>
              <w:jc w:val="center"/>
            </w:pPr>
            <w:r>
              <w:t>1</w:t>
            </w:r>
            <w:r w:rsidRPr="00635585">
              <w:t xml:space="preserve">. panta </w:t>
            </w:r>
            <w:r>
              <w:t>2</w:t>
            </w:r>
            <w:r w:rsidRPr="00635585">
              <w:t xml:space="preserve">. </w:t>
            </w:r>
            <w:r>
              <w:t>p</w:t>
            </w:r>
            <w:r w:rsidRPr="00635585">
              <w:t>unkts</w:t>
            </w:r>
          </w:p>
        </w:tc>
        <w:tc>
          <w:tcPr>
            <w:tcW w:w="2351" w:type="dxa"/>
          </w:tcPr>
          <w:p w:rsidR="00F70CC2" w:rsidRPr="00635585" w:rsidRDefault="00720FAA" w:rsidP="00F72185">
            <w:pPr>
              <w:pStyle w:val="naiskr"/>
              <w:spacing w:before="0" w:after="0"/>
              <w:jc w:val="center"/>
            </w:pPr>
            <w:r>
              <w:t>2.</w:t>
            </w:r>
            <w:r w:rsidR="007F50F4">
              <w:t xml:space="preserve"> </w:t>
            </w:r>
            <w:r w:rsidR="0063130C">
              <w:t>panta pirmā daļa</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C47367">
            <w:pPr>
              <w:pStyle w:val="naiskr"/>
              <w:spacing w:before="0" w:after="0"/>
              <w:jc w:val="center"/>
            </w:pPr>
            <w:r>
              <w:t>1</w:t>
            </w:r>
            <w:r w:rsidRPr="00635585">
              <w:t xml:space="preserve">. panta </w:t>
            </w:r>
            <w:r>
              <w:t>3</w:t>
            </w:r>
            <w:r w:rsidRPr="00635585">
              <w:t xml:space="preserve">. </w:t>
            </w:r>
            <w:r>
              <w:t>p</w:t>
            </w:r>
            <w:r w:rsidRPr="00635585">
              <w:t>unkts</w:t>
            </w:r>
          </w:p>
        </w:tc>
        <w:tc>
          <w:tcPr>
            <w:tcW w:w="2351" w:type="dxa"/>
          </w:tcPr>
          <w:p w:rsidR="00F70CC2" w:rsidRPr="00635585" w:rsidRDefault="0063130C" w:rsidP="00F72185">
            <w:pPr>
              <w:pStyle w:val="naiskr"/>
              <w:spacing w:before="0" w:after="0"/>
              <w:jc w:val="center"/>
            </w:pPr>
            <w:r>
              <w:t>2.</w:t>
            </w:r>
            <w:r w:rsidR="007F50F4">
              <w:t xml:space="preserve"> </w:t>
            </w:r>
            <w:r>
              <w:t>panta pirmā daļa</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C47367">
            <w:pPr>
              <w:pStyle w:val="naiskr"/>
              <w:spacing w:before="0" w:after="0"/>
              <w:jc w:val="center"/>
            </w:pPr>
            <w:r>
              <w:t>2</w:t>
            </w:r>
            <w:r w:rsidRPr="00635585">
              <w:t xml:space="preserve">. panta 1. </w:t>
            </w:r>
            <w:r>
              <w:t>p</w:t>
            </w:r>
            <w:r w:rsidRPr="00635585">
              <w:t>unkt</w:t>
            </w:r>
            <w:r>
              <w:t>a 1) apakšpunkts</w:t>
            </w:r>
          </w:p>
        </w:tc>
        <w:tc>
          <w:tcPr>
            <w:tcW w:w="2351" w:type="dxa"/>
          </w:tcPr>
          <w:p w:rsidR="00F70CC2" w:rsidRDefault="0063130C" w:rsidP="00F72185">
            <w:pPr>
              <w:pStyle w:val="naiskr"/>
              <w:spacing w:before="0" w:after="0"/>
              <w:jc w:val="center"/>
            </w:pPr>
            <w:r>
              <w:t>2.</w:t>
            </w:r>
            <w:r w:rsidR="007F50F4">
              <w:t xml:space="preserve"> </w:t>
            </w:r>
            <w:r>
              <w:t>panta pirmā daļa</w:t>
            </w:r>
          </w:p>
          <w:p w:rsidR="0063130C" w:rsidRPr="00635585" w:rsidRDefault="0063130C" w:rsidP="00F72185">
            <w:pPr>
              <w:pStyle w:val="naiskr"/>
              <w:spacing w:before="0" w:after="0"/>
              <w:jc w:val="center"/>
            </w:pPr>
            <w:r>
              <w:t>3.</w:t>
            </w:r>
            <w:r w:rsidR="007F50F4">
              <w:t xml:space="preserve"> </w:t>
            </w:r>
            <w:r>
              <w:t>panta pirmā daļa</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C47367">
            <w:pPr>
              <w:pStyle w:val="naiskr"/>
              <w:spacing w:before="0" w:after="0"/>
              <w:jc w:val="center"/>
            </w:pPr>
            <w:r>
              <w:lastRenderedPageBreak/>
              <w:t>2</w:t>
            </w:r>
            <w:r w:rsidRPr="00635585">
              <w:t xml:space="preserve">. panta 1. </w:t>
            </w:r>
            <w:r>
              <w:t>p</w:t>
            </w:r>
            <w:r w:rsidRPr="00635585">
              <w:t>unkt</w:t>
            </w:r>
            <w:r>
              <w:t>a 2) apakšpunkts</w:t>
            </w:r>
          </w:p>
        </w:tc>
        <w:tc>
          <w:tcPr>
            <w:tcW w:w="2351" w:type="dxa"/>
          </w:tcPr>
          <w:p w:rsidR="00F70CC2" w:rsidRPr="00635585" w:rsidRDefault="0063130C" w:rsidP="00F72185">
            <w:pPr>
              <w:pStyle w:val="naiskr"/>
              <w:spacing w:before="0" w:after="0"/>
              <w:jc w:val="center"/>
            </w:pPr>
            <w:r>
              <w:t>1.</w:t>
            </w:r>
            <w:r w:rsidR="007F50F4">
              <w:t xml:space="preserve"> </w:t>
            </w:r>
            <w:r>
              <w:t>panta otrā daļa</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C47367">
            <w:pPr>
              <w:pStyle w:val="naiskr"/>
              <w:spacing w:before="0" w:after="0"/>
              <w:jc w:val="center"/>
            </w:pPr>
            <w:r>
              <w:t>2</w:t>
            </w:r>
            <w:r w:rsidRPr="00635585">
              <w:t xml:space="preserve">. panta 1. </w:t>
            </w:r>
            <w:r>
              <w:t>p</w:t>
            </w:r>
            <w:r w:rsidRPr="00635585">
              <w:t>unkt</w:t>
            </w:r>
            <w:r>
              <w:t>a 3) apakšpunkts</w:t>
            </w:r>
          </w:p>
        </w:tc>
        <w:tc>
          <w:tcPr>
            <w:tcW w:w="2351" w:type="dxa"/>
          </w:tcPr>
          <w:p w:rsidR="00F70CC2" w:rsidRPr="00635585" w:rsidRDefault="00EC20CE" w:rsidP="00F72185">
            <w:pPr>
              <w:pStyle w:val="naiskr"/>
              <w:spacing w:before="0" w:after="0"/>
              <w:jc w:val="center"/>
            </w:pPr>
            <w:r>
              <w:t>1.</w:t>
            </w:r>
            <w:r w:rsidR="007F50F4">
              <w:t xml:space="preserve"> </w:t>
            </w:r>
            <w:r>
              <w:t>panta pirmās daļas 1.</w:t>
            </w:r>
            <w:r w:rsidR="007F50F4">
              <w:t> </w:t>
            </w:r>
            <w:r>
              <w:t>punkts</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C47367">
            <w:pPr>
              <w:pStyle w:val="naiskr"/>
              <w:spacing w:before="0" w:after="0"/>
              <w:jc w:val="center"/>
            </w:pPr>
            <w:r>
              <w:t>2</w:t>
            </w:r>
            <w:r w:rsidRPr="00635585">
              <w:t xml:space="preserve">. panta 1. </w:t>
            </w:r>
            <w:r>
              <w:t>p</w:t>
            </w:r>
            <w:r w:rsidRPr="00635585">
              <w:t>unkt</w:t>
            </w:r>
            <w:r>
              <w:t>a 4) apakšpunkts</w:t>
            </w:r>
          </w:p>
        </w:tc>
        <w:tc>
          <w:tcPr>
            <w:tcW w:w="2351" w:type="dxa"/>
          </w:tcPr>
          <w:p w:rsidR="00F70CC2" w:rsidRPr="00635585" w:rsidRDefault="00EC20CE" w:rsidP="00EC20CE">
            <w:pPr>
              <w:pStyle w:val="naiskr"/>
              <w:spacing w:before="0" w:after="0"/>
              <w:jc w:val="center"/>
            </w:pPr>
            <w:r>
              <w:t>1.</w:t>
            </w:r>
            <w:r w:rsidR="007F50F4">
              <w:t xml:space="preserve"> </w:t>
            </w:r>
            <w:r>
              <w:t>panta pirmās daļas 2.</w:t>
            </w:r>
            <w:r w:rsidR="007F50F4">
              <w:t> </w:t>
            </w:r>
            <w:r>
              <w:t>punkts</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C47367">
            <w:pPr>
              <w:pStyle w:val="naiskr"/>
              <w:spacing w:before="0" w:after="0"/>
              <w:jc w:val="center"/>
            </w:pPr>
            <w:r>
              <w:t>2</w:t>
            </w:r>
            <w:r w:rsidRPr="00635585">
              <w:t xml:space="preserve">. panta 1. </w:t>
            </w:r>
            <w:r>
              <w:t>p</w:t>
            </w:r>
            <w:r w:rsidRPr="00635585">
              <w:t>unkt</w:t>
            </w:r>
            <w:r>
              <w:t>a 5) apakšpunkts</w:t>
            </w:r>
          </w:p>
        </w:tc>
        <w:tc>
          <w:tcPr>
            <w:tcW w:w="2351" w:type="dxa"/>
          </w:tcPr>
          <w:p w:rsidR="00F70CC2" w:rsidRPr="00635585" w:rsidRDefault="00EC20CE" w:rsidP="00EC20CE">
            <w:pPr>
              <w:pStyle w:val="naiskr"/>
              <w:spacing w:before="0" w:after="0"/>
              <w:jc w:val="center"/>
            </w:pPr>
            <w:r>
              <w:t>1.</w:t>
            </w:r>
            <w:r w:rsidR="007F50F4">
              <w:t xml:space="preserve"> </w:t>
            </w:r>
            <w:r>
              <w:t>panta pirmās daļas 3.</w:t>
            </w:r>
            <w:r w:rsidR="007F50F4">
              <w:t> </w:t>
            </w:r>
            <w:r>
              <w:t>punkts</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C47367">
            <w:pPr>
              <w:pStyle w:val="naiskr"/>
              <w:spacing w:before="0" w:after="0"/>
              <w:jc w:val="center"/>
            </w:pPr>
            <w:r>
              <w:t>2</w:t>
            </w:r>
            <w:r w:rsidRPr="00635585">
              <w:t xml:space="preserve">. panta 1. </w:t>
            </w:r>
            <w:r>
              <w:t>p</w:t>
            </w:r>
            <w:r w:rsidRPr="00635585">
              <w:t>unkt</w:t>
            </w:r>
            <w:r>
              <w:t>a 6) apakšpunkts</w:t>
            </w:r>
          </w:p>
        </w:tc>
        <w:tc>
          <w:tcPr>
            <w:tcW w:w="2351" w:type="dxa"/>
          </w:tcPr>
          <w:p w:rsidR="00F70CC2" w:rsidRPr="00635585" w:rsidRDefault="00C5617B" w:rsidP="00C5617B">
            <w:pPr>
              <w:pStyle w:val="naiskr"/>
              <w:spacing w:before="0" w:after="0"/>
              <w:jc w:val="center"/>
            </w:pPr>
            <w:r>
              <w:t>1.</w:t>
            </w:r>
            <w:r w:rsidR="007F50F4">
              <w:t xml:space="preserve"> </w:t>
            </w:r>
            <w:r>
              <w:t>panta pirmās daļas 7.</w:t>
            </w:r>
            <w:r w:rsidR="007F50F4">
              <w:t> </w:t>
            </w:r>
            <w:r>
              <w:t>punkts</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C47367">
            <w:pPr>
              <w:pStyle w:val="naiskr"/>
              <w:spacing w:before="0" w:after="0"/>
              <w:jc w:val="center"/>
            </w:pPr>
            <w:r>
              <w:t>2</w:t>
            </w:r>
            <w:r w:rsidRPr="00635585">
              <w:t xml:space="preserve">. panta 1. </w:t>
            </w:r>
            <w:r>
              <w:t>p</w:t>
            </w:r>
            <w:r w:rsidRPr="00635585">
              <w:t>unkt</w:t>
            </w:r>
            <w:r>
              <w:t>a 7) apakšpunkts</w:t>
            </w:r>
          </w:p>
        </w:tc>
        <w:tc>
          <w:tcPr>
            <w:tcW w:w="2351" w:type="dxa"/>
          </w:tcPr>
          <w:p w:rsidR="00F70CC2" w:rsidRPr="00635585" w:rsidRDefault="00C5617B" w:rsidP="00C5617B">
            <w:pPr>
              <w:pStyle w:val="naiskr"/>
              <w:spacing w:before="0" w:after="0"/>
              <w:jc w:val="center"/>
            </w:pPr>
            <w:r>
              <w:t>1.</w:t>
            </w:r>
            <w:r w:rsidR="007F50F4">
              <w:t xml:space="preserve"> </w:t>
            </w:r>
            <w:r>
              <w:t>panta pirmās daļas 4.</w:t>
            </w:r>
            <w:r w:rsidR="007F50F4">
              <w:t> </w:t>
            </w:r>
            <w:r>
              <w:t>punkts</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C47367">
            <w:pPr>
              <w:pStyle w:val="naiskr"/>
              <w:spacing w:before="0" w:after="0"/>
              <w:jc w:val="center"/>
            </w:pPr>
            <w:r>
              <w:t>2</w:t>
            </w:r>
            <w:r w:rsidRPr="00635585">
              <w:t xml:space="preserve">. panta 1. </w:t>
            </w:r>
            <w:r>
              <w:t>p</w:t>
            </w:r>
            <w:r w:rsidRPr="00635585">
              <w:t>unkt</w:t>
            </w:r>
            <w:r>
              <w:t>a 8) apakšpunkts</w:t>
            </w:r>
          </w:p>
        </w:tc>
        <w:tc>
          <w:tcPr>
            <w:tcW w:w="2351" w:type="dxa"/>
          </w:tcPr>
          <w:p w:rsidR="00F70CC2" w:rsidRPr="00635585" w:rsidRDefault="00C5617B" w:rsidP="00C5617B">
            <w:pPr>
              <w:pStyle w:val="naiskr"/>
              <w:spacing w:before="0" w:after="0"/>
              <w:jc w:val="center"/>
            </w:pPr>
            <w:r>
              <w:t>1.</w:t>
            </w:r>
            <w:r w:rsidR="007F50F4">
              <w:t xml:space="preserve"> </w:t>
            </w:r>
            <w:r>
              <w:t>panta pirmās daļas 6.</w:t>
            </w:r>
            <w:r w:rsidR="007F50F4">
              <w:t> </w:t>
            </w:r>
            <w:r>
              <w:t>punkts</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C47367">
            <w:pPr>
              <w:pStyle w:val="naiskr"/>
              <w:spacing w:before="0" w:after="0"/>
              <w:jc w:val="center"/>
            </w:pPr>
            <w:r>
              <w:t>2</w:t>
            </w:r>
            <w:r w:rsidRPr="00635585">
              <w:t xml:space="preserve">. panta 1. </w:t>
            </w:r>
            <w:r>
              <w:t>p</w:t>
            </w:r>
            <w:r w:rsidRPr="00635585">
              <w:t>unkt</w:t>
            </w:r>
            <w:r>
              <w:t>a 9) apakšpunkts</w:t>
            </w:r>
          </w:p>
        </w:tc>
        <w:tc>
          <w:tcPr>
            <w:tcW w:w="2351" w:type="dxa"/>
          </w:tcPr>
          <w:p w:rsidR="00F70CC2" w:rsidRPr="00635585" w:rsidRDefault="00347335" w:rsidP="00347335">
            <w:pPr>
              <w:pStyle w:val="naiskr"/>
              <w:spacing w:before="0" w:after="0"/>
              <w:jc w:val="center"/>
            </w:pPr>
            <w:r>
              <w:t>1.</w:t>
            </w:r>
            <w:r w:rsidR="007F50F4">
              <w:t xml:space="preserve"> </w:t>
            </w:r>
            <w:r>
              <w:t>panta otrā daļa</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F72185">
            <w:pPr>
              <w:pStyle w:val="naiskr"/>
              <w:spacing w:before="0" w:after="0"/>
              <w:jc w:val="center"/>
            </w:pPr>
            <w:r>
              <w:t>2</w:t>
            </w:r>
            <w:r w:rsidRPr="00635585">
              <w:t xml:space="preserve">. panta 1. </w:t>
            </w:r>
            <w:r>
              <w:t>p</w:t>
            </w:r>
            <w:r w:rsidRPr="00635585">
              <w:t>unkt</w:t>
            </w:r>
            <w:r>
              <w:t>a 10) apakšpunkts</w:t>
            </w:r>
          </w:p>
        </w:tc>
        <w:tc>
          <w:tcPr>
            <w:tcW w:w="2351" w:type="dxa"/>
          </w:tcPr>
          <w:p w:rsidR="00F70CC2" w:rsidRPr="00635585" w:rsidRDefault="00347335" w:rsidP="00F72185">
            <w:pPr>
              <w:pStyle w:val="naiskr"/>
              <w:spacing w:before="0" w:after="0"/>
              <w:jc w:val="center"/>
            </w:pPr>
            <w:r>
              <w:t>1.</w:t>
            </w:r>
            <w:r w:rsidR="007F50F4">
              <w:t xml:space="preserve"> </w:t>
            </w:r>
            <w:r>
              <w:t>panta otrā daļa</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F72185">
            <w:pPr>
              <w:pStyle w:val="naiskr"/>
              <w:spacing w:before="0" w:after="0"/>
              <w:jc w:val="center"/>
            </w:pPr>
            <w:r>
              <w:t>2</w:t>
            </w:r>
            <w:r w:rsidRPr="00635585">
              <w:t xml:space="preserve">. panta 1. </w:t>
            </w:r>
            <w:r>
              <w:t>p</w:t>
            </w:r>
            <w:r w:rsidRPr="00635585">
              <w:t>unkt</w:t>
            </w:r>
            <w:r>
              <w:t>a 11) apakšpunkts</w:t>
            </w:r>
          </w:p>
        </w:tc>
        <w:tc>
          <w:tcPr>
            <w:tcW w:w="2351" w:type="dxa"/>
          </w:tcPr>
          <w:p w:rsidR="00F70CC2" w:rsidRPr="00635585" w:rsidRDefault="00347335" w:rsidP="00347335">
            <w:pPr>
              <w:pStyle w:val="naiskr"/>
              <w:spacing w:before="0" w:after="0"/>
              <w:jc w:val="center"/>
            </w:pPr>
            <w:r>
              <w:t>1.</w:t>
            </w:r>
            <w:r w:rsidR="007F50F4">
              <w:t xml:space="preserve"> </w:t>
            </w:r>
            <w:r>
              <w:t>panta pirmās daļas 9.</w:t>
            </w:r>
            <w:r w:rsidR="007F50F4">
              <w:t> </w:t>
            </w:r>
            <w:r>
              <w:t>punkts</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F72185">
            <w:pPr>
              <w:pStyle w:val="naiskr"/>
              <w:spacing w:before="0" w:after="0"/>
              <w:jc w:val="center"/>
            </w:pPr>
            <w:r>
              <w:t>2</w:t>
            </w:r>
            <w:r w:rsidRPr="00635585">
              <w:t xml:space="preserve">. panta 1. </w:t>
            </w:r>
            <w:r>
              <w:t>p</w:t>
            </w:r>
            <w:r w:rsidRPr="00635585">
              <w:t>unkt</w:t>
            </w:r>
            <w:r>
              <w:t>a 12) apakšpunkts</w:t>
            </w:r>
          </w:p>
        </w:tc>
        <w:tc>
          <w:tcPr>
            <w:tcW w:w="2351" w:type="dxa"/>
          </w:tcPr>
          <w:p w:rsidR="00F70CC2" w:rsidRPr="00635585" w:rsidRDefault="00347335" w:rsidP="00347335">
            <w:pPr>
              <w:pStyle w:val="naiskr"/>
              <w:spacing w:before="0" w:after="0"/>
              <w:jc w:val="center"/>
            </w:pPr>
            <w:r>
              <w:t>1.</w:t>
            </w:r>
            <w:r w:rsidR="007F50F4">
              <w:t xml:space="preserve"> </w:t>
            </w:r>
            <w:r>
              <w:t>panta pirmās daļas 10.</w:t>
            </w:r>
            <w:r w:rsidR="007F50F4">
              <w:t> </w:t>
            </w:r>
            <w:r>
              <w:t>punkts</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F72185">
            <w:pPr>
              <w:pStyle w:val="naiskr"/>
              <w:spacing w:before="0" w:after="0"/>
              <w:jc w:val="center"/>
            </w:pPr>
            <w:r>
              <w:t>2</w:t>
            </w:r>
            <w:r w:rsidRPr="00635585">
              <w:t xml:space="preserve">. panta 1. </w:t>
            </w:r>
            <w:r>
              <w:t>p</w:t>
            </w:r>
            <w:r w:rsidRPr="00635585">
              <w:t>unkt</w:t>
            </w:r>
            <w:r>
              <w:t>a 13) apakšpunkts</w:t>
            </w:r>
          </w:p>
        </w:tc>
        <w:tc>
          <w:tcPr>
            <w:tcW w:w="2351" w:type="dxa"/>
          </w:tcPr>
          <w:p w:rsidR="00F70CC2" w:rsidRPr="00635585" w:rsidRDefault="00CA0A5A" w:rsidP="00F72185">
            <w:pPr>
              <w:pStyle w:val="naiskr"/>
              <w:spacing w:before="0" w:after="0"/>
              <w:jc w:val="center"/>
            </w:pPr>
            <w:r>
              <w:t>1.</w:t>
            </w:r>
            <w:r w:rsidR="007F50F4">
              <w:t xml:space="preserve"> </w:t>
            </w:r>
            <w:r>
              <w:t>panta pirmās daļas 11.</w:t>
            </w:r>
            <w:r w:rsidR="007F50F4">
              <w:t xml:space="preserve"> </w:t>
            </w:r>
            <w:r>
              <w:t>punkts</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F72185">
            <w:pPr>
              <w:pStyle w:val="naiskr"/>
              <w:spacing w:before="0" w:after="0"/>
              <w:jc w:val="center"/>
            </w:pPr>
            <w:r>
              <w:t>2</w:t>
            </w:r>
            <w:r w:rsidRPr="00635585">
              <w:t xml:space="preserve">. panta 1. </w:t>
            </w:r>
            <w:r>
              <w:t>p</w:t>
            </w:r>
            <w:r w:rsidRPr="00635585">
              <w:t>unkt</w:t>
            </w:r>
            <w:r>
              <w:t>a 14) apakšpunkts</w:t>
            </w:r>
          </w:p>
        </w:tc>
        <w:tc>
          <w:tcPr>
            <w:tcW w:w="2351" w:type="dxa"/>
          </w:tcPr>
          <w:p w:rsidR="00F70CC2" w:rsidRPr="00635585" w:rsidRDefault="00CA0A5A" w:rsidP="00F72185">
            <w:pPr>
              <w:pStyle w:val="naiskr"/>
              <w:spacing w:before="0" w:after="0"/>
              <w:jc w:val="center"/>
            </w:pPr>
            <w:r>
              <w:t>1.</w:t>
            </w:r>
            <w:r w:rsidR="007F50F4">
              <w:t xml:space="preserve"> </w:t>
            </w:r>
            <w:r>
              <w:t>panta otrā daļa</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F72185">
            <w:pPr>
              <w:pStyle w:val="naiskr"/>
              <w:spacing w:before="0" w:after="0"/>
              <w:jc w:val="center"/>
            </w:pPr>
            <w:r>
              <w:t>2</w:t>
            </w:r>
            <w:r w:rsidRPr="00635585">
              <w:t xml:space="preserve">. panta 1. </w:t>
            </w:r>
            <w:r>
              <w:t>p</w:t>
            </w:r>
            <w:r w:rsidRPr="00635585">
              <w:t>unkt</w:t>
            </w:r>
            <w:r>
              <w:t>a 15) apakšpunkts</w:t>
            </w:r>
          </w:p>
        </w:tc>
        <w:tc>
          <w:tcPr>
            <w:tcW w:w="2351" w:type="dxa"/>
          </w:tcPr>
          <w:p w:rsidR="00F70CC2" w:rsidRPr="00635585" w:rsidRDefault="00CA0A5A" w:rsidP="00F72185">
            <w:pPr>
              <w:pStyle w:val="naiskr"/>
              <w:spacing w:before="0" w:after="0"/>
              <w:jc w:val="center"/>
            </w:pPr>
            <w:r>
              <w:t>1.</w:t>
            </w:r>
            <w:r w:rsidR="007F50F4">
              <w:t xml:space="preserve"> </w:t>
            </w:r>
            <w:r>
              <w:t>panta otrā daļa</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F72185">
            <w:pPr>
              <w:pStyle w:val="naiskr"/>
              <w:spacing w:before="0" w:after="0"/>
              <w:jc w:val="center"/>
            </w:pPr>
            <w:r>
              <w:t>2</w:t>
            </w:r>
            <w:r w:rsidRPr="00635585">
              <w:t xml:space="preserve">. panta 1. </w:t>
            </w:r>
            <w:r>
              <w:t>p</w:t>
            </w:r>
            <w:r w:rsidRPr="00635585">
              <w:t>unkt</w:t>
            </w:r>
            <w:r>
              <w:t>a 16) apakšpunkts</w:t>
            </w:r>
          </w:p>
        </w:tc>
        <w:tc>
          <w:tcPr>
            <w:tcW w:w="2351" w:type="dxa"/>
          </w:tcPr>
          <w:p w:rsidR="00F70CC2" w:rsidRPr="00635585" w:rsidRDefault="00CA0A5A" w:rsidP="00F72185">
            <w:pPr>
              <w:pStyle w:val="naiskr"/>
              <w:spacing w:before="0" w:after="0"/>
              <w:jc w:val="center"/>
            </w:pPr>
            <w:r>
              <w:t>1.</w:t>
            </w:r>
            <w:r w:rsidR="007F50F4">
              <w:t xml:space="preserve"> </w:t>
            </w:r>
            <w:r>
              <w:t>panta otrā daļa</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F72185">
            <w:pPr>
              <w:pStyle w:val="naiskr"/>
              <w:spacing w:before="0" w:after="0"/>
              <w:jc w:val="center"/>
            </w:pPr>
            <w:r>
              <w:t>2</w:t>
            </w:r>
            <w:r w:rsidRPr="00635585">
              <w:t xml:space="preserve">. panta 1. </w:t>
            </w:r>
            <w:r>
              <w:t>p</w:t>
            </w:r>
            <w:r w:rsidRPr="00635585">
              <w:t>unkt</w:t>
            </w:r>
            <w:r>
              <w:t>a 17) apakšpunkts</w:t>
            </w:r>
          </w:p>
        </w:tc>
        <w:tc>
          <w:tcPr>
            <w:tcW w:w="2351" w:type="dxa"/>
          </w:tcPr>
          <w:p w:rsidR="00F70CC2" w:rsidRPr="00635585" w:rsidRDefault="00CA2A10" w:rsidP="00CA2A10">
            <w:pPr>
              <w:pStyle w:val="naiskr"/>
              <w:spacing w:before="0" w:after="0"/>
              <w:jc w:val="center"/>
            </w:pPr>
            <w:r>
              <w:t>6</w:t>
            </w:r>
            <w:r w:rsidR="00CA0A5A">
              <w:t>.</w:t>
            </w:r>
            <w:r w:rsidR="007F50F4">
              <w:t xml:space="preserve"> </w:t>
            </w:r>
            <w:r w:rsidR="00CA0A5A">
              <w:t xml:space="preserve">panta </w:t>
            </w:r>
            <w:r>
              <w:t>pirmā daļa</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F72185">
            <w:pPr>
              <w:pStyle w:val="naiskr"/>
              <w:spacing w:before="0" w:after="0"/>
              <w:jc w:val="center"/>
            </w:pPr>
            <w:r>
              <w:t>2</w:t>
            </w:r>
            <w:r w:rsidRPr="00635585">
              <w:t xml:space="preserve">. panta 1. </w:t>
            </w:r>
            <w:r>
              <w:t>p</w:t>
            </w:r>
            <w:r w:rsidRPr="00635585">
              <w:t>unkt</w:t>
            </w:r>
            <w:r>
              <w:t>a 18) apakšpunkts</w:t>
            </w:r>
          </w:p>
        </w:tc>
        <w:tc>
          <w:tcPr>
            <w:tcW w:w="2351" w:type="dxa"/>
          </w:tcPr>
          <w:p w:rsidR="00F70CC2" w:rsidRPr="00635585" w:rsidRDefault="00CA2A10" w:rsidP="00F72185">
            <w:pPr>
              <w:pStyle w:val="naiskr"/>
              <w:spacing w:before="0" w:after="0"/>
              <w:jc w:val="center"/>
            </w:pPr>
            <w:r>
              <w:t>6.</w:t>
            </w:r>
            <w:r w:rsidR="007F50F4">
              <w:t xml:space="preserve"> </w:t>
            </w:r>
            <w:r>
              <w:t>panta pirmā daļa</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F72185">
            <w:pPr>
              <w:pStyle w:val="naiskr"/>
              <w:spacing w:before="0" w:after="0"/>
              <w:jc w:val="center"/>
            </w:pPr>
            <w:r>
              <w:t>2. panta 2</w:t>
            </w:r>
            <w:r w:rsidRPr="00635585">
              <w:t xml:space="preserve">. </w:t>
            </w:r>
            <w:r>
              <w:t>p</w:t>
            </w:r>
            <w:r w:rsidRPr="00635585">
              <w:t>unkt</w:t>
            </w:r>
            <w:r>
              <w:t>s</w:t>
            </w:r>
          </w:p>
        </w:tc>
        <w:tc>
          <w:tcPr>
            <w:tcW w:w="2351" w:type="dxa"/>
          </w:tcPr>
          <w:p w:rsidR="00F70CC2" w:rsidRPr="00635585" w:rsidRDefault="003E083F" w:rsidP="00F72185">
            <w:pPr>
              <w:pStyle w:val="naiskr"/>
              <w:spacing w:before="0" w:after="0"/>
              <w:jc w:val="center"/>
            </w:pPr>
            <w:r>
              <w:t>6.</w:t>
            </w:r>
            <w:r w:rsidR="007F50F4">
              <w:t xml:space="preserve"> </w:t>
            </w:r>
            <w:r>
              <w:t>panta pirmā daļa</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F72185">
            <w:pPr>
              <w:pStyle w:val="naiskr"/>
              <w:spacing w:before="0" w:after="0"/>
              <w:jc w:val="center"/>
            </w:pPr>
            <w:r>
              <w:t>2. panta 3</w:t>
            </w:r>
            <w:r w:rsidRPr="00635585">
              <w:t xml:space="preserve">. </w:t>
            </w:r>
            <w:r>
              <w:t>p</w:t>
            </w:r>
            <w:r w:rsidRPr="00635585">
              <w:t>unkt</w:t>
            </w:r>
            <w:r>
              <w:t>s</w:t>
            </w:r>
          </w:p>
        </w:tc>
        <w:tc>
          <w:tcPr>
            <w:tcW w:w="2351" w:type="dxa"/>
          </w:tcPr>
          <w:p w:rsidR="00F70CC2" w:rsidRPr="00635585" w:rsidRDefault="003E083F" w:rsidP="00F72185">
            <w:pPr>
              <w:pStyle w:val="naiskr"/>
              <w:spacing w:before="0" w:after="0"/>
              <w:jc w:val="center"/>
            </w:pPr>
            <w:r>
              <w:t>1.</w:t>
            </w:r>
            <w:r w:rsidR="007F50F4">
              <w:t xml:space="preserve"> </w:t>
            </w:r>
            <w:r>
              <w:t>panta pirmās daļas 1.</w:t>
            </w:r>
            <w:r w:rsidR="007F50F4">
              <w:t> </w:t>
            </w:r>
            <w:r>
              <w:t>punkts</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F72185">
            <w:pPr>
              <w:pStyle w:val="naiskr"/>
              <w:spacing w:before="0" w:after="0"/>
              <w:jc w:val="center"/>
            </w:pPr>
            <w:r>
              <w:t>3. panta 1</w:t>
            </w:r>
            <w:r w:rsidRPr="00635585">
              <w:t xml:space="preserve">. </w:t>
            </w:r>
            <w:r>
              <w:t>p</w:t>
            </w:r>
            <w:r w:rsidRPr="00635585">
              <w:t>unkt</w:t>
            </w:r>
            <w:r>
              <w:t>s</w:t>
            </w:r>
          </w:p>
        </w:tc>
        <w:tc>
          <w:tcPr>
            <w:tcW w:w="2351" w:type="dxa"/>
          </w:tcPr>
          <w:p w:rsidR="00F70CC2" w:rsidRPr="00635585" w:rsidRDefault="003607A9" w:rsidP="00F72185">
            <w:pPr>
              <w:pStyle w:val="naiskr"/>
              <w:spacing w:before="0" w:after="0"/>
              <w:jc w:val="center"/>
            </w:pPr>
            <w:r>
              <w:t>6.</w:t>
            </w:r>
            <w:r w:rsidR="007F50F4">
              <w:t xml:space="preserve"> </w:t>
            </w:r>
            <w:r>
              <w:t>panta pirmā daļa</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C47367" w:rsidP="00F72185">
            <w:pPr>
              <w:pStyle w:val="naiskr"/>
              <w:spacing w:before="0" w:after="0"/>
              <w:jc w:val="center"/>
            </w:pPr>
            <w:r>
              <w:t>4. panta 1</w:t>
            </w:r>
            <w:r w:rsidRPr="00635585">
              <w:t xml:space="preserve">. </w:t>
            </w:r>
            <w:r>
              <w:t>p</w:t>
            </w:r>
            <w:r w:rsidRPr="00635585">
              <w:t>unkt</w:t>
            </w:r>
            <w:r>
              <w:t>s</w:t>
            </w:r>
          </w:p>
        </w:tc>
        <w:tc>
          <w:tcPr>
            <w:tcW w:w="2351" w:type="dxa"/>
          </w:tcPr>
          <w:p w:rsidR="0063130C" w:rsidRDefault="0063130C" w:rsidP="00F72185">
            <w:pPr>
              <w:pStyle w:val="naiskr"/>
              <w:spacing w:before="0" w:after="0"/>
              <w:jc w:val="center"/>
            </w:pPr>
            <w:r>
              <w:t>1.</w:t>
            </w:r>
            <w:r w:rsidR="007F50F4">
              <w:t xml:space="preserve"> </w:t>
            </w:r>
            <w:r>
              <w:t>panta pirmās daļas 8.</w:t>
            </w:r>
            <w:r w:rsidR="007F50F4">
              <w:t> </w:t>
            </w:r>
            <w:r>
              <w:t>punkts</w:t>
            </w:r>
          </w:p>
          <w:p w:rsidR="00F70CC2" w:rsidRPr="00635585" w:rsidRDefault="0063130C" w:rsidP="00F72185">
            <w:pPr>
              <w:pStyle w:val="naiskr"/>
              <w:spacing w:before="0" w:after="0"/>
              <w:jc w:val="center"/>
            </w:pPr>
            <w:r>
              <w:t>2.</w:t>
            </w:r>
            <w:r w:rsidR="007F50F4">
              <w:t xml:space="preserve"> </w:t>
            </w:r>
            <w:r>
              <w:t>panta pirmā daļa</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6D7ACE"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C47367" w:rsidP="00C47367">
            <w:pPr>
              <w:pStyle w:val="naiskr"/>
              <w:spacing w:before="0" w:after="0"/>
              <w:jc w:val="center"/>
            </w:pPr>
            <w:r>
              <w:t>4. panta 2</w:t>
            </w:r>
            <w:r w:rsidRPr="00635585">
              <w:t xml:space="preserve">. </w:t>
            </w:r>
            <w:r>
              <w:t>p</w:t>
            </w:r>
            <w:r w:rsidRPr="00635585">
              <w:t>unkt</w:t>
            </w:r>
            <w:r>
              <w:t>s</w:t>
            </w:r>
          </w:p>
        </w:tc>
        <w:tc>
          <w:tcPr>
            <w:tcW w:w="2351" w:type="dxa"/>
          </w:tcPr>
          <w:p w:rsidR="00C47367" w:rsidRPr="00635585" w:rsidRDefault="00A126BF" w:rsidP="00F72185">
            <w:pPr>
              <w:pStyle w:val="naiskr"/>
              <w:spacing w:before="0" w:after="0"/>
              <w:jc w:val="center"/>
            </w:pPr>
            <w:r>
              <w:t>2.</w:t>
            </w:r>
            <w:r w:rsidR="007F50F4">
              <w:t xml:space="preserve"> </w:t>
            </w:r>
            <w:r>
              <w:t>panta pirmā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6D7ACE"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C47367" w:rsidP="00C47367">
            <w:pPr>
              <w:pStyle w:val="naiskr"/>
              <w:spacing w:before="0" w:after="0"/>
              <w:jc w:val="center"/>
            </w:pPr>
            <w:r>
              <w:t>4. panta 3</w:t>
            </w:r>
            <w:r w:rsidRPr="00635585">
              <w:t xml:space="preserve">. </w:t>
            </w:r>
            <w:r>
              <w:t>p</w:t>
            </w:r>
            <w:r w:rsidRPr="00635585">
              <w:t>unkt</w:t>
            </w:r>
            <w:r>
              <w:t>s</w:t>
            </w:r>
          </w:p>
        </w:tc>
        <w:tc>
          <w:tcPr>
            <w:tcW w:w="2351" w:type="dxa"/>
          </w:tcPr>
          <w:p w:rsidR="00C47367" w:rsidRPr="00635585" w:rsidRDefault="0063130C" w:rsidP="00F72185">
            <w:pPr>
              <w:pStyle w:val="naiskr"/>
              <w:spacing w:before="0" w:after="0"/>
              <w:jc w:val="center"/>
            </w:pPr>
            <w:r>
              <w:t>2.</w:t>
            </w:r>
            <w:r w:rsidR="007F50F4">
              <w:t xml:space="preserve"> </w:t>
            </w:r>
            <w:r>
              <w:t>panta trešā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6D7ACE"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C47367" w:rsidP="00C47367">
            <w:pPr>
              <w:pStyle w:val="naiskr"/>
              <w:spacing w:before="0" w:after="0"/>
              <w:jc w:val="center"/>
            </w:pPr>
            <w:r>
              <w:t>4. panta 4</w:t>
            </w:r>
            <w:r w:rsidRPr="00635585">
              <w:t xml:space="preserve">. </w:t>
            </w:r>
            <w:r>
              <w:t>p</w:t>
            </w:r>
            <w:r w:rsidRPr="00635585">
              <w:t>unkt</w:t>
            </w:r>
            <w:r>
              <w:t>s</w:t>
            </w:r>
          </w:p>
        </w:tc>
        <w:tc>
          <w:tcPr>
            <w:tcW w:w="2351" w:type="dxa"/>
          </w:tcPr>
          <w:p w:rsidR="00C47367" w:rsidRPr="00635585" w:rsidRDefault="00CC6AF0" w:rsidP="00F72185">
            <w:pPr>
              <w:pStyle w:val="naiskr"/>
              <w:spacing w:before="0" w:after="0"/>
              <w:jc w:val="center"/>
            </w:pPr>
            <w:r>
              <w:t>16.</w:t>
            </w:r>
            <w:r w:rsidR="007F50F4">
              <w:t xml:space="preserve"> </w:t>
            </w:r>
            <w:r>
              <w:t>panta pirmā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C47367" w:rsidP="00C47367">
            <w:pPr>
              <w:pStyle w:val="naiskr"/>
              <w:spacing w:before="0" w:after="0"/>
              <w:jc w:val="center"/>
            </w:pPr>
            <w:r>
              <w:lastRenderedPageBreak/>
              <w:t>4. panta 5</w:t>
            </w:r>
            <w:r w:rsidRPr="00635585">
              <w:t xml:space="preserve">. </w:t>
            </w:r>
            <w:r>
              <w:t>p</w:t>
            </w:r>
            <w:r w:rsidRPr="00635585">
              <w:t>unkt</w:t>
            </w:r>
            <w:r>
              <w:t>s</w:t>
            </w:r>
          </w:p>
        </w:tc>
        <w:tc>
          <w:tcPr>
            <w:tcW w:w="2351" w:type="dxa"/>
          </w:tcPr>
          <w:p w:rsidR="00C47367" w:rsidRPr="00635585" w:rsidRDefault="00CC6AF0" w:rsidP="00CC6AF0">
            <w:pPr>
              <w:pStyle w:val="naiskr"/>
              <w:spacing w:before="0" w:after="0"/>
              <w:jc w:val="center"/>
            </w:pPr>
            <w:r>
              <w:t>16.</w:t>
            </w:r>
            <w:r w:rsidR="007F50F4">
              <w:t xml:space="preserve"> </w:t>
            </w:r>
            <w:r>
              <w:t>panta ceturtā un piektā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C47367" w:rsidP="00C47367">
            <w:pPr>
              <w:pStyle w:val="naiskr"/>
              <w:spacing w:before="0" w:after="0"/>
              <w:jc w:val="center"/>
            </w:pPr>
            <w:r>
              <w:t>4. panta 6</w:t>
            </w:r>
            <w:r w:rsidRPr="00635585">
              <w:t xml:space="preserve">. </w:t>
            </w:r>
            <w:r>
              <w:t>p</w:t>
            </w:r>
            <w:r w:rsidRPr="00635585">
              <w:t>unkt</w:t>
            </w:r>
            <w:r>
              <w:t>s</w:t>
            </w:r>
          </w:p>
        </w:tc>
        <w:tc>
          <w:tcPr>
            <w:tcW w:w="2351" w:type="dxa"/>
          </w:tcPr>
          <w:p w:rsidR="00C47367" w:rsidRPr="00635585" w:rsidRDefault="00CC6AF0" w:rsidP="00F72185">
            <w:pPr>
              <w:pStyle w:val="naiskr"/>
              <w:spacing w:before="0" w:after="0"/>
              <w:jc w:val="center"/>
            </w:pPr>
            <w:r>
              <w:t>16.</w:t>
            </w:r>
            <w:r w:rsidR="007F50F4">
              <w:t xml:space="preserve"> </w:t>
            </w:r>
            <w:r>
              <w:t>panta sestā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C47367" w:rsidP="00C47367">
            <w:pPr>
              <w:pStyle w:val="naiskr"/>
              <w:spacing w:before="0" w:after="0"/>
              <w:jc w:val="center"/>
            </w:pPr>
            <w:r>
              <w:t>4. panta 7</w:t>
            </w:r>
            <w:r w:rsidRPr="00635585">
              <w:t xml:space="preserve">. </w:t>
            </w:r>
            <w:r>
              <w:t>p</w:t>
            </w:r>
            <w:r w:rsidRPr="00635585">
              <w:t>unkt</w:t>
            </w:r>
            <w:r>
              <w:t>s</w:t>
            </w:r>
          </w:p>
        </w:tc>
        <w:tc>
          <w:tcPr>
            <w:tcW w:w="2351" w:type="dxa"/>
          </w:tcPr>
          <w:p w:rsidR="00C47367" w:rsidRPr="00635585" w:rsidRDefault="00886518" w:rsidP="00F72185">
            <w:pPr>
              <w:pStyle w:val="naiskr"/>
              <w:spacing w:before="0" w:after="0"/>
              <w:jc w:val="center"/>
            </w:pPr>
            <w:r>
              <w:t>6.</w:t>
            </w:r>
            <w:r w:rsidR="007F50F4">
              <w:t xml:space="preserve"> </w:t>
            </w:r>
            <w:r>
              <w:t>panta pirmā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C47367" w:rsidP="00F72185">
            <w:pPr>
              <w:pStyle w:val="naiskr"/>
              <w:spacing w:before="0" w:after="0"/>
              <w:jc w:val="center"/>
            </w:pPr>
            <w:r>
              <w:t>4. panta 8</w:t>
            </w:r>
            <w:r w:rsidRPr="00635585">
              <w:t xml:space="preserve">. </w:t>
            </w:r>
            <w:r>
              <w:t>p</w:t>
            </w:r>
            <w:r w:rsidRPr="00635585">
              <w:t>unkt</w:t>
            </w:r>
            <w:r>
              <w:t>s</w:t>
            </w:r>
          </w:p>
        </w:tc>
        <w:tc>
          <w:tcPr>
            <w:tcW w:w="2351" w:type="dxa"/>
          </w:tcPr>
          <w:p w:rsidR="00C47367" w:rsidRPr="00635585" w:rsidRDefault="00886518" w:rsidP="00F72185">
            <w:pPr>
              <w:pStyle w:val="naiskr"/>
              <w:spacing w:before="0" w:after="0"/>
              <w:jc w:val="center"/>
            </w:pPr>
            <w:r>
              <w:t>18.</w:t>
            </w:r>
            <w:r w:rsidR="007F50F4">
              <w:t xml:space="preserve"> </w:t>
            </w:r>
            <w:r>
              <w:t>panta pirmā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C47367" w:rsidP="00F72185">
            <w:pPr>
              <w:pStyle w:val="naiskr"/>
              <w:spacing w:before="0" w:after="0"/>
              <w:jc w:val="center"/>
            </w:pPr>
            <w:r>
              <w:t>4. panta 10</w:t>
            </w:r>
            <w:r w:rsidRPr="00635585">
              <w:t xml:space="preserve">. </w:t>
            </w:r>
            <w:r>
              <w:t>p</w:t>
            </w:r>
            <w:r w:rsidRPr="00635585">
              <w:t>unkt</w:t>
            </w:r>
            <w:r>
              <w:t>s</w:t>
            </w:r>
          </w:p>
        </w:tc>
        <w:tc>
          <w:tcPr>
            <w:tcW w:w="2351" w:type="dxa"/>
          </w:tcPr>
          <w:p w:rsidR="00C47367" w:rsidRPr="00635585" w:rsidRDefault="00886518" w:rsidP="00F72185">
            <w:pPr>
              <w:pStyle w:val="naiskr"/>
              <w:spacing w:before="0" w:after="0"/>
              <w:jc w:val="center"/>
            </w:pPr>
            <w:r>
              <w:t>6.</w:t>
            </w:r>
            <w:r w:rsidR="007F50F4">
              <w:t xml:space="preserve"> </w:t>
            </w:r>
            <w:r>
              <w:t>panta otrā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C47367" w:rsidP="00F72185">
            <w:pPr>
              <w:pStyle w:val="naiskr"/>
              <w:spacing w:before="0" w:after="0"/>
              <w:jc w:val="center"/>
            </w:pPr>
            <w:r>
              <w:t>4. panta 11</w:t>
            </w:r>
            <w:r w:rsidRPr="00635585">
              <w:t xml:space="preserve">. </w:t>
            </w:r>
            <w:r>
              <w:t>p</w:t>
            </w:r>
            <w:r w:rsidRPr="00635585">
              <w:t>unkt</w:t>
            </w:r>
            <w:r>
              <w:t>s</w:t>
            </w:r>
          </w:p>
        </w:tc>
        <w:tc>
          <w:tcPr>
            <w:tcW w:w="2351" w:type="dxa"/>
          </w:tcPr>
          <w:p w:rsidR="00C47367" w:rsidRPr="00635585" w:rsidRDefault="00886518" w:rsidP="00F72185">
            <w:pPr>
              <w:pStyle w:val="naiskr"/>
              <w:spacing w:before="0" w:after="0"/>
              <w:jc w:val="center"/>
            </w:pPr>
            <w:r>
              <w:t>6.</w:t>
            </w:r>
            <w:r w:rsidR="007F50F4">
              <w:t xml:space="preserve"> </w:t>
            </w:r>
            <w:r>
              <w:t>panta trešā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C47367" w:rsidP="00F72185">
            <w:pPr>
              <w:pStyle w:val="naiskr"/>
              <w:spacing w:before="0" w:after="0"/>
              <w:jc w:val="center"/>
            </w:pPr>
            <w:r>
              <w:t>4. panta 12</w:t>
            </w:r>
            <w:r w:rsidRPr="00635585">
              <w:t xml:space="preserve">. </w:t>
            </w:r>
            <w:r>
              <w:t>p</w:t>
            </w:r>
            <w:r w:rsidRPr="00635585">
              <w:t>unkt</w:t>
            </w:r>
            <w:r>
              <w:t>s</w:t>
            </w:r>
          </w:p>
        </w:tc>
        <w:tc>
          <w:tcPr>
            <w:tcW w:w="2351" w:type="dxa"/>
          </w:tcPr>
          <w:p w:rsidR="00C47367" w:rsidRDefault="00886518" w:rsidP="00F72185">
            <w:pPr>
              <w:pStyle w:val="naiskr"/>
              <w:spacing w:before="0" w:after="0"/>
              <w:jc w:val="center"/>
            </w:pPr>
            <w:r>
              <w:t>2.</w:t>
            </w:r>
            <w:r w:rsidR="007F50F4">
              <w:t xml:space="preserve"> </w:t>
            </w:r>
            <w:r>
              <w:t>panta pirmā daļa</w:t>
            </w:r>
          </w:p>
          <w:p w:rsidR="00886518" w:rsidRPr="00635585" w:rsidRDefault="00886518" w:rsidP="00F72185">
            <w:pPr>
              <w:pStyle w:val="naiskr"/>
              <w:spacing w:before="0" w:after="0"/>
              <w:jc w:val="center"/>
            </w:pPr>
            <w:r>
              <w:t>6.</w:t>
            </w:r>
            <w:r w:rsidR="007F50F4">
              <w:t xml:space="preserve"> </w:t>
            </w:r>
            <w:r>
              <w:t>panta ceturtā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4E3940" w:rsidP="00F72185">
            <w:pPr>
              <w:pStyle w:val="naiskr"/>
              <w:spacing w:before="0" w:after="0"/>
              <w:jc w:val="center"/>
            </w:pPr>
            <w:r>
              <w:t>5. panta 1</w:t>
            </w:r>
            <w:r w:rsidRPr="00635585">
              <w:t xml:space="preserve">. </w:t>
            </w:r>
            <w:r>
              <w:t>p</w:t>
            </w:r>
            <w:r w:rsidRPr="00635585">
              <w:t>unkt</w:t>
            </w:r>
            <w:r>
              <w:t>s</w:t>
            </w:r>
          </w:p>
        </w:tc>
        <w:tc>
          <w:tcPr>
            <w:tcW w:w="2351" w:type="dxa"/>
          </w:tcPr>
          <w:p w:rsidR="00C47367" w:rsidRPr="00635585" w:rsidRDefault="00F031B7" w:rsidP="00F72185">
            <w:pPr>
              <w:pStyle w:val="naiskr"/>
              <w:spacing w:before="0" w:after="0"/>
              <w:jc w:val="center"/>
            </w:pPr>
            <w:r>
              <w:t>25.</w:t>
            </w:r>
            <w:r w:rsidR="007F50F4">
              <w:t xml:space="preserve"> </w:t>
            </w:r>
            <w:r>
              <w:t>pants</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4E3940" w:rsidP="004E3940">
            <w:pPr>
              <w:pStyle w:val="naiskr"/>
              <w:spacing w:before="0" w:after="0"/>
              <w:jc w:val="center"/>
            </w:pPr>
            <w:r>
              <w:t>5. panta 2</w:t>
            </w:r>
            <w:r w:rsidRPr="00635585">
              <w:t xml:space="preserve">. </w:t>
            </w:r>
            <w:r>
              <w:t>p</w:t>
            </w:r>
            <w:r w:rsidRPr="00635585">
              <w:t>unkt</w:t>
            </w:r>
            <w:r>
              <w:t>s</w:t>
            </w:r>
          </w:p>
        </w:tc>
        <w:tc>
          <w:tcPr>
            <w:tcW w:w="2351" w:type="dxa"/>
          </w:tcPr>
          <w:p w:rsidR="00C47367" w:rsidRPr="00635585" w:rsidRDefault="00AE1AAD" w:rsidP="00F72185">
            <w:pPr>
              <w:pStyle w:val="naiskr"/>
              <w:spacing w:before="0" w:after="0"/>
              <w:jc w:val="center"/>
            </w:pPr>
            <w:r>
              <w:t>25.</w:t>
            </w:r>
            <w:r w:rsidR="007F50F4">
              <w:t xml:space="preserve"> </w:t>
            </w:r>
            <w:r>
              <w:t>pants</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BF7140" w:rsidP="00BF7140">
            <w:pPr>
              <w:pStyle w:val="naiskr"/>
              <w:spacing w:before="0" w:after="0"/>
              <w:jc w:val="center"/>
            </w:pPr>
            <w:r>
              <w:t>5. panta 4</w:t>
            </w:r>
            <w:r w:rsidRPr="00635585">
              <w:t xml:space="preserve">. </w:t>
            </w:r>
            <w:r>
              <w:t>p</w:t>
            </w:r>
            <w:r w:rsidRPr="00635585">
              <w:t>unkt</w:t>
            </w:r>
            <w:r>
              <w:t>s</w:t>
            </w:r>
          </w:p>
        </w:tc>
        <w:tc>
          <w:tcPr>
            <w:tcW w:w="2351" w:type="dxa"/>
          </w:tcPr>
          <w:p w:rsidR="00C47367" w:rsidRPr="00635585" w:rsidRDefault="00AE1AAD" w:rsidP="00F72185">
            <w:pPr>
              <w:pStyle w:val="naiskr"/>
              <w:spacing w:before="0" w:after="0"/>
              <w:jc w:val="center"/>
            </w:pPr>
            <w:r>
              <w:t>18.</w:t>
            </w:r>
            <w:r w:rsidR="007F50F4">
              <w:t xml:space="preserve"> </w:t>
            </w:r>
            <w:r>
              <w:t>panta otrā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BF7140" w:rsidP="00BF7140">
            <w:pPr>
              <w:pStyle w:val="naiskr"/>
              <w:spacing w:before="0" w:after="0"/>
              <w:jc w:val="center"/>
            </w:pPr>
            <w:r>
              <w:t>6. panta 1</w:t>
            </w:r>
            <w:r w:rsidRPr="00635585">
              <w:t xml:space="preserve">. </w:t>
            </w:r>
            <w:r>
              <w:t>p</w:t>
            </w:r>
            <w:r w:rsidRPr="00635585">
              <w:t>unkt</w:t>
            </w:r>
            <w:r>
              <w:t>s</w:t>
            </w:r>
          </w:p>
        </w:tc>
        <w:tc>
          <w:tcPr>
            <w:tcW w:w="2351" w:type="dxa"/>
          </w:tcPr>
          <w:p w:rsidR="00C47367" w:rsidRPr="00635585" w:rsidRDefault="000E4CF5" w:rsidP="00F72185">
            <w:pPr>
              <w:pStyle w:val="naiskr"/>
              <w:spacing w:before="0" w:after="0"/>
              <w:jc w:val="center"/>
            </w:pPr>
            <w:r>
              <w:t>3.</w:t>
            </w:r>
            <w:r w:rsidR="007F50F4">
              <w:t xml:space="preserve"> </w:t>
            </w:r>
            <w:r>
              <w:t>panta pirmā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BF7140" w:rsidP="00BF7140">
            <w:pPr>
              <w:pStyle w:val="naiskr"/>
              <w:spacing w:before="0" w:after="0"/>
              <w:jc w:val="center"/>
            </w:pPr>
            <w:r>
              <w:t>6. panta 2</w:t>
            </w:r>
            <w:r w:rsidRPr="00635585">
              <w:t xml:space="preserve">. </w:t>
            </w:r>
            <w:r>
              <w:t>p</w:t>
            </w:r>
            <w:r w:rsidRPr="00635585">
              <w:t>unkt</w:t>
            </w:r>
            <w:r>
              <w:t>s</w:t>
            </w:r>
          </w:p>
        </w:tc>
        <w:tc>
          <w:tcPr>
            <w:tcW w:w="2351" w:type="dxa"/>
          </w:tcPr>
          <w:p w:rsidR="00C47367" w:rsidRPr="00635585" w:rsidRDefault="000E4CF5" w:rsidP="00F72185">
            <w:pPr>
              <w:pStyle w:val="naiskr"/>
              <w:spacing w:before="0" w:after="0"/>
              <w:jc w:val="center"/>
            </w:pPr>
            <w:r>
              <w:t>4.</w:t>
            </w:r>
            <w:r w:rsidR="007F50F4">
              <w:t xml:space="preserve"> </w:t>
            </w:r>
            <w:r>
              <w:t>pants</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BF7140" w:rsidP="00BF7140">
            <w:pPr>
              <w:pStyle w:val="naiskr"/>
              <w:spacing w:before="0" w:after="0"/>
              <w:jc w:val="center"/>
            </w:pPr>
            <w:r>
              <w:t>6. panta 4</w:t>
            </w:r>
            <w:r w:rsidRPr="00635585">
              <w:t xml:space="preserve">. </w:t>
            </w:r>
            <w:r>
              <w:t>p</w:t>
            </w:r>
            <w:r w:rsidRPr="00635585">
              <w:t>unkt</w:t>
            </w:r>
            <w:r>
              <w:t>s</w:t>
            </w:r>
          </w:p>
        </w:tc>
        <w:tc>
          <w:tcPr>
            <w:tcW w:w="2351" w:type="dxa"/>
          </w:tcPr>
          <w:p w:rsidR="00C47367" w:rsidRPr="00635585" w:rsidRDefault="000E4CF5" w:rsidP="00F72185">
            <w:pPr>
              <w:pStyle w:val="naiskr"/>
              <w:spacing w:before="0" w:after="0"/>
              <w:jc w:val="center"/>
            </w:pPr>
            <w:r>
              <w:t>3.</w:t>
            </w:r>
            <w:r w:rsidR="007F50F4">
              <w:t xml:space="preserve"> </w:t>
            </w:r>
            <w:r>
              <w:t>panta trešā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BF7140" w:rsidP="00BF7140">
            <w:pPr>
              <w:pStyle w:val="naiskr"/>
              <w:spacing w:before="0" w:after="0"/>
              <w:jc w:val="center"/>
            </w:pPr>
            <w:r>
              <w:t>7. panta 1</w:t>
            </w:r>
            <w:r w:rsidRPr="00635585">
              <w:t xml:space="preserve">. </w:t>
            </w:r>
            <w:r>
              <w:t>p</w:t>
            </w:r>
            <w:r w:rsidRPr="00635585">
              <w:t>unkt</w:t>
            </w:r>
            <w:r>
              <w:t>s</w:t>
            </w:r>
          </w:p>
        </w:tc>
        <w:tc>
          <w:tcPr>
            <w:tcW w:w="2351" w:type="dxa"/>
          </w:tcPr>
          <w:p w:rsidR="00C47367" w:rsidRPr="00635585" w:rsidRDefault="00632138" w:rsidP="00F72185">
            <w:pPr>
              <w:pStyle w:val="naiskr"/>
              <w:spacing w:before="0" w:after="0"/>
              <w:jc w:val="center"/>
            </w:pPr>
            <w:r>
              <w:t>5.</w:t>
            </w:r>
            <w:r w:rsidR="007F50F4">
              <w:t xml:space="preserve"> </w:t>
            </w:r>
            <w:r>
              <w:t>panta trešā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BF7140" w:rsidP="00BF7140">
            <w:pPr>
              <w:pStyle w:val="naiskr"/>
              <w:spacing w:before="0" w:after="0"/>
              <w:jc w:val="center"/>
            </w:pPr>
            <w:r>
              <w:t>7. panta 2</w:t>
            </w:r>
            <w:r w:rsidRPr="00635585">
              <w:t xml:space="preserve">. </w:t>
            </w:r>
            <w:r>
              <w:t>p</w:t>
            </w:r>
            <w:r w:rsidRPr="00635585">
              <w:t>unkt</w:t>
            </w:r>
            <w:r>
              <w:t>s</w:t>
            </w:r>
          </w:p>
        </w:tc>
        <w:tc>
          <w:tcPr>
            <w:tcW w:w="2351" w:type="dxa"/>
          </w:tcPr>
          <w:p w:rsidR="00C47367" w:rsidRPr="00635585" w:rsidRDefault="00632138" w:rsidP="00F72185">
            <w:pPr>
              <w:pStyle w:val="naiskr"/>
              <w:spacing w:before="0" w:after="0"/>
              <w:jc w:val="center"/>
            </w:pPr>
            <w:r>
              <w:t>5.</w:t>
            </w:r>
            <w:r w:rsidR="007F50F4">
              <w:t xml:space="preserve"> </w:t>
            </w:r>
            <w:r>
              <w:t>panta pirmā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BF7140" w:rsidP="00BF7140">
            <w:pPr>
              <w:pStyle w:val="naiskr"/>
              <w:spacing w:before="0" w:after="0"/>
              <w:jc w:val="center"/>
            </w:pPr>
            <w:r>
              <w:t>7. panta 3</w:t>
            </w:r>
            <w:r w:rsidRPr="00635585">
              <w:t xml:space="preserve">. </w:t>
            </w:r>
            <w:r>
              <w:t>p</w:t>
            </w:r>
            <w:r w:rsidRPr="00635585">
              <w:t>unkt</w:t>
            </w:r>
            <w:r>
              <w:t>s</w:t>
            </w:r>
          </w:p>
        </w:tc>
        <w:tc>
          <w:tcPr>
            <w:tcW w:w="2351" w:type="dxa"/>
          </w:tcPr>
          <w:p w:rsidR="00C47367" w:rsidRPr="00635585" w:rsidRDefault="00632138" w:rsidP="00F72185">
            <w:pPr>
              <w:pStyle w:val="naiskr"/>
              <w:spacing w:before="0" w:after="0"/>
              <w:jc w:val="center"/>
            </w:pPr>
            <w:r>
              <w:t>5.</w:t>
            </w:r>
            <w:r w:rsidR="007F50F4">
              <w:t xml:space="preserve"> </w:t>
            </w:r>
            <w:r>
              <w:t>panta otrā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BF7140" w:rsidP="00BF7140">
            <w:pPr>
              <w:pStyle w:val="naiskr"/>
              <w:spacing w:before="0" w:after="0"/>
              <w:jc w:val="center"/>
            </w:pPr>
            <w:r>
              <w:t>7. panta 4</w:t>
            </w:r>
            <w:r w:rsidRPr="00635585">
              <w:t xml:space="preserve">. </w:t>
            </w:r>
            <w:r>
              <w:t>p</w:t>
            </w:r>
            <w:r w:rsidRPr="00635585">
              <w:t>unkt</w:t>
            </w:r>
            <w:r>
              <w:t>s</w:t>
            </w:r>
          </w:p>
        </w:tc>
        <w:tc>
          <w:tcPr>
            <w:tcW w:w="2351" w:type="dxa"/>
          </w:tcPr>
          <w:p w:rsidR="00C47367" w:rsidRDefault="0012434C" w:rsidP="00F72185">
            <w:pPr>
              <w:pStyle w:val="naiskr"/>
              <w:spacing w:before="0" w:after="0"/>
              <w:jc w:val="center"/>
            </w:pPr>
            <w:r>
              <w:t>2.</w:t>
            </w:r>
            <w:r w:rsidR="007F50F4">
              <w:t xml:space="preserve"> </w:t>
            </w:r>
            <w:r>
              <w:t>panta septītā daļa</w:t>
            </w:r>
          </w:p>
          <w:p w:rsidR="0012434C" w:rsidRPr="00635585" w:rsidRDefault="0012434C" w:rsidP="00F72185">
            <w:pPr>
              <w:pStyle w:val="naiskr"/>
              <w:spacing w:before="0" w:after="0"/>
              <w:jc w:val="center"/>
            </w:pPr>
            <w:r>
              <w:t>28.</w:t>
            </w:r>
            <w:r w:rsidR="007F50F4">
              <w:t xml:space="preserve"> </w:t>
            </w:r>
            <w:r>
              <w:t>panta pirmā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BF7140" w:rsidP="00BF7140">
            <w:pPr>
              <w:pStyle w:val="naiskr"/>
              <w:spacing w:before="0" w:after="0"/>
              <w:jc w:val="center"/>
            </w:pPr>
            <w:r>
              <w:t>7. panta 5</w:t>
            </w:r>
            <w:r w:rsidRPr="00635585">
              <w:t xml:space="preserve">. </w:t>
            </w:r>
            <w:r>
              <w:t>p</w:t>
            </w:r>
            <w:r w:rsidRPr="00635585">
              <w:t>unkt</w:t>
            </w:r>
            <w:r>
              <w:t>s</w:t>
            </w:r>
          </w:p>
        </w:tc>
        <w:tc>
          <w:tcPr>
            <w:tcW w:w="2351" w:type="dxa"/>
          </w:tcPr>
          <w:p w:rsidR="00C47367" w:rsidRPr="00635585" w:rsidRDefault="0012434C" w:rsidP="00F72185">
            <w:pPr>
              <w:pStyle w:val="naiskr"/>
              <w:spacing w:before="0" w:after="0"/>
              <w:jc w:val="center"/>
            </w:pPr>
            <w:r>
              <w:t>3.</w:t>
            </w:r>
            <w:r w:rsidR="007F50F4">
              <w:t xml:space="preserve"> </w:t>
            </w:r>
            <w:r>
              <w:t>panta otrā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BF7140" w:rsidP="00BF7140">
            <w:pPr>
              <w:pStyle w:val="naiskr"/>
              <w:spacing w:before="0" w:after="0"/>
              <w:jc w:val="center"/>
            </w:pPr>
            <w:r>
              <w:t>7. panta 6</w:t>
            </w:r>
            <w:r w:rsidRPr="00635585">
              <w:t xml:space="preserve">. </w:t>
            </w:r>
            <w:r>
              <w:t>p</w:t>
            </w:r>
            <w:r w:rsidRPr="00635585">
              <w:t>unkt</w:t>
            </w:r>
            <w:r>
              <w:t>s</w:t>
            </w:r>
          </w:p>
        </w:tc>
        <w:tc>
          <w:tcPr>
            <w:tcW w:w="2351" w:type="dxa"/>
          </w:tcPr>
          <w:p w:rsidR="00C47367" w:rsidRPr="00635585" w:rsidRDefault="0012434C" w:rsidP="00F72185">
            <w:pPr>
              <w:pStyle w:val="naiskr"/>
              <w:spacing w:before="0" w:after="0"/>
              <w:jc w:val="center"/>
            </w:pPr>
            <w:r>
              <w:t>18.</w:t>
            </w:r>
            <w:r w:rsidR="007F50F4">
              <w:t xml:space="preserve"> </w:t>
            </w:r>
            <w:r>
              <w:t>panta pirmā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BF7140" w:rsidP="00F72185">
            <w:pPr>
              <w:pStyle w:val="naiskr"/>
              <w:spacing w:before="0" w:after="0"/>
              <w:jc w:val="center"/>
            </w:pPr>
            <w:r>
              <w:t>7. panta 7</w:t>
            </w:r>
            <w:r w:rsidRPr="00635585">
              <w:t xml:space="preserve">. </w:t>
            </w:r>
            <w:r>
              <w:t>p</w:t>
            </w:r>
            <w:r w:rsidRPr="00635585">
              <w:t>unkt</w:t>
            </w:r>
            <w:r>
              <w:t>s</w:t>
            </w:r>
          </w:p>
        </w:tc>
        <w:tc>
          <w:tcPr>
            <w:tcW w:w="2351" w:type="dxa"/>
          </w:tcPr>
          <w:p w:rsidR="00C47367" w:rsidRPr="00635585" w:rsidRDefault="00856905" w:rsidP="00F72185">
            <w:pPr>
              <w:pStyle w:val="naiskr"/>
              <w:spacing w:before="0" w:after="0"/>
              <w:jc w:val="center"/>
            </w:pPr>
            <w:r>
              <w:t>1.</w:t>
            </w:r>
            <w:r w:rsidR="007F50F4">
              <w:t xml:space="preserve"> </w:t>
            </w:r>
            <w:r>
              <w:t>panta pirmās daļas 3.</w:t>
            </w:r>
            <w:r w:rsidR="007F50F4">
              <w:t> </w:t>
            </w:r>
            <w:r>
              <w:t>punkts</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BF7140" w:rsidP="00BF7140">
            <w:pPr>
              <w:pStyle w:val="naiskr"/>
              <w:spacing w:before="0" w:after="0"/>
              <w:jc w:val="center"/>
            </w:pPr>
            <w:r>
              <w:t>8. panta 1</w:t>
            </w:r>
            <w:r w:rsidRPr="00635585">
              <w:t xml:space="preserve">. </w:t>
            </w:r>
            <w:r>
              <w:t>p</w:t>
            </w:r>
            <w:r w:rsidRPr="00635585">
              <w:t>unkt</w:t>
            </w:r>
            <w:r>
              <w:t>s</w:t>
            </w:r>
          </w:p>
        </w:tc>
        <w:tc>
          <w:tcPr>
            <w:tcW w:w="2351" w:type="dxa"/>
          </w:tcPr>
          <w:p w:rsidR="00C47367" w:rsidRPr="00635585" w:rsidRDefault="00856905" w:rsidP="00F72185">
            <w:pPr>
              <w:pStyle w:val="naiskr"/>
              <w:spacing w:before="0" w:after="0"/>
              <w:jc w:val="center"/>
            </w:pPr>
            <w:r>
              <w:t>28.</w:t>
            </w:r>
            <w:r w:rsidR="007F50F4">
              <w:t xml:space="preserve"> </w:t>
            </w:r>
            <w:r>
              <w:t>panta pirmā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BF7140" w:rsidP="00BF7140">
            <w:pPr>
              <w:pStyle w:val="naiskr"/>
              <w:spacing w:before="0" w:after="0"/>
              <w:jc w:val="center"/>
            </w:pPr>
            <w:r>
              <w:t>8. panta 2</w:t>
            </w:r>
            <w:r w:rsidRPr="00635585">
              <w:t xml:space="preserve">. </w:t>
            </w:r>
            <w:r>
              <w:t>p</w:t>
            </w:r>
            <w:r w:rsidRPr="00635585">
              <w:t>unkt</w:t>
            </w:r>
            <w:r>
              <w:t>s</w:t>
            </w:r>
          </w:p>
        </w:tc>
        <w:tc>
          <w:tcPr>
            <w:tcW w:w="2351" w:type="dxa"/>
          </w:tcPr>
          <w:p w:rsidR="00C47367" w:rsidRPr="00635585" w:rsidRDefault="00856905" w:rsidP="007A4D7A">
            <w:pPr>
              <w:pStyle w:val="naiskr"/>
              <w:spacing w:before="0" w:after="0"/>
              <w:jc w:val="center"/>
            </w:pPr>
            <w:r>
              <w:t xml:space="preserve">Pārejas noteikumu </w:t>
            </w:r>
            <w:r w:rsidR="007A4D7A">
              <w:t>8</w:t>
            </w:r>
            <w:r>
              <w:t xml:space="preserve">., </w:t>
            </w:r>
            <w:r w:rsidR="007A4D7A">
              <w:t>9</w:t>
            </w:r>
            <w:r>
              <w:t xml:space="preserve">., </w:t>
            </w:r>
            <w:r w:rsidR="007A4D7A">
              <w:t>10</w:t>
            </w:r>
            <w:r>
              <w:t>. un 1</w:t>
            </w:r>
            <w:r w:rsidR="007A4D7A">
              <w:t>1</w:t>
            </w:r>
            <w:r>
              <w:t>.</w:t>
            </w:r>
            <w:r w:rsidR="007F50F4">
              <w:t xml:space="preserve"> </w:t>
            </w:r>
            <w:r>
              <w:t xml:space="preserve">punkts </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BF7140" w:rsidP="00BF7140">
            <w:pPr>
              <w:pStyle w:val="naiskr"/>
              <w:spacing w:before="0" w:after="0"/>
              <w:jc w:val="center"/>
            </w:pPr>
            <w:r>
              <w:t>8. panta 4</w:t>
            </w:r>
            <w:r w:rsidRPr="00635585">
              <w:t xml:space="preserve">. </w:t>
            </w:r>
            <w:r>
              <w:t>p</w:t>
            </w:r>
            <w:r w:rsidRPr="00635585">
              <w:t>unkt</w:t>
            </w:r>
            <w:r>
              <w:t>s</w:t>
            </w:r>
          </w:p>
        </w:tc>
        <w:tc>
          <w:tcPr>
            <w:tcW w:w="2351" w:type="dxa"/>
          </w:tcPr>
          <w:p w:rsidR="00C47367" w:rsidRPr="00635585" w:rsidRDefault="001E2B74" w:rsidP="00F72185">
            <w:pPr>
              <w:pStyle w:val="naiskr"/>
              <w:spacing w:before="0" w:after="0"/>
              <w:jc w:val="center"/>
            </w:pPr>
            <w:r>
              <w:t>28.</w:t>
            </w:r>
            <w:r w:rsidR="007F50F4">
              <w:t xml:space="preserve"> </w:t>
            </w:r>
            <w:r>
              <w:t>panta otrā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BF7140" w:rsidP="00BF7140">
            <w:pPr>
              <w:pStyle w:val="naiskr"/>
              <w:spacing w:before="0" w:after="0"/>
              <w:jc w:val="center"/>
            </w:pPr>
            <w:r>
              <w:t>8. panta 5</w:t>
            </w:r>
            <w:r w:rsidRPr="00635585">
              <w:t xml:space="preserve">. </w:t>
            </w:r>
            <w:r>
              <w:t>p</w:t>
            </w:r>
            <w:r w:rsidRPr="00635585">
              <w:t>unkt</w:t>
            </w:r>
            <w:r>
              <w:t>s</w:t>
            </w:r>
          </w:p>
        </w:tc>
        <w:tc>
          <w:tcPr>
            <w:tcW w:w="2351" w:type="dxa"/>
          </w:tcPr>
          <w:p w:rsidR="00C47367" w:rsidRPr="00635585" w:rsidRDefault="001E2B74" w:rsidP="00F72185">
            <w:pPr>
              <w:pStyle w:val="naiskr"/>
              <w:spacing w:before="0" w:after="0"/>
              <w:jc w:val="center"/>
            </w:pPr>
            <w:r>
              <w:t>29.</w:t>
            </w:r>
            <w:r w:rsidR="007F50F4">
              <w:t xml:space="preserve"> </w:t>
            </w:r>
            <w:r>
              <w:t>pants</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BF7140" w:rsidP="00BF7140">
            <w:pPr>
              <w:pStyle w:val="naiskr"/>
              <w:spacing w:before="0" w:after="0"/>
              <w:jc w:val="center"/>
            </w:pPr>
            <w:r>
              <w:t>8. panta 6</w:t>
            </w:r>
            <w:r w:rsidRPr="00635585">
              <w:t xml:space="preserve">. </w:t>
            </w:r>
            <w:r>
              <w:t>p</w:t>
            </w:r>
            <w:r w:rsidRPr="00635585">
              <w:t>unkt</w:t>
            </w:r>
            <w:r>
              <w:t>s</w:t>
            </w:r>
          </w:p>
        </w:tc>
        <w:tc>
          <w:tcPr>
            <w:tcW w:w="2351" w:type="dxa"/>
          </w:tcPr>
          <w:p w:rsidR="00C47367" w:rsidRPr="00635585" w:rsidRDefault="00D55DE2" w:rsidP="00F72185">
            <w:pPr>
              <w:pStyle w:val="naiskr"/>
              <w:spacing w:before="0" w:after="0"/>
              <w:jc w:val="center"/>
            </w:pPr>
            <w:r>
              <w:t>21.</w:t>
            </w:r>
            <w:r w:rsidR="007F50F4">
              <w:t xml:space="preserve"> </w:t>
            </w:r>
            <w:r>
              <w:t>panta otrā un trešā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BF7140" w:rsidP="00BF7140">
            <w:pPr>
              <w:pStyle w:val="naiskr"/>
              <w:spacing w:before="0" w:after="0"/>
              <w:jc w:val="center"/>
            </w:pPr>
            <w:r>
              <w:t>8. panta 8</w:t>
            </w:r>
            <w:r w:rsidRPr="00635585">
              <w:t xml:space="preserve">. </w:t>
            </w:r>
            <w:r>
              <w:t>p</w:t>
            </w:r>
            <w:r w:rsidRPr="00635585">
              <w:t>unkt</w:t>
            </w:r>
            <w:r>
              <w:t>s</w:t>
            </w:r>
          </w:p>
        </w:tc>
        <w:tc>
          <w:tcPr>
            <w:tcW w:w="2351" w:type="dxa"/>
          </w:tcPr>
          <w:p w:rsidR="00C47367" w:rsidRPr="00635585" w:rsidRDefault="0089683F" w:rsidP="00F72185">
            <w:pPr>
              <w:pStyle w:val="naiskr"/>
              <w:spacing w:before="0" w:after="0"/>
              <w:jc w:val="center"/>
            </w:pPr>
            <w:r>
              <w:t>29.</w:t>
            </w:r>
            <w:r w:rsidR="007F50F4">
              <w:t xml:space="preserve"> </w:t>
            </w:r>
            <w:r>
              <w:t>pants</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BF7140" w:rsidP="00BF7140">
            <w:pPr>
              <w:pStyle w:val="naiskr"/>
              <w:spacing w:before="0" w:after="0"/>
              <w:jc w:val="center"/>
            </w:pPr>
            <w:r>
              <w:t>8. panta 9</w:t>
            </w:r>
            <w:r w:rsidRPr="00635585">
              <w:t xml:space="preserve">. </w:t>
            </w:r>
            <w:r>
              <w:t>p</w:t>
            </w:r>
            <w:r w:rsidRPr="00635585">
              <w:t>unkt</w:t>
            </w:r>
            <w:r>
              <w:t>s</w:t>
            </w:r>
          </w:p>
        </w:tc>
        <w:tc>
          <w:tcPr>
            <w:tcW w:w="2351" w:type="dxa"/>
          </w:tcPr>
          <w:p w:rsidR="00C47367" w:rsidRPr="00635585" w:rsidRDefault="00C24643" w:rsidP="00F72185">
            <w:pPr>
              <w:pStyle w:val="naiskr"/>
              <w:spacing w:before="0" w:after="0"/>
              <w:jc w:val="center"/>
            </w:pPr>
            <w:r>
              <w:t>25.</w:t>
            </w:r>
            <w:r w:rsidR="007F50F4">
              <w:t xml:space="preserve"> </w:t>
            </w:r>
            <w:r>
              <w:t>pants</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BF7140" w:rsidP="00BF7140">
            <w:pPr>
              <w:pStyle w:val="naiskr"/>
              <w:spacing w:before="0" w:after="0"/>
              <w:jc w:val="center"/>
            </w:pPr>
            <w:r>
              <w:t>9. panta 1</w:t>
            </w:r>
            <w:r w:rsidRPr="00635585">
              <w:t xml:space="preserve">. </w:t>
            </w:r>
            <w:r>
              <w:t>p</w:t>
            </w:r>
            <w:r w:rsidRPr="00635585">
              <w:t>unkt</w:t>
            </w:r>
            <w:r>
              <w:t>s</w:t>
            </w:r>
          </w:p>
        </w:tc>
        <w:tc>
          <w:tcPr>
            <w:tcW w:w="2351" w:type="dxa"/>
          </w:tcPr>
          <w:p w:rsidR="00C47367" w:rsidRPr="00635585" w:rsidRDefault="00536101" w:rsidP="00F72185">
            <w:pPr>
              <w:pStyle w:val="naiskr"/>
              <w:spacing w:before="0" w:after="0"/>
              <w:jc w:val="center"/>
            </w:pPr>
            <w:r>
              <w:t>24.</w:t>
            </w:r>
            <w:r w:rsidR="007F50F4">
              <w:t xml:space="preserve"> </w:t>
            </w:r>
            <w:r>
              <w:t>panta pirmā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BF7140" w:rsidP="00BF7140">
            <w:pPr>
              <w:pStyle w:val="naiskr"/>
              <w:spacing w:before="0" w:after="0"/>
              <w:jc w:val="center"/>
            </w:pPr>
            <w:r>
              <w:t>9. panta 2</w:t>
            </w:r>
            <w:r w:rsidRPr="00635585">
              <w:t xml:space="preserve">. </w:t>
            </w:r>
            <w:r>
              <w:t>p</w:t>
            </w:r>
            <w:r w:rsidRPr="00635585">
              <w:t>unkt</w:t>
            </w:r>
            <w:r>
              <w:t>s</w:t>
            </w:r>
          </w:p>
        </w:tc>
        <w:tc>
          <w:tcPr>
            <w:tcW w:w="2351" w:type="dxa"/>
          </w:tcPr>
          <w:p w:rsidR="00C47367" w:rsidRPr="00635585" w:rsidRDefault="00536101" w:rsidP="00536101">
            <w:pPr>
              <w:pStyle w:val="naiskr"/>
              <w:spacing w:before="0" w:after="0"/>
              <w:jc w:val="center"/>
            </w:pPr>
            <w:r>
              <w:t>24.</w:t>
            </w:r>
            <w:r w:rsidR="007F50F4">
              <w:t xml:space="preserve"> </w:t>
            </w:r>
            <w:r>
              <w:t>panta otrā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1A310F" w:rsidP="001A310F">
            <w:pPr>
              <w:pStyle w:val="naiskr"/>
              <w:spacing w:before="0" w:after="0"/>
              <w:jc w:val="center"/>
            </w:pPr>
            <w:r>
              <w:t>9. panta 3</w:t>
            </w:r>
            <w:r w:rsidRPr="00635585">
              <w:t xml:space="preserve">. </w:t>
            </w:r>
            <w:r>
              <w:t>p</w:t>
            </w:r>
            <w:r w:rsidRPr="00635585">
              <w:t>unkt</w:t>
            </w:r>
            <w:r>
              <w:t>s</w:t>
            </w:r>
          </w:p>
        </w:tc>
        <w:tc>
          <w:tcPr>
            <w:tcW w:w="2351" w:type="dxa"/>
          </w:tcPr>
          <w:p w:rsidR="00C47367" w:rsidRPr="00635585" w:rsidRDefault="00536101" w:rsidP="00F72185">
            <w:pPr>
              <w:pStyle w:val="naiskr"/>
              <w:spacing w:before="0" w:after="0"/>
              <w:jc w:val="center"/>
            </w:pPr>
            <w:r>
              <w:t>3.</w:t>
            </w:r>
            <w:r w:rsidR="007F50F4">
              <w:t xml:space="preserve"> </w:t>
            </w:r>
            <w:r>
              <w:t>panta ceturtā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1A310F" w:rsidP="001A310F">
            <w:pPr>
              <w:pStyle w:val="naiskr"/>
              <w:spacing w:before="0" w:after="0"/>
              <w:jc w:val="center"/>
            </w:pPr>
            <w:r>
              <w:t>10. panta 1</w:t>
            </w:r>
            <w:r w:rsidRPr="00635585">
              <w:t xml:space="preserve">. </w:t>
            </w:r>
            <w:r>
              <w:t>p</w:t>
            </w:r>
            <w:r w:rsidRPr="00635585">
              <w:t>unkt</w:t>
            </w:r>
            <w:r>
              <w:t>s</w:t>
            </w:r>
          </w:p>
        </w:tc>
        <w:tc>
          <w:tcPr>
            <w:tcW w:w="2351" w:type="dxa"/>
          </w:tcPr>
          <w:p w:rsidR="00C47367" w:rsidRPr="00635585" w:rsidRDefault="00B462D8" w:rsidP="00F72185">
            <w:pPr>
              <w:pStyle w:val="naiskr"/>
              <w:spacing w:before="0" w:after="0"/>
              <w:jc w:val="center"/>
            </w:pPr>
            <w:r>
              <w:t>9.</w:t>
            </w:r>
            <w:r w:rsidR="007F50F4">
              <w:t xml:space="preserve"> </w:t>
            </w:r>
            <w:r>
              <w:t>pants</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1A310F" w:rsidP="001A310F">
            <w:pPr>
              <w:pStyle w:val="naiskr"/>
              <w:spacing w:before="0" w:after="0"/>
              <w:jc w:val="center"/>
            </w:pPr>
            <w:r>
              <w:t>10. panta 2</w:t>
            </w:r>
            <w:r w:rsidRPr="00635585">
              <w:t xml:space="preserve">. </w:t>
            </w:r>
            <w:r>
              <w:t>p</w:t>
            </w:r>
            <w:r w:rsidRPr="00635585">
              <w:t>unkt</w:t>
            </w:r>
            <w:r>
              <w:t>s</w:t>
            </w:r>
          </w:p>
        </w:tc>
        <w:tc>
          <w:tcPr>
            <w:tcW w:w="2351" w:type="dxa"/>
          </w:tcPr>
          <w:p w:rsidR="00C47367" w:rsidRPr="00635585" w:rsidRDefault="00B462D8" w:rsidP="00F72185">
            <w:pPr>
              <w:pStyle w:val="naiskr"/>
              <w:spacing w:before="0" w:after="0"/>
              <w:jc w:val="center"/>
            </w:pPr>
            <w:r>
              <w:t>10.</w:t>
            </w:r>
            <w:r w:rsidR="007F50F4">
              <w:t xml:space="preserve"> </w:t>
            </w:r>
            <w:r>
              <w:t>panta pirmā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1A310F" w:rsidP="001A310F">
            <w:pPr>
              <w:pStyle w:val="naiskr"/>
              <w:spacing w:before="0" w:after="0"/>
              <w:jc w:val="center"/>
            </w:pPr>
            <w:r>
              <w:t>10. panta 3</w:t>
            </w:r>
            <w:r w:rsidRPr="00635585">
              <w:t xml:space="preserve">. </w:t>
            </w:r>
            <w:r>
              <w:t>p</w:t>
            </w:r>
            <w:r w:rsidRPr="00635585">
              <w:t>unkt</w:t>
            </w:r>
            <w:r>
              <w:t>s</w:t>
            </w:r>
          </w:p>
        </w:tc>
        <w:tc>
          <w:tcPr>
            <w:tcW w:w="2351" w:type="dxa"/>
          </w:tcPr>
          <w:p w:rsidR="00C47367" w:rsidRPr="00635585" w:rsidRDefault="00B462D8" w:rsidP="00F72185">
            <w:pPr>
              <w:pStyle w:val="naiskr"/>
              <w:spacing w:before="0" w:after="0"/>
              <w:jc w:val="center"/>
            </w:pPr>
            <w:r>
              <w:t>10.</w:t>
            </w:r>
            <w:r w:rsidR="007F50F4">
              <w:t xml:space="preserve"> </w:t>
            </w:r>
            <w:r>
              <w:t>panta ceturtā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1A310F" w:rsidP="001A310F">
            <w:pPr>
              <w:pStyle w:val="naiskr"/>
              <w:spacing w:before="0" w:after="0"/>
              <w:jc w:val="center"/>
            </w:pPr>
            <w:r>
              <w:t>10. panta 4</w:t>
            </w:r>
            <w:r w:rsidRPr="00635585">
              <w:t xml:space="preserve">. </w:t>
            </w:r>
            <w:r>
              <w:t>p</w:t>
            </w:r>
            <w:r w:rsidRPr="00635585">
              <w:t>unkt</w:t>
            </w:r>
            <w:r>
              <w:t>s</w:t>
            </w:r>
          </w:p>
        </w:tc>
        <w:tc>
          <w:tcPr>
            <w:tcW w:w="2351" w:type="dxa"/>
          </w:tcPr>
          <w:p w:rsidR="00C47367" w:rsidRPr="00635585" w:rsidRDefault="00B462D8" w:rsidP="00F72185">
            <w:pPr>
              <w:pStyle w:val="naiskr"/>
              <w:spacing w:before="0" w:after="0"/>
              <w:jc w:val="center"/>
            </w:pPr>
            <w:r>
              <w:t>11.</w:t>
            </w:r>
            <w:r w:rsidR="007F50F4">
              <w:t xml:space="preserve"> </w:t>
            </w:r>
            <w:r>
              <w:t>panta trešā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1A310F" w:rsidP="001A310F">
            <w:pPr>
              <w:pStyle w:val="naiskr"/>
              <w:spacing w:before="0" w:after="0"/>
              <w:jc w:val="center"/>
            </w:pPr>
            <w:r>
              <w:t>10. panta 5</w:t>
            </w:r>
            <w:r w:rsidRPr="00635585">
              <w:t xml:space="preserve">. </w:t>
            </w:r>
            <w:r>
              <w:t>p</w:t>
            </w:r>
            <w:r w:rsidRPr="00635585">
              <w:t>unkt</w:t>
            </w:r>
            <w:r>
              <w:t>s</w:t>
            </w:r>
          </w:p>
        </w:tc>
        <w:tc>
          <w:tcPr>
            <w:tcW w:w="2351" w:type="dxa"/>
          </w:tcPr>
          <w:p w:rsidR="00C47367" w:rsidRPr="00635585" w:rsidRDefault="00B462D8" w:rsidP="00F72185">
            <w:pPr>
              <w:pStyle w:val="naiskr"/>
              <w:spacing w:before="0" w:after="0"/>
              <w:jc w:val="center"/>
            </w:pPr>
            <w:r>
              <w:t>9.</w:t>
            </w:r>
            <w:r w:rsidR="007F50F4">
              <w:t xml:space="preserve"> </w:t>
            </w:r>
            <w:r>
              <w:t>panta otrā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C47367" w:rsidTr="00D82EEB">
        <w:trPr>
          <w:trHeight w:val="289"/>
          <w:jc w:val="center"/>
        </w:trPr>
        <w:tc>
          <w:tcPr>
            <w:tcW w:w="1885" w:type="dxa"/>
          </w:tcPr>
          <w:p w:rsidR="00C47367" w:rsidRPr="00635585" w:rsidRDefault="001A310F" w:rsidP="001A310F">
            <w:pPr>
              <w:pStyle w:val="naiskr"/>
              <w:spacing w:before="0" w:after="0"/>
              <w:jc w:val="center"/>
            </w:pPr>
            <w:r>
              <w:lastRenderedPageBreak/>
              <w:t>10. panta 7</w:t>
            </w:r>
            <w:r w:rsidRPr="00635585">
              <w:t xml:space="preserve">. </w:t>
            </w:r>
            <w:r>
              <w:t>p</w:t>
            </w:r>
            <w:r w:rsidRPr="00635585">
              <w:t>unkt</w:t>
            </w:r>
            <w:r>
              <w:t>s</w:t>
            </w:r>
          </w:p>
        </w:tc>
        <w:tc>
          <w:tcPr>
            <w:tcW w:w="2351" w:type="dxa"/>
          </w:tcPr>
          <w:p w:rsidR="00C47367" w:rsidRPr="00635585" w:rsidRDefault="00C50CBB" w:rsidP="00F72185">
            <w:pPr>
              <w:pStyle w:val="naiskr"/>
              <w:spacing w:before="0" w:after="0"/>
              <w:jc w:val="center"/>
            </w:pPr>
            <w:r>
              <w:t>17.</w:t>
            </w:r>
            <w:r w:rsidR="007F50F4">
              <w:t xml:space="preserve"> </w:t>
            </w:r>
            <w:r>
              <w:t>panta otrā daļa</w:t>
            </w:r>
          </w:p>
        </w:tc>
        <w:tc>
          <w:tcPr>
            <w:tcW w:w="2792" w:type="dxa"/>
          </w:tcPr>
          <w:p w:rsidR="00C47367" w:rsidRPr="00635585" w:rsidRDefault="006D7ACE" w:rsidP="00F72185">
            <w:pPr>
              <w:pStyle w:val="naiskr"/>
              <w:spacing w:before="0" w:after="0"/>
              <w:jc w:val="center"/>
            </w:pPr>
            <w:r w:rsidRPr="00635585">
              <w:t>Ieviests pilnībā</w:t>
            </w:r>
          </w:p>
        </w:tc>
        <w:tc>
          <w:tcPr>
            <w:tcW w:w="3178" w:type="dxa"/>
          </w:tcPr>
          <w:p w:rsidR="00C47367" w:rsidRPr="00635585" w:rsidRDefault="005C46A0" w:rsidP="00F72185">
            <w:pPr>
              <w:pStyle w:val="naiskr"/>
              <w:spacing w:before="0" w:after="0"/>
              <w:jc w:val="center"/>
            </w:pPr>
            <w:r w:rsidRPr="00635585">
              <w:t>Neparedz stingrākas prasības</w:t>
            </w:r>
          </w:p>
        </w:tc>
      </w:tr>
      <w:tr w:rsidR="00F70CC2" w:rsidTr="00D82EEB">
        <w:trPr>
          <w:trHeight w:val="289"/>
          <w:jc w:val="center"/>
        </w:trPr>
        <w:tc>
          <w:tcPr>
            <w:tcW w:w="1885" w:type="dxa"/>
          </w:tcPr>
          <w:p w:rsidR="00F70CC2" w:rsidRPr="00635585" w:rsidRDefault="001A310F" w:rsidP="001A310F">
            <w:pPr>
              <w:pStyle w:val="naiskr"/>
              <w:spacing w:before="0" w:after="0"/>
              <w:jc w:val="center"/>
            </w:pPr>
            <w:r>
              <w:t>10. panta 8</w:t>
            </w:r>
            <w:r w:rsidRPr="00635585">
              <w:t xml:space="preserve">. </w:t>
            </w:r>
            <w:r>
              <w:t>p</w:t>
            </w:r>
            <w:r w:rsidRPr="00635585">
              <w:t>unkt</w:t>
            </w:r>
            <w:r>
              <w:t>s</w:t>
            </w:r>
          </w:p>
        </w:tc>
        <w:tc>
          <w:tcPr>
            <w:tcW w:w="2351" w:type="dxa"/>
          </w:tcPr>
          <w:p w:rsidR="00F70CC2" w:rsidRPr="00635585" w:rsidRDefault="00C74EAA" w:rsidP="00F72185">
            <w:pPr>
              <w:pStyle w:val="naiskr"/>
              <w:spacing w:before="0" w:after="0"/>
              <w:jc w:val="center"/>
            </w:pPr>
            <w:r>
              <w:t>11.</w:t>
            </w:r>
            <w:r w:rsidR="007F50F4">
              <w:t xml:space="preserve"> </w:t>
            </w:r>
            <w:r>
              <w:t>pants</w:t>
            </w:r>
          </w:p>
        </w:tc>
        <w:tc>
          <w:tcPr>
            <w:tcW w:w="2792" w:type="dxa"/>
          </w:tcPr>
          <w:p w:rsidR="00F70CC2" w:rsidRPr="00635585" w:rsidRDefault="006D7ACE" w:rsidP="00F72185">
            <w:pPr>
              <w:pStyle w:val="naiskr"/>
              <w:spacing w:before="0" w:after="0"/>
              <w:jc w:val="center"/>
            </w:pPr>
            <w:r w:rsidRPr="00635585">
              <w:t>Ieviests pilnībā</w:t>
            </w:r>
          </w:p>
        </w:tc>
        <w:tc>
          <w:tcPr>
            <w:tcW w:w="3178" w:type="dxa"/>
          </w:tcPr>
          <w:p w:rsidR="00F70CC2" w:rsidRPr="00635585" w:rsidRDefault="005C46A0" w:rsidP="00F72185">
            <w:pPr>
              <w:pStyle w:val="naiskr"/>
              <w:spacing w:before="0" w:after="0"/>
              <w:jc w:val="center"/>
            </w:pPr>
            <w:r w:rsidRPr="00635585">
              <w:t>Neparedz stingrākas prasības</w:t>
            </w:r>
          </w:p>
        </w:tc>
      </w:tr>
      <w:tr w:rsidR="001A310F" w:rsidTr="00D82EEB">
        <w:trPr>
          <w:trHeight w:val="289"/>
          <w:jc w:val="center"/>
        </w:trPr>
        <w:tc>
          <w:tcPr>
            <w:tcW w:w="1885" w:type="dxa"/>
          </w:tcPr>
          <w:p w:rsidR="001A310F" w:rsidRDefault="001A310F" w:rsidP="001A310F">
            <w:pPr>
              <w:pStyle w:val="naiskr"/>
              <w:spacing w:before="0" w:after="0"/>
              <w:jc w:val="center"/>
            </w:pPr>
            <w:r>
              <w:t>10. panta 9</w:t>
            </w:r>
            <w:r w:rsidRPr="00635585">
              <w:t xml:space="preserve">. </w:t>
            </w:r>
            <w:r>
              <w:t>p</w:t>
            </w:r>
            <w:r w:rsidRPr="00635585">
              <w:t>unkt</w:t>
            </w:r>
            <w:r>
              <w:t>s</w:t>
            </w:r>
          </w:p>
        </w:tc>
        <w:tc>
          <w:tcPr>
            <w:tcW w:w="2351" w:type="dxa"/>
          </w:tcPr>
          <w:p w:rsidR="001A310F" w:rsidRPr="00635585" w:rsidRDefault="00C74EAA" w:rsidP="00F72185">
            <w:pPr>
              <w:pStyle w:val="naiskr"/>
              <w:spacing w:before="0" w:after="0"/>
              <w:jc w:val="center"/>
            </w:pPr>
            <w:r>
              <w:t>23.</w:t>
            </w:r>
            <w:r w:rsidR="007F50F4">
              <w:t xml:space="preserve"> </w:t>
            </w:r>
            <w:r>
              <w:t>pants</w:t>
            </w:r>
          </w:p>
        </w:tc>
        <w:tc>
          <w:tcPr>
            <w:tcW w:w="2792" w:type="dxa"/>
          </w:tcPr>
          <w:p w:rsidR="001A310F" w:rsidRPr="00635585" w:rsidRDefault="006D7ACE" w:rsidP="00F72185">
            <w:pPr>
              <w:pStyle w:val="naiskr"/>
              <w:spacing w:before="0" w:after="0"/>
              <w:jc w:val="center"/>
            </w:pPr>
            <w:r w:rsidRPr="00635585">
              <w:t>Ieviests pilnībā</w:t>
            </w:r>
          </w:p>
        </w:tc>
        <w:tc>
          <w:tcPr>
            <w:tcW w:w="3178" w:type="dxa"/>
          </w:tcPr>
          <w:p w:rsidR="001A310F" w:rsidRPr="00635585" w:rsidRDefault="005C46A0" w:rsidP="00F72185">
            <w:pPr>
              <w:pStyle w:val="naiskr"/>
              <w:spacing w:before="0" w:after="0"/>
              <w:jc w:val="center"/>
            </w:pPr>
            <w:r w:rsidRPr="00635585">
              <w:t>Neparedz stingrākas prasības</w:t>
            </w:r>
          </w:p>
        </w:tc>
      </w:tr>
      <w:tr w:rsidR="001A310F" w:rsidTr="00D82EEB">
        <w:trPr>
          <w:trHeight w:val="289"/>
          <w:jc w:val="center"/>
        </w:trPr>
        <w:tc>
          <w:tcPr>
            <w:tcW w:w="1885" w:type="dxa"/>
          </w:tcPr>
          <w:p w:rsidR="001A310F" w:rsidRDefault="001A310F" w:rsidP="001A310F">
            <w:pPr>
              <w:pStyle w:val="naiskr"/>
              <w:spacing w:before="0" w:after="0"/>
              <w:jc w:val="center"/>
            </w:pPr>
            <w:r>
              <w:t>10. panta 10</w:t>
            </w:r>
            <w:r w:rsidRPr="00635585">
              <w:t xml:space="preserve">. </w:t>
            </w:r>
            <w:r>
              <w:t>p</w:t>
            </w:r>
            <w:r w:rsidRPr="00635585">
              <w:t>unkt</w:t>
            </w:r>
            <w:r>
              <w:t>s</w:t>
            </w:r>
          </w:p>
        </w:tc>
        <w:tc>
          <w:tcPr>
            <w:tcW w:w="2351" w:type="dxa"/>
          </w:tcPr>
          <w:p w:rsidR="001A310F" w:rsidRPr="00635585" w:rsidRDefault="00C74EAA" w:rsidP="007A4D7A">
            <w:pPr>
              <w:pStyle w:val="naiskr"/>
              <w:spacing w:before="0" w:after="0"/>
              <w:jc w:val="center"/>
            </w:pPr>
            <w:r>
              <w:t xml:space="preserve">Pārejas noteikumu </w:t>
            </w:r>
            <w:r w:rsidR="007A4D7A">
              <w:t>7</w:t>
            </w:r>
            <w:r>
              <w:t>.</w:t>
            </w:r>
            <w:r w:rsidR="007F50F4">
              <w:t> </w:t>
            </w:r>
            <w:r>
              <w:t>punkts</w:t>
            </w:r>
          </w:p>
        </w:tc>
        <w:tc>
          <w:tcPr>
            <w:tcW w:w="2792" w:type="dxa"/>
          </w:tcPr>
          <w:p w:rsidR="001A310F" w:rsidRPr="00635585" w:rsidRDefault="006D7ACE" w:rsidP="00F72185">
            <w:pPr>
              <w:pStyle w:val="naiskr"/>
              <w:spacing w:before="0" w:after="0"/>
              <w:jc w:val="center"/>
            </w:pPr>
            <w:r w:rsidRPr="00635585">
              <w:t>Ieviests pilnībā</w:t>
            </w:r>
          </w:p>
        </w:tc>
        <w:tc>
          <w:tcPr>
            <w:tcW w:w="3178" w:type="dxa"/>
          </w:tcPr>
          <w:p w:rsidR="001A310F" w:rsidRPr="00635585" w:rsidRDefault="005C46A0" w:rsidP="00F72185">
            <w:pPr>
              <w:pStyle w:val="naiskr"/>
              <w:spacing w:before="0" w:after="0"/>
              <w:jc w:val="center"/>
            </w:pPr>
            <w:r w:rsidRPr="00635585">
              <w:t>Neparedz stingrākas prasības</w:t>
            </w:r>
          </w:p>
        </w:tc>
      </w:tr>
      <w:tr w:rsidR="001A310F" w:rsidTr="00D82EEB">
        <w:trPr>
          <w:trHeight w:val="289"/>
          <w:jc w:val="center"/>
        </w:trPr>
        <w:tc>
          <w:tcPr>
            <w:tcW w:w="1885" w:type="dxa"/>
          </w:tcPr>
          <w:p w:rsidR="001A310F" w:rsidRDefault="00830EEF" w:rsidP="00830EEF">
            <w:pPr>
              <w:pStyle w:val="naiskr"/>
              <w:spacing w:before="0" w:after="0"/>
              <w:jc w:val="center"/>
            </w:pPr>
            <w:r>
              <w:t>11. panta 1</w:t>
            </w:r>
            <w:r w:rsidRPr="00635585">
              <w:t xml:space="preserve">. </w:t>
            </w:r>
            <w:r>
              <w:t>p</w:t>
            </w:r>
            <w:r w:rsidRPr="00635585">
              <w:t>unkt</w:t>
            </w:r>
            <w:r>
              <w:t>s</w:t>
            </w:r>
          </w:p>
        </w:tc>
        <w:tc>
          <w:tcPr>
            <w:tcW w:w="2351" w:type="dxa"/>
          </w:tcPr>
          <w:p w:rsidR="001A310F" w:rsidRPr="00635585" w:rsidRDefault="000436CD" w:rsidP="00F72185">
            <w:pPr>
              <w:pStyle w:val="naiskr"/>
              <w:spacing w:before="0" w:after="0"/>
              <w:jc w:val="center"/>
            </w:pPr>
            <w:r>
              <w:t>17.</w:t>
            </w:r>
            <w:r w:rsidR="007F50F4">
              <w:t xml:space="preserve"> </w:t>
            </w:r>
            <w:r>
              <w:t>pants</w:t>
            </w:r>
          </w:p>
        </w:tc>
        <w:tc>
          <w:tcPr>
            <w:tcW w:w="2792" w:type="dxa"/>
          </w:tcPr>
          <w:p w:rsidR="001A310F" w:rsidRPr="00635585" w:rsidRDefault="006D7ACE" w:rsidP="00F72185">
            <w:pPr>
              <w:pStyle w:val="naiskr"/>
              <w:spacing w:before="0" w:after="0"/>
              <w:jc w:val="center"/>
            </w:pPr>
            <w:r w:rsidRPr="00635585">
              <w:t>Ieviests pilnībā</w:t>
            </w:r>
          </w:p>
        </w:tc>
        <w:tc>
          <w:tcPr>
            <w:tcW w:w="3178" w:type="dxa"/>
          </w:tcPr>
          <w:p w:rsidR="001A310F" w:rsidRPr="00635585" w:rsidRDefault="005C46A0" w:rsidP="00F72185">
            <w:pPr>
              <w:pStyle w:val="naiskr"/>
              <w:spacing w:before="0" w:after="0"/>
              <w:jc w:val="center"/>
            </w:pPr>
            <w:r w:rsidRPr="00635585">
              <w:t>Neparedz stingrākas prasības</w:t>
            </w:r>
          </w:p>
        </w:tc>
      </w:tr>
      <w:tr w:rsidR="001A310F" w:rsidTr="00D82EEB">
        <w:trPr>
          <w:trHeight w:val="289"/>
          <w:jc w:val="center"/>
        </w:trPr>
        <w:tc>
          <w:tcPr>
            <w:tcW w:w="1885" w:type="dxa"/>
          </w:tcPr>
          <w:p w:rsidR="001A310F" w:rsidRDefault="00830EEF" w:rsidP="00830EEF">
            <w:pPr>
              <w:pStyle w:val="naiskr"/>
              <w:spacing w:before="0" w:after="0"/>
              <w:jc w:val="center"/>
            </w:pPr>
            <w:r>
              <w:t>11. panta 2</w:t>
            </w:r>
            <w:r w:rsidRPr="00635585">
              <w:t xml:space="preserve">. </w:t>
            </w:r>
            <w:r>
              <w:t>p</w:t>
            </w:r>
            <w:r w:rsidRPr="00635585">
              <w:t>unkt</w:t>
            </w:r>
            <w:r>
              <w:t>s</w:t>
            </w:r>
          </w:p>
        </w:tc>
        <w:tc>
          <w:tcPr>
            <w:tcW w:w="2351" w:type="dxa"/>
          </w:tcPr>
          <w:p w:rsidR="001A310F" w:rsidRPr="00635585" w:rsidRDefault="000436CD" w:rsidP="00F72185">
            <w:pPr>
              <w:pStyle w:val="naiskr"/>
              <w:spacing w:before="0" w:after="0"/>
              <w:jc w:val="center"/>
            </w:pPr>
            <w:r>
              <w:t>17.</w:t>
            </w:r>
            <w:r w:rsidR="007F50F4">
              <w:t xml:space="preserve"> </w:t>
            </w:r>
            <w:r>
              <w:t>pants</w:t>
            </w:r>
          </w:p>
        </w:tc>
        <w:tc>
          <w:tcPr>
            <w:tcW w:w="2792" w:type="dxa"/>
          </w:tcPr>
          <w:p w:rsidR="001A310F" w:rsidRPr="00635585" w:rsidRDefault="006D7ACE" w:rsidP="00F72185">
            <w:pPr>
              <w:pStyle w:val="naiskr"/>
              <w:spacing w:before="0" w:after="0"/>
              <w:jc w:val="center"/>
            </w:pPr>
            <w:r w:rsidRPr="00635585">
              <w:t>Ieviests pilnībā</w:t>
            </w:r>
          </w:p>
        </w:tc>
        <w:tc>
          <w:tcPr>
            <w:tcW w:w="3178" w:type="dxa"/>
          </w:tcPr>
          <w:p w:rsidR="001A310F" w:rsidRPr="00635585" w:rsidRDefault="005C46A0" w:rsidP="00F72185">
            <w:pPr>
              <w:pStyle w:val="naiskr"/>
              <w:spacing w:before="0" w:after="0"/>
              <w:jc w:val="center"/>
            </w:pPr>
            <w:r w:rsidRPr="00635585">
              <w:t>Neparedz stingrākas prasības</w:t>
            </w:r>
          </w:p>
        </w:tc>
      </w:tr>
      <w:tr w:rsidR="001A310F" w:rsidTr="00D82EEB">
        <w:trPr>
          <w:trHeight w:val="289"/>
          <w:jc w:val="center"/>
        </w:trPr>
        <w:tc>
          <w:tcPr>
            <w:tcW w:w="1885" w:type="dxa"/>
          </w:tcPr>
          <w:p w:rsidR="001A310F" w:rsidRDefault="00E0641D" w:rsidP="00E0641D">
            <w:pPr>
              <w:pStyle w:val="naiskr"/>
              <w:spacing w:before="0" w:after="0"/>
              <w:jc w:val="center"/>
            </w:pPr>
            <w:r>
              <w:t>13. panta 1</w:t>
            </w:r>
            <w:r w:rsidRPr="00635585">
              <w:t xml:space="preserve">. </w:t>
            </w:r>
            <w:r>
              <w:t>p</w:t>
            </w:r>
            <w:r w:rsidRPr="00635585">
              <w:t>unkt</w:t>
            </w:r>
            <w:r>
              <w:t>s</w:t>
            </w:r>
          </w:p>
        </w:tc>
        <w:tc>
          <w:tcPr>
            <w:tcW w:w="2351" w:type="dxa"/>
          </w:tcPr>
          <w:p w:rsidR="001A310F" w:rsidRPr="00635585" w:rsidRDefault="00840E59" w:rsidP="00F72185">
            <w:pPr>
              <w:pStyle w:val="naiskr"/>
              <w:spacing w:before="0" w:after="0"/>
              <w:jc w:val="center"/>
            </w:pPr>
            <w:r>
              <w:t>9.</w:t>
            </w:r>
            <w:r w:rsidR="007F50F4">
              <w:t xml:space="preserve"> </w:t>
            </w:r>
            <w:r>
              <w:t>pants</w:t>
            </w:r>
          </w:p>
        </w:tc>
        <w:tc>
          <w:tcPr>
            <w:tcW w:w="2792" w:type="dxa"/>
          </w:tcPr>
          <w:p w:rsidR="001A310F" w:rsidRDefault="006D7ACE" w:rsidP="00840E59">
            <w:pPr>
              <w:pStyle w:val="naiskr"/>
              <w:spacing w:before="0" w:after="0"/>
              <w:jc w:val="center"/>
            </w:pPr>
            <w:r w:rsidRPr="00635585">
              <w:t>Ieviests</w:t>
            </w:r>
            <w:r w:rsidR="00840E59">
              <w:t xml:space="preserve"> daļēji</w:t>
            </w:r>
          </w:p>
          <w:p w:rsidR="00840E59" w:rsidRPr="00635585" w:rsidRDefault="00840E59" w:rsidP="007F50F4">
            <w:pPr>
              <w:pStyle w:val="naiskr"/>
              <w:spacing w:before="0" w:after="0"/>
              <w:jc w:val="center"/>
            </w:pPr>
            <w:r>
              <w:t>(netiek ieviests 13. panta 1</w:t>
            </w:r>
            <w:r w:rsidRPr="00635585">
              <w:t>.</w:t>
            </w:r>
            <w:r w:rsidR="007F50F4">
              <w:t> </w:t>
            </w:r>
            <w:r>
              <w:t>p</w:t>
            </w:r>
            <w:r w:rsidRPr="00635585">
              <w:t>unkt</w:t>
            </w:r>
            <w:r>
              <w:t xml:space="preserve">a otrais, trešais, ceturtais un piektais teikums, kas nosaka, ka dalībvalsts var atkāpties </w:t>
            </w:r>
            <w:r w:rsidR="00310C6E">
              <w:t>no pirmajā</w:t>
            </w:r>
            <w:r>
              <w:t xml:space="preserve"> teikumā minētā, paredzot </w:t>
            </w:r>
            <w:r w:rsidR="007F50F4">
              <w:t xml:space="preserve">daudz </w:t>
            </w:r>
            <w:r>
              <w:t>zemāku iemaksu veikšanu noguldījumu garantiju fondā)</w:t>
            </w:r>
          </w:p>
        </w:tc>
        <w:tc>
          <w:tcPr>
            <w:tcW w:w="3178" w:type="dxa"/>
          </w:tcPr>
          <w:p w:rsidR="001A310F" w:rsidRPr="00635585" w:rsidRDefault="005C46A0" w:rsidP="00F72185">
            <w:pPr>
              <w:pStyle w:val="naiskr"/>
              <w:spacing w:before="0" w:after="0"/>
              <w:jc w:val="center"/>
            </w:pPr>
            <w:r w:rsidRPr="00635585">
              <w:t>Neparedz stingrākas prasības</w:t>
            </w:r>
          </w:p>
        </w:tc>
      </w:tr>
      <w:tr w:rsidR="001A310F" w:rsidTr="00D82EEB">
        <w:trPr>
          <w:trHeight w:val="289"/>
          <w:jc w:val="center"/>
        </w:trPr>
        <w:tc>
          <w:tcPr>
            <w:tcW w:w="1885" w:type="dxa"/>
          </w:tcPr>
          <w:p w:rsidR="001A310F" w:rsidRDefault="00E0641D" w:rsidP="00E0641D">
            <w:pPr>
              <w:pStyle w:val="naiskr"/>
              <w:spacing w:before="0" w:after="0"/>
              <w:jc w:val="center"/>
            </w:pPr>
            <w:r>
              <w:t>13. panta 2</w:t>
            </w:r>
            <w:r w:rsidRPr="00635585">
              <w:t xml:space="preserve">. </w:t>
            </w:r>
            <w:r>
              <w:t>p</w:t>
            </w:r>
            <w:r w:rsidRPr="00635585">
              <w:t>unkt</w:t>
            </w:r>
            <w:r>
              <w:t>s</w:t>
            </w:r>
          </w:p>
        </w:tc>
        <w:tc>
          <w:tcPr>
            <w:tcW w:w="2351" w:type="dxa"/>
          </w:tcPr>
          <w:p w:rsidR="001A310F" w:rsidRPr="00635585" w:rsidRDefault="00310C6E" w:rsidP="00F72185">
            <w:pPr>
              <w:pStyle w:val="naiskr"/>
              <w:spacing w:before="0" w:after="0"/>
              <w:jc w:val="center"/>
            </w:pPr>
            <w:r>
              <w:t>Pārejas noteikumu 6.</w:t>
            </w:r>
            <w:r w:rsidR="007F50F4">
              <w:t> </w:t>
            </w:r>
            <w:r>
              <w:t>punkts</w:t>
            </w:r>
          </w:p>
        </w:tc>
        <w:tc>
          <w:tcPr>
            <w:tcW w:w="2792" w:type="dxa"/>
          </w:tcPr>
          <w:p w:rsidR="001A310F" w:rsidRPr="00635585" w:rsidRDefault="006D7ACE" w:rsidP="00F72185">
            <w:pPr>
              <w:pStyle w:val="naiskr"/>
              <w:spacing w:before="0" w:after="0"/>
              <w:jc w:val="center"/>
            </w:pPr>
            <w:r w:rsidRPr="00635585">
              <w:t>Ieviests pilnībā</w:t>
            </w:r>
          </w:p>
        </w:tc>
        <w:tc>
          <w:tcPr>
            <w:tcW w:w="3178" w:type="dxa"/>
          </w:tcPr>
          <w:p w:rsidR="001A310F" w:rsidRPr="00635585" w:rsidRDefault="005C46A0" w:rsidP="00F72185">
            <w:pPr>
              <w:pStyle w:val="naiskr"/>
              <w:spacing w:before="0" w:after="0"/>
              <w:jc w:val="center"/>
            </w:pPr>
            <w:r w:rsidRPr="00635585">
              <w:t>Neparedz stingrākas prasības</w:t>
            </w:r>
          </w:p>
        </w:tc>
      </w:tr>
      <w:tr w:rsidR="001A310F" w:rsidTr="00D82EEB">
        <w:trPr>
          <w:trHeight w:val="289"/>
          <w:jc w:val="center"/>
        </w:trPr>
        <w:tc>
          <w:tcPr>
            <w:tcW w:w="1885" w:type="dxa"/>
          </w:tcPr>
          <w:p w:rsidR="001A310F" w:rsidRDefault="00D77805" w:rsidP="00D77805">
            <w:pPr>
              <w:pStyle w:val="naiskr"/>
              <w:spacing w:before="0" w:after="0"/>
              <w:jc w:val="center"/>
            </w:pPr>
            <w:r>
              <w:t>14</w:t>
            </w:r>
            <w:r w:rsidR="00E0641D">
              <w:t xml:space="preserve">. panta </w:t>
            </w:r>
            <w:r>
              <w:t>1</w:t>
            </w:r>
            <w:r w:rsidR="00E0641D" w:rsidRPr="00635585">
              <w:t xml:space="preserve">. </w:t>
            </w:r>
            <w:r w:rsidR="00E0641D">
              <w:t>p</w:t>
            </w:r>
            <w:r w:rsidR="00E0641D" w:rsidRPr="00635585">
              <w:t>unkt</w:t>
            </w:r>
            <w:r w:rsidR="00E0641D">
              <w:t>s</w:t>
            </w:r>
          </w:p>
        </w:tc>
        <w:tc>
          <w:tcPr>
            <w:tcW w:w="2351" w:type="dxa"/>
          </w:tcPr>
          <w:p w:rsidR="001A310F" w:rsidRPr="00635585" w:rsidRDefault="00E017E2" w:rsidP="00F72185">
            <w:pPr>
              <w:pStyle w:val="naiskr"/>
              <w:spacing w:before="0" w:after="0"/>
              <w:jc w:val="center"/>
            </w:pPr>
            <w:r>
              <w:t>2.</w:t>
            </w:r>
            <w:r w:rsidR="007F50F4">
              <w:t xml:space="preserve"> </w:t>
            </w:r>
            <w:r>
              <w:t>pants</w:t>
            </w:r>
          </w:p>
        </w:tc>
        <w:tc>
          <w:tcPr>
            <w:tcW w:w="2792" w:type="dxa"/>
          </w:tcPr>
          <w:p w:rsidR="001A310F" w:rsidRPr="00635585" w:rsidRDefault="006D7ACE" w:rsidP="00F72185">
            <w:pPr>
              <w:pStyle w:val="naiskr"/>
              <w:spacing w:before="0" w:after="0"/>
              <w:jc w:val="center"/>
            </w:pPr>
            <w:r w:rsidRPr="00635585">
              <w:t>Ieviests pilnībā</w:t>
            </w:r>
          </w:p>
        </w:tc>
        <w:tc>
          <w:tcPr>
            <w:tcW w:w="3178" w:type="dxa"/>
          </w:tcPr>
          <w:p w:rsidR="001A310F" w:rsidRPr="00635585" w:rsidRDefault="005C46A0" w:rsidP="00F72185">
            <w:pPr>
              <w:pStyle w:val="naiskr"/>
              <w:spacing w:before="0" w:after="0"/>
              <w:jc w:val="center"/>
            </w:pPr>
            <w:r w:rsidRPr="00635585">
              <w:t>Neparedz stingrākas prasības</w:t>
            </w:r>
          </w:p>
        </w:tc>
      </w:tr>
      <w:tr w:rsidR="001A310F" w:rsidTr="00D82EEB">
        <w:trPr>
          <w:trHeight w:val="289"/>
          <w:jc w:val="center"/>
        </w:trPr>
        <w:tc>
          <w:tcPr>
            <w:tcW w:w="1885" w:type="dxa"/>
          </w:tcPr>
          <w:p w:rsidR="001A310F" w:rsidRDefault="00D77805" w:rsidP="00D77805">
            <w:pPr>
              <w:pStyle w:val="naiskr"/>
              <w:spacing w:before="0" w:after="0"/>
              <w:jc w:val="center"/>
            </w:pPr>
            <w:r>
              <w:t>14. panta 2</w:t>
            </w:r>
            <w:r w:rsidRPr="00635585">
              <w:t xml:space="preserve">. </w:t>
            </w:r>
            <w:r>
              <w:t>p</w:t>
            </w:r>
            <w:r w:rsidRPr="00635585">
              <w:t>unkt</w:t>
            </w:r>
            <w:r>
              <w:t>s</w:t>
            </w:r>
          </w:p>
        </w:tc>
        <w:tc>
          <w:tcPr>
            <w:tcW w:w="2351" w:type="dxa"/>
          </w:tcPr>
          <w:p w:rsidR="001A310F" w:rsidRPr="00635585" w:rsidRDefault="00E017E2" w:rsidP="00F72185">
            <w:pPr>
              <w:pStyle w:val="naiskr"/>
              <w:spacing w:before="0" w:after="0"/>
              <w:jc w:val="center"/>
            </w:pPr>
            <w:r>
              <w:t>35.</w:t>
            </w:r>
            <w:r w:rsidR="007F50F4">
              <w:t xml:space="preserve"> </w:t>
            </w:r>
            <w:r>
              <w:t>pants</w:t>
            </w:r>
          </w:p>
        </w:tc>
        <w:tc>
          <w:tcPr>
            <w:tcW w:w="2792" w:type="dxa"/>
          </w:tcPr>
          <w:p w:rsidR="001A310F" w:rsidRPr="00635585" w:rsidRDefault="006D7ACE" w:rsidP="00F72185">
            <w:pPr>
              <w:pStyle w:val="naiskr"/>
              <w:spacing w:before="0" w:after="0"/>
              <w:jc w:val="center"/>
            </w:pPr>
            <w:r w:rsidRPr="00635585">
              <w:t>Ieviests pilnībā</w:t>
            </w:r>
          </w:p>
        </w:tc>
        <w:tc>
          <w:tcPr>
            <w:tcW w:w="3178" w:type="dxa"/>
          </w:tcPr>
          <w:p w:rsidR="001A310F" w:rsidRPr="00635585" w:rsidRDefault="005C46A0" w:rsidP="00F72185">
            <w:pPr>
              <w:pStyle w:val="naiskr"/>
              <w:spacing w:before="0" w:after="0"/>
              <w:jc w:val="center"/>
            </w:pPr>
            <w:r w:rsidRPr="00635585">
              <w:t>Neparedz stingrākas prasības</w:t>
            </w:r>
          </w:p>
        </w:tc>
      </w:tr>
      <w:tr w:rsidR="001A310F" w:rsidTr="00D82EEB">
        <w:trPr>
          <w:trHeight w:val="289"/>
          <w:jc w:val="center"/>
        </w:trPr>
        <w:tc>
          <w:tcPr>
            <w:tcW w:w="1885" w:type="dxa"/>
          </w:tcPr>
          <w:p w:rsidR="001A310F" w:rsidRDefault="00D77805" w:rsidP="001A310F">
            <w:pPr>
              <w:pStyle w:val="naiskr"/>
              <w:spacing w:before="0" w:after="0"/>
              <w:jc w:val="center"/>
            </w:pPr>
            <w:r>
              <w:t>14. panta 3</w:t>
            </w:r>
            <w:r w:rsidRPr="00635585">
              <w:t xml:space="preserve">. </w:t>
            </w:r>
            <w:r>
              <w:t>p</w:t>
            </w:r>
            <w:r w:rsidRPr="00635585">
              <w:t>unkt</w:t>
            </w:r>
            <w:r>
              <w:t>s</w:t>
            </w:r>
          </w:p>
        </w:tc>
        <w:tc>
          <w:tcPr>
            <w:tcW w:w="2351" w:type="dxa"/>
          </w:tcPr>
          <w:p w:rsidR="001A310F" w:rsidRPr="00635585" w:rsidRDefault="00E017E2" w:rsidP="00F72185">
            <w:pPr>
              <w:pStyle w:val="naiskr"/>
              <w:spacing w:before="0" w:after="0"/>
              <w:jc w:val="center"/>
            </w:pPr>
            <w:r>
              <w:t>37.</w:t>
            </w:r>
            <w:r w:rsidR="007F50F4">
              <w:t xml:space="preserve"> </w:t>
            </w:r>
            <w:r>
              <w:t>pants</w:t>
            </w:r>
          </w:p>
        </w:tc>
        <w:tc>
          <w:tcPr>
            <w:tcW w:w="2792" w:type="dxa"/>
          </w:tcPr>
          <w:p w:rsidR="001A310F" w:rsidRPr="00635585" w:rsidRDefault="006D7ACE" w:rsidP="00F72185">
            <w:pPr>
              <w:pStyle w:val="naiskr"/>
              <w:spacing w:before="0" w:after="0"/>
              <w:jc w:val="center"/>
            </w:pPr>
            <w:r w:rsidRPr="00635585">
              <w:t>Ieviests pilnībā</w:t>
            </w:r>
          </w:p>
        </w:tc>
        <w:tc>
          <w:tcPr>
            <w:tcW w:w="3178" w:type="dxa"/>
          </w:tcPr>
          <w:p w:rsidR="001A310F" w:rsidRPr="00635585" w:rsidRDefault="005C46A0" w:rsidP="00F72185">
            <w:pPr>
              <w:pStyle w:val="naiskr"/>
              <w:spacing w:before="0" w:after="0"/>
              <w:jc w:val="center"/>
            </w:pPr>
            <w:r w:rsidRPr="00635585">
              <w:t>Neparedz stingrākas prasības</w:t>
            </w:r>
          </w:p>
        </w:tc>
      </w:tr>
      <w:tr w:rsidR="001A310F" w:rsidTr="00D82EEB">
        <w:trPr>
          <w:trHeight w:val="289"/>
          <w:jc w:val="center"/>
        </w:trPr>
        <w:tc>
          <w:tcPr>
            <w:tcW w:w="1885" w:type="dxa"/>
          </w:tcPr>
          <w:p w:rsidR="001A310F" w:rsidRDefault="00D77805" w:rsidP="001A310F">
            <w:pPr>
              <w:pStyle w:val="naiskr"/>
              <w:spacing w:before="0" w:after="0"/>
              <w:jc w:val="center"/>
            </w:pPr>
            <w:r>
              <w:t>14. panta 4</w:t>
            </w:r>
            <w:r w:rsidRPr="00635585">
              <w:t xml:space="preserve">. </w:t>
            </w:r>
            <w:r>
              <w:t>p</w:t>
            </w:r>
            <w:r w:rsidRPr="00635585">
              <w:t>unkt</w:t>
            </w:r>
            <w:r>
              <w:t>s</w:t>
            </w:r>
          </w:p>
        </w:tc>
        <w:tc>
          <w:tcPr>
            <w:tcW w:w="2351" w:type="dxa"/>
          </w:tcPr>
          <w:p w:rsidR="001A310F" w:rsidRPr="00635585" w:rsidRDefault="008759CF" w:rsidP="00F72185">
            <w:pPr>
              <w:pStyle w:val="naiskr"/>
              <w:spacing w:before="0" w:after="0"/>
              <w:jc w:val="center"/>
            </w:pPr>
            <w:r>
              <w:t>36.</w:t>
            </w:r>
            <w:r w:rsidR="007F50F4">
              <w:t xml:space="preserve"> </w:t>
            </w:r>
            <w:r>
              <w:t>pants</w:t>
            </w:r>
          </w:p>
        </w:tc>
        <w:tc>
          <w:tcPr>
            <w:tcW w:w="2792" w:type="dxa"/>
          </w:tcPr>
          <w:p w:rsidR="001A310F" w:rsidRPr="00635585" w:rsidRDefault="006D7ACE" w:rsidP="00F72185">
            <w:pPr>
              <w:pStyle w:val="naiskr"/>
              <w:spacing w:before="0" w:after="0"/>
              <w:jc w:val="center"/>
            </w:pPr>
            <w:r w:rsidRPr="00635585">
              <w:t>Ieviests pilnībā</w:t>
            </w:r>
          </w:p>
        </w:tc>
        <w:tc>
          <w:tcPr>
            <w:tcW w:w="3178" w:type="dxa"/>
          </w:tcPr>
          <w:p w:rsidR="001A310F" w:rsidRPr="00635585" w:rsidRDefault="005C46A0" w:rsidP="00F72185">
            <w:pPr>
              <w:pStyle w:val="naiskr"/>
              <w:spacing w:before="0" w:after="0"/>
              <w:jc w:val="center"/>
            </w:pPr>
            <w:r w:rsidRPr="00635585">
              <w:t>Neparedz stingrākas prasības</w:t>
            </w:r>
          </w:p>
        </w:tc>
      </w:tr>
      <w:tr w:rsidR="001A310F" w:rsidTr="00D82EEB">
        <w:trPr>
          <w:trHeight w:val="289"/>
          <w:jc w:val="center"/>
        </w:trPr>
        <w:tc>
          <w:tcPr>
            <w:tcW w:w="1885" w:type="dxa"/>
          </w:tcPr>
          <w:p w:rsidR="001A310F" w:rsidRDefault="00D77805" w:rsidP="001A310F">
            <w:pPr>
              <w:pStyle w:val="naiskr"/>
              <w:spacing w:before="0" w:after="0"/>
              <w:jc w:val="center"/>
            </w:pPr>
            <w:r>
              <w:t>14. panta 5</w:t>
            </w:r>
            <w:r w:rsidRPr="00635585">
              <w:t xml:space="preserve">. </w:t>
            </w:r>
            <w:r>
              <w:t>p</w:t>
            </w:r>
            <w:r w:rsidRPr="00635585">
              <w:t>unkt</w:t>
            </w:r>
            <w:r>
              <w:t>s</w:t>
            </w:r>
          </w:p>
        </w:tc>
        <w:tc>
          <w:tcPr>
            <w:tcW w:w="2351" w:type="dxa"/>
          </w:tcPr>
          <w:p w:rsidR="001A310F" w:rsidRPr="00635585" w:rsidRDefault="008759CF" w:rsidP="00F72185">
            <w:pPr>
              <w:pStyle w:val="naiskr"/>
              <w:spacing w:before="0" w:after="0"/>
              <w:jc w:val="center"/>
            </w:pPr>
            <w:r>
              <w:t>36.</w:t>
            </w:r>
            <w:r w:rsidR="007F50F4">
              <w:t xml:space="preserve"> </w:t>
            </w:r>
            <w:r>
              <w:t>pants</w:t>
            </w:r>
          </w:p>
        </w:tc>
        <w:tc>
          <w:tcPr>
            <w:tcW w:w="2792" w:type="dxa"/>
          </w:tcPr>
          <w:p w:rsidR="001A310F" w:rsidRPr="00635585" w:rsidRDefault="006D7ACE" w:rsidP="00F72185">
            <w:pPr>
              <w:pStyle w:val="naiskr"/>
              <w:spacing w:before="0" w:after="0"/>
              <w:jc w:val="center"/>
            </w:pPr>
            <w:r w:rsidRPr="00635585">
              <w:t>Ieviests pilnībā</w:t>
            </w:r>
          </w:p>
        </w:tc>
        <w:tc>
          <w:tcPr>
            <w:tcW w:w="3178" w:type="dxa"/>
          </w:tcPr>
          <w:p w:rsidR="001A310F" w:rsidRPr="00635585" w:rsidRDefault="005C46A0" w:rsidP="00F72185">
            <w:pPr>
              <w:pStyle w:val="naiskr"/>
              <w:spacing w:before="0" w:after="0"/>
              <w:jc w:val="center"/>
            </w:pPr>
            <w:r w:rsidRPr="00635585">
              <w:t>Neparedz stingrākas prasības</w:t>
            </w:r>
          </w:p>
        </w:tc>
      </w:tr>
      <w:tr w:rsidR="001A310F" w:rsidTr="00D82EEB">
        <w:trPr>
          <w:trHeight w:val="289"/>
          <w:jc w:val="center"/>
        </w:trPr>
        <w:tc>
          <w:tcPr>
            <w:tcW w:w="1885" w:type="dxa"/>
          </w:tcPr>
          <w:p w:rsidR="001A310F" w:rsidRDefault="00D77805" w:rsidP="001A310F">
            <w:pPr>
              <w:pStyle w:val="naiskr"/>
              <w:spacing w:before="0" w:after="0"/>
              <w:jc w:val="center"/>
            </w:pPr>
            <w:r>
              <w:t>14. panta 6</w:t>
            </w:r>
            <w:r w:rsidRPr="00635585">
              <w:t xml:space="preserve">. </w:t>
            </w:r>
            <w:r>
              <w:t>p</w:t>
            </w:r>
            <w:r w:rsidRPr="00635585">
              <w:t>unkt</w:t>
            </w:r>
            <w:r>
              <w:t>s</w:t>
            </w:r>
          </w:p>
        </w:tc>
        <w:tc>
          <w:tcPr>
            <w:tcW w:w="2351" w:type="dxa"/>
          </w:tcPr>
          <w:p w:rsidR="001A310F" w:rsidRPr="00635585" w:rsidRDefault="00A252FD" w:rsidP="00F72185">
            <w:pPr>
              <w:pStyle w:val="naiskr"/>
              <w:spacing w:before="0" w:after="0"/>
              <w:jc w:val="center"/>
            </w:pPr>
            <w:r>
              <w:t>36.</w:t>
            </w:r>
            <w:r w:rsidR="007F50F4">
              <w:t xml:space="preserve"> </w:t>
            </w:r>
            <w:r>
              <w:t>pants</w:t>
            </w:r>
          </w:p>
        </w:tc>
        <w:tc>
          <w:tcPr>
            <w:tcW w:w="2792" w:type="dxa"/>
          </w:tcPr>
          <w:p w:rsidR="001A310F" w:rsidRPr="00635585" w:rsidRDefault="006D7ACE" w:rsidP="00F72185">
            <w:pPr>
              <w:pStyle w:val="naiskr"/>
              <w:spacing w:before="0" w:after="0"/>
              <w:jc w:val="center"/>
            </w:pPr>
            <w:r w:rsidRPr="00635585">
              <w:t>Ieviests pilnībā</w:t>
            </w:r>
          </w:p>
        </w:tc>
        <w:tc>
          <w:tcPr>
            <w:tcW w:w="3178" w:type="dxa"/>
          </w:tcPr>
          <w:p w:rsidR="001A310F" w:rsidRPr="00635585" w:rsidRDefault="005C46A0" w:rsidP="00F72185">
            <w:pPr>
              <w:pStyle w:val="naiskr"/>
              <w:spacing w:before="0" w:after="0"/>
              <w:jc w:val="center"/>
            </w:pPr>
            <w:r w:rsidRPr="00635585">
              <w:t>Neparedz stingrākas prasības</w:t>
            </w:r>
          </w:p>
        </w:tc>
      </w:tr>
      <w:tr w:rsidR="001A310F" w:rsidTr="00D82EEB">
        <w:trPr>
          <w:trHeight w:val="289"/>
          <w:jc w:val="center"/>
        </w:trPr>
        <w:tc>
          <w:tcPr>
            <w:tcW w:w="1885" w:type="dxa"/>
          </w:tcPr>
          <w:p w:rsidR="001A310F" w:rsidRDefault="00D531C6" w:rsidP="001A310F">
            <w:pPr>
              <w:pStyle w:val="naiskr"/>
              <w:spacing w:before="0" w:after="0"/>
              <w:jc w:val="center"/>
            </w:pPr>
            <w:r>
              <w:t>15.</w:t>
            </w:r>
            <w:r w:rsidR="007F50F4">
              <w:t xml:space="preserve"> </w:t>
            </w:r>
            <w:r>
              <w:t>panta 1.punkts</w:t>
            </w:r>
          </w:p>
        </w:tc>
        <w:tc>
          <w:tcPr>
            <w:tcW w:w="2351" w:type="dxa"/>
          </w:tcPr>
          <w:p w:rsidR="001A310F" w:rsidRPr="00635585" w:rsidRDefault="000C0886" w:rsidP="00F72185">
            <w:pPr>
              <w:pStyle w:val="naiskr"/>
              <w:spacing w:before="0" w:after="0"/>
              <w:jc w:val="center"/>
            </w:pPr>
            <w:r>
              <w:t>2.</w:t>
            </w:r>
            <w:r w:rsidR="007F50F4">
              <w:t xml:space="preserve"> </w:t>
            </w:r>
            <w:r>
              <w:t>pants</w:t>
            </w:r>
          </w:p>
        </w:tc>
        <w:tc>
          <w:tcPr>
            <w:tcW w:w="2792" w:type="dxa"/>
          </w:tcPr>
          <w:p w:rsidR="001A310F" w:rsidRPr="00635585" w:rsidRDefault="006D7ACE" w:rsidP="00F72185">
            <w:pPr>
              <w:pStyle w:val="naiskr"/>
              <w:spacing w:before="0" w:after="0"/>
              <w:jc w:val="center"/>
            </w:pPr>
            <w:r w:rsidRPr="00635585">
              <w:t>Ieviests pilnībā</w:t>
            </w:r>
          </w:p>
        </w:tc>
        <w:tc>
          <w:tcPr>
            <w:tcW w:w="3178" w:type="dxa"/>
          </w:tcPr>
          <w:p w:rsidR="001A310F" w:rsidRPr="00635585" w:rsidRDefault="005C46A0" w:rsidP="00F72185">
            <w:pPr>
              <w:pStyle w:val="naiskr"/>
              <w:spacing w:before="0" w:after="0"/>
              <w:jc w:val="center"/>
            </w:pPr>
            <w:r w:rsidRPr="00635585">
              <w:t>Neparedz stingrākas prasības</w:t>
            </w:r>
          </w:p>
        </w:tc>
      </w:tr>
      <w:tr w:rsidR="001A310F" w:rsidTr="00D82EEB">
        <w:trPr>
          <w:trHeight w:val="289"/>
          <w:jc w:val="center"/>
        </w:trPr>
        <w:tc>
          <w:tcPr>
            <w:tcW w:w="1885" w:type="dxa"/>
          </w:tcPr>
          <w:p w:rsidR="001A310F" w:rsidRDefault="006D7ACE" w:rsidP="006D7ACE">
            <w:pPr>
              <w:pStyle w:val="naiskr"/>
              <w:spacing w:before="0" w:after="0"/>
              <w:jc w:val="center"/>
            </w:pPr>
            <w:r>
              <w:t>16.</w:t>
            </w:r>
            <w:r w:rsidR="007F50F4">
              <w:t xml:space="preserve"> </w:t>
            </w:r>
            <w:r>
              <w:t>panta 1.punkts</w:t>
            </w:r>
          </w:p>
        </w:tc>
        <w:tc>
          <w:tcPr>
            <w:tcW w:w="2351" w:type="dxa"/>
          </w:tcPr>
          <w:p w:rsidR="001A310F" w:rsidRPr="00635585" w:rsidRDefault="000C0886" w:rsidP="00F72185">
            <w:pPr>
              <w:pStyle w:val="naiskr"/>
              <w:spacing w:before="0" w:after="0"/>
              <w:jc w:val="center"/>
            </w:pPr>
            <w:r>
              <w:t>30.</w:t>
            </w:r>
            <w:r w:rsidR="007F50F4">
              <w:t xml:space="preserve"> </w:t>
            </w:r>
            <w:r>
              <w:t>pants</w:t>
            </w:r>
          </w:p>
        </w:tc>
        <w:tc>
          <w:tcPr>
            <w:tcW w:w="2792" w:type="dxa"/>
          </w:tcPr>
          <w:p w:rsidR="001A310F" w:rsidRPr="00635585" w:rsidRDefault="006D7ACE" w:rsidP="00F72185">
            <w:pPr>
              <w:pStyle w:val="naiskr"/>
              <w:spacing w:before="0" w:after="0"/>
              <w:jc w:val="center"/>
            </w:pPr>
            <w:r w:rsidRPr="00635585">
              <w:t>Ieviests pilnībā</w:t>
            </w:r>
          </w:p>
        </w:tc>
        <w:tc>
          <w:tcPr>
            <w:tcW w:w="3178" w:type="dxa"/>
          </w:tcPr>
          <w:p w:rsidR="001A310F" w:rsidRPr="00635585" w:rsidRDefault="005C46A0" w:rsidP="00F72185">
            <w:pPr>
              <w:pStyle w:val="naiskr"/>
              <w:spacing w:before="0" w:after="0"/>
              <w:jc w:val="center"/>
            </w:pPr>
            <w:r w:rsidRPr="00635585">
              <w:t>Neparedz stingrākas prasības</w:t>
            </w:r>
          </w:p>
        </w:tc>
      </w:tr>
      <w:tr w:rsidR="001A310F" w:rsidTr="00D82EEB">
        <w:trPr>
          <w:trHeight w:val="289"/>
          <w:jc w:val="center"/>
        </w:trPr>
        <w:tc>
          <w:tcPr>
            <w:tcW w:w="1885" w:type="dxa"/>
          </w:tcPr>
          <w:p w:rsidR="001A310F" w:rsidRDefault="006D7ACE" w:rsidP="006D7ACE">
            <w:pPr>
              <w:pStyle w:val="naiskr"/>
              <w:spacing w:before="0" w:after="0"/>
              <w:jc w:val="center"/>
            </w:pPr>
            <w:r>
              <w:t>16.</w:t>
            </w:r>
            <w:r w:rsidR="007F50F4">
              <w:t xml:space="preserve"> </w:t>
            </w:r>
            <w:r>
              <w:t>panta 2.punkts</w:t>
            </w:r>
          </w:p>
        </w:tc>
        <w:tc>
          <w:tcPr>
            <w:tcW w:w="2351" w:type="dxa"/>
          </w:tcPr>
          <w:p w:rsidR="001A310F" w:rsidRPr="00635585" w:rsidRDefault="000C0886" w:rsidP="00F72185">
            <w:pPr>
              <w:pStyle w:val="naiskr"/>
              <w:spacing w:before="0" w:after="0"/>
              <w:jc w:val="center"/>
            </w:pPr>
            <w:r>
              <w:t>30.</w:t>
            </w:r>
            <w:r w:rsidR="007F50F4">
              <w:t xml:space="preserve"> </w:t>
            </w:r>
            <w:r>
              <w:t>pants</w:t>
            </w:r>
          </w:p>
        </w:tc>
        <w:tc>
          <w:tcPr>
            <w:tcW w:w="2792" w:type="dxa"/>
          </w:tcPr>
          <w:p w:rsidR="001A310F" w:rsidRPr="00635585" w:rsidRDefault="006D7ACE" w:rsidP="00F72185">
            <w:pPr>
              <w:pStyle w:val="naiskr"/>
              <w:spacing w:before="0" w:after="0"/>
              <w:jc w:val="center"/>
            </w:pPr>
            <w:r w:rsidRPr="00635585">
              <w:t>Ieviests pilnībā</w:t>
            </w:r>
          </w:p>
        </w:tc>
        <w:tc>
          <w:tcPr>
            <w:tcW w:w="3178" w:type="dxa"/>
          </w:tcPr>
          <w:p w:rsidR="001A310F" w:rsidRPr="00635585" w:rsidRDefault="005C46A0" w:rsidP="00F72185">
            <w:pPr>
              <w:pStyle w:val="naiskr"/>
              <w:spacing w:before="0" w:after="0"/>
              <w:jc w:val="center"/>
            </w:pPr>
            <w:r w:rsidRPr="00635585">
              <w:t>Neparedz stingrākas prasības</w:t>
            </w:r>
          </w:p>
        </w:tc>
      </w:tr>
      <w:tr w:rsidR="001A310F" w:rsidTr="00D82EEB">
        <w:trPr>
          <w:trHeight w:val="289"/>
          <w:jc w:val="center"/>
        </w:trPr>
        <w:tc>
          <w:tcPr>
            <w:tcW w:w="1885" w:type="dxa"/>
          </w:tcPr>
          <w:p w:rsidR="001A310F" w:rsidRDefault="006D7ACE" w:rsidP="006D7ACE">
            <w:pPr>
              <w:pStyle w:val="naiskr"/>
              <w:spacing w:before="0" w:after="0"/>
              <w:jc w:val="center"/>
            </w:pPr>
            <w:r>
              <w:t>16.</w:t>
            </w:r>
            <w:r w:rsidR="007F50F4">
              <w:t xml:space="preserve"> </w:t>
            </w:r>
            <w:r>
              <w:t>panta 3.punkts</w:t>
            </w:r>
          </w:p>
        </w:tc>
        <w:tc>
          <w:tcPr>
            <w:tcW w:w="2351" w:type="dxa"/>
          </w:tcPr>
          <w:p w:rsidR="001A310F" w:rsidRPr="00635585" w:rsidRDefault="000C0886" w:rsidP="00F72185">
            <w:pPr>
              <w:pStyle w:val="naiskr"/>
              <w:spacing w:before="0" w:after="0"/>
              <w:jc w:val="center"/>
            </w:pPr>
            <w:r>
              <w:t>30.</w:t>
            </w:r>
            <w:r w:rsidR="007F50F4">
              <w:t xml:space="preserve"> </w:t>
            </w:r>
            <w:r>
              <w:t>pants</w:t>
            </w:r>
          </w:p>
        </w:tc>
        <w:tc>
          <w:tcPr>
            <w:tcW w:w="2792" w:type="dxa"/>
          </w:tcPr>
          <w:p w:rsidR="001A310F" w:rsidRPr="00635585" w:rsidRDefault="006D7ACE" w:rsidP="00F72185">
            <w:pPr>
              <w:pStyle w:val="naiskr"/>
              <w:spacing w:before="0" w:after="0"/>
              <w:jc w:val="center"/>
            </w:pPr>
            <w:r w:rsidRPr="00635585">
              <w:t>Ieviests pilnībā</w:t>
            </w:r>
          </w:p>
        </w:tc>
        <w:tc>
          <w:tcPr>
            <w:tcW w:w="3178" w:type="dxa"/>
          </w:tcPr>
          <w:p w:rsidR="001A310F" w:rsidRPr="00635585" w:rsidRDefault="005C46A0" w:rsidP="00F72185">
            <w:pPr>
              <w:pStyle w:val="naiskr"/>
              <w:spacing w:before="0" w:after="0"/>
              <w:jc w:val="center"/>
            </w:pPr>
            <w:r w:rsidRPr="00635585">
              <w:t>Neparedz stingrākas prasības</w:t>
            </w:r>
          </w:p>
        </w:tc>
      </w:tr>
      <w:tr w:rsidR="001A310F" w:rsidTr="00D82EEB">
        <w:trPr>
          <w:trHeight w:val="289"/>
          <w:jc w:val="center"/>
        </w:trPr>
        <w:tc>
          <w:tcPr>
            <w:tcW w:w="1885" w:type="dxa"/>
          </w:tcPr>
          <w:p w:rsidR="001A310F" w:rsidRDefault="006D7ACE" w:rsidP="006D7ACE">
            <w:pPr>
              <w:pStyle w:val="naiskr"/>
              <w:spacing w:before="0" w:after="0"/>
              <w:jc w:val="center"/>
            </w:pPr>
            <w:r>
              <w:t>16.</w:t>
            </w:r>
            <w:r w:rsidR="007F50F4">
              <w:t xml:space="preserve"> </w:t>
            </w:r>
            <w:r>
              <w:t>panta 5.punkts</w:t>
            </w:r>
          </w:p>
        </w:tc>
        <w:tc>
          <w:tcPr>
            <w:tcW w:w="2351" w:type="dxa"/>
          </w:tcPr>
          <w:p w:rsidR="001A310F" w:rsidRPr="00635585" w:rsidRDefault="000C0886" w:rsidP="00F72185">
            <w:pPr>
              <w:pStyle w:val="naiskr"/>
              <w:spacing w:before="0" w:after="0"/>
              <w:jc w:val="center"/>
            </w:pPr>
            <w:r>
              <w:t>30.</w:t>
            </w:r>
            <w:r w:rsidR="007F50F4">
              <w:t xml:space="preserve"> </w:t>
            </w:r>
            <w:r>
              <w:t>pants</w:t>
            </w:r>
          </w:p>
        </w:tc>
        <w:tc>
          <w:tcPr>
            <w:tcW w:w="2792" w:type="dxa"/>
          </w:tcPr>
          <w:p w:rsidR="001A310F" w:rsidRPr="00635585" w:rsidRDefault="006D7ACE" w:rsidP="00F72185">
            <w:pPr>
              <w:pStyle w:val="naiskr"/>
              <w:spacing w:before="0" w:after="0"/>
              <w:jc w:val="center"/>
            </w:pPr>
            <w:r w:rsidRPr="00635585">
              <w:t>Ieviests pilnībā</w:t>
            </w:r>
          </w:p>
        </w:tc>
        <w:tc>
          <w:tcPr>
            <w:tcW w:w="3178" w:type="dxa"/>
          </w:tcPr>
          <w:p w:rsidR="001A310F" w:rsidRPr="00635585" w:rsidRDefault="005C46A0" w:rsidP="00F72185">
            <w:pPr>
              <w:pStyle w:val="naiskr"/>
              <w:spacing w:before="0" w:after="0"/>
              <w:jc w:val="center"/>
            </w:pPr>
            <w:r w:rsidRPr="00635585">
              <w:t>Neparedz stingrākas prasības</w:t>
            </w:r>
          </w:p>
        </w:tc>
      </w:tr>
      <w:tr w:rsidR="001A310F" w:rsidTr="00D82EEB">
        <w:trPr>
          <w:trHeight w:val="289"/>
          <w:jc w:val="center"/>
        </w:trPr>
        <w:tc>
          <w:tcPr>
            <w:tcW w:w="1885" w:type="dxa"/>
          </w:tcPr>
          <w:p w:rsidR="001A310F" w:rsidRDefault="006D7ACE" w:rsidP="006D7ACE">
            <w:pPr>
              <w:pStyle w:val="naiskr"/>
              <w:spacing w:before="0" w:after="0"/>
              <w:jc w:val="center"/>
            </w:pPr>
            <w:r>
              <w:t>16.</w:t>
            </w:r>
            <w:r w:rsidR="007F50F4">
              <w:t xml:space="preserve"> </w:t>
            </w:r>
            <w:r>
              <w:t>panta 8.punkts</w:t>
            </w:r>
          </w:p>
        </w:tc>
        <w:tc>
          <w:tcPr>
            <w:tcW w:w="2351" w:type="dxa"/>
          </w:tcPr>
          <w:p w:rsidR="001A310F" w:rsidRPr="00635585" w:rsidRDefault="000C0886" w:rsidP="00F72185">
            <w:pPr>
              <w:pStyle w:val="naiskr"/>
              <w:spacing w:before="0" w:after="0"/>
              <w:jc w:val="center"/>
            </w:pPr>
            <w:r>
              <w:t>30.</w:t>
            </w:r>
            <w:r w:rsidR="007F50F4">
              <w:t xml:space="preserve"> </w:t>
            </w:r>
            <w:r>
              <w:t>pants</w:t>
            </w:r>
          </w:p>
        </w:tc>
        <w:tc>
          <w:tcPr>
            <w:tcW w:w="2792" w:type="dxa"/>
          </w:tcPr>
          <w:p w:rsidR="001A310F" w:rsidRPr="00635585" w:rsidRDefault="006D7ACE" w:rsidP="00F72185">
            <w:pPr>
              <w:pStyle w:val="naiskr"/>
              <w:spacing w:before="0" w:after="0"/>
              <w:jc w:val="center"/>
            </w:pPr>
            <w:r w:rsidRPr="00635585">
              <w:t>Ieviests pilnībā</w:t>
            </w:r>
          </w:p>
        </w:tc>
        <w:tc>
          <w:tcPr>
            <w:tcW w:w="3178" w:type="dxa"/>
          </w:tcPr>
          <w:p w:rsidR="001A310F" w:rsidRPr="00635585" w:rsidRDefault="005C46A0" w:rsidP="00F72185">
            <w:pPr>
              <w:pStyle w:val="naiskr"/>
              <w:spacing w:before="0" w:after="0"/>
              <w:jc w:val="center"/>
            </w:pPr>
            <w:r w:rsidRPr="00635585">
              <w:t>Neparedz stingrākas prasības</w:t>
            </w:r>
          </w:p>
        </w:tc>
      </w:tr>
      <w:tr w:rsidR="001A310F" w:rsidTr="00D82EEB">
        <w:trPr>
          <w:trHeight w:val="289"/>
          <w:jc w:val="center"/>
        </w:trPr>
        <w:tc>
          <w:tcPr>
            <w:tcW w:w="1885" w:type="dxa"/>
          </w:tcPr>
          <w:p w:rsidR="001A310F" w:rsidRDefault="006D7ACE" w:rsidP="006D7ACE">
            <w:pPr>
              <w:pStyle w:val="naiskr"/>
              <w:spacing w:before="0" w:after="0"/>
              <w:jc w:val="center"/>
            </w:pPr>
            <w:r>
              <w:t>20.</w:t>
            </w:r>
            <w:r w:rsidR="007F50F4">
              <w:t xml:space="preserve"> </w:t>
            </w:r>
            <w:r>
              <w:t>pants</w:t>
            </w:r>
          </w:p>
        </w:tc>
        <w:tc>
          <w:tcPr>
            <w:tcW w:w="2351" w:type="dxa"/>
          </w:tcPr>
          <w:p w:rsidR="001A310F" w:rsidRPr="00635585" w:rsidRDefault="004D763D" w:rsidP="00F72185">
            <w:pPr>
              <w:pStyle w:val="naiskr"/>
              <w:spacing w:before="0" w:after="0"/>
              <w:jc w:val="center"/>
            </w:pPr>
            <w:r>
              <w:t>Likuma spēkā stāšanās termiņš</w:t>
            </w:r>
          </w:p>
        </w:tc>
        <w:tc>
          <w:tcPr>
            <w:tcW w:w="2792" w:type="dxa"/>
          </w:tcPr>
          <w:p w:rsidR="001A310F" w:rsidRPr="00635585" w:rsidRDefault="006D7ACE" w:rsidP="00F72185">
            <w:pPr>
              <w:pStyle w:val="naiskr"/>
              <w:spacing w:before="0" w:after="0"/>
              <w:jc w:val="center"/>
            </w:pPr>
            <w:r w:rsidRPr="00635585">
              <w:t>Ieviests pilnībā</w:t>
            </w:r>
          </w:p>
        </w:tc>
        <w:tc>
          <w:tcPr>
            <w:tcW w:w="3178" w:type="dxa"/>
          </w:tcPr>
          <w:p w:rsidR="001A310F" w:rsidRPr="00635585" w:rsidRDefault="005C46A0" w:rsidP="00F72185">
            <w:pPr>
              <w:pStyle w:val="naiskr"/>
              <w:spacing w:before="0" w:after="0"/>
              <w:jc w:val="center"/>
            </w:pPr>
            <w:r w:rsidRPr="00635585">
              <w:t>Neparedz stingrākas prasības</w:t>
            </w:r>
          </w:p>
        </w:tc>
      </w:tr>
      <w:tr w:rsidR="00F72185" w:rsidTr="00D82EEB">
        <w:trPr>
          <w:trHeight w:val="281"/>
          <w:jc w:val="center"/>
        </w:trPr>
        <w:tc>
          <w:tcPr>
            <w:tcW w:w="1885" w:type="dxa"/>
            <w:vAlign w:val="center"/>
          </w:tcPr>
          <w:p w:rsidR="00F72185" w:rsidRDefault="00F72185" w:rsidP="00F72185">
            <w:pPr>
              <w:pStyle w:val="naiskr"/>
              <w:spacing w:before="0" w:after="0"/>
            </w:pPr>
            <w:r>
              <w:t>Kā ir izmantota ES tiesību aktā paredzētā rīcības brīvība dalībvalstij pārņemt vai ieviest noteiktas ES tiesību akta normas.</w:t>
            </w:r>
          </w:p>
          <w:p w:rsidR="00F72185" w:rsidRDefault="00F72185" w:rsidP="00F72185">
            <w:pPr>
              <w:pStyle w:val="naiskr"/>
              <w:spacing w:before="0" w:after="0"/>
            </w:pPr>
            <w:r>
              <w:t>Kādēļ?</w:t>
            </w:r>
          </w:p>
        </w:tc>
        <w:tc>
          <w:tcPr>
            <w:tcW w:w="8321" w:type="dxa"/>
            <w:gridSpan w:val="3"/>
          </w:tcPr>
          <w:p w:rsidR="00926384" w:rsidRPr="00926384" w:rsidRDefault="00EF7BAA" w:rsidP="00926384">
            <w:pPr>
              <w:pStyle w:val="naiskr"/>
              <w:spacing w:before="0" w:after="0"/>
              <w:jc w:val="both"/>
            </w:pPr>
            <w:r>
              <w:t xml:space="preserve">Ar Likumprojekta regulējumu netiek ieviesti atsevišķi direktīvas panti, kas piešķir dalībvalstīm izvēles tiesības attiecībā uz regulējuma piemērošanu. Likumprojekta </w:t>
            </w:r>
            <w:r w:rsidRPr="00926384">
              <w:t xml:space="preserve">regulējumā nav iesviests direktīvas 2014/49/ES 5. panta 3. </w:t>
            </w:r>
            <w:r w:rsidR="00926384">
              <w:t>p</w:t>
            </w:r>
            <w:r w:rsidRPr="00926384">
              <w:t>unkts un 7. panta 8.</w:t>
            </w:r>
            <w:r w:rsidR="007F50F4">
              <w:t> </w:t>
            </w:r>
            <w:r w:rsidR="00926384" w:rsidRPr="00926384">
              <w:t>p</w:t>
            </w:r>
            <w:r w:rsidRPr="00926384">
              <w:t>unkts</w:t>
            </w:r>
            <w:r w:rsidR="00926384" w:rsidRPr="00926384">
              <w:t xml:space="preserve"> attiecībā no noguldījumu garantiju</w:t>
            </w:r>
            <w:r w:rsidRPr="00926384">
              <w:t xml:space="preserve"> fonda finansējamajiem </w:t>
            </w:r>
            <w:r w:rsidR="00926384" w:rsidRPr="00926384">
              <w:t>n</w:t>
            </w:r>
            <w:r w:rsidR="00926384">
              <w:t>ogu</w:t>
            </w:r>
            <w:r w:rsidR="00926384" w:rsidRPr="00926384">
              <w:t xml:space="preserve">ldījumiem. </w:t>
            </w:r>
            <w:r w:rsidRPr="00926384">
              <w:t>Direktīva 2014/49/ES piešķir dalībvalstīm</w:t>
            </w:r>
            <w:r w:rsidR="00926384" w:rsidRPr="00926384">
              <w:t xml:space="preserve"> izvēles</w:t>
            </w:r>
            <w:r w:rsidRPr="00926384">
              <w:t xml:space="preserve"> tiesības</w:t>
            </w:r>
            <w:r w:rsidR="006A2B2C">
              <w:t xml:space="preserve"> izvēlēties</w:t>
            </w:r>
            <w:r w:rsidRPr="00926384">
              <w:t xml:space="preserve"> aizsargāt pilnā apmērā noguldījumus, kurus drīkst izmaksāt saskaņā ar valsts tiesību aktiem tikai, lai atmaksātu aizdevumus, kas saņemti privātā nekustamā īpašuma i</w:t>
            </w:r>
            <w:r w:rsidR="00926384" w:rsidRPr="00926384">
              <w:t>egādei, kā arī aizsargāt 100 000 </w:t>
            </w:r>
            <w:proofErr w:type="spellStart"/>
            <w:r w:rsidR="00926384" w:rsidRPr="00926384">
              <w:rPr>
                <w:i/>
              </w:rPr>
              <w:t>euro</w:t>
            </w:r>
            <w:proofErr w:type="spellEnd"/>
            <w:r w:rsidR="00926384" w:rsidRPr="00926384">
              <w:t xml:space="preserve"> apmērā (papildus garantētajai atlīdzībai) noguldījumus, kas piešķirti kā valsts garantija valsts tiesību aktos paredzētiem sociāliem mērķiem.</w:t>
            </w:r>
          </w:p>
          <w:p w:rsidR="00926384" w:rsidRPr="00926384" w:rsidRDefault="00926384" w:rsidP="00926384">
            <w:pPr>
              <w:pStyle w:val="BodyText"/>
              <w:jc w:val="both"/>
              <w:rPr>
                <w:b w:val="0"/>
                <w:sz w:val="24"/>
                <w:szCs w:val="24"/>
              </w:rPr>
            </w:pPr>
          </w:p>
          <w:p w:rsidR="00EF7BAA" w:rsidRPr="00926384" w:rsidRDefault="00926384" w:rsidP="00926384">
            <w:pPr>
              <w:pStyle w:val="BodyText"/>
              <w:jc w:val="both"/>
              <w:rPr>
                <w:b w:val="0"/>
                <w:sz w:val="24"/>
                <w:szCs w:val="24"/>
              </w:rPr>
            </w:pPr>
            <w:r w:rsidRPr="00926384">
              <w:rPr>
                <w:b w:val="0"/>
                <w:sz w:val="24"/>
                <w:szCs w:val="24"/>
              </w:rPr>
              <w:lastRenderedPageBreak/>
              <w:t>Minētajos gadījumos būtu apgrūtināta iespēja</w:t>
            </w:r>
            <w:r w:rsidR="00EF7BAA" w:rsidRPr="00926384">
              <w:rPr>
                <w:b w:val="0"/>
                <w:sz w:val="24"/>
                <w:szCs w:val="24"/>
              </w:rPr>
              <w:t xml:space="preserve"> prognozēt aptuveno iespējamo finansiālo ietekmi uz kredītiestādes aktīviem, t.i., aplēses, par kādām tiktu samazināti kredītiestādes aktīvi, ja šādi noguldījumi tiktu aizsargāti pilnā apmērā. Ievērojot to un lai vienu noguldītāju kategoriju nenostādītu labvēlīgākā situācijā attiecībā pret citiem noguldītājiem, kā arī lai vairāk uzsvērtu kolektīvo noguldītāju interešu aizsardzības princip</w:t>
            </w:r>
            <w:r w:rsidR="007F50F4">
              <w:rPr>
                <w:b w:val="0"/>
                <w:sz w:val="24"/>
                <w:szCs w:val="24"/>
              </w:rPr>
              <w:t>u</w:t>
            </w:r>
            <w:r w:rsidR="00EF7BAA" w:rsidRPr="00926384">
              <w:rPr>
                <w:b w:val="0"/>
                <w:sz w:val="24"/>
                <w:szCs w:val="24"/>
              </w:rPr>
              <w:t xml:space="preserve"> (t.i., jo vairāk tiek saglabāti kredītiestādes aktīvi, jo vairāk var norēķinātie</w:t>
            </w:r>
            <w:r w:rsidR="007F50F4">
              <w:rPr>
                <w:b w:val="0"/>
                <w:sz w:val="24"/>
                <w:szCs w:val="24"/>
              </w:rPr>
              <w:t>s</w:t>
            </w:r>
            <w:r w:rsidR="00EF7BAA" w:rsidRPr="00926384">
              <w:rPr>
                <w:b w:val="0"/>
                <w:sz w:val="24"/>
                <w:szCs w:val="24"/>
              </w:rPr>
              <w:t xml:space="preserve"> ar plašāku kredītiestādes kreditoru loku), </w:t>
            </w:r>
            <w:r w:rsidRPr="00926384">
              <w:rPr>
                <w:b w:val="0"/>
                <w:sz w:val="24"/>
                <w:szCs w:val="24"/>
              </w:rPr>
              <w:t xml:space="preserve">izvēlēts neieviest </w:t>
            </w:r>
            <w:r w:rsidR="006A2B2C" w:rsidRPr="00926384">
              <w:rPr>
                <w:b w:val="0"/>
                <w:sz w:val="24"/>
                <w:szCs w:val="24"/>
              </w:rPr>
              <w:t>minēt</w:t>
            </w:r>
            <w:r w:rsidR="006A2B2C">
              <w:rPr>
                <w:b w:val="0"/>
                <w:sz w:val="24"/>
                <w:szCs w:val="24"/>
              </w:rPr>
              <w:t>o</w:t>
            </w:r>
            <w:r w:rsidR="006A2B2C" w:rsidRPr="00926384">
              <w:rPr>
                <w:b w:val="0"/>
                <w:sz w:val="24"/>
                <w:szCs w:val="24"/>
              </w:rPr>
              <w:t xml:space="preserve"> </w:t>
            </w:r>
            <w:r w:rsidR="006A2B2C">
              <w:rPr>
                <w:b w:val="0"/>
                <w:sz w:val="24"/>
                <w:szCs w:val="24"/>
              </w:rPr>
              <w:t>opciju</w:t>
            </w:r>
            <w:r w:rsidRPr="00926384">
              <w:rPr>
                <w:b w:val="0"/>
                <w:sz w:val="24"/>
                <w:szCs w:val="24"/>
              </w:rPr>
              <w:t>.</w:t>
            </w:r>
          </w:p>
          <w:p w:rsidR="00EF7BAA" w:rsidRDefault="00926384" w:rsidP="00926384">
            <w:pPr>
              <w:pStyle w:val="naiskr"/>
              <w:spacing w:before="0" w:after="0"/>
              <w:jc w:val="both"/>
            </w:pPr>
            <w:r>
              <w:t>D</w:t>
            </w:r>
            <w:r w:rsidRPr="00926384">
              <w:t>irektīvas 2014/49/ES</w:t>
            </w:r>
            <w:r>
              <w:t xml:space="preserve"> 8.</w:t>
            </w:r>
            <w:r w:rsidR="007F50F4">
              <w:t xml:space="preserve"> </w:t>
            </w:r>
            <w:r>
              <w:t>p</w:t>
            </w:r>
            <w:r w:rsidR="007F50F4">
              <w:t>a</w:t>
            </w:r>
            <w:r>
              <w:t>nta 3.</w:t>
            </w:r>
            <w:r w:rsidR="007F50F4">
              <w:t xml:space="preserve"> </w:t>
            </w:r>
            <w:r>
              <w:t xml:space="preserve">punkts noteic, ka attiecībā uz kopīgiem noguldījumiem dalībvalsts var </w:t>
            </w:r>
            <w:r w:rsidR="006A2B2C">
              <w:t xml:space="preserve">izvēlēties </w:t>
            </w:r>
            <w:r>
              <w:t>noteikt ilgāku to atmaksas termiņu. Neieviešot minēt</w:t>
            </w:r>
            <w:r w:rsidR="006A2B2C">
              <w:t>o</w:t>
            </w:r>
            <w:r>
              <w:t xml:space="preserve"> </w:t>
            </w:r>
            <w:r w:rsidR="006A2B2C">
              <w:t xml:space="preserve">opciju </w:t>
            </w:r>
            <w:r>
              <w:t xml:space="preserve">Likumprojektā, personai tiek nodrošinātas labvēlīgākas piemērojamās prasības attiecībā uz noguldījuma izmaksu. </w:t>
            </w:r>
          </w:p>
          <w:p w:rsidR="006A2B2C" w:rsidRDefault="00926384" w:rsidP="006A2B2C">
            <w:pPr>
              <w:pStyle w:val="naiskr"/>
              <w:spacing w:before="0" w:after="0"/>
              <w:jc w:val="both"/>
            </w:pPr>
            <w:r>
              <w:t>D</w:t>
            </w:r>
            <w:r w:rsidRPr="00926384">
              <w:t>irektīvas 2014/49/ES</w:t>
            </w:r>
            <w:r>
              <w:t xml:space="preserve"> 10.</w:t>
            </w:r>
            <w:r w:rsidR="007F50F4">
              <w:t xml:space="preserve"> </w:t>
            </w:r>
            <w:r>
              <w:t>panta 6</w:t>
            </w:r>
            <w:r w:rsidR="007F50F4">
              <w:t xml:space="preserve"> </w:t>
            </w:r>
            <w:r>
              <w:t>.punkts atļauj dalībvalstīm</w:t>
            </w:r>
            <w:r w:rsidR="006A2B2C">
              <w:t>, ja tās vēlas, noteikt</w:t>
            </w:r>
            <w:r>
              <w:t xml:space="preserve"> mazāku noguldījumu garantiju fondā sasniedzamo </w:t>
            </w:r>
            <w:proofErr w:type="spellStart"/>
            <w:r>
              <w:t>mērķapjomu</w:t>
            </w:r>
            <w:proofErr w:type="spellEnd"/>
            <w:r>
              <w:t xml:space="preserve"> par to, </w:t>
            </w:r>
            <w:r w:rsidR="00487D62">
              <w:t>kas noteikts</w:t>
            </w:r>
            <w:r>
              <w:t xml:space="preserve"> </w:t>
            </w:r>
            <w:r w:rsidR="00487D62">
              <w:t xml:space="preserve">saskaņā ar direktīvas </w:t>
            </w:r>
            <w:r w:rsidR="00487D62" w:rsidRPr="00926384">
              <w:t>2014/49/ES</w:t>
            </w:r>
            <w:r w:rsidR="00487D62">
              <w:t xml:space="preserve"> regu</w:t>
            </w:r>
            <w:r w:rsidR="007F50F4">
              <w:t>l</w:t>
            </w:r>
            <w:r w:rsidR="00487D62">
              <w:t>ējumu</w:t>
            </w:r>
            <w:r w:rsidR="007F50F4">
              <w:t>,</w:t>
            </w:r>
            <w:r w:rsidR="00487D62">
              <w:t> </w:t>
            </w:r>
            <w:r>
              <w:t>– 0,8% no segto noguldījumu apmēr</w:t>
            </w:r>
            <w:r w:rsidR="007F50F4">
              <w:t>a</w:t>
            </w:r>
            <w:r>
              <w:t xml:space="preserve">. Ievērojot, ka arī </w:t>
            </w:r>
            <w:proofErr w:type="spellStart"/>
            <w:r>
              <w:t>mērķapjoms</w:t>
            </w:r>
            <w:proofErr w:type="spellEnd"/>
            <w:r>
              <w:t xml:space="preserve"> 0,8% no segto noguldījumu apmēr</w:t>
            </w:r>
            <w:r w:rsidR="007F50F4">
              <w:t>a</w:t>
            </w:r>
            <w:r>
              <w:t xml:space="preserve"> nespēj nodrošināt visaptverošu garantēto atlīdzību izmaksu </w:t>
            </w:r>
            <w:r w:rsidRPr="006A2B2C">
              <w:t>kredītiestādes maksātnespējas gadījumā, ir izvēlēts Likumprojektā neieviest minēt</w:t>
            </w:r>
            <w:r w:rsidR="007F50F4">
              <w:t>o</w:t>
            </w:r>
            <w:r w:rsidRPr="006A2B2C">
              <w:t xml:space="preserve"> direktīvas </w:t>
            </w:r>
            <w:r w:rsidR="006A2B2C">
              <w:t>opcij</w:t>
            </w:r>
            <w:r w:rsidR="007F50F4">
              <w:t>u</w:t>
            </w:r>
            <w:r w:rsidRPr="006A2B2C">
              <w:t xml:space="preserve">. </w:t>
            </w:r>
          </w:p>
          <w:p w:rsidR="006A2B2C" w:rsidRPr="006A2B2C" w:rsidRDefault="00926384" w:rsidP="006A2B2C">
            <w:pPr>
              <w:pStyle w:val="naiskr"/>
              <w:spacing w:before="0" w:after="0"/>
              <w:jc w:val="both"/>
            </w:pPr>
            <w:r w:rsidRPr="006A2B2C">
              <w:t xml:space="preserve">Likumprojektā netiek ieviests direktīvas 2014/49/ES </w:t>
            </w:r>
            <w:r w:rsidR="000436CD" w:rsidRPr="006A2B2C">
              <w:t xml:space="preserve">11. panta 3. </w:t>
            </w:r>
            <w:r w:rsidRPr="006A2B2C">
              <w:t>p</w:t>
            </w:r>
            <w:r w:rsidR="000436CD" w:rsidRPr="006A2B2C">
              <w:t>unkt</w:t>
            </w:r>
            <w:r w:rsidRPr="006A2B2C">
              <w:t xml:space="preserve">s, </w:t>
            </w:r>
            <w:r w:rsidR="00830EEF" w:rsidRPr="006A2B2C">
              <w:t>11. panta 4.</w:t>
            </w:r>
            <w:r w:rsidR="007F50F4">
              <w:t> </w:t>
            </w:r>
            <w:r w:rsidRPr="006A2B2C">
              <w:t xml:space="preserve">punkts, </w:t>
            </w:r>
            <w:r w:rsidR="000436CD" w:rsidRPr="006A2B2C">
              <w:t xml:space="preserve">11. panta 5. </w:t>
            </w:r>
            <w:r w:rsidRPr="006A2B2C">
              <w:t>p</w:t>
            </w:r>
            <w:r w:rsidR="000436CD" w:rsidRPr="006A2B2C">
              <w:t>unkts</w:t>
            </w:r>
            <w:r w:rsidRPr="006A2B2C">
              <w:t xml:space="preserve"> un </w:t>
            </w:r>
            <w:r w:rsidR="000436CD" w:rsidRPr="006A2B2C">
              <w:t xml:space="preserve">11. panta 6. </w:t>
            </w:r>
            <w:r w:rsidRPr="006A2B2C">
              <w:t>p</w:t>
            </w:r>
            <w:r w:rsidR="000436CD" w:rsidRPr="006A2B2C">
              <w:t>unkts</w:t>
            </w:r>
            <w:r w:rsidRPr="006A2B2C">
              <w:t xml:space="preserve">, kas </w:t>
            </w:r>
            <w:r w:rsidR="006A2B2C" w:rsidRPr="006A2B2C">
              <w:t>dalībvalstīm atļauj izvēlēties</w:t>
            </w:r>
            <w:r w:rsidRPr="006A2B2C">
              <w:t xml:space="preserve"> </w:t>
            </w:r>
            <w:r w:rsidR="006A2B2C" w:rsidRPr="006A2B2C">
              <w:t xml:space="preserve">noguldījumu garantiju fonda līdzekļus izmantot alternatīviem kredītiestādes maksātnespējas glābšanas pasākumiem. Jau kopš </w:t>
            </w:r>
            <w:r w:rsidR="007F50F4">
              <w:t>n</w:t>
            </w:r>
            <w:r w:rsidR="006A2B2C" w:rsidRPr="006A2B2C">
              <w:t xml:space="preserve">oguldījumu garantiju fonda dibināšanas brīža ar Latvijas Banku tika panākta vienošanās, ka attiecībā uz </w:t>
            </w:r>
            <w:r w:rsidR="007F50F4">
              <w:t>n</w:t>
            </w:r>
            <w:r w:rsidR="006A2B2C" w:rsidRPr="006A2B2C">
              <w:t xml:space="preserve">oguldījumu garantiju fondā esošo līdzekļu izmantošanu tiks piemērota maksimāli konservatīva līdzekļu izmantošanas politika, kas primāri saistīta tikai ar līdzekļu izmantošanu garantēto atlīdzību izmaksas nodrošināšanai. Turklāt jāņem vērā </w:t>
            </w:r>
            <w:r w:rsidR="007F50F4">
              <w:t>n</w:t>
            </w:r>
            <w:r w:rsidR="006A2B2C" w:rsidRPr="006A2B2C">
              <w:t>oguldījumu garantiju forda apmēri</w:t>
            </w:r>
            <w:r w:rsidR="007F50F4">
              <w:t>,</w:t>
            </w:r>
            <w:r w:rsidR="006A2B2C" w:rsidRPr="006A2B2C">
              <w:t xml:space="preserve"> piemēram, MAS "Latvijas Krājbanka" gadījumā tika secināts, ka </w:t>
            </w:r>
            <w:r w:rsidR="007F50F4">
              <w:t>n</w:t>
            </w:r>
            <w:r w:rsidR="006A2B2C" w:rsidRPr="006A2B2C">
              <w:t xml:space="preserve">oguldījumu garantiju fondā esošie līdzekļi nesedz pat visus garantētos noguldījumus un ir nepieciešams papildu aizdevums no Valsts kases. Savukārt, ja </w:t>
            </w:r>
            <w:r w:rsidR="007F50F4">
              <w:t>n</w:t>
            </w:r>
            <w:r w:rsidR="006A2B2C" w:rsidRPr="006A2B2C">
              <w:t xml:space="preserve">oguldījumu garantiju fonda līdzekļi tiktu izmantoti arī kredītiestādes maksātnespējas novēršanai, pastāv bažas, vai nepieciešamības gadījumā </w:t>
            </w:r>
            <w:r w:rsidR="007F50F4">
              <w:t>n</w:t>
            </w:r>
            <w:r w:rsidR="006A2B2C" w:rsidRPr="006A2B2C">
              <w:t xml:space="preserve">oguldījumu garantiju fondā būtu pietiekami līdzekļi, lai nodrošinātu tā pamatfunkciju – garantēto atlīdzību izmaksu. Tāpat saskatāmi riski ar iespējamu kredītiestāžu akcionāru negodprātīgu rīcību, paļaujoties uz kredītiestādes glābšanu, izmantojot </w:t>
            </w:r>
            <w:r w:rsidR="007F50F4">
              <w:t>n</w:t>
            </w:r>
            <w:r w:rsidR="006A2B2C" w:rsidRPr="006A2B2C">
              <w:t xml:space="preserve">oguldījumu garantiju fonda līdzekļus. Līdz ar to Likumprojektā netiek ieviesta minētā </w:t>
            </w:r>
            <w:r w:rsidR="006A2B2C">
              <w:t>opcija</w:t>
            </w:r>
            <w:r w:rsidR="006A2B2C" w:rsidRPr="006A2B2C">
              <w:t xml:space="preserve">. </w:t>
            </w:r>
          </w:p>
          <w:p w:rsidR="006A2B2C" w:rsidRDefault="006A2B2C" w:rsidP="0055095A">
            <w:pPr>
              <w:pStyle w:val="naiskr"/>
              <w:spacing w:before="0" w:after="0"/>
              <w:jc w:val="both"/>
            </w:pPr>
            <w:r w:rsidRPr="006A2B2C">
              <w:t>Likumprojektā netiek ieviests direktīvas 2014/49/ES</w:t>
            </w:r>
            <w:r>
              <w:t xml:space="preserve"> 12.</w:t>
            </w:r>
            <w:r w:rsidR="007F50F4">
              <w:t xml:space="preserve"> </w:t>
            </w:r>
            <w:r>
              <w:t xml:space="preserve">pants, kurš piešķir dalībvalstīm tiesības (ja tās vēlas) vienas valsts </w:t>
            </w:r>
            <w:r w:rsidR="007F50F4">
              <w:t>n</w:t>
            </w:r>
            <w:r>
              <w:t xml:space="preserve">oguldījumu garantiju fondam aizdot līdzekļus citas valsts </w:t>
            </w:r>
            <w:r w:rsidR="007F50F4">
              <w:t>n</w:t>
            </w:r>
            <w:r>
              <w:t xml:space="preserve">oguldījumu garantiju fondam, kuri atmaksājami piecos gados. Ārī šajā gadījumā ir jāņem vērā valsts izvirzītā stratēģija par konservatīvu </w:t>
            </w:r>
            <w:r w:rsidR="007F50F4">
              <w:t>n</w:t>
            </w:r>
            <w:r>
              <w:t xml:space="preserve">oguldījumu garantiju fonda līdzekļu izmantošanas politiku, kā arī </w:t>
            </w:r>
            <w:r w:rsidR="007F50F4">
              <w:t>n</w:t>
            </w:r>
            <w:r>
              <w:t xml:space="preserve">oguldījumu garantiju forda apmēri. Aizdodot citiem dalībvalsts </w:t>
            </w:r>
            <w:r w:rsidR="007F50F4">
              <w:t>n</w:t>
            </w:r>
            <w:r>
              <w:t xml:space="preserve">oguldījumu garantiju fondiem, Latvijas </w:t>
            </w:r>
            <w:r w:rsidR="007F50F4">
              <w:t>n</w:t>
            </w:r>
            <w:r>
              <w:t>oguldījumu garantiju fonds riskē ar iespēju pa</w:t>
            </w:r>
            <w:r w:rsidR="007F50F4">
              <w:t>šam</w:t>
            </w:r>
            <w:r>
              <w:t xml:space="preserve"> nonākt aizņēmēja lomā, kad iestātos nepieciešamība izmantot fondā esošos līdzekļus. Tāpat attiecībā uz </w:t>
            </w:r>
            <w:r w:rsidR="007F50F4">
              <w:t>n</w:t>
            </w:r>
            <w:r>
              <w:t xml:space="preserve">oguldījumu garantiju fonda līdzekļu ieguldīšanu līdz šim ir pastāvējusi </w:t>
            </w:r>
            <w:r w:rsidRPr="00CA4F87">
              <w:t>politika līdzekļus ieguldīt tikai likvīdos aktīvos</w:t>
            </w:r>
            <w:r w:rsidR="00C83D9F">
              <w:t>,</w:t>
            </w:r>
            <w:r w:rsidRPr="00CA4F87">
              <w:t xml:space="preserve"> un uzskatāms, ka aizdevumu līgums ar</w:t>
            </w:r>
            <w:r>
              <w:t xml:space="preserve"> līdzekļu saņemšanu pēc piecu gadu termiņa notecējuma nebūtu atzīstams par likvīdu aktīvu. </w:t>
            </w:r>
            <w:r w:rsidRPr="006A2B2C">
              <w:t>Līdz ar to Likumprojektā netiek ieviesta minēt</w:t>
            </w:r>
            <w:r>
              <w:t>ā</w:t>
            </w:r>
            <w:r w:rsidRPr="006A2B2C">
              <w:t xml:space="preserve"> </w:t>
            </w:r>
            <w:r>
              <w:t>opcija</w:t>
            </w:r>
            <w:r w:rsidRPr="006A2B2C">
              <w:t xml:space="preserve">. </w:t>
            </w:r>
          </w:p>
          <w:p w:rsidR="00E0641D" w:rsidRDefault="006A2B2C" w:rsidP="00C83D9F">
            <w:pPr>
              <w:pStyle w:val="naiskr"/>
              <w:spacing w:before="0" w:after="0"/>
              <w:jc w:val="both"/>
            </w:pPr>
            <w:r>
              <w:t>Likumprojektā netiek ieviest</w:t>
            </w:r>
            <w:r w:rsidR="00C83D9F">
              <w:t>i arī</w:t>
            </w:r>
            <w:r>
              <w:t xml:space="preserve"> tie </w:t>
            </w:r>
            <w:r w:rsidRPr="006A2B2C">
              <w:t>direktīvas 2014/49/ES</w:t>
            </w:r>
            <w:r>
              <w:t xml:space="preserve"> panti (3. panta 2</w:t>
            </w:r>
            <w:r w:rsidRPr="00635585">
              <w:t xml:space="preserve">. </w:t>
            </w:r>
            <w:r w:rsidR="0055095A">
              <w:t>p</w:t>
            </w:r>
            <w:r w:rsidR="0055095A" w:rsidRPr="00635585">
              <w:t>unkt</w:t>
            </w:r>
            <w:r w:rsidR="0055095A">
              <w:t>s</w:t>
            </w:r>
            <w:r>
              <w:t>, 6. panta 5</w:t>
            </w:r>
            <w:r w:rsidRPr="00635585">
              <w:t xml:space="preserve">. </w:t>
            </w:r>
            <w:r w:rsidR="0055095A">
              <w:t>p</w:t>
            </w:r>
            <w:r w:rsidR="0055095A" w:rsidRPr="00635585">
              <w:t>unkt</w:t>
            </w:r>
            <w:r w:rsidR="0055095A">
              <w:t>s</w:t>
            </w:r>
            <w:r>
              <w:t>, 6. panta 6</w:t>
            </w:r>
            <w:r w:rsidRPr="00635585">
              <w:t xml:space="preserve">. </w:t>
            </w:r>
            <w:r w:rsidR="0055095A">
              <w:t>p</w:t>
            </w:r>
            <w:r w:rsidR="0055095A" w:rsidRPr="00635585">
              <w:t>unkt</w:t>
            </w:r>
            <w:r w:rsidR="0055095A">
              <w:t>s</w:t>
            </w:r>
            <w:r>
              <w:t>, 6. panta 7</w:t>
            </w:r>
            <w:r w:rsidRPr="00635585">
              <w:t xml:space="preserve">. </w:t>
            </w:r>
            <w:r w:rsidR="0055095A">
              <w:t>p</w:t>
            </w:r>
            <w:r w:rsidR="0055095A" w:rsidRPr="00635585">
              <w:t>unkt</w:t>
            </w:r>
            <w:r w:rsidR="0055095A">
              <w:t>s</w:t>
            </w:r>
            <w:r>
              <w:t>, 7. panta 9</w:t>
            </w:r>
            <w:r w:rsidRPr="00635585">
              <w:t xml:space="preserve">. </w:t>
            </w:r>
            <w:r w:rsidR="0055095A">
              <w:t>p</w:t>
            </w:r>
            <w:r w:rsidR="0055095A" w:rsidRPr="00635585">
              <w:t>unkt</w:t>
            </w:r>
            <w:r w:rsidR="0055095A">
              <w:t>s</w:t>
            </w:r>
            <w:r>
              <w:t>, 13. panta 3</w:t>
            </w:r>
            <w:r w:rsidRPr="00635585">
              <w:t xml:space="preserve">. </w:t>
            </w:r>
            <w:r w:rsidR="0055095A">
              <w:t>p</w:t>
            </w:r>
            <w:r w:rsidR="0055095A" w:rsidRPr="00635585">
              <w:t>unkt</w:t>
            </w:r>
            <w:r w:rsidR="0055095A">
              <w:t>s</w:t>
            </w:r>
            <w:r>
              <w:t>, 14. panta 7</w:t>
            </w:r>
            <w:r w:rsidRPr="00635585">
              <w:t xml:space="preserve">. </w:t>
            </w:r>
            <w:r w:rsidR="0055095A">
              <w:t>p</w:t>
            </w:r>
            <w:r w:rsidR="0055095A" w:rsidRPr="00635585">
              <w:t>unkt</w:t>
            </w:r>
            <w:r w:rsidR="0055095A">
              <w:t>s</w:t>
            </w:r>
            <w:r>
              <w:t>, 14. panta 8</w:t>
            </w:r>
            <w:r w:rsidRPr="00635585">
              <w:t xml:space="preserve">. </w:t>
            </w:r>
            <w:r w:rsidR="0055095A">
              <w:t>p</w:t>
            </w:r>
            <w:r w:rsidR="0055095A" w:rsidRPr="00635585">
              <w:t>unkt</w:t>
            </w:r>
            <w:r w:rsidR="0055095A">
              <w:t>s</w:t>
            </w:r>
            <w:r>
              <w:t xml:space="preserve">, </w:t>
            </w:r>
            <w:r w:rsidR="0055095A">
              <w:t>15.</w:t>
            </w:r>
            <w:r w:rsidR="00C83D9F">
              <w:t xml:space="preserve"> </w:t>
            </w:r>
            <w:r w:rsidR="0055095A">
              <w:t>panta 2.</w:t>
            </w:r>
            <w:r w:rsidR="00C83D9F">
              <w:t xml:space="preserve"> </w:t>
            </w:r>
            <w:r w:rsidR="0055095A">
              <w:t xml:space="preserve">punkts, </w:t>
            </w:r>
            <w:r>
              <w:t>15.</w:t>
            </w:r>
            <w:r w:rsidR="00C83D9F">
              <w:t xml:space="preserve"> </w:t>
            </w:r>
            <w:r>
              <w:t>panta 3.</w:t>
            </w:r>
            <w:r w:rsidR="00C83D9F">
              <w:t> </w:t>
            </w:r>
            <w:r w:rsidR="0055095A">
              <w:t xml:space="preserve">punkts, </w:t>
            </w:r>
            <w:r>
              <w:t>17.</w:t>
            </w:r>
            <w:r w:rsidR="00C83D9F">
              <w:t xml:space="preserve"> </w:t>
            </w:r>
            <w:r>
              <w:t>panta 2.</w:t>
            </w:r>
            <w:r w:rsidR="00C83D9F">
              <w:t xml:space="preserve"> </w:t>
            </w:r>
            <w:r>
              <w:t>punkts</w:t>
            </w:r>
            <w:r w:rsidR="0055095A">
              <w:t xml:space="preserve">, </w:t>
            </w:r>
            <w:r>
              <w:t>18.</w:t>
            </w:r>
            <w:r w:rsidR="00C83D9F">
              <w:t xml:space="preserve"> </w:t>
            </w:r>
            <w:r>
              <w:t>pants</w:t>
            </w:r>
            <w:r w:rsidR="0055095A">
              <w:t>, 19.</w:t>
            </w:r>
            <w:r w:rsidR="00C83D9F">
              <w:t xml:space="preserve"> </w:t>
            </w:r>
            <w:r w:rsidR="0055095A">
              <w:t>pants, 21.</w:t>
            </w:r>
            <w:r w:rsidR="00C83D9F">
              <w:t xml:space="preserve"> </w:t>
            </w:r>
            <w:r w:rsidR="0055095A">
              <w:t xml:space="preserve">pants, </w:t>
            </w:r>
            <w:r>
              <w:t>22.</w:t>
            </w:r>
            <w:r w:rsidR="00C83D9F">
              <w:t xml:space="preserve"> </w:t>
            </w:r>
            <w:r>
              <w:t>pants</w:t>
            </w:r>
            <w:r w:rsidR="0055095A">
              <w:t>)</w:t>
            </w:r>
            <w:r w:rsidR="00C83D9F">
              <w:t>,</w:t>
            </w:r>
            <w:r w:rsidR="0055095A">
              <w:t xml:space="preserve"> kur</w:t>
            </w:r>
            <w:r w:rsidR="00C83D9F">
              <w:t>u</w:t>
            </w:r>
            <w:r w:rsidR="0055095A">
              <w:t xml:space="preserve"> adresāts ir Eiropas </w:t>
            </w:r>
            <w:r w:rsidR="0055095A">
              <w:lastRenderedPageBreak/>
              <w:t xml:space="preserve">Komisija, Eiropas Banku iestāde vai arī tās ir speciālas normas, kas nav attiecināmas uz Latvijas situāciju. </w:t>
            </w:r>
          </w:p>
        </w:tc>
      </w:tr>
      <w:tr w:rsidR="00F72185" w:rsidTr="00D82EEB">
        <w:trPr>
          <w:trHeight w:val="913"/>
          <w:jc w:val="center"/>
        </w:trPr>
        <w:tc>
          <w:tcPr>
            <w:tcW w:w="1885" w:type="dxa"/>
            <w:vAlign w:val="center"/>
          </w:tcPr>
          <w:p w:rsidR="00F72185" w:rsidRDefault="00F72185" w:rsidP="00F72185">
            <w:pPr>
              <w:pStyle w:val="naiskr"/>
              <w:spacing w:before="0" w:after="0"/>
              <w:rPr>
                <w:i/>
              </w:rPr>
            </w:pPr>
            <w: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8321" w:type="dxa"/>
            <w:gridSpan w:val="3"/>
          </w:tcPr>
          <w:p w:rsidR="004D763D" w:rsidRDefault="004D763D" w:rsidP="004D763D">
            <w:pPr>
              <w:jc w:val="both"/>
            </w:pPr>
            <w:r>
              <w:t>Ar Likumprojekta regulējumu tiek noteikts pienākums Komisijai sniegt informāciju Eiropas Banku iestādei par Komisijas</w:t>
            </w:r>
            <w:r w:rsidRPr="006D028F">
              <w:t xml:space="preserve"> tiesisko statusu atbilstoši </w:t>
            </w:r>
            <w:r>
              <w:t>Likumprojekta</w:t>
            </w:r>
            <w:r w:rsidRPr="006D028F">
              <w:t xml:space="preserve"> 6.</w:t>
            </w:r>
            <w:r w:rsidR="00C83D9F">
              <w:t> </w:t>
            </w:r>
            <w:r>
              <w:t xml:space="preserve">panta pirmajai daļai, </w:t>
            </w:r>
            <w:r w:rsidRPr="00B44756">
              <w:t>par Komisijas apstiprināt</w:t>
            </w:r>
            <w:r>
              <w:t>aj</w:t>
            </w:r>
            <w:r w:rsidRPr="00B44756">
              <w:t>ām uz risk</w:t>
            </w:r>
            <w:r>
              <w:t>u</w:t>
            </w:r>
            <w:r w:rsidRPr="00B44756">
              <w:t xml:space="preserve"> balstīt</w:t>
            </w:r>
            <w:r>
              <w:t>aj</w:t>
            </w:r>
            <w:r w:rsidRPr="00B44756">
              <w:t xml:space="preserve">ām metodēm, lai noteiktu un aprēķinātu </w:t>
            </w:r>
            <w:r>
              <w:t>n</w:t>
            </w:r>
            <w:r w:rsidRPr="00B44756">
              <w:t>oguldījumu garantiju fonda dalībnieku uz risk</w:t>
            </w:r>
            <w:r>
              <w:t>u</w:t>
            </w:r>
            <w:r w:rsidRPr="00B44756">
              <w:t xml:space="preserve"> balstītās iemaksas</w:t>
            </w:r>
            <w:r>
              <w:t xml:space="preserve"> un par segto noguldījumu kopējo apmēru un par pieejamo finanšu līdzekļu apmēru noguldījumu garantiju fondā iepriekšējā gada 31.</w:t>
            </w:r>
            <w:r w:rsidR="00C83D9F">
              <w:t xml:space="preserve"> </w:t>
            </w:r>
            <w:r>
              <w:t xml:space="preserve">decembrī. </w:t>
            </w:r>
          </w:p>
          <w:p w:rsidR="00F72185" w:rsidRDefault="00F72185" w:rsidP="00F72185">
            <w:pPr>
              <w:pStyle w:val="naiskr"/>
              <w:spacing w:before="0" w:after="0"/>
            </w:pPr>
          </w:p>
        </w:tc>
      </w:tr>
      <w:tr w:rsidR="00F72185" w:rsidTr="00D82EEB">
        <w:trPr>
          <w:trHeight w:val="579"/>
          <w:jc w:val="center"/>
        </w:trPr>
        <w:tc>
          <w:tcPr>
            <w:tcW w:w="1885" w:type="dxa"/>
          </w:tcPr>
          <w:p w:rsidR="00F72185" w:rsidRDefault="00F72185" w:rsidP="00F72185">
            <w:pPr>
              <w:pStyle w:val="naiskr"/>
              <w:spacing w:before="0" w:after="0"/>
            </w:pPr>
            <w:r>
              <w:t>Cita informācija</w:t>
            </w:r>
          </w:p>
        </w:tc>
        <w:tc>
          <w:tcPr>
            <w:tcW w:w="8321" w:type="dxa"/>
            <w:gridSpan w:val="3"/>
          </w:tcPr>
          <w:p w:rsidR="00581FF2" w:rsidRPr="00F02CE4" w:rsidRDefault="005659B3" w:rsidP="00C83D9F">
            <w:pPr>
              <w:pStyle w:val="naiskr"/>
              <w:spacing w:before="0" w:after="0"/>
              <w:jc w:val="both"/>
            </w:pPr>
            <w:r>
              <w:t xml:space="preserve">Atsevišķi </w:t>
            </w:r>
            <w:r w:rsidRPr="006A2B2C">
              <w:t>direktīvas 2014/49/ES</w:t>
            </w:r>
            <w:r>
              <w:t xml:space="preserve"> panti jau ir ieviesti nacionālajā normatīvajā regulējumā. </w:t>
            </w:r>
            <w:r w:rsidR="004D5A5D">
              <w:t>D</w:t>
            </w:r>
            <w:r w:rsidR="004D5A5D" w:rsidRPr="006A2B2C">
              <w:t>irektīvas 2014/49/ES</w:t>
            </w:r>
            <w:r w:rsidR="004D5A5D">
              <w:t xml:space="preserve"> 8.</w:t>
            </w:r>
            <w:r w:rsidR="00C83D9F">
              <w:t xml:space="preserve"> </w:t>
            </w:r>
            <w:r w:rsidR="004D5A5D">
              <w:t>panta 7.</w:t>
            </w:r>
            <w:r w:rsidR="00C83D9F">
              <w:t xml:space="preserve"> </w:t>
            </w:r>
            <w:r w:rsidR="004D5A5D">
              <w:t>punkts un 16.</w:t>
            </w:r>
            <w:r w:rsidR="00C83D9F">
              <w:t xml:space="preserve"> </w:t>
            </w:r>
            <w:r w:rsidR="004D5A5D">
              <w:t>panta 4.</w:t>
            </w:r>
            <w:r w:rsidR="00C83D9F">
              <w:t xml:space="preserve"> </w:t>
            </w:r>
            <w:r w:rsidR="004D5A5D">
              <w:t>punkts attiecībā uz valodu, kādā veicama sar</w:t>
            </w:r>
            <w:r w:rsidR="00D35744">
              <w:t>akste</w:t>
            </w:r>
            <w:r w:rsidR="004D5A5D">
              <w:t xml:space="preserve"> ar noguldītāju, ir </w:t>
            </w:r>
            <w:r w:rsidR="00487D62">
              <w:t xml:space="preserve">ieviests </w:t>
            </w:r>
            <w:r w:rsidR="004D5A5D">
              <w:t xml:space="preserve">saskaņā ar Valsts valodas likuma </w:t>
            </w:r>
            <w:r w:rsidR="00D35744">
              <w:t>3.</w:t>
            </w:r>
            <w:r w:rsidR="00C83D9F">
              <w:t xml:space="preserve"> </w:t>
            </w:r>
            <w:r w:rsidR="00D35744">
              <w:t>pantu. D</w:t>
            </w:r>
            <w:r w:rsidR="00D35744" w:rsidRPr="006A2B2C">
              <w:t>irektīvas 2014/49/ES</w:t>
            </w:r>
            <w:r w:rsidR="00D35744">
              <w:t xml:space="preserve"> 16.</w:t>
            </w:r>
            <w:r w:rsidR="00C83D9F">
              <w:t xml:space="preserve"> </w:t>
            </w:r>
            <w:r w:rsidR="00D35744">
              <w:t>panta 6.</w:t>
            </w:r>
            <w:r w:rsidR="00C83D9F">
              <w:t xml:space="preserve"> </w:t>
            </w:r>
            <w:r w:rsidR="00D35744">
              <w:t xml:space="preserve">punkts attiecībā uz informācijas sniegšanas prasībām noguldījumu piesaistītāja reorganizācijas gadījumā jau izriet no Komerclikuma </w:t>
            </w:r>
            <w:r w:rsidR="00103DB3">
              <w:t>345.</w:t>
            </w:r>
            <w:r w:rsidR="00C83D9F">
              <w:t xml:space="preserve"> </w:t>
            </w:r>
            <w:r w:rsidR="00487D62">
              <w:t>panta prasībām</w:t>
            </w:r>
            <w:r w:rsidR="00103DB3">
              <w:t>. Savukārt direktīvas 6. panta 3</w:t>
            </w:r>
            <w:r w:rsidR="00103DB3" w:rsidRPr="00635585">
              <w:t xml:space="preserve">. </w:t>
            </w:r>
            <w:r w:rsidR="00103DB3">
              <w:t>punkts jau ir ieviests Kredītiestāžu likuma 172.</w:t>
            </w:r>
            <w:r w:rsidR="00C83D9F">
              <w:t xml:space="preserve"> </w:t>
            </w:r>
            <w:r w:rsidR="00103DB3">
              <w:t xml:space="preserve">panta pirmajā daļā, direktīvas </w:t>
            </w:r>
            <w:r w:rsidR="00103DB3" w:rsidRPr="006A2B2C">
              <w:t>2014/49/ES</w:t>
            </w:r>
            <w:r w:rsidR="00103DB3">
              <w:t xml:space="preserve"> 16.</w:t>
            </w:r>
            <w:r w:rsidR="00C83D9F">
              <w:t> </w:t>
            </w:r>
            <w:r w:rsidR="00103DB3">
              <w:t>panta 7.</w:t>
            </w:r>
            <w:r w:rsidR="00C83D9F">
              <w:t xml:space="preserve"> </w:t>
            </w:r>
            <w:r w:rsidR="00103DB3">
              <w:t>punkts ir ieviests Kredītiestāžu likuma 160.</w:t>
            </w:r>
            <w:r w:rsidR="00C83D9F">
              <w:t xml:space="preserve"> </w:t>
            </w:r>
            <w:r w:rsidR="00103DB3">
              <w:t>pantā</w:t>
            </w:r>
            <w:r w:rsidR="00581FF2">
              <w:t xml:space="preserve">, </w:t>
            </w:r>
            <w:r w:rsidR="00103DB3">
              <w:t xml:space="preserve">direktīvas </w:t>
            </w:r>
            <w:r w:rsidR="00103DB3" w:rsidRPr="006A2B2C">
              <w:t>2014/49/ES</w:t>
            </w:r>
            <w:r w:rsidR="00103DB3">
              <w:t xml:space="preserve"> 17.</w:t>
            </w:r>
            <w:r w:rsidR="00C83D9F">
              <w:t xml:space="preserve"> </w:t>
            </w:r>
            <w:r w:rsidR="00103DB3">
              <w:t>panta 1</w:t>
            </w:r>
            <w:r w:rsidR="00C83D9F">
              <w:t xml:space="preserve"> </w:t>
            </w:r>
            <w:r w:rsidR="00103DB3">
              <w:t xml:space="preserve">.punkts ir ieviests </w:t>
            </w:r>
            <w:r w:rsidR="00487D62">
              <w:t>Kredītiestāžu likuma 27.</w:t>
            </w:r>
            <w:r w:rsidR="00487D62" w:rsidRPr="00487D62">
              <w:rPr>
                <w:vertAlign w:val="superscript"/>
              </w:rPr>
              <w:t>1</w:t>
            </w:r>
            <w:r w:rsidR="00487D62">
              <w:t xml:space="preserve"> pantā</w:t>
            </w:r>
            <w:r w:rsidR="00581FF2">
              <w:t xml:space="preserve"> un direktīvas </w:t>
            </w:r>
            <w:r w:rsidR="00581FF2" w:rsidRPr="006A2B2C">
              <w:t>2014/49/ES</w:t>
            </w:r>
            <w:r w:rsidR="00581FF2">
              <w:t xml:space="preserve"> 4. panta 9</w:t>
            </w:r>
            <w:r w:rsidR="00581FF2" w:rsidRPr="00635585">
              <w:t xml:space="preserve">. </w:t>
            </w:r>
            <w:r w:rsidR="00581FF2">
              <w:t>p</w:t>
            </w:r>
            <w:r w:rsidR="00581FF2" w:rsidRPr="00635585">
              <w:t>unkt</w:t>
            </w:r>
            <w:r w:rsidR="00581FF2">
              <w:t>s ir ieviests Kredītiestāžu likuma 110.</w:t>
            </w:r>
            <w:r w:rsidR="00581FF2">
              <w:rPr>
                <w:vertAlign w:val="superscript"/>
              </w:rPr>
              <w:t>1</w:t>
            </w:r>
            <w:r w:rsidR="00581FF2">
              <w:t xml:space="preserve"> panta pirmajā daļā. </w:t>
            </w:r>
          </w:p>
        </w:tc>
      </w:tr>
    </w:tbl>
    <w:p w:rsidR="00F72185" w:rsidRPr="005659B3" w:rsidRDefault="00F72185" w:rsidP="00F72185">
      <w:pPr>
        <w:pStyle w:val="naisf"/>
        <w:spacing w:before="0" w:after="0"/>
        <w:ind w:firstLine="0"/>
        <w:rPr>
          <w:lang w:val="lv-LV"/>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06"/>
      </w:tblGrid>
      <w:tr w:rsidR="00F72185" w:rsidTr="00D82EEB">
        <w:trPr>
          <w:trHeight w:val="792"/>
          <w:jc w:val="center"/>
        </w:trPr>
        <w:tc>
          <w:tcPr>
            <w:tcW w:w="9302" w:type="dxa"/>
            <w:vAlign w:val="center"/>
          </w:tcPr>
          <w:p w:rsidR="00F72185" w:rsidRDefault="00F72185" w:rsidP="00F72185">
            <w:pPr>
              <w:pStyle w:val="naisnod"/>
              <w:spacing w:before="0" w:after="0"/>
            </w:pPr>
            <w:r>
              <w:t xml:space="preserve">2. tabula </w:t>
            </w:r>
          </w:p>
          <w:p w:rsidR="00F72185" w:rsidRDefault="00F72185" w:rsidP="00F72185">
            <w:pPr>
              <w:pStyle w:val="naisnod"/>
              <w:spacing w:before="0" w:after="0"/>
            </w:pPr>
            <w:r>
              <w:t>Ar tiesību akta projektu uzņemtās saistības, kas izriet no starptautiskajiem tiesību aktiem vai starptautiskas institūcijas vai organizācijas dokumentiem.</w:t>
            </w:r>
          </w:p>
          <w:p w:rsidR="00F72185" w:rsidRDefault="00F72185" w:rsidP="00F72185">
            <w:pPr>
              <w:pStyle w:val="naisnod"/>
              <w:spacing w:before="0" w:after="0"/>
            </w:pPr>
            <w:r>
              <w:t>Pasākumi šo saistību izpildei</w:t>
            </w:r>
          </w:p>
        </w:tc>
      </w:tr>
      <w:tr w:rsidR="00F72185" w:rsidTr="00D82EEB">
        <w:trPr>
          <w:trHeight w:val="254"/>
          <w:jc w:val="center"/>
        </w:trPr>
        <w:tc>
          <w:tcPr>
            <w:tcW w:w="9302" w:type="dxa"/>
            <w:vAlign w:val="center"/>
          </w:tcPr>
          <w:p w:rsidR="00F72185" w:rsidRPr="001951E5" w:rsidRDefault="00F72185" w:rsidP="00F72185">
            <w:pPr>
              <w:pStyle w:val="naisnod"/>
              <w:spacing w:before="0" w:after="0"/>
              <w:rPr>
                <w:b w:val="0"/>
              </w:rPr>
            </w:pPr>
            <w:r w:rsidRPr="001951E5">
              <w:rPr>
                <w:b w:val="0"/>
                <w:i/>
              </w:rPr>
              <w:t>Projekts šo jomu neskar</w:t>
            </w:r>
            <w:r>
              <w:rPr>
                <w:b w:val="0"/>
                <w:i/>
              </w:rPr>
              <w:t>.</w:t>
            </w:r>
          </w:p>
        </w:tc>
      </w:tr>
    </w:tbl>
    <w:p w:rsidR="00F72185" w:rsidRDefault="00F72185" w:rsidP="00F72185">
      <w:pPr>
        <w:pStyle w:val="naisf"/>
        <w:spacing w:before="0" w:after="0"/>
        <w:ind w:firstLin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2"/>
        <w:gridCol w:w="3522"/>
        <w:gridCol w:w="6352"/>
      </w:tblGrid>
      <w:tr w:rsidR="00F72185" w:rsidTr="00D82EEB">
        <w:trPr>
          <w:jc w:val="center"/>
        </w:trPr>
        <w:tc>
          <w:tcPr>
            <w:tcW w:w="9377" w:type="dxa"/>
            <w:gridSpan w:val="3"/>
          </w:tcPr>
          <w:p w:rsidR="00F72185" w:rsidRDefault="00F72185" w:rsidP="00F72185">
            <w:pPr>
              <w:pStyle w:val="naisnod"/>
              <w:spacing w:before="0" w:after="0"/>
              <w:ind w:left="57" w:right="57"/>
            </w:pPr>
            <w:r>
              <w:t>VI. Sabiedrības līdzdalība un šīs līdzdalības rezultāti</w:t>
            </w:r>
          </w:p>
        </w:tc>
      </w:tr>
      <w:tr w:rsidR="00F72185" w:rsidTr="00D82EEB">
        <w:trPr>
          <w:trHeight w:val="375"/>
          <w:jc w:val="center"/>
        </w:trPr>
        <w:tc>
          <w:tcPr>
            <w:tcW w:w="305" w:type="dxa"/>
          </w:tcPr>
          <w:p w:rsidR="00F72185" w:rsidRDefault="00F72185" w:rsidP="00F72185">
            <w:pPr>
              <w:pStyle w:val="naiskr"/>
              <w:spacing w:before="0" w:after="0"/>
              <w:ind w:left="57" w:right="57"/>
              <w:rPr>
                <w:bCs/>
              </w:rPr>
            </w:pPr>
            <w:r>
              <w:rPr>
                <w:bCs/>
              </w:rPr>
              <w:t>1.</w:t>
            </w:r>
          </w:p>
        </w:tc>
        <w:tc>
          <w:tcPr>
            <w:tcW w:w="3236" w:type="dxa"/>
          </w:tcPr>
          <w:p w:rsidR="00F72185" w:rsidRPr="00575F9E" w:rsidRDefault="00F72185" w:rsidP="00F72185">
            <w:pPr>
              <w:pStyle w:val="naiskr"/>
              <w:tabs>
                <w:tab w:val="left" w:pos="170"/>
              </w:tabs>
              <w:spacing w:before="0" w:after="0"/>
              <w:ind w:left="57" w:right="57"/>
            </w:pPr>
            <w:r w:rsidRPr="00575F9E">
              <w:t>Plānotās sabiedrības līdzdalības un komunikācijas aktivitātes saistībā ar projektu</w:t>
            </w:r>
          </w:p>
        </w:tc>
        <w:tc>
          <w:tcPr>
            <w:tcW w:w="5836" w:type="dxa"/>
          </w:tcPr>
          <w:p w:rsidR="00F72185" w:rsidRDefault="00F72185" w:rsidP="00F72185">
            <w:pPr>
              <w:pStyle w:val="naiskr"/>
              <w:spacing w:before="0" w:after="0"/>
              <w:ind w:left="57" w:right="57"/>
              <w:jc w:val="both"/>
            </w:pPr>
            <w:r>
              <w:t xml:space="preserve">Par likumprojekta izstrādes </w:t>
            </w:r>
            <w:r w:rsidRPr="00E44DF3">
              <w:t xml:space="preserve">sākšanu tika informēta Latvijas </w:t>
            </w:r>
            <w:r>
              <w:t>Komercbanku asociācija, kā arī projekts tika ievietots Finanšu un kapitāla tirgus komisijas mājas lapā.</w:t>
            </w:r>
          </w:p>
        </w:tc>
      </w:tr>
      <w:tr w:rsidR="00F72185" w:rsidTr="00D82EEB">
        <w:trPr>
          <w:trHeight w:val="375"/>
          <w:jc w:val="center"/>
        </w:trPr>
        <w:tc>
          <w:tcPr>
            <w:tcW w:w="305" w:type="dxa"/>
          </w:tcPr>
          <w:p w:rsidR="00F72185" w:rsidRDefault="00F72185" w:rsidP="00F72185">
            <w:pPr>
              <w:pStyle w:val="naiskr"/>
              <w:spacing w:before="0" w:after="0"/>
              <w:ind w:left="57" w:right="57"/>
              <w:rPr>
                <w:bCs/>
              </w:rPr>
            </w:pPr>
            <w:r>
              <w:rPr>
                <w:bCs/>
              </w:rPr>
              <w:t>2.</w:t>
            </w:r>
          </w:p>
        </w:tc>
        <w:tc>
          <w:tcPr>
            <w:tcW w:w="3236" w:type="dxa"/>
          </w:tcPr>
          <w:p w:rsidR="00F72185" w:rsidRDefault="00F72185" w:rsidP="00F72185">
            <w:pPr>
              <w:pStyle w:val="naiskr"/>
              <w:spacing w:before="0" w:after="0"/>
              <w:ind w:left="57" w:right="57"/>
            </w:pPr>
            <w:r>
              <w:t xml:space="preserve">Sabiedrības līdzdalība projekta izstrādē </w:t>
            </w:r>
          </w:p>
        </w:tc>
        <w:tc>
          <w:tcPr>
            <w:tcW w:w="5836" w:type="dxa"/>
          </w:tcPr>
          <w:p w:rsidR="00F72185" w:rsidRDefault="00F72185" w:rsidP="00487D62">
            <w:pPr>
              <w:pStyle w:val="naiskr"/>
              <w:spacing w:before="0" w:after="0"/>
              <w:ind w:left="57" w:right="57"/>
              <w:jc w:val="both"/>
            </w:pPr>
            <w:r w:rsidRPr="00E44DF3">
              <w:t xml:space="preserve">Likumprojekts tika nosūtīts saskaņošanai Latvijas </w:t>
            </w:r>
            <w:r>
              <w:t>Komercbanku asociācijai</w:t>
            </w:r>
            <w:r w:rsidR="00487D62">
              <w:t>.</w:t>
            </w:r>
          </w:p>
        </w:tc>
      </w:tr>
      <w:tr w:rsidR="00F72185" w:rsidTr="00D82EEB">
        <w:trPr>
          <w:trHeight w:val="375"/>
          <w:jc w:val="center"/>
        </w:trPr>
        <w:tc>
          <w:tcPr>
            <w:tcW w:w="305" w:type="dxa"/>
          </w:tcPr>
          <w:p w:rsidR="00F72185" w:rsidRDefault="00F72185" w:rsidP="00F72185">
            <w:pPr>
              <w:pStyle w:val="naiskr"/>
              <w:spacing w:before="0" w:after="0"/>
              <w:ind w:left="57" w:right="57"/>
              <w:rPr>
                <w:bCs/>
              </w:rPr>
            </w:pPr>
            <w:r>
              <w:rPr>
                <w:bCs/>
              </w:rPr>
              <w:t>3.</w:t>
            </w:r>
          </w:p>
        </w:tc>
        <w:tc>
          <w:tcPr>
            <w:tcW w:w="3236" w:type="dxa"/>
          </w:tcPr>
          <w:p w:rsidR="00F72185" w:rsidRDefault="00F72185" w:rsidP="00F72185">
            <w:pPr>
              <w:pStyle w:val="naiskr"/>
              <w:spacing w:before="0" w:after="0"/>
              <w:ind w:left="57" w:right="57"/>
            </w:pPr>
            <w:r>
              <w:t xml:space="preserve">Sabiedrības līdzdalības rezultāti </w:t>
            </w:r>
          </w:p>
        </w:tc>
        <w:tc>
          <w:tcPr>
            <w:tcW w:w="5836" w:type="dxa"/>
          </w:tcPr>
          <w:p w:rsidR="00F72185" w:rsidRDefault="00F72185" w:rsidP="00F72185">
            <w:pPr>
              <w:pStyle w:val="naiskr"/>
              <w:spacing w:before="0" w:after="0"/>
              <w:ind w:right="57"/>
              <w:jc w:val="both"/>
            </w:pPr>
          </w:p>
        </w:tc>
      </w:tr>
      <w:tr w:rsidR="00F72185" w:rsidTr="00D82EEB">
        <w:trPr>
          <w:trHeight w:val="397"/>
          <w:jc w:val="center"/>
        </w:trPr>
        <w:tc>
          <w:tcPr>
            <w:tcW w:w="305" w:type="dxa"/>
          </w:tcPr>
          <w:p w:rsidR="00F72185" w:rsidRDefault="00F72185" w:rsidP="00F72185">
            <w:pPr>
              <w:pStyle w:val="naiskr"/>
              <w:spacing w:before="0" w:after="0"/>
              <w:ind w:left="57" w:right="57"/>
              <w:rPr>
                <w:bCs/>
              </w:rPr>
            </w:pPr>
            <w:r>
              <w:rPr>
                <w:bCs/>
              </w:rPr>
              <w:t>4.</w:t>
            </w:r>
          </w:p>
        </w:tc>
        <w:tc>
          <w:tcPr>
            <w:tcW w:w="3236" w:type="dxa"/>
          </w:tcPr>
          <w:p w:rsidR="00F72185" w:rsidRDefault="00F72185" w:rsidP="00F72185">
            <w:pPr>
              <w:pStyle w:val="naiskr"/>
              <w:spacing w:before="0" w:after="0"/>
              <w:ind w:left="57" w:right="57"/>
            </w:pPr>
            <w:r>
              <w:t>Cita informācija</w:t>
            </w:r>
          </w:p>
          <w:p w:rsidR="00F72185" w:rsidRDefault="00F72185" w:rsidP="00F72185">
            <w:pPr>
              <w:pStyle w:val="naiskr"/>
              <w:spacing w:before="0" w:after="0"/>
              <w:ind w:left="57" w:right="57"/>
            </w:pPr>
          </w:p>
        </w:tc>
        <w:tc>
          <w:tcPr>
            <w:tcW w:w="5836" w:type="dxa"/>
          </w:tcPr>
          <w:p w:rsidR="00F72185" w:rsidRDefault="00F72185" w:rsidP="00F72185">
            <w:pPr>
              <w:spacing w:after="120"/>
              <w:jc w:val="both"/>
            </w:pPr>
            <w:r>
              <w:t xml:space="preserve">Sabiedrība pēc normatīvā akta pieņemšanas tiks informēta ar publikāciju laikrakstā "Latvijas Vēstnesis", kā arī tā tiks ievietota informācijas sistēmā "NAIS" un bezmaksas normatīvo aktu datu bāzē </w:t>
            </w:r>
            <w:r w:rsidRPr="00AB5327">
              <w:rPr>
                <w:rFonts w:eastAsia="Calibri"/>
              </w:rPr>
              <w:t>www.likumi.lv</w:t>
            </w:r>
            <w:r>
              <w:t>.</w:t>
            </w:r>
          </w:p>
          <w:p w:rsidR="00F72185" w:rsidRPr="00912FD2" w:rsidRDefault="00F72185" w:rsidP="00F72185">
            <w:pPr>
              <w:jc w:val="both"/>
              <w:rPr>
                <w:b/>
              </w:rPr>
            </w:pPr>
            <w:r>
              <w:t>Likums tiks ievietots arī Finanšu un kapitāla tirgus komisijas mājas lapā internetā.</w:t>
            </w:r>
          </w:p>
        </w:tc>
      </w:tr>
    </w:tbl>
    <w:p w:rsidR="00F72185" w:rsidRPr="00F72185" w:rsidRDefault="00F72185" w:rsidP="00F72185">
      <w:pPr>
        <w:pStyle w:val="naisf"/>
        <w:spacing w:before="0" w:after="0"/>
        <w:ind w:firstLine="0"/>
        <w:rPr>
          <w:lang w:val="lv-LV"/>
        </w:rPr>
      </w:pPr>
    </w:p>
    <w:p w:rsidR="008766F2" w:rsidRPr="00995238" w:rsidRDefault="008766F2">
      <w:pPr>
        <w:rPr>
          <w:b/>
          <w:bCs/>
          <w:i/>
          <w:iCs/>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2728"/>
        <w:gridCol w:w="7020"/>
      </w:tblGrid>
      <w:tr w:rsidR="00B51A83" w:rsidRPr="001910F3" w:rsidTr="00D82EEB">
        <w:trPr>
          <w:jc w:val="center"/>
        </w:trPr>
        <w:tc>
          <w:tcPr>
            <w:tcW w:w="10206" w:type="dxa"/>
            <w:gridSpan w:val="3"/>
            <w:shd w:val="clear" w:color="auto" w:fill="auto"/>
          </w:tcPr>
          <w:p w:rsidR="00B51A83" w:rsidRPr="001910F3" w:rsidRDefault="00B51A83" w:rsidP="0044047C">
            <w:pPr>
              <w:jc w:val="center"/>
            </w:pPr>
            <w:r w:rsidRPr="001910F3">
              <w:rPr>
                <w:b/>
                <w:bCs/>
              </w:rPr>
              <w:t>VII. Tiesību akta projekta izpildes nodrošināšana un tās ietekme uz institūcijām</w:t>
            </w:r>
          </w:p>
        </w:tc>
      </w:tr>
      <w:tr w:rsidR="00B51A83" w:rsidRPr="001910F3" w:rsidTr="00D82EEB">
        <w:trPr>
          <w:jc w:val="center"/>
        </w:trPr>
        <w:tc>
          <w:tcPr>
            <w:tcW w:w="458" w:type="dxa"/>
            <w:shd w:val="clear" w:color="auto" w:fill="auto"/>
          </w:tcPr>
          <w:p w:rsidR="00B51A83" w:rsidRPr="001910F3" w:rsidRDefault="00B51A83" w:rsidP="0044047C">
            <w:pPr>
              <w:pStyle w:val="NormalWeb"/>
            </w:pPr>
            <w:r w:rsidRPr="001910F3">
              <w:t>1.</w:t>
            </w:r>
          </w:p>
        </w:tc>
        <w:tc>
          <w:tcPr>
            <w:tcW w:w="2728" w:type="dxa"/>
            <w:shd w:val="clear" w:color="auto" w:fill="auto"/>
          </w:tcPr>
          <w:p w:rsidR="00B51A83" w:rsidRPr="00C83D9F" w:rsidRDefault="00CC4DFC" w:rsidP="0044047C">
            <w:pPr>
              <w:pStyle w:val="NormalWeb"/>
              <w:rPr>
                <w:lang w:val="lv-LV"/>
              </w:rPr>
            </w:pPr>
            <w:r w:rsidRPr="00CC4DFC">
              <w:rPr>
                <w:lang w:val="lv-LV"/>
              </w:rPr>
              <w:t>Projekta izpildē iesaistītās institūcijas</w:t>
            </w:r>
          </w:p>
        </w:tc>
        <w:tc>
          <w:tcPr>
            <w:tcW w:w="7020" w:type="dxa"/>
            <w:shd w:val="clear" w:color="auto" w:fill="auto"/>
          </w:tcPr>
          <w:p w:rsidR="00B51A83" w:rsidRPr="00C83D9F" w:rsidRDefault="00CC4DFC" w:rsidP="00C83D9F">
            <w:pPr>
              <w:pStyle w:val="NormalWeb"/>
              <w:jc w:val="both"/>
              <w:rPr>
                <w:lang w:val="lv-LV"/>
              </w:rPr>
            </w:pPr>
            <w:r w:rsidRPr="00CC4DFC">
              <w:rPr>
                <w:lang w:val="lv-LV"/>
              </w:rPr>
              <w:t>Budžeta iestādes, t.sk. publiskie nodibinājumi, pašvaldības, no valsts budžeta daļēji finansētas atvasinātas publiskas personas un budžeta nefinansētas iestādes, ministrijas un citas centrālās valsts iestādes.</w:t>
            </w:r>
          </w:p>
        </w:tc>
      </w:tr>
      <w:tr w:rsidR="00B51A83" w:rsidRPr="001910F3" w:rsidTr="00D82EEB">
        <w:trPr>
          <w:jc w:val="center"/>
        </w:trPr>
        <w:tc>
          <w:tcPr>
            <w:tcW w:w="458" w:type="dxa"/>
            <w:shd w:val="clear" w:color="auto" w:fill="auto"/>
          </w:tcPr>
          <w:p w:rsidR="00B51A83" w:rsidRPr="001910F3" w:rsidRDefault="00B51A83" w:rsidP="0044047C">
            <w:pPr>
              <w:pStyle w:val="NormalWeb"/>
            </w:pPr>
            <w:r w:rsidRPr="001910F3">
              <w:t>2.</w:t>
            </w:r>
          </w:p>
        </w:tc>
        <w:tc>
          <w:tcPr>
            <w:tcW w:w="2728" w:type="dxa"/>
            <w:shd w:val="clear" w:color="auto" w:fill="auto"/>
          </w:tcPr>
          <w:p w:rsidR="00B51A83" w:rsidRPr="00C83D9F" w:rsidRDefault="00B51A83" w:rsidP="0044047C">
            <w:r w:rsidRPr="00C83D9F">
              <w:t xml:space="preserve">Projekta izpildes ietekme uz pārvaldes funkcijām </w:t>
            </w:r>
            <w:r w:rsidR="008F68DE">
              <w:t>un institucionālo struktūru. Jaunu institūciju izveide, esošu institūciju likvidācija vai reorganizācija, to ietekme uz institūcijas cilvēkresursiem</w:t>
            </w:r>
          </w:p>
        </w:tc>
        <w:tc>
          <w:tcPr>
            <w:tcW w:w="7020" w:type="dxa"/>
            <w:shd w:val="clear" w:color="auto" w:fill="auto"/>
          </w:tcPr>
          <w:p w:rsidR="00B51A83" w:rsidRPr="005937AA" w:rsidRDefault="00CC4DFC" w:rsidP="0044047C">
            <w:pPr>
              <w:pStyle w:val="NormalWeb"/>
              <w:rPr>
                <w:i/>
                <w:lang w:val="lv-LV"/>
              </w:rPr>
            </w:pPr>
            <w:r w:rsidRPr="00CC4DFC">
              <w:rPr>
                <w:i/>
                <w:lang w:val="lv-LV"/>
              </w:rPr>
              <w:t>Projekts šo jomu neskar.</w:t>
            </w:r>
          </w:p>
        </w:tc>
      </w:tr>
      <w:tr w:rsidR="00B51A83" w:rsidRPr="001910F3" w:rsidTr="00D82EEB">
        <w:trPr>
          <w:jc w:val="center"/>
        </w:trPr>
        <w:tc>
          <w:tcPr>
            <w:tcW w:w="458" w:type="dxa"/>
            <w:shd w:val="clear" w:color="auto" w:fill="auto"/>
          </w:tcPr>
          <w:p w:rsidR="00B51A83" w:rsidRPr="001910F3" w:rsidRDefault="00B51A83" w:rsidP="0044047C">
            <w:pPr>
              <w:pStyle w:val="NormalWeb"/>
            </w:pPr>
            <w:r>
              <w:t>3</w:t>
            </w:r>
            <w:r w:rsidRPr="001910F3">
              <w:t>.</w:t>
            </w:r>
          </w:p>
        </w:tc>
        <w:tc>
          <w:tcPr>
            <w:tcW w:w="2728" w:type="dxa"/>
            <w:shd w:val="clear" w:color="auto" w:fill="auto"/>
          </w:tcPr>
          <w:p w:rsidR="00B51A83" w:rsidRPr="00972BF3" w:rsidRDefault="00CC4DFC" w:rsidP="0044047C">
            <w:pPr>
              <w:pStyle w:val="NormalWeb"/>
              <w:spacing w:before="0" w:beforeAutospacing="0" w:after="0" w:afterAutospacing="0"/>
              <w:rPr>
                <w:lang w:val="lv-LV"/>
              </w:rPr>
            </w:pPr>
            <w:r w:rsidRPr="00CC4DFC">
              <w:rPr>
                <w:lang w:val="lv-LV"/>
              </w:rPr>
              <w:t>Cita informācija</w:t>
            </w:r>
          </w:p>
        </w:tc>
        <w:tc>
          <w:tcPr>
            <w:tcW w:w="7020" w:type="dxa"/>
            <w:shd w:val="clear" w:color="auto" w:fill="auto"/>
          </w:tcPr>
          <w:p w:rsidR="00B51A83" w:rsidRPr="00972BF3" w:rsidRDefault="00CC4DFC" w:rsidP="0044047C">
            <w:pPr>
              <w:pStyle w:val="NormalWeb"/>
              <w:rPr>
                <w:lang w:val="lv-LV"/>
              </w:rPr>
            </w:pPr>
            <w:r w:rsidRPr="00CC4DFC">
              <w:rPr>
                <w:lang w:val="lv-LV"/>
              </w:rPr>
              <w:t>Nav</w:t>
            </w:r>
            <w:r w:rsidR="00972BF3">
              <w:rPr>
                <w:lang w:val="lv-LV"/>
              </w:rPr>
              <w:t>.</w:t>
            </w:r>
          </w:p>
        </w:tc>
      </w:tr>
    </w:tbl>
    <w:p w:rsidR="008766F2" w:rsidRDefault="008766F2">
      <w:pPr>
        <w:pStyle w:val="NormalWeb"/>
        <w:spacing w:before="0" w:beforeAutospacing="0" w:after="0" w:afterAutospacing="0"/>
        <w:rPr>
          <w:sz w:val="28"/>
          <w:szCs w:val="28"/>
          <w:lang w:val="lv-LV"/>
        </w:rPr>
      </w:pPr>
    </w:p>
    <w:p w:rsidR="008C0DC4" w:rsidRPr="005E702B" w:rsidRDefault="008C0DC4">
      <w:pPr>
        <w:pStyle w:val="BodyText2"/>
      </w:pPr>
    </w:p>
    <w:p w:rsidR="008766F2" w:rsidRPr="00AF5AA2" w:rsidRDefault="00AF5AA2">
      <w:pPr>
        <w:pStyle w:val="BodyText2"/>
      </w:pPr>
      <w:r>
        <w:t>Finanšu ministrs</w:t>
      </w:r>
      <w:r>
        <w:tab/>
      </w:r>
      <w:r>
        <w:tab/>
      </w:r>
      <w:r>
        <w:tab/>
      </w:r>
      <w:r>
        <w:tab/>
      </w:r>
      <w:r>
        <w:tab/>
      </w:r>
      <w:r>
        <w:tab/>
      </w:r>
      <w:r w:rsidR="00CD5927">
        <w:tab/>
      </w:r>
      <w:r w:rsidR="00CD5927">
        <w:tab/>
      </w:r>
      <w:r w:rsidR="001C238F">
        <w:tab/>
      </w:r>
      <w:proofErr w:type="spellStart"/>
      <w:r w:rsidR="001C238F">
        <w:t>J.Reirs</w:t>
      </w:r>
      <w:proofErr w:type="spellEnd"/>
    </w:p>
    <w:p w:rsidR="00CD5927" w:rsidRDefault="00CD5927" w:rsidP="00CD5927">
      <w:pPr>
        <w:jc w:val="both"/>
        <w:rPr>
          <w:sz w:val="22"/>
          <w:szCs w:val="20"/>
        </w:rPr>
      </w:pPr>
    </w:p>
    <w:p w:rsidR="008D1D6C" w:rsidRDefault="008D1D6C" w:rsidP="00CD5927">
      <w:pPr>
        <w:jc w:val="both"/>
        <w:rPr>
          <w:sz w:val="22"/>
          <w:szCs w:val="20"/>
        </w:rPr>
      </w:pPr>
    </w:p>
    <w:p w:rsidR="008D1D6C" w:rsidRDefault="008D1D6C" w:rsidP="00CD5927">
      <w:pPr>
        <w:jc w:val="both"/>
        <w:rPr>
          <w:sz w:val="22"/>
          <w:szCs w:val="20"/>
        </w:rPr>
      </w:pPr>
    </w:p>
    <w:p w:rsidR="00D82DEB" w:rsidRPr="008923F8" w:rsidRDefault="00DE656F" w:rsidP="00D82DEB">
      <w:pPr>
        <w:rPr>
          <w:sz w:val="20"/>
          <w:szCs w:val="20"/>
        </w:rPr>
      </w:pPr>
      <w:r>
        <w:rPr>
          <w:sz w:val="20"/>
          <w:szCs w:val="20"/>
        </w:rPr>
        <w:t>13.11</w:t>
      </w:r>
      <w:r w:rsidR="00D82DEB" w:rsidRPr="008923F8">
        <w:rPr>
          <w:sz w:val="20"/>
          <w:szCs w:val="20"/>
        </w:rPr>
        <w:t>.2014</w:t>
      </w:r>
      <w:r w:rsidR="00D82DEB">
        <w:rPr>
          <w:sz w:val="20"/>
          <w:szCs w:val="20"/>
        </w:rPr>
        <w:t>.</w:t>
      </w:r>
      <w:r w:rsidR="00D82DEB" w:rsidRPr="008923F8">
        <w:rPr>
          <w:sz w:val="20"/>
          <w:szCs w:val="20"/>
        </w:rPr>
        <w:t xml:space="preserve"> 08</w:t>
      </w:r>
      <w:r w:rsidR="00D82DEB">
        <w:rPr>
          <w:sz w:val="20"/>
          <w:szCs w:val="20"/>
        </w:rPr>
        <w:t>.</w:t>
      </w:r>
      <w:r w:rsidR="00D82DEB" w:rsidRPr="008923F8">
        <w:rPr>
          <w:sz w:val="20"/>
          <w:szCs w:val="20"/>
        </w:rPr>
        <w:t>54</w:t>
      </w:r>
    </w:p>
    <w:p w:rsidR="00D82DEB" w:rsidRPr="008923F8" w:rsidRDefault="008B413C" w:rsidP="00D82DEB">
      <w:pPr>
        <w:rPr>
          <w:sz w:val="20"/>
          <w:szCs w:val="20"/>
        </w:rPr>
      </w:pPr>
      <w:r>
        <w:rPr>
          <w:sz w:val="20"/>
          <w:szCs w:val="20"/>
        </w:rPr>
        <w:t>3103</w:t>
      </w:r>
    </w:p>
    <w:p w:rsidR="00D82DEB" w:rsidRPr="00B318EF" w:rsidRDefault="00D82DEB" w:rsidP="00D82DEB">
      <w:pPr>
        <w:rPr>
          <w:sz w:val="20"/>
          <w:szCs w:val="20"/>
        </w:rPr>
      </w:pPr>
      <w:bookmarkStart w:id="0" w:name="_GoBack"/>
      <w:r w:rsidRPr="00B318EF">
        <w:rPr>
          <w:sz w:val="20"/>
          <w:szCs w:val="20"/>
        </w:rPr>
        <w:t>I. </w:t>
      </w:r>
      <w:proofErr w:type="spellStart"/>
      <w:r>
        <w:rPr>
          <w:sz w:val="20"/>
          <w:szCs w:val="20"/>
        </w:rPr>
        <w:t>Berrone</w:t>
      </w:r>
      <w:proofErr w:type="spellEnd"/>
    </w:p>
    <w:p w:rsidR="00D82DEB" w:rsidRPr="00B318EF" w:rsidRDefault="00D82DEB" w:rsidP="00D82DEB">
      <w:pPr>
        <w:pStyle w:val="naisf"/>
        <w:spacing w:before="0" w:after="0"/>
        <w:ind w:firstLine="0"/>
        <w:rPr>
          <w:sz w:val="20"/>
          <w:szCs w:val="20"/>
        </w:rPr>
      </w:pPr>
      <w:r w:rsidRPr="00B318EF">
        <w:rPr>
          <w:sz w:val="20"/>
          <w:szCs w:val="20"/>
        </w:rPr>
        <w:t>6777 4804; Ieva.</w:t>
      </w:r>
      <w:r>
        <w:rPr>
          <w:sz w:val="20"/>
          <w:szCs w:val="20"/>
        </w:rPr>
        <w:t>Berrone</w:t>
      </w:r>
      <w:r w:rsidRPr="00B318EF">
        <w:rPr>
          <w:sz w:val="20"/>
          <w:szCs w:val="20"/>
        </w:rPr>
        <w:t>@fktk.lv</w:t>
      </w:r>
    </w:p>
    <w:bookmarkEnd w:id="0"/>
    <w:p w:rsidR="008766F2" w:rsidRDefault="008766F2" w:rsidP="00D82DEB">
      <w:pPr>
        <w:jc w:val="both"/>
        <w:rPr>
          <w:b/>
          <w:bCs/>
          <w:sz w:val="22"/>
        </w:rPr>
      </w:pPr>
    </w:p>
    <w:sectPr w:rsidR="008766F2" w:rsidSect="00E10854">
      <w:headerReference w:type="default" r:id="rId8"/>
      <w:footerReference w:type="default" r:id="rId9"/>
      <w:footerReference w:type="first" r:id="rId10"/>
      <w:pgSz w:w="11906" w:h="16838"/>
      <w:pgMar w:top="1438" w:right="1800" w:bottom="107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AB3" w:rsidRDefault="00226AB3">
      <w:r>
        <w:separator/>
      </w:r>
    </w:p>
  </w:endnote>
  <w:endnote w:type="continuationSeparator" w:id="0">
    <w:p w:rsidR="00226AB3" w:rsidRDefault="0022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4" w:rsidRPr="00D341FC" w:rsidRDefault="00D341FC" w:rsidP="00D341FC">
    <w:pPr>
      <w:pStyle w:val="Footer"/>
      <w:tabs>
        <w:tab w:val="clear" w:pos="4153"/>
        <w:tab w:val="clear" w:pos="8306"/>
        <w:tab w:val="left" w:pos="1320"/>
      </w:tabs>
      <w:jc w:val="both"/>
      <w:rPr>
        <w:sz w:val="20"/>
        <w:szCs w:val="20"/>
      </w:rPr>
    </w:pPr>
    <w:r>
      <w:rPr>
        <w:sz w:val="20"/>
        <w:szCs w:val="20"/>
      </w:rPr>
      <w:t>FMAnot_NGL_131114</w:t>
    </w:r>
    <w:r w:rsidRPr="00D82DEB">
      <w:rPr>
        <w:sz w:val="20"/>
        <w:szCs w:val="20"/>
      </w:rPr>
      <w:t>; Likumprojekta "Noguldījumu garantiju 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4" w:rsidRPr="00D82DEB" w:rsidRDefault="00D341FC" w:rsidP="00D82DEB">
    <w:pPr>
      <w:pStyle w:val="Footer"/>
      <w:tabs>
        <w:tab w:val="clear" w:pos="4153"/>
        <w:tab w:val="clear" w:pos="8306"/>
        <w:tab w:val="left" w:pos="1320"/>
      </w:tabs>
      <w:jc w:val="both"/>
      <w:rPr>
        <w:sz w:val="20"/>
        <w:szCs w:val="20"/>
      </w:rPr>
    </w:pPr>
    <w:r>
      <w:rPr>
        <w:sz w:val="20"/>
        <w:szCs w:val="20"/>
      </w:rPr>
      <w:t>FMAnot</w:t>
    </w:r>
    <w:r w:rsidR="00E61035">
      <w:rPr>
        <w:sz w:val="20"/>
        <w:szCs w:val="20"/>
      </w:rPr>
      <w:t>_NGL_131114</w:t>
    </w:r>
    <w:r w:rsidR="007F50F4" w:rsidRPr="00D82DEB">
      <w:rPr>
        <w:sz w:val="20"/>
        <w:szCs w:val="20"/>
      </w:rPr>
      <w:t>; Likumprojekta "Noguldījumu garantiju likums" sākotnējās ietekmes novērtējuma ziņojums (anotācija)</w:t>
    </w:r>
  </w:p>
  <w:p w:rsidR="007F50F4" w:rsidRPr="004B3ED8" w:rsidRDefault="007F50F4" w:rsidP="004B3ED8">
    <w:pPr>
      <w:spacing w:before="60" w:after="60"/>
      <w:ind w:right="-1333"/>
      <w:jc w:val="both"/>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AB3" w:rsidRDefault="00226AB3">
      <w:r>
        <w:separator/>
      </w:r>
    </w:p>
  </w:footnote>
  <w:footnote w:type="continuationSeparator" w:id="0">
    <w:p w:rsidR="00226AB3" w:rsidRDefault="00226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4" w:rsidRDefault="00CC4DFC">
    <w:pPr>
      <w:pStyle w:val="Header"/>
      <w:framePr w:wrap="auto" w:vAnchor="text" w:hAnchor="margin" w:xAlign="center" w:y="1"/>
      <w:rPr>
        <w:rStyle w:val="PageNumber"/>
      </w:rPr>
    </w:pPr>
    <w:r>
      <w:rPr>
        <w:rStyle w:val="PageNumber"/>
      </w:rPr>
      <w:fldChar w:fldCharType="begin"/>
    </w:r>
    <w:r w:rsidR="007F50F4">
      <w:rPr>
        <w:rStyle w:val="PageNumber"/>
      </w:rPr>
      <w:instrText xml:space="preserve">PAGE  </w:instrText>
    </w:r>
    <w:r>
      <w:rPr>
        <w:rStyle w:val="PageNumber"/>
      </w:rPr>
      <w:fldChar w:fldCharType="separate"/>
    </w:r>
    <w:r w:rsidR="00CC5F2F">
      <w:rPr>
        <w:rStyle w:val="PageNumber"/>
        <w:noProof/>
      </w:rPr>
      <w:t>8</w:t>
    </w:r>
    <w:r>
      <w:rPr>
        <w:rStyle w:val="PageNumber"/>
      </w:rPr>
      <w:fldChar w:fldCharType="end"/>
    </w:r>
  </w:p>
  <w:p w:rsidR="007F50F4" w:rsidRDefault="007F50F4">
    <w:pPr>
      <w:pStyle w:val="Header"/>
    </w:pPr>
  </w:p>
  <w:p w:rsidR="007F50F4" w:rsidRDefault="007F5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6555C"/>
    <w:multiLevelType w:val="hybridMultilevel"/>
    <w:tmpl w:val="573AA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F551704"/>
    <w:multiLevelType w:val="hybridMultilevel"/>
    <w:tmpl w:val="5BD8C3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3E15D53"/>
    <w:multiLevelType w:val="hybridMultilevel"/>
    <w:tmpl w:val="F6326354"/>
    <w:lvl w:ilvl="0" w:tplc="04260001">
      <w:start w:val="1"/>
      <w:numFmt w:val="bullet"/>
      <w:lvlText w:val=""/>
      <w:lvlJc w:val="left"/>
      <w:pPr>
        <w:ind w:left="1151" w:hanging="360"/>
      </w:pPr>
      <w:rPr>
        <w:rFonts w:ascii="Symbol" w:hAnsi="Symbol" w:hint="default"/>
      </w:rPr>
    </w:lvl>
    <w:lvl w:ilvl="1" w:tplc="04260003" w:tentative="1">
      <w:start w:val="1"/>
      <w:numFmt w:val="bullet"/>
      <w:lvlText w:val="o"/>
      <w:lvlJc w:val="left"/>
      <w:pPr>
        <w:ind w:left="1871" w:hanging="360"/>
      </w:pPr>
      <w:rPr>
        <w:rFonts w:ascii="Courier New" w:hAnsi="Courier New" w:cs="Courier New" w:hint="default"/>
      </w:rPr>
    </w:lvl>
    <w:lvl w:ilvl="2" w:tplc="04260005" w:tentative="1">
      <w:start w:val="1"/>
      <w:numFmt w:val="bullet"/>
      <w:lvlText w:val=""/>
      <w:lvlJc w:val="left"/>
      <w:pPr>
        <w:ind w:left="2591" w:hanging="360"/>
      </w:pPr>
      <w:rPr>
        <w:rFonts w:ascii="Wingdings" w:hAnsi="Wingdings" w:hint="default"/>
      </w:rPr>
    </w:lvl>
    <w:lvl w:ilvl="3" w:tplc="04260001" w:tentative="1">
      <w:start w:val="1"/>
      <w:numFmt w:val="bullet"/>
      <w:lvlText w:val=""/>
      <w:lvlJc w:val="left"/>
      <w:pPr>
        <w:ind w:left="3311" w:hanging="360"/>
      </w:pPr>
      <w:rPr>
        <w:rFonts w:ascii="Symbol" w:hAnsi="Symbol" w:hint="default"/>
      </w:rPr>
    </w:lvl>
    <w:lvl w:ilvl="4" w:tplc="04260003" w:tentative="1">
      <w:start w:val="1"/>
      <w:numFmt w:val="bullet"/>
      <w:lvlText w:val="o"/>
      <w:lvlJc w:val="left"/>
      <w:pPr>
        <w:ind w:left="4031" w:hanging="360"/>
      </w:pPr>
      <w:rPr>
        <w:rFonts w:ascii="Courier New" w:hAnsi="Courier New" w:cs="Courier New" w:hint="default"/>
      </w:rPr>
    </w:lvl>
    <w:lvl w:ilvl="5" w:tplc="04260005" w:tentative="1">
      <w:start w:val="1"/>
      <w:numFmt w:val="bullet"/>
      <w:lvlText w:val=""/>
      <w:lvlJc w:val="left"/>
      <w:pPr>
        <w:ind w:left="4751" w:hanging="360"/>
      </w:pPr>
      <w:rPr>
        <w:rFonts w:ascii="Wingdings" w:hAnsi="Wingdings" w:hint="default"/>
      </w:rPr>
    </w:lvl>
    <w:lvl w:ilvl="6" w:tplc="04260001" w:tentative="1">
      <w:start w:val="1"/>
      <w:numFmt w:val="bullet"/>
      <w:lvlText w:val=""/>
      <w:lvlJc w:val="left"/>
      <w:pPr>
        <w:ind w:left="5471" w:hanging="360"/>
      </w:pPr>
      <w:rPr>
        <w:rFonts w:ascii="Symbol" w:hAnsi="Symbol" w:hint="default"/>
      </w:rPr>
    </w:lvl>
    <w:lvl w:ilvl="7" w:tplc="04260003" w:tentative="1">
      <w:start w:val="1"/>
      <w:numFmt w:val="bullet"/>
      <w:lvlText w:val="o"/>
      <w:lvlJc w:val="left"/>
      <w:pPr>
        <w:ind w:left="6191" w:hanging="360"/>
      </w:pPr>
      <w:rPr>
        <w:rFonts w:ascii="Courier New" w:hAnsi="Courier New" w:cs="Courier New" w:hint="default"/>
      </w:rPr>
    </w:lvl>
    <w:lvl w:ilvl="8" w:tplc="04260005" w:tentative="1">
      <w:start w:val="1"/>
      <w:numFmt w:val="bullet"/>
      <w:lvlText w:val=""/>
      <w:lvlJc w:val="left"/>
      <w:pPr>
        <w:ind w:left="6911" w:hanging="360"/>
      </w:pPr>
      <w:rPr>
        <w:rFonts w:ascii="Wingdings" w:hAnsi="Wingdings" w:hint="default"/>
      </w:rPr>
    </w:lvl>
  </w:abstractNum>
  <w:abstractNum w:abstractNumId="3">
    <w:nsid w:val="48150E09"/>
    <w:multiLevelType w:val="hybridMultilevel"/>
    <w:tmpl w:val="1A64B1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B7B2E5B"/>
    <w:multiLevelType w:val="hybridMultilevel"/>
    <w:tmpl w:val="00E468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7E"/>
    <w:rsid w:val="00032A89"/>
    <w:rsid w:val="00033E33"/>
    <w:rsid w:val="000436CD"/>
    <w:rsid w:val="00061303"/>
    <w:rsid w:val="00061387"/>
    <w:rsid w:val="00063831"/>
    <w:rsid w:val="000653D0"/>
    <w:rsid w:val="00076979"/>
    <w:rsid w:val="00091BAE"/>
    <w:rsid w:val="000C0886"/>
    <w:rsid w:val="000D5347"/>
    <w:rsid w:val="000E4CF5"/>
    <w:rsid w:val="00103DB3"/>
    <w:rsid w:val="00104D2F"/>
    <w:rsid w:val="0012434C"/>
    <w:rsid w:val="00170C92"/>
    <w:rsid w:val="00175B57"/>
    <w:rsid w:val="0018233B"/>
    <w:rsid w:val="001A310F"/>
    <w:rsid w:val="001C238F"/>
    <w:rsid w:val="001C79F4"/>
    <w:rsid w:val="001E2284"/>
    <w:rsid w:val="001E2B74"/>
    <w:rsid w:val="001F2B5A"/>
    <w:rsid w:val="0021346B"/>
    <w:rsid w:val="00223A1F"/>
    <w:rsid w:val="00224411"/>
    <w:rsid w:val="00226AB3"/>
    <w:rsid w:val="00233153"/>
    <w:rsid w:val="00237471"/>
    <w:rsid w:val="002708B4"/>
    <w:rsid w:val="00271557"/>
    <w:rsid w:val="00271B8A"/>
    <w:rsid w:val="00272183"/>
    <w:rsid w:val="00272AC7"/>
    <w:rsid w:val="002763AD"/>
    <w:rsid w:val="00281884"/>
    <w:rsid w:val="002A39D1"/>
    <w:rsid w:val="002E0B21"/>
    <w:rsid w:val="002E2C3D"/>
    <w:rsid w:val="002E2ECD"/>
    <w:rsid w:val="002E7EBC"/>
    <w:rsid w:val="002F58A5"/>
    <w:rsid w:val="00310C6E"/>
    <w:rsid w:val="0031212A"/>
    <w:rsid w:val="00347335"/>
    <w:rsid w:val="003573CF"/>
    <w:rsid w:val="003607A9"/>
    <w:rsid w:val="00370629"/>
    <w:rsid w:val="003A7B97"/>
    <w:rsid w:val="003B6499"/>
    <w:rsid w:val="003C6C10"/>
    <w:rsid w:val="003D66E3"/>
    <w:rsid w:val="003E083F"/>
    <w:rsid w:val="003F5459"/>
    <w:rsid w:val="0044047C"/>
    <w:rsid w:val="004439E2"/>
    <w:rsid w:val="00451634"/>
    <w:rsid w:val="0047253E"/>
    <w:rsid w:val="0047318B"/>
    <w:rsid w:val="00487D62"/>
    <w:rsid w:val="00497794"/>
    <w:rsid w:val="004A23F7"/>
    <w:rsid w:val="004A2936"/>
    <w:rsid w:val="004A7D68"/>
    <w:rsid w:val="004B3ED8"/>
    <w:rsid w:val="004C04FE"/>
    <w:rsid w:val="004D371B"/>
    <w:rsid w:val="004D3C6B"/>
    <w:rsid w:val="004D4A04"/>
    <w:rsid w:val="004D5A5D"/>
    <w:rsid w:val="004D763D"/>
    <w:rsid w:val="004E3940"/>
    <w:rsid w:val="004E79F4"/>
    <w:rsid w:val="004F3ED1"/>
    <w:rsid w:val="00533F7E"/>
    <w:rsid w:val="00536101"/>
    <w:rsid w:val="00537286"/>
    <w:rsid w:val="005432FE"/>
    <w:rsid w:val="005502D1"/>
    <w:rsid w:val="0055095A"/>
    <w:rsid w:val="005565F4"/>
    <w:rsid w:val="005623FA"/>
    <w:rsid w:val="005659B3"/>
    <w:rsid w:val="00581FF2"/>
    <w:rsid w:val="005920FE"/>
    <w:rsid w:val="005937AA"/>
    <w:rsid w:val="005951DC"/>
    <w:rsid w:val="005A33C5"/>
    <w:rsid w:val="005A601A"/>
    <w:rsid w:val="005B52B6"/>
    <w:rsid w:val="005C46A0"/>
    <w:rsid w:val="005E702B"/>
    <w:rsid w:val="005F67E4"/>
    <w:rsid w:val="0060125A"/>
    <w:rsid w:val="006053A1"/>
    <w:rsid w:val="00616BBF"/>
    <w:rsid w:val="00620C58"/>
    <w:rsid w:val="00630E1E"/>
    <w:rsid w:val="0063130C"/>
    <w:rsid w:val="00632138"/>
    <w:rsid w:val="00641A0C"/>
    <w:rsid w:val="006513BD"/>
    <w:rsid w:val="00655870"/>
    <w:rsid w:val="00665450"/>
    <w:rsid w:val="00673510"/>
    <w:rsid w:val="006741D3"/>
    <w:rsid w:val="006853DE"/>
    <w:rsid w:val="006A2B2C"/>
    <w:rsid w:val="006D7ACE"/>
    <w:rsid w:val="006E777E"/>
    <w:rsid w:val="006F4576"/>
    <w:rsid w:val="007003DB"/>
    <w:rsid w:val="00705A02"/>
    <w:rsid w:val="00720FAA"/>
    <w:rsid w:val="007320DF"/>
    <w:rsid w:val="007A2705"/>
    <w:rsid w:val="007A4291"/>
    <w:rsid w:val="007A4D7A"/>
    <w:rsid w:val="007B58C6"/>
    <w:rsid w:val="007D1685"/>
    <w:rsid w:val="007D4A2C"/>
    <w:rsid w:val="007E130F"/>
    <w:rsid w:val="007F50F4"/>
    <w:rsid w:val="00802BF4"/>
    <w:rsid w:val="0082160B"/>
    <w:rsid w:val="00830EEF"/>
    <w:rsid w:val="00835875"/>
    <w:rsid w:val="00840E59"/>
    <w:rsid w:val="0084198D"/>
    <w:rsid w:val="00846E9B"/>
    <w:rsid w:val="00847452"/>
    <w:rsid w:val="00847A4C"/>
    <w:rsid w:val="008540BD"/>
    <w:rsid w:val="008557A9"/>
    <w:rsid w:val="00856905"/>
    <w:rsid w:val="00856BE9"/>
    <w:rsid w:val="008759CF"/>
    <w:rsid w:val="00876262"/>
    <w:rsid w:val="008766F2"/>
    <w:rsid w:val="00876D93"/>
    <w:rsid w:val="00886518"/>
    <w:rsid w:val="008910D7"/>
    <w:rsid w:val="0089683F"/>
    <w:rsid w:val="008A1D11"/>
    <w:rsid w:val="008B413C"/>
    <w:rsid w:val="008B6C1D"/>
    <w:rsid w:val="008C0DC4"/>
    <w:rsid w:val="008D1D6C"/>
    <w:rsid w:val="008E0217"/>
    <w:rsid w:val="008E5FCA"/>
    <w:rsid w:val="008F0908"/>
    <w:rsid w:val="008F5F2F"/>
    <w:rsid w:val="008F68DE"/>
    <w:rsid w:val="00905087"/>
    <w:rsid w:val="0091668F"/>
    <w:rsid w:val="00926384"/>
    <w:rsid w:val="00936CC0"/>
    <w:rsid w:val="009549D9"/>
    <w:rsid w:val="009553C4"/>
    <w:rsid w:val="0096586B"/>
    <w:rsid w:val="00966E68"/>
    <w:rsid w:val="00972BF3"/>
    <w:rsid w:val="0097507B"/>
    <w:rsid w:val="00984493"/>
    <w:rsid w:val="00992BD4"/>
    <w:rsid w:val="00995238"/>
    <w:rsid w:val="009B3ECC"/>
    <w:rsid w:val="009C728D"/>
    <w:rsid w:val="009D1309"/>
    <w:rsid w:val="009F1B83"/>
    <w:rsid w:val="009F4B8A"/>
    <w:rsid w:val="009F58FC"/>
    <w:rsid w:val="009F5E94"/>
    <w:rsid w:val="00A126BF"/>
    <w:rsid w:val="00A21F1F"/>
    <w:rsid w:val="00A252FD"/>
    <w:rsid w:val="00A36FAB"/>
    <w:rsid w:val="00A57658"/>
    <w:rsid w:val="00A709D0"/>
    <w:rsid w:val="00A72207"/>
    <w:rsid w:val="00A72F4A"/>
    <w:rsid w:val="00A75F12"/>
    <w:rsid w:val="00A76D60"/>
    <w:rsid w:val="00A84322"/>
    <w:rsid w:val="00AB7890"/>
    <w:rsid w:val="00AC46E2"/>
    <w:rsid w:val="00AC7B9C"/>
    <w:rsid w:val="00AE1AAD"/>
    <w:rsid w:val="00AF13A9"/>
    <w:rsid w:val="00AF1543"/>
    <w:rsid w:val="00AF28C2"/>
    <w:rsid w:val="00AF5AA2"/>
    <w:rsid w:val="00B407C8"/>
    <w:rsid w:val="00B45F33"/>
    <w:rsid w:val="00B462D8"/>
    <w:rsid w:val="00B51A83"/>
    <w:rsid w:val="00B82A10"/>
    <w:rsid w:val="00BB70ED"/>
    <w:rsid w:val="00BE143A"/>
    <w:rsid w:val="00BE289E"/>
    <w:rsid w:val="00BE62DD"/>
    <w:rsid w:val="00BF7140"/>
    <w:rsid w:val="00C06D31"/>
    <w:rsid w:val="00C129EF"/>
    <w:rsid w:val="00C24643"/>
    <w:rsid w:val="00C34230"/>
    <w:rsid w:val="00C43E05"/>
    <w:rsid w:val="00C47367"/>
    <w:rsid w:val="00C50CBB"/>
    <w:rsid w:val="00C5617B"/>
    <w:rsid w:val="00C62AA8"/>
    <w:rsid w:val="00C67B0D"/>
    <w:rsid w:val="00C74EAA"/>
    <w:rsid w:val="00C83D9F"/>
    <w:rsid w:val="00C84625"/>
    <w:rsid w:val="00C93E80"/>
    <w:rsid w:val="00CA0A5A"/>
    <w:rsid w:val="00CA2A10"/>
    <w:rsid w:val="00CA531E"/>
    <w:rsid w:val="00CA5855"/>
    <w:rsid w:val="00CB6903"/>
    <w:rsid w:val="00CB7CEF"/>
    <w:rsid w:val="00CC4DFC"/>
    <w:rsid w:val="00CC5F2F"/>
    <w:rsid w:val="00CC6AF0"/>
    <w:rsid w:val="00CD0F64"/>
    <w:rsid w:val="00CD5927"/>
    <w:rsid w:val="00CF5F2D"/>
    <w:rsid w:val="00D02766"/>
    <w:rsid w:val="00D341FC"/>
    <w:rsid w:val="00D35744"/>
    <w:rsid w:val="00D457A3"/>
    <w:rsid w:val="00D46D85"/>
    <w:rsid w:val="00D531C6"/>
    <w:rsid w:val="00D55DE2"/>
    <w:rsid w:val="00D73DD9"/>
    <w:rsid w:val="00D740BE"/>
    <w:rsid w:val="00D77805"/>
    <w:rsid w:val="00D82DEB"/>
    <w:rsid w:val="00D82EEB"/>
    <w:rsid w:val="00D86685"/>
    <w:rsid w:val="00D9403E"/>
    <w:rsid w:val="00D97753"/>
    <w:rsid w:val="00DA1D1D"/>
    <w:rsid w:val="00DA3E96"/>
    <w:rsid w:val="00DC3C86"/>
    <w:rsid w:val="00DD54D9"/>
    <w:rsid w:val="00DD56FD"/>
    <w:rsid w:val="00DE656F"/>
    <w:rsid w:val="00DE709B"/>
    <w:rsid w:val="00E017E2"/>
    <w:rsid w:val="00E04336"/>
    <w:rsid w:val="00E0641D"/>
    <w:rsid w:val="00E10854"/>
    <w:rsid w:val="00E5730E"/>
    <w:rsid w:val="00E57FF5"/>
    <w:rsid w:val="00E601C7"/>
    <w:rsid w:val="00E61035"/>
    <w:rsid w:val="00E66B0F"/>
    <w:rsid w:val="00EA6AD7"/>
    <w:rsid w:val="00EB707C"/>
    <w:rsid w:val="00EB7E98"/>
    <w:rsid w:val="00EC20CE"/>
    <w:rsid w:val="00EF7BAA"/>
    <w:rsid w:val="00F031B7"/>
    <w:rsid w:val="00F038DB"/>
    <w:rsid w:val="00F50640"/>
    <w:rsid w:val="00F574F5"/>
    <w:rsid w:val="00F62FCF"/>
    <w:rsid w:val="00F67003"/>
    <w:rsid w:val="00F70CC2"/>
    <w:rsid w:val="00F72056"/>
    <w:rsid w:val="00F72185"/>
    <w:rsid w:val="00F73E0E"/>
    <w:rsid w:val="00F90DC7"/>
    <w:rsid w:val="00F93CF5"/>
    <w:rsid w:val="00FC2FA5"/>
    <w:rsid w:val="00FC7A54"/>
    <w:rsid w:val="00FD28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4C3A55-55D5-4E6F-BF7A-B2367BF6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4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75" w:after="75"/>
      <w:ind w:firstLine="375"/>
      <w:jc w:val="both"/>
    </w:pPr>
    <w:rPr>
      <w:lang w:val="en-US"/>
    </w:rPr>
  </w:style>
  <w:style w:type="paragraph" w:styleId="BodyText">
    <w:name w:val="Body Text"/>
    <w:basedOn w:val="Normal"/>
    <w:semiHidden/>
    <w:pPr>
      <w:jc w:val="center"/>
    </w:pPr>
    <w:rPr>
      <w:b/>
      <w:bCs/>
      <w:sz w:val="28"/>
      <w:szCs w:val="28"/>
    </w:rPr>
  </w:style>
  <w:style w:type="paragraph" w:styleId="BodyTextIndent">
    <w:name w:val="Body Text Indent"/>
    <w:basedOn w:val="Normal"/>
    <w:semiHidden/>
    <w:pPr>
      <w:spacing w:after="120"/>
      <w:jc w:val="both"/>
    </w:pPr>
    <w:rPr>
      <w:b/>
      <w:bCs/>
    </w:rPr>
  </w:style>
  <w:style w:type="paragraph" w:styleId="NormalWeb">
    <w:name w:val="Normal (Web)"/>
    <w:basedOn w:val="Normal"/>
    <w:pPr>
      <w:spacing w:before="100" w:beforeAutospacing="1" w:after="100" w:afterAutospacing="1"/>
    </w:pPr>
    <w:rPr>
      <w:lang w:val="en-US"/>
    </w:rPr>
  </w:style>
  <w:style w:type="character" w:styleId="PageNumber">
    <w:name w:val="page number"/>
    <w:basedOn w:val="DefaultParagraphFont"/>
    <w:rPr>
      <w:rFonts w:ascii="Times New Roman" w:hAnsi="Times New Roman" w:cs="Times New Roman"/>
    </w:rPr>
  </w:style>
  <w:style w:type="paragraph" w:styleId="Header">
    <w:name w:val="header"/>
    <w:basedOn w:val="Normal"/>
    <w:uiPriority w:val="99"/>
    <w:pPr>
      <w:tabs>
        <w:tab w:val="center" w:pos="4153"/>
        <w:tab w:val="right" w:pos="8306"/>
      </w:tabs>
    </w:pPr>
  </w:style>
  <w:style w:type="paragraph" w:styleId="BodyTextIndent2">
    <w:name w:val="Body Text Indent 2"/>
    <w:basedOn w:val="Normal"/>
    <w:semiHidden/>
    <w:pPr>
      <w:spacing w:after="120"/>
      <w:ind w:firstLine="431"/>
      <w:jc w:val="both"/>
    </w:pPr>
  </w:style>
  <w:style w:type="paragraph" w:styleId="BodyTextIndent3">
    <w:name w:val="Body Text Indent 3"/>
    <w:basedOn w:val="Normal"/>
    <w:semiHidden/>
    <w:pPr>
      <w:spacing w:after="120"/>
      <w:ind w:firstLine="431"/>
      <w:jc w:val="both"/>
    </w:pPr>
    <w:rPr>
      <w:b/>
      <w:bCs/>
    </w:rPr>
  </w:style>
  <w:style w:type="paragraph" w:styleId="Footer">
    <w:name w:val="footer"/>
    <w:basedOn w:val="Normal"/>
    <w:link w:val="FooterChar"/>
    <w:pPr>
      <w:tabs>
        <w:tab w:val="center" w:pos="4153"/>
        <w:tab w:val="right" w:pos="8306"/>
      </w:tabs>
    </w:pPr>
  </w:style>
  <w:style w:type="paragraph" w:styleId="BodyText2">
    <w:name w:val="Body Text 2"/>
    <w:basedOn w:val="Normal"/>
    <w:semiHidden/>
    <w:pPr>
      <w:ind w:right="-857"/>
    </w:pPr>
    <w:rPr>
      <w:sz w:val="28"/>
      <w:szCs w:val="16"/>
    </w:rPr>
  </w:style>
  <w:style w:type="paragraph" w:styleId="BalloonText">
    <w:name w:val="Balloon Text"/>
    <w:basedOn w:val="Normal"/>
    <w:link w:val="BalloonTextChar"/>
    <w:uiPriority w:val="99"/>
    <w:semiHidden/>
    <w:unhideWhenUsed/>
    <w:rsid w:val="007A2705"/>
    <w:rPr>
      <w:rFonts w:ascii="Tahoma" w:hAnsi="Tahoma" w:cs="Tahoma"/>
      <w:sz w:val="16"/>
      <w:szCs w:val="16"/>
    </w:rPr>
  </w:style>
  <w:style w:type="character" w:customStyle="1" w:styleId="BalloonTextChar">
    <w:name w:val="Balloon Text Char"/>
    <w:basedOn w:val="DefaultParagraphFont"/>
    <w:link w:val="BalloonText"/>
    <w:uiPriority w:val="99"/>
    <w:semiHidden/>
    <w:rsid w:val="007A2705"/>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62FCF"/>
    <w:rPr>
      <w:sz w:val="16"/>
      <w:szCs w:val="16"/>
    </w:rPr>
  </w:style>
  <w:style w:type="paragraph" w:styleId="CommentText">
    <w:name w:val="annotation text"/>
    <w:basedOn w:val="Normal"/>
    <w:link w:val="CommentTextChar"/>
    <w:uiPriority w:val="99"/>
    <w:semiHidden/>
    <w:unhideWhenUsed/>
    <w:rsid w:val="00F62FCF"/>
    <w:rPr>
      <w:sz w:val="20"/>
      <w:szCs w:val="20"/>
    </w:rPr>
  </w:style>
  <w:style w:type="character" w:customStyle="1" w:styleId="CommentTextChar">
    <w:name w:val="Comment Text Char"/>
    <w:basedOn w:val="DefaultParagraphFont"/>
    <w:link w:val="CommentText"/>
    <w:uiPriority w:val="99"/>
    <w:semiHidden/>
    <w:rsid w:val="00F62FCF"/>
    <w:rPr>
      <w:lang w:val="en-GB" w:eastAsia="en-US"/>
    </w:rPr>
  </w:style>
  <w:style w:type="paragraph" w:styleId="CommentSubject">
    <w:name w:val="annotation subject"/>
    <w:basedOn w:val="CommentText"/>
    <w:next w:val="CommentText"/>
    <w:link w:val="CommentSubjectChar"/>
    <w:uiPriority w:val="99"/>
    <w:semiHidden/>
    <w:unhideWhenUsed/>
    <w:rsid w:val="00F62FCF"/>
    <w:rPr>
      <w:b/>
      <w:bCs/>
    </w:rPr>
  </w:style>
  <w:style w:type="character" w:customStyle="1" w:styleId="CommentSubjectChar">
    <w:name w:val="Comment Subject Char"/>
    <w:basedOn w:val="CommentTextChar"/>
    <w:link w:val="CommentSubject"/>
    <w:uiPriority w:val="99"/>
    <w:semiHidden/>
    <w:rsid w:val="00F62FCF"/>
    <w:rPr>
      <w:b/>
      <w:bCs/>
      <w:lang w:val="en-GB" w:eastAsia="en-US"/>
    </w:rPr>
  </w:style>
  <w:style w:type="paragraph" w:styleId="ListParagraph">
    <w:name w:val="List Paragraph"/>
    <w:basedOn w:val="Normal"/>
    <w:uiPriority w:val="34"/>
    <w:qFormat/>
    <w:rsid w:val="0021346B"/>
    <w:pPr>
      <w:ind w:left="720"/>
      <w:contextualSpacing/>
    </w:pPr>
  </w:style>
  <w:style w:type="paragraph" w:customStyle="1" w:styleId="naisnod">
    <w:name w:val="naisnod"/>
    <w:basedOn w:val="Normal"/>
    <w:rsid w:val="00992BD4"/>
    <w:pPr>
      <w:spacing w:before="150" w:after="150"/>
      <w:jc w:val="center"/>
    </w:pPr>
    <w:rPr>
      <w:b/>
      <w:bCs/>
      <w:lang w:eastAsia="lv-LV"/>
    </w:rPr>
  </w:style>
  <w:style w:type="paragraph" w:customStyle="1" w:styleId="labojumupamats">
    <w:name w:val="labojumu_pamats"/>
    <w:basedOn w:val="Normal"/>
    <w:rsid w:val="00224411"/>
    <w:pPr>
      <w:spacing w:before="100" w:beforeAutospacing="1" w:after="100" w:afterAutospacing="1"/>
    </w:pPr>
    <w:rPr>
      <w:lang w:eastAsia="lv-LV"/>
    </w:rPr>
  </w:style>
  <w:style w:type="character" w:styleId="Hyperlink">
    <w:name w:val="Hyperlink"/>
    <w:basedOn w:val="DefaultParagraphFont"/>
    <w:uiPriority w:val="99"/>
    <w:semiHidden/>
    <w:unhideWhenUsed/>
    <w:rsid w:val="00224411"/>
    <w:rPr>
      <w:color w:val="0000FF"/>
      <w:u w:val="single"/>
    </w:rPr>
  </w:style>
  <w:style w:type="paragraph" w:customStyle="1" w:styleId="tvhtml">
    <w:name w:val="tv_html"/>
    <w:basedOn w:val="Normal"/>
    <w:rsid w:val="00224411"/>
    <w:pPr>
      <w:spacing w:before="100" w:beforeAutospacing="1" w:after="100" w:afterAutospacing="1"/>
    </w:pPr>
    <w:rPr>
      <w:lang w:eastAsia="lv-LV"/>
    </w:rPr>
  </w:style>
  <w:style w:type="paragraph" w:customStyle="1" w:styleId="Datums">
    <w:name w:val="Datums"/>
    <w:basedOn w:val="Normal"/>
    <w:next w:val="Normal"/>
    <w:rsid w:val="00E5730E"/>
    <w:pPr>
      <w:spacing w:before="1700"/>
    </w:pPr>
    <w:rPr>
      <w:szCs w:val="20"/>
      <w:lang w:val="en-US"/>
    </w:rPr>
  </w:style>
  <w:style w:type="character" w:customStyle="1" w:styleId="FooterChar">
    <w:name w:val="Footer Char"/>
    <w:basedOn w:val="DefaultParagraphFont"/>
    <w:link w:val="Footer"/>
    <w:rsid w:val="00D82DEB"/>
    <w:rPr>
      <w:sz w:val="24"/>
      <w:szCs w:val="24"/>
      <w:lang w:eastAsia="en-US"/>
    </w:rPr>
  </w:style>
  <w:style w:type="paragraph" w:customStyle="1" w:styleId="naiskr">
    <w:name w:val="naiskr"/>
    <w:basedOn w:val="Normal"/>
    <w:rsid w:val="00F72185"/>
    <w:pPr>
      <w:spacing w:before="75" w:after="75"/>
    </w:pPr>
    <w:rPr>
      <w:lang w:eastAsia="lv-LV"/>
    </w:rPr>
  </w:style>
  <w:style w:type="character" w:customStyle="1" w:styleId="apple-converted-space">
    <w:name w:val="apple-converted-space"/>
    <w:basedOn w:val="DefaultParagraphFont"/>
    <w:rsid w:val="0048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41857">
      <w:bodyDiv w:val="1"/>
      <w:marLeft w:val="0"/>
      <w:marRight w:val="0"/>
      <w:marTop w:val="0"/>
      <w:marBottom w:val="0"/>
      <w:divBdr>
        <w:top w:val="none" w:sz="0" w:space="0" w:color="auto"/>
        <w:left w:val="none" w:sz="0" w:space="0" w:color="auto"/>
        <w:bottom w:val="none" w:sz="0" w:space="0" w:color="auto"/>
        <w:right w:val="none" w:sz="0" w:space="0" w:color="auto"/>
      </w:divBdr>
      <w:divsChild>
        <w:div w:id="707488906">
          <w:marLeft w:val="0"/>
          <w:marRight w:val="0"/>
          <w:marTop w:val="0"/>
          <w:marBottom w:val="0"/>
          <w:divBdr>
            <w:top w:val="none" w:sz="0" w:space="0" w:color="auto"/>
            <w:left w:val="none" w:sz="0" w:space="0" w:color="auto"/>
            <w:bottom w:val="none" w:sz="0" w:space="0" w:color="auto"/>
            <w:right w:val="none" w:sz="0" w:space="0" w:color="auto"/>
          </w:divBdr>
        </w:div>
        <w:div w:id="158540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A338E-D3EA-4A9E-A316-F14BC075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14944</Words>
  <Characters>8519</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Likumprojekta "Noguldījumu garantiju likums" anotācija</vt:lpstr>
    </vt:vector>
  </TitlesOfParts>
  <Manager>Valsts kases Pārskatu departamenta direktore Ligita Agleniece</Manager>
  <Company>Valsts kase</Company>
  <LinksUpToDate>false</LinksUpToDate>
  <CharactersWithSpaces>23417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"Noguldījumu garantiju likums" anotācija</dc:title>
  <dc:subject>Anotācija</dc:subject>
  <dc:creator>Ieva Berrone</dc:creator>
  <dc:description>I. Berrone
6777 4804; Ieva.Berrone@fktk.lv</dc:description>
  <cp:lastModifiedBy>Gunta Puidīte</cp:lastModifiedBy>
  <cp:revision>14</cp:revision>
  <cp:lastPrinted>2014-12-12T14:07:00Z</cp:lastPrinted>
  <dcterms:created xsi:type="dcterms:W3CDTF">2014-11-13T09:59:00Z</dcterms:created>
  <dcterms:modified xsi:type="dcterms:W3CDTF">2014-12-15T08:46:00Z</dcterms:modified>
</cp:coreProperties>
</file>