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CD" w:rsidRPr="00D459CF" w:rsidRDefault="009C17CD" w:rsidP="009C17CD">
      <w:pPr>
        <w:keepNext/>
        <w:spacing w:after="0" w:line="240" w:lineRule="auto"/>
        <w:contextualSpacing/>
        <w:jc w:val="center"/>
        <w:outlineLvl w:val="2"/>
        <w:rPr>
          <w:rFonts w:ascii="Times New Roman" w:eastAsia="Times New Roman" w:hAnsi="Times New Roman"/>
          <w:b/>
          <w:bCs/>
          <w:sz w:val="28"/>
          <w:szCs w:val="28"/>
          <w:lang w:eastAsia="lv-LV"/>
        </w:rPr>
      </w:pPr>
      <w:bookmarkStart w:id="0" w:name="_GoBack"/>
      <w:r w:rsidRPr="00D459CF">
        <w:rPr>
          <w:rFonts w:ascii="Times New Roman" w:eastAsia="Times New Roman" w:hAnsi="Times New Roman"/>
          <w:b/>
          <w:bCs/>
          <w:sz w:val="28"/>
          <w:szCs w:val="28"/>
          <w:lang w:eastAsia="lv-LV"/>
        </w:rPr>
        <w:t>Grozījumi likumā "Par uzņēmumu ienākuma nodokli"</w:t>
      </w:r>
    </w:p>
    <w:bookmarkEnd w:id="0"/>
    <w:p w:rsidR="009C17CD" w:rsidRPr="00D459CF" w:rsidRDefault="009C17CD" w:rsidP="009C17CD">
      <w:pPr>
        <w:spacing w:after="0" w:line="240" w:lineRule="auto"/>
        <w:ind w:firstLine="720"/>
        <w:contextualSpacing/>
        <w:jc w:val="center"/>
        <w:rPr>
          <w:rFonts w:ascii="Times New Roman" w:hAnsi="Times New Roman"/>
          <w:b/>
          <w:bCs/>
          <w:sz w:val="28"/>
          <w:szCs w:val="28"/>
          <w:lang w:eastAsia="lv-LV"/>
        </w:rPr>
      </w:pPr>
    </w:p>
    <w:p w:rsidR="009C17CD" w:rsidRPr="00D459CF" w:rsidRDefault="009C17CD" w:rsidP="009C17CD">
      <w:pPr>
        <w:spacing w:after="0" w:line="240" w:lineRule="auto"/>
        <w:ind w:firstLine="709"/>
        <w:contextualSpacing/>
        <w:jc w:val="both"/>
        <w:rPr>
          <w:rFonts w:ascii="Times New Roman" w:hAnsi="Times New Roman"/>
          <w:sz w:val="28"/>
          <w:szCs w:val="28"/>
          <w:lang w:eastAsia="lv-LV"/>
        </w:rPr>
      </w:pPr>
      <w:r w:rsidRPr="00D459CF">
        <w:rPr>
          <w:rFonts w:ascii="Times New Roman" w:hAnsi="Times New Roman"/>
          <w:sz w:val="28"/>
          <w:szCs w:val="28"/>
          <w:lang w:eastAsia="lv-LV"/>
        </w:rPr>
        <w:t xml:space="preserve">Izdarīt likumā "Par uzņēmumu ienākuma nodokli" </w:t>
      </w:r>
      <w:r w:rsidRPr="00D459CF">
        <w:rPr>
          <w:rFonts w:ascii="Times New Roman" w:hAnsi="Times New Roman"/>
          <w:bCs/>
          <w:sz w:val="28"/>
          <w:szCs w:val="28"/>
          <w:lang w:eastAsia="lv-LV"/>
        </w:rPr>
        <w:t>(Latvijas Republikas Saeimas un Ministru Kabineta Ziņotājs, 1995, 7., 24.nr.; 1996, 9., 15.nr.; 1997, 8., 24.nr.; 1998, 8., 21.nr.; 1999, 6., 24.nr.; 2000, 9.nr.; 2001, 1., 5., 24.nr.; 2003, 15.nr.; 2005, 2., 24.nr.; 2006, 1.nr.; 2007, 3., 12., 24.nr.;</w:t>
      </w:r>
      <w:r w:rsidRPr="00D459CF">
        <w:rPr>
          <w:rFonts w:ascii="Times New Roman" w:hAnsi="Times New Roman"/>
          <w:sz w:val="28"/>
          <w:szCs w:val="28"/>
          <w:lang w:eastAsia="lv-LV"/>
        </w:rPr>
        <w:t> </w:t>
      </w:r>
      <w:r w:rsidRPr="00D459CF">
        <w:rPr>
          <w:rFonts w:ascii="Times New Roman" w:hAnsi="Times New Roman"/>
          <w:bCs/>
          <w:sz w:val="28"/>
          <w:szCs w:val="28"/>
          <w:lang w:eastAsia="lv-LV"/>
        </w:rPr>
        <w:t xml:space="preserve">2009, 1.,15., 21.nr.; Latvijas Vēstnesis, 2009, 175., 200.nr.; 2010, </w:t>
      </w:r>
      <w:r w:rsidRPr="00D459CF">
        <w:rPr>
          <w:rFonts w:ascii="Times New Roman" w:hAnsi="Times New Roman"/>
          <w:sz w:val="28"/>
          <w:szCs w:val="28"/>
          <w:lang w:eastAsia="lv-LV"/>
        </w:rPr>
        <w:t xml:space="preserve">102., 131., 170., 206.nr., 2011, 204.nr., </w:t>
      </w:r>
      <w:r w:rsidRPr="00D459CF">
        <w:rPr>
          <w:rFonts w:ascii="Times New Roman" w:hAnsi="Times New Roman"/>
          <w:sz w:val="28"/>
          <w:szCs w:val="28"/>
        </w:rPr>
        <w:t xml:space="preserve">2013, 53., 119., 194., 232.nr.) </w:t>
      </w:r>
      <w:r w:rsidRPr="00D459CF">
        <w:rPr>
          <w:rFonts w:ascii="Times New Roman" w:hAnsi="Times New Roman"/>
          <w:sz w:val="28"/>
          <w:szCs w:val="28"/>
          <w:lang w:eastAsia="lv-LV"/>
        </w:rPr>
        <w:t>šādus grozījumus:</w:t>
      </w:r>
    </w:p>
    <w:p w:rsidR="009C17CD" w:rsidRPr="00D459CF" w:rsidRDefault="009C17CD" w:rsidP="009C17CD">
      <w:pPr>
        <w:spacing w:after="0" w:line="240" w:lineRule="auto"/>
        <w:ind w:firstLine="709"/>
        <w:contextualSpacing/>
        <w:jc w:val="both"/>
        <w:rPr>
          <w:rFonts w:ascii="Times New Roman" w:hAnsi="Times New Roman"/>
          <w:sz w:val="28"/>
          <w:szCs w:val="28"/>
          <w:lang w:eastAsia="lv-LV"/>
        </w:rPr>
      </w:pPr>
    </w:p>
    <w:p w:rsidR="009C17CD" w:rsidRPr="00D459CF" w:rsidRDefault="009C17CD" w:rsidP="009C17CD">
      <w:pPr>
        <w:pStyle w:val="ListParagraph"/>
        <w:numPr>
          <w:ilvl w:val="0"/>
          <w:numId w:val="1"/>
        </w:numPr>
        <w:tabs>
          <w:tab w:val="left" w:pos="-4111"/>
          <w:tab w:val="left" w:pos="993"/>
        </w:tabs>
        <w:spacing w:before="0"/>
        <w:ind w:left="0" w:firstLine="567"/>
        <w:rPr>
          <w:rFonts w:ascii="Times New Roman" w:hAnsi="Times New Roman"/>
          <w:sz w:val="28"/>
          <w:szCs w:val="28"/>
          <w:lang w:eastAsia="lv-LV"/>
        </w:rPr>
      </w:pPr>
      <w:r w:rsidRPr="00D459CF">
        <w:rPr>
          <w:rFonts w:ascii="Times New Roman" w:hAnsi="Times New Roman"/>
          <w:sz w:val="28"/>
          <w:szCs w:val="28"/>
          <w:lang w:eastAsia="lv-LV"/>
        </w:rPr>
        <w:t>Papildināt 2.pantu ar 3.</w:t>
      </w:r>
      <w:r w:rsidRPr="00D459CF">
        <w:rPr>
          <w:rFonts w:ascii="Times New Roman" w:hAnsi="Times New Roman"/>
          <w:sz w:val="28"/>
          <w:szCs w:val="28"/>
          <w:vertAlign w:val="superscript"/>
          <w:lang w:eastAsia="lv-LV"/>
        </w:rPr>
        <w:t>3</w:t>
      </w:r>
      <w:r w:rsidRPr="00D459CF">
        <w:rPr>
          <w:rFonts w:ascii="Times New Roman" w:hAnsi="Times New Roman"/>
          <w:sz w:val="28"/>
          <w:szCs w:val="28"/>
          <w:lang w:eastAsia="lv-LV"/>
        </w:rPr>
        <w:t>daļu šādā redakcijā:</w:t>
      </w:r>
    </w:p>
    <w:p w:rsidR="009C17CD" w:rsidRPr="00D459CF" w:rsidRDefault="009C17CD" w:rsidP="009C17CD">
      <w:pPr>
        <w:pStyle w:val="ListParagraph"/>
        <w:tabs>
          <w:tab w:val="left" w:pos="-4111"/>
        </w:tabs>
        <w:spacing w:before="0"/>
        <w:ind w:left="0" w:firstLine="567"/>
        <w:rPr>
          <w:rFonts w:ascii="Times New Roman" w:hAnsi="Times New Roman"/>
          <w:sz w:val="28"/>
          <w:szCs w:val="28"/>
        </w:rPr>
      </w:pPr>
      <w:r w:rsidRPr="00D459CF">
        <w:rPr>
          <w:rFonts w:ascii="Times New Roman" w:hAnsi="Times New Roman"/>
          <w:sz w:val="28"/>
          <w:szCs w:val="28"/>
          <w:lang w:eastAsia="lv-LV"/>
        </w:rPr>
        <w:t>“(3</w:t>
      </w:r>
      <w:r w:rsidRPr="00D459CF">
        <w:rPr>
          <w:rFonts w:ascii="Times New Roman" w:hAnsi="Times New Roman"/>
          <w:sz w:val="28"/>
          <w:szCs w:val="28"/>
          <w:vertAlign w:val="superscript"/>
          <w:lang w:eastAsia="lv-LV"/>
        </w:rPr>
        <w:t>3</w:t>
      </w:r>
      <w:r w:rsidRPr="00D459CF">
        <w:rPr>
          <w:rFonts w:ascii="Times New Roman" w:hAnsi="Times New Roman"/>
          <w:sz w:val="28"/>
          <w:szCs w:val="28"/>
          <w:lang w:eastAsia="lv-LV"/>
        </w:rPr>
        <w:t>)</w:t>
      </w:r>
      <w:r w:rsidRPr="00D459CF">
        <w:rPr>
          <w:rFonts w:ascii="Times New Roman" w:hAnsi="Times New Roman"/>
          <w:sz w:val="28"/>
          <w:szCs w:val="28"/>
        </w:rPr>
        <w:t xml:space="preserve"> Šā panta trešajā daļā minēto personālsabiedrības biedra – fiziskas personas tai pienākošos personālsabiedrības apliekamā ienākuma daļu palielina par atbilstošu personālsabiedrības ienākuma daļu, kas gūta no:</w:t>
      </w:r>
    </w:p>
    <w:p w:rsidR="009C17CD" w:rsidRPr="00D459CF" w:rsidRDefault="009C17CD" w:rsidP="009C17CD">
      <w:pPr>
        <w:pStyle w:val="ListParagraph"/>
        <w:tabs>
          <w:tab w:val="left" w:pos="-4111"/>
        </w:tabs>
        <w:spacing w:before="0"/>
        <w:ind w:left="0" w:firstLine="567"/>
        <w:rPr>
          <w:rFonts w:ascii="Times New Roman" w:hAnsi="Times New Roman"/>
          <w:sz w:val="28"/>
          <w:szCs w:val="28"/>
        </w:rPr>
      </w:pPr>
      <w:r w:rsidRPr="00D459CF">
        <w:rPr>
          <w:rFonts w:ascii="Times New Roman" w:hAnsi="Times New Roman"/>
          <w:sz w:val="28"/>
          <w:szCs w:val="28"/>
        </w:rPr>
        <w:t>1) akciju atsavināšanas, izņemot ienākumu no kapitālsabiedrības, kas ir tādas valsts vai teritorijas rezidents, kura saskaņā ar normatīvo aktu noteikumiem ir atzīta par zemu nodokļu vai beznodokļu valsti vai teritoriju, akciju atsavināšanas;</w:t>
      </w:r>
    </w:p>
    <w:p w:rsidR="009C17CD" w:rsidRPr="00D459CF" w:rsidRDefault="009C17CD" w:rsidP="009C17CD">
      <w:pPr>
        <w:pStyle w:val="ListParagraph"/>
        <w:tabs>
          <w:tab w:val="left" w:pos="-4111"/>
        </w:tabs>
        <w:spacing w:before="0"/>
        <w:ind w:left="0" w:firstLine="567"/>
        <w:rPr>
          <w:rFonts w:ascii="Times New Roman" w:hAnsi="Times New Roman"/>
          <w:sz w:val="28"/>
          <w:szCs w:val="28"/>
        </w:rPr>
      </w:pPr>
      <w:r w:rsidRPr="00D459CF">
        <w:rPr>
          <w:rFonts w:ascii="Times New Roman" w:hAnsi="Times New Roman"/>
          <w:sz w:val="28"/>
          <w:szCs w:val="28"/>
        </w:rPr>
        <w:t>2) personālsabiedrībai noteiktajām dividendēm, izņemot gadījumu, kad dividenžu izmaksātājs ir tādas valsts vai teritorijas rezidents, kura saskaņā ar normatīvo aktu noteikumiem ir atzīta par zemu nodokļu vai beznodokļu valsti vai teritoriju;</w:t>
      </w:r>
    </w:p>
    <w:p w:rsidR="009C17CD" w:rsidRPr="00D459CF" w:rsidRDefault="009C17CD" w:rsidP="009C17CD">
      <w:pPr>
        <w:pStyle w:val="ListParagraph"/>
        <w:tabs>
          <w:tab w:val="left" w:pos="-4111"/>
        </w:tabs>
        <w:spacing w:before="0"/>
        <w:ind w:left="0" w:firstLine="567"/>
        <w:rPr>
          <w:rFonts w:ascii="Times New Roman" w:hAnsi="Times New Roman"/>
          <w:sz w:val="28"/>
          <w:szCs w:val="28"/>
        </w:rPr>
      </w:pPr>
      <w:r w:rsidRPr="00D459CF">
        <w:rPr>
          <w:rFonts w:ascii="Times New Roman" w:hAnsi="Times New Roman"/>
          <w:sz w:val="28"/>
          <w:szCs w:val="28"/>
        </w:rPr>
        <w:t>3) Eiropas Savienības vai Eiropas Ekonomikas zonas publiskās apgrozības vērtspapīru, kas nav valsts vai pašvaldību vērtspapīri, atsavināšanas (ieskaitot procentu maksājumus, kas gūti no obligācijām).”</w:t>
      </w:r>
    </w:p>
    <w:p w:rsidR="009C17CD" w:rsidRPr="00D459CF" w:rsidRDefault="009C17CD" w:rsidP="009C17CD">
      <w:pPr>
        <w:pStyle w:val="ListParagraph"/>
        <w:tabs>
          <w:tab w:val="left" w:pos="-4111"/>
        </w:tabs>
        <w:spacing w:before="0"/>
        <w:ind w:left="0" w:firstLine="567"/>
        <w:rPr>
          <w:rFonts w:ascii="Times New Roman" w:hAnsi="Times New Roman"/>
          <w:sz w:val="28"/>
          <w:szCs w:val="28"/>
          <w:lang w:eastAsia="lv-LV"/>
        </w:rPr>
      </w:pPr>
    </w:p>
    <w:p w:rsidR="009C17CD" w:rsidRDefault="00675990" w:rsidP="00675990">
      <w:pPr>
        <w:pStyle w:val="ListParagraph"/>
        <w:numPr>
          <w:ilvl w:val="0"/>
          <w:numId w:val="1"/>
        </w:numPr>
        <w:tabs>
          <w:tab w:val="left" w:pos="-4111"/>
          <w:tab w:val="left" w:pos="993"/>
        </w:tabs>
        <w:spacing w:before="0"/>
        <w:ind w:left="0" w:firstLine="567"/>
        <w:rPr>
          <w:rFonts w:ascii="Times New Roman" w:hAnsi="Times New Roman"/>
          <w:sz w:val="28"/>
          <w:szCs w:val="28"/>
          <w:lang w:eastAsia="lv-LV"/>
        </w:rPr>
      </w:pPr>
      <w:r>
        <w:rPr>
          <w:rFonts w:ascii="Times New Roman" w:hAnsi="Times New Roman"/>
          <w:sz w:val="28"/>
          <w:szCs w:val="28"/>
          <w:lang w:eastAsia="lv-LV"/>
        </w:rPr>
        <w:t>Aizstāt</w:t>
      </w:r>
      <w:r w:rsidR="009C17CD" w:rsidRPr="00D459CF">
        <w:rPr>
          <w:rFonts w:ascii="Times New Roman" w:hAnsi="Times New Roman"/>
          <w:sz w:val="28"/>
          <w:szCs w:val="28"/>
          <w:lang w:eastAsia="lv-LV"/>
        </w:rPr>
        <w:t xml:space="preserve"> 3.panta 4.</w:t>
      </w:r>
      <w:r w:rsidR="009C17CD" w:rsidRPr="00D459CF">
        <w:rPr>
          <w:rFonts w:ascii="Times New Roman" w:hAnsi="Times New Roman"/>
          <w:sz w:val="28"/>
          <w:szCs w:val="28"/>
          <w:vertAlign w:val="superscript"/>
          <w:lang w:eastAsia="lv-LV"/>
        </w:rPr>
        <w:t>8</w:t>
      </w:r>
      <w:r w:rsidR="009C17CD" w:rsidRPr="00D459CF">
        <w:rPr>
          <w:rFonts w:ascii="Times New Roman" w:hAnsi="Times New Roman"/>
          <w:sz w:val="28"/>
          <w:szCs w:val="28"/>
          <w:lang w:eastAsia="lv-LV"/>
        </w:rPr>
        <w:t>daļā vārd</w:t>
      </w:r>
      <w:r w:rsidR="009525FB">
        <w:rPr>
          <w:rFonts w:ascii="Times New Roman" w:hAnsi="Times New Roman"/>
          <w:sz w:val="28"/>
          <w:szCs w:val="28"/>
          <w:lang w:eastAsia="lv-LV"/>
        </w:rPr>
        <w:t>us</w:t>
      </w:r>
      <w:r w:rsidR="009C17CD" w:rsidRPr="00D459CF">
        <w:rPr>
          <w:rFonts w:ascii="Times New Roman" w:hAnsi="Times New Roman"/>
          <w:sz w:val="28"/>
          <w:szCs w:val="28"/>
          <w:lang w:eastAsia="lv-LV"/>
        </w:rPr>
        <w:t xml:space="preserve"> </w:t>
      </w:r>
      <w:r w:rsidR="009525FB">
        <w:rPr>
          <w:rFonts w:ascii="Times New Roman" w:hAnsi="Times New Roman"/>
          <w:sz w:val="28"/>
          <w:szCs w:val="28"/>
          <w:lang w:eastAsia="lv-LV"/>
        </w:rPr>
        <w:t>un skaitli “ceturtās daļas 7.punktā</w:t>
      </w:r>
      <w:r w:rsidR="009C17CD" w:rsidRPr="00D459CF">
        <w:rPr>
          <w:rFonts w:ascii="Times New Roman" w:hAnsi="Times New Roman"/>
          <w:sz w:val="28"/>
          <w:szCs w:val="28"/>
          <w:lang w:eastAsia="lv-LV"/>
        </w:rPr>
        <w:t>” ar vārd</w:t>
      </w:r>
      <w:r w:rsidR="009525FB">
        <w:rPr>
          <w:rFonts w:ascii="Times New Roman" w:hAnsi="Times New Roman"/>
          <w:sz w:val="28"/>
          <w:szCs w:val="28"/>
          <w:lang w:eastAsia="lv-LV"/>
        </w:rPr>
        <w:t>iem un</w:t>
      </w:r>
      <w:r w:rsidR="009C17CD" w:rsidRPr="00D459CF">
        <w:rPr>
          <w:rFonts w:ascii="Times New Roman" w:hAnsi="Times New Roman"/>
          <w:sz w:val="28"/>
          <w:szCs w:val="28"/>
          <w:lang w:eastAsia="lv-LV"/>
        </w:rPr>
        <w:t xml:space="preserve"> </w:t>
      </w:r>
      <w:r w:rsidR="009525FB" w:rsidRPr="00D459CF">
        <w:rPr>
          <w:rFonts w:ascii="Times New Roman" w:hAnsi="Times New Roman"/>
          <w:sz w:val="28"/>
          <w:szCs w:val="28"/>
          <w:lang w:eastAsia="lv-LV"/>
        </w:rPr>
        <w:t xml:space="preserve">skaitļiem </w:t>
      </w:r>
      <w:r w:rsidR="009C17CD" w:rsidRPr="00D459CF">
        <w:rPr>
          <w:rFonts w:ascii="Times New Roman" w:hAnsi="Times New Roman"/>
          <w:sz w:val="28"/>
          <w:szCs w:val="28"/>
          <w:lang w:eastAsia="lv-LV"/>
        </w:rPr>
        <w:t>“</w:t>
      </w:r>
      <w:r w:rsidR="009525FB">
        <w:rPr>
          <w:rFonts w:ascii="Times New Roman" w:hAnsi="Times New Roman"/>
          <w:sz w:val="28"/>
          <w:szCs w:val="28"/>
          <w:lang w:eastAsia="lv-LV"/>
        </w:rPr>
        <w:t xml:space="preserve">ceturtās daļas </w:t>
      </w:r>
      <w:r w:rsidR="009C17CD" w:rsidRPr="00D459CF">
        <w:rPr>
          <w:rFonts w:ascii="Times New Roman" w:hAnsi="Times New Roman"/>
          <w:sz w:val="28"/>
          <w:szCs w:val="28"/>
          <w:lang w:eastAsia="lv-LV"/>
        </w:rPr>
        <w:t>2., 5. un</w:t>
      </w:r>
      <w:r w:rsidR="009525FB">
        <w:rPr>
          <w:rFonts w:ascii="Times New Roman" w:hAnsi="Times New Roman"/>
          <w:sz w:val="28"/>
          <w:szCs w:val="28"/>
          <w:lang w:eastAsia="lv-LV"/>
        </w:rPr>
        <w:t xml:space="preserve"> 7.punktā</w:t>
      </w:r>
      <w:r w:rsidR="009C17CD" w:rsidRPr="00D459CF">
        <w:rPr>
          <w:rFonts w:ascii="Times New Roman" w:hAnsi="Times New Roman"/>
          <w:sz w:val="28"/>
          <w:szCs w:val="28"/>
          <w:lang w:eastAsia="lv-LV"/>
        </w:rPr>
        <w:t>”</w:t>
      </w:r>
      <w:r w:rsidR="009525FB">
        <w:rPr>
          <w:rFonts w:ascii="Times New Roman" w:hAnsi="Times New Roman"/>
          <w:sz w:val="28"/>
          <w:szCs w:val="28"/>
          <w:lang w:eastAsia="lv-LV"/>
        </w:rPr>
        <w:t>.</w:t>
      </w:r>
    </w:p>
    <w:p w:rsidR="00675990" w:rsidRPr="00D459CF" w:rsidRDefault="00675990" w:rsidP="00675990">
      <w:pPr>
        <w:pStyle w:val="ListParagraph"/>
        <w:tabs>
          <w:tab w:val="left" w:pos="-4111"/>
          <w:tab w:val="left" w:pos="993"/>
        </w:tabs>
        <w:spacing w:before="0"/>
        <w:ind w:left="567"/>
        <w:rPr>
          <w:rFonts w:ascii="Times New Roman" w:hAnsi="Times New Roman"/>
          <w:sz w:val="28"/>
          <w:szCs w:val="28"/>
          <w:lang w:eastAsia="lv-LV"/>
        </w:rPr>
      </w:pPr>
    </w:p>
    <w:p w:rsidR="009C17CD" w:rsidRPr="00D459CF" w:rsidRDefault="009C17CD" w:rsidP="009C17CD">
      <w:pPr>
        <w:pStyle w:val="ListParagraph"/>
        <w:numPr>
          <w:ilvl w:val="0"/>
          <w:numId w:val="1"/>
        </w:numPr>
        <w:tabs>
          <w:tab w:val="left" w:pos="-4111"/>
          <w:tab w:val="left" w:pos="993"/>
        </w:tabs>
        <w:spacing w:before="0"/>
        <w:ind w:left="0" w:firstLine="567"/>
        <w:rPr>
          <w:rFonts w:ascii="Times New Roman" w:hAnsi="Times New Roman"/>
          <w:sz w:val="28"/>
          <w:szCs w:val="28"/>
          <w:lang w:eastAsia="lv-LV"/>
        </w:rPr>
      </w:pPr>
      <w:r w:rsidRPr="00D459CF">
        <w:rPr>
          <w:rFonts w:ascii="Times New Roman" w:hAnsi="Times New Roman"/>
          <w:sz w:val="28"/>
          <w:szCs w:val="28"/>
          <w:lang w:eastAsia="lv-LV"/>
        </w:rPr>
        <w:t>6.pantā:</w:t>
      </w:r>
    </w:p>
    <w:p w:rsidR="009C17CD" w:rsidRPr="00D459CF" w:rsidRDefault="009C17CD" w:rsidP="009C17CD">
      <w:pPr>
        <w:tabs>
          <w:tab w:val="left" w:pos="-4111"/>
        </w:tabs>
        <w:ind w:firstLine="567"/>
        <w:rPr>
          <w:rFonts w:ascii="Times New Roman" w:hAnsi="Times New Roman"/>
          <w:sz w:val="28"/>
          <w:szCs w:val="28"/>
          <w:lang w:eastAsia="lv-LV"/>
        </w:rPr>
      </w:pPr>
      <w:r w:rsidRPr="00D459CF">
        <w:rPr>
          <w:rFonts w:ascii="Times New Roman" w:hAnsi="Times New Roman"/>
          <w:sz w:val="28"/>
          <w:szCs w:val="28"/>
          <w:lang w:eastAsia="lv-LV"/>
        </w:rPr>
        <w:t>papildināt pirmās daļa 6.punktu pēc skaitļa “7.” ar skaitli “7.</w:t>
      </w:r>
      <w:r w:rsidRPr="00D459CF">
        <w:rPr>
          <w:rFonts w:ascii="Times New Roman" w:hAnsi="Times New Roman"/>
          <w:sz w:val="28"/>
          <w:szCs w:val="28"/>
          <w:vertAlign w:val="superscript"/>
          <w:lang w:eastAsia="lv-LV"/>
        </w:rPr>
        <w:t>2</w:t>
      </w:r>
      <w:r w:rsidRPr="00D459CF">
        <w:rPr>
          <w:rFonts w:ascii="Times New Roman" w:hAnsi="Times New Roman"/>
          <w:sz w:val="28"/>
          <w:szCs w:val="28"/>
          <w:lang w:eastAsia="lv-LV"/>
        </w:rPr>
        <w:t>”;</w:t>
      </w:r>
    </w:p>
    <w:p w:rsidR="009C17CD" w:rsidRPr="00D459CF" w:rsidRDefault="009C17CD" w:rsidP="009C17CD">
      <w:pPr>
        <w:tabs>
          <w:tab w:val="left" w:pos="-4111"/>
          <w:tab w:val="left" w:pos="993"/>
        </w:tabs>
        <w:ind w:firstLine="567"/>
        <w:rPr>
          <w:rFonts w:ascii="Times New Roman" w:hAnsi="Times New Roman"/>
          <w:sz w:val="28"/>
          <w:szCs w:val="28"/>
          <w:lang w:eastAsia="lv-LV"/>
        </w:rPr>
      </w:pPr>
      <w:r w:rsidRPr="00D459CF">
        <w:rPr>
          <w:rFonts w:ascii="Times New Roman" w:hAnsi="Times New Roman"/>
          <w:sz w:val="28"/>
          <w:szCs w:val="28"/>
          <w:lang w:eastAsia="lv-LV"/>
        </w:rPr>
        <w:t>papildināt ceturtās daļa 3.punktu pēc skaitļa “7.” ar skaitli “7.</w:t>
      </w:r>
      <w:r w:rsidRPr="00D459CF">
        <w:rPr>
          <w:rFonts w:ascii="Times New Roman" w:hAnsi="Times New Roman"/>
          <w:sz w:val="28"/>
          <w:szCs w:val="28"/>
          <w:vertAlign w:val="superscript"/>
          <w:lang w:eastAsia="lv-LV"/>
        </w:rPr>
        <w:t>2</w:t>
      </w:r>
      <w:r w:rsidRPr="00D459CF">
        <w:rPr>
          <w:rFonts w:ascii="Times New Roman" w:hAnsi="Times New Roman"/>
          <w:sz w:val="28"/>
          <w:szCs w:val="28"/>
          <w:lang w:eastAsia="lv-LV"/>
        </w:rPr>
        <w:t>”.</w:t>
      </w:r>
    </w:p>
    <w:p w:rsidR="009C17CD" w:rsidRPr="00D459CF" w:rsidRDefault="009C17CD" w:rsidP="009C17CD">
      <w:pPr>
        <w:pStyle w:val="ListParagraph"/>
        <w:numPr>
          <w:ilvl w:val="0"/>
          <w:numId w:val="1"/>
        </w:numPr>
        <w:tabs>
          <w:tab w:val="left" w:pos="-4111"/>
          <w:tab w:val="left" w:pos="993"/>
        </w:tabs>
        <w:spacing w:before="0"/>
        <w:ind w:left="0" w:firstLine="567"/>
        <w:rPr>
          <w:rFonts w:ascii="Times New Roman" w:hAnsi="Times New Roman"/>
          <w:sz w:val="28"/>
          <w:szCs w:val="28"/>
          <w:lang w:eastAsia="lv-LV"/>
        </w:rPr>
      </w:pPr>
      <w:r w:rsidRPr="00D459CF">
        <w:rPr>
          <w:rFonts w:ascii="Times New Roman" w:hAnsi="Times New Roman"/>
          <w:sz w:val="28"/>
          <w:szCs w:val="28"/>
          <w:lang w:eastAsia="lv-LV"/>
        </w:rPr>
        <w:t>Papildināt 6.</w:t>
      </w:r>
      <w:r w:rsidRPr="00D459CF">
        <w:rPr>
          <w:rFonts w:ascii="Times New Roman" w:hAnsi="Times New Roman"/>
          <w:sz w:val="28"/>
          <w:szCs w:val="28"/>
          <w:vertAlign w:val="superscript"/>
          <w:lang w:eastAsia="lv-LV"/>
        </w:rPr>
        <w:t>4</w:t>
      </w:r>
      <w:r w:rsidRPr="00D459CF">
        <w:rPr>
          <w:rFonts w:ascii="Times New Roman" w:hAnsi="Times New Roman"/>
          <w:sz w:val="28"/>
          <w:szCs w:val="28"/>
          <w:lang w:eastAsia="lv-LV"/>
        </w:rPr>
        <w:t>panta 4.</w:t>
      </w:r>
      <w:r w:rsidRPr="00D459CF">
        <w:rPr>
          <w:rFonts w:ascii="Times New Roman" w:hAnsi="Times New Roman"/>
          <w:sz w:val="28"/>
          <w:szCs w:val="28"/>
          <w:vertAlign w:val="superscript"/>
          <w:lang w:eastAsia="lv-LV"/>
        </w:rPr>
        <w:t>1</w:t>
      </w:r>
      <w:r w:rsidRPr="00D459CF">
        <w:rPr>
          <w:rFonts w:ascii="Times New Roman" w:hAnsi="Times New Roman"/>
          <w:sz w:val="28"/>
          <w:szCs w:val="28"/>
          <w:lang w:eastAsia="lv-LV"/>
        </w:rPr>
        <w:t>daļu pēc vārdiem “Eiropas Padomes un attīstības bankas” ar vārdiem “Attīstības finanšu institūcijas”.</w:t>
      </w:r>
    </w:p>
    <w:p w:rsidR="009C17CD" w:rsidRPr="00D459CF" w:rsidRDefault="009C17CD" w:rsidP="009C17CD">
      <w:pPr>
        <w:pStyle w:val="ListParagraph"/>
        <w:tabs>
          <w:tab w:val="left" w:pos="-4111"/>
          <w:tab w:val="left" w:pos="993"/>
        </w:tabs>
        <w:spacing w:before="0"/>
        <w:ind w:left="567"/>
        <w:rPr>
          <w:rFonts w:ascii="Times New Roman" w:hAnsi="Times New Roman"/>
          <w:sz w:val="28"/>
          <w:szCs w:val="28"/>
          <w:lang w:eastAsia="lv-LV"/>
        </w:rPr>
      </w:pPr>
    </w:p>
    <w:p w:rsidR="009C17CD" w:rsidRPr="00D459CF" w:rsidRDefault="009C17CD" w:rsidP="00B1304E">
      <w:pPr>
        <w:pStyle w:val="ListParagraph"/>
        <w:numPr>
          <w:ilvl w:val="0"/>
          <w:numId w:val="1"/>
        </w:numPr>
        <w:tabs>
          <w:tab w:val="left" w:pos="-4111"/>
          <w:tab w:val="left" w:pos="993"/>
        </w:tabs>
        <w:spacing w:before="0"/>
        <w:rPr>
          <w:rFonts w:ascii="Times New Roman" w:hAnsi="Times New Roman"/>
          <w:sz w:val="28"/>
          <w:szCs w:val="28"/>
          <w:lang w:eastAsia="lv-LV"/>
        </w:rPr>
      </w:pPr>
      <w:r w:rsidRPr="00D459CF">
        <w:rPr>
          <w:rFonts w:ascii="Times New Roman" w:hAnsi="Times New Roman"/>
          <w:sz w:val="28"/>
          <w:szCs w:val="28"/>
          <w:lang w:eastAsia="lv-LV"/>
        </w:rPr>
        <w:t>Papildināt  likumu ar 7.</w:t>
      </w:r>
      <w:r w:rsidRPr="00D459CF">
        <w:rPr>
          <w:rFonts w:ascii="Times New Roman" w:hAnsi="Times New Roman"/>
          <w:sz w:val="28"/>
          <w:szCs w:val="28"/>
          <w:vertAlign w:val="superscript"/>
          <w:lang w:eastAsia="lv-LV"/>
        </w:rPr>
        <w:t>2</w:t>
      </w:r>
      <w:r w:rsidRPr="00D459CF">
        <w:rPr>
          <w:rFonts w:ascii="Times New Roman" w:hAnsi="Times New Roman"/>
          <w:sz w:val="28"/>
          <w:szCs w:val="28"/>
          <w:lang w:eastAsia="lv-LV"/>
        </w:rPr>
        <w:t xml:space="preserve"> pantu šādā redakcijā :</w:t>
      </w:r>
    </w:p>
    <w:p w:rsidR="009C17CD" w:rsidRPr="00D459CF" w:rsidRDefault="009C17CD" w:rsidP="00B1304E">
      <w:pPr>
        <w:pStyle w:val="ListParagraph"/>
        <w:tabs>
          <w:tab w:val="left" w:pos="-4111"/>
          <w:tab w:val="left" w:pos="993"/>
        </w:tabs>
        <w:spacing w:before="0"/>
        <w:ind w:left="0" w:firstLine="567"/>
        <w:rPr>
          <w:rFonts w:ascii="Times New Roman" w:hAnsi="Times New Roman"/>
          <w:sz w:val="28"/>
          <w:szCs w:val="28"/>
          <w:lang w:eastAsia="lv-LV"/>
        </w:rPr>
      </w:pPr>
      <w:r w:rsidRPr="00D459CF">
        <w:rPr>
          <w:rFonts w:ascii="Times New Roman" w:hAnsi="Times New Roman"/>
          <w:sz w:val="28"/>
          <w:szCs w:val="28"/>
          <w:lang w:eastAsia="lv-LV"/>
        </w:rPr>
        <w:t>“</w:t>
      </w:r>
      <w:r w:rsidRPr="00D459CF">
        <w:rPr>
          <w:rFonts w:ascii="Times New Roman" w:hAnsi="Times New Roman"/>
          <w:b/>
          <w:bCs/>
          <w:sz w:val="28"/>
          <w:szCs w:val="28"/>
        </w:rPr>
        <w:t>7.</w:t>
      </w:r>
      <w:r w:rsidRPr="00D459CF">
        <w:rPr>
          <w:rFonts w:ascii="Times New Roman" w:hAnsi="Times New Roman"/>
          <w:b/>
          <w:bCs/>
          <w:sz w:val="28"/>
          <w:szCs w:val="28"/>
          <w:vertAlign w:val="superscript"/>
        </w:rPr>
        <w:t>2</w:t>
      </w:r>
      <w:r w:rsidRPr="00D459CF">
        <w:rPr>
          <w:rFonts w:ascii="Times New Roman" w:hAnsi="Times New Roman"/>
          <w:b/>
          <w:bCs/>
          <w:sz w:val="28"/>
          <w:szCs w:val="28"/>
        </w:rPr>
        <w:t xml:space="preserve"> pants. </w:t>
      </w:r>
      <w:r w:rsidRPr="00D459CF">
        <w:rPr>
          <w:rFonts w:ascii="Times New Roman" w:hAnsi="Times New Roman"/>
          <w:b/>
          <w:sz w:val="28"/>
          <w:szCs w:val="28"/>
          <w:lang w:eastAsia="lv-LV"/>
        </w:rPr>
        <w:t>Attīstības finanšu institūcijas</w:t>
      </w:r>
      <w:r w:rsidRPr="00D459CF">
        <w:rPr>
          <w:rFonts w:ascii="Times New Roman" w:hAnsi="Times New Roman"/>
          <w:b/>
          <w:bCs/>
          <w:sz w:val="28"/>
          <w:szCs w:val="28"/>
        </w:rPr>
        <w:t xml:space="preserve"> izveidoto uzkrājumu iekļaušana ar nodokli apliekamajā ienākumā</w:t>
      </w:r>
    </w:p>
    <w:p w:rsidR="009C17CD" w:rsidRPr="00D459CF" w:rsidRDefault="009C17CD" w:rsidP="009C17CD">
      <w:pPr>
        <w:pStyle w:val="BodyText"/>
        <w:ind w:firstLine="567"/>
        <w:contextualSpacing/>
        <w:jc w:val="both"/>
        <w:rPr>
          <w:szCs w:val="28"/>
          <w:lang w:eastAsia="lv-LV"/>
        </w:rPr>
      </w:pPr>
    </w:p>
    <w:p w:rsidR="009C17CD" w:rsidRPr="00D459CF" w:rsidRDefault="009C17CD" w:rsidP="009C17CD">
      <w:pPr>
        <w:pStyle w:val="BodyText"/>
        <w:ind w:firstLine="567"/>
        <w:jc w:val="both"/>
        <w:rPr>
          <w:szCs w:val="28"/>
        </w:rPr>
      </w:pPr>
      <w:r w:rsidRPr="00D459CF">
        <w:rPr>
          <w:szCs w:val="28"/>
        </w:rPr>
        <w:t xml:space="preserve">Ar nodokli apliekamo ienākumu </w:t>
      </w:r>
      <w:r w:rsidRPr="00D459CF">
        <w:rPr>
          <w:szCs w:val="28"/>
          <w:lang w:eastAsia="lv-LV"/>
        </w:rPr>
        <w:t>Attīstības finanšu institūcija</w:t>
      </w:r>
      <w:r w:rsidRPr="00D459CF">
        <w:rPr>
          <w:szCs w:val="28"/>
        </w:rPr>
        <w:t xml:space="preserve"> nepalielina par to atskaitījumu summu, par kādu taksācijas periodā atzīti izdevumi debitoru parādiem paredzētajiem uzkrājumiem, un nesamazina par summu, par kādu </w:t>
      </w:r>
      <w:r w:rsidRPr="00D459CF">
        <w:rPr>
          <w:szCs w:val="28"/>
        </w:rPr>
        <w:lastRenderedPageBreak/>
        <w:t>taksācijas periodā tiek samazināti izveidotie uzkrājumi (apvērsti iepriekšējos taksācijas periodos atzītie izdevumi) debitoru parādiem.</w:t>
      </w:r>
      <w:r w:rsidRPr="00D459CF">
        <w:rPr>
          <w:szCs w:val="28"/>
          <w:lang w:eastAsia="lv-LV"/>
        </w:rPr>
        <w:t xml:space="preserve"> Attīstības finanšu institūcijai ar šajā pantā paredzētajiem uzkrājumiem debitoru parādiem saprot arī</w:t>
      </w:r>
      <w:r w:rsidRPr="00D459CF" w:rsidDel="00EC559A">
        <w:rPr>
          <w:szCs w:val="28"/>
          <w:lang w:eastAsia="lv-LV"/>
        </w:rPr>
        <w:t xml:space="preserve"> </w:t>
      </w:r>
      <w:r w:rsidRPr="00D459CF">
        <w:rPr>
          <w:szCs w:val="28"/>
        </w:rPr>
        <w:t>uzkrājumus izsniegtajām garantijām, arī  eksporta kredītu garantijām, uzkrājumus ieguldījumiem riska kapitāla fondos un uzkrājumus izsniegtajiem kredītiem, realizējot atbalsta un attīstības programmas.”</w:t>
      </w:r>
    </w:p>
    <w:p w:rsidR="009C17CD" w:rsidRPr="00D459CF" w:rsidRDefault="009C17CD" w:rsidP="009C17CD">
      <w:pPr>
        <w:pStyle w:val="ListParagraph"/>
        <w:tabs>
          <w:tab w:val="left" w:pos="-4111"/>
          <w:tab w:val="left" w:pos="993"/>
        </w:tabs>
        <w:spacing w:before="0"/>
        <w:ind w:left="567"/>
        <w:rPr>
          <w:rFonts w:ascii="Times New Roman" w:hAnsi="Times New Roman"/>
          <w:sz w:val="28"/>
          <w:szCs w:val="28"/>
          <w:lang w:eastAsia="lv-LV"/>
        </w:rPr>
      </w:pPr>
    </w:p>
    <w:p w:rsidR="009C17CD" w:rsidRPr="00D459CF" w:rsidRDefault="009C17CD" w:rsidP="009C17CD">
      <w:pPr>
        <w:pStyle w:val="ListParagraph"/>
        <w:numPr>
          <w:ilvl w:val="0"/>
          <w:numId w:val="1"/>
        </w:numPr>
        <w:tabs>
          <w:tab w:val="left" w:pos="-4111"/>
          <w:tab w:val="left" w:pos="993"/>
        </w:tabs>
        <w:spacing w:before="0"/>
        <w:rPr>
          <w:rFonts w:ascii="Times New Roman" w:hAnsi="Times New Roman"/>
          <w:sz w:val="28"/>
          <w:szCs w:val="28"/>
          <w:lang w:eastAsia="lv-LV"/>
        </w:rPr>
      </w:pPr>
      <w:r w:rsidRPr="00D459CF">
        <w:rPr>
          <w:rFonts w:ascii="Times New Roman" w:hAnsi="Times New Roman"/>
          <w:sz w:val="28"/>
          <w:szCs w:val="28"/>
          <w:lang w:eastAsia="lv-LV"/>
        </w:rPr>
        <w:t>22.pantā:</w:t>
      </w:r>
    </w:p>
    <w:p w:rsidR="009C17CD" w:rsidRPr="00D459CF" w:rsidRDefault="009C17CD" w:rsidP="009C17CD">
      <w:pPr>
        <w:pStyle w:val="ListParagraph"/>
        <w:tabs>
          <w:tab w:val="left" w:pos="-4111"/>
          <w:tab w:val="left" w:pos="993"/>
        </w:tabs>
        <w:spacing w:before="0"/>
        <w:ind w:left="567"/>
        <w:rPr>
          <w:rFonts w:ascii="Times New Roman" w:hAnsi="Times New Roman"/>
          <w:sz w:val="28"/>
          <w:szCs w:val="28"/>
          <w:lang w:eastAsia="lv-LV"/>
        </w:rPr>
      </w:pPr>
      <w:r w:rsidRPr="00D459CF">
        <w:rPr>
          <w:rFonts w:ascii="Times New Roman" w:hAnsi="Times New Roman"/>
          <w:sz w:val="28"/>
          <w:szCs w:val="28"/>
          <w:lang w:eastAsia="lv-LV"/>
        </w:rPr>
        <w:t>izteikt devīto daļu šādā redakcijā:</w:t>
      </w:r>
    </w:p>
    <w:p w:rsidR="009C17CD" w:rsidRPr="00D459CF" w:rsidRDefault="009C17CD" w:rsidP="009C17CD">
      <w:pPr>
        <w:spacing w:after="0" w:line="240" w:lineRule="auto"/>
        <w:ind w:firstLine="567"/>
        <w:contextualSpacing/>
        <w:jc w:val="both"/>
        <w:rPr>
          <w:rFonts w:ascii="Times New Roman" w:eastAsia="Times New Roman" w:hAnsi="Times New Roman" w:cs="Times New Roman"/>
          <w:sz w:val="28"/>
          <w:szCs w:val="28"/>
          <w:lang w:eastAsia="lv-LV"/>
        </w:rPr>
      </w:pPr>
      <w:r w:rsidRPr="00D459CF">
        <w:rPr>
          <w:rFonts w:ascii="Times New Roman" w:hAnsi="Times New Roman" w:cs="Times New Roman"/>
          <w:sz w:val="28"/>
          <w:szCs w:val="28"/>
          <w:lang w:eastAsia="lv-LV"/>
        </w:rPr>
        <w:t xml:space="preserve">“(9) </w:t>
      </w:r>
      <w:r w:rsidRPr="00D459CF">
        <w:rPr>
          <w:rFonts w:ascii="Times New Roman" w:eastAsia="Times New Roman" w:hAnsi="Times New Roman" w:cs="Times New Roman"/>
          <w:sz w:val="28"/>
          <w:szCs w:val="28"/>
          <w:lang w:eastAsia="lv-LV"/>
        </w:rPr>
        <w:t xml:space="preserve">Personālsabiedrība sagatavo un iesniedz Valsts ieņēmumu dienestam deklarāciju par attiecīgo taksācijas periodu, norādot tajā arī informāciju par </w:t>
      </w:r>
      <w:r w:rsidRPr="00D459CF">
        <w:rPr>
          <w:rFonts w:ascii="Times New Roman" w:hAnsi="Times New Roman" w:cs="Times New Roman"/>
          <w:sz w:val="28"/>
          <w:szCs w:val="28"/>
          <w:lang w:eastAsia="lv-LV"/>
        </w:rPr>
        <w:t>katram biedram piederošo personālsabiedrības ieguldījuma daļas lielumu,</w:t>
      </w:r>
      <w:r w:rsidRPr="00D459CF">
        <w:rPr>
          <w:rFonts w:ascii="Times New Roman" w:eastAsia="Times New Roman" w:hAnsi="Times New Roman" w:cs="Times New Roman"/>
          <w:sz w:val="28"/>
          <w:szCs w:val="28"/>
          <w:lang w:eastAsia="lv-LV"/>
        </w:rPr>
        <w:t xml:space="preserve"> par katram biedram pienākošos ar nodokli apliekamā ienākuma vai attiecināmo zaudējumu daļu, par personālsabiedrības biedram – fiziskajai personai pienākošos apliekamā ienākuma daļu, kas noteikta  šā likuma 2.panta 3.</w:t>
      </w:r>
      <w:r w:rsidRPr="00D459CF">
        <w:rPr>
          <w:rFonts w:ascii="Times New Roman" w:eastAsia="Times New Roman" w:hAnsi="Times New Roman" w:cs="Times New Roman"/>
          <w:sz w:val="28"/>
          <w:szCs w:val="28"/>
          <w:vertAlign w:val="superscript"/>
          <w:lang w:eastAsia="lv-LV"/>
        </w:rPr>
        <w:t xml:space="preserve">3 </w:t>
      </w:r>
      <w:r w:rsidRPr="00D459CF">
        <w:rPr>
          <w:rFonts w:ascii="Times New Roman" w:eastAsia="Times New Roman" w:hAnsi="Times New Roman" w:cs="Times New Roman"/>
          <w:sz w:val="28"/>
          <w:szCs w:val="28"/>
          <w:lang w:eastAsia="lv-LV"/>
        </w:rPr>
        <w:t>daļā.”;</w:t>
      </w:r>
    </w:p>
    <w:p w:rsidR="009C17CD" w:rsidRPr="00D459CF" w:rsidRDefault="009C17CD" w:rsidP="009C17CD">
      <w:pPr>
        <w:pStyle w:val="BodyText"/>
        <w:ind w:firstLine="567"/>
        <w:contextualSpacing/>
        <w:jc w:val="both"/>
        <w:rPr>
          <w:szCs w:val="28"/>
          <w:lang w:eastAsia="lv-LV"/>
        </w:rPr>
      </w:pPr>
    </w:p>
    <w:p w:rsidR="009C17CD" w:rsidRPr="00D459CF" w:rsidRDefault="009C17CD" w:rsidP="009C17CD">
      <w:pPr>
        <w:spacing w:after="0" w:line="240" w:lineRule="auto"/>
        <w:ind w:firstLine="709"/>
        <w:contextualSpacing/>
        <w:jc w:val="both"/>
        <w:rPr>
          <w:rFonts w:ascii="Times New Roman" w:hAnsi="Times New Roman"/>
          <w:sz w:val="28"/>
          <w:szCs w:val="28"/>
        </w:rPr>
      </w:pPr>
      <w:r w:rsidRPr="00D459CF">
        <w:rPr>
          <w:rFonts w:ascii="Times New Roman" w:hAnsi="Times New Roman"/>
          <w:sz w:val="28"/>
          <w:szCs w:val="28"/>
        </w:rPr>
        <w:t>izteikt desmito daļu šādā redakcijā:</w:t>
      </w:r>
    </w:p>
    <w:p w:rsidR="009C17CD" w:rsidRPr="00D459CF" w:rsidRDefault="009C17CD" w:rsidP="009C17CD">
      <w:pPr>
        <w:pStyle w:val="BodyText"/>
        <w:ind w:firstLine="567"/>
        <w:contextualSpacing/>
        <w:jc w:val="both"/>
        <w:rPr>
          <w:szCs w:val="28"/>
        </w:rPr>
      </w:pPr>
      <w:r w:rsidRPr="00D459CF">
        <w:rPr>
          <w:szCs w:val="28"/>
        </w:rPr>
        <w:t>„(10) Personālsabiedrības biedri — rezidenti un pastāvīgās pārstāvniecības, pamatojoties uz personālsabiedrības deklarāciju, iekļauj uz sevi attiecināto personālsabiedrības ar uzņēmumu ienākuma nodokli apliekamo ienākumu vai zaudējumu daļu savā deklarācijā, attiecīgi koriģējot apliekamo ienākumu. Ja personālsabiedrības taksācijas periods nesakrīt ar tās biedra taksācijas periodu, tad personālsabiedrības biedrs uz sevi attiecināmo personālsabiedrības ar uzņēmumu ienākuma nodokli apliekamo ienākumu vai zaudējumu daļu iekļauj tā taksācijas perioda deklarācijā, kurā beidzas personālsabiedrības taksācijas periods.</w:t>
      </w:r>
      <w:r w:rsidR="00F52E42">
        <w:rPr>
          <w:szCs w:val="28"/>
        </w:rPr>
        <w:t>”</w:t>
      </w:r>
    </w:p>
    <w:p w:rsidR="009C17CD" w:rsidRPr="00D459CF" w:rsidRDefault="009C17CD" w:rsidP="009C17CD">
      <w:pPr>
        <w:pStyle w:val="BodyText"/>
        <w:ind w:firstLine="567"/>
        <w:contextualSpacing/>
        <w:jc w:val="both"/>
        <w:rPr>
          <w:szCs w:val="28"/>
          <w:lang w:eastAsia="lv-LV"/>
        </w:rPr>
      </w:pPr>
    </w:p>
    <w:p w:rsidR="009C17CD" w:rsidRPr="00D459CF" w:rsidRDefault="009C17CD" w:rsidP="009C17CD">
      <w:pPr>
        <w:tabs>
          <w:tab w:val="left" w:pos="-4111"/>
          <w:tab w:val="left" w:pos="993"/>
        </w:tabs>
        <w:spacing w:after="0" w:line="240" w:lineRule="auto"/>
        <w:ind w:firstLine="567"/>
        <w:contextualSpacing/>
        <w:jc w:val="both"/>
        <w:rPr>
          <w:rFonts w:ascii="Times New Roman" w:hAnsi="Times New Roman"/>
          <w:sz w:val="28"/>
          <w:szCs w:val="28"/>
          <w:lang w:eastAsia="lv-LV"/>
        </w:rPr>
      </w:pPr>
      <w:r w:rsidRPr="00D459CF">
        <w:rPr>
          <w:rFonts w:ascii="Times New Roman" w:hAnsi="Times New Roman"/>
          <w:sz w:val="28"/>
          <w:szCs w:val="28"/>
          <w:lang w:eastAsia="lv-LV"/>
        </w:rPr>
        <w:t>7. Papildināt pārejas noteikumus ar 125., 126. un 127.punktu šādā redakcijā:</w:t>
      </w:r>
    </w:p>
    <w:p w:rsidR="009C17CD" w:rsidRPr="00D459CF" w:rsidRDefault="009C17CD" w:rsidP="009C17CD">
      <w:pPr>
        <w:pStyle w:val="ListParagraph"/>
        <w:tabs>
          <w:tab w:val="left" w:pos="-4111"/>
          <w:tab w:val="left" w:pos="993"/>
        </w:tabs>
        <w:spacing w:before="0"/>
        <w:ind w:left="0" w:firstLine="567"/>
        <w:rPr>
          <w:rFonts w:ascii="Times New Roman" w:hAnsi="Times New Roman"/>
          <w:sz w:val="28"/>
          <w:szCs w:val="28"/>
          <w:lang w:eastAsia="lv-LV"/>
        </w:rPr>
      </w:pPr>
      <w:r w:rsidRPr="00D459CF">
        <w:rPr>
          <w:rFonts w:ascii="Times New Roman" w:hAnsi="Times New Roman"/>
          <w:sz w:val="28"/>
          <w:szCs w:val="28"/>
          <w:lang w:eastAsia="lv-LV"/>
        </w:rPr>
        <w:t>“125. Likuma 2.panta 3.</w:t>
      </w:r>
      <w:r w:rsidRPr="00D459CF">
        <w:rPr>
          <w:rFonts w:ascii="Times New Roman" w:hAnsi="Times New Roman"/>
          <w:sz w:val="28"/>
          <w:szCs w:val="28"/>
          <w:vertAlign w:val="superscript"/>
          <w:lang w:eastAsia="lv-LV"/>
        </w:rPr>
        <w:t>3</w:t>
      </w:r>
      <w:r w:rsidRPr="00D459CF">
        <w:rPr>
          <w:rFonts w:ascii="Times New Roman" w:hAnsi="Times New Roman"/>
          <w:sz w:val="28"/>
          <w:szCs w:val="28"/>
          <w:lang w:eastAsia="lv-LV"/>
        </w:rPr>
        <w:t>daļa, 22.panta devītā un desmitā daļa piemērojama par taksācijas periodu, kas sākas 2015.gada 1.janvārī.</w:t>
      </w:r>
    </w:p>
    <w:p w:rsidR="009C17CD" w:rsidRPr="00D459CF" w:rsidRDefault="009C17CD" w:rsidP="009C17CD">
      <w:pPr>
        <w:pStyle w:val="ListParagraph"/>
        <w:tabs>
          <w:tab w:val="left" w:pos="-4111"/>
          <w:tab w:val="left" w:pos="993"/>
        </w:tabs>
        <w:spacing w:before="0"/>
        <w:ind w:left="0" w:firstLine="567"/>
        <w:rPr>
          <w:rFonts w:ascii="Times New Roman" w:hAnsi="Times New Roman"/>
          <w:sz w:val="28"/>
          <w:szCs w:val="28"/>
          <w:lang w:eastAsia="lv-LV"/>
        </w:rPr>
      </w:pPr>
      <w:r w:rsidRPr="00D459CF">
        <w:rPr>
          <w:rFonts w:ascii="Times New Roman" w:hAnsi="Times New Roman"/>
          <w:sz w:val="28"/>
          <w:szCs w:val="28"/>
          <w:lang w:eastAsia="lv-LV"/>
        </w:rPr>
        <w:t>126. Grozījums likuma 3.panta 4.</w:t>
      </w:r>
      <w:r w:rsidRPr="00D459CF">
        <w:rPr>
          <w:rFonts w:ascii="Times New Roman" w:hAnsi="Times New Roman"/>
          <w:sz w:val="28"/>
          <w:szCs w:val="28"/>
          <w:vertAlign w:val="superscript"/>
          <w:lang w:eastAsia="lv-LV"/>
        </w:rPr>
        <w:t>8</w:t>
      </w:r>
      <w:r w:rsidRPr="00D459CF">
        <w:rPr>
          <w:rFonts w:ascii="Times New Roman" w:hAnsi="Times New Roman"/>
          <w:sz w:val="28"/>
          <w:szCs w:val="28"/>
          <w:lang w:eastAsia="lv-LV"/>
        </w:rPr>
        <w:t xml:space="preserve">daļā ir piemērojams </w:t>
      </w:r>
      <w:r w:rsidR="00F52E42">
        <w:rPr>
          <w:rFonts w:ascii="Times New Roman" w:hAnsi="Times New Roman"/>
          <w:sz w:val="28"/>
          <w:szCs w:val="28"/>
          <w:lang w:eastAsia="lv-LV"/>
        </w:rPr>
        <w:t>darījumiem</w:t>
      </w:r>
      <w:r w:rsidRPr="00D459CF">
        <w:rPr>
          <w:rFonts w:ascii="Times New Roman" w:hAnsi="Times New Roman"/>
          <w:sz w:val="28"/>
          <w:szCs w:val="28"/>
          <w:lang w:eastAsia="lv-LV"/>
        </w:rPr>
        <w:t>, kas veikti sākot ar 2015.gada 1.janvāri.</w:t>
      </w:r>
    </w:p>
    <w:p w:rsidR="009C17CD" w:rsidRPr="00D459CF" w:rsidRDefault="009C17CD" w:rsidP="009C17CD">
      <w:pPr>
        <w:pStyle w:val="ListParagraph"/>
        <w:tabs>
          <w:tab w:val="left" w:pos="-4111"/>
          <w:tab w:val="left" w:pos="993"/>
        </w:tabs>
        <w:spacing w:before="0"/>
        <w:ind w:left="0" w:firstLine="567"/>
        <w:rPr>
          <w:rFonts w:ascii="Times New Roman" w:hAnsi="Times New Roman"/>
          <w:sz w:val="28"/>
          <w:szCs w:val="28"/>
        </w:rPr>
      </w:pPr>
      <w:r w:rsidRPr="00D459CF">
        <w:rPr>
          <w:rFonts w:ascii="Times New Roman" w:hAnsi="Times New Roman"/>
          <w:sz w:val="28"/>
          <w:szCs w:val="28"/>
          <w:lang w:eastAsia="lv-LV"/>
        </w:rPr>
        <w:t xml:space="preserve">127. </w:t>
      </w:r>
      <w:r w:rsidRPr="00D459CF">
        <w:rPr>
          <w:rFonts w:ascii="Times New Roman" w:hAnsi="Times New Roman"/>
          <w:sz w:val="28"/>
          <w:szCs w:val="28"/>
        </w:rPr>
        <w:t>Grozījumus attiecībā uz likuma 6.panta pirmās daļas 6.punkta un  ceturtās daļas 3.punkta papildināšanu ar skaitli “7.</w:t>
      </w:r>
      <w:r w:rsidRPr="00D459CF">
        <w:rPr>
          <w:rFonts w:ascii="Times New Roman" w:hAnsi="Times New Roman"/>
          <w:sz w:val="28"/>
          <w:szCs w:val="28"/>
          <w:vertAlign w:val="superscript"/>
        </w:rPr>
        <w:t>2</w:t>
      </w:r>
      <w:r w:rsidR="00770821" w:rsidRPr="00770821">
        <w:rPr>
          <w:rFonts w:ascii="Times New Roman" w:hAnsi="Times New Roman"/>
          <w:sz w:val="28"/>
          <w:szCs w:val="28"/>
        </w:rPr>
        <w:t>”</w:t>
      </w:r>
      <w:r w:rsidRPr="00D459CF">
        <w:rPr>
          <w:rFonts w:ascii="Times New Roman" w:hAnsi="Times New Roman"/>
          <w:sz w:val="28"/>
          <w:szCs w:val="28"/>
        </w:rPr>
        <w:t>, likuma 6.</w:t>
      </w:r>
      <w:r w:rsidRPr="00D459CF">
        <w:rPr>
          <w:rFonts w:ascii="Times New Roman" w:hAnsi="Times New Roman"/>
          <w:sz w:val="28"/>
          <w:szCs w:val="28"/>
          <w:vertAlign w:val="superscript"/>
        </w:rPr>
        <w:t>4</w:t>
      </w:r>
      <w:r w:rsidRPr="00D459CF">
        <w:rPr>
          <w:rFonts w:ascii="Times New Roman" w:hAnsi="Times New Roman"/>
          <w:sz w:val="28"/>
          <w:szCs w:val="28"/>
        </w:rPr>
        <w:t>panta 4.</w:t>
      </w:r>
      <w:r w:rsidRPr="00D459CF">
        <w:rPr>
          <w:rFonts w:ascii="Times New Roman" w:hAnsi="Times New Roman"/>
          <w:sz w:val="28"/>
          <w:szCs w:val="28"/>
          <w:vertAlign w:val="superscript"/>
        </w:rPr>
        <w:t>1</w:t>
      </w:r>
      <w:r w:rsidRPr="00D459CF">
        <w:rPr>
          <w:rFonts w:ascii="Times New Roman" w:hAnsi="Times New Roman"/>
          <w:sz w:val="28"/>
          <w:szCs w:val="28"/>
        </w:rPr>
        <w:t>daļas papildināšanu ar norādi uz  Attīstības finanšu institūciju,  kā arī  likuma 7.</w:t>
      </w:r>
      <w:r w:rsidRPr="00D459CF">
        <w:rPr>
          <w:rFonts w:ascii="Times New Roman" w:hAnsi="Times New Roman"/>
          <w:sz w:val="28"/>
          <w:szCs w:val="28"/>
          <w:vertAlign w:val="superscript"/>
        </w:rPr>
        <w:t>2</w:t>
      </w:r>
      <w:r w:rsidRPr="00D459CF">
        <w:rPr>
          <w:rFonts w:ascii="Times New Roman" w:hAnsi="Times New Roman"/>
          <w:sz w:val="28"/>
          <w:szCs w:val="28"/>
        </w:rPr>
        <w:t>pantu piemēro Attīstības un finanšu institūcijas uzkrājumiem un procentu maksājumiem, kas attiecīgi tiek veidoti vai veikti no 2015. gada 1.marta.</w:t>
      </w:r>
      <w:r w:rsidRPr="00D459CF">
        <w:rPr>
          <w:rFonts w:ascii="Times New Roman" w:hAnsi="Times New Roman"/>
          <w:sz w:val="28"/>
          <w:szCs w:val="28"/>
          <w:lang w:eastAsia="lv-LV"/>
        </w:rPr>
        <w:t>”</w:t>
      </w:r>
    </w:p>
    <w:p w:rsidR="009C17CD" w:rsidRPr="00D459CF" w:rsidRDefault="009C17CD" w:rsidP="009C17CD">
      <w:pPr>
        <w:pStyle w:val="ListParagraph"/>
        <w:tabs>
          <w:tab w:val="left" w:pos="-4111"/>
          <w:tab w:val="left" w:pos="993"/>
        </w:tabs>
        <w:spacing w:before="0"/>
        <w:ind w:left="0" w:firstLine="567"/>
        <w:rPr>
          <w:rFonts w:ascii="Times New Roman" w:hAnsi="Times New Roman"/>
          <w:sz w:val="28"/>
          <w:szCs w:val="28"/>
          <w:lang w:eastAsia="lv-LV"/>
        </w:rPr>
      </w:pPr>
    </w:p>
    <w:p w:rsidR="009C17CD" w:rsidRPr="00D459CF" w:rsidRDefault="009C17CD" w:rsidP="009C17CD">
      <w:pPr>
        <w:pStyle w:val="Footer"/>
        <w:tabs>
          <w:tab w:val="clear" w:pos="8306"/>
          <w:tab w:val="right" w:pos="8789"/>
        </w:tabs>
        <w:rPr>
          <w:sz w:val="28"/>
          <w:szCs w:val="28"/>
        </w:rPr>
      </w:pPr>
      <w:r w:rsidRPr="00D459CF">
        <w:rPr>
          <w:rFonts w:ascii="Times New Roman" w:hAnsi="Times New Roman"/>
          <w:sz w:val="28"/>
          <w:szCs w:val="28"/>
        </w:rPr>
        <w:t>Finanšu ministrs</w:t>
      </w:r>
      <w:r w:rsidRPr="00D459CF">
        <w:rPr>
          <w:rFonts w:ascii="Times New Roman" w:hAnsi="Times New Roman"/>
          <w:sz w:val="28"/>
          <w:szCs w:val="28"/>
        </w:rPr>
        <w:tab/>
      </w:r>
      <w:r w:rsidRPr="00D459CF">
        <w:rPr>
          <w:rFonts w:ascii="Times New Roman" w:hAnsi="Times New Roman"/>
          <w:sz w:val="28"/>
          <w:szCs w:val="28"/>
        </w:rPr>
        <w:tab/>
      </w:r>
      <w:proofErr w:type="spellStart"/>
      <w:r w:rsidRPr="00D459CF">
        <w:rPr>
          <w:rFonts w:ascii="Times New Roman" w:hAnsi="Times New Roman"/>
          <w:sz w:val="28"/>
          <w:szCs w:val="28"/>
        </w:rPr>
        <w:t>J.Reirs</w:t>
      </w:r>
      <w:proofErr w:type="spellEnd"/>
    </w:p>
    <w:p w:rsidR="009C17CD" w:rsidRPr="00D459CF" w:rsidRDefault="009C17CD" w:rsidP="009C17CD">
      <w:pPr>
        <w:pStyle w:val="BodyText"/>
        <w:rPr>
          <w:szCs w:val="28"/>
        </w:rPr>
      </w:pPr>
    </w:p>
    <w:p w:rsidR="009C17CD" w:rsidRPr="00F031A6" w:rsidRDefault="009C17CD" w:rsidP="009C17CD">
      <w:pPr>
        <w:pStyle w:val="BodyText"/>
        <w:rPr>
          <w:sz w:val="26"/>
          <w:szCs w:val="26"/>
        </w:rPr>
      </w:pPr>
    </w:p>
    <w:p w:rsidR="009C17CD" w:rsidRDefault="00F52E42" w:rsidP="00FD33ED">
      <w:pPr>
        <w:pStyle w:val="BodyText"/>
        <w:tabs>
          <w:tab w:val="left" w:pos="2310"/>
        </w:tabs>
        <w:rPr>
          <w:sz w:val="20"/>
        </w:rPr>
      </w:pPr>
      <w:r>
        <w:rPr>
          <w:sz w:val="20"/>
        </w:rPr>
        <w:t>21</w:t>
      </w:r>
      <w:r w:rsidR="009C17CD">
        <w:rPr>
          <w:sz w:val="20"/>
        </w:rPr>
        <w:t>.11</w:t>
      </w:r>
      <w:r w:rsidR="009C17CD" w:rsidRPr="00CE5E0E">
        <w:rPr>
          <w:sz w:val="20"/>
        </w:rPr>
        <w:t>.201</w:t>
      </w:r>
      <w:r w:rsidR="009C17CD">
        <w:rPr>
          <w:sz w:val="20"/>
        </w:rPr>
        <w:t>4</w:t>
      </w:r>
      <w:r w:rsidR="009C17CD" w:rsidRPr="00CE5E0E">
        <w:rPr>
          <w:sz w:val="20"/>
        </w:rPr>
        <w:t xml:space="preserve"> </w:t>
      </w:r>
      <w:r w:rsidR="00FD33ED">
        <w:rPr>
          <w:sz w:val="20"/>
        </w:rPr>
        <w:tab/>
      </w:r>
    </w:p>
    <w:p w:rsidR="009C17CD" w:rsidRPr="00CE5E0E" w:rsidRDefault="009C17CD" w:rsidP="009C17CD">
      <w:pPr>
        <w:pStyle w:val="BodyText"/>
        <w:rPr>
          <w:sz w:val="20"/>
        </w:rPr>
      </w:pPr>
      <w:r w:rsidRPr="00CE5E0E">
        <w:rPr>
          <w:sz w:val="20"/>
        </w:rPr>
        <w:fldChar w:fldCharType="begin"/>
      </w:r>
      <w:r w:rsidRPr="00CE5E0E">
        <w:rPr>
          <w:sz w:val="20"/>
        </w:rPr>
        <w:instrText xml:space="preserve"> NUMWORDS   \* MERGEFORMAT </w:instrText>
      </w:r>
      <w:r w:rsidRPr="00CE5E0E">
        <w:rPr>
          <w:sz w:val="20"/>
        </w:rPr>
        <w:fldChar w:fldCharType="separate"/>
      </w:r>
      <w:r w:rsidR="002C6D4E">
        <w:rPr>
          <w:noProof/>
          <w:sz w:val="20"/>
        </w:rPr>
        <w:t>578</w:t>
      </w:r>
      <w:r w:rsidRPr="00CE5E0E">
        <w:rPr>
          <w:sz w:val="20"/>
        </w:rPr>
        <w:fldChar w:fldCharType="end"/>
      </w:r>
      <w:r w:rsidRPr="00CE5E0E">
        <w:rPr>
          <w:sz w:val="20"/>
        </w:rPr>
        <w:t xml:space="preserve"> </w:t>
      </w:r>
    </w:p>
    <w:p w:rsidR="009C17CD" w:rsidRDefault="009C17CD" w:rsidP="009C17CD">
      <w:pPr>
        <w:pStyle w:val="BodyText"/>
        <w:rPr>
          <w:sz w:val="20"/>
        </w:rPr>
      </w:pPr>
      <w:proofErr w:type="spellStart"/>
      <w:r w:rsidRPr="00CE5E0E">
        <w:rPr>
          <w:sz w:val="20"/>
        </w:rPr>
        <w:t>S.Mačivka</w:t>
      </w:r>
      <w:proofErr w:type="spellEnd"/>
      <w:r w:rsidRPr="00CE5E0E">
        <w:rPr>
          <w:sz w:val="20"/>
        </w:rPr>
        <w:t xml:space="preserve"> 67095630,</w:t>
      </w:r>
    </w:p>
    <w:p w:rsidR="00A36973" w:rsidRDefault="000D16BE" w:rsidP="00F52E42">
      <w:pPr>
        <w:pStyle w:val="BodyText"/>
      </w:pPr>
      <w:hyperlink r:id="rId7" w:history="1">
        <w:r w:rsidR="009C17CD" w:rsidRPr="00CE5E0E">
          <w:rPr>
            <w:rStyle w:val="Hyperlink"/>
            <w:sz w:val="20"/>
          </w:rPr>
          <w:t>sandra.macivka@fm.gov.lv</w:t>
        </w:r>
      </w:hyperlink>
    </w:p>
    <w:sectPr w:rsidR="00A36973" w:rsidSect="007829BC">
      <w:headerReference w:type="default" r:id="rId8"/>
      <w:footerReference w:type="default" r:id="rId9"/>
      <w:headerReference w:type="first" r:id="rId10"/>
      <w:footerReference w:type="first" r:id="rId11"/>
      <w:pgSz w:w="11906" w:h="16838"/>
      <w:pgMar w:top="993" w:right="1274" w:bottom="1135" w:left="1800" w:header="708" w:footer="8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6BE" w:rsidRDefault="000D16BE" w:rsidP="009E72BD">
      <w:pPr>
        <w:spacing w:after="0" w:line="240" w:lineRule="auto"/>
      </w:pPr>
      <w:r>
        <w:separator/>
      </w:r>
    </w:p>
  </w:endnote>
  <w:endnote w:type="continuationSeparator" w:id="0">
    <w:p w:rsidR="000D16BE" w:rsidRDefault="000D16BE" w:rsidP="009E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AA" w:rsidRDefault="00F52E42">
    <w:pPr>
      <w:pStyle w:val="Footer"/>
    </w:pPr>
    <w:r w:rsidRPr="007E1E69">
      <w:rPr>
        <w:rFonts w:ascii="Times New Roman" w:hAnsi="Times New Roman" w:cs="Times New Roman"/>
        <w:sz w:val="20"/>
        <w:szCs w:val="20"/>
      </w:rPr>
      <w:fldChar w:fldCharType="begin"/>
    </w:r>
    <w:r w:rsidRPr="007E1E69">
      <w:rPr>
        <w:rFonts w:ascii="Times New Roman" w:hAnsi="Times New Roman" w:cs="Times New Roman"/>
        <w:sz w:val="20"/>
        <w:szCs w:val="20"/>
      </w:rPr>
      <w:instrText xml:space="preserve"> FILENAME   \* MERGEFORMAT </w:instrText>
    </w:r>
    <w:r w:rsidRPr="007E1E69">
      <w:rPr>
        <w:rFonts w:ascii="Times New Roman" w:hAnsi="Times New Roman" w:cs="Times New Roman"/>
        <w:sz w:val="20"/>
        <w:szCs w:val="20"/>
      </w:rPr>
      <w:fldChar w:fldCharType="separate"/>
    </w:r>
    <w:r w:rsidR="002C6D4E">
      <w:rPr>
        <w:rFonts w:ascii="Times New Roman" w:hAnsi="Times New Roman" w:cs="Times New Roman"/>
        <w:noProof/>
        <w:sz w:val="20"/>
        <w:szCs w:val="20"/>
      </w:rPr>
      <w:t>FMLik_211114_UINMK</w:t>
    </w:r>
    <w:r w:rsidRPr="007E1E69">
      <w:rPr>
        <w:rFonts w:ascii="Times New Roman" w:hAnsi="Times New Roman" w:cs="Times New Roman"/>
        <w:noProof/>
        <w:sz w:val="20"/>
        <w:szCs w:val="20"/>
      </w:rPr>
      <w:fldChar w:fldCharType="end"/>
    </w:r>
    <w:r w:rsidRPr="007E1E69">
      <w:rPr>
        <w:rFonts w:ascii="Times New Roman" w:hAnsi="Times New Roman" w:cs="Times New Roman"/>
        <w:sz w:val="20"/>
        <w:szCs w:val="20"/>
      </w:rPr>
      <w:t>; Likumprojekt</w:t>
    </w:r>
    <w:r>
      <w:rPr>
        <w:rFonts w:ascii="Times New Roman" w:hAnsi="Times New Roman" w:cs="Times New Roman"/>
        <w:sz w:val="20"/>
        <w:szCs w:val="20"/>
      </w:rPr>
      <w:t>s</w:t>
    </w:r>
    <w:r w:rsidRPr="007E1E69">
      <w:rPr>
        <w:rFonts w:ascii="Times New Roman" w:hAnsi="Times New Roman" w:cs="Times New Roman"/>
        <w:sz w:val="20"/>
        <w:szCs w:val="20"/>
      </w:rPr>
      <w:t xml:space="preserve"> “Grozījumi likumā “Par uzņēmumu ienākuma nodokli””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76" w:rsidRPr="007E1E69" w:rsidRDefault="00F52E42" w:rsidP="00E51B76">
    <w:pPr>
      <w:pStyle w:val="Footer"/>
      <w:rPr>
        <w:rFonts w:ascii="Times New Roman" w:hAnsi="Times New Roman" w:cs="Times New Roman"/>
        <w:sz w:val="20"/>
        <w:szCs w:val="20"/>
      </w:rPr>
    </w:pPr>
    <w:r w:rsidRPr="007E1E69">
      <w:rPr>
        <w:rFonts w:ascii="Times New Roman" w:hAnsi="Times New Roman" w:cs="Times New Roman"/>
        <w:sz w:val="20"/>
        <w:szCs w:val="20"/>
      </w:rPr>
      <w:fldChar w:fldCharType="begin"/>
    </w:r>
    <w:r w:rsidRPr="007E1E69">
      <w:rPr>
        <w:rFonts w:ascii="Times New Roman" w:hAnsi="Times New Roman" w:cs="Times New Roman"/>
        <w:sz w:val="20"/>
        <w:szCs w:val="20"/>
      </w:rPr>
      <w:instrText xml:space="preserve"> FILENAME   \* MERGEFORMAT </w:instrText>
    </w:r>
    <w:r w:rsidRPr="007E1E69">
      <w:rPr>
        <w:rFonts w:ascii="Times New Roman" w:hAnsi="Times New Roman" w:cs="Times New Roman"/>
        <w:sz w:val="20"/>
        <w:szCs w:val="20"/>
      </w:rPr>
      <w:fldChar w:fldCharType="separate"/>
    </w:r>
    <w:r w:rsidR="002C6D4E">
      <w:rPr>
        <w:rFonts w:ascii="Times New Roman" w:hAnsi="Times New Roman" w:cs="Times New Roman"/>
        <w:noProof/>
        <w:sz w:val="20"/>
        <w:szCs w:val="20"/>
      </w:rPr>
      <w:t>FMLik_211114_UINMK</w:t>
    </w:r>
    <w:r w:rsidRPr="007E1E69">
      <w:rPr>
        <w:rFonts w:ascii="Times New Roman" w:hAnsi="Times New Roman" w:cs="Times New Roman"/>
        <w:noProof/>
        <w:sz w:val="20"/>
        <w:szCs w:val="20"/>
      </w:rPr>
      <w:fldChar w:fldCharType="end"/>
    </w:r>
    <w:r>
      <w:rPr>
        <w:rFonts w:ascii="Times New Roman" w:hAnsi="Times New Roman" w:cs="Times New Roman"/>
        <w:noProof/>
        <w:sz w:val="20"/>
        <w:szCs w:val="20"/>
      </w:rPr>
      <w:t>.doc</w:t>
    </w:r>
    <w:r w:rsidRPr="007E1E69">
      <w:rPr>
        <w:rFonts w:ascii="Times New Roman" w:hAnsi="Times New Roman" w:cs="Times New Roman"/>
        <w:sz w:val="20"/>
        <w:szCs w:val="20"/>
      </w:rPr>
      <w:t>; Likumprojekt</w:t>
    </w:r>
    <w:r>
      <w:rPr>
        <w:rFonts w:ascii="Times New Roman" w:hAnsi="Times New Roman" w:cs="Times New Roman"/>
        <w:sz w:val="20"/>
        <w:szCs w:val="20"/>
      </w:rPr>
      <w:t>s</w:t>
    </w:r>
    <w:r w:rsidRPr="007E1E69">
      <w:rPr>
        <w:rFonts w:ascii="Times New Roman" w:hAnsi="Times New Roman" w:cs="Times New Roman"/>
        <w:sz w:val="20"/>
        <w:szCs w:val="20"/>
      </w:rPr>
      <w:t xml:space="preserve"> “Grozījumi likumā “Par uzņēmumu ienākuma nodokli””</w:t>
    </w:r>
    <w:r>
      <w:rPr>
        <w:rFonts w:ascii="Times New Roman" w:hAnsi="Times New Roman" w:cs="Times New Roman"/>
        <w:sz w:val="20"/>
        <w:szCs w:val="20"/>
      </w:rPr>
      <w:t xml:space="preserve"> </w:t>
    </w:r>
  </w:p>
  <w:p w:rsidR="00E51B76" w:rsidRDefault="000D16BE">
    <w:pPr>
      <w:pStyle w:val="Footer"/>
    </w:pPr>
  </w:p>
  <w:p w:rsidR="00CE5E0E" w:rsidRPr="007E1E69" w:rsidRDefault="00F52E42" w:rsidP="00EE1B86">
    <w:pPr>
      <w:pStyle w:val="Footer"/>
      <w:tabs>
        <w:tab w:val="clear" w:pos="4153"/>
        <w:tab w:val="clear" w:pos="8306"/>
        <w:tab w:val="left" w:pos="1635"/>
      </w:tabs>
      <w:rPr>
        <w:rFonts w:ascii="Times New Roman" w:hAnsi="Times New Roman" w:cs="Times New Roman"/>
        <w:sz w:val="20"/>
        <w:szCs w:val="20"/>
      </w:rPr>
    </w:pPr>
    <w:r>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6BE" w:rsidRDefault="000D16BE" w:rsidP="009E72BD">
      <w:pPr>
        <w:spacing w:after="0" w:line="240" w:lineRule="auto"/>
      </w:pPr>
      <w:r>
        <w:separator/>
      </w:r>
    </w:p>
  </w:footnote>
  <w:footnote w:type="continuationSeparator" w:id="0">
    <w:p w:rsidR="000D16BE" w:rsidRDefault="000D16BE" w:rsidP="009E7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398281"/>
      <w:docPartObj>
        <w:docPartGallery w:val="Page Numbers (Top of Page)"/>
        <w:docPartUnique/>
      </w:docPartObj>
    </w:sdtPr>
    <w:sdtEndPr>
      <w:rPr>
        <w:noProof/>
      </w:rPr>
    </w:sdtEndPr>
    <w:sdtContent>
      <w:p w:rsidR="009E72BD" w:rsidRDefault="009E72BD">
        <w:pPr>
          <w:pStyle w:val="Header"/>
          <w:jc w:val="center"/>
        </w:pPr>
        <w:r>
          <w:fldChar w:fldCharType="begin"/>
        </w:r>
        <w:r>
          <w:instrText xml:space="preserve"> PAGE   \* MERGEFORMAT </w:instrText>
        </w:r>
        <w:r>
          <w:fldChar w:fldCharType="separate"/>
        </w:r>
        <w:r w:rsidR="002A4BBC">
          <w:rPr>
            <w:noProof/>
          </w:rPr>
          <w:t>2</w:t>
        </w:r>
        <w:r>
          <w:rPr>
            <w:noProof/>
          </w:rPr>
          <w:fldChar w:fldCharType="end"/>
        </w:r>
      </w:p>
    </w:sdtContent>
  </w:sdt>
  <w:p w:rsidR="00A01AAA" w:rsidRDefault="000D1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224" w:rsidRDefault="000D16BE">
    <w:pPr>
      <w:pStyle w:val="Header"/>
      <w:jc w:val="center"/>
    </w:pPr>
  </w:p>
  <w:p w:rsidR="005604EB" w:rsidRDefault="000D1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22FDD"/>
    <w:multiLevelType w:val="hybridMultilevel"/>
    <w:tmpl w:val="E0D4BD7E"/>
    <w:lvl w:ilvl="0" w:tplc="DC50905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CD"/>
    <w:rsid w:val="000D16BE"/>
    <w:rsid w:val="002A4BBC"/>
    <w:rsid w:val="002C6D4E"/>
    <w:rsid w:val="00304702"/>
    <w:rsid w:val="00436E4D"/>
    <w:rsid w:val="00675990"/>
    <w:rsid w:val="0068386F"/>
    <w:rsid w:val="00733D48"/>
    <w:rsid w:val="00770821"/>
    <w:rsid w:val="008D08CC"/>
    <w:rsid w:val="009525FB"/>
    <w:rsid w:val="009C17CD"/>
    <w:rsid w:val="009E72BD"/>
    <w:rsid w:val="00A36973"/>
    <w:rsid w:val="00AA6A43"/>
    <w:rsid w:val="00B1304E"/>
    <w:rsid w:val="00B3185E"/>
    <w:rsid w:val="00BF70CA"/>
    <w:rsid w:val="00D97F0A"/>
    <w:rsid w:val="00DA4E75"/>
    <w:rsid w:val="00F52E42"/>
    <w:rsid w:val="00FD33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9F92A-8FC8-44FF-A535-E9DB2F4D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7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7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17CD"/>
  </w:style>
  <w:style w:type="paragraph" w:styleId="Footer">
    <w:name w:val="footer"/>
    <w:basedOn w:val="Normal"/>
    <w:link w:val="FooterChar"/>
    <w:uiPriority w:val="99"/>
    <w:unhideWhenUsed/>
    <w:rsid w:val="009C17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17CD"/>
  </w:style>
  <w:style w:type="paragraph" w:styleId="ListParagraph">
    <w:name w:val="List Paragraph"/>
    <w:basedOn w:val="Normal"/>
    <w:uiPriority w:val="34"/>
    <w:qFormat/>
    <w:rsid w:val="009C17CD"/>
    <w:pPr>
      <w:spacing w:before="120" w:after="0" w:line="240" w:lineRule="auto"/>
      <w:ind w:left="720"/>
      <w:contextualSpacing/>
      <w:jc w:val="both"/>
    </w:pPr>
    <w:rPr>
      <w:rFonts w:ascii="Calibri" w:eastAsia="Times New Roman" w:hAnsi="Calibri" w:cs="Times New Roman"/>
    </w:rPr>
  </w:style>
  <w:style w:type="character" w:styleId="Hyperlink">
    <w:name w:val="Hyperlink"/>
    <w:basedOn w:val="DefaultParagraphFont"/>
    <w:uiPriority w:val="99"/>
    <w:unhideWhenUsed/>
    <w:rsid w:val="009C17CD"/>
    <w:rPr>
      <w:color w:val="0000FF"/>
      <w:u w:val="single"/>
    </w:rPr>
  </w:style>
  <w:style w:type="paragraph" w:styleId="BodyText">
    <w:name w:val="Body Text"/>
    <w:basedOn w:val="Normal"/>
    <w:link w:val="BodyTextChar"/>
    <w:rsid w:val="009C17CD"/>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9C17CD"/>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B1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dra.macivka@f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2987</Words>
  <Characters>1704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uzņēmumu ienākuma nodokli"</dc:title>
  <dc:subject>Likumprojekts</dc:subject>
  <dc:creator>Sandra Mačivka</dc:creator>
  <cp:keywords/>
  <dc:description>67095630,
sandra.macivka@fm.gov.lv</dc:description>
  <cp:lastModifiedBy>Liene Strēlniece</cp:lastModifiedBy>
  <cp:revision>5</cp:revision>
  <cp:lastPrinted>2014-11-24T08:12:00Z</cp:lastPrinted>
  <dcterms:created xsi:type="dcterms:W3CDTF">2014-11-24T08:11:00Z</dcterms:created>
  <dcterms:modified xsi:type="dcterms:W3CDTF">2014-11-25T07:55:00Z</dcterms:modified>
</cp:coreProperties>
</file>