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8D" w:rsidRPr="00D175E1" w:rsidRDefault="00CA088D" w:rsidP="00CA088D">
      <w:pPr>
        <w:rPr>
          <w:sz w:val="28"/>
          <w:szCs w:val="28"/>
          <w:lang w:val="de-DE"/>
        </w:rPr>
      </w:pPr>
      <w:bookmarkStart w:id="0" w:name="_GoBack"/>
      <w:bookmarkEnd w:id="0"/>
      <w:r w:rsidRPr="00D175E1">
        <w:rPr>
          <w:sz w:val="28"/>
          <w:szCs w:val="28"/>
          <w:lang w:val="de-DE"/>
        </w:rPr>
        <w:t>2014.gada___________</w:t>
      </w:r>
    </w:p>
    <w:p w:rsidR="00CA088D" w:rsidRPr="00D175E1" w:rsidRDefault="00CA088D" w:rsidP="00CA088D">
      <w:pPr>
        <w:ind w:firstLine="720"/>
        <w:jc w:val="right"/>
        <w:rPr>
          <w:sz w:val="28"/>
          <w:szCs w:val="28"/>
        </w:rPr>
      </w:pPr>
      <w:r w:rsidRPr="00D175E1">
        <w:rPr>
          <w:sz w:val="28"/>
          <w:szCs w:val="28"/>
        </w:rPr>
        <w:t>Noteikumi Nr.</w:t>
      </w:r>
    </w:p>
    <w:p w:rsidR="00CA088D" w:rsidRPr="00D175E1" w:rsidRDefault="00CA088D" w:rsidP="00CA088D">
      <w:pPr>
        <w:ind w:firstLine="720"/>
        <w:jc w:val="right"/>
        <w:rPr>
          <w:sz w:val="28"/>
          <w:szCs w:val="28"/>
        </w:rPr>
      </w:pPr>
      <w:r w:rsidRPr="00D175E1">
        <w:rPr>
          <w:sz w:val="28"/>
          <w:szCs w:val="28"/>
        </w:rPr>
        <w:t>(prot. Nr.   .§)</w:t>
      </w:r>
    </w:p>
    <w:p w:rsidR="00CA088D" w:rsidRPr="00D175E1" w:rsidRDefault="00CA088D" w:rsidP="00CA088D">
      <w:pPr>
        <w:rPr>
          <w:sz w:val="28"/>
          <w:szCs w:val="28"/>
        </w:rPr>
      </w:pPr>
    </w:p>
    <w:p w:rsidR="00CA088D" w:rsidRPr="00D175E1" w:rsidRDefault="00CA088D" w:rsidP="00CA088D">
      <w:pPr>
        <w:widowControl w:val="0"/>
        <w:ind w:firstLine="720"/>
        <w:jc w:val="center"/>
        <w:rPr>
          <w:b/>
          <w:sz w:val="28"/>
          <w:szCs w:val="28"/>
        </w:rPr>
      </w:pPr>
      <w:r w:rsidRPr="00EE2255">
        <w:rPr>
          <w:rStyle w:val="FontStyle20"/>
          <w:rFonts w:ascii="Times New Roman" w:hAnsi="Times New Roman" w:cs="Times New Roman"/>
          <w:color w:val="auto"/>
          <w:sz w:val="28"/>
          <w:szCs w:val="28"/>
        </w:rPr>
        <w:t>Kārtība, kādā iesniedzams ziņojums par azartspēļu un izložu organizēšanu</w:t>
      </w:r>
    </w:p>
    <w:p w:rsidR="00CA088D" w:rsidRPr="00D175E1" w:rsidRDefault="00CA088D" w:rsidP="00CA088D">
      <w:pPr>
        <w:widowControl w:val="0"/>
        <w:ind w:firstLine="720"/>
        <w:jc w:val="center"/>
        <w:rPr>
          <w:b/>
          <w:sz w:val="28"/>
          <w:szCs w:val="28"/>
        </w:rPr>
      </w:pPr>
    </w:p>
    <w:p w:rsidR="00CA088D" w:rsidRPr="00D175E1" w:rsidRDefault="00CA088D" w:rsidP="00CA088D">
      <w:pPr>
        <w:widowControl w:val="0"/>
        <w:ind w:firstLine="720"/>
        <w:jc w:val="right"/>
        <w:rPr>
          <w:sz w:val="28"/>
          <w:szCs w:val="28"/>
        </w:rPr>
      </w:pPr>
      <w:r w:rsidRPr="00D175E1">
        <w:rPr>
          <w:sz w:val="28"/>
          <w:szCs w:val="28"/>
        </w:rPr>
        <w:t>Izdoti saskaņā ar Azartspēļu un</w:t>
      </w:r>
    </w:p>
    <w:p w:rsidR="00CA088D" w:rsidRPr="00D175E1" w:rsidRDefault="00CA088D" w:rsidP="00CA088D">
      <w:pPr>
        <w:widowControl w:val="0"/>
        <w:ind w:firstLine="720"/>
        <w:jc w:val="right"/>
        <w:rPr>
          <w:sz w:val="28"/>
          <w:szCs w:val="28"/>
        </w:rPr>
      </w:pPr>
      <w:r w:rsidRPr="00D175E1">
        <w:rPr>
          <w:sz w:val="28"/>
          <w:szCs w:val="28"/>
        </w:rPr>
        <w:t>izložu likuma 84.panta otro daļu</w:t>
      </w:r>
    </w:p>
    <w:p w:rsidR="00D5539C" w:rsidRPr="00D175E1" w:rsidRDefault="00D5539C" w:rsidP="00CA088D">
      <w:pPr>
        <w:widowControl w:val="0"/>
        <w:ind w:firstLine="720"/>
        <w:jc w:val="right"/>
        <w:rPr>
          <w:sz w:val="28"/>
          <w:szCs w:val="28"/>
        </w:rPr>
      </w:pPr>
    </w:p>
    <w:p w:rsidR="00D5539C" w:rsidRPr="00D175E1" w:rsidRDefault="00D5539C" w:rsidP="00EE2255">
      <w:pPr>
        <w:shd w:val="clear" w:color="auto" w:fill="FFFFFF"/>
        <w:spacing w:line="293" w:lineRule="atLeast"/>
        <w:ind w:left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1. Noteikumi nosaka kārtību, kādā azartspēļu un izložu organizētājs iesniedz Izložu un azartspēļu uzraudzības inspekcijai ziņojumu par azartspēļu un izložu organizēšanu pārskata ceturksnī.</w:t>
      </w:r>
    </w:p>
    <w:p w:rsidR="00D5539C" w:rsidRPr="00D175E1" w:rsidRDefault="00D5539C" w:rsidP="00D5539C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bookmarkStart w:id="1" w:name="p2"/>
      <w:bookmarkStart w:id="2" w:name="p-488494"/>
      <w:bookmarkEnd w:id="1"/>
      <w:bookmarkEnd w:id="2"/>
    </w:p>
    <w:p w:rsidR="00D5539C" w:rsidRPr="00D175E1" w:rsidRDefault="00D5539C" w:rsidP="00EE2255">
      <w:pPr>
        <w:shd w:val="clear" w:color="auto" w:fill="FFFFFF"/>
        <w:spacing w:line="293" w:lineRule="atLeast"/>
        <w:ind w:left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 Ziņojumā par azartspēļu organizēšanu pārskata ceturksnī (</w:t>
      </w:r>
      <w:hyperlink r:id="rId8" w:anchor="piel1" w:tgtFrame="_blank" w:history="1">
        <w:r w:rsidRPr="00D175E1">
          <w:rPr>
            <w:sz w:val="28"/>
            <w:szCs w:val="28"/>
          </w:rPr>
          <w:t>1.pielikums</w:t>
        </w:r>
      </w:hyperlink>
      <w:r w:rsidRPr="00D175E1">
        <w:rPr>
          <w:sz w:val="28"/>
          <w:szCs w:val="28"/>
        </w:rPr>
        <w:t>) norāda šādu informāciju:</w:t>
      </w:r>
    </w:p>
    <w:p w:rsidR="00D5539C" w:rsidRPr="00D175E1" w:rsidRDefault="00D5539C" w:rsidP="00EE2255">
      <w:pPr>
        <w:shd w:val="clear" w:color="auto" w:fill="FFFFFF"/>
        <w:spacing w:line="293" w:lineRule="atLeast"/>
        <w:ind w:left="9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2.1. licences saņēmēja firma, reģistrācijas numurs komercreģistrā, juridiskā adrese, azartspēļu organizēšanas licences kārtas numurs;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 azartspēļu organizēšanas rādītāji: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2.2.1. ekspluatēto azartspēļu iekārtu skaits: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2.2.1.1. azartspēļu automātu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2.2.1.2. ruletes (cilindriskās spēles) galdu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2.2.1.3. kāršu spēles galdu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2.2.1.4. kauliņu spēles galdu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2.2.2. azartspēļu organizēšanas vietu skaits:</w:t>
      </w:r>
    </w:p>
    <w:p w:rsidR="00D5539C" w:rsidRPr="00D175E1" w:rsidRDefault="00D5539C" w:rsidP="00EE2255">
      <w:pPr>
        <w:shd w:val="clear" w:color="auto" w:fill="FFFFFF"/>
        <w:spacing w:line="293" w:lineRule="atLeast"/>
        <w:ind w:left="480" w:firstLine="72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2.2.2.1. spēļu automātu zāļu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2.2.2.2. kazino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2.2.2.3. bingo zāļu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2.2.2.4. totalizatora likmju pieņemšanas vietu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2.2.2.5. derību likmju pieņemšanas vietu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2.2.2.6. veiksmes spēlēs pa tālruni izmantoto tālruņa numuru skaits;</w:t>
      </w:r>
    </w:p>
    <w:p w:rsidR="00B35A15" w:rsidRPr="00D175E1" w:rsidRDefault="00B35A15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2.2.2.7. </w:t>
      </w:r>
      <w:r w:rsidRPr="00EE2255">
        <w:rPr>
          <w:rStyle w:val="FontStyle42"/>
          <w:rFonts w:ascii="Times New Roman" w:hAnsi="Times New Roman" w:cs="Times New Roman"/>
          <w:color w:val="auto"/>
          <w:sz w:val="28"/>
          <w:szCs w:val="28"/>
        </w:rPr>
        <w:t>interaktīvajām azartspēlēm izmantoto domēna vārdu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 licences saņēmēja darbības ekonomiskie rādītāji: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2.3.1. licences saņēmēja neto apgrozījums:</w:t>
      </w:r>
    </w:p>
    <w:p w:rsidR="00D5539C" w:rsidRPr="00D175E1" w:rsidRDefault="00D5539C" w:rsidP="00EE2255">
      <w:pPr>
        <w:shd w:val="clear" w:color="auto" w:fill="FFFFFF"/>
        <w:spacing w:line="293" w:lineRule="atLeast"/>
        <w:ind w:left="12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2.3.1.1. neto </w:t>
      </w:r>
      <w:r w:rsidR="00B35A15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azartspēļu organizēšanas</w:t>
      </w:r>
      <w:r w:rsidR="00B35A15" w:rsidRPr="00D175E1">
        <w:rPr>
          <w:sz w:val="28"/>
          <w:szCs w:val="28"/>
        </w:rPr>
        <w:t>, izņemot no interaktīvo azartspēļu organizēšanas</w:t>
      </w:r>
      <w:r w:rsidRPr="00D175E1">
        <w:rPr>
          <w:sz w:val="28"/>
          <w:szCs w:val="28"/>
        </w:rPr>
        <w:t>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2.3.1.1.1. neto </w:t>
      </w:r>
      <w:r w:rsidR="00B35A15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spēļu automātu spē</w:t>
      </w:r>
      <w:r w:rsidR="00B35A15" w:rsidRPr="00D175E1">
        <w:rPr>
          <w:sz w:val="28"/>
          <w:szCs w:val="28"/>
        </w:rPr>
        <w:t>les</w:t>
      </w:r>
      <w:r w:rsidRPr="00D175E1">
        <w:rPr>
          <w:sz w:val="28"/>
          <w:szCs w:val="28"/>
        </w:rPr>
        <w:t xml:space="preserve"> organizēšanas;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2.3.1.1.2. neto </w:t>
      </w:r>
      <w:r w:rsidR="00B35A15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ruletes </w:t>
      </w:r>
      <w:r w:rsidR="00B35A15" w:rsidRPr="00D175E1">
        <w:rPr>
          <w:sz w:val="28"/>
          <w:szCs w:val="28"/>
        </w:rPr>
        <w:t xml:space="preserve">(cilindriskās </w:t>
      </w:r>
      <w:r w:rsidRPr="00D175E1">
        <w:rPr>
          <w:sz w:val="28"/>
          <w:szCs w:val="28"/>
        </w:rPr>
        <w:t>spēles</w:t>
      </w:r>
      <w:r w:rsidR="00B35A15" w:rsidRPr="00D175E1">
        <w:rPr>
          <w:sz w:val="28"/>
          <w:szCs w:val="28"/>
        </w:rPr>
        <w:t>)</w:t>
      </w:r>
      <w:r w:rsidRPr="00D175E1">
        <w:rPr>
          <w:sz w:val="28"/>
          <w:szCs w:val="28"/>
        </w:rPr>
        <w:t xml:space="preserve"> organizēšanas;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2.3.1.1.3. neto </w:t>
      </w:r>
      <w:r w:rsidR="00B35A15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kāršu spēles organizēšanas;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2.3.1.1.4. neto </w:t>
      </w:r>
      <w:r w:rsidR="00B35A15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kauliņu spēles organizēšanas;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2.3.1.1.5. neto </w:t>
      </w:r>
      <w:r w:rsidR="00B35A15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bingo organizēšanas;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2.3.1.1.6. neto </w:t>
      </w:r>
      <w:r w:rsidR="0008064E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totalizatora organizēšanas;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2.3.1.1.7. neto </w:t>
      </w:r>
      <w:r w:rsidR="0008064E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derību organizēšanas;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2.3.1.1.8. neto </w:t>
      </w:r>
      <w:r w:rsidR="0008064E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veiksmes spēļu pa tālruni organizēšanas;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lastRenderedPageBreak/>
        <w:t>2.3.1.1.9. kazino žetonu skaita izmaiņas;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2.3.1.1.10. citi ieņēmumi (pateicības dāvanas, dzeramnauda);</w:t>
      </w:r>
    </w:p>
    <w:p w:rsidR="0008064E" w:rsidRPr="00EE2255" w:rsidRDefault="0008064E" w:rsidP="00EE2255">
      <w:pPr>
        <w:shd w:val="clear" w:color="auto" w:fill="FFFFFF"/>
        <w:spacing w:line="293" w:lineRule="atLeast"/>
        <w:ind w:left="900" w:firstLine="300"/>
        <w:jc w:val="both"/>
        <w:rPr>
          <w:rStyle w:val="FontStyle42"/>
          <w:rFonts w:ascii="Times New Roman" w:hAnsi="Times New Roman" w:cs="Times New Roman"/>
          <w:color w:val="auto"/>
          <w:sz w:val="28"/>
          <w:szCs w:val="28"/>
        </w:rPr>
      </w:pPr>
      <w:r w:rsidRPr="00EE2255">
        <w:rPr>
          <w:sz w:val="28"/>
          <w:szCs w:val="28"/>
        </w:rPr>
        <w:t>2.3.1.2.</w:t>
      </w:r>
      <w:r w:rsidRPr="00D175E1">
        <w:rPr>
          <w:sz w:val="28"/>
          <w:szCs w:val="28"/>
        </w:rPr>
        <w:t xml:space="preserve"> </w:t>
      </w:r>
      <w:r w:rsidRPr="00EE2255">
        <w:rPr>
          <w:rStyle w:val="FontStyle42"/>
          <w:rFonts w:ascii="Times New Roman" w:hAnsi="Times New Roman" w:cs="Times New Roman"/>
          <w:color w:val="auto"/>
          <w:sz w:val="28"/>
          <w:szCs w:val="28"/>
        </w:rPr>
        <w:t>neto ieņēmumi no interaktīvo azartspēļu organizēšanas:</w:t>
      </w:r>
    </w:p>
    <w:p w:rsidR="0008064E" w:rsidRPr="00EE2255" w:rsidRDefault="0008064E" w:rsidP="00EE2255">
      <w:pPr>
        <w:pStyle w:val="ListParagraph"/>
        <w:widowControl w:val="0"/>
        <w:ind w:left="1200"/>
        <w:jc w:val="both"/>
        <w:rPr>
          <w:rStyle w:val="FontStyle42"/>
          <w:rFonts w:ascii="Times New Roman" w:hAnsi="Times New Roman" w:cs="Times New Roman"/>
          <w:color w:val="auto"/>
          <w:sz w:val="28"/>
          <w:szCs w:val="28"/>
        </w:rPr>
      </w:pPr>
      <w:r w:rsidRPr="00EE2255">
        <w:rPr>
          <w:sz w:val="28"/>
          <w:szCs w:val="28"/>
        </w:rPr>
        <w:t xml:space="preserve">2.3.1.2.1. </w:t>
      </w:r>
      <w:r w:rsidRPr="00EE2255">
        <w:rPr>
          <w:rStyle w:val="FontStyle42"/>
          <w:rFonts w:ascii="Times New Roman" w:hAnsi="Times New Roman" w:cs="Times New Roman"/>
          <w:color w:val="auto"/>
          <w:sz w:val="28"/>
          <w:szCs w:val="28"/>
        </w:rPr>
        <w:t>neto ieņēmumi no interaktīvās spēļu automātu spēles, ruletes (cilindriskās spēles), kāršu spēles, kauliņu spēles, bingo organizēšanas, izņemot no interaktīvās kāršu spēles starp spēlētājiem organizēšanas;</w:t>
      </w:r>
    </w:p>
    <w:p w:rsidR="0008064E" w:rsidRPr="00EE2255" w:rsidRDefault="0008064E" w:rsidP="00EE2255">
      <w:pPr>
        <w:pStyle w:val="ListParagraph"/>
        <w:widowControl w:val="0"/>
        <w:tabs>
          <w:tab w:val="left" w:pos="2410"/>
        </w:tabs>
        <w:ind w:left="1200"/>
        <w:jc w:val="both"/>
        <w:rPr>
          <w:rStyle w:val="FontStyle42"/>
          <w:rFonts w:ascii="Times New Roman" w:eastAsiaTheme="minorEastAsia" w:hAnsi="Times New Roman" w:cs="Times New Roman"/>
          <w:color w:val="auto"/>
          <w:sz w:val="28"/>
          <w:szCs w:val="28"/>
          <w:lang w:val="en-US" w:eastAsia="en-US"/>
        </w:rPr>
      </w:pPr>
      <w:r w:rsidRPr="00EE2255">
        <w:rPr>
          <w:sz w:val="28"/>
          <w:szCs w:val="28"/>
        </w:rPr>
        <w:t xml:space="preserve">2.3.1.2.2. </w:t>
      </w:r>
      <w:r w:rsidRPr="00EE2255">
        <w:rPr>
          <w:rStyle w:val="FontStyle42"/>
          <w:rFonts w:ascii="Times New Roman" w:hAnsi="Times New Roman" w:cs="Times New Roman"/>
          <w:color w:val="auto"/>
          <w:sz w:val="28"/>
          <w:szCs w:val="28"/>
        </w:rPr>
        <w:t>neto ieņēmumi no interaktīvā totalizatora un derību organizēšanas;</w:t>
      </w:r>
    </w:p>
    <w:p w:rsidR="0008064E" w:rsidRPr="00D175E1" w:rsidRDefault="0008064E" w:rsidP="00EE2255">
      <w:pPr>
        <w:shd w:val="clear" w:color="auto" w:fill="FFFFFF"/>
        <w:spacing w:line="293" w:lineRule="atLeast"/>
        <w:ind w:left="12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2.3.1.2.3. </w:t>
      </w:r>
      <w:r w:rsidRPr="00EE2255">
        <w:rPr>
          <w:rStyle w:val="FontStyle42"/>
          <w:rFonts w:ascii="Times New Roman" w:hAnsi="Times New Roman" w:cs="Times New Roman"/>
          <w:color w:val="auto"/>
          <w:sz w:val="28"/>
          <w:szCs w:val="28"/>
        </w:rPr>
        <w:t>neto ieņēmumi no interaktīvās kāršu spēles starp spēlētājiem organizēšanas;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2.3.1.</w:t>
      </w:r>
      <w:r w:rsidR="0008064E" w:rsidRPr="00D175E1">
        <w:rPr>
          <w:sz w:val="28"/>
          <w:szCs w:val="28"/>
        </w:rPr>
        <w:t>3</w:t>
      </w:r>
      <w:r w:rsidRPr="00D175E1">
        <w:rPr>
          <w:sz w:val="28"/>
          <w:szCs w:val="28"/>
        </w:rPr>
        <w:t xml:space="preserve">. neto </w:t>
      </w:r>
      <w:r w:rsidR="0008064E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pārējās uzņēmējdarbības;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2.3.2. licences saņēmēja kopējās izmaksas: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2.3.2.1. azartspēļu organizēšanas izmaksas;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2.3.2.2. pārējās uzņēmējdarbības izmaksas;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2.3.3. licences saņēmēja peļņa vai zaudējumi;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2.3.4. licences saņēmēja darbinieku skaits: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2.3.4.1. kopējais darbinieku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2.3.4.2. darbinieku skaits, kuri tieši saistīti ar azartspēļu organizēšanu;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2.3.5. licences saņēmēja aprēķinātie nodokļi un nodevas: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2.3.5.1. azartspēļu nodoklis: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2.3.5.1.1. azartspēļu nodoklis valsts pamatbudžetā;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2.3.5.1.2. azartspēļu nodoklis pašvaldību budžetos;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2.3.5.2. pārējie maksājumi: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2.3.5.2.1. uzņēmumu ienākuma nodoklis;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2.3.5.2.2. nekustamā īpašuma nodoklis;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2.3.5.2.3. pievienotās vērtības nodoklis;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2.3.5.2.4. valsts sociālās apdrošināšanas </w:t>
      </w:r>
      <w:r w:rsidR="006F76A8" w:rsidRPr="00D175E1">
        <w:rPr>
          <w:sz w:val="28"/>
          <w:szCs w:val="28"/>
        </w:rPr>
        <w:t xml:space="preserve">obligātās </w:t>
      </w:r>
      <w:r w:rsidRPr="00D175E1">
        <w:rPr>
          <w:sz w:val="28"/>
          <w:szCs w:val="28"/>
        </w:rPr>
        <w:t>iemaksas;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2.3.5.2.5. citi nodokļi un nodevas;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2.4. </w:t>
      </w:r>
      <w:r w:rsidR="0039211E" w:rsidRPr="00D175E1">
        <w:rPr>
          <w:sz w:val="28"/>
          <w:szCs w:val="28"/>
        </w:rPr>
        <w:t>izmaksātie laimesti pārskata ceturksnī</w:t>
      </w:r>
      <w:r w:rsidRPr="00D175E1">
        <w:rPr>
          <w:sz w:val="28"/>
          <w:szCs w:val="28"/>
        </w:rPr>
        <w:t>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2.4.1. izmaksāto laimestu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2.4.1.1. laimestu skaits no </w:t>
      </w:r>
      <w:r w:rsidR="0039211E" w:rsidRPr="00D175E1">
        <w:rPr>
          <w:sz w:val="28"/>
          <w:szCs w:val="28"/>
        </w:rPr>
        <w:t>3 000</w:t>
      </w:r>
      <w:r w:rsidRPr="00D175E1">
        <w:rPr>
          <w:sz w:val="28"/>
          <w:szCs w:val="28"/>
        </w:rPr>
        <w:t xml:space="preserve"> līdz </w:t>
      </w:r>
      <w:r w:rsidR="0039211E" w:rsidRPr="00D175E1">
        <w:rPr>
          <w:sz w:val="28"/>
          <w:szCs w:val="28"/>
        </w:rPr>
        <w:t>8 000</w:t>
      </w:r>
      <w:r w:rsidRPr="00D175E1">
        <w:rPr>
          <w:sz w:val="28"/>
          <w:szCs w:val="28"/>
        </w:rPr>
        <w:t> </w:t>
      </w:r>
      <w:r w:rsidRPr="00D175E1">
        <w:rPr>
          <w:i/>
          <w:iCs/>
          <w:sz w:val="28"/>
          <w:szCs w:val="28"/>
        </w:rPr>
        <w:t>euro</w:t>
      </w:r>
      <w:r w:rsidRPr="00D175E1">
        <w:rPr>
          <w:sz w:val="28"/>
          <w:szCs w:val="28"/>
        </w:rPr>
        <w:t>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2.4.1.2. laimestu skaits, kuri pārsniedz </w:t>
      </w:r>
      <w:r w:rsidR="0039211E" w:rsidRPr="00D175E1">
        <w:rPr>
          <w:sz w:val="28"/>
          <w:szCs w:val="28"/>
        </w:rPr>
        <w:t>8 000</w:t>
      </w:r>
      <w:r w:rsidRPr="00D175E1">
        <w:rPr>
          <w:sz w:val="28"/>
          <w:szCs w:val="28"/>
        </w:rPr>
        <w:t> </w:t>
      </w:r>
      <w:r w:rsidRPr="00D175E1">
        <w:rPr>
          <w:i/>
          <w:iCs/>
          <w:sz w:val="28"/>
          <w:szCs w:val="28"/>
        </w:rPr>
        <w:t>euro</w:t>
      </w:r>
      <w:r w:rsidRPr="00D175E1">
        <w:rPr>
          <w:sz w:val="28"/>
          <w:szCs w:val="28"/>
        </w:rPr>
        <w:t>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2.4.2. izmaksāto laimestu kopsumma, kura pārsniedz </w:t>
      </w:r>
      <w:r w:rsidR="0039211E" w:rsidRPr="00D175E1">
        <w:rPr>
          <w:sz w:val="28"/>
          <w:szCs w:val="28"/>
        </w:rPr>
        <w:t>3 000</w:t>
      </w:r>
      <w:r w:rsidRPr="00D175E1">
        <w:rPr>
          <w:sz w:val="28"/>
          <w:szCs w:val="28"/>
        </w:rPr>
        <w:t> </w:t>
      </w:r>
      <w:r w:rsidRPr="00D175E1">
        <w:rPr>
          <w:i/>
          <w:iCs/>
          <w:sz w:val="28"/>
          <w:szCs w:val="28"/>
        </w:rPr>
        <w:t>euro</w:t>
      </w:r>
      <w:r w:rsidR="0039211E" w:rsidRPr="00D175E1">
        <w:rPr>
          <w:sz w:val="28"/>
          <w:szCs w:val="28"/>
        </w:rPr>
        <w:t>.</w:t>
      </w:r>
    </w:p>
    <w:p w:rsidR="00D5539C" w:rsidRPr="00D175E1" w:rsidRDefault="00D5539C" w:rsidP="00D5539C">
      <w:pPr>
        <w:shd w:val="clear" w:color="auto" w:fill="FFFFFF"/>
        <w:spacing w:before="45" w:line="248" w:lineRule="atLeast"/>
        <w:ind w:firstLine="300"/>
        <w:jc w:val="both"/>
        <w:rPr>
          <w:i/>
          <w:iCs/>
          <w:sz w:val="28"/>
          <w:szCs w:val="28"/>
        </w:rPr>
      </w:pPr>
    </w:p>
    <w:p w:rsidR="00D5539C" w:rsidRPr="00D175E1" w:rsidRDefault="00D5539C" w:rsidP="00EE2255">
      <w:pPr>
        <w:shd w:val="clear" w:color="auto" w:fill="FFFFFF"/>
        <w:spacing w:line="293" w:lineRule="atLeast"/>
        <w:ind w:left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 Ziņojumā par izložu organizēšanu pārskata ceturksnī (</w:t>
      </w:r>
      <w:hyperlink r:id="rId9" w:anchor="piel2" w:tgtFrame="_blank" w:history="1">
        <w:r w:rsidRPr="00D175E1">
          <w:rPr>
            <w:sz w:val="28"/>
            <w:szCs w:val="28"/>
          </w:rPr>
          <w:t>2.pielikums</w:t>
        </w:r>
      </w:hyperlink>
      <w:r w:rsidRPr="00D175E1">
        <w:rPr>
          <w:sz w:val="28"/>
          <w:szCs w:val="28"/>
        </w:rPr>
        <w:t>) norāda šādu informāciju:</w:t>
      </w:r>
    </w:p>
    <w:p w:rsidR="00D5539C" w:rsidRPr="00D175E1" w:rsidRDefault="00D5539C" w:rsidP="00EE2255">
      <w:pPr>
        <w:shd w:val="clear" w:color="auto" w:fill="FFFFFF"/>
        <w:spacing w:line="293" w:lineRule="atLeast"/>
        <w:ind w:left="9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3.1. licences saņēmēja firma, reģistrācijas numurs komercreģistrā vai Tieslietu ministrijā, juridiskā adrese, izložu organizēšanas licences kārtas numurs;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3.2. izložu organizēšanas rādītāji: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3.2.1. organizēto loteriju skaits: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3.2.1.1. momentloteriju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3.2.1.2. skaitļu loteriju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3.2.2. loterijas biļešu realizācijas vietu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lastRenderedPageBreak/>
        <w:t>3.3. licences saņēmēja darbības ekonomiskie rādītāji: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3.3.1. licences saņēmēja neto apgrozījums:</w:t>
      </w:r>
    </w:p>
    <w:p w:rsidR="00D5539C" w:rsidRPr="00D175E1" w:rsidRDefault="00D5539C" w:rsidP="00EE2255">
      <w:pPr>
        <w:shd w:val="clear" w:color="auto" w:fill="FFFFFF"/>
        <w:spacing w:line="293" w:lineRule="atLeast"/>
        <w:ind w:left="12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3.3.1.1. neto </w:t>
      </w:r>
      <w:r w:rsidR="00E06684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loterijas biļešu realizācijas</w:t>
      </w:r>
      <w:r w:rsidR="00E06684" w:rsidRPr="00D175E1">
        <w:rPr>
          <w:sz w:val="28"/>
          <w:szCs w:val="28"/>
        </w:rPr>
        <w:t>, izņemot no loterijas biļešu realizācijas ar elektronisko sakaru starpniecību</w:t>
      </w:r>
      <w:r w:rsidRPr="00D175E1">
        <w:rPr>
          <w:sz w:val="28"/>
          <w:szCs w:val="28"/>
        </w:rPr>
        <w:t>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3.3.1.1.1. neto </w:t>
      </w:r>
      <w:r w:rsidR="00E06684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momentloterijas biļešu realizācijas;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3.3.1.1.2. neto </w:t>
      </w:r>
      <w:r w:rsidR="00E06684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skaitļu loterijas biļešu realizācijas;</w:t>
      </w:r>
    </w:p>
    <w:p w:rsidR="00E06684" w:rsidRPr="00D175E1" w:rsidRDefault="00E06684" w:rsidP="00EE2255">
      <w:pPr>
        <w:pStyle w:val="ListParagraph"/>
        <w:widowControl w:val="0"/>
        <w:ind w:left="12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3.3.1.2. neto ieņēmumi no loterijas biļešu realizācijas ar elektronisko sakaru starpniecību:</w:t>
      </w:r>
    </w:p>
    <w:p w:rsidR="00E06684" w:rsidRPr="00D175E1" w:rsidRDefault="00E06684" w:rsidP="00EE2255">
      <w:pPr>
        <w:pStyle w:val="ListParagraph"/>
        <w:widowControl w:val="0"/>
        <w:ind w:left="12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3.3.1.2.1. neto ieņēmumi no momentloterijas biļešu realizācijas ar elektronisko sakaru starpniecību; </w:t>
      </w:r>
    </w:p>
    <w:p w:rsidR="00E06684" w:rsidRPr="00D175E1" w:rsidRDefault="00E06684" w:rsidP="00EE2255">
      <w:pPr>
        <w:shd w:val="clear" w:color="auto" w:fill="FFFFFF"/>
        <w:spacing w:line="293" w:lineRule="atLeast"/>
        <w:ind w:left="12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3.3.1.2.2. neto ieņēmumi no skaitļu loterijas biļešu realizācijas ar elektronisko sakaru starpniecību;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3.3.1.</w:t>
      </w:r>
      <w:r w:rsidR="00E06684" w:rsidRPr="00D175E1">
        <w:rPr>
          <w:sz w:val="28"/>
          <w:szCs w:val="28"/>
        </w:rPr>
        <w:t>3</w:t>
      </w:r>
      <w:r w:rsidRPr="00D175E1">
        <w:rPr>
          <w:sz w:val="28"/>
          <w:szCs w:val="28"/>
        </w:rPr>
        <w:t xml:space="preserve">. neto </w:t>
      </w:r>
      <w:r w:rsidR="00D175E1" w:rsidRPr="00D175E1">
        <w:rPr>
          <w:sz w:val="28"/>
          <w:szCs w:val="28"/>
        </w:rPr>
        <w:t>ieņēmumi</w:t>
      </w:r>
      <w:r w:rsidRPr="00D175E1">
        <w:rPr>
          <w:sz w:val="28"/>
          <w:szCs w:val="28"/>
        </w:rPr>
        <w:t xml:space="preserve"> no pārējās uzņēmējdarbības;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3.3.2. licences saņēmēja kopējās izmaksas: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3.3.2.1. loteriju organizēšanas izmaksas;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3.3.2.2. pārējās uzņēmējdarbības izmaksas;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3.3.3. licences saņēmēja peļņa vai zaudējumi;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3.3.4. licences saņēmēja darbinieku skaits: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3.3.4.1. kopējais darbinieku skaits;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3.3.4.2. darbinieku skaits, kuri tieši sais</w:t>
      </w:r>
      <w:r w:rsidRPr="00D175E1">
        <w:rPr>
          <w:sz w:val="28"/>
          <w:szCs w:val="28"/>
        </w:rPr>
        <w:softHyphen/>
        <w:t>tīti ar loteriju organizēšanu;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3.3.5. licences saņēmēja aprēķinātie nodokļi un nodevas: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3.3.5.1. izložu nodoklis;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3.3.5.2. izložu valsts nodeva;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3.3.5.3. pārējie maksājumi: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3.3.5.3.1. uzņēmumu ienākuma nodoklis;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3.3.5.3.2. nekustamā īpašuma nodoklis;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3.3.5.3.3. pievienotās vērtības nodoklis;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3.3.5.3.4. valsts sociālās apdrošināšanas </w:t>
      </w:r>
      <w:r w:rsidR="00D175E1" w:rsidRPr="00D175E1">
        <w:rPr>
          <w:sz w:val="28"/>
          <w:szCs w:val="28"/>
        </w:rPr>
        <w:t xml:space="preserve">obligātās </w:t>
      </w:r>
      <w:r w:rsidRPr="00D175E1">
        <w:rPr>
          <w:sz w:val="28"/>
          <w:szCs w:val="28"/>
        </w:rPr>
        <w:t>iemaksas;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3.3.5.3.5. citi nodokļi un nodevas;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3.4. </w:t>
      </w:r>
      <w:r w:rsidR="00D175E1" w:rsidRPr="00D175E1">
        <w:rPr>
          <w:sz w:val="28"/>
          <w:szCs w:val="28"/>
        </w:rPr>
        <w:t>izmaksātie laimesti pārskata ceturksnī</w:t>
      </w:r>
      <w:r w:rsidRPr="00D175E1">
        <w:rPr>
          <w:sz w:val="28"/>
          <w:szCs w:val="28"/>
        </w:rPr>
        <w:t>: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 xml:space="preserve">3.4.1. izmaksāto laimestu </w:t>
      </w:r>
      <w:r w:rsidR="00D175E1" w:rsidRPr="00D175E1">
        <w:rPr>
          <w:sz w:val="28"/>
          <w:szCs w:val="28"/>
        </w:rPr>
        <w:t>skaits</w:t>
      </w:r>
      <w:r w:rsidRPr="00D175E1">
        <w:rPr>
          <w:sz w:val="28"/>
          <w:szCs w:val="28"/>
        </w:rPr>
        <w:t>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3.4.</w:t>
      </w:r>
      <w:r w:rsidR="00D175E1" w:rsidRPr="00D175E1">
        <w:rPr>
          <w:sz w:val="28"/>
          <w:szCs w:val="28"/>
        </w:rPr>
        <w:t>1</w:t>
      </w:r>
      <w:r w:rsidRPr="00D175E1">
        <w:rPr>
          <w:sz w:val="28"/>
          <w:szCs w:val="28"/>
        </w:rPr>
        <w:t>.</w:t>
      </w:r>
      <w:r w:rsidR="00D175E1" w:rsidRPr="00D175E1">
        <w:rPr>
          <w:sz w:val="28"/>
          <w:szCs w:val="28"/>
        </w:rPr>
        <w:t>1.</w:t>
      </w:r>
      <w:r w:rsidRPr="00D175E1">
        <w:rPr>
          <w:sz w:val="28"/>
          <w:szCs w:val="28"/>
        </w:rPr>
        <w:t xml:space="preserve"> laimestu skaits no </w:t>
      </w:r>
      <w:r w:rsidR="00D175E1" w:rsidRPr="00D175E1">
        <w:rPr>
          <w:sz w:val="28"/>
          <w:szCs w:val="28"/>
        </w:rPr>
        <w:t>3 000</w:t>
      </w:r>
      <w:r w:rsidRPr="00D175E1">
        <w:rPr>
          <w:sz w:val="28"/>
          <w:szCs w:val="28"/>
        </w:rPr>
        <w:t xml:space="preserve"> līdz </w:t>
      </w:r>
      <w:r w:rsidR="00D175E1" w:rsidRPr="00D175E1">
        <w:rPr>
          <w:sz w:val="28"/>
          <w:szCs w:val="28"/>
        </w:rPr>
        <w:t>8</w:t>
      </w:r>
      <w:r w:rsidRPr="00D175E1">
        <w:rPr>
          <w:sz w:val="28"/>
          <w:szCs w:val="28"/>
        </w:rPr>
        <w:t xml:space="preserve"> </w:t>
      </w:r>
      <w:r w:rsidR="00D175E1" w:rsidRPr="00D175E1">
        <w:rPr>
          <w:sz w:val="28"/>
          <w:szCs w:val="28"/>
        </w:rPr>
        <w:t>000</w:t>
      </w:r>
      <w:r w:rsidRPr="00D175E1">
        <w:rPr>
          <w:sz w:val="28"/>
          <w:szCs w:val="28"/>
        </w:rPr>
        <w:t> </w:t>
      </w:r>
      <w:r w:rsidRPr="00D175E1">
        <w:rPr>
          <w:i/>
          <w:iCs/>
          <w:sz w:val="28"/>
          <w:szCs w:val="28"/>
        </w:rPr>
        <w:t>euro</w:t>
      </w:r>
      <w:r w:rsidRPr="00D175E1">
        <w:rPr>
          <w:sz w:val="28"/>
          <w:szCs w:val="28"/>
        </w:rPr>
        <w:t>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3.4.</w:t>
      </w:r>
      <w:r w:rsidR="00D175E1" w:rsidRPr="00D175E1">
        <w:rPr>
          <w:sz w:val="28"/>
          <w:szCs w:val="28"/>
        </w:rPr>
        <w:t>1</w:t>
      </w:r>
      <w:r w:rsidRPr="00D175E1">
        <w:rPr>
          <w:sz w:val="28"/>
          <w:szCs w:val="28"/>
        </w:rPr>
        <w:t>.</w:t>
      </w:r>
      <w:r w:rsidR="00D175E1" w:rsidRPr="00D175E1">
        <w:rPr>
          <w:sz w:val="28"/>
          <w:szCs w:val="28"/>
        </w:rPr>
        <w:t>2.</w:t>
      </w:r>
      <w:r w:rsidRPr="00D175E1">
        <w:rPr>
          <w:sz w:val="28"/>
          <w:szCs w:val="28"/>
        </w:rPr>
        <w:t xml:space="preserve"> laimestu skaits, kuri pārsniedz </w:t>
      </w:r>
      <w:r w:rsidR="00D175E1" w:rsidRPr="00D175E1">
        <w:rPr>
          <w:sz w:val="28"/>
          <w:szCs w:val="28"/>
        </w:rPr>
        <w:t>8 000</w:t>
      </w:r>
      <w:r w:rsidRPr="00D175E1">
        <w:rPr>
          <w:sz w:val="28"/>
          <w:szCs w:val="28"/>
        </w:rPr>
        <w:t> </w:t>
      </w:r>
      <w:r w:rsidRPr="00D175E1">
        <w:rPr>
          <w:i/>
          <w:iCs/>
          <w:sz w:val="28"/>
          <w:szCs w:val="28"/>
        </w:rPr>
        <w:t>euro</w:t>
      </w:r>
      <w:r w:rsidRPr="00D175E1">
        <w:rPr>
          <w:sz w:val="28"/>
          <w:szCs w:val="28"/>
        </w:rPr>
        <w:t>;</w:t>
      </w:r>
    </w:p>
    <w:p w:rsidR="00D5539C" w:rsidRPr="00D175E1" w:rsidRDefault="00D5539C" w:rsidP="00D5539C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D175E1">
        <w:rPr>
          <w:sz w:val="28"/>
          <w:szCs w:val="28"/>
        </w:rPr>
        <w:t>3.4.</w:t>
      </w:r>
      <w:r w:rsidR="00D175E1" w:rsidRPr="00D175E1">
        <w:rPr>
          <w:sz w:val="28"/>
          <w:szCs w:val="28"/>
        </w:rPr>
        <w:t>2</w:t>
      </w:r>
      <w:r w:rsidRPr="00D175E1">
        <w:rPr>
          <w:sz w:val="28"/>
          <w:szCs w:val="28"/>
        </w:rPr>
        <w:t xml:space="preserve">. izmaksāto laimestu kopsumma, kura pārsniedz </w:t>
      </w:r>
      <w:r w:rsidR="00D175E1" w:rsidRPr="00D175E1">
        <w:rPr>
          <w:sz w:val="28"/>
          <w:szCs w:val="28"/>
        </w:rPr>
        <w:t>3 000</w:t>
      </w:r>
      <w:r w:rsidRPr="00D175E1">
        <w:rPr>
          <w:sz w:val="28"/>
          <w:szCs w:val="28"/>
        </w:rPr>
        <w:t> </w:t>
      </w:r>
      <w:r w:rsidRPr="00D175E1">
        <w:rPr>
          <w:i/>
          <w:iCs/>
          <w:sz w:val="28"/>
          <w:szCs w:val="28"/>
        </w:rPr>
        <w:t>euro</w:t>
      </w:r>
      <w:r w:rsidR="00D175E1" w:rsidRPr="00D175E1">
        <w:rPr>
          <w:sz w:val="28"/>
          <w:szCs w:val="28"/>
        </w:rPr>
        <w:t>.</w:t>
      </w:r>
    </w:p>
    <w:p w:rsidR="00D5539C" w:rsidRPr="00D5539C" w:rsidRDefault="00D5539C" w:rsidP="00D5539C">
      <w:pPr>
        <w:shd w:val="clear" w:color="auto" w:fill="FFFFFF"/>
        <w:spacing w:before="45" w:line="248" w:lineRule="atLeast"/>
        <w:ind w:firstLine="300"/>
        <w:jc w:val="both"/>
        <w:rPr>
          <w:i/>
          <w:iCs/>
          <w:sz w:val="28"/>
          <w:szCs w:val="28"/>
        </w:rPr>
      </w:pPr>
    </w:p>
    <w:p w:rsidR="00D5539C" w:rsidRPr="00D5539C" w:rsidRDefault="00D5539C" w:rsidP="00EE2255">
      <w:pPr>
        <w:shd w:val="clear" w:color="auto" w:fill="FFFFFF"/>
        <w:spacing w:line="293" w:lineRule="atLeast"/>
        <w:ind w:left="300"/>
        <w:jc w:val="both"/>
        <w:rPr>
          <w:sz w:val="28"/>
          <w:szCs w:val="28"/>
        </w:rPr>
      </w:pPr>
      <w:r w:rsidRPr="00D5539C">
        <w:rPr>
          <w:sz w:val="28"/>
          <w:szCs w:val="28"/>
        </w:rPr>
        <w:t>4. Ziņojumā par izložu vai azartspēļu organizēšanu pārskata ceturksnī minēto informāciju norāda:</w:t>
      </w:r>
    </w:p>
    <w:p w:rsidR="00D5539C" w:rsidRPr="00D5539C" w:rsidRDefault="00D5539C" w:rsidP="00EE2255">
      <w:pPr>
        <w:shd w:val="clear" w:color="auto" w:fill="FFFFFF"/>
        <w:spacing w:line="293" w:lineRule="atLeast"/>
        <w:ind w:left="900"/>
        <w:jc w:val="both"/>
        <w:rPr>
          <w:sz w:val="28"/>
          <w:szCs w:val="28"/>
        </w:rPr>
      </w:pPr>
      <w:r w:rsidRPr="00D5539C">
        <w:rPr>
          <w:sz w:val="28"/>
          <w:szCs w:val="28"/>
        </w:rPr>
        <w:t xml:space="preserve">4.1. šo noteikumu 2.2. un 3.2.apakšpunktā minēto informāciju </w:t>
      </w:r>
      <w:r w:rsidR="00117BE7">
        <w:t>–</w:t>
      </w:r>
      <w:r w:rsidRPr="00D5539C">
        <w:rPr>
          <w:sz w:val="28"/>
          <w:szCs w:val="28"/>
        </w:rPr>
        <w:t xml:space="preserve"> par katru pārskata ceturkšņa mēnesi;</w:t>
      </w:r>
    </w:p>
    <w:p w:rsidR="00D5539C" w:rsidRPr="00D5539C" w:rsidRDefault="00D5539C" w:rsidP="00EE2255">
      <w:pPr>
        <w:shd w:val="clear" w:color="auto" w:fill="FFFFFF"/>
        <w:spacing w:line="293" w:lineRule="atLeast"/>
        <w:ind w:left="900"/>
        <w:jc w:val="both"/>
        <w:rPr>
          <w:sz w:val="28"/>
          <w:szCs w:val="28"/>
        </w:rPr>
      </w:pPr>
      <w:r w:rsidRPr="00D5539C">
        <w:rPr>
          <w:sz w:val="28"/>
          <w:szCs w:val="28"/>
        </w:rPr>
        <w:t xml:space="preserve">4.2. šo noteikumu 2.3. un 3.3.apakšpunktā minēto informāciju </w:t>
      </w:r>
      <w:r w:rsidR="00117BE7">
        <w:t>–</w:t>
      </w:r>
      <w:r w:rsidRPr="00D5539C">
        <w:rPr>
          <w:sz w:val="28"/>
          <w:szCs w:val="28"/>
        </w:rPr>
        <w:t xml:space="preserve"> par pārskata ceturksni kopā un pieaugošā kārtībā no pārskata gada sākuma;</w:t>
      </w:r>
    </w:p>
    <w:p w:rsidR="00D5539C" w:rsidRPr="00D5539C" w:rsidRDefault="00D5539C" w:rsidP="00EE2255">
      <w:pPr>
        <w:shd w:val="clear" w:color="auto" w:fill="FFFFFF"/>
        <w:spacing w:line="293" w:lineRule="atLeast"/>
        <w:ind w:left="900"/>
        <w:jc w:val="both"/>
        <w:rPr>
          <w:sz w:val="28"/>
          <w:szCs w:val="28"/>
        </w:rPr>
      </w:pPr>
      <w:r w:rsidRPr="00D5539C">
        <w:rPr>
          <w:sz w:val="28"/>
          <w:szCs w:val="28"/>
        </w:rPr>
        <w:t xml:space="preserve">4.3. šo noteikumu </w:t>
      </w:r>
      <w:r w:rsidR="00D175E1">
        <w:rPr>
          <w:sz w:val="28"/>
          <w:szCs w:val="28"/>
        </w:rPr>
        <w:t>2</w:t>
      </w:r>
      <w:r w:rsidRPr="00D5539C">
        <w:rPr>
          <w:sz w:val="28"/>
          <w:szCs w:val="28"/>
        </w:rPr>
        <w:t xml:space="preserve">.4. un </w:t>
      </w:r>
      <w:r w:rsidR="00D175E1">
        <w:rPr>
          <w:sz w:val="28"/>
          <w:szCs w:val="28"/>
        </w:rPr>
        <w:t>3</w:t>
      </w:r>
      <w:r w:rsidRPr="00D5539C">
        <w:rPr>
          <w:sz w:val="28"/>
          <w:szCs w:val="28"/>
        </w:rPr>
        <w:t xml:space="preserve">.4.apakšpunktā minēto informāciju </w:t>
      </w:r>
      <w:r w:rsidR="00117BE7">
        <w:t>–</w:t>
      </w:r>
      <w:r w:rsidRPr="00D5539C">
        <w:rPr>
          <w:sz w:val="28"/>
          <w:szCs w:val="28"/>
        </w:rPr>
        <w:t xml:space="preserve"> par katru pārskata ceturkšņa mēnesi un par pārskata ceturksni kopā;</w:t>
      </w:r>
    </w:p>
    <w:p w:rsidR="00D5539C" w:rsidRDefault="00D5539C" w:rsidP="00EE2255">
      <w:pPr>
        <w:shd w:val="clear" w:color="auto" w:fill="FFFFFF"/>
        <w:spacing w:line="293" w:lineRule="atLeast"/>
        <w:ind w:left="900"/>
        <w:jc w:val="both"/>
        <w:rPr>
          <w:sz w:val="28"/>
          <w:szCs w:val="28"/>
        </w:rPr>
      </w:pPr>
      <w:r w:rsidRPr="00D5539C">
        <w:rPr>
          <w:sz w:val="28"/>
          <w:szCs w:val="28"/>
        </w:rPr>
        <w:lastRenderedPageBreak/>
        <w:t xml:space="preserve">4.4. šo noteikumu 2.2., 2.3.4., 3.2.1., 3.2.2. un 3.3.4.apakšpunktā minēto informāciju </w:t>
      </w:r>
      <w:r w:rsidR="00117BE7">
        <w:t>–</w:t>
      </w:r>
      <w:r w:rsidRPr="00D5539C">
        <w:rPr>
          <w:sz w:val="28"/>
          <w:szCs w:val="28"/>
        </w:rPr>
        <w:t xml:space="preserve"> uz pārskata perioda pēdējo dienu.</w:t>
      </w:r>
    </w:p>
    <w:p w:rsidR="00D5539C" w:rsidRPr="00D5539C" w:rsidRDefault="00D5539C" w:rsidP="00D5539C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</w:p>
    <w:p w:rsidR="00D5539C" w:rsidRPr="007C1722" w:rsidRDefault="00D5539C" w:rsidP="00D5539C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7C1722">
        <w:rPr>
          <w:sz w:val="28"/>
          <w:szCs w:val="28"/>
        </w:rPr>
        <w:t xml:space="preserve">5. </w:t>
      </w:r>
      <w:r w:rsidR="00096A3C">
        <w:rPr>
          <w:sz w:val="28"/>
          <w:szCs w:val="28"/>
        </w:rPr>
        <w:t>Licences saņēmējs z</w:t>
      </w:r>
      <w:r w:rsidRPr="007C1722">
        <w:rPr>
          <w:sz w:val="28"/>
          <w:szCs w:val="28"/>
        </w:rPr>
        <w:t xml:space="preserve">iņojumu </w:t>
      </w:r>
      <w:r w:rsidR="00096A3C" w:rsidRPr="007C1722">
        <w:rPr>
          <w:sz w:val="28"/>
          <w:szCs w:val="28"/>
        </w:rPr>
        <w:t xml:space="preserve">par azartspēļu </w:t>
      </w:r>
      <w:r w:rsidR="00096A3C">
        <w:rPr>
          <w:sz w:val="28"/>
          <w:szCs w:val="28"/>
        </w:rPr>
        <w:t xml:space="preserve">un </w:t>
      </w:r>
      <w:r w:rsidR="00096A3C" w:rsidRPr="007C1722">
        <w:rPr>
          <w:sz w:val="28"/>
          <w:szCs w:val="28"/>
        </w:rPr>
        <w:t xml:space="preserve">izložu organizēšanu pārskata ceturksnī </w:t>
      </w:r>
      <w:r w:rsidRPr="007C1722">
        <w:rPr>
          <w:sz w:val="28"/>
          <w:szCs w:val="28"/>
        </w:rPr>
        <w:t>iesniedz Izložu un azartspēļu uzraudzības inspekcij</w:t>
      </w:r>
      <w:r w:rsidR="007C1722" w:rsidRPr="007C1722">
        <w:rPr>
          <w:sz w:val="28"/>
          <w:szCs w:val="28"/>
        </w:rPr>
        <w:t>ai</w:t>
      </w:r>
      <w:r w:rsidRPr="007C1722">
        <w:rPr>
          <w:sz w:val="28"/>
          <w:szCs w:val="28"/>
        </w:rPr>
        <w:t>.</w:t>
      </w:r>
    </w:p>
    <w:p w:rsidR="00D5539C" w:rsidRPr="007C1722" w:rsidRDefault="00D5539C" w:rsidP="00D5539C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:rsidR="00D5539C" w:rsidRDefault="00D5539C" w:rsidP="00D5539C">
      <w:pPr>
        <w:ind w:firstLine="300"/>
        <w:jc w:val="both"/>
        <w:rPr>
          <w:sz w:val="28"/>
          <w:szCs w:val="28"/>
        </w:rPr>
      </w:pPr>
      <w:r w:rsidRPr="007C1722">
        <w:rPr>
          <w:sz w:val="28"/>
          <w:szCs w:val="28"/>
        </w:rPr>
        <w:t>6. Atzīt par spēku zaudējušiem Ministru kabineta 2007.gada 6.februāra noteikumus Nr.96 „</w:t>
      </w:r>
      <w:hyperlink r:id="rId10" w:tgtFrame="_blank" w:history="1">
        <w:r w:rsidRPr="007C1722">
          <w:rPr>
            <w:rStyle w:val="Hyperlink"/>
            <w:color w:val="auto"/>
            <w:sz w:val="28"/>
            <w:szCs w:val="28"/>
            <w:u w:val="none"/>
          </w:rPr>
          <w:t>Kārtība, kādā iesniedzams ziņojums par azartspēļu</w:t>
        </w:r>
        <w:r w:rsidR="007C1722">
          <w:rPr>
            <w:rStyle w:val="Hyperlink"/>
            <w:color w:val="auto"/>
            <w:sz w:val="28"/>
            <w:szCs w:val="28"/>
            <w:u w:val="none"/>
          </w:rPr>
          <w:t xml:space="preserve"> un izložu</w:t>
        </w:r>
        <w:r w:rsidRPr="007C1722">
          <w:rPr>
            <w:rStyle w:val="Hyperlink"/>
            <w:color w:val="auto"/>
            <w:sz w:val="28"/>
            <w:szCs w:val="28"/>
            <w:u w:val="none"/>
          </w:rPr>
          <w:t xml:space="preserve"> organizēšanu</w:t>
        </w:r>
      </w:hyperlink>
      <w:r w:rsidRPr="007C1722">
        <w:rPr>
          <w:sz w:val="28"/>
          <w:szCs w:val="28"/>
        </w:rPr>
        <w:t>” (Latvijas Vēstnesis, 2007, 24.nr.; 2013, 193.nr.).</w:t>
      </w:r>
    </w:p>
    <w:p w:rsidR="00EE2255" w:rsidRDefault="00EE2255" w:rsidP="00D5539C">
      <w:pPr>
        <w:ind w:firstLine="300"/>
        <w:jc w:val="both"/>
        <w:rPr>
          <w:sz w:val="28"/>
          <w:szCs w:val="28"/>
        </w:rPr>
      </w:pPr>
    </w:p>
    <w:p w:rsidR="00EE2255" w:rsidRPr="007C1722" w:rsidRDefault="00EE2255" w:rsidP="00D5539C">
      <w:pPr>
        <w:ind w:firstLine="300"/>
        <w:jc w:val="both"/>
      </w:pPr>
      <w:r>
        <w:rPr>
          <w:sz w:val="28"/>
          <w:szCs w:val="28"/>
        </w:rPr>
        <w:t xml:space="preserve">7. </w:t>
      </w:r>
      <w:r w:rsidRPr="00284F3B">
        <w:rPr>
          <w:sz w:val="28"/>
          <w:szCs w:val="28"/>
        </w:rPr>
        <w:t>Noteikumi stājas spēkā 201</w:t>
      </w:r>
      <w:r>
        <w:rPr>
          <w:sz w:val="28"/>
          <w:szCs w:val="28"/>
        </w:rPr>
        <w:t>5</w:t>
      </w:r>
      <w:r w:rsidRPr="00284F3B">
        <w:rPr>
          <w:sz w:val="28"/>
          <w:szCs w:val="28"/>
        </w:rPr>
        <w:t xml:space="preserve">.gada </w:t>
      </w:r>
      <w:r>
        <w:rPr>
          <w:sz w:val="28"/>
          <w:szCs w:val="28"/>
        </w:rPr>
        <w:t>1</w:t>
      </w:r>
      <w:r w:rsidRPr="00284F3B">
        <w:rPr>
          <w:sz w:val="28"/>
          <w:szCs w:val="28"/>
        </w:rPr>
        <w:t>.</w:t>
      </w:r>
      <w:r>
        <w:rPr>
          <w:sz w:val="28"/>
          <w:szCs w:val="28"/>
        </w:rPr>
        <w:t>janvārī</w:t>
      </w:r>
      <w:r w:rsidRPr="00284F3B">
        <w:rPr>
          <w:sz w:val="28"/>
          <w:szCs w:val="28"/>
        </w:rPr>
        <w:t>.</w:t>
      </w:r>
    </w:p>
    <w:p w:rsidR="00EE2255" w:rsidRDefault="00EE2255" w:rsidP="00CA088D">
      <w:pPr>
        <w:tabs>
          <w:tab w:val="left" w:pos="6379"/>
          <w:tab w:val="right" w:pos="8931"/>
        </w:tabs>
        <w:ind w:firstLine="720"/>
        <w:jc w:val="both"/>
        <w:rPr>
          <w:sz w:val="28"/>
          <w:szCs w:val="28"/>
        </w:rPr>
      </w:pPr>
      <w:bookmarkStart w:id="3" w:name="p3"/>
      <w:bookmarkStart w:id="4" w:name="p-488495"/>
      <w:bookmarkStart w:id="5" w:name="p4"/>
      <w:bookmarkStart w:id="6" w:name="p-65436"/>
      <w:bookmarkStart w:id="7" w:name="p5"/>
      <w:bookmarkStart w:id="8" w:name="p-65437"/>
      <w:bookmarkStart w:id="9" w:name="p6"/>
      <w:bookmarkStart w:id="10" w:name="p-65438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65A24" w:rsidRDefault="00A65A24" w:rsidP="00CA088D">
      <w:pPr>
        <w:tabs>
          <w:tab w:val="left" w:pos="6379"/>
          <w:tab w:val="right" w:pos="8931"/>
        </w:tabs>
        <w:ind w:firstLine="720"/>
        <w:jc w:val="both"/>
        <w:rPr>
          <w:sz w:val="28"/>
          <w:szCs w:val="28"/>
        </w:rPr>
      </w:pPr>
    </w:p>
    <w:p w:rsidR="00A65A24" w:rsidRDefault="00A65A24" w:rsidP="00CA088D">
      <w:pPr>
        <w:tabs>
          <w:tab w:val="left" w:pos="6379"/>
          <w:tab w:val="right" w:pos="8931"/>
        </w:tabs>
        <w:ind w:firstLine="720"/>
        <w:jc w:val="both"/>
        <w:rPr>
          <w:sz w:val="28"/>
          <w:szCs w:val="28"/>
        </w:rPr>
      </w:pPr>
    </w:p>
    <w:p w:rsidR="00CA088D" w:rsidRPr="00284F3B" w:rsidRDefault="00CA088D" w:rsidP="00CA088D">
      <w:pPr>
        <w:tabs>
          <w:tab w:val="left" w:pos="6379"/>
          <w:tab w:val="right" w:pos="89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>L.</w:t>
      </w:r>
      <w:r w:rsidRPr="00284F3B">
        <w:rPr>
          <w:sz w:val="28"/>
          <w:szCs w:val="28"/>
        </w:rPr>
        <w:t>Straujuma</w:t>
      </w:r>
    </w:p>
    <w:p w:rsidR="00CA088D" w:rsidRPr="00284F3B" w:rsidRDefault="00CA088D" w:rsidP="00CA088D">
      <w:pPr>
        <w:tabs>
          <w:tab w:val="left" w:pos="6379"/>
          <w:tab w:val="right" w:pos="8505"/>
        </w:tabs>
        <w:ind w:firstLine="720"/>
        <w:jc w:val="both"/>
        <w:rPr>
          <w:sz w:val="28"/>
          <w:szCs w:val="28"/>
        </w:rPr>
      </w:pPr>
    </w:p>
    <w:p w:rsidR="00CA088D" w:rsidRDefault="00CA088D" w:rsidP="00CA088D">
      <w:pPr>
        <w:widowControl w:val="0"/>
        <w:ind w:firstLine="720"/>
        <w:rPr>
          <w:sz w:val="28"/>
          <w:szCs w:val="28"/>
        </w:rPr>
      </w:pPr>
      <w:r w:rsidRPr="00284F3B">
        <w:rPr>
          <w:sz w:val="28"/>
          <w:szCs w:val="28"/>
        </w:rPr>
        <w:t>Finanšu ministrs</w:t>
      </w:r>
      <w:r w:rsidRPr="00284F3B">
        <w:rPr>
          <w:sz w:val="28"/>
          <w:szCs w:val="28"/>
        </w:rPr>
        <w:tab/>
      </w:r>
      <w:r w:rsidRPr="00284F3B">
        <w:rPr>
          <w:sz w:val="28"/>
          <w:szCs w:val="28"/>
        </w:rPr>
        <w:tab/>
      </w:r>
      <w:r w:rsidRPr="00284F3B">
        <w:rPr>
          <w:sz w:val="28"/>
          <w:szCs w:val="28"/>
        </w:rPr>
        <w:tab/>
      </w:r>
      <w:r w:rsidRPr="00284F3B">
        <w:rPr>
          <w:sz w:val="28"/>
          <w:szCs w:val="28"/>
        </w:rPr>
        <w:tab/>
      </w:r>
      <w:r w:rsidRPr="00284F3B">
        <w:rPr>
          <w:sz w:val="28"/>
          <w:szCs w:val="28"/>
        </w:rPr>
        <w:tab/>
      </w:r>
      <w:r w:rsidRPr="00284F3B">
        <w:rPr>
          <w:sz w:val="28"/>
          <w:szCs w:val="28"/>
        </w:rPr>
        <w:tab/>
      </w:r>
      <w:r w:rsidR="001E2C8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="001E2C8E">
        <w:rPr>
          <w:sz w:val="28"/>
          <w:szCs w:val="28"/>
        </w:rPr>
        <w:t>Reirs</w:t>
      </w:r>
    </w:p>
    <w:p w:rsidR="00CA088D" w:rsidRDefault="00CA088D" w:rsidP="00CA088D">
      <w:pPr>
        <w:widowControl w:val="0"/>
        <w:rPr>
          <w:sz w:val="28"/>
          <w:szCs w:val="28"/>
        </w:rPr>
      </w:pPr>
    </w:p>
    <w:p w:rsidR="00A65A24" w:rsidRDefault="00A65A24" w:rsidP="00CA088D"/>
    <w:p w:rsidR="00A65A24" w:rsidRDefault="00A65A24" w:rsidP="00CA088D"/>
    <w:p w:rsidR="00A65A24" w:rsidRDefault="00A65A24" w:rsidP="00CA088D"/>
    <w:p w:rsidR="00A65A24" w:rsidRDefault="00A65A24" w:rsidP="00CA088D"/>
    <w:p w:rsidR="00CA088D" w:rsidRPr="00E90126" w:rsidRDefault="008C28EF" w:rsidP="00CA088D">
      <w:r>
        <w:t>0</w:t>
      </w:r>
      <w:r w:rsidR="00CC6B9E">
        <w:t>4</w:t>
      </w:r>
      <w:r w:rsidR="00CA088D" w:rsidRPr="00E90126">
        <w:t>.</w:t>
      </w:r>
      <w:r w:rsidR="00CA088D">
        <w:t>1</w:t>
      </w:r>
      <w:r>
        <w:t>2</w:t>
      </w:r>
      <w:r w:rsidR="00CA088D" w:rsidRPr="00E90126">
        <w:t>.2014 1</w:t>
      </w:r>
      <w:r w:rsidR="00CA088D">
        <w:t>0</w:t>
      </w:r>
      <w:r w:rsidR="00CA088D" w:rsidRPr="00E90126">
        <w:t>:39</w:t>
      </w:r>
    </w:p>
    <w:p w:rsidR="00CA088D" w:rsidRPr="00E90126" w:rsidRDefault="008C28EF" w:rsidP="00CA088D">
      <w:pPr>
        <w:rPr>
          <w:iCs/>
        </w:rPr>
      </w:pPr>
      <w:r>
        <w:rPr>
          <w:iCs/>
          <w:noProof/>
        </w:rPr>
        <w:t>797</w:t>
      </w:r>
    </w:p>
    <w:p w:rsidR="00CA088D" w:rsidRPr="00E90126" w:rsidRDefault="00CA088D" w:rsidP="00CA088D">
      <w:r w:rsidRPr="00E90126">
        <w:t>Avotiņa, 67095515</w:t>
      </w:r>
    </w:p>
    <w:p w:rsidR="00310842" w:rsidRDefault="00CA088D" w:rsidP="00EE2255">
      <w:r w:rsidRPr="00E90126">
        <w:t>e-pasts:</w:t>
      </w:r>
      <w:r w:rsidR="00325325">
        <w:t xml:space="preserve"> </w:t>
      </w:r>
      <w:hyperlink r:id="rId11" w:history="1">
        <w:r w:rsidRPr="00E90126">
          <w:rPr>
            <w:rStyle w:val="Hyperlink"/>
          </w:rPr>
          <w:t>Inga.Avotina@fm.gov.lv</w:t>
        </w:r>
      </w:hyperlink>
    </w:p>
    <w:sectPr w:rsidR="00310842" w:rsidSect="00603C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91" w:rsidRDefault="00B67791">
      <w:r>
        <w:separator/>
      </w:r>
    </w:p>
  </w:endnote>
  <w:endnote w:type="continuationSeparator" w:id="0">
    <w:p w:rsidR="00B67791" w:rsidRDefault="00B6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F9" w:rsidRDefault="00755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9C" w:rsidRPr="0022792F" w:rsidRDefault="00626C19" w:rsidP="003A61BD">
    <w:pPr>
      <w:pStyle w:val="Footer"/>
      <w:jc w:val="both"/>
      <w:rPr>
        <w:sz w:val="20"/>
        <w:szCs w:val="20"/>
      </w:rPr>
    </w:pPr>
    <w:r w:rsidRPr="0022792F">
      <w:rPr>
        <w:sz w:val="20"/>
        <w:szCs w:val="20"/>
      </w:rPr>
      <w:fldChar w:fldCharType="begin"/>
    </w:r>
    <w:r w:rsidRPr="0022792F">
      <w:rPr>
        <w:sz w:val="20"/>
        <w:szCs w:val="20"/>
      </w:rPr>
      <w:instrText xml:space="preserve"> FILENAME   \* MERGEFORMAT </w:instrText>
    </w:r>
    <w:r w:rsidRPr="0022792F">
      <w:rPr>
        <w:sz w:val="20"/>
        <w:szCs w:val="20"/>
      </w:rPr>
      <w:fldChar w:fldCharType="separate"/>
    </w:r>
    <w:r w:rsidR="007554F9">
      <w:rPr>
        <w:noProof/>
        <w:sz w:val="20"/>
        <w:szCs w:val="20"/>
      </w:rPr>
      <w:t>FMNot_041214_VSS-469</w:t>
    </w:r>
    <w:r w:rsidRPr="0022792F">
      <w:rPr>
        <w:noProof/>
        <w:sz w:val="20"/>
        <w:szCs w:val="20"/>
      </w:rPr>
      <w:fldChar w:fldCharType="end"/>
    </w:r>
    <w:r w:rsidR="00D5539C" w:rsidRPr="00A65A24">
      <w:rPr>
        <w:sz w:val="20"/>
        <w:szCs w:val="20"/>
      </w:rPr>
      <w:t>; Ministru kabineta noteikumu projekts „Kārtība, kādā iesniedzams ziņojums par azartspēļu un izložu organizēšanu”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9C" w:rsidRPr="0022792F" w:rsidRDefault="00D5539C" w:rsidP="003A61BD">
    <w:pPr>
      <w:pStyle w:val="Footer"/>
      <w:rPr>
        <w:sz w:val="20"/>
        <w:szCs w:val="20"/>
      </w:rPr>
    </w:pPr>
    <w:r w:rsidRPr="00A65A24">
      <w:rPr>
        <w:sz w:val="20"/>
        <w:szCs w:val="20"/>
      </w:rPr>
      <w:t>FMNot_</w:t>
    </w:r>
    <w:r w:rsidR="008C28EF">
      <w:rPr>
        <w:sz w:val="20"/>
        <w:szCs w:val="20"/>
      </w:rPr>
      <w:t>0</w:t>
    </w:r>
    <w:r w:rsidR="00FA7D01">
      <w:rPr>
        <w:sz w:val="20"/>
        <w:szCs w:val="20"/>
      </w:rPr>
      <w:t>4</w:t>
    </w:r>
    <w:r w:rsidRPr="00A65A24">
      <w:rPr>
        <w:sz w:val="20"/>
        <w:szCs w:val="20"/>
      </w:rPr>
      <w:t>1</w:t>
    </w:r>
    <w:r w:rsidR="008C28EF">
      <w:rPr>
        <w:sz w:val="20"/>
        <w:szCs w:val="20"/>
      </w:rPr>
      <w:t>2</w:t>
    </w:r>
    <w:r w:rsidRPr="00A65A24">
      <w:rPr>
        <w:sz w:val="20"/>
        <w:szCs w:val="20"/>
      </w:rPr>
      <w:t>14_</w:t>
    </w:r>
    <w:r w:rsidR="00A65A24" w:rsidRPr="00A65A24">
      <w:rPr>
        <w:sz w:val="20"/>
        <w:szCs w:val="20"/>
      </w:rPr>
      <w:t>VSS-469</w:t>
    </w:r>
    <w:r w:rsidRPr="00A65A24">
      <w:rPr>
        <w:sz w:val="20"/>
        <w:szCs w:val="20"/>
      </w:rPr>
      <w:t>; Ministru kabineta noteikumu projekts „Kārtība, kādā iesniedzams ziņojums par azartspēļu un izložu organizēšanu”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91" w:rsidRDefault="00B67791">
      <w:r>
        <w:separator/>
      </w:r>
    </w:p>
  </w:footnote>
  <w:footnote w:type="continuationSeparator" w:id="0">
    <w:p w:rsidR="00B67791" w:rsidRDefault="00B6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9C" w:rsidRDefault="00D5539C" w:rsidP="003A61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39C" w:rsidRDefault="00D55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9C" w:rsidRDefault="00D5539C" w:rsidP="003A61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F90">
      <w:rPr>
        <w:rStyle w:val="PageNumber"/>
        <w:noProof/>
      </w:rPr>
      <w:t>4</w:t>
    </w:r>
    <w:r>
      <w:rPr>
        <w:rStyle w:val="PageNumber"/>
      </w:rPr>
      <w:fldChar w:fldCharType="end"/>
    </w:r>
  </w:p>
  <w:p w:rsidR="00D5539C" w:rsidRDefault="00D553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9C" w:rsidRPr="00284F3B" w:rsidRDefault="00D5539C" w:rsidP="003A61BD">
    <w:pPr>
      <w:ind w:firstLine="540"/>
      <w:jc w:val="right"/>
      <w:rPr>
        <w:sz w:val="28"/>
        <w:szCs w:val="28"/>
        <w:lang w:val="de-DE"/>
      </w:rPr>
    </w:pPr>
    <w:r w:rsidRPr="00284F3B">
      <w:rPr>
        <w:sz w:val="28"/>
        <w:szCs w:val="28"/>
        <w:lang w:val="de-DE"/>
      </w:rPr>
      <w:t>Projekts</w:t>
    </w:r>
  </w:p>
  <w:p w:rsidR="00D5539C" w:rsidRDefault="00D55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4ACD"/>
    <w:multiLevelType w:val="multilevel"/>
    <w:tmpl w:val="DECAAC96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2767BD3"/>
    <w:multiLevelType w:val="hybridMultilevel"/>
    <w:tmpl w:val="3DCAE070"/>
    <w:lvl w:ilvl="0" w:tplc="3F1A30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6BC"/>
    <w:multiLevelType w:val="hybridMultilevel"/>
    <w:tmpl w:val="FD6803CC"/>
    <w:lvl w:ilvl="0" w:tplc="2D4056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631167"/>
    <w:multiLevelType w:val="hybridMultilevel"/>
    <w:tmpl w:val="3D24EB02"/>
    <w:lvl w:ilvl="0" w:tplc="D080674C">
      <w:start w:val="1"/>
      <w:numFmt w:val="decimal"/>
      <w:lvlText w:val="%1."/>
      <w:lvlJc w:val="left"/>
      <w:pPr>
        <w:ind w:left="524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5968" w:hanging="360"/>
      </w:pPr>
    </w:lvl>
    <w:lvl w:ilvl="2" w:tplc="0426001B" w:tentative="1">
      <w:start w:val="1"/>
      <w:numFmt w:val="lowerRoman"/>
      <w:lvlText w:val="%3."/>
      <w:lvlJc w:val="right"/>
      <w:pPr>
        <w:ind w:left="6688" w:hanging="180"/>
      </w:pPr>
    </w:lvl>
    <w:lvl w:ilvl="3" w:tplc="0426000F" w:tentative="1">
      <w:start w:val="1"/>
      <w:numFmt w:val="decimal"/>
      <w:lvlText w:val="%4."/>
      <w:lvlJc w:val="left"/>
      <w:pPr>
        <w:ind w:left="7408" w:hanging="360"/>
      </w:pPr>
    </w:lvl>
    <w:lvl w:ilvl="4" w:tplc="04260019" w:tentative="1">
      <w:start w:val="1"/>
      <w:numFmt w:val="lowerLetter"/>
      <w:lvlText w:val="%5."/>
      <w:lvlJc w:val="left"/>
      <w:pPr>
        <w:ind w:left="8128" w:hanging="360"/>
      </w:pPr>
    </w:lvl>
    <w:lvl w:ilvl="5" w:tplc="0426001B" w:tentative="1">
      <w:start w:val="1"/>
      <w:numFmt w:val="lowerRoman"/>
      <w:lvlText w:val="%6."/>
      <w:lvlJc w:val="right"/>
      <w:pPr>
        <w:ind w:left="8848" w:hanging="180"/>
      </w:pPr>
    </w:lvl>
    <w:lvl w:ilvl="6" w:tplc="0426000F" w:tentative="1">
      <w:start w:val="1"/>
      <w:numFmt w:val="decimal"/>
      <w:lvlText w:val="%7."/>
      <w:lvlJc w:val="left"/>
      <w:pPr>
        <w:ind w:left="9568" w:hanging="360"/>
      </w:pPr>
    </w:lvl>
    <w:lvl w:ilvl="7" w:tplc="04260019" w:tentative="1">
      <w:start w:val="1"/>
      <w:numFmt w:val="lowerLetter"/>
      <w:lvlText w:val="%8."/>
      <w:lvlJc w:val="left"/>
      <w:pPr>
        <w:ind w:left="10288" w:hanging="360"/>
      </w:pPr>
    </w:lvl>
    <w:lvl w:ilvl="8" w:tplc="0426001B" w:tentative="1">
      <w:start w:val="1"/>
      <w:numFmt w:val="lowerRoman"/>
      <w:lvlText w:val="%9."/>
      <w:lvlJc w:val="right"/>
      <w:pPr>
        <w:ind w:left="11008" w:hanging="180"/>
      </w:pPr>
    </w:lvl>
  </w:abstractNum>
  <w:abstractNum w:abstractNumId="4">
    <w:nsid w:val="3A93616B"/>
    <w:multiLevelType w:val="hybridMultilevel"/>
    <w:tmpl w:val="F6D62094"/>
    <w:lvl w:ilvl="0" w:tplc="C09A7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B5395"/>
    <w:multiLevelType w:val="hybridMultilevel"/>
    <w:tmpl w:val="A5F4F08A"/>
    <w:lvl w:ilvl="0" w:tplc="DF50A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096922"/>
    <w:multiLevelType w:val="hybridMultilevel"/>
    <w:tmpl w:val="1F0204DA"/>
    <w:lvl w:ilvl="0" w:tplc="83B0897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88D"/>
    <w:rsid w:val="000040D5"/>
    <w:rsid w:val="0008064E"/>
    <w:rsid w:val="00093F72"/>
    <w:rsid w:val="00096A3C"/>
    <w:rsid w:val="000975AD"/>
    <w:rsid w:val="00117BE7"/>
    <w:rsid w:val="00123247"/>
    <w:rsid w:val="00134D27"/>
    <w:rsid w:val="001457AD"/>
    <w:rsid w:val="00173BD2"/>
    <w:rsid w:val="001E18A0"/>
    <w:rsid w:val="001E2C8E"/>
    <w:rsid w:val="002173CF"/>
    <w:rsid w:val="0022792F"/>
    <w:rsid w:val="002464DA"/>
    <w:rsid w:val="00260733"/>
    <w:rsid w:val="002C6656"/>
    <w:rsid w:val="002E45EF"/>
    <w:rsid w:val="00303F90"/>
    <w:rsid w:val="00310842"/>
    <w:rsid w:val="00325325"/>
    <w:rsid w:val="00327586"/>
    <w:rsid w:val="00347A7A"/>
    <w:rsid w:val="00386C3E"/>
    <w:rsid w:val="00387E6A"/>
    <w:rsid w:val="0039211E"/>
    <w:rsid w:val="003A11B9"/>
    <w:rsid w:val="003A61BD"/>
    <w:rsid w:val="003E409F"/>
    <w:rsid w:val="0043078C"/>
    <w:rsid w:val="00493771"/>
    <w:rsid w:val="00496884"/>
    <w:rsid w:val="004D276A"/>
    <w:rsid w:val="004D729D"/>
    <w:rsid w:val="004F5597"/>
    <w:rsid w:val="00527A74"/>
    <w:rsid w:val="005504AF"/>
    <w:rsid w:val="005C5BBD"/>
    <w:rsid w:val="005E4827"/>
    <w:rsid w:val="00603C89"/>
    <w:rsid w:val="006065F2"/>
    <w:rsid w:val="00626C19"/>
    <w:rsid w:val="006429C2"/>
    <w:rsid w:val="006D5F4A"/>
    <w:rsid w:val="006F25B1"/>
    <w:rsid w:val="006F76A8"/>
    <w:rsid w:val="00703182"/>
    <w:rsid w:val="007146D5"/>
    <w:rsid w:val="007367A2"/>
    <w:rsid w:val="007554F9"/>
    <w:rsid w:val="007574E2"/>
    <w:rsid w:val="0077222B"/>
    <w:rsid w:val="007947E1"/>
    <w:rsid w:val="007B3EC9"/>
    <w:rsid w:val="007B5EF5"/>
    <w:rsid w:val="007C1722"/>
    <w:rsid w:val="00813423"/>
    <w:rsid w:val="00815219"/>
    <w:rsid w:val="0082443C"/>
    <w:rsid w:val="00830D9A"/>
    <w:rsid w:val="00841432"/>
    <w:rsid w:val="00850C78"/>
    <w:rsid w:val="008C00F1"/>
    <w:rsid w:val="008C28EF"/>
    <w:rsid w:val="008F324B"/>
    <w:rsid w:val="0094397B"/>
    <w:rsid w:val="009A193C"/>
    <w:rsid w:val="009B57CC"/>
    <w:rsid w:val="009D68DC"/>
    <w:rsid w:val="00A106D8"/>
    <w:rsid w:val="00A27981"/>
    <w:rsid w:val="00A32ED4"/>
    <w:rsid w:val="00A40172"/>
    <w:rsid w:val="00A65A24"/>
    <w:rsid w:val="00A7252B"/>
    <w:rsid w:val="00AB0C51"/>
    <w:rsid w:val="00B12283"/>
    <w:rsid w:val="00B35A15"/>
    <w:rsid w:val="00B50974"/>
    <w:rsid w:val="00B67791"/>
    <w:rsid w:val="00B948DF"/>
    <w:rsid w:val="00B974BE"/>
    <w:rsid w:val="00BD2D7A"/>
    <w:rsid w:val="00C11D6B"/>
    <w:rsid w:val="00C74C91"/>
    <w:rsid w:val="00CA088D"/>
    <w:rsid w:val="00CC6B9E"/>
    <w:rsid w:val="00CD3AF5"/>
    <w:rsid w:val="00CE6BA6"/>
    <w:rsid w:val="00CF704F"/>
    <w:rsid w:val="00D01186"/>
    <w:rsid w:val="00D122F3"/>
    <w:rsid w:val="00D175E1"/>
    <w:rsid w:val="00D40471"/>
    <w:rsid w:val="00D5539C"/>
    <w:rsid w:val="00D67B6E"/>
    <w:rsid w:val="00DA7055"/>
    <w:rsid w:val="00DA7AD9"/>
    <w:rsid w:val="00DB71EE"/>
    <w:rsid w:val="00DD2ADF"/>
    <w:rsid w:val="00DD6F0A"/>
    <w:rsid w:val="00E06684"/>
    <w:rsid w:val="00E4519F"/>
    <w:rsid w:val="00E6055D"/>
    <w:rsid w:val="00E64E53"/>
    <w:rsid w:val="00E96EF1"/>
    <w:rsid w:val="00EA10E9"/>
    <w:rsid w:val="00EC5015"/>
    <w:rsid w:val="00ED7D36"/>
    <w:rsid w:val="00EE2255"/>
    <w:rsid w:val="00F001E7"/>
    <w:rsid w:val="00F62474"/>
    <w:rsid w:val="00F643D7"/>
    <w:rsid w:val="00F77FFD"/>
    <w:rsid w:val="00F96E8A"/>
    <w:rsid w:val="00FA7D01"/>
    <w:rsid w:val="00FB0D3D"/>
    <w:rsid w:val="00FB1409"/>
    <w:rsid w:val="00F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EE603-1D36-4CBC-B502-90B28AA9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A088D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88D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NormalWeb">
    <w:name w:val="Normal (Web)"/>
    <w:basedOn w:val="Normal"/>
    <w:rsid w:val="00CA088D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A088D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A088D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CA08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088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CA08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088D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CA0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CA088D"/>
    <w:pPr>
      <w:spacing w:before="100" w:beforeAutospacing="1" w:after="100" w:afterAutospacing="1"/>
    </w:pPr>
    <w:rPr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CA088D"/>
    <w:rPr>
      <w:rFonts w:ascii="Tahoma" w:eastAsia="Times New Roman" w:hAnsi="Tahoma" w:cs="Tahoma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semiHidden/>
    <w:rsid w:val="00CA088D"/>
    <w:rPr>
      <w:rFonts w:ascii="Tahoma" w:hAnsi="Tahoma" w:cs="Tahoma"/>
      <w:sz w:val="16"/>
      <w:szCs w:val="16"/>
    </w:rPr>
  </w:style>
  <w:style w:type="character" w:styleId="PageNumber">
    <w:name w:val="page number"/>
    <w:rsid w:val="00CA088D"/>
    <w:rPr>
      <w:rFonts w:cs="Times New Roman"/>
    </w:rPr>
  </w:style>
  <w:style w:type="paragraph" w:styleId="BodyText">
    <w:name w:val="Body Text"/>
    <w:basedOn w:val="Normal"/>
    <w:link w:val="BodyTextChar"/>
    <w:rsid w:val="00CA088D"/>
    <w:pPr>
      <w:jc w:val="center"/>
    </w:pPr>
    <w:rPr>
      <w:b/>
      <w:sz w:val="2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A088D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RakstzCharCharRakstzCharCharRakstz">
    <w:name w:val="Rakstz. Char Char Rakstz. Char Char Rakstz."/>
    <w:basedOn w:val="Normal"/>
    <w:rsid w:val="00CA08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CA08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CA088D"/>
    <w:pPr>
      <w:spacing w:before="100" w:beforeAutospacing="1" w:after="100" w:afterAutospacing="1"/>
    </w:pPr>
    <w:rPr>
      <w:lang w:val="en-US" w:eastAsia="en-US"/>
    </w:rPr>
  </w:style>
  <w:style w:type="paragraph" w:customStyle="1" w:styleId="naisnod">
    <w:name w:val="naisnod"/>
    <w:basedOn w:val="Normal"/>
    <w:rsid w:val="00CA088D"/>
    <w:pPr>
      <w:spacing w:before="100" w:beforeAutospacing="1" w:after="100" w:afterAutospacing="1"/>
    </w:pPr>
    <w:rPr>
      <w:lang w:val="en-US" w:eastAsia="en-US"/>
    </w:rPr>
  </w:style>
  <w:style w:type="character" w:customStyle="1" w:styleId="FontStyle20">
    <w:name w:val="Font Style20"/>
    <w:uiPriority w:val="99"/>
    <w:rsid w:val="00CA088D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CA088D"/>
    <w:rPr>
      <w:rFonts w:ascii="Arial" w:hAnsi="Arial" w:cs="Arial"/>
      <w:color w:val="000000"/>
      <w:sz w:val="18"/>
      <w:szCs w:val="18"/>
    </w:rPr>
  </w:style>
  <w:style w:type="character" w:customStyle="1" w:styleId="FontStyle28">
    <w:name w:val="Font Style28"/>
    <w:uiPriority w:val="99"/>
    <w:rsid w:val="00CA088D"/>
    <w:rPr>
      <w:rFonts w:ascii="Arial" w:hAnsi="Arial" w:cs="Arial"/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88D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CA0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88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CA088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88D"/>
    <w:rPr>
      <w:b/>
      <w:bCs/>
    </w:rPr>
  </w:style>
  <w:style w:type="character" w:styleId="Hyperlink">
    <w:name w:val="Hyperlink"/>
    <w:basedOn w:val="DefaultParagraphFont"/>
    <w:unhideWhenUsed/>
    <w:rsid w:val="00CA088D"/>
    <w:rPr>
      <w:color w:val="0000FF" w:themeColor="hyperlink"/>
      <w:u w:val="single"/>
    </w:rPr>
  </w:style>
  <w:style w:type="paragraph" w:customStyle="1" w:styleId="tv213">
    <w:name w:val="tv213"/>
    <w:basedOn w:val="Normal"/>
    <w:rsid w:val="00C74C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74C91"/>
  </w:style>
  <w:style w:type="paragraph" w:customStyle="1" w:styleId="labojumupamats">
    <w:name w:val="labojumu_pamats"/>
    <w:basedOn w:val="Normal"/>
    <w:rsid w:val="00C74C9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E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doc.php?id=15275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a.Avotina@f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.likumi.lv/ta/id/2946-kartiba-kada-iesniedzams-zinojums-par-izlozu-vai-azartspelu-organizesan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.likumi.lv/doc.php?id=15275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E4C3-82DC-42CE-8076-091D1303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4510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iesniedzams ziņojums par azartspēļu un izložu organizēšanu</vt:lpstr>
    </vt:vector>
  </TitlesOfParts>
  <Company/>
  <LinksUpToDate>false</LinksUpToDate>
  <CharactersWithSpaces>7067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mailto:Inga.Avotina@fm.gov.lv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iesniedzams ziņojums par azartspēļu un izložu organizēšanu</dc:title>
  <dc:subject>noteikumu projekts</dc:subject>
  <dc:creator>I.Avotiņa</dc:creator>
  <dc:description>Inga.Avotina@fm.gov.lv_x000d_
67095515</dc:description>
  <cp:lastModifiedBy>Liene Strēlniece</cp:lastModifiedBy>
  <cp:revision>44</cp:revision>
  <cp:lastPrinted>2014-12-08T09:18:00Z</cp:lastPrinted>
  <dcterms:created xsi:type="dcterms:W3CDTF">2014-11-10T20:36:00Z</dcterms:created>
  <dcterms:modified xsi:type="dcterms:W3CDTF">2014-12-17T13:47:00Z</dcterms:modified>
</cp:coreProperties>
</file>