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63" w:rsidRDefault="00EE1D63" w:rsidP="00EE1D63">
      <w:pPr>
        <w:widowControl w:val="0"/>
        <w:ind w:firstLine="720"/>
        <w:jc w:val="right"/>
      </w:pPr>
      <w:r>
        <w:t>1.pielikums</w:t>
      </w:r>
    </w:p>
    <w:p w:rsidR="00EE1D63" w:rsidRDefault="00EE1D63" w:rsidP="00EE1D63">
      <w:pPr>
        <w:widowControl w:val="0"/>
        <w:ind w:firstLine="720"/>
        <w:jc w:val="right"/>
      </w:pPr>
      <w:r>
        <w:t>Ministru kabineta</w:t>
      </w:r>
    </w:p>
    <w:p w:rsidR="00557339" w:rsidRDefault="00557339" w:rsidP="00EE1D63">
      <w:pPr>
        <w:widowControl w:val="0"/>
        <w:ind w:firstLine="720"/>
        <w:jc w:val="right"/>
      </w:pPr>
      <w:r>
        <w:t>2014.gada __.__________</w:t>
      </w:r>
    </w:p>
    <w:p w:rsidR="00EE1D63" w:rsidRDefault="00EE1D63" w:rsidP="00EE1D63">
      <w:pPr>
        <w:widowControl w:val="0"/>
        <w:ind w:firstLine="720"/>
        <w:jc w:val="right"/>
      </w:pPr>
      <w:r>
        <w:t>noteikumiem Nr.</w:t>
      </w:r>
      <w:r w:rsidR="00557339">
        <w:t>___</w:t>
      </w:r>
    </w:p>
    <w:p w:rsidR="00EE1D63" w:rsidRDefault="00EE1D63" w:rsidP="00EE1D63">
      <w:pPr>
        <w:widowControl w:val="0"/>
        <w:ind w:firstLine="720"/>
      </w:pPr>
    </w:p>
    <w:p w:rsidR="00EE1D63" w:rsidRDefault="00EE1D63" w:rsidP="00EE1D63">
      <w:pPr>
        <w:widowControl w:val="0"/>
        <w:ind w:firstLine="720"/>
      </w:pPr>
    </w:p>
    <w:p w:rsidR="00EE1D63" w:rsidRDefault="00EE1D63" w:rsidP="00EE1D63">
      <w:pPr>
        <w:widowControl w:val="0"/>
        <w:ind w:firstLine="720"/>
      </w:pPr>
    </w:p>
    <w:p w:rsidR="00EE1D63" w:rsidRDefault="00EE1D63" w:rsidP="00EE1D6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Ziņojums par azartspēļu organizēšanu</w:t>
      </w:r>
    </w:p>
    <w:p w:rsidR="00EE1D63" w:rsidRDefault="00EE1D63" w:rsidP="00EE1D6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20__.gada __ceturksnī</w:t>
      </w:r>
    </w:p>
    <w:p w:rsidR="00EE1D63" w:rsidRDefault="00EE1D63" w:rsidP="00EE1D63">
      <w:pPr>
        <w:widowControl w:val="0"/>
        <w:ind w:firstLine="720"/>
        <w:jc w:val="center"/>
        <w:rPr>
          <w:sz w:val="28"/>
          <w:szCs w:val="28"/>
        </w:rPr>
      </w:pPr>
    </w:p>
    <w:p w:rsidR="00EE1D63" w:rsidRDefault="00EE1D63" w:rsidP="00EE1D63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794"/>
        <w:gridCol w:w="3885"/>
        <w:gridCol w:w="387"/>
        <w:gridCol w:w="1116"/>
        <w:gridCol w:w="1116"/>
        <w:gridCol w:w="1116"/>
        <w:gridCol w:w="1123"/>
        <w:gridCol w:w="103"/>
      </w:tblGrid>
      <w:tr w:rsidR="00EE1D63" w:rsidTr="00EE1D63">
        <w:trPr>
          <w:trHeight w:val="287"/>
        </w:trPr>
        <w:tc>
          <w:tcPr>
            <w:tcW w:w="794" w:type="dxa"/>
            <w:noWrap/>
            <w:hideMark/>
          </w:tcPr>
          <w:p w:rsidR="00EE1D63" w:rsidRDefault="00EE1D63">
            <w:pPr>
              <w:rPr>
                <w:sz w:val="28"/>
                <w:szCs w:val="28"/>
              </w:rPr>
            </w:pPr>
          </w:p>
        </w:tc>
        <w:tc>
          <w:tcPr>
            <w:tcW w:w="3885" w:type="dxa"/>
            <w:noWrap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Licences saņēmējs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gridAfter w:val="1"/>
          <w:wAfter w:w="103" w:type="dxa"/>
          <w:trHeight w:val="95"/>
        </w:trPr>
        <w:tc>
          <w:tcPr>
            <w:tcW w:w="794" w:type="dxa"/>
            <w:noWrap/>
            <w:hideMark/>
          </w:tcPr>
          <w:p w:rsidR="00EE1D63" w:rsidRDefault="00EE1D63">
            <w:pPr>
              <w:rPr>
                <w:lang w:eastAsia="en-US"/>
              </w:rPr>
            </w:pPr>
          </w:p>
        </w:tc>
        <w:tc>
          <w:tcPr>
            <w:tcW w:w="3885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E1D63" w:rsidTr="00EE1D63">
        <w:trPr>
          <w:trHeight w:val="287"/>
        </w:trPr>
        <w:tc>
          <w:tcPr>
            <w:tcW w:w="794" w:type="dxa"/>
            <w:noWrap/>
            <w:hideMark/>
          </w:tcPr>
          <w:p w:rsidR="00EE1D63" w:rsidRDefault="00EE1D63">
            <w:pPr>
              <w:rPr>
                <w:lang w:eastAsia="en-US"/>
              </w:rPr>
            </w:pPr>
          </w:p>
        </w:tc>
        <w:tc>
          <w:tcPr>
            <w:tcW w:w="3885" w:type="dxa"/>
            <w:noWrap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Reģistrācijas Nr.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gridAfter w:val="1"/>
          <w:wAfter w:w="103" w:type="dxa"/>
          <w:trHeight w:val="109"/>
        </w:trPr>
        <w:tc>
          <w:tcPr>
            <w:tcW w:w="794" w:type="dxa"/>
            <w:noWrap/>
            <w:hideMark/>
          </w:tcPr>
          <w:p w:rsidR="00EE1D63" w:rsidRDefault="00EE1D63">
            <w:pPr>
              <w:rPr>
                <w:lang w:eastAsia="en-US"/>
              </w:rPr>
            </w:pPr>
          </w:p>
        </w:tc>
        <w:tc>
          <w:tcPr>
            <w:tcW w:w="3885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3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E1D63" w:rsidTr="00EE1D63">
        <w:trPr>
          <w:trHeight w:val="287"/>
        </w:trPr>
        <w:tc>
          <w:tcPr>
            <w:tcW w:w="794" w:type="dxa"/>
            <w:noWrap/>
            <w:hideMark/>
          </w:tcPr>
          <w:p w:rsidR="00EE1D63" w:rsidRDefault="00EE1D63">
            <w:pPr>
              <w:rPr>
                <w:lang w:eastAsia="en-US"/>
              </w:rPr>
            </w:pPr>
          </w:p>
        </w:tc>
        <w:tc>
          <w:tcPr>
            <w:tcW w:w="3885" w:type="dxa"/>
            <w:noWrap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Juridiskā adrese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137"/>
        </w:trPr>
        <w:tc>
          <w:tcPr>
            <w:tcW w:w="794" w:type="dxa"/>
            <w:noWrap/>
            <w:hideMark/>
          </w:tcPr>
          <w:p w:rsidR="00EE1D63" w:rsidRDefault="00EE1D63">
            <w:pPr>
              <w:rPr>
                <w:lang w:eastAsia="en-US"/>
              </w:rPr>
            </w:pPr>
          </w:p>
        </w:tc>
        <w:tc>
          <w:tcPr>
            <w:tcW w:w="3885" w:type="dxa"/>
            <w:noWrap/>
            <w:hideMark/>
          </w:tcPr>
          <w:p w:rsidR="00EE1D63" w:rsidRDefault="00EE1D63" w:rsidP="003D36EB">
            <w:pPr>
              <w:spacing w:line="276" w:lineRule="auto"/>
              <w:ind w:firstLine="7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7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16" w:type="dxa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noWrap/>
            <w:hideMark/>
          </w:tcPr>
          <w:p w:rsidR="00EE1D63" w:rsidRDefault="00EE1D6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EE1D63" w:rsidTr="00EE1D63">
        <w:trPr>
          <w:trHeight w:val="287"/>
        </w:trPr>
        <w:tc>
          <w:tcPr>
            <w:tcW w:w="4679" w:type="dxa"/>
            <w:gridSpan w:val="2"/>
            <w:noWrap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Azartspēļu organizēšanas licences kārtas Nr.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EE1D63" w:rsidRDefault="00EE1D63" w:rsidP="00EE1D63">
      <w:pPr>
        <w:widowControl w:val="0"/>
        <w:ind w:left="720"/>
        <w:jc w:val="both"/>
        <w:rPr>
          <w:b/>
        </w:rPr>
      </w:pPr>
    </w:p>
    <w:p w:rsidR="00EE1D63" w:rsidRDefault="00EE1D63" w:rsidP="00EE1D63">
      <w:pPr>
        <w:pStyle w:val="ListParagraph"/>
        <w:widowControl w:val="0"/>
        <w:numPr>
          <w:ilvl w:val="0"/>
          <w:numId w:val="1"/>
        </w:numPr>
        <w:jc w:val="both"/>
        <w:rPr>
          <w:b/>
        </w:rPr>
      </w:pPr>
      <w:r>
        <w:rPr>
          <w:b/>
        </w:rPr>
        <w:t>Azartspēļu organizēšanas rādītāji</w:t>
      </w:r>
    </w:p>
    <w:p w:rsidR="00EE1D63" w:rsidRDefault="00EE1D63" w:rsidP="00EE1D63">
      <w:pPr>
        <w:widowControl w:val="0"/>
        <w:jc w:val="both"/>
        <w:rPr>
          <w:sz w:val="16"/>
          <w:szCs w:val="16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1196"/>
        <w:gridCol w:w="4715"/>
        <w:gridCol w:w="1045"/>
        <w:gridCol w:w="1044"/>
        <w:gridCol w:w="1047"/>
      </w:tblGrid>
      <w:tr w:rsidR="00EE1D63" w:rsidTr="00EE1D63">
        <w:trPr>
          <w:trHeight w:val="265"/>
        </w:trPr>
        <w:tc>
          <w:tcPr>
            <w:tcW w:w="5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1D63" w:rsidRDefault="00EE1D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Rādītājs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Mēnesis</w:t>
            </w:r>
          </w:p>
        </w:tc>
      </w:tr>
      <w:tr w:rsidR="00EE1D63" w:rsidTr="00EE1D63">
        <w:trPr>
          <w:trHeight w:val="2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ekspluatēto azartspēļu iekārtu skaits: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azartspēļu automātu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ruletes (cilindriskās spēles) galdu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kāršu spēles galdu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1.1.4.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kauliņu spēles galdu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azartspēļu organizēšanas vietu skaits: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spēļu automātu zāļu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kazino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bingo</w:t>
            </w:r>
            <w:proofErr w:type="spellEnd"/>
            <w:r>
              <w:rPr>
                <w:lang w:eastAsia="en-US"/>
              </w:rPr>
              <w:t xml:space="preserve"> zāļu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totalizatora</w:t>
            </w:r>
            <w:proofErr w:type="spellEnd"/>
            <w:r>
              <w:rPr>
                <w:lang w:eastAsia="en-US"/>
              </w:rPr>
              <w:t xml:space="preserve"> likmju pieņemšanas vietu skaits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derību likmju pieņemšanas vietu skaits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546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1.2.6.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veiksmes spēlēs pa tālruni izmantoto tālruņa numuru skaits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EE1D63" w:rsidTr="00EE1D63">
        <w:trPr>
          <w:trHeight w:val="25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1.2.7.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interaktīvajām azartspēlēm izmantoto domēna vārdu skaits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:rsidR="00EE1D63" w:rsidRDefault="00EE1D63" w:rsidP="00EE1D63">
      <w:pPr>
        <w:widowControl w:val="0"/>
        <w:ind w:left="720"/>
        <w:jc w:val="both"/>
        <w:rPr>
          <w:b/>
        </w:rPr>
      </w:pPr>
    </w:p>
    <w:p w:rsidR="00EE1D63" w:rsidRDefault="00EE1D63" w:rsidP="00EE1D63">
      <w:pPr>
        <w:pStyle w:val="ListParagraph"/>
        <w:widowControl w:val="0"/>
        <w:numPr>
          <w:ilvl w:val="0"/>
          <w:numId w:val="1"/>
        </w:numPr>
        <w:jc w:val="both"/>
        <w:rPr>
          <w:b/>
        </w:rPr>
      </w:pPr>
      <w:r>
        <w:rPr>
          <w:b/>
        </w:rPr>
        <w:t>Licences saņēmēja darbības ekonomiskie rādītāji</w:t>
      </w:r>
    </w:p>
    <w:p w:rsidR="00EE1D63" w:rsidRDefault="00EE1D63" w:rsidP="00EE1D63">
      <w:pPr>
        <w:widowControl w:val="0"/>
        <w:jc w:val="both"/>
        <w:rPr>
          <w:sz w:val="28"/>
          <w:szCs w:val="28"/>
        </w:rPr>
      </w:pPr>
    </w:p>
    <w:tbl>
      <w:tblPr>
        <w:tblW w:w="9061" w:type="dxa"/>
        <w:tblLook w:val="04A0" w:firstRow="1" w:lastRow="0" w:firstColumn="1" w:lastColumn="0" w:noHBand="0" w:noVBand="1"/>
      </w:tblPr>
      <w:tblGrid>
        <w:gridCol w:w="1174"/>
        <w:gridCol w:w="950"/>
        <w:gridCol w:w="950"/>
        <w:gridCol w:w="950"/>
        <w:gridCol w:w="2507"/>
        <w:gridCol w:w="1245"/>
        <w:gridCol w:w="1285"/>
      </w:tblGrid>
      <w:tr w:rsidR="00EE1D63" w:rsidTr="00EE1D63">
        <w:trPr>
          <w:trHeight w:val="25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Ceturksnī kopā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 gada sākuma (kopā)</w:t>
            </w:r>
          </w:p>
        </w:tc>
      </w:tr>
      <w:tr w:rsidR="00EE1D63" w:rsidTr="00EE1D63">
        <w:trPr>
          <w:trHeight w:val="264"/>
        </w:trPr>
        <w:tc>
          <w:tcPr>
            <w:tcW w:w="65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Rādītājs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licences saņēmēja neto apgrozījums (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  <w:r>
              <w:rPr>
                <w:b/>
                <w:bCs/>
                <w:lang w:eastAsia="en-US"/>
              </w:rPr>
              <w:t>):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neto ieņēmumi no azartspēļu organizēšanas, izņemot no interaktīvo azartspēļu organizēšanas: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3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2.1.1.1.</w:t>
            </w:r>
          </w:p>
        </w:tc>
        <w:tc>
          <w:tcPr>
            <w:tcW w:w="5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spēļu automātu spēles organizēšanas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ruletes (cilindriskās spēles) organizēšanas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2.1.1.3.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kāršu spēles organizēšanas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2.1.1.4.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kauliņu spēles organizēšanas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2.1.1.5.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neto ieņēmumi no </w:t>
            </w:r>
            <w:proofErr w:type="spellStart"/>
            <w:r>
              <w:rPr>
                <w:lang w:eastAsia="en-US"/>
              </w:rPr>
              <w:t>bingo</w:t>
            </w:r>
            <w:proofErr w:type="spellEnd"/>
            <w:r>
              <w:rPr>
                <w:lang w:eastAsia="en-US"/>
              </w:rPr>
              <w:t xml:space="preserve"> organizēšanas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2.1.1.6.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neto ieņēmumi no </w:t>
            </w:r>
            <w:proofErr w:type="spellStart"/>
            <w:r>
              <w:rPr>
                <w:lang w:eastAsia="en-US"/>
              </w:rPr>
              <w:t>totalizatora</w:t>
            </w:r>
            <w:proofErr w:type="spellEnd"/>
            <w:r>
              <w:rPr>
                <w:lang w:eastAsia="en-US"/>
              </w:rPr>
              <w:t xml:space="preserve"> organizēšanas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2.1.1.7.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derību organizēšanas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317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2.1.1.8.</w:t>
            </w:r>
          </w:p>
        </w:tc>
        <w:tc>
          <w:tcPr>
            <w:tcW w:w="5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veiksmes spēļu pa tālruni organizēšanas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2.1.1.9.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kazino žetonu skaita izmaiņas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2.1.1.10.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citi ieņēmumi (pateicības dāvanas, dzeramnauda)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neto ieņēmumi no interaktīvo azartspēļu organizēšanas: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Pr="00146552" w:rsidRDefault="00EE1D63">
            <w:pPr>
              <w:spacing w:line="276" w:lineRule="auto"/>
              <w:rPr>
                <w:lang w:eastAsia="en-US"/>
              </w:rPr>
            </w:pPr>
            <w:r w:rsidRPr="00146552">
              <w:rPr>
                <w:lang w:eastAsia="en-US"/>
              </w:rPr>
              <w:t xml:space="preserve">neto ieņēmumi no interaktīvās </w:t>
            </w:r>
            <w:r w:rsidRPr="00146552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spēļu automātu spēles, ruletes (cilindriskās spēles), kāršu spēles, kauliņu spēles, </w:t>
            </w:r>
            <w:proofErr w:type="spellStart"/>
            <w:r w:rsidRPr="00146552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bingo</w:t>
            </w:r>
            <w:proofErr w:type="spellEnd"/>
            <w:r w:rsidRPr="00146552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6552">
              <w:rPr>
                <w:lang w:eastAsia="en-US"/>
              </w:rPr>
              <w:t>organizēšanas,</w:t>
            </w:r>
            <w:r w:rsidRPr="00146552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izņemot no interaktīvās kāršu spēles starp spēlētājiem</w:t>
            </w:r>
            <w:r w:rsidRPr="00146552">
              <w:rPr>
                <w:lang w:eastAsia="en-US"/>
              </w:rPr>
              <w:t xml:space="preserve"> organizēšanas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neto ieņēmumi no interaktīvā </w:t>
            </w:r>
            <w:proofErr w:type="spellStart"/>
            <w:r>
              <w:rPr>
                <w:lang w:eastAsia="en-US"/>
              </w:rPr>
              <w:t>totalizatora</w:t>
            </w:r>
            <w:proofErr w:type="spellEnd"/>
            <w:r>
              <w:rPr>
                <w:rStyle w:val="FontStyle42"/>
                <w:lang w:eastAsia="en-US"/>
              </w:rPr>
              <w:t xml:space="preserve"> </w:t>
            </w:r>
            <w:r w:rsidRPr="00D15D65">
              <w:rPr>
                <w:rStyle w:val="FontStyle42"/>
                <w:rFonts w:ascii="Times New Roman" w:hAnsi="Times New Roman" w:cs="Times New Roman"/>
                <w:sz w:val="24"/>
                <w:szCs w:val="24"/>
                <w:lang w:eastAsia="en-US"/>
              </w:rPr>
              <w:t>un derību</w:t>
            </w:r>
            <w:r>
              <w:rPr>
                <w:lang w:eastAsia="en-US"/>
              </w:rPr>
              <w:t xml:space="preserve"> organizēšanas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2.1.2.3.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neto ieņēmumi no interaktīvās kāršu spēles starp spēlētājiem organizēšanas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2.1.3.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neto ieņēmumi no pārējās uzņēmējdarbības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licences saņēmēja kopējās izmaksas </w:t>
            </w:r>
            <w:r>
              <w:rPr>
                <w:b/>
                <w:bCs/>
                <w:i/>
                <w:iCs/>
                <w:lang w:eastAsia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euro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azartspēļu organizēšanas izmaksas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pārējās uzņēmējdarbības izmaksas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licences saņēmēja peļņa vai zaudējumi </w:t>
            </w:r>
            <w:r>
              <w:rPr>
                <w:b/>
                <w:bCs/>
                <w:i/>
                <w:iCs/>
                <w:lang w:eastAsia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euro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licences saņēmēja darbinieku skaits: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kopējais darbinieku skaits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317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2.4.2.</w:t>
            </w:r>
          </w:p>
        </w:tc>
        <w:tc>
          <w:tcPr>
            <w:tcW w:w="5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darbinieku skaits, kuri tieši saistīti ar azartspēļu organizēšanu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licences saņēmēja aprēķinātie nodokļi un nodevas (</w:t>
            </w:r>
            <w:proofErr w:type="spellStart"/>
            <w:r>
              <w:rPr>
                <w:b/>
                <w:bCs/>
                <w:i/>
                <w:lang w:eastAsia="en-US"/>
              </w:rPr>
              <w:t>euro</w:t>
            </w:r>
            <w:proofErr w:type="spellEnd"/>
            <w:r>
              <w:rPr>
                <w:b/>
                <w:bCs/>
                <w:i/>
                <w:lang w:eastAsia="en-US"/>
              </w:rPr>
              <w:t>)</w:t>
            </w:r>
            <w:r>
              <w:rPr>
                <w:b/>
                <w:bCs/>
                <w:lang w:eastAsia="en-US"/>
              </w:rPr>
              <w:t>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azartspēļu nodoklis: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2.5.1.1.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azartspēļu nodoklis valsts pamatbudžetā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2.5.1.2.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azartspēļu nodoklis pašvaldību budžetos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pārējie maksājumi: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2.5.2.1.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uzņēmumu ienākuma nodoklis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146552">
        <w:trPr>
          <w:trHeight w:val="264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2.5.2.2.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nekustamā īpašuma nodoklis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146552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2.5.2.3.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pievienotās vērtības nodoklis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146552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2.5.2.4.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valsts sociālās apdrošināšanas obligātās iemaksas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64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2.5.2.5.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citi nodokļi un nodevas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EE1D63" w:rsidRDefault="00EE1D63" w:rsidP="00EE1D63">
      <w:pPr>
        <w:widowControl w:val="0"/>
        <w:jc w:val="both"/>
        <w:rPr>
          <w:sz w:val="28"/>
          <w:szCs w:val="28"/>
        </w:rPr>
      </w:pPr>
    </w:p>
    <w:p w:rsidR="00EE1D63" w:rsidRDefault="00EE1D63" w:rsidP="00EE1D63">
      <w:pPr>
        <w:pStyle w:val="ListParagraph"/>
        <w:widowControl w:val="0"/>
        <w:numPr>
          <w:ilvl w:val="0"/>
          <w:numId w:val="1"/>
        </w:numPr>
        <w:jc w:val="both"/>
        <w:rPr>
          <w:b/>
        </w:rPr>
      </w:pPr>
      <w:r>
        <w:rPr>
          <w:b/>
        </w:rPr>
        <w:t>Izmaksātie laimesti pārskata ceturksnī</w:t>
      </w:r>
    </w:p>
    <w:p w:rsidR="00EE1D63" w:rsidRDefault="00EE1D63" w:rsidP="00EE1D63">
      <w:pPr>
        <w:pStyle w:val="ListParagraph"/>
        <w:widowControl w:val="0"/>
        <w:ind w:left="1080"/>
        <w:jc w:val="both"/>
        <w:rPr>
          <w:b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940"/>
        <w:gridCol w:w="4271"/>
        <w:gridCol w:w="865"/>
        <w:gridCol w:w="960"/>
        <w:gridCol w:w="960"/>
        <w:gridCol w:w="1150"/>
      </w:tblGrid>
      <w:tr w:rsidR="00EE1D63" w:rsidTr="00EE1D63">
        <w:trPr>
          <w:trHeight w:val="252"/>
        </w:trPr>
        <w:tc>
          <w:tcPr>
            <w:tcW w:w="5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E1D63" w:rsidRDefault="00EE1D6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Rādītājs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Mēnesis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Ceturksnī kopā</w:t>
            </w:r>
          </w:p>
        </w:tc>
      </w:tr>
      <w:tr w:rsidR="00EE1D63" w:rsidTr="00EE1D63">
        <w:trPr>
          <w:trHeight w:val="2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</w:p>
        </w:tc>
      </w:tr>
      <w:tr w:rsidR="00EE1D63" w:rsidTr="00EE1D63">
        <w:trPr>
          <w:trHeight w:val="2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3.1.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E1D63" w:rsidRDefault="00EE1D63">
            <w:pPr>
              <w:tabs>
                <w:tab w:val="center" w:pos="4153"/>
                <w:tab w:val="right" w:pos="8306"/>
              </w:tabs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izmaksāto laimestu skaits: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laimestu skaits no 3 000 līdz 8 000 </w:t>
            </w:r>
            <w:proofErr w:type="spellStart"/>
            <w:r>
              <w:rPr>
                <w:i/>
                <w:lang w:eastAsia="en-US"/>
              </w:rPr>
              <w:t>euro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laimestu skaits, kuri pārsniedz 8 000 </w:t>
            </w:r>
            <w:proofErr w:type="spellStart"/>
            <w:r>
              <w:rPr>
                <w:i/>
                <w:lang w:eastAsia="en-US"/>
              </w:rPr>
              <w:t>euro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EE1D63" w:rsidTr="00EE1D63">
        <w:trPr>
          <w:trHeight w:val="2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izmaksāto laimestu kopsumma </w:t>
            </w:r>
            <w:r>
              <w:rPr>
                <w:b/>
                <w:bCs/>
                <w:i/>
                <w:iCs/>
                <w:lang w:eastAsia="en-US"/>
              </w:rPr>
              <w:t>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euro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, kura pārsniedz 3000 </w:t>
            </w:r>
            <w:proofErr w:type="spellStart"/>
            <w:r>
              <w:rPr>
                <w:b/>
                <w:i/>
                <w:lang w:eastAsia="en-US"/>
              </w:rPr>
              <w:t>euro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D63" w:rsidRDefault="00EE1D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EE1D63" w:rsidRDefault="00EE1D63" w:rsidP="00EE1D63">
      <w:pPr>
        <w:widowControl w:val="0"/>
        <w:jc w:val="both"/>
        <w:rPr>
          <w:sz w:val="28"/>
          <w:szCs w:val="28"/>
        </w:rPr>
      </w:pPr>
    </w:p>
    <w:p w:rsidR="00EE1D63" w:rsidRPr="00146552" w:rsidRDefault="00EE1D63" w:rsidP="00EE1D63">
      <w:pPr>
        <w:widowControl w:val="0"/>
        <w:ind w:firstLine="720"/>
        <w:jc w:val="both"/>
      </w:pPr>
      <w:r w:rsidRPr="00146552">
        <w:t>Datums* __________</w:t>
      </w:r>
    </w:p>
    <w:p w:rsidR="00EE1D63" w:rsidRPr="00146552" w:rsidRDefault="00EE1D63" w:rsidP="00EE1D63">
      <w:pPr>
        <w:widowControl w:val="0"/>
        <w:jc w:val="both"/>
      </w:pPr>
    </w:p>
    <w:p w:rsidR="00EE1D63" w:rsidRDefault="00EE1D63" w:rsidP="00EE1D63">
      <w:pPr>
        <w:widowControl w:val="0"/>
        <w:ind w:firstLine="720"/>
        <w:jc w:val="both"/>
      </w:pPr>
      <w:r w:rsidRPr="00146552">
        <w:t>Licences saņēmēja atbildīgā persona</w:t>
      </w:r>
      <w:r w:rsidR="00146552">
        <w:t xml:space="preserve"> </w:t>
      </w:r>
      <w:r>
        <w:rPr>
          <w:sz w:val="28"/>
          <w:szCs w:val="28"/>
        </w:rPr>
        <w:t xml:space="preserve"> _______________   </w:t>
      </w:r>
      <w:r w:rsidR="00146552">
        <w:rPr>
          <w:sz w:val="28"/>
          <w:szCs w:val="28"/>
        </w:rPr>
        <w:t xml:space="preserve">  __________</w:t>
      </w:r>
      <w:r w:rsidR="00146552">
        <w:rPr>
          <w:sz w:val="28"/>
          <w:szCs w:val="28"/>
        </w:rPr>
        <w:tab/>
      </w:r>
      <w:r w:rsidR="00146552">
        <w:rPr>
          <w:sz w:val="28"/>
          <w:szCs w:val="28"/>
        </w:rPr>
        <w:tab/>
      </w:r>
      <w:r w:rsidR="00146552">
        <w:rPr>
          <w:sz w:val="28"/>
          <w:szCs w:val="28"/>
        </w:rPr>
        <w:tab/>
      </w:r>
      <w:r w:rsidR="00146552">
        <w:rPr>
          <w:sz w:val="28"/>
          <w:szCs w:val="28"/>
        </w:rPr>
        <w:tab/>
      </w:r>
      <w:r w:rsidR="00146552">
        <w:rPr>
          <w:sz w:val="28"/>
          <w:szCs w:val="28"/>
        </w:rPr>
        <w:tab/>
      </w:r>
      <w:r w:rsidR="00146552">
        <w:rPr>
          <w:sz w:val="28"/>
          <w:szCs w:val="28"/>
        </w:rPr>
        <w:tab/>
        <w:t xml:space="preserve">     </w:t>
      </w:r>
      <w:r w:rsidR="003D76E1">
        <w:rPr>
          <w:sz w:val="28"/>
          <w:szCs w:val="28"/>
        </w:rPr>
        <w:t xml:space="preserve">          </w:t>
      </w:r>
      <w:r>
        <w:t>(vārds, uzvārds)              (paraksts*)</w:t>
      </w:r>
    </w:p>
    <w:p w:rsidR="00EE1D63" w:rsidRDefault="00EE1D63" w:rsidP="00EE1D63">
      <w:pPr>
        <w:widowControl w:val="0"/>
        <w:ind w:firstLine="720"/>
        <w:jc w:val="both"/>
      </w:pPr>
    </w:p>
    <w:p w:rsidR="00146552" w:rsidRDefault="00146552" w:rsidP="00EE1D63">
      <w:pPr>
        <w:widowControl w:val="0"/>
        <w:jc w:val="both"/>
      </w:pPr>
    </w:p>
    <w:p w:rsidR="00EE1D63" w:rsidRDefault="00EE1D63" w:rsidP="00EE1D63">
      <w:pPr>
        <w:widowControl w:val="0"/>
        <w:jc w:val="both"/>
      </w:pPr>
      <w:r>
        <w:t>Piezīme.* Dokumenta rekvizītus „datums” un „paraksts” neaizpilda, ja elektroniskais dokuments ir sagatavots atbilstoši normatīvajiem aktiem par elektronisko dokumentu noformēšanu.</w:t>
      </w:r>
    </w:p>
    <w:p w:rsidR="00EE1D63" w:rsidRDefault="00EE1D63" w:rsidP="00EE1D63">
      <w:pPr>
        <w:widowControl w:val="0"/>
        <w:ind w:firstLine="720"/>
        <w:jc w:val="right"/>
      </w:pPr>
    </w:p>
    <w:p w:rsidR="00EE1D63" w:rsidRDefault="00EE1D63" w:rsidP="00EE1D63">
      <w:pPr>
        <w:widowControl w:val="0"/>
        <w:ind w:firstLine="720"/>
        <w:jc w:val="right"/>
      </w:pPr>
    </w:p>
    <w:p w:rsidR="00E557BA" w:rsidRDefault="00E557BA" w:rsidP="00E557BA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</w:p>
    <w:p w:rsidR="00E557BA" w:rsidRDefault="00E557BA" w:rsidP="00E557BA">
      <w:pPr>
        <w:tabs>
          <w:tab w:val="left" w:pos="6379"/>
          <w:tab w:val="right" w:pos="893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E557BA" w:rsidRDefault="00E557BA" w:rsidP="00E557BA">
      <w:pPr>
        <w:tabs>
          <w:tab w:val="left" w:pos="6379"/>
          <w:tab w:val="right" w:pos="8505"/>
        </w:tabs>
        <w:ind w:firstLine="720"/>
        <w:jc w:val="both"/>
        <w:rPr>
          <w:sz w:val="28"/>
          <w:szCs w:val="28"/>
        </w:rPr>
      </w:pPr>
    </w:p>
    <w:p w:rsidR="00E557BA" w:rsidRDefault="00E557BA" w:rsidP="00E557BA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:rsidR="00E557BA" w:rsidRDefault="00E557BA" w:rsidP="00E557BA"/>
    <w:p w:rsidR="00E557BA" w:rsidRDefault="00E557BA" w:rsidP="00E557BA"/>
    <w:p w:rsidR="00E557BA" w:rsidRDefault="00E557BA" w:rsidP="00E557BA"/>
    <w:p w:rsidR="00E557BA" w:rsidRDefault="00F47BA8" w:rsidP="00E557BA">
      <w:r>
        <w:t>0</w:t>
      </w:r>
      <w:r w:rsidR="00AA0AC9">
        <w:t>4</w:t>
      </w:r>
      <w:r w:rsidR="00E557BA">
        <w:t>.1</w:t>
      </w:r>
      <w:r>
        <w:t>2</w:t>
      </w:r>
      <w:r w:rsidR="00E557BA">
        <w:t>.2014 10:39</w:t>
      </w:r>
    </w:p>
    <w:p w:rsidR="00E557BA" w:rsidRDefault="00E557BA" w:rsidP="00E557BA">
      <w:pPr>
        <w:rPr>
          <w:iCs/>
        </w:rPr>
      </w:pPr>
      <w:r>
        <w:rPr>
          <w:iCs/>
        </w:rPr>
        <w:t>42</w:t>
      </w:r>
      <w:r w:rsidR="000F13F1">
        <w:rPr>
          <w:iCs/>
        </w:rPr>
        <w:t>4</w:t>
      </w:r>
    </w:p>
    <w:p w:rsidR="00E557BA" w:rsidRDefault="00E557BA" w:rsidP="00E557BA">
      <w:r>
        <w:t>Avotiņa, 67095515</w:t>
      </w:r>
    </w:p>
    <w:p w:rsidR="00434312" w:rsidRDefault="00E557BA" w:rsidP="00E557BA">
      <w:pPr>
        <w:widowControl w:val="0"/>
      </w:pPr>
      <w:r>
        <w:t>e-pasts:</w:t>
      </w:r>
      <w:r w:rsidR="00C64212">
        <w:t xml:space="preserve"> </w:t>
      </w:r>
      <w:hyperlink r:id="rId7" w:history="1">
        <w:r>
          <w:rPr>
            <w:rStyle w:val="Hyperlink"/>
          </w:rPr>
          <w:t>Inga.Avotina@fm.gov.lv</w:t>
        </w:r>
      </w:hyperlink>
    </w:p>
    <w:sectPr w:rsidR="00434312" w:rsidSect="00404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70" w:rsidRDefault="00FF3170" w:rsidP="00EE1D63">
      <w:r>
        <w:separator/>
      </w:r>
    </w:p>
  </w:endnote>
  <w:endnote w:type="continuationSeparator" w:id="0">
    <w:p w:rsidR="00FF3170" w:rsidRDefault="00FF3170" w:rsidP="00EE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3D" w:rsidRDefault="00A440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EE1D63" w:rsidRPr="00146552" w:rsidRDefault="00416187" w:rsidP="00146552">
    <w:pPr>
      <w:pStyle w:val="Footer"/>
      <w:jc w:val="both"/>
      <w:rPr>
        <w:sz w:val="20"/>
        <w:szCs w:val="20"/>
      </w:rPr>
    </w:pPr>
    <w:r w:rsidRPr="00146552">
      <w:rPr>
        <w:sz w:val="20"/>
        <w:szCs w:val="20"/>
      </w:rPr>
      <w:fldChar w:fldCharType="begin"/>
    </w:r>
    <w:r w:rsidRPr="00146552">
      <w:rPr>
        <w:sz w:val="20"/>
        <w:szCs w:val="20"/>
      </w:rPr>
      <w:instrText xml:space="preserve"> FILENAME   \* MERGEFORMAT </w:instrText>
    </w:r>
    <w:r w:rsidRPr="00146552">
      <w:rPr>
        <w:sz w:val="20"/>
        <w:szCs w:val="20"/>
      </w:rPr>
      <w:fldChar w:fldCharType="separate"/>
    </w:r>
    <w:r w:rsidR="00AE1734">
      <w:rPr>
        <w:noProof/>
        <w:sz w:val="20"/>
        <w:szCs w:val="20"/>
      </w:rPr>
      <w:t>FMNotp1_041214_VSS-469</w:t>
    </w:r>
    <w:r w:rsidRPr="00146552">
      <w:rPr>
        <w:noProof/>
        <w:sz w:val="20"/>
        <w:szCs w:val="20"/>
      </w:rPr>
      <w:fldChar w:fldCharType="end"/>
    </w:r>
    <w:r w:rsidR="00EE1D63" w:rsidRPr="00146552">
      <w:rPr>
        <w:sz w:val="20"/>
        <w:szCs w:val="20"/>
      </w:rPr>
      <w:t xml:space="preserve">; </w:t>
    </w:r>
    <w:r w:rsidR="00AE7430">
      <w:rPr>
        <w:sz w:val="20"/>
        <w:szCs w:val="20"/>
      </w:rPr>
      <w:t>1.p</w:t>
    </w:r>
    <w:r w:rsidR="00557339" w:rsidRPr="00146552">
      <w:rPr>
        <w:sz w:val="20"/>
        <w:szCs w:val="20"/>
      </w:rPr>
      <w:t>iel</w:t>
    </w:r>
    <w:r w:rsidR="00146552" w:rsidRPr="00146552">
      <w:rPr>
        <w:sz w:val="20"/>
        <w:szCs w:val="20"/>
      </w:rPr>
      <w:t xml:space="preserve">ikums </w:t>
    </w:r>
    <w:r w:rsidR="00EE1D63" w:rsidRPr="00146552">
      <w:rPr>
        <w:sz w:val="20"/>
        <w:szCs w:val="20"/>
      </w:rPr>
      <w:t>Ministru kabineta noteikumu projekt</w:t>
    </w:r>
    <w:r w:rsidR="00146552" w:rsidRPr="00146552">
      <w:rPr>
        <w:sz w:val="20"/>
        <w:szCs w:val="20"/>
      </w:rPr>
      <w:t>am</w:t>
    </w:r>
    <w:r w:rsidR="00EE1D63" w:rsidRPr="00146552">
      <w:rPr>
        <w:sz w:val="20"/>
        <w:szCs w:val="20"/>
      </w:rPr>
      <w:t xml:space="preserve"> „Kārtība, kādā iesniedzams ziņojums par azartspēļu un izložu organizēšanu”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C9" w:rsidRDefault="00AA0AC9">
    <w:pPr>
      <w:pStyle w:val="Footer"/>
    </w:pPr>
    <w:r w:rsidRPr="00146552">
      <w:rPr>
        <w:sz w:val="20"/>
        <w:szCs w:val="20"/>
      </w:rPr>
      <w:fldChar w:fldCharType="begin"/>
    </w:r>
    <w:r w:rsidRPr="00146552">
      <w:rPr>
        <w:sz w:val="20"/>
        <w:szCs w:val="20"/>
      </w:rPr>
      <w:instrText xml:space="preserve"> FILENAME   \* MERGEFORMAT </w:instrText>
    </w:r>
    <w:r w:rsidRPr="00146552">
      <w:rPr>
        <w:sz w:val="20"/>
        <w:szCs w:val="20"/>
      </w:rPr>
      <w:fldChar w:fldCharType="separate"/>
    </w:r>
    <w:r w:rsidR="00AE1734">
      <w:rPr>
        <w:noProof/>
        <w:sz w:val="20"/>
        <w:szCs w:val="20"/>
      </w:rPr>
      <w:t>FMNotp1_041214_VSS-469</w:t>
    </w:r>
    <w:r w:rsidRPr="00146552">
      <w:rPr>
        <w:noProof/>
        <w:sz w:val="20"/>
        <w:szCs w:val="20"/>
      </w:rPr>
      <w:fldChar w:fldCharType="end"/>
    </w:r>
    <w:r w:rsidRPr="00146552">
      <w:rPr>
        <w:sz w:val="20"/>
        <w:szCs w:val="20"/>
      </w:rPr>
      <w:t xml:space="preserve">; </w:t>
    </w:r>
    <w:r>
      <w:rPr>
        <w:sz w:val="20"/>
        <w:szCs w:val="20"/>
      </w:rPr>
      <w:t>1.p</w:t>
    </w:r>
    <w:r w:rsidRPr="00146552">
      <w:rPr>
        <w:sz w:val="20"/>
        <w:szCs w:val="20"/>
      </w:rPr>
      <w:t>ielikums Ministru kabineta noteikumu projektam „Kārtība, kādā iesniedzams ziņojums par azartspēļu un izložu organizēšanu”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70" w:rsidRDefault="00FF3170" w:rsidP="00EE1D63">
      <w:r>
        <w:separator/>
      </w:r>
    </w:p>
  </w:footnote>
  <w:footnote w:type="continuationSeparator" w:id="0">
    <w:p w:rsidR="00FF3170" w:rsidRDefault="00FF3170" w:rsidP="00EE1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3D" w:rsidRDefault="00A440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0664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4E5C" w:rsidRDefault="00404E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7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4E5C" w:rsidRDefault="00404E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3D" w:rsidRDefault="00A440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3616B"/>
    <w:multiLevelType w:val="hybridMultilevel"/>
    <w:tmpl w:val="F6D62094"/>
    <w:lvl w:ilvl="0" w:tplc="C09A7E7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3"/>
    <w:rsid w:val="00014EDB"/>
    <w:rsid w:val="000B18A0"/>
    <w:rsid w:val="000C3543"/>
    <w:rsid w:val="000E2670"/>
    <w:rsid w:val="000F13F1"/>
    <w:rsid w:val="00146552"/>
    <w:rsid w:val="00321E79"/>
    <w:rsid w:val="003D36EB"/>
    <w:rsid w:val="003D76E1"/>
    <w:rsid w:val="00404E5C"/>
    <w:rsid w:val="00416187"/>
    <w:rsid w:val="00434312"/>
    <w:rsid w:val="00466C2C"/>
    <w:rsid w:val="00557339"/>
    <w:rsid w:val="005769F9"/>
    <w:rsid w:val="0075013F"/>
    <w:rsid w:val="008D4185"/>
    <w:rsid w:val="009F00C9"/>
    <w:rsid w:val="00A4403D"/>
    <w:rsid w:val="00AA0AC9"/>
    <w:rsid w:val="00AE1734"/>
    <w:rsid w:val="00AE7430"/>
    <w:rsid w:val="00BD15AF"/>
    <w:rsid w:val="00C51F21"/>
    <w:rsid w:val="00C64212"/>
    <w:rsid w:val="00D15D65"/>
    <w:rsid w:val="00E12121"/>
    <w:rsid w:val="00E557BA"/>
    <w:rsid w:val="00E74815"/>
    <w:rsid w:val="00EE1D63"/>
    <w:rsid w:val="00EF04BA"/>
    <w:rsid w:val="00F47BA8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51375B-16A3-4A33-B478-5D60E04D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3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63"/>
    <w:pPr>
      <w:ind w:left="720"/>
      <w:contextualSpacing/>
    </w:pPr>
  </w:style>
  <w:style w:type="character" w:customStyle="1" w:styleId="FontStyle42">
    <w:name w:val="Font Style42"/>
    <w:uiPriority w:val="99"/>
    <w:rsid w:val="00EE1D63"/>
    <w:rPr>
      <w:rFonts w:ascii="Arial" w:hAnsi="Arial" w:cs="Arial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D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D63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1D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D63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semiHidden/>
    <w:unhideWhenUsed/>
    <w:rsid w:val="00E557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3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ga.Avotina@f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„Kārtība, kādā iesniedzams ziņojums par azartspēļu un izložu organizēšanu”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„Kārtība, kādā iesniedzams ziņojums par azartspēļu un izložu organizēšanu”</dc:title>
  <dc:subject>1.pielikums noteikumu projektam</dc:subject>
  <dc:creator>I.Avotiņa</dc:creator>
  <cp:keywords/>
  <dc:description>Inga.Avotina@fm.gov.lv_x000d_
67095515</dc:description>
  <cp:lastModifiedBy>Inga Avotiņa</cp:lastModifiedBy>
  <cp:revision>31</cp:revision>
  <cp:lastPrinted>2014-12-08T09:25:00Z</cp:lastPrinted>
  <dcterms:created xsi:type="dcterms:W3CDTF">2014-11-25T12:46:00Z</dcterms:created>
  <dcterms:modified xsi:type="dcterms:W3CDTF">2014-12-08T09:27:00Z</dcterms:modified>
</cp:coreProperties>
</file>