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2E" w:rsidRPr="00830198" w:rsidRDefault="00367266" w:rsidP="00F84505">
      <w:pPr>
        <w:pStyle w:val="Heading2"/>
        <w:spacing w:before="0" w:after="200"/>
        <w:jc w:val="right"/>
        <w:rPr>
          <w:rFonts w:ascii="Times New Roman" w:hAnsi="Times New Roman" w:cs="Times New Roman"/>
          <w:b w:val="0"/>
          <w:color w:val="auto"/>
          <w:sz w:val="22"/>
          <w:szCs w:val="22"/>
        </w:rPr>
      </w:pPr>
      <w:r>
        <w:rPr>
          <w:rFonts w:ascii="Times New Roman" w:hAnsi="Times New Roman" w:cs="Times New Roman"/>
          <w:b w:val="0"/>
          <w:color w:val="auto"/>
          <w:sz w:val="22"/>
          <w:szCs w:val="22"/>
        </w:rPr>
        <w:t>p</w:t>
      </w:r>
      <w:r w:rsidR="0024052E" w:rsidRPr="00830198">
        <w:rPr>
          <w:rFonts w:ascii="Times New Roman" w:hAnsi="Times New Roman" w:cs="Times New Roman"/>
          <w:b w:val="0"/>
          <w:color w:val="auto"/>
          <w:sz w:val="22"/>
          <w:szCs w:val="22"/>
        </w:rPr>
        <w:t>ielikums Finanšu sektora attīstības plānam 2014.-2016.gadam</w:t>
      </w:r>
    </w:p>
    <w:p w:rsidR="0024052E" w:rsidRDefault="0024052E" w:rsidP="006427A2">
      <w:pPr>
        <w:pStyle w:val="Heading2"/>
        <w:spacing w:before="0" w:after="200"/>
        <w:jc w:val="center"/>
        <w:rPr>
          <w:rFonts w:ascii="Times New Roman" w:hAnsi="Times New Roman" w:cs="Times New Roman"/>
          <w:color w:val="auto"/>
          <w:sz w:val="28"/>
          <w:szCs w:val="28"/>
        </w:rPr>
      </w:pPr>
    </w:p>
    <w:p w:rsidR="00CC16FF" w:rsidRPr="00A27B6F" w:rsidRDefault="00A27B6F" w:rsidP="006427A2">
      <w:pPr>
        <w:pStyle w:val="Heading2"/>
        <w:spacing w:before="0" w:after="200"/>
        <w:jc w:val="center"/>
        <w:rPr>
          <w:rFonts w:ascii="Times New Roman" w:hAnsi="Times New Roman" w:cs="Times New Roman"/>
          <w:color w:val="auto"/>
          <w:sz w:val="28"/>
          <w:szCs w:val="28"/>
        </w:rPr>
      </w:pPr>
      <w:r w:rsidRPr="00A27B6F" w:rsidDel="00025DA4">
        <w:rPr>
          <w:rFonts w:ascii="Times New Roman" w:hAnsi="Times New Roman" w:cs="Times New Roman"/>
          <w:color w:val="auto"/>
          <w:sz w:val="28"/>
          <w:szCs w:val="28"/>
        </w:rPr>
        <w:t xml:space="preserve">Finanšu sektora attīstības </w:t>
      </w:r>
      <w:r w:rsidR="006459D6" w:rsidRPr="00A27B6F" w:rsidDel="00025DA4">
        <w:rPr>
          <w:rFonts w:ascii="Times New Roman" w:hAnsi="Times New Roman" w:cs="Times New Roman"/>
          <w:color w:val="auto"/>
          <w:sz w:val="28"/>
          <w:szCs w:val="28"/>
        </w:rPr>
        <w:t>plān</w:t>
      </w:r>
      <w:r w:rsidR="006459D6">
        <w:rPr>
          <w:rFonts w:ascii="Times New Roman" w:hAnsi="Times New Roman" w:cs="Times New Roman"/>
          <w:color w:val="auto"/>
          <w:sz w:val="28"/>
          <w:szCs w:val="28"/>
        </w:rPr>
        <w:t>ā</w:t>
      </w:r>
      <w:r w:rsidR="006459D6" w:rsidRPr="00A27B6F" w:rsidDel="00025DA4">
        <w:rPr>
          <w:rFonts w:ascii="Times New Roman" w:hAnsi="Times New Roman" w:cs="Times New Roman"/>
          <w:color w:val="auto"/>
          <w:sz w:val="28"/>
          <w:szCs w:val="28"/>
        </w:rPr>
        <w:t xml:space="preserve"> </w:t>
      </w:r>
      <w:r w:rsidRPr="00A27B6F" w:rsidDel="00025DA4">
        <w:rPr>
          <w:rFonts w:ascii="Times New Roman" w:hAnsi="Times New Roman" w:cs="Times New Roman"/>
          <w:color w:val="auto"/>
          <w:sz w:val="28"/>
          <w:szCs w:val="28"/>
        </w:rPr>
        <w:t xml:space="preserve">2014.-2016.gadam </w:t>
      </w:r>
      <w:r w:rsidR="006459D6">
        <w:rPr>
          <w:rFonts w:ascii="Times New Roman" w:hAnsi="Times New Roman" w:cs="Times New Roman"/>
          <w:color w:val="auto"/>
          <w:sz w:val="28"/>
          <w:szCs w:val="28"/>
        </w:rPr>
        <w:t>paredzētie pasākumi</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4"/>
        <w:gridCol w:w="1839"/>
        <w:gridCol w:w="6"/>
        <w:gridCol w:w="141"/>
        <w:gridCol w:w="1129"/>
        <w:gridCol w:w="431"/>
        <w:gridCol w:w="3411"/>
        <w:gridCol w:w="27"/>
        <w:gridCol w:w="2005"/>
      </w:tblGrid>
      <w:tr w:rsidR="00480AE3" w:rsidTr="002735A4">
        <w:tc>
          <w:tcPr>
            <w:tcW w:w="2014"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jc w:val="center"/>
              <w:rPr>
                <w:rFonts w:ascii="Times New Roman" w:eastAsia="Times New Roman" w:hAnsi="Times New Roman"/>
                <w:b/>
                <w:color w:val="000000"/>
                <w:sz w:val="28"/>
                <w:szCs w:val="28"/>
                <w:lang w:eastAsia="lv-LV"/>
              </w:rPr>
            </w:pPr>
            <w:r>
              <w:rPr>
                <w:rFonts w:ascii="Times New Roman" w:hAnsi="Times New Roman"/>
                <w:b/>
                <w:color w:val="000000"/>
                <w:sz w:val="28"/>
                <w:szCs w:val="28"/>
              </w:rPr>
              <w:t>Sasaiste ar noteiktajiem politikas mērķiem, rīcības virzieniem vai uzdevumiem</w:t>
            </w:r>
          </w:p>
        </w:tc>
        <w:tc>
          <w:tcPr>
            <w:tcW w:w="2320" w:type="pct"/>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MĒRĶIS: </w:t>
            </w:r>
            <w:r w:rsidRPr="0059041D">
              <w:rPr>
                <w:rFonts w:ascii="Times New Roman" w:hAnsi="Times New Roman"/>
                <w:b/>
                <w:color w:val="000000"/>
                <w:sz w:val="28"/>
                <w:szCs w:val="28"/>
              </w:rPr>
              <w:t>stabils finanšu sektors, kas atbalsta un veicina Latvijas ekonomikas ilgtspējīgu attīstību</w:t>
            </w:r>
          </w:p>
        </w:tc>
        <w:tc>
          <w:tcPr>
            <w:tcW w:w="666" w:type="pct"/>
            <w:tcBorders>
              <w:top w:val="single" w:sz="4" w:space="0" w:color="auto"/>
              <w:left w:val="single" w:sz="4" w:space="0" w:color="auto"/>
              <w:bottom w:val="single" w:sz="4" w:space="0" w:color="auto"/>
              <w:right w:val="single" w:sz="4" w:space="0" w:color="auto"/>
            </w:tcBorders>
            <w:shd w:val="clear" w:color="auto" w:fill="EEECE1"/>
            <w:hideMark/>
          </w:tcPr>
          <w:p w:rsidR="00480AE3" w:rsidRDefault="00480AE3" w:rsidP="00FA0CCD">
            <w:pPr>
              <w:spacing w:before="120" w:after="120" w:line="240" w:lineRule="auto"/>
              <w:jc w:val="center"/>
              <w:rPr>
                <w:rFonts w:ascii="Times New Roman" w:hAnsi="Times New Roman"/>
                <w:b/>
                <w:color w:val="000000"/>
                <w:sz w:val="28"/>
                <w:szCs w:val="28"/>
              </w:rPr>
            </w:pPr>
            <w:r>
              <w:rPr>
                <w:rFonts w:ascii="Times New Roman" w:eastAsia="Times New Roman" w:hAnsi="Times New Roman"/>
                <w:b/>
                <w:bCs/>
                <w:caps/>
                <w:lang w:eastAsia="lv-LV"/>
              </w:rPr>
              <w:t>Paredzētais finansējums (</w:t>
            </w:r>
            <w:r w:rsidR="00FA0CCD">
              <w:rPr>
                <w:rFonts w:ascii="Times New Roman" w:eastAsia="Times New Roman" w:hAnsi="Times New Roman"/>
                <w:b/>
                <w:bCs/>
                <w:caps/>
                <w:lang w:eastAsia="lv-LV"/>
              </w:rPr>
              <w:t>euro</w:t>
            </w:r>
            <w:r>
              <w:rPr>
                <w:rFonts w:ascii="Times New Roman" w:eastAsia="Times New Roman" w:hAnsi="Times New Roman"/>
                <w:b/>
                <w:bCs/>
                <w:caps/>
                <w:lang w:eastAsia="lv-LV"/>
              </w:rPr>
              <w:t>) un tā avoti</w:t>
            </w:r>
          </w:p>
        </w:tc>
      </w:tr>
      <w:tr w:rsidR="00480AE3" w:rsidTr="00B42439">
        <w:tc>
          <w:tcPr>
            <w:tcW w:w="2014"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Pasākumi izvirzītā mērķa sasniegšanai</w:t>
            </w:r>
          </w:p>
        </w:tc>
        <w:tc>
          <w:tcPr>
            <w:tcW w:w="611"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Izpildes termiņi</w:t>
            </w:r>
          </w:p>
        </w:tc>
        <w:tc>
          <w:tcPr>
            <w:tcW w:w="424"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Pr="006C3D2C" w:rsidRDefault="00480AE3" w:rsidP="006427A2">
            <w:pPr>
              <w:spacing w:before="120" w:after="120" w:line="240" w:lineRule="auto"/>
              <w:jc w:val="center"/>
              <w:rPr>
                <w:rFonts w:ascii="Times New Roman" w:eastAsia="Times New Roman" w:hAnsi="Times New Roman"/>
                <w:b/>
                <w:color w:val="000000"/>
                <w:lang w:eastAsia="lv-LV"/>
              </w:rPr>
            </w:pPr>
            <w:r w:rsidRPr="006C3D2C">
              <w:rPr>
                <w:rFonts w:ascii="Times New Roman" w:hAnsi="Times New Roman"/>
                <w:b/>
                <w:color w:val="000000"/>
              </w:rPr>
              <w:t>Atbildīgā institūcija un iesaistītās institūcijas</w:t>
            </w:r>
          </w:p>
        </w:tc>
        <w:tc>
          <w:tcPr>
            <w:tcW w:w="1285"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Tiešās darbības </w:t>
            </w:r>
          </w:p>
        </w:tc>
        <w:tc>
          <w:tcPr>
            <w:tcW w:w="666" w:type="pct"/>
            <w:tcBorders>
              <w:top w:val="single" w:sz="4" w:space="0" w:color="auto"/>
              <w:left w:val="single" w:sz="4" w:space="0" w:color="auto"/>
              <w:bottom w:val="single" w:sz="4" w:space="0" w:color="auto"/>
              <w:right w:val="single" w:sz="4" w:space="0" w:color="auto"/>
            </w:tcBorders>
            <w:shd w:val="clear" w:color="auto" w:fill="EEECE1"/>
            <w:hideMark/>
          </w:tcPr>
          <w:p w:rsidR="00480AE3" w:rsidRDefault="00480AE3" w:rsidP="00FA0CCD">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Paredzētais finansējuma avots (</w:t>
            </w:r>
            <w:r w:rsidR="00FA0CCD" w:rsidRPr="00F84505">
              <w:rPr>
                <w:rFonts w:ascii="Times New Roman" w:hAnsi="Times New Roman"/>
                <w:b/>
                <w:i/>
                <w:color w:val="000000"/>
                <w:sz w:val="28"/>
                <w:szCs w:val="28"/>
              </w:rPr>
              <w:t>euro</w:t>
            </w:r>
            <w:r w:rsidRPr="00F84505">
              <w:rPr>
                <w:rFonts w:ascii="Times New Roman" w:hAnsi="Times New Roman"/>
                <w:b/>
                <w:i/>
                <w:color w:val="000000"/>
                <w:sz w:val="28"/>
                <w:szCs w:val="28"/>
              </w:rPr>
              <w:t xml:space="preserve">) </w:t>
            </w:r>
            <w:r>
              <w:rPr>
                <w:rFonts w:ascii="Times New Roman" w:hAnsi="Times New Roman"/>
                <w:b/>
                <w:color w:val="000000"/>
                <w:sz w:val="28"/>
                <w:szCs w:val="28"/>
              </w:rPr>
              <w:t>un tā apmēri</w:t>
            </w:r>
          </w:p>
        </w:tc>
      </w:tr>
      <w:tr w:rsidR="00480AE3" w:rsidTr="00684D8F">
        <w:tc>
          <w:tcPr>
            <w:tcW w:w="2014"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480AE3" w:rsidRDefault="00480AE3" w:rsidP="006427A2">
            <w:pPr>
              <w:spacing w:before="120" w:after="120" w:line="240" w:lineRule="auto"/>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Rīcības virziens mērķa sasniegšanai:</w:t>
            </w:r>
          </w:p>
        </w:tc>
        <w:tc>
          <w:tcPr>
            <w:tcW w:w="2986" w:type="pct"/>
            <w:gridSpan w:val="8"/>
            <w:tcBorders>
              <w:top w:val="single" w:sz="4" w:space="0" w:color="auto"/>
              <w:left w:val="single" w:sz="4" w:space="0" w:color="auto"/>
              <w:bottom w:val="single" w:sz="4" w:space="0" w:color="auto"/>
              <w:right w:val="single" w:sz="4" w:space="0" w:color="auto"/>
            </w:tcBorders>
            <w:shd w:val="clear" w:color="auto" w:fill="EEECE1"/>
            <w:hideMark/>
          </w:tcPr>
          <w:p w:rsidR="00480AE3" w:rsidRDefault="00480AE3" w:rsidP="006427A2">
            <w:pPr>
              <w:pStyle w:val="NormalWeb"/>
              <w:tabs>
                <w:tab w:val="left" w:pos="1080"/>
              </w:tabs>
              <w:spacing w:before="120" w:after="120"/>
              <w:ind w:left="0"/>
              <w:jc w:val="left"/>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 xml:space="preserve">1. </w:t>
            </w:r>
            <w:r w:rsidRPr="00924F33">
              <w:rPr>
                <w:rFonts w:ascii="Times New Roman" w:eastAsia="Times New Roman" w:hAnsi="Times New Roman"/>
                <w:b/>
                <w:color w:val="000000"/>
                <w:sz w:val="28"/>
                <w:szCs w:val="28"/>
                <w:lang w:eastAsia="lv-LV"/>
              </w:rPr>
              <w:t>Kredītiestāžu sektors</w:t>
            </w:r>
          </w:p>
        </w:tc>
      </w:tr>
      <w:tr w:rsidR="00117131" w:rsidTr="00B42439">
        <w:tc>
          <w:tcPr>
            <w:tcW w:w="2014" w:type="pct"/>
            <w:tcBorders>
              <w:top w:val="single" w:sz="4" w:space="0" w:color="auto"/>
              <w:left w:val="single" w:sz="4" w:space="0" w:color="auto"/>
              <w:bottom w:val="dashed" w:sz="4" w:space="0" w:color="auto"/>
              <w:right w:val="single" w:sz="4" w:space="0" w:color="auto"/>
            </w:tcBorders>
          </w:tcPr>
          <w:p w:rsidR="00117131" w:rsidRDefault="00117131" w:rsidP="0079094E">
            <w:pPr>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1.1.Kredītiestāžu regulatīvās vides pilnveidošana/ S</w:t>
            </w:r>
            <w:r w:rsidRPr="00274782">
              <w:rPr>
                <w:rFonts w:ascii="Times New Roman" w:hAnsi="Times New Roman"/>
                <w:b/>
                <w:bCs/>
                <w:color w:val="000000"/>
                <w:sz w:val="24"/>
                <w:szCs w:val="24"/>
              </w:rPr>
              <w:t>tabila</w:t>
            </w:r>
            <w:r>
              <w:rPr>
                <w:rFonts w:ascii="Times New Roman" w:hAnsi="Times New Roman"/>
                <w:b/>
                <w:bCs/>
                <w:color w:val="000000"/>
                <w:sz w:val="24"/>
                <w:szCs w:val="24"/>
              </w:rPr>
              <w:t xml:space="preserve"> un</w:t>
            </w:r>
            <w:r w:rsidRPr="00274782">
              <w:rPr>
                <w:rFonts w:ascii="Times New Roman" w:hAnsi="Times New Roman"/>
                <w:b/>
                <w:bCs/>
                <w:color w:val="000000"/>
                <w:sz w:val="24"/>
                <w:szCs w:val="24"/>
              </w:rPr>
              <w:t xml:space="preserve"> atbildīga </w:t>
            </w:r>
            <w:r>
              <w:rPr>
                <w:rFonts w:ascii="Times New Roman" w:hAnsi="Times New Roman"/>
                <w:b/>
                <w:bCs/>
                <w:color w:val="000000"/>
                <w:sz w:val="24"/>
                <w:szCs w:val="24"/>
              </w:rPr>
              <w:t>kredītiestāžu sektora darbība</w:t>
            </w:r>
          </w:p>
          <w:p w:rsidR="008F2AA0" w:rsidRPr="008F2AA0" w:rsidRDefault="008F2AA0" w:rsidP="0079094E">
            <w:pPr>
              <w:spacing w:after="120" w:line="240" w:lineRule="auto"/>
              <w:jc w:val="both"/>
              <w:rPr>
                <w:rFonts w:ascii="Times New Roman" w:hAnsi="Times New Roman"/>
                <w:b/>
                <w:bCs/>
                <w:i/>
                <w:color w:val="000000"/>
                <w:sz w:val="24"/>
                <w:szCs w:val="24"/>
              </w:rPr>
            </w:pPr>
            <w:r>
              <w:rPr>
                <w:rFonts w:ascii="Times New Roman" w:hAnsi="Times New Roman"/>
                <w:b/>
                <w:bCs/>
                <w:i/>
                <w:color w:val="000000"/>
                <w:sz w:val="24"/>
                <w:szCs w:val="24"/>
              </w:rPr>
              <w:t>N</w:t>
            </w:r>
            <w:r w:rsidRPr="008F2AA0">
              <w:rPr>
                <w:rFonts w:ascii="Times New Roman" w:hAnsi="Times New Roman"/>
                <w:b/>
                <w:bCs/>
                <w:i/>
                <w:color w:val="000000"/>
                <w:sz w:val="24"/>
                <w:szCs w:val="24"/>
              </w:rPr>
              <w:t>ormatīvo aktu pakete par pārskatītajām kapitāla pietiekamības prasībām ietver direktīvu (CRDIV) un regulu  (CRR)</w:t>
            </w:r>
          </w:p>
          <w:p w:rsidR="00117131" w:rsidRPr="00117131" w:rsidRDefault="00117131" w:rsidP="0079094E">
            <w:pPr>
              <w:spacing w:after="120" w:line="240" w:lineRule="auto"/>
              <w:jc w:val="both"/>
              <w:rPr>
                <w:rFonts w:ascii="Times New Roman" w:hAnsi="Times New Roman"/>
                <w:bCs/>
                <w:i/>
                <w:color w:val="000000"/>
                <w:sz w:val="24"/>
                <w:szCs w:val="24"/>
              </w:rPr>
            </w:pPr>
            <w:r w:rsidRPr="00117131">
              <w:rPr>
                <w:rFonts w:ascii="Times New Roman" w:hAnsi="Times New Roman"/>
                <w:bCs/>
                <w:i/>
                <w:color w:val="000000"/>
                <w:sz w:val="24"/>
                <w:szCs w:val="24"/>
              </w:rPr>
              <w:t xml:space="preserve">Finanšu stabilitātes nostiprināšanai, kā arī atbilstīgi starptautisko un ES dalībvalsts saistību izpildei Latvija ir apņēmusies veikt tiesību aktu grozījumus, kas stiprinās banku kapitāla bāzes un likviditātes prasības, papildinot vai precizējot tās, kas jau šobrīd ir saistošas Latvijas kredītiestādēm, kā arī ieviest citus finanšu reformas elementus. </w:t>
            </w:r>
          </w:p>
          <w:p w:rsidR="00117131" w:rsidRPr="00117131" w:rsidRDefault="00117131" w:rsidP="0079094E">
            <w:pPr>
              <w:spacing w:after="120" w:line="240" w:lineRule="auto"/>
              <w:jc w:val="both"/>
              <w:rPr>
                <w:rFonts w:ascii="Times New Roman" w:hAnsi="Times New Roman"/>
                <w:bCs/>
                <w:i/>
                <w:color w:val="000000"/>
                <w:sz w:val="24"/>
                <w:szCs w:val="24"/>
              </w:rPr>
            </w:pPr>
            <w:r w:rsidRPr="00117131">
              <w:rPr>
                <w:rFonts w:ascii="Times New Roman" w:hAnsi="Times New Roman"/>
                <w:bCs/>
                <w:i/>
                <w:color w:val="000000"/>
                <w:sz w:val="24"/>
                <w:szCs w:val="24"/>
              </w:rPr>
              <w:t xml:space="preserve">2013.gada 26.jūnijā publicētā normatīvo aktu pakete par pārskatītajām kapitāla pietiekamības prasībām ietver </w:t>
            </w:r>
            <w:r w:rsidRPr="00117131">
              <w:rPr>
                <w:rFonts w:ascii="Times New Roman" w:hAnsi="Times New Roman"/>
                <w:bCs/>
                <w:i/>
                <w:color w:val="000000"/>
                <w:sz w:val="24"/>
                <w:szCs w:val="24"/>
              </w:rPr>
              <w:lastRenderedPageBreak/>
              <w:t>direktīvu (CRDIV) un regulu  (CRR), kas ES tiesību aktos ievieš Basel III starptautisko uzraudzības un kapitāla standartu  kredītiestādēm un ieguldījumu brokeru sabiedrībām.</w:t>
            </w:r>
          </w:p>
          <w:p w:rsidR="00117131" w:rsidRDefault="00117131" w:rsidP="0079094E">
            <w:pPr>
              <w:spacing w:after="120" w:line="240" w:lineRule="auto"/>
              <w:jc w:val="both"/>
              <w:rPr>
                <w:rFonts w:ascii="Times New Roman" w:hAnsi="Times New Roman"/>
                <w:bCs/>
                <w:i/>
                <w:color w:val="000000"/>
                <w:sz w:val="24"/>
                <w:szCs w:val="24"/>
              </w:rPr>
            </w:pPr>
            <w:r w:rsidRPr="00117131">
              <w:rPr>
                <w:rFonts w:ascii="Times New Roman" w:hAnsi="Times New Roman"/>
                <w:bCs/>
                <w:i/>
                <w:color w:val="000000"/>
                <w:sz w:val="24"/>
                <w:szCs w:val="24"/>
              </w:rPr>
              <w:t>FKTK un pašu kredītiestāžu kopš 2008.gada veiktie kapitāla bāzes un likviditātes rādītāju stiprināšanas pasākumi ir nodrošinājuši, ka Latvijas kredītiestāžu sektors jau šobrīd izpilda kapitāla augstas kvalitātes un ar CRDIV/CRR priekšlikumiem noteicamās kapitāla apmēra prasības. Tādējādi, lai nepasliktinātu esošo situāciju un veicinātu Latvijas finanšu stabilitātes ilgtspēju, ir nolemts neizmantot pārejas perioda iespēju kapitāla apmēra prasības sasniegšanai.</w:t>
            </w:r>
          </w:p>
          <w:p w:rsidR="008F2AA0" w:rsidRPr="00117131" w:rsidRDefault="008F2AA0" w:rsidP="0079094E">
            <w:pPr>
              <w:spacing w:after="120" w:line="240" w:lineRule="auto"/>
              <w:jc w:val="both"/>
              <w:rPr>
                <w:rFonts w:ascii="Times New Roman" w:hAnsi="Times New Roman"/>
                <w:bCs/>
                <w:i/>
                <w:color w:val="000000"/>
                <w:sz w:val="24"/>
                <w:szCs w:val="24"/>
              </w:rPr>
            </w:pPr>
            <w:r w:rsidRPr="008F2AA0">
              <w:rPr>
                <w:rFonts w:ascii="Times New Roman" w:hAnsi="Times New Roman"/>
                <w:bCs/>
                <w:i/>
                <w:color w:val="000000"/>
                <w:sz w:val="24"/>
                <w:szCs w:val="24"/>
              </w:rPr>
              <w:t>Atbilstīgo grozījumu veikšana nacionālajos tiesību aktos, kas regulē kredītiestāžu un finanšu instrumentu tirgus darbību, nodrošinātu visaugstāko kredītiestāžu uzraudzības standartu piemērošanu Latvijā, t.sk., sniegtu iespēju kompetentajām iestādēm atbilstoši novērtēt sistēmiskos, tirgus un u.c. ar kredītiestāžu darbību saistītos riskus un piemērot papildus kapitāla rezervju prasības, uzlabotu pārrobežu sadarbību un nodrošinātu augstākas prasības kredītiestāžu korporatīvajai pārvaldībai, kā arī noteiktu ierobežojumus kredītiestāžu vadības mainīgā atalgojuma apmēram, veicinot tā sasaisti ar kredītiestādes ilgtermiņa rādītājiem.</w:t>
            </w:r>
          </w:p>
          <w:p w:rsidR="00117131" w:rsidRDefault="00117131" w:rsidP="00117131">
            <w:pPr>
              <w:spacing w:before="120" w:after="0" w:line="240" w:lineRule="auto"/>
              <w:jc w:val="both"/>
              <w:rPr>
                <w:rFonts w:ascii="Times New Roman" w:hAnsi="Times New Roman"/>
                <w:b/>
                <w:bCs/>
                <w:color w:val="000000"/>
                <w:sz w:val="24"/>
                <w:szCs w:val="24"/>
              </w:rPr>
            </w:pPr>
          </w:p>
        </w:tc>
        <w:tc>
          <w:tcPr>
            <w:tcW w:w="660" w:type="pct"/>
            <w:gridSpan w:val="3"/>
            <w:tcBorders>
              <w:top w:val="single" w:sz="4" w:space="0" w:color="auto"/>
              <w:left w:val="single" w:sz="4" w:space="0" w:color="auto"/>
              <w:bottom w:val="dashed" w:sz="4" w:space="0" w:color="auto"/>
              <w:right w:val="single" w:sz="4" w:space="0" w:color="auto"/>
            </w:tcBorders>
          </w:tcPr>
          <w:p w:rsidR="00117131" w:rsidRDefault="00117131" w:rsidP="006427A2">
            <w:pPr>
              <w:spacing w:before="120" w:after="0" w:line="240" w:lineRule="auto"/>
              <w:jc w:val="both"/>
              <w:rPr>
                <w:rFonts w:ascii="Times New Roman" w:hAnsi="Times New Roman"/>
                <w:sz w:val="24"/>
                <w:szCs w:val="24"/>
              </w:rPr>
            </w:pPr>
          </w:p>
        </w:tc>
        <w:tc>
          <w:tcPr>
            <w:tcW w:w="375" w:type="pct"/>
            <w:tcBorders>
              <w:top w:val="single" w:sz="4" w:space="0" w:color="auto"/>
              <w:left w:val="single" w:sz="4" w:space="0" w:color="auto"/>
              <w:bottom w:val="dashed" w:sz="4" w:space="0" w:color="auto"/>
              <w:right w:val="single" w:sz="4" w:space="0" w:color="auto"/>
            </w:tcBorders>
          </w:tcPr>
          <w:p w:rsidR="00117131" w:rsidRDefault="00117131" w:rsidP="00924F33">
            <w:pPr>
              <w:spacing w:before="120" w:after="0" w:line="240" w:lineRule="auto"/>
              <w:rPr>
                <w:rFonts w:ascii="Times New Roman" w:hAnsi="Times New Roman"/>
                <w:color w:val="000000"/>
                <w:sz w:val="24"/>
                <w:szCs w:val="24"/>
              </w:rPr>
            </w:pPr>
          </w:p>
        </w:tc>
        <w:tc>
          <w:tcPr>
            <w:tcW w:w="1285" w:type="pct"/>
            <w:gridSpan w:val="3"/>
            <w:tcBorders>
              <w:top w:val="single" w:sz="4" w:space="0" w:color="auto"/>
              <w:left w:val="single" w:sz="4" w:space="0" w:color="auto"/>
              <w:bottom w:val="dashed" w:sz="4" w:space="0" w:color="auto"/>
              <w:right w:val="single" w:sz="4" w:space="0" w:color="auto"/>
            </w:tcBorders>
          </w:tcPr>
          <w:p w:rsidR="00117131" w:rsidRDefault="00117131" w:rsidP="002E56E7">
            <w:pPr>
              <w:jc w:val="both"/>
              <w:rPr>
                <w:rFonts w:ascii="Times New Roman" w:hAnsi="Times New Roman"/>
                <w:sz w:val="24"/>
                <w:szCs w:val="24"/>
              </w:rPr>
            </w:pPr>
          </w:p>
        </w:tc>
        <w:tc>
          <w:tcPr>
            <w:tcW w:w="666" w:type="pct"/>
            <w:tcBorders>
              <w:top w:val="single" w:sz="4" w:space="0" w:color="auto"/>
              <w:left w:val="single" w:sz="4" w:space="0" w:color="auto"/>
              <w:bottom w:val="dashed" w:sz="4" w:space="0" w:color="auto"/>
              <w:right w:val="single" w:sz="4" w:space="0" w:color="auto"/>
            </w:tcBorders>
          </w:tcPr>
          <w:p w:rsidR="00117131" w:rsidRDefault="00117131" w:rsidP="006427A2">
            <w:pPr>
              <w:pStyle w:val="CommentText"/>
              <w:spacing w:before="120" w:after="0" w:line="240" w:lineRule="auto"/>
              <w:jc w:val="both"/>
              <w:rPr>
                <w:rFonts w:ascii="Times New Roman" w:eastAsia="Times New Roman" w:hAnsi="Times New Roman"/>
                <w:color w:val="000000"/>
                <w:lang w:eastAsia="lv-LV"/>
              </w:rPr>
            </w:pPr>
          </w:p>
        </w:tc>
      </w:tr>
      <w:tr w:rsidR="0098706F" w:rsidTr="00B42439">
        <w:tc>
          <w:tcPr>
            <w:tcW w:w="2014" w:type="pct"/>
            <w:tcBorders>
              <w:top w:val="dashed" w:sz="4" w:space="0" w:color="auto"/>
              <w:left w:val="single" w:sz="4" w:space="0" w:color="auto"/>
              <w:bottom w:val="single" w:sz="4" w:space="0" w:color="auto"/>
              <w:right w:val="single" w:sz="4" w:space="0" w:color="auto"/>
            </w:tcBorders>
          </w:tcPr>
          <w:p w:rsidR="00E33CA6" w:rsidRDefault="00E33CA6"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Rīcība</w:t>
            </w:r>
            <w:r w:rsidR="00F36381">
              <w:rPr>
                <w:rFonts w:ascii="Times New Roman" w:hAnsi="Times New Roman"/>
                <w:bCs/>
                <w:color w:val="000000"/>
                <w:sz w:val="24"/>
                <w:szCs w:val="24"/>
              </w:rPr>
              <w:t>i</w:t>
            </w:r>
            <w:r>
              <w:rPr>
                <w:rFonts w:ascii="Times New Roman" w:hAnsi="Times New Roman"/>
                <w:bCs/>
                <w:color w:val="000000"/>
                <w:sz w:val="24"/>
                <w:szCs w:val="24"/>
              </w:rPr>
              <w:t>:</w:t>
            </w:r>
          </w:p>
          <w:p w:rsidR="0098706F" w:rsidRDefault="00E33CA6"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 </w:t>
            </w:r>
            <w:r w:rsidR="0098706F" w:rsidRPr="0098706F">
              <w:rPr>
                <w:rFonts w:ascii="Times New Roman" w:hAnsi="Times New Roman"/>
                <w:bCs/>
                <w:color w:val="000000"/>
                <w:sz w:val="24"/>
                <w:szCs w:val="24"/>
              </w:rPr>
              <w:t>Grozīt atbilstīgos normatīvos aktus saistībā ar jauno ES ietvaru banku kapitāla prasību un likviditātes jautājumos (CRDIV/CRR).</w:t>
            </w:r>
          </w:p>
        </w:tc>
        <w:tc>
          <w:tcPr>
            <w:tcW w:w="660" w:type="pct"/>
            <w:gridSpan w:val="3"/>
            <w:tcBorders>
              <w:top w:val="dashed" w:sz="4" w:space="0" w:color="auto"/>
              <w:left w:val="single" w:sz="4" w:space="0" w:color="auto"/>
              <w:bottom w:val="single" w:sz="4" w:space="0" w:color="auto"/>
              <w:right w:val="single" w:sz="4" w:space="0" w:color="auto"/>
            </w:tcBorders>
          </w:tcPr>
          <w:p w:rsidR="0098706F" w:rsidRPr="0098706F" w:rsidRDefault="0098706F" w:rsidP="0079094E">
            <w:pPr>
              <w:spacing w:after="120" w:line="240" w:lineRule="auto"/>
              <w:jc w:val="both"/>
              <w:rPr>
                <w:rFonts w:ascii="Times New Roman" w:hAnsi="Times New Roman"/>
                <w:sz w:val="24"/>
                <w:szCs w:val="24"/>
              </w:rPr>
            </w:pPr>
            <w:r w:rsidRPr="0098706F">
              <w:rPr>
                <w:rFonts w:ascii="Times New Roman" w:hAnsi="Times New Roman"/>
                <w:sz w:val="24"/>
                <w:szCs w:val="24"/>
              </w:rPr>
              <w:t>01.01.2014.</w:t>
            </w:r>
          </w:p>
          <w:p w:rsidR="0098706F" w:rsidRDefault="0098706F" w:rsidP="0079094E">
            <w:pPr>
              <w:spacing w:after="120" w:line="240" w:lineRule="auto"/>
              <w:jc w:val="both"/>
              <w:rPr>
                <w:rFonts w:ascii="Times New Roman" w:hAnsi="Times New Roman"/>
                <w:sz w:val="24"/>
                <w:szCs w:val="24"/>
              </w:rPr>
            </w:pPr>
            <w:r w:rsidRPr="0098706F">
              <w:rPr>
                <w:rFonts w:ascii="Times New Roman" w:hAnsi="Times New Roman"/>
                <w:sz w:val="24"/>
                <w:szCs w:val="24"/>
              </w:rPr>
              <w:t>Regula stājās spē</w:t>
            </w:r>
            <w:r w:rsidR="008F2AA0">
              <w:rPr>
                <w:rFonts w:ascii="Times New Roman" w:hAnsi="Times New Roman"/>
                <w:sz w:val="24"/>
                <w:szCs w:val="24"/>
              </w:rPr>
              <w:t>k</w:t>
            </w:r>
            <w:r w:rsidRPr="0098706F">
              <w:rPr>
                <w:rFonts w:ascii="Times New Roman" w:hAnsi="Times New Roman"/>
                <w:sz w:val="24"/>
                <w:szCs w:val="24"/>
              </w:rPr>
              <w:t xml:space="preserve">ā un jāsāk piemērot, kā arī Direktīva jāpārņem </w:t>
            </w:r>
            <w:r w:rsidRPr="0098706F">
              <w:rPr>
                <w:rFonts w:ascii="Times New Roman" w:hAnsi="Times New Roman"/>
                <w:sz w:val="24"/>
                <w:szCs w:val="24"/>
              </w:rPr>
              <w:lastRenderedPageBreak/>
              <w:t xml:space="preserve">nacionālajā likumdošanā un jāsāk piemērot ar 2014.gada 1.janvāri. </w:t>
            </w:r>
          </w:p>
          <w:p w:rsidR="00FC4224" w:rsidRDefault="00FC4224" w:rsidP="0079094E">
            <w:pPr>
              <w:spacing w:after="120" w:line="240" w:lineRule="auto"/>
              <w:jc w:val="both"/>
              <w:rPr>
                <w:rFonts w:ascii="Times New Roman" w:hAnsi="Times New Roman"/>
                <w:sz w:val="24"/>
                <w:szCs w:val="24"/>
              </w:rPr>
            </w:pPr>
          </w:p>
          <w:p w:rsidR="00FC4224" w:rsidRDefault="00FC4224" w:rsidP="0079094E">
            <w:pPr>
              <w:spacing w:after="120" w:line="240" w:lineRule="auto"/>
              <w:jc w:val="both"/>
              <w:rPr>
                <w:rFonts w:ascii="Times New Roman" w:hAnsi="Times New Roman"/>
                <w:sz w:val="24"/>
                <w:szCs w:val="24"/>
              </w:rPr>
            </w:pPr>
            <w:r>
              <w:rPr>
                <w:rFonts w:ascii="Times New Roman" w:hAnsi="Times New Roman"/>
                <w:sz w:val="24"/>
                <w:szCs w:val="24"/>
              </w:rPr>
              <w:t>*31.12</w:t>
            </w:r>
            <w:r w:rsidR="0045704C">
              <w:rPr>
                <w:rFonts w:ascii="Times New Roman" w:hAnsi="Times New Roman"/>
                <w:sz w:val="24"/>
                <w:szCs w:val="24"/>
              </w:rPr>
              <w:t>.</w:t>
            </w:r>
            <w:r>
              <w:rPr>
                <w:rFonts w:ascii="Times New Roman" w:hAnsi="Times New Roman"/>
                <w:sz w:val="24"/>
                <w:szCs w:val="24"/>
              </w:rPr>
              <w:t>2014</w:t>
            </w:r>
            <w:r w:rsidR="0045704C">
              <w:rPr>
                <w:rFonts w:ascii="Times New Roman" w:hAnsi="Times New Roman"/>
                <w:sz w:val="24"/>
                <w:szCs w:val="24"/>
              </w:rPr>
              <w:t>.</w:t>
            </w:r>
          </w:p>
          <w:p w:rsidR="00FC4224" w:rsidRDefault="00FC4224" w:rsidP="0079094E">
            <w:pPr>
              <w:spacing w:after="120" w:line="240" w:lineRule="auto"/>
              <w:jc w:val="both"/>
              <w:rPr>
                <w:rFonts w:ascii="Times New Roman" w:hAnsi="Times New Roman"/>
                <w:sz w:val="24"/>
                <w:szCs w:val="24"/>
              </w:rPr>
            </w:pPr>
            <w:r>
              <w:rPr>
                <w:rFonts w:ascii="Times New Roman" w:hAnsi="Times New Roman"/>
                <w:sz w:val="24"/>
                <w:szCs w:val="24"/>
              </w:rPr>
              <w:t>**30.04.2014</w:t>
            </w:r>
            <w:r w:rsidR="0045704C">
              <w:rPr>
                <w:rFonts w:ascii="Times New Roman" w:hAnsi="Times New Roman"/>
                <w:sz w:val="24"/>
                <w:szCs w:val="24"/>
              </w:rPr>
              <w:t>.</w:t>
            </w:r>
          </w:p>
          <w:p w:rsidR="00FC4224" w:rsidRDefault="00FC4224" w:rsidP="0079094E">
            <w:pPr>
              <w:spacing w:after="120" w:line="240" w:lineRule="auto"/>
              <w:jc w:val="both"/>
              <w:rPr>
                <w:rFonts w:ascii="Times New Roman" w:hAnsi="Times New Roman"/>
                <w:sz w:val="24"/>
                <w:szCs w:val="24"/>
              </w:rPr>
            </w:pPr>
            <w:r>
              <w:rPr>
                <w:rFonts w:ascii="Times New Roman" w:hAnsi="Times New Roman"/>
                <w:sz w:val="24"/>
                <w:szCs w:val="24"/>
              </w:rPr>
              <w:t>***30.06.2014</w:t>
            </w:r>
            <w:r w:rsidR="0045704C">
              <w:rPr>
                <w:rFonts w:ascii="Times New Roman" w:hAnsi="Times New Roman"/>
                <w:sz w:val="24"/>
                <w:szCs w:val="24"/>
              </w:rPr>
              <w:t>.</w:t>
            </w:r>
          </w:p>
        </w:tc>
        <w:tc>
          <w:tcPr>
            <w:tcW w:w="375" w:type="pct"/>
            <w:tcBorders>
              <w:top w:val="dashed" w:sz="4" w:space="0" w:color="auto"/>
              <w:left w:val="single" w:sz="4" w:space="0" w:color="auto"/>
              <w:bottom w:val="single" w:sz="4" w:space="0" w:color="auto"/>
              <w:right w:val="single" w:sz="4" w:space="0" w:color="auto"/>
            </w:tcBorders>
          </w:tcPr>
          <w:p w:rsidR="0098706F" w:rsidRPr="0079094E" w:rsidRDefault="00FA0CCD" w:rsidP="0079094E">
            <w:pPr>
              <w:spacing w:after="120" w:line="240" w:lineRule="auto"/>
              <w:rPr>
                <w:rFonts w:ascii="Times New Roman" w:hAnsi="Times New Roman"/>
                <w:color w:val="000000"/>
              </w:rPr>
            </w:pPr>
            <w:r w:rsidRPr="0079094E">
              <w:rPr>
                <w:rFonts w:ascii="Times New Roman" w:hAnsi="Times New Roman"/>
                <w:color w:val="000000"/>
              </w:rPr>
              <w:lastRenderedPageBreak/>
              <w:t xml:space="preserve">Finanšu ministrija (turpmāk tekstā- </w:t>
            </w:r>
            <w:r w:rsidR="0098706F" w:rsidRPr="0079094E">
              <w:rPr>
                <w:rFonts w:ascii="Times New Roman" w:hAnsi="Times New Roman"/>
                <w:color w:val="000000"/>
              </w:rPr>
              <w:t>FM</w:t>
            </w:r>
            <w:r w:rsidRPr="0079094E">
              <w:rPr>
                <w:rFonts w:ascii="Times New Roman" w:hAnsi="Times New Roman"/>
                <w:color w:val="000000"/>
              </w:rPr>
              <w:t>)</w:t>
            </w:r>
            <w:r w:rsidR="0098706F" w:rsidRPr="0079094E">
              <w:rPr>
                <w:rFonts w:ascii="Times New Roman" w:hAnsi="Times New Roman"/>
                <w:color w:val="000000"/>
              </w:rPr>
              <w:t xml:space="preserve">, </w:t>
            </w:r>
            <w:r w:rsidRPr="0079094E">
              <w:rPr>
                <w:rFonts w:ascii="Times New Roman" w:hAnsi="Times New Roman"/>
                <w:color w:val="000000"/>
              </w:rPr>
              <w:t xml:space="preserve">Finanšu un </w:t>
            </w:r>
            <w:r w:rsidRPr="0079094E">
              <w:rPr>
                <w:rFonts w:ascii="Times New Roman" w:hAnsi="Times New Roman"/>
                <w:color w:val="000000"/>
              </w:rPr>
              <w:lastRenderedPageBreak/>
              <w:t xml:space="preserve">kapitāla tirgus komisija (turpmāk- </w:t>
            </w:r>
            <w:r w:rsidR="0098706F" w:rsidRPr="0079094E">
              <w:rPr>
                <w:rFonts w:ascii="Times New Roman" w:hAnsi="Times New Roman"/>
                <w:color w:val="000000"/>
              </w:rPr>
              <w:t>FKTK</w:t>
            </w:r>
            <w:r w:rsidRPr="0079094E">
              <w:rPr>
                <w:rFonts w:ascii="Times New Roman" w:hAnsi="Times New Roman"/>
                <w:color w:val="000000"/>
              </w:rPr>
              <w:t>)</w:t>
            </w:r>
            <w:r w:rsidR="0098706F" w:rsidRPr="0079094E">
              <w:rPr>
                <w:rFonts w:ascii="Times New Roman" w:hAnsi="Times New Roman"/>
                <w:color w:val="000000"/>
              </w:rPr>
              <w:t xml:space="preserve">, </w:t>
            </w:r>
            <w:r w:rsidRPr="0079094E">
              <w:rPr>
                <w:rFonts w:ascii="Times New Roman" w:hAnsi="Times New Roman"/>
                <w:color w:val="000000"/>
              </w:rPr>
              <w:t xml:space="preserve">LatvijasBanka (turpmāktekstā – </w:t>
            </w:r>
            <w:r w:rsidR="0098706F" w:rsidRPr="0079094E">
              <w:rPr>
                <w:rFonts w:ascii="Times New Roman" w:hAnsi="Times New Roman"/>
                <w:color w:val="000000"/>
              </w:rPr>
              <w:t>LB</w:t>
            </w:r>
            <w:r w:rsidRPr="0079094E">
              <w:rPr>
                <w:rFonts w:ascii="Times New Roman" w:hAnsi="Times New Roman"/>
                <w:color w:val="000000"/>
              </w:rPr>
              <w:t>)</w:t>
            </w:r>
          </w:p>
        </w:tc>
        <w:tc>
          <w:tcPr>
            <w:tcW w:w="1285" w:type="pct"/>
            <w:gridSpan w:val="3"/>
            <w:tcBorders>
              <w:top w:val="dashed" w:sz="4" w:space="0" w:color="auto"/>
              <w:left w:val="single" w:sz="4" w:space="0" w:color="auto"/>
              <w:bottom w:val="single" w:sz="4" w:space="0" w:color="auto"/>
              <w:right w:val="single" w:sz="4" w:space="0" w:color="auto"/>
            </w:tcBorders>
          </w:tcPr>
          <w:p w:rsidR="00386682" w:rsidRPr="0045704C" w:rsidRDefault="00C44A05" w:rsidP="0045704C">
            <w:pPr>
              <w:spacing w:after="120" w:line="240" w:lineRule="auto"/>
              <w:jc w:val="both"/>
              <w:rPr>
                <w:rFonts w:ascii="Times New Roman" w:hAnsi="Times New Roman"/>
                <w:color w:val="000000"/>
                <w:sz w:val="24"/>
                <w:szCs w:val="24"/>
              </w:rPr>
            </w:pPr>
            <w:r w:rsidRPr="0045704C">
              <w:rPr>
                <w:rFonts w:ascii="Times New Roman" w:hAnsi="Times New Roman"/>
                <w:color w:val="000000"/>
                <w:sz w:val="24"/>
                <w:szCs w:val="24"/>
              </w:rPr>
              <w:lastRenderedPageBreak/>
              <w:t xml:space="preserve">Pēc grozījumu </w:t>
            </w:r>
            <w:r w:rsidR="0098706F" w:rsidRPr="0045704C">
              <w:rPr>
                <w:rFonts w:ascii="Times New Roman" w:hAnsi="Times New Roman"/>
                <w:color w:val="000000"/>
                <w:sz w:val="24"/>
                <w:szCs w:val="24"/>
              </w:rPr>
              <w:t>Kredītiestāžu likumā un Finanšu instrumentu tirgus likumā</w:t>
            </w:r>
            <w:r w:rsidRPr="0045704C">
              <w:rPr>
                <w:rFonts w:ascii="Times New Roman" w:hAnsi="Times New Roman"/>
                <w:color w:val="000000"/>
                <w:sz w:val="24"/>
                <w:szCs w:val="24"/>
              </w:rPr>
              <w:t xml:space="preserve"> apstiprināšanas Saeimā (likumprojekti iesniegti Saeimā 28.12.2013) </w:t>
            </w:r>
            <w:r w:rsidR="00386682" w:rsidRPr="0045704C">
              <w:rPr>
                <w:rFonts w:ascii="Times New Roman" w:hAnsi="Times New Roman"/>
                <w:color w:val="000000"/>
                <w:sz w:val="24"/>
                <w:szCs w:val="24"/>
              </w:rPr>
              <w:t>apstiprināt šādus</w:t>
            </w:r>
            <w:r w:rsidRPr="0045704C">
              <w:rPr>
                <w:rFonts w:ascii="Times New Roman" w:hAnsi="Times New Roman"/>
                <w:color w:val="000000"/>
                <w:sz w:val="24"/>
                <w:szCs w:val="24"/>
              </w:rPr>
              <w:t xml:space="preserve"> FKTK </w:t>
            </w:r>
            <w:r w:rsidR="00386682" w:rsidRPr="0045704C">
              <w:rPr>
                <w:rFonts w:ascii="Times New Roman" w:hAnsi="Times New Roman"/>
                <w:color w:val="000000"/>
                <w:sz w:val="24"/>
                <w:szCs w:val="24"/>
              </w:rPr>
              <w:t xml:space="preserve">normatīvos </w:t>
            </w:r>
            <w:r w:rsidRPr="0045704C">
              <w:rPr>
                <w:rFonts w:ascii="Times New Roman" w:hAnsi="Times New Roman"/>
                <w:color w:val="000000"/>
                <w:sz w:val="24"/>
                <w:szCs w:val="24"/>
              </w:rPr>
              <w:t>noteikum</w:t>
            </w:r>
            <w:r w:rsidR="00386682" w:rsidRPr="0045704C">
              <w:rPr>
                <w:rFonts w:ascii="Times New Roman" w:hAnsi="Times New Roman"/>
                <w:color w:val="000000"/>
                <w:sz w:val="24"/>
                <w:szCs w:val="24"/>
              </w:rPr>
              <w:t>us:</w:t>
            </w:r>
          </w:p>
          <w:p w:rsidR="00386682" w:rsidRPr="0045704C" w:rsidRDefault="00FC4224" w:rsidP="0045704C">
            <w:pPr>
              <w:spacing w:after="120" w:line="240" w:lineRule="auto"/>
              <w:jc w:val="both"/>
              <w:rPr>
                <w:rFonts w:ascii="Times New Roman" w:hAnsi="Times New Roman"/>
                <w:color w:val="000000"/>
                <w:sz w:val="24"/>
                <w:szCs w:val="24"/>
              </w:rPr>
            </w:pPr>
            <w:r w:rsidRPr="0045704C">
              <w:rPr>
                <w:rFonts w:ascii="Times New Roman" w:hAnsi="Times New Roman"/>
                <w:color w:val="000000"/>
                <w:sz w:val="24"/>
                <w:szCs w:val="24"/>
              </w:rPr>
              <w:lastRenderedPageBreak/>
              <w:t>*</w:t>
            </w:r>
            <w:r w:rsidR="00386682" w:rsidRPr="0045704C">
              <w:rPr>
                <w:rFonts w:ascii="Times New Roman" w:hAnsi="Times New Roman"/>
                <w:color w:val="000000"/>
                <w:sz w:val="24"/>
                <w:szCs w:val="24"/>
              </w:rPr>
              <w:t>Iestādei specifiskas pretcikliskās kapitāla rezerves apr</w:t>
            </w:r>
            <w:r w:rsidRPr="0045704C">
              <w:rPr>
                <w:rFonts w:ascii="Times New Roman" w:hAnsi="Times New Roman"/>
                <w:color w:val="000000"/>
                <w:sz w:val="24"/>
                <w:szCs w:val="24"/>
              </w:rPr>
              <w:t>ēķināšanas normatīvie noteikumi;</w:t>
            </w:r>
          </w:p>
          <w:p w:rsidR="00386682" w:rsidRPr="0045704C" w:rsidRDefault="00FC4224" w:rsidP="0045704C">
            <w:pPr>
              <w:spacing w:after="120" w:line="240" w:lineRule="auto"/>
              <w:jc w:val="both"/>
              <w:rPr>
                <w:rFonts w:ascii="Times New Roman" w:hAnsi="Times New Roman"/>
                <w:color w:val="000000"/>
                <w:sz w:val="24"/>
                <w:szCs w:val="24"/>
              </w:rPr>
            </w:pPr>
            <w:r w:rsidRPr="0045704C">
              <w:rPr>
                <w:rFonts w:ascii="Times New Roman" w:hAnsi="Times New Roman"/>
                <w:color w:val="000000"/>
                <w:sz w:val="24"/>
                <w:szCs w:val="24"/>
              </w:rPr>
              <w:t>**</w:t>
            </w:r>
            <w:r w:rsidR="00386682" w:rsidRPr="0045704C">
              <w:rPr>
                <w:rFonts w:ascii="Times New Roman" w:hAnsi="Times New Roman"/>
                <w:color w:val="000000"/>
                <w:sz w:val="24"/>
                <w:szCs w:val="24"/>
              </w:rPr>
              <w:t>Maksimāli sadalāmās summas apmēra aprēķina kārtīb</w:t>
            </w:r>
            <w:r w:rsidRPr="0045704C">
              <w:rPr>
                <w:rFonts w:ascii="Times New Roman" w:hAnsi="Times New Roman"/>
                <w:color w:val="000000"/>
                <w:sz w:val="24"/>
                <w:szCs w:val="24"/>
              </w:rPr>
              <w:t>as normatīvie noteikumi;</w:t>
            </w:r>
          </w:p>
          <w:p w:rsidR="0098706F" w:rsidRDefault="00FC4224" w:rsidP="0045704C">
            <w:pPr>
              <w:spacing w:after="120" w:line="240" w:lineRule="auto"/>
              <w:jc w:val="both"/>
              <w:rPr>
                <w:rFonts w:ascii="Times New Roman" w:hAnsi="Times New Roman"/>
                <w:sz w:val="24"/>
                <w:szCs w:val="24"/>
              </w:rPr>
            </w:pPr>
            <w:r w:rsidRPr="0045704C">
              <w:rPr>
                <w:rFonts w:ascii="Times New Roman" w:hAnsi="Times New Roman"/>
                <w:color w:val="000000"/>
                <w:sz w:val="24"/>
                <w:szCs w:val="24"/>
              </w:rPr>
              <w:t>***</w:t>
            </w:r>
            <w:r w:rsidR="00386682" w:rsidRPr="0045704C">
              <w:rPr>
                <w:rFonts w:ascii="Times New Roman" w:hAnsi="Times New Roman"/>
                <w:color w:val="000000"/>
                <w:sz w:val="24"/>
                <w:szCs w:val="24"/>
              </w:rPr>
              <w:t>Grozījumi Normatīvajos noteikumos par atalgojuma politikas pamatprincip</w:t>
            </w:r>
            <w:r w:rsidRPr="0045704C">
              <w:rPr>
                <w:rFonts w:ascii="Times New Roman" w:hAnsi="Times New Roman"/>
                <w:color w:val="000000"/>
                <w:sz w:val="24"/>
                <w:szCs w:val="24"/>
              </w:rPr>
              <w:t>iem.</w:t>
            </w:r>
            <w:r w:rsidR="0098706F" w:rsidRPr="0045704C">
              <w:rPr>
                <w:rFonts w:ascii="Times New Roman" w:hAnsi="Times New Roman"/>
                <w:color w:val="000000"/>
                <w:sz w:val="24"/>
                <w:szCs w:val="24"/>
              </w:rPr>
              <w:t xml:space="preserve"> </w:t>
            </w:r>
          </w:p>
        </w:tc>
        <w:tc>
          <w:tcPr>
            <w:tcW w:w="666" w:type="pct"/>
            <w:tcBorders>
              <w:top w:val="dashed" w:sz="4" w:space="0" w:color="auto"/>
              <w:left w:val="single" w:sz="4" w:space="0" w:color="auto"/>
              <w:bottom w:val="single" w:sz="4" w:space="0" w:color="auto"/>
              <w:right w:val="single" w:sz="4" w:space="0" w:color="auto"/>
            </w:tcBorders>
          </w:tcPr>
          <w:p w:rsidR="0098706F" w:rsidRDefault="0098706F" w:rsidP="00387738">
            <w:pPr>
              <w:pStyle w:val="CommentText"/>
              <w:spacing w:before="120" w:after="0" w:line="240" w:lineRule="auto"/>
              <w:jc w:val="both"/>
              <w:rPr>
                <w:rFonts w:ascii="Times New Roman" w:eastAsia="Times New Roman" w:hAnsi="Times New Roman"/>
                <w:color w:val="000000"/>
                <w:lang w:eastAsia="lv-LV"/>
              </w:rPr>
            </w:pPr>
            <w:r w:rsidRPr="0098706F">
              <w:rPr>
                <w:rFonts w:ascii="Times New Roman" w:eastAsia="Times New Roman" w:hAnsi="Times New Roman"/>
                <w:color w:val="000000"/>
                <w:lang w:eastAsia="lv-LV"/>
              </w:rPr>
              <w:lastRenderedPageBreak/>
              <w:t xml:space="preserve">FM, </w:t>
            </w:r>
            <w:r w:rsidR="00387738">
              <w:rPr>
                <w:rFonts w:ascii="Times New Roman" w:eastAsia="Times New Roman" w:hAnsi="Times New Roman"/>
                <w:color w:val="000000"/>
                <w:lang w:eastAsia="lv-LV"/>
              </w:rPr>
              <w:t xml:space="preserve">FKTK, </w:t>
            </w:r>
            <w:r w:rsidRPr="0098706F">
              <w:rPr>
                <w:rFonts w:ascii="Times New Roman" w:eastAsia="Times New Roman" w:hAnsi="Times New Roman"/>
                <w:color w:val="000000"/>
                <w:lang w:eastAsia="lv-LV"/>
              </w:rPr>
              <w:t>un LB budžeta ietvaros.</w:t>
            </w:r>
          </w:p>
        </w:tc>
      </w:tr>
      <w:tr w:rsidR="0098706F" w:rsidTr="00B42439">
        <w:tc>
          <w:tcPr>
            <w:tcW w:w="2014" w:type="pct"/>
            <w:tcBorders>
              <w:top w:val="single" w:sz="4" w:space="0" w:color="auto"/>
              <w:left w:val="single" w:sz="4" w:space="0" w:color="auto"/>
              <w:bottom w:val="dashed" w:sz="4" w:space="0" w:color="auto"/>
              <w:right w:val="single" w:sz="4" w:space="0" w:color="auto"/>
            </w:tcBorders>
          </w:tcPr>
          <w:p w:rsidR="008F2AA0" w:rsidRPr="008F2AA0" w:rsidRDefault="008F2AA0" w:rsidP="0079094E">
            <w:pPr>
              <w:spacing w:after="120" w:line="240" w:lineRule="auto"/>
              <w:jc w:val="both"/>
              <w:rPr>
                <w:rFonts w:ascii="Times New Roman" w:hAnsi="Times New Roman"/>
                <w:b/>
                <w:bCs/>
                <w:i/>
                <w:color w:val="000000"/>
                <w:sz w:val="24"/>
                <w:szCs w:val="24"/>
              </w:rPr>
            </w:pPr>
            <w:r w:rsidRPr="008F2AA0">
              <w:rPr>
                <w:rFonts w:ascii="Times New Roman" w:hAnsi="Times New Roman"/>
                <w:b/>
                <w:bCs/>
                <w:i/>
                <w:color w:val="000000"/>
                <w:sz w:val="24"/>
                <w:szCs w:val="24"/>
              </w:rPr>
              <w:lastRenderedPageBreak/>
              <w:t>Vienota uzraudzības mehānisma izveide</w:t>
            </w:r>
          </w:p>
          <w:p w:rsidR="0098706F" w:rsidRDefault="0098706F" w:rsidP="0079094E">
            <w:pPr>
              <w:spacing w:after="120" w:line="240" w:lineRule="auto"/>
              <w:jc w:val="both"/>
              <w:rPr>
                <w:rFonts w:ascii="Times New Roman" w:hAnsi="Times New Roman"/>
                <w:bCs/>
                <w:i/>
                <w:color w:val="000000"/>
                <w:sz w:val="24"/>
                <w:szCs w:val="24"/>
              </w:rPr>
            </w:pPr>
            <w:r w:rsidRPr="0098706F">
              <w:rPr>
                <w:rFonts w:ascii="Times New Roman" w:hAnsi="Times New Roman"/>
                <w:bCs/>
                <w:i/>
                <w:color w:val="000000"/>
                <w:sz w:val="24"/>
                <w:szCs w:val="24"/>
              </w:rPr>
              <w:t>Pirmais solis Banku Savienībā ir Vienota uzraudzības mehānisma izveide, uzticot Eiropas Centrālai bankai (ECB) noteiktus ar kredītiestāžu uzraudzību saistītus uzdevumus, lai atjaunotu uzticību ES uzraudzības augstajam standartam, ņemtu vērā banku sektora integrācijas pakāpes ietekmi uz ES, bet īpaši eirozonas finanšu stabilitāti un radītu priekšnoteikumu eirozonas valstu piekļuvei Eiropas Stabilitātes mehānisma līdzekļiem to banku sektora stabilizācijai (tiešai rekapitalizācijai), neuzņemoties papildus valsts parāda slogu. 2013.gada 29.oktobrī ES Oficiālajā vēstnesī ir nopublicētas Vienoto uzraudzības mehānismu veidojošās regulas, kas paredz, ka ECB pilnā mērā uzsāk</w:t>
            </w:r>
            <w:r w:rsidR="0039067A">
              <w:rPr>
                <w:rFonts w:ascii="Times New Roman" w:hAnsi="Times New Roman"/>
                <w:bCs/>
                <w:i/>
                <w:color w:val="000000"/>
                <w:sz w:val="24"/>
                <w:szCs w:val="24"/>
              </w:rPr>
              <w:t>s</w:t>
            </w:r>
            <w:r w:rsidRPr="0098706F">
              <w:rPr>
                <w:rFonts w:ascii="Times New Roman" w:hAnsi="Times New Roman"/>
                <w:bCs/>
                <w:i/>
                <w:color w:val="000000"/>
                <w:sz w:val="24"/>
                <w:szCs w:val="24"/>
              </w:rPr>
              <w:t xml:space="preserve"> savu uzdevumu izpildi ar 2014.gada 4.novembri.</w:t>
            </w:r>
          </w:p>
          <w:p w:rsidR="008F2AA0" w:rsidRDefault="008F2AA0" w:rsidP="0079094E">
            <w:pPr>
              <w:spacing w:after="120" w:line="240" w:lineRule="auto"/>
              <w:jc w:val="both"/>
              <w:rPr>
                <w:rFonts w:ascii="Times New Roman" w:hAnsi="Times New Roman"/>
                <w:bCs/>
                <w:color w:val="000000"/>
                <w:sz w:val="24"/>
                <w:szCs w:val="24"/>
              </w:rPr>
            </w:pPr>
            <w:r w:rsidRPr="00745B16">
              <w:rPr>
                <w:rFonts w:ascii="Times New Roman" w:hAnsi="Times New Roman"/>
                <w:bCs/>
                <w:i/>
                <w:color w:val="000000"/>
                <w:sz w:val="24"/>
                <w:szCs w:val="24"/>
              </w:rPr>
              <w:t xml:space="preserve">Šo pasākumu īstenošana nodrošinātu gan kompetentās uzraudzības iestādes darba atbilstīgu un savlaicīgu plānošanu, sadarbības un informācijas un datu apmaiņas kanālu un procedūru pārstrādi, tirgus dalībnieku augstu gatavības pakāpi iespējamām izmaiņām to uzraudzības kārtībā un uzraudzības funkciju sedzamo izmaksu daļas apmērā, kā arī veicinās pietiekamas izpratnes un </w:t>
            </w:r>
            <w:r w:rsidRPr="00745B16">
              <w:rPr>
                <w:rFonts w:ascii="Times New Roman" w:hAnsi="Times New Roman"/>
                <w:bCs/>
                <w:i/>
                <w:color w:val="000000"/>
                <w:sz w:val="24"/>
                <w:szCs w:val="24"/>
              </w:rPr>
              <w:lastRenderedPageBreak/>
              <w:t>kompetences veidošanu ECB par diferencētai ikdienas uzraudzībai pakļautajām Latvijas teritorijā esošām kredītiestādēm.</w:t>
            </w:r>
          </w:p>
        </w:tc>
        <w:tc>
          <w:tcPr>
            <w:tcW w:w="660" w:type="pct"/>
            <w:gridSpan w:val="3"/>
            <w:tcBorders>
              <w:top w:val="single" w:sz="4" w:space="0" w:color="auto"/>
              <w:left w:val="single" w:sz="4" w:space="0" w:color="auto"/>
              <w:bottom w:val="dashed" w:sz="4" w:space="0" w:color="auto"/>
              <w:right w:val="single" w:sz="4" w:space="0" w:color="auto"/>
            </w:tcBorders>
          </w:tcPr>
          <w:p w:rsidR="0098706F" w:rsidRDefault="0098706F" w:rsidP="0079094E">
            <w:pPr>
              <w:spacing w:after="120" w:line="240" w:lineRule="auto"/>
              <w:jc w:val="both"/>
              <w:rPr>
                <w:rFonts w:ascii="Times New Roman" w:hAnsi="Times New Roman"/>
                <w:sz w:val="24"/>
                <w:szCs w:val="24"/>
              </w:rPr>
            </w:pPr>
          </w:p>
        </w:tc>
        <w:tc>
          <w:tcPr>
            <w:tcW w:w="375" w:type="pct"/>
            <w:tcBorders>
              <w:top w:val="single" w:sz="4" w:space="0" w:color="auto"/>
              <w:left w:val="single" w:sz="4" w:space="0" w:color="auto"/>
              <w:bottom w:val="dashed" w:sz="4" w:space="0" w:color="auto"/>
              <w:right w:val="single" w:sz="4" w:space="0" w:color="auto"/>
            </w:tcBorders>
          </w:tcPr>
          <w:p w:rsidR="0098706F" w:rsidRDefault="0098706F" w:rsidP="0079094E">
            <w:pPr>
              <w:spacing w:after="120" w:line="240" w:lineRule="auto"/>
              <w:rPr>
                <w:rFonts w:ascii="Times New Roman" w:hAnsi="Times New Roman"/>
                <w:color w:val="000000"/>
                <w:sz w:val="24"/>
                <w:szCs w:val="24"/>
              </w:rPr>
            </w:pPr>
          </w:p>
        </w:tc>
        <w:tc>
          <w:tcPr>
            <w:tcW w:w="1285" w:type="pct"/>
            <w:gridSpan w:val="3"/>
            <w:tcBorders>
              <w:top w:val="single" w:sz="4" w:space="0" w:color="auto"/>
              <w:left w:val="single" w:sz="4" w:space="0" w:color="auto"/>
              <w:bottom w:val="dashed" w:sz="4" w:space="0" w:color="auto"/>
              <w:right w:val="single" w:sz="4" w:space="0" w:color="auto"/>
            </w:tcBorders>
          </w:tcPr>
          <w:p w:rsidR="0098706F" w:rsidRDefault="0098706F" w:rsidP="00241BC2">
            <w:pPr>
              <w:jc w:val="both"/>
              <w:rPr>
                <w:rFonts w:ascii="Times New Roman" w:hAnsi="Times New Roman"/>
                <w:color w:val="000000"/>
                <w:sz w:val="24"/>
                <w:szCs w:val="24"/>
              </w:rPr>
            </w:pPr>
          </w:p>
        </w:tc>
        <w:tc>
          <w:tcPr>
            <w:tcW w:w="666" w:type="pct"/>
            <w:tcBorders>
              <w:top w:val="single" w:sz="4" w:space="0" w:color="auto"/>
              <w:left w:val="single" w:sz="4" w:space="0" w:color="auto"/>
              <w:bottom w:val="dashed" w:sz="4" w:space="0" w:color="auto"/>
              <w:right w:val="single" w:sz="4" w:space="0" w:color="auto"/>
            </w:tcBorders>
          </w:tcPr>
          <w:p w:rsidR="0098706F" w:rsidRDefault="0098706F" w:rsidP="006427A2">
            <w:pPr>
              <w:pStyle w:val="CommentText"/>
              <w:spacing w:before="120" w:after="0" w:line="240" w:lineRule="auto"/>
              <w:jc w:val="both"/>
              <w:rPr>
                <w:rFonts w:ascii="Times New Roman" w:hAnsi="Times New Roman"/>
              </w:rPr>
            </w:pPr>
          </w:p>
        </w:tc>
      </w:tr>
      <w:tr w:rsidR="00E33CA6" w:rsidTr="00B42439">
        <w:tc>
          <w:tcPr>
            <w:tcW w:w="2014" w:type="pct"/>
            <w:tcBorders>
              <w:top w:val="dashed" w:sz="4" w:space="0" w:color="auto"/>
              <w:left w:val="single" w:sz="4" w:space="0" w:color="auto"/>
              <w:bottom w:val="dashed" w:sz="4" w:space="0" w:color="auto"/>
              <w:right w:val="single" w:sz="4" w:space="0" w:color="auto"/>
            </w:tcBorders>
          </w:tcPr>
          <w:p w:rsidR="00E33CA6" w:rsidRDefault="00E33CA6"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Rīcība</w:t>
            </w:r>
            <w:r w:rsidR="00F36381">
              <w:rPr>
                <w:rFonts w:ascii="Times New Roman" w:hAnsi="Times New Roman"/>
                <w:bCs/>
                <w:color w:val="000000"/>
                <w:sz w:val="24"/>
                <w:szCs w:val="24"/>
              </w:rPr>
              <w:t>i</w:t>
            </w:r>
            <w:r>
              <w:rPr>
                <w:rFonts w:ascii="Times New Roman" w:hAnsi="Times New Roman"/>
                <w:bCs/>
                <w:color w:val="000000"/>
                <w:sz w:val="24"/>
                <w:szCs w:val="24"/>
              </w:rPr>
              <w:t>:</w:t>
            </w:r>
          </w:p>
          <w:p w:rsidR="00E33CA6" w:rsidRDefault="00E33CA6"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E33CA6">
              <w:rPr>
                <w:rFonts w:ascii="Times New Roman" w:hAnsi="Times New Roman"/>
                <w:bCs/>
                <w:color w:val="000000"/>
                <w:sz w:val="24"/>
                <w:szCs w:val="24"/>
              </w:rPr>
              <w:t>FKTK sadarboties ar ECB</w:t>
            </w:r>
            <w:r w:rsidR="0039067A">
              <w:rPr>
                <w:rFonts w:ascii="Times New Roman" w:hAnsi="Times New Roman"/>
                <w:bCs/>
                <w:color w:val="000000"/>
                <w:sz w:val="24"/>
                <w:szCs w:val="24"/>
              </w:rPr>
              <w:t>,</w:t>
            </w:r>
            <w:r w:rsidRPr="00E33CA6">
              <w:rPr>
                <w:rFonts w:ascii="Times New Roman" w:hAnsi="Times New Roman"/>
                <w:bCs/>
                <w:color w:val="000000"/>
                <w:sz w:val="24"/>
                <w:szCs w:val="24"/>
              </w:rPr>
              <w:t xml:space="preserve"> sniedzot informāciju par Latvijas kredītiestāžu sektora kopējiem un individuāliem raksturlielumiem, darbības tendencēm un specifiku, gatavojoties ar Vienotā uzraudzības mehānisma izveides normatīvo bāzi nacionālajām kompetentajām iestādēm uzlikto pienākumu izpildei un ECB</w:t>
            </w:r>
            <w:r w:rsidR="0039067A">
              <w:rPr>
                <w:rFonts w:ascii="Times New Roman" w:hAnsi="Times New Roman"/>
                <w:bCs/>
                <w:color w:val="000000"/>
                <w:sz w:val="24"/>
                <w:szCs w:val="24"/>
              </w:rPr>
              <w:t xml:space="preserve"> uzraudzības uzdevumu veikšanai.</w:t>
            </w:r>
          </w:p>
        </w:tc>
        <w:tc>
          <w:tcPr>
            <w:tcW w:w="660" w:type="pct"/>
            <w:gridSpan w:val="3"/>
            <w:tcBorders>
              <w:top w:val="dashed" w:sz="4" w:space="0" w:color="auto"/>
              <w:left w:val="single" w:sz="4" w:space="0" w:color="auto"/>
              <w:bottom w:val="dashed" w:sz="4" w:space="0" w:color="auto"/>
              <w:right w:val="single" w:sz="4" w:space="0" w:color="auto"/>
            </w:tcBorders>
          </w:tcPr>
          <w:p w:rsidR="00E33CA6" w:rsidRDefault="00E33CA6" w:rsidP="0079094E">
            <w:pPr>
              <w:spacing w:after="120" w:line="240" w:lineRule="auto"/>
              <w:jc w:val="both"/>
              <w:rPr>
                <w:rFonts w:ascii="Times New Roman" w:hAnsi="Times New Roman"/>
                <w:sz w:val="24"/>
                <w:szCs w:val="24"/>
              </w:rPr>
            </w:pPr>
            <w:r w:rsidRPr="00E33CA6">
              <w:rPr>
                <w:rFonts w:ascii="Times New Roman" w:hAnsi="Times New Roman"/>
                <w:sz w:val="24"/>
                <w:szCs w:val="24"/>
              </w:rPr>
              <w:t>04.11.2014. vēlāk – pastāvīgi</w:t>
            </w:r>
          </w:p>
        </w:tc>
        <w:tc>
          <w:tcPr>
            <w:tcW w:w="375" w:type="pct"/>
            <w:tcBorders>
              <w:top w:val="dashed" w:sz="4" w:space="0" w:color="auto"/>
              <w:left w:val="single" w:sz="4" w:space="0" w:color="auto"/>
              <w:bottom w:val="dashed" w:sz="4" w:space="0" w:color="auto"/>
              <w:right w:val="single" w:sz="4" w:space="0" w:color="auto"/>
            </w:tcBorders>
          </w:tcPr>
          <w:p w:rsidR="00E33CA6" w:rsidRDefault="008F2AA0" w:rsidP="0079094E">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FKTK, LB</w:t>
            </w:r>
          </w:p>
        </w:tc>
        <w:tc>
          <w:tcPr>
            <w:tcW w:w="1285" w:type="pct"/>
            <w:gridSpan w:val="3"/>
            <w:tcBorders>
              <w:top w:val="dashed" w:sz="4" w:space="0" w:color="auto"/>
              <w:left w:val="single" w:sz="4" w:space="0" w:color="auto"/>
              <w:bottom w:val="dashed" w:sz="4" w:space="0" w:color="auto"/>
              <w:right w:val="single" w:sz="4" w:space="0" w:color="auto"/>
            </w:tcBorders>
          </w:tcPr>
          <w:p w:rsidR="00E33CA6" w:rsidRDefault="00711900" w:rsidP="0045217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Veikt visas no pasākuma izrietošās tiešās darbības</w:t>
            </w:r>
            <w:r w:rsidR="0039067A">
              <w:rPr>
                <w:rFonts w:ascii="Times New Roman" w:hAnsi="Times New Roman"/>
                <w:color w:val="000000"/>
                <w:sz w:val="24"/>
                <w:szCs w:val="24"/>
              </w:rPr>
              <w:t>.</w:t>
            </w:r>
            <w:r w:rsidR="00335258">
              <w:rPr>
                <w:rStyle w:val="EndnoteReference"/>
                <w:rFonts w:ascii="Times New Roman" w:hAnsi="Times New Roman"/>
                <w:color w:val="000000"/>
                <w:sz w:val="24"/>
                <w:szCs w:val="24"/>
              </w:rPr>
              <w:endnoteReference w:id="1"/>
            </w:r>
          </w:p>
        </w:tc>
        <w:tc>
          <w:tcPr>
            <w:tcW w:w="666" w:type="pct"/>
            <w:tcBorders>
              <w:top w:val="dashed" w:sz="4" w:space="0" w:color="auto"/>
              <w:left w:val="single" w:sz="4" w:space="0" w:color="auto"/>
              <w:bottom w:val="dashed" w:sz="4" w:space="0" w:color="auto"/>
              <w:right w:val="single" w:sz="4" w:space="0" w:color="auto"/>
            </w:tcBorders>
          </w:tcPr>
          <w:p w:rsidR="00E33CA6" w:rsidRDefault="005B472B" w:rsidP="00B42439">
            <w:pPr>
              <w:pStyle w:val="CommentText"/>
              <w:spacing w:after="120" w:line="240" w:lineRule="auto"/>
              <w:jc w:val="both"/>
              <w:rPr>
                <w:rFonts w:ascii="Times New Roman" w:hAnsi="Times New Roman"/>
              </w:rPr>
            </w:pPr>
            <w:r w:rsidRPr="005B472B">
              <w:rPr>
                <w:rFonts w:ascii="Times New Roman" w:hAnsi="Times New Roman"/>
              </w:rPr>
              <w:t>FM, FKTK un LB budžeta ietvaros.</w:t>
            </w:r>
          </w:p>
        </w:tc>
      </w:tr>
      <w:tr w:rsidR="00E33CA6" w:rsidTr="00B42439">
        <w:tc>
          <w:tcPr>
            <w:tcW w:w="2014" w:type="pct"/>
            <w:tcBorders>
              <w:top w:val="dashed" w:sz="4" w:space="0" w:color="auto"/>
              <w:left w:val="single" w:sz="4" w:space="0" w:color="auto"/>
              <w:bottom w:val="dashed" w:sz="4" w:space="0" w:color="auto"/>
              <w:right w:val="single" w:sz="4" w:space="0" w:color="auto"/>
            </w:tcBorders>
          </w:tcPr>
          <w:p w:rsidR="00E33CA6" w:rsidRDefault="0035791F"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E33CA6">
              <w:rPr>
                <w:rFonts w:ascii="Times New Roman" w:hAnsi="Times New Roman"/>
                <w:bCs/>
                <w:color w:val="000000"/>
                <w:sz w:val="24"/>
                <w:szCs w:val="24"/>
              </w:rPr>
              <w:t xml:space="preserve">(3) </w:t>
            </w:r>
            <w:r w:rsidR="00E33CA6" w:rsidRPr="00E33CA6">
              <w:rPr>
                <w:rFonts w:ascii="Times New Roman" w:hAnsi="Times New Roman"/>
                <w:bCs/>
                <w:color w:val="000000"/>
                <w:sz w:val="24"/>
                <w:szCs w:val="24"/>
              </w:rPr>
              <w:t>Veikt grozījumus atbilstīgajos normatīvajos aktos (t.sk., Likumā par FKTK</w:t>
            </w:r>
            <w:r w:rsidR="00E6282F">
              <w:rPr>
                <w:rFonts w:ascii="Times New Roman" w:hAnsi="Times New Roman"/>
                <w:bCs/>
                <w:color w:val="000000"/>
                <w:sz w:val="24"/>
                <w:szCs w:val="24"/>
              </w:rPr>
              <w:t xml:space="preserve"> un</w:t>
            </w:r>
            <w:r w:rsidR="00E33CA6" w:rsidRPr="00E33CA6">
              <w:rPr>
                <w:rFonts w:ascii="Times New Roman" w:hAnsi="Times New Roman"/>
                <w:bCs/>
                <w:color w:val="000000"/>
                <w:sz w:val="24"/>
                <w:szCs w:val="24"/>
              </w:rPr>
              <w:t xml:space="preserve"> Kredītiestāžu likumā) un saistītajos normatīvajos noteikumos, lai nodrošinātu Latvijas kā ES dalībvalsts saistību izpildi Vienotā uzraudzības mehānisma konte</w:t>
            </w:r>
            <w:r w:rsidR="0039067A">
              <w:rPr>
                <w:rFonts w:ascii="Times New Roman" w:hAnsi="Times New Roman"/>
                <w:bCs/>
                <w:color w:val="000000"/>
                <w:sz w:val="24"/>
                <w:szCs w:val="24"/>
              </w:rPr>
              <w:t>kstā ar pievienošanās EMS dienu.</w:t>
            </w:r>
          </w:p>
        </w:tc>
        <w:tc>
          <w:tcPr>
            <w:tcW w:w="660" w:type="pct"/>
            <w:gridSpan w:val="3"/>
            <w:tcBorders>
              <w:top w:val="dashed" w:sz="4" w:space="0" w:color="auto"/>
              <w:left w:val="single" w:sz="4" w:space="0" w:color="auto"/>
              <w:bottom w:val="dashed" w:sz="4" w:space="0" w:color="auto"/>
              <w:right w:val="single" w:sz="4" w:space="0" w:color="auto"/>
            </w:tcBorders>
          </w:tcPr>
          <w:p w:rsidR="00E33CA6" w:rsidRDefault="00E33CA6" w:rsidP="0079094E">
            <w:pPr>
              <w:spacing w:after="120" w:line="240" w:lineRule="auto"/>
              <w:jc w:val="both"/>
              <w:rPr>
                <w:rFonts w:ascii="Times New Roman" w:hAnsi="Times New Roman"/>
                <w:sz w:val="24"/>
                <w:szCs w:val="24"/>
              </w:rPr>
            </w:pPr>
            <w:r w:rsidRPr="00E33CA6">
              <w:rPr>
                <w:rFonts w:ascii="Times New Roman" w:hAnsi="Times New Roman"/>
                <w:sz w:val="24"/>
                <w:szCs w:val="24"/>
              </w:rPr>
              <w:t>04.11.2014.</w:t>
            </w:r>
          </w:p>
        </w:tc>
        <w:tc>
          <w:tcPr>
            <w:tcW w:w="375" w:type="pct"/>
            <w:tcBorders>
              <w:top w:val="dashed" w:sz="4" w:space="0" w:color="auto"/>
              <w:left w:val="single" w:sz="4" w:space="0" w:color="auto"/>
              <w:bottom w:val="dashed" w:sz="4" w:space="0" w:color="auto"/>
              <w:right w:val="single" w:sz="4" w:space="0" w:color="auto"/>
            </w:tcBorders>
          </w:tcPr>
          <w:p w:rsidR="00E33CA6" w:rsidRDefault="008F2AA0" w:rsidP="0079094E">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FM, FKTK, LB</w:t>
            </w:r>
          </w:p>
        </w:tc>
        <w:tc>
          <w:tcPr>
            <w:tcW w:w="1285" w:type="pct"/>
            <w:gridSpan w:val="3"/>
            <w:tcBorders>
              <w:top w:val="dashed" w:sz="4" w:space="0" w:color="auto"/>
              <w:left w:val="single" w:sz="4" w:space="0" w:color="auto"/>
              <w:bottom w:val="dashed" w:sz="4" w:space="0" w:color="auto"/>
              <w:right w:val="single" w:sz="4" w:space="0" w:color="auto"/>
            </w:tcBorders>
          </w:tcPr>
          <w:p w:rsidR="00E6282F" w:rsidRDefault="00452174" w:rsidP="0045217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3.1.</w:t>
            </w:r>
            <w:r w:rsidR="00E6282F">
              <w:rPr>
                <w:rFonts w:ascii="Times New Roman" w:hAnsi="Times New Roman"/>
                <w:color w:val="000000"/>
                <w:sz w:val="24"/>
                <w:szCs w:val="24"/>
              </w:rPr>
              <w:t>Noteiktā kārtībā izstrādāt un iesniegt grozījumus Kredītiestāžu likumā, kas paredz FKTK tiesības sniegt ierobežotas pieejamības informāciju ECB.</w:t>
            </w:r>
          </w:p>
          <w:p w:rsidR="00E33CA6" w:rsidRDefault="00E6282F" w:rsidP="0045217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3.2.</w:t>
            </w:r>
            <w:r w:rsidR="00E33CA6" w:rsidRPr="00E33CA6">
              <w:rPr>
                <w:rFonts w:ascii="Times New Roman" w:hAnsi="Times New Roman"/>
                <w:color w:val="000000"/>
                <w:sz w:val="24"/>
                <w:szCs w:val="24"/>
              </w:rPr>
              <w:t>Noteiktā kārtībā izstrādāt un iesniegt</w:t>
            </w:r>
            <w:r w:rsidR="0039067A">
              <w:rPr>
                <w:rFonts w:ascii="Times New Roman" w:hAnsi="Times New Roman"/>
                <w:color w:val="000000"/>
                <w:sz w:val="24"/>
                <w:szCs w:val="24"/>
              </w:rPr>
              <w:t xml:space="preserve"> MK</w:t>
            </w:r>
            <w:r w:rsidR="00E33CA6" w:rsidRPr="00E33CA6">
              <w:rPr>
                <w:rFonts w:ascii="Times New Roman" w:hAnsi="Times New Roman"/>
                <w:color w:val="000000"/>
                <w:sz w:val="24"/>
                <w:szCs w:val="24"/>
              </w:rPr>
              <w:t xml:space="preserve"> grozījumus atbilstīgajos normatīvajos aktos (t.sk., Likumā par FKTK, Kredītiestāžu likumā, Valsts pārvaldes iekārtas likumā) un saistītajos normatīvajos noteikumos, lai nodrošinātu Latvijas kā ES dalībvalsts saistību izpildi Vienotā uzraudzības mehānisma konte</w:t>
            </w:r>
            <w:r w:rsidR="00452174">
              <w:rPr>
                <w:rFonts w:ascii="Times New Roman" w:hAnsi="Times New Roman"/>
                <w:color w:val="000000"/>
                <w:sz w:val="24"/>
                <w:szCs w:val="24"/>
              </w:rPr>
              <w:t>kstā ar pievienošanās EMS dienu.</w:t>
            </w:r>
          </w:p>
        </w:tc>
        <w:tc>
          <w:tcPr>
            <w:tcW w:w="666" w:type="pct"/>
            <w:tcBorders>
              <w:top w:val="dashed" w:sz="4" w:space="0" w:color="auto"/>
              <w:left w:val="single" w:sz="4" w:space="0" w:color="auto"/>
              <w:bottom w:val="dashed" w:sz="4" w:space="0" w:color="auto"/>
              <w:right w:val="single" w:sz="4" w:space="0" w:color="auto"/>
            </w:tcBorders>
          </w:tcPr>
          <w:p w:rsidR="00E33CA6" w:rsidRDefault="00387738" w:rsidP="00B42439">
            <w:pPr>
              <w:pStyle w:val="CommentText"/>
              <w:spacing w:after="120" w:line="240" w:lineRule="auto"/>
              <w:jc w:val="both"/>
              <w:rPr>
                <w:rFonts w:ascii="Times New Roman" w:hAnsi="Times New Roman"/>
              </w:rPr>
            </w:pPr>
            <w:r w:rsidRPr="0098706F">
              <w:rPr>
                <w:rFonts w:ascii="Times New Roman" w:eastAsia="Times New Roman" w:hAnsi="Times New Roman"/>
                <w:color w:val="000000"/>
                <w:lang w:eastAsia="lv-LV"/>
              </w:rPr>
              <w:t xml:space="preserve">FM, </w:t>
            </w:r>
            <w:r>
              <w:rPr>
                <w:rFonts w:ascii="Times New Roman" w:eastAsia="Times New Roman" w:hAnsi="Times New Roman"/>
                <w:color w:val="000000"/>
                <w:lang w:eastAsia="lv-LV"/>
              </w:rPr>
              <w:t xml:space="preserve">FKTK </w:t>
            </w:r>
            <w:r w:rsidRPr="0098706F">
              <w:rPr>
                <w:rFonts w:ascii="Times New Roman" w:eastAsia="Times New Roman" w:hAnsi="Times New Roman"/>
                <w:color w:val="000000"/>
                <w:lang w:eastAsia="lv-LV"/>
              </w:rPr>
              <w:t>un LB budžeta ietvaros.</w:t>
            </w:r>
          </w:p>
        </w:tc>
      </w:tr>
      <w:tr w:rsidR="00745B16" w:rsidTr="00B42439">
        <w:tc>
          <w:tcPr>
            <w:tcW w:w="2014" w:type="pct"/>
            <w:tcBorders>
              <w:top w:val="single" w:sz="4" w:space="0" w:color="auto"/>
              <w:left w:val="single" w:sz="4" w:space="0" w:color="auto"/>
              <w:bottom w:val="dashed" w:sz="4" w:space="0" w:color="auto"/>
              <w:right w:val="single" w:sz="4" w:space="0" w:color="auto"/>
            </w:tcBorders>
          </w:tcPr>
          <w:p w:rsidR="008F2AA0" w:rsidRPr="008F2AA0" w:rsidRDefault="008F2AA0" w:rsidP="0079094E">
            <w:pPr>
              <w:spacing w:after="120" w:line="240" w:lineRule="auto"/>
              <w:jc w:val="both"/>
              <w:rPr>
                <w:rFonts w:ascii="Times New Roman" w:hAnsi="Times New Roman"/>
                <w:b/>
                <w:bCs/>
                <w:i/>
                <w:color w:val="000000"/>
                <w:sz w:val="24"/>
                <w:szCs w:val="24"/>
              </w:rPr>
            </w:pPr>
            <w:r w:rsidRPr="008F2AA0">
              <w:rPr>
                <w:rFonts w:ascii="Times New Roman" w:hAnsi="Times New Roman"/>
                <w:b/>
                <w:bCs/>
                <w:i/>
                <w:color w:val="000000"/>
                <w:sz w:val="24"/>
                <w:szCs w:val="24"/>
              </w:rPr>
              <w:t>Vienota noregulējuma mehānisma izveide</w:t>
            </w:r>
          </w:p>
          <w:p w:rsidR="00745B16" w:rsidRDefault="00745B16" w:rsidP="0079094E">
            <w:pPr>
              <w:spacing w:after="120" w:line="240" w:lineRule="auto"/>
              <w:jc w:val="both"/>
              <w:rPr>
                <w:rFonts w:ascii="Times New Roman" w:hAnsi="Times New Roman"/>
                <w:bCs/>
                <w:i/>
                <w:color w:val="000000"/>
                <w:sz w:val="24"/>
                <w:szCs w:val="24"/>
              </w:rPr>
            </w:pPr>
            <w:r w:rsidRPr="00745B16">
              <w:rPr>
                <w:rFonts w:ascii="Times New Roman" w:hAnsi="Times New Roman"/>
                <w:bCs/>
                <w:i/>
                <w:color w:val="000000"/>
                <w:sz w:val="24"/>
                <w:szCs w:val="24"/>
              </w:rPr>
              <w:t>Otrais solis Banku Savienības izveides procesā ir Vienota noregulējuma mehā</w:t>
            </w:r>
            <w:r w:rsidR="0039067A">
              <w:rPr>
                <w:rFonts w:ascii="Times New Roman" w:hAnsi="Times New Roman"/>
                <w:bCs/>
                <w:i/>
                <w:color w:val="000000"/>
                <w:sz w:val="24"/>
                <w:szCs w:val="24"/>
              </w:rPr>
              <w:t>nisma izveide, kas tiks balstīta</w:t>
            </w:r>
            <w:r w:rsidRPr="00745B16">
              <w:rPr>
                <w:rFonts w:ascii="Times New Roman" w:hAnsi="Times New Roman"/>
                <w:bCs/>
                <w:i/>
                <w:color w:val="000000"/>
                <w:sz w:val="24"/>
                <w:szCs w:val="24"/>
              </w:rPr>
              <w:t xml:space="preserve"> uz šobrīd starp ES Padomi un Eiropas Parlamentu apspriešanā esošu priekšlikumu Kredītiestāžu un ieguldījumu brokeru </w:t>
            </w:r>
            <w:r w:rsidRPr="00745B16">
              <w:rPr>
                <w:rFonts w:ascii="Times New Roman" w:hAnsi="Times New Roman"/>
                <w:bCs/>
                <w:i/>
                <w:color w:val="000000"/>
                <w:sz w:val="24"/>
                <w:szCs w:val="24"/>
              </w:rPr>
              <w:lastRenderedPageBreak/>
              <w:t>sabiedrību sanācijas un noregulējuma direktīva</w:t>
            </w:r>
            <w:r w:rsidR="0039067A">
              <w:rPr>
                <w:rFonts w:ascii="Times New Roman" w:hAnsi="Times New Roman"/>
                <w:bCs/>
                <w:i/>
                <w:color w:val="000000"/>
                <w:sz w:val="24"/>
                <w:szCs w:val="24"/>
              </w:rPr>
              <w:t>s</w:t>
            </w:r>
            <w:r w:rsidRPr="00745B16">
              <w:rPr>
                <w:rFonts w:ascii="Times New Roman" w:hAnsi="Times New Roman"/>
                <w:bCs/>
                <w:i/>
                <w:color w:val="000000"/>
                <w:sz w:val="24"/>
                <w:szCs w:val="24"/>
              </w:rPr>
              <w:t xml:space="preserve">  un Vienotā noregulējuma mehānisma regulas priekšlikum</w:t>
            </w:r>
            <w:r w:rsidR="0039067A">
              <w:rPr>
                <w:rFonts w:ascii="Times New Roman" w:hAnsi="Times New Roman"/>
                <w:bCs/>
                <w:i/>
                <w:color w:val="000000"/>
                <w:sz w:val="24"/>
                <w:szCs w:val="24"/>
              </w:rPr>
              <w:t>iem</w:t>
            </w:r>
            <w:r w:rsidRPr="00745B16">
              <w:rPr>
                <w:rFonts w:ascii="Times New Roman" w:hAnsi="Times New Roman"/>
                <w:bCs/>
                <w:i/>
                <w:color w:val="000000"/>
                <w:sz w:val="24"/>
                <w:szCs w:val="24"/>
              </w:rPr>
              <w:t>. Direktīvas projekts ir atbilde uz šķēršļiem un nepilnībām, ar kurām ES dalībvalstis saskārās nesenās finanšu krīzes laikā, plānojot un īstenojot kredītiestāžu grupu pārrobežu noregulējumu, un tās mērķis ir līdz minimumam samazināt slogu uz valsti un nodokļu maksātājiem par kred</w:t>
            </w:r>
            <w:r w:rsidR="00745AD9">
              <w:rPr>
                <w:rFonts w:ascii="Times New Roman" w:hAnsi="Times New Roman"/>
                <w:bCs/>
                <w:i/>
                <w:color w:val="000000"/>
                <w:sz w:val="24"/>
                <w:szCs w:val="24"/>
              </w:rPr>
              <w:t>ītiestāžu</w:t>
            </w:r>
            <w:r w:rsidRPr="00745B16">
              <w:rPr>
                <w:rFonts w:ascii="Times New Roman" w:hAnsi="Times New Roman"/>
                <w:bCs/>
                <w:i/>
                <w:color w:val="000000"/>
                <w:sz w:val="24"/>
                <w:szCs w:val="24"/>
              </w:rPr>
              <w:t xml:space="preserve"> stabilitāti un nākotnes krīžu noregulējumu. Vienotais noregulējuma mehānisms (turpmāk – SRM ) ietver vienotu noteikumu kopumu par banku noregulējumu, kas izklāstīts priekšlikumā par Eiropas Parlamenta un Padomes direktīvu, ar ko izveido kredītiestāžu un ieguldījumu sabiedrību sanācijas un noregulējuma režīmu  (turpmāk – BRR  Direktīva), attiecībā uz </w:t>
            </w:r>
            <w:r w:rsidR="00DA793D">
              <w:rPr>
                <w:rFonts w:ascii="Times New Roman" w:hAnsi="Times New Roman"/>
                <w:bCs/>
                <w:i/>
                <w:color w:val="000000"/>
                <w:sz w:val="24"/>
                <w:szCs w:val="24"/>
              </w:rPr>
              <w:t>problemātiskām</w:t>
            </w:r>
            <w:r w:rsidRPr="00745B16">
              <w:rPr>
                <w:rFonts w:ascii="Times New Roman" w:hAnsi="Times New Roman"/>
                <w:bCs/>
                <w:i/>
                <w:color w:val="000000"/>
                <w:sz w:val="24"/>
                <w:szCs w:val="24"/>
              </w:rPr>
              <w:t xml:space="preserve"> bankām SRM iesaistītajās dalībvalstīs. SRM veidos vienoti noteikumi un procedūras, kuras piemēros Vienotā noregulējuma valde (turpmāk – Valde) kopā ar EK un iesaistīto dalībvalstu noregulējuma iestādēm. </w:t>
            </w:r>
            <w:r w:rsidR="00DA793D">
              <w:rPr>
                <w:rFonts w:ascii="Times New Roman" w:hAnsi="Times New Roman"/>
                <w:bCs/>
                <w:i/>
                <w:color w:val="000000"/>
                <w:sz w:val="24"/>
                <w:szCs w:val="24"/>
              </w:rPr>
              <w:t>SRM valde noregulējuma procesa finansēšanai izmantos</w:t>
            </w:r>
            <w:r w:rsidR="00D5529A">
              <w:rPr>
                <w:rFonts w:ascii="Times New Roman" w:hAnsi="Times New Roman"/>
                <w:bCs/>
                <w:i/>
                <w:color w:val="000000"/>
                <w:sz w:val="24"/>
                <w:szCs w:val="24"/>
              </w:rPr>
              <w:t xml:space="preserve"> V</w:t>
            </w:r>
            <w:r w:rsidR="00DA793D">
              <w:rPr>
                <w:rFonts w:ascii="Times New Roman" w:hAnsi="Times New Roman"/>
                <w:bCs/>
                <w:i/>
                <w:color w:val="000000"/>
                <w:sz w:val="24"/>
                <w:szCs w:val="24"/>
              </w:rPr>
              <w:t xml:space="preserve">ienotā </w:t>
            </w:r>
            <w:r w:rsidR="00D5529A">
              <w:rPr>
                <w:rFonts w:ascii="Times New Roman" w:hAnsi="Times New Roman"/>
                <w:bCs/>
                <w:i/>
                <w:color w:val="000000"/>
                <w:sz w:val="24"/>
                <w:szCs w:val="24"/>
              </w:rPr>
              <w:t xml:space="preserve">noregulējuma </w:t>
            </w:r>
            <w:r w:rsidR="00DA793D">
              <w:rPr>
                <w:rFonts w:ascii="Times New Roman" w:hAnsi="Times New Roman"/>
                <w:bCs/>
                <w:i/>
                <w:color w:val="000000"/>
                <w:sz w:val="24"/>
                <w:szCs w:val="24"/>
              </w:rPr>
              <w:t xml:space="preserve">fonda līdzekļus. </w:t>
            </w:r>
            <w:r w:rsidRPr="00745B16">
              <w:rPr>
                <w:rFonts w:ascii="Times New Roman" w:hAnsi="Times New Roman"/>
                <w:bCs/>
                <w:i/>
                <w:color w:val="000000"/>
                <w:sz w:val="24"/>
                <w:szCs w:val="24"/>
              </w:rPr>
              <w:t>Vienotais</w:t>
            </w:r>
            <w:r w:rsidR="00D5529A">
              <w:rPr>
                <w:rFonts w:ascii="Times New Roman" w:hAnsi="Times New Roman"/>
                <w:bCs/>
                <w:i/>
                <w:color w:val="000000"/>
                <w:sz w:val="24"/>
                <w:szCs w:val="24"/>
              </w:rPr>
              <w:t xml:space="preserve"> noregulējuma </w:t>
            </w:r>
            <w:r w:rsidRPr="00745B16">
              <w:rPr>
                <w:rFonts w:ascii="Times New Roman" w:hAnsi="Times New Roman"/>
                <w:bCs/>
                <w:i/>
                <w:color w:val="000000"/>
                <w:sz w:val="24"/>
                <w:szCs w:val="24"/>
              </w:rPr>
              <w:t xml:space="preserve"> fonds apvienos līdzekļus no banku </w:t>
            </w:r>
            <w:r w:rsidR="00DA793D">
              <w:rPr>
                <w:rFonts w:ascii="Times New Roman" w:hAnsi="Times New Roman"/>
                <w:bCs/>
                <w:i/>
                <w:color w:val="000000"/>
                <w:sz w:val="24"/>
                <w:szCs w:val="24"/>
              </w:rPr>
              <w:t xml:space="preserve">un ieguldījumu brokeru sabiedrību nozares </w:t>
            </w:r>
            <w:r w:rsidRPr="00745B16">
              <w:rPr>
                <w:rFonts w:ascii="Times New Roman" w:hAnsi="Times New Roman"/>
                <w:bCs/>
                <w:i/>
                <w:color w:val="000000"/>
                <w:sz w:val="24"/>
                <w:szCs w:val="24"/>
              </w:rPr>
              <w:t>visās iesaistītajās dalībvalstīs, tiks balstīts uz lielāku iemaksu bāzi nekā tas būtu atsevišķi nacionālo</w:t>
            </w:r>
            <w:r w:rsidR="00D5529A">
              <w:rPr>
                <w:rFonts w:ascii="Times New Roman" w:hAnsi="Times New Roman"/>
                <w:bCs/>
                <w:i/>
                <w:color w:val="000000"/>
                <w:sz w:val="24"/>
                <w:szCs w:val="24"/>
              </w:rPr>
              <w:t xml:space="preserve"> noregulējuma</w:t>
            </w:r>
            <w:r w:rsidRPr="00745B16">
              <w:rPr>
                <w:rFonts w:ascii="Times New Roman" w:hAnsi="Times New Roman"/>
                <w:bCs/>
                <w:i/>
                <w:color w:val="000000"/>
                <w:sz w:val="24"/>
                <w:szCs w:val="24"/>
              </w:rPr>
              <w:t xml:space="preserve"> fondu gadījumā un līdz ar to tam būs labāka reputācija, ļaujot Valdei vajadzības gadījumā vairāk un ar mazākām izmaksām aizņemties tirgū. Labākas iespējas iegūt ārēju finansējumu tirgū samazinās Vienotā</w:t>
            </w:r>
            <w:r w:rsidR="00D5529A">
              <w:rPr>
                <w:rFonts w:ascii="Times New Roman" w:hAnsi="Times New Roman"/>
                <w:bCs/>
                <w:i/>
                <w:color w:val="000000"/>
                <w:sz w:val="24"/>
                <w:szCs w:val="24"/>
              </w:rPr>
              <w:t xml:space="preserve"> noregulējuma</w:t>
            </w:r>
            <w:r w:rsidRPr="00745B16">
              <w:rPr>
                <w:rFonts w:ascii="Times New Roman" w:hAnsi="Times New Roman"/>
                <w:bCs/>
                <w:i/>
                <w:color w:val="000000"/>
                <w:sz w:val="24"/>
                <w:szCs w:val="24"/>
              </w:rPr>
              <w:t xml:space="preserve"> fonda nepieciešamību paļauties uz valsts finansēm ārkārtas zaudējumu gadījumos, kas palīdzētu likvidēt saikni starp valstīm un bankām, un aizsargāt nodokļu maksātājus no noregulējuma izmaksām.</w:t>
            </w:r>
          </w:p>
          <w:p w:rsidR="00D5529A" w:rsidRPr="00745B16" w:rsidRDefault="00D5529A" w:rsidP="0039067A">
            <w:pPr>
              <w:spacing w:before="120" w:after="0" w:line="240" w:lineRule="auto"/>
              <w:jc w:val="both"/>
              <w:rPr>
                <w:rFonts w:ascii="Times New Roman" w:hAnsi="Times New Roman"/>
                <w:bCs/>
                <w:i/>
                <w:color w:val="000000"/>
                <w:sz w:val="24"/>
                <w:szCs w:val="24"/>
              </w:rPr>
            </w:pPr>
            <w:r w:rsidRPr="00D5529A">
              <w:rPr>
                <w:rFonts w:ascii="Times New Roman" w:hAnsi="Times New Roman"/>
                <w:bCs/>
                <w:i/>
                <w:color w:val="000000"/>
                <w:sz w:val="24"/>
                <w:szCs w:val="24"/>
              </w:rPr>
              <w:t xml:space="preserve">Ievērojot, ka Latvija bija viena no valstīm, kas ieguldīja būtiskus līdzekļus atsevišķu kredītiestāžu un visas finanšu </w:t>
            </w:r>
            <w:r w:rsidRPr="00D5529A">
              <w:rPr>
                <w:rFonts w:ascii="Times New Roman" w:hAnsi="Times New Roman"/>
                <w:bCs/>
                <w:i/>
                <w:color w:val="000000"/>
                <w:sz w:val="24"/>
                <w:szCs w:val="24"/>
              </w:rPr>
              <w:lastRenderedPageBreak/>
              <w:t>sistēmas stabilizēšanā, šī inovatīvā regulējuma BRRD un Vienotā noregulējuma mehānisma regulas apstiprināšana un piemērošana, un attiecīgo normatīvo aktu izstrāde būtiski veicinātu Latvijas finanšu sistēmas stabilitātes ilgtspēju un pastiprinātu kredītiestāžu sektora, īpašnieku un kreditoru atbildību.</w:t>
            </w:r>
          </w:p>
        </w:tc>
        <w:tc>
          <w:tcPr>
            <w:tcW w:w="660" w:type="pct"/>
            <w:gridSpan w:val="3"/>
            <w:tcBorders>
              <w:top w:val="single" w:sz="4" w:space="0" w:color="auto"/>
              <w:left w:val="single" w:sz="4" w:space="0" w:color="auto"/>
              <w:bottom w:val="dashed" w:sz="4" w:space="0" w:color="auto"/>
              <w:right w:val="single" w:sz="4" w:space="0" w:color="auto"/>
            </w:tcBorders>
          </w:tcPr>
          <w:p w:rsidR="00745B16" w:rsidRDefault="00745B16" w:rsidP="006427A2">
            <w:pPr>
              <w:spacing w:before="120" w:after="0" w:line="240" w:lineRule="auto"/>
              <w:jc w:val="both"/>
              <w:rPr>
                <w:rFonts w:ascii="Times New Roman" w:hAnsi="Times New Roman"/>
                <w:sz w:val="24"/>
                <w:szCs w:val="24"/>
              </w:rPr>
            </w:pPr>
          </w:p>
        </w:tc>
        <w:tc>
          <w:tcPr>
            <w:tcW w:w="375" w:type="pct"/>
            <w:tcBorders>
              <w:top w:val="single" w:sz="4" w:space="0" w:color="auto"/>
              <w:left w:val="single" w:sz="4" w:space="0" w:color="auto"/>
              <w:bottom w:val="dashed" w:sz="4" w:space="0" w:color="auto"/>
              <w:right w:val="single" w:sz="4" w:space="0" w:color="auto"/>
            </w:tcBorders>
          </w:tcPr>
          <w:p w:rsidR="00745B16" w:rsidRDefault="00745B16" w:rsidP="00924F33">
            <w:pPr>
              <w:spacing w:before="120" w:after="0" w:line="240" w:lineRule="auto"/>
              <w:rPr>
                <w:rFonts w:ascii="Times New Roman" w:hAnsi="Times New Roman"/>
                <w:color w:val="000000"/>
                <w:sz w:val="24"/>
                <w:szCs w:val="24"/>
              </w:rPr>
            </w:pPr>
          </w:p>
        </w:tc>
        <w:tc>
          <w:tcPr>
            <w:tcW w:w="1285" w:type="pct"/>
            <w:gridSpan w:val="3"/>
            <w:tcBorders>
              <w:top w:val="single" w:sz="4" w:space="0" w:color="auto"/>
              <w:left w:val="single" w:sz="4" w:space="0" w:color="auto"/>
              <w:bottom w:val="dashed" w:sz="4" w:space="0" w:color="auto"/>
              <w:right w:val="single" w:sz="4" w:space="0" w:color="auto"/>
            </w:tcBorders>
          </w:tcPr>
          <w:p w:rsidR="00745B16" w:rsidRDefault="00745B16" w:rsidP="00452174">
            <w:pPr>
              <w:spacing w:after="120" w:line="240" w:lineRule="auto"/>
              <w:jc w:val="both"/>
              <w:rPr>
                <w:rFonts w:ascii="Times New Roman" w:hAnsi="Times New Roman"/>
                <w:color w:val="000000"/>
                <w:sz w:val="24"/>
                <w:szCs w:val="24"/>
              </w:rPr>
            </w:pPr>
          </w:p>
        </w:tc>
        <w:tc>
          <w:tcPr>
            <w:tcW w:w="666" w:type="pct"/>
            <w:tcBorders>
              <w:top w:val="single" w:sz="4" w:space="0" w:color="auto"/>
              <w:left w:val="single" w:sz="4" w:space="0" w:color="auto"/>
              <w:bottom w:val="dashed" w:sz="4" w:space="0" w:color="auto"/>
              <w:right w:val="single" w:sz="4" w:space="0" w:color="auto"/>
            </w:tcBorders>
          </w:tcPr>
          <w:p w:rsidR="00745B16" w:rsidRDefault="00745B16" w:rsidP="006427A2">
            <w:pPr>
              <w:pStyle w:val="CommentText"/>
              <w:spacing w:before="120" w:after="0" w:line="240" w:lineRule="auto"/>
              <w:jc w:val="both"/>
              <w:rPr>
                <w:rFonts w:ascii="Times New Roman" w:hAnsi="Times New Roman"/>
              </w:rPr>
            </w:pPr>
          </w:p>
        </w:tc>
      </w:tr>
      <w:tr w:rsidR="00745B16" w:rsidTr="00B42439">
        <w:tc>
          <w:tcPr>
            <w:tcW w:w="2014" w:type="pct"/>
            <w:tcBorders>
              <w:top w:val="dashed" w:sz="4" w:space="0" w:color="auto"/>
              <w:left w:val="single" w:sz="4" w:space="0" w:color="auto"/>
              <w:bottom w:val="dashed" w:sz="4" w:space="0" w:color="auto"/>
              <w:right w:val="single" w:sz="4" w:space="0" w:color="auto"/>
            </w:tcBorders>
          </w:tcPr>
          <w:p w:rsidR="00745B16" w:rsidRPr="00745B16" w:rsidRDefault="00745B16"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lastRenderedPageBreak/>
              <w:t>Rīcībai:</w:t>
            </w:r>
          </w:p>
          <w:p w:rsidR="00745B16" w:rsidRDefault="00745B16"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t>(</w:t>
            </w:r>
            <w:r w:rsidR="003F72F1">
              <w:rPr>
                <w:rFonts w:ascii="Times New Roman" w:hAnsi="Times New Roman"/>
                <w:bCs/>
                <w:color w:val="000000"/>
                <w:sz w:val="24"/>
                <w:szCs w:val="24"/>
              </w:rPr>
              <w:t>4</w:t>
            </w:r>
            <w:r w:rsidRPr="00745B16">
              <w:rPr>
                <w:rFonts w:ascii="Times New Roman" w:hAnsi="Times New Roman"/>
                <w:bCs/>
                <w:color w:val="000000"/>
                <w:sz w:val="24"/>
                <w:szCs w:val="24"/>
              </w:rPr>
              <w:t xml:space="preserve">) Pēc Kredītiestāžu un ieguldījumu brokeru sabiedrību sanācijas un noregulējuma direktīvas priekšlikuma (BRRD) apstiprināšanas izstrādāt grozījumus esošajos normatīvajos aktos (t.sk., Kredītiestāžu likumā), un izstrādāt </w:t>
            </w:r>
            <w:r w:rsidR="0061131A">
              <w:rPr>
                <w:rFonts w:ascii="Times New Roman" w:hAnsi="Times New Roman"/>
                <w:bCs/>
                <w:color w:val="000000"/>
                <w:sz w:val="24"/>
                <w:szCs w:val="24"/>
              </w:rPr>
              <w:t>grozījumus normatīvajos aktos saistībā ar jauno</w:t>
            </w:r>
            <w:r w:rsidRPr="00745B16">
              <w:rPr>
                <w:rFonts w:ascii="Times New Roman" w:hAnsi="Times New Roman"/>
                <w:bCs/>
                <w:color w:val="000000"/>
                <w:sz w:val="24"/>
                <w:szCs w:val="24"/>
              </w:rPr>
              <w:t xml:space="preserve"> Vienotā noregulējuma mehānisma ietvaru, t.sk. paredzot banku noregulēšanas (restrukturizācijas) atbalstam veikt iemaksas Vienotā noregulējuma fondā no visu attiecīgo dalībvalstī reģistrēto banku iemaksām.</w:t>
            </w:r>
          </w:p>
        </w:tc>
        <w:tc>
          <w:tcPr>
            <w:tcW w:w="660" w:type="pct"/>
            <w:gridSpan w:val="3"/>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sz w:val="24"/>
                <w:szCs w:val="24"/>
              </w:rPr>
            </w:pPr>
            <w:r w:rsidRPr="00745B16">
              <w:rPr>
                <w:rFonts w:ascii="Times New Roman" w:hAnsi="Times New Roman"/>
                <w:sz w:val="24"/>
                <w:szCs w:val="24"/>
              </w:rPr>
              <w:t>01.01.2015.</w:t>
            </w:r>
          </w:p>
        </w:tc>
        <w:tc>
          <w:tcPr>
            <w:tcW w:w="375" w:type="pct"/>
            <w:tcBorders>
              <w:top w:val="dashed" w:sz="4" w:space="0" w:color="auto"/>
              <w:left w:val="single" w:sz="4" w:space="0" w:color="auto"/>
              <w:bottom w:val="dashed" w:sz="4" w:space="0" w:color="auto"/>
              <w:right w:val="single" w:sz="4" w:space="0" w:color="auto"/>
            </w:tcBorders>
          </w:tcPr>
          <w:p w:rsidR="00745B16" w:rsidRDefault="008F2AA0" w:rsidP="0079094E">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FM, FKTK, LB</w:t>
            </w:r>
          </w:p>
        </w:tc>
        <w:tc>
          <w:tcPr>
            <w:tcW w:w="1285" w:type="pct"/>
            <w:gridSpan w:val="3"/>
            <w:tcBorders>
              <w:top w:val="dashed" w:sz="4" w:space="0" w:color="auto"/>
              <w:left w:val="single" w:sz="4" w:space="0" w:color="auto"/>
              <w:bottom w:val="dashed" w:sz="4" w:space="0" w:color="auto"/>
              <w:right w:val="single" w:sz="4" w:space="0" w:color="auto"/>
            </w:tcBorders>
          </w:tcPr>
          <w:p w:rsidR="00745B16" w:rsidRDefault="00670BA7" w:rsidP="0045217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I</w:t>
            </w:r>
            <w:r w:rsidR="00745B16" w:rsidRPr="00745B16">
              <w:rPr>
                <w:rFonts w:ascii="Times New Roman" w:hAnsi="Times New Roman"/>
                <w:color w:val="000000"/>
                <w:sz w:val="24"/>
                <w:szCs w:val="24"/>
              </w:rPr>
              <w:t>zstrādāt un iesniegt grozījumus</w:t>
            </w:r>
            <w:r w:rsidR="00D5529A">
              <w:rPr>
                <w:rFonts w:ascii="Times New Roman" w:hAnsi="Times New Roman"/>
                <w:color w:val="000000"/>
                <w:sz w:val="24"/>
                <w:szCs w:val="24"/>
              </w:rPr>
              <w:t xml:space="preserve"> MK</w:t>
            </w:r>
            <w:r w:rsidR="00745B16" w:rsidRPr="00745B16">
              <w:rPr>
                <w:rFonts w:ascii="Times New Roman" w:hAnsi="Times New Roman"/>
                <w:color w:val="000000"/>
                <w:sz w:val="24"/>
                <w:szCs w:val="24"/>
              </w:rPr>
              <w:t xml:space="preserve"> atbilstīgajos normatīvajos aktos (t.sk., Kredītiestāžu likumā, Likumā par FKTK un Noguldījumu garantiju likumā) saistībā ar jauno ES ietvaru banku krīžu vadības jautājumos.</w:t>
            </w:r>
          </w:p>
        </w:tc>
        <w:tc>
          <w:tcPr>
            <w:tcW w:w="666" w:type="pct"/>
            <w:tcBorders>
              <w:top w:val="dashed" w:sz="4" w:space="0" w:color="auto"/>
              <w:left w:val="single" w:sz="4" w:space="0" w:color="auto"/>
              <w:bottom w:val="dashed" w:sz="4" w:space="0" w:color="auto"/>
              <w:right w:val="single" w:sz="4" w:space="0" w:color="auto"/>
            </w:tcBorders>
          </w:tcPr>
          <w:p w:rsidR="00745B16" w:rsidRDefault="00387738" w:rsidP="006427A2">
            <w:pPr>
              <w:pStyle w:val="CommentText"/>
              <w:spacing w:before="120" w:after="0" w:line="240" w:lineRule="auto"/>
              <w:jc w:val="both"/>
              <w:rPr>
                <w:rFonts w:ascii="Times New Roman" w:hAnsi="Times New Roman"/>
              </w:rPr>
            </w:pPr>
            <w:r w:rsidRPr="0098706F">
              <w:rPr>
                <w:rFonts w:ascii="Times New Roman" w:eastAsia="Times New Roman" w:hAnsi="Times New Roman"/>
                <w:color w:val="000000"/>
                <w:lang w:eastAsia="lv-LV"/>
              </w:rPr>
              <w:t xml:space="preserve">FM, </w:t>
            </w:r>
            <w:r>
              <w:rPr>
                <w:rFonts w:ascii="Times New Roman" w:eastAsia="Times New Roman" w:hAnsi="Times New Roman"/>
                <w:color w:val="000000"/>
                <w:lang w:eastAsia="lv-LV"/>
              </w:rPr>
              <w:t xml:space="preserve">FKTK </w:t>
            </w:r>
            <w:r w:rsidRPr="0098706F">
              <w:rPr>
                <w:rFonts w:ascii="Times New Roman" w:eastAsia="Times New Roman" w:hAnsi="Times New Roman"/>
                <w:color w:val="000000"/>
                <w:lang w:eastAsia="lv-LV"/>
              </w:rPr>
              <w:t>un LB budžeta ietvaros.</w:t>
            </w:r>
          </w:p>
        </w:tc>
      </w:tr>
      <w:tr w:rsidR="00745B16" w:rsidTr="00B42439">
        <w:tc>
          <w:tcPr>
            <w:tcW w:w="2014" w:type="pct"/>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t>(</w:t>
            </w:r>
            <w:r w:rsidR="003F72F1">
              <w:rPr>
                <w:rFonts w:ascii="Times New Roman" w:hAnsi="Times New Roman"/>
                <w:bCs/>
                <w:color w:val="000000"/>
                <w:sz w:val="24"/>
                <w:szCs w:val="24"/>
              </w:rPr>
              <w:t>5</w:t>
            </w:r>
            <w:r w:rsidRPr="00745B16">
              <w:rPr>
                <w:rFonts w:ascii="Times New Roman" w:hAnsi="Times New Roman"/>
                <w:bCs/>
                <w:color w:val="000000"/>
                <w:sz w:val="24"/>
                <w:szCs w:val="24"/>
              </w:rPr>
              <w:t xml:space="preserve">) Veikt grozījumus normatīvajos aktos, lai </w:t>
            </w:r>
            <w:r w:rsidR="00135E15">
              <w:rPr>
                <w:rFonts w:ascii="Times New Roman" w:hAnsi="Times New Roman"/>
                <w:bCs/>
                <w:color w:val="000000"/>
                <w:sz w:val="24"/>
                <w:szCs w:val="24"/>
              </w:rPr>
              <w:t>pilnveidotu regulējumu</w:t>
            </w:r>
            <w:r w:rsidRPr="00745B16">
              <w:rPr>
                <w:rFonts w:ascii="Times New Roman" w:hAnsi="Times New Roman"/>
                <w:bCs/>
                <w:color w:val="000000"/>
                <w:sz w:val="24"/>
                <w:szCs w:val="24"/>
              </w:rPr>
              <w:t xml:space="preserve"> par kredītiestāžu un ieguldījumu brokeru sabiedrību noregulējumu atbildīgo iestādi Latvijā, kā arī nostiprinātu vai precizētu par noregulējumu atbildīgās iestādes un kompetentās uzraudzības iestādes funkcijas, pilnvaras un pienākumus </w:t>
            </w:r>
            <w:r w:rsidR="00D5529A">
              <w:rPr>
                <w:rFonts w:ascii="Times New Roman" w:hAnsi="Times New Roman"/>
                <w:bCs/>
                <w:color w:val="000000"/>
                <w:sz w:val="24"/>
                <w:szCs w:val="24"/>
              </w:rPr>
              <w:t xml:space="preserve">BRRD </w:t>
            </w:r>
            <w:r w:rsidR="00135E15" w:rsidRPr="00135E15">
              <w:rPr>
                <w:rFonts w:ascii="Times New Roman" w:hAnsi="Times New Roman"/>
                <w:bCs/>
                <w:color w:val="000000"/>
                <w:sz w:val="24"/>
                <w:szCs w:val="24"/>
              </w:rPr>
              <w:t xml:space="preserve">un Vienotā noregulējuma mehānisma regulas </w:t>
            </w:r>
            <w:r w:rsidRPr="00745B16">
              <w:rPr>
                <w:rFonts w:ascii="Times New Roman" w:hAnsi="Times New Roman"/>
                <w:bCs/>
                <w:color w:val="000000"/>
                <w:sz w:val="24"/>
                <w:szCs w:val="24"/>
              </w:rPr>
              <w:t>noteiktajam.</w:t>
            </w:r>
          </w:p>
        </w:tc>
        <w:tc>
          <w:tcPr>
            <w:tcW w:w="660" w:type="pct"/>
            <w:gridSpan w:val="3"/>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sz w:val="24"/>
                <w:szCs w:val="24"/>
              </w:rPr>
            </w:pPr>
            <w:r w:rsidRPr="00745B16">
              <w:rPr>
                <w:rFonts w:ascii="Times New Roman" w:hAnsi="Times New Roman"/>
                <w:sz w:val="24"/>
                <w:szCs w:val="24"/>
              </w:rPr>
              <w:t>01.01.2015.</w:t>
            </w:r>
          </w:p>
        </w:tc>
        <w:tc>
          <w:tcPr>
            <w:tcW w:w="375" w:type="pct"/>
            <w:tcBorders>
              <w:top w:val="dashed" w:sz="4" w:space="0" w:color="auto"/>
              <w:left w:val="single" w:sz="4" w:space="0" w:color="auto"/>
              <w:bottom w:val="dashed" w:sz="4" w:space="0" w:color="auto"/>
              <w:right w:val="single" w:sz="4" w:space="0" w:color="auto"/>
            </w:tcBorders>
          </w:tcPr>
          <w:p w:rsidR="00745B16" w:rsidRDefault="008F2AA0" w:rsidP="00F07FE1">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 xml:space="preserve">FM, FKTK </w:t>
            </w:r>
          </w:p>
        </w:tc>
        <w:tc>
          <w:tcPr>
            <w:tcW w:w="1285" w:type="pct"/>
            <w:gridSpan w:val="3"/>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color w:val="000000"/>
                <w:sz w:val="24"/>
                <w:szCs w:val="24"/>
              </w:rPr>
            </w:pPr>
            <w:r w:rsidRPr="00745B16">
              <w:rPr>
                <w:rFonts w:ascii="Times New Roman" w:hAnsi="Times New Roman"/>
                <w:color w:val="000000"/>
                <w:sz w:val="24"/>
                <w:szCs w:val="24"/>
              </w:rPr>
              <w:t>Noteiktā kārtībā izstrādāt un iesniegt</w:t>
            </w:r>
            <w:r w:rsidR="00D5529A">
              <w:rPr>
                <w:rFonts w:ascii="Times New Roman" w:hAnsi="Times New Roman"/>
                <w:color w:val="000000"/>
                <w:sz w:val="24"/>
                <w:szCs w:val="24"/>
              </w:rPr>
              <w:t xml:space="preserve"> MK</w:t>
            </w:r>
            <w:r w:rsidR="00135E15">
              <w:rPr>
                <w:rFonts w:ascii="Times New Roman" w:hAnsi="Times New Roman"/>
                <w:color w:val="000000"/>
                <w:sz w:val="24"/>
                <w:szCs w:val="24"/>
              </w:rPr>
              <w:t xml:space="preserve"> grozījumus</w:t>
            </w:r>
            <w:r w:rsidRPr="00745B16">
              <w:rPr>
                <w:rFonts w:ascii="Times New Roman" w:hAnsi="Times New Roman"/>
                <w:color w:val="000000"/>
                <w:sz w:val="24"/>
                <w:szCs w:val="24"/>
              </w:rPr>
              <w:t xml:space="preserve"> atbilstīgajos normatīvajos aktos, lai</w:t>
            </w:r>
            <w:r w:rsidR="00135E15">
              <w:rPr>
                <w:rFonts w:ascii="Times New Roman" w:hAnsi="Times New Roman"/>
                <w:color w:val="000000"/>
                <w:sz w:val="24"/>
                <w:szCs w:val="24"/>
              </w:rPr>
              <w:t xml:space="preserve"> pilnveidotu regulējumu par</w:t>
            </w:r>
            <w:r w:rsidRPr="00745B16">
              <w:rPr>
                <w:rFonts w:ascii="Times New Roman" w:hAnsi="Times New Roman"/>
                <w:color w:val="000000"/>
                <w:sz w:val="24"/>
                <w:szCs w:val="24"/>
              </w:rPr>
              <w:t xml:space="preserve"> FKTK kā par kredītiestāžu un noteiktu ieguldījumu sabiedrību noregulējumu atbildīgo iestādi Latvijā un Finanšu ministriju kā kompetento ministriju BRRD izpratnē, kā arī nostiprinātu vai precizētu par noregulējumu atbildīgās iestādes, kompetentās uzraudzības iestādes un kompetentās ministrijas funkcijas, pilnvaras un pienākumus </w:t>
            </w:r>
            <w:r w:rsidR="00D5529A">
              <w:rPr>
                <w:rFonts w:ascii="Times New Roman" w:hAnsi="Times New Roman"/>
                <w:color w:val="000000"/>
                <w:sz w:val="24"/>
                <w:szCs w:val="24"/>
              </w:rPr>
              <w:t xml:space="preserve">BRRD </w:t>
            </w:r>
            <w:r w:rsidR="00135E15" w:rsidRPr="00135E15">
              <w:rPr>
                <w:rFonts w:ascii="Times New Roman" w:hAnsi="Times New Roman"/>
                <w:color w:val="000000"/>
                <w:sz w:val="24"/>
                <w:szCs w:val="24"/>
              </w:rPr>
              <w:t xml:space="preserve">un Vienotā noregulējuma mehānisma regulas </w:t>
            </w:r>
            <w:r w:rsidRPr="00745B16">
              <w:rPr>
                <w:rFonts w:ascii="Times New Roman" w:hAnsi="Times New Roman"/>
                <w:color w:val="000000"/>
                <w:sz w:val="24"/>
                <w:szCs w:val="24"/>
              </w:rPr>
              <w:t>noteiktajam.</w:t>
            </w:r>
          </w:p>
        </w:tc>
        <w:tc>
          <w:tcPr>
            <w:tcW w:w="666" w:type="pct"/>
            <w:tcBorders>
              <w:top w:val="dashed" w:sz="4" w:space="0" w:color="auto"/>
              <w:left w:val="single" w:sz="4" w:space="0" w:color="auto"/>
              <w:bottom w:val="dashed" w:sz="4" w:space="0" w:color="auto"/>
              <w:right w:val="single" w:sz="4" w:space="0" w:color="auto"/>
            </w:tcBorders>
          </w:tcPr>
          <w:p w:rsidR="00745B16" w:rsidRDefault="00387738" w:rsidP="00A46B5F">
            <w:pPr>
              <w:pStyle w:val="CommentText"/>
              <w:spacing w:before="120" w:after="0" w:line="240" w:lineRule="auto"/>
              <w:jc w:val="both"/>
              <w:rPr>
                <w:rFonts w:ascii="Times New Roman" w:hAnsi="Times New Roman"/>
              </w:rPr>
            </w:pPr>
            <w:r w:rsidRPr="0098706F">
              <w:rPr>
                <w:rFonts w:ascii="Times New Roman" w:eastAsia="Times New Roman" w:hAnsi="Times New Roman"/>
                <w:color w:val="000000"/>
                <w:lang w:eastAsia="lv-LV"/>
              </w:rPr>
              <w:t>FM</w:t>
            </w:r>
            <w:r w:rsidR="00A46B5F">
              <w:rPr>
                <w:rFonts w:ascii="Times New Roman" w:eastAsia="Times New Roman" w:hAnsi="Times New Roman"/>
                <w:color w:val="000000"/>
                <w:lang w:eastAsia="lv-LV"/>
              </w:rPr>
              <w:t xml:space="preserve"> un</w:t>
            </w:r>
            <w:r w:rsidRPr="0098706F">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 xml:space="preserve">FKTK </w:t>
            </w:r>
            <w:r w:rsidRPr="0098706F">
              <w:rPr>
                <w:rFonts w:ascii="Times New Roman" w:eastAsia="Times New Roman" w:hAnsi="Times New Roman"/>
                <w:color w:val="000000"/>
                <w:lang w:eastAsia="lv-LV"/>
              </w:rPr>
              <w:t>budžeta ietvaros.</w:t>
            </w:r>
          </w:p>
        </w:tc>
      </w:tr>
      <w:tr w:rsidR="00745B16" w:rsidTr="00B42439">
        <w:tc>
          <w:tcPr>
            <w:tcW w:w="2014" w:type="pct"/>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t>(</w:t>
            </w:r>
            <w:r w:rsidR="003F72F1">
              <w:rPr>
                <w:rFonts w:ascii="Times New Roman" w:hAnsi="Times New Roman"/>
                <w:bCs/>
                <w:color w:val="000000"/>
                <w:sz w:val="24"/>
                <w:szCs w:val="24"/>
              </w:rPr>
              <w:t>6</w:t>
            </w:r>
            <w:r w:rsidRPr="00745B16">
              <w:rPr>
                <w:rFonts w:ascii="Times New Roman" w:hAnsi="Times New Roman"/>
                <w:bCs/>
                <w:color w:val="000000"/>
                <w:sz w:val="24"/>
                <w:szCs w:val="24"/>
              </w:rPr>
              <w:t xml:space="preserve">) Veikt nepieciešamos pielāgojumus normatīvajos aktos, </w:t>
            </w:r>
            <w:r w:rsidRPr="00745B16">
              <w:rPr>
                <w:rFonts w:ascii="Times New Roman" w:hAnsi="Times New Roman"/>
                <w:bCs/>
                <w:color w:val="000000"/>
                <w:sz w:val="24"/>
                <w:szCs w:val="24"/>
              </w:rPr>
              <w:lastRenderedPageBreak/>
              <w:t xml:space="preserve">lai nodrošinātu tiesisko pamatu un piemērošanas procedūras iekšējā rekapitalizācijas instrumenta </w:t>
            </w:r>
            <w:r w:rsidR="00DA793D">
              <w:rPr>
                <w:rFonts w:ascii="Times New Roman" w:hAnsi="Times New Roman"/>
                <w:bCs/>
                <w:color w:val="000000"/>
                <w:sz w:val="24"/>
                <w:szCs w:val="24"/>
              </w:rPr>
              <w:t>/</w:t>
            </w:r>
            <w:r w:rsidR="00DA793D" w:rsidRPr="00D5529A">
              <w:rPr>
                <w:rFonts w:ascii="Times New Roman" w:hAnsi="Times New Roman"/>
                <w:bCs/>
                <w:i/>
                <w:color w:val="000000"/>
                <w:sz w:val="24"/>
                <w:szCs w:val="24"/>
              </w:rPr>
              <w:t>bail-in</w:t>
            </w:r>
            <w:r w:rsidRPr="00745B16">
              <w:rPr>
                <w:rFonts w:ascii="Times New Roman" w:hAnsi="Times New Roman"/>
                <w:bCs/>
                <w:color w:val="000000"/>
                <w:sz w:val="24"/>
                <w:szCs w:val="24"/>
              </w:rPr>
              <w:t xml:space="preserve"> efektīvai darbībai, kas paredz parādsaistību norakstīšanu un konvertāciju.</w:t>
            </w:r>
          </w:p>
        </w:tc>
        <w:tc>
          <w:tcPr>
            <w:tcW w:w="660" w:type="pct"/>
            <w:gridSpan w:val="3"/>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sz w:val="24"/>
                <w:szCs w:val="24"/>
              </w:rPr>
            </w:pPr>
            <w:r w:rsidRPr="00745B16">
              <w:rPr>
                <w:rFonts w:ascii="Times New Roman" w:hAnsi="Times New Roman"/>
                <w:sz w:val="24"/>
                <w:szCs w:val="24"/>
              </w:rPr>
              <w:lastRenderedPageBreak/>
              <w:t>01.01.2015.</w:t>
            </w:r>
          </w:p>
        </w:tc>
        <w:tc>
          <w:tcPr>
            <w:tcW w:w="375" w:type="pct"/>
            <w:tcBorders>
              <w:top w:val="dashed" w:sz="4" w:space="0" w:color="auto"/>
              <w:left w:val="single" w:sz="4" w:space="0" w:color="auto"/>
              <w:bottom w:val="dashed" w:sz="4" w:space="0" w:color="auto"/>
              <w:right w:val="single" w:sz="4" w:space="0" w:color="auto"/>
            </w:tcBorders>
          </w:tcPr>
          <w:p w:rsidR="00745B16" w:rsidRDefault="008F2AA0" w:rsidP="00F07FE1">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 xml:space="preserve">FM, </w:t>
            </w:r>
            <w:r w:rsidRPr="008F2AA0">
              <w:rPr>
                <w:rFonts w:ascii="Times New Roman" w:hAnsi="Times New Roman"/>
                <w:color w:val="000000"/>
                <w:sz w:val="24"/>
                <w:szCs w:val="24"/>
              </w:rPr>
              <w:lastRenderedPageBreak/>
              <w:t xml:space="preserve">FKTK </w:t>
            </w:r>
          </w:p>
        </w:tc>
        <w:tc>
          <w:tcPr>
            <w:tcW w:w="1285" w:type="pct"/>
            <w:gridSpan w:val="3"/>
            <w:tcBorders>
              <w:top w:val="dashed" w:sz="4" w:space="0" w:color="auto"/>
              <w:left w:val="single" w:sz="4" w:space="0" w:color="auto"/>
              <w:bottom w:val="dashed" w:sz="4" w:space="0" w:color="auto"/>
              <w:right w:val="single" w:sz="4" w:space="0" w:color="auto"/>
            </w:tcBorders>
          </w:tcPr>
          <w:p w:rsidR="00745B16" w:rsidRDefault="00745B16" w:rsidP="0079094E">
            <w:pPr>
              <w:spacing w:after="120" w:line="240" w:lineRule="auto"/>
              <w:jc w:val="both"/>
              <w:rPr>
                <w:rFonts w:ascii="Times New Roman" w:hAnsi="Times New Roman"/>
                <w:color w:val="000000"/>
                <w:sz w:val="24"/>
                <w:szCs w:val="24"/>
              </w:rPr>
            </w:pPr>
            <w:r w:rsidRPr="00745B16">
              <w:rPr>
                <w:rFonts w:ascii="Times New Roman" w:hAnsi="Times New Roman"/>
                <w:color w:val="000000"/>
                <w:sz w:val="24"/>
                <w:szCs w:val="24"/>
              </w:rPr>
              <w:lastRenderedPageBreak/>
              <w:t>Noteiktā kārtībā izstrādāt un iesniegt</w:t>
            </w:r>
            <w:r w:rsidR="00D5529A">
              <w:rPr>
                <w:rFonts w:ascii="Times New Roman" w:hAnsi="Times New Roman"/>
                <w:color w:val="000000"/>
                <w:sz w:val="24"/>
                <w:szCs w:val="24"/>
              </w:rPr>
              <w:t xml:space="preserve"> </w:t>
            </w:r>
            <w:r w:rsidR="00D5529A">
              <w:rPr>
                <w:rFonts w:ascii="Times New Roman" w:hAnsi="Times New Roman"/>
                <w:color w:val="000000"/>
                <w:sz w:val="24"/>
                <w:szCs w:val="24"/>
              </w:rPr>
              <w:lastRenderedPageBreak/>
              <w:t>MK</w:t>
            </w:r>
            <w:r w:rsidRPr="00745B16">
              <w:rPr>
                <w:rFonts w:ascii="Times New Roman" w:hAnsi="Times New Roman"/>
                <w:color w:val="000000"/>
                <w:sz w:val="24"/>
                <w:szCs w:val="24"/>
              </w:rPr>
              <w:t xml:space="preserve"> grozījumus atbilstīgajos normatīvajos aktos, lai nodrošinātu tiesisko pamatu un piemērošanas procedūras </w:t>
            </w:r>
            <w:r w:rsidR="00135E15">
              <w:rPr>
                <w:rFonts w:ascii="Times New Roman" w:hAnsi="Times New Roman"/>
                <w:color w:val="000000"/>
                <w:sz w:val="24"/>
                <w:szCs w:val="24"/>
              </w:rPr>
              <w:t>iekšējās rekapitalizācijas instrumentam /</w:t>
            </w:r>
            <w:r w:rsidRPr="00D5529A">
              <w:rPr>
                <w:rFonts w:ascii="Times New Roman" w:hAnsi="Times New Roman"/>
                <w:i/>
                <w:color w:val="000000"/>
                <w:sz w:val="24"/>
                <w:szCs w:val="24"/>
              </w:rPr>
              <w:t>bail-in</w:t>
            </w:r>
            <w:r w:rsidRPr="00745B16">
              <w:rPr>
                <w:rFonts w:ascii="Times New Roman" w:hAnsi="Times New Roman"/>
                <w:color w:val="000000"/>
                <w:sz w:val="24"/>
                <w:szCs w:val="24"/>
              </w:rPr>
              <w:t>.</w:t>
            </w:r>
          </w:p>
        </w:tc>
        <w:tc>
          <w:tcPr>
            <w:tcW w:w="666" w:type="pct"/>
            <w:tcBorders>
              <w:top w:val="dashed" w:sz="4" w:space="0" w:color="auto"/>
              <w:left w:val="single" w:sz="4" w:space="0" w:color="auto"/>
              <w:bottom w:val="dashed" w:sz="4" w:space="0" w:color="auto"/>
              <w:right w:val="single" w:sz="4" w:space="0" w:color="auto"/>
            </w:tcBorders>
          </w:tcPr>
          <w:p w:rsidR="00745B16" w:rsidRDefault="00A46B5F" w:rsidP="00A46B5F">
            <w:pPr>
              <w:pStyle w:val="CommentText"/>
              <w:spacing w:before="120" w:after="0" w:line="240" w:lineRule="auto"/>
              <w:jc w:val="both"/>
              <w:rPr>
                <w:rFonts w:ascii="Times New Roman" w:hAnsi="Times New Roman"/>
              </w:rPr>
            </w:pPr>
            <w:r>
              <w:rPr>
                <w:rFonts w:ascii="Times New Roman" w:eastAsia="Times New Roman" w:hAnsi="Times New Roman"/>
                <w:color w:val="000000"/>
                <w:lang w:eastAsia="lv-LV"/>
              </w:rPr>
              <w:lastRenderedPageBreak/>
              <w:t>FM un</w:t>
            </w:r>
            <w:r w:rsidR="00387738" w:rsidRPr="0098706F">
              <w:rPr>
                <w:rFonts w:ascii="Times New Roman" w:eastAsia="Times New Roman" w:hAnsi="Times New Roman"/>
                <w:color w:val="000000"/>
                <w:lang w:eastAsia="lv-LV"/>
              </w:rPr>
              <w:t xml:space="preserve"> </w:t>
            </w:r>
            <w:r w:rsidR="00387738">
              <w:rPr>
                <w:rFonts w:ascii="Times New Roman" w:eastAsia="Times New Roman" w:hAnsi="Times New Roman"/>
                <w:color w:val="000000"/>
                <w:lang w:eastAsia="lv-LV"/>
              </w:rPr>
              <w:t xml:space="preserve">FKTK </w:t>
            </w:r>
            <w:r w:rsidR="00387738" w:rsidRPr="0098706F">
              <w:rPr>
                <w:rFonts w:ascii="Times New Roman" w:eastAsia="Times New Roman" w:hAnsi="Times New Roman"/>
                <w:color w:val="000000"/>
                <w:lang w:eastAsia="lv-LV"/>
              </w:rPr>
              <w:lastRenderedPageBreak/>
              <w:t>budžeta ietvaros.</w:t>
            </w:r>
          </w:p>
        </w:tc>
      </w:tr>
      <w:tr w:rsidR="00745B16" w:rsidTr="00B42439">
        <w:tc>
          <w:tcPr>
            <w:tcW w:w="2014" w:type="pct"/>
            <w:tcBorders>
              <w:top w:val="dashed" w:sz="4" w:space="0" w:color="auto"/>
              <w:left w:val="single" w:sz="4" w:space="0" w:color="auto"/>
              <w:bottom w:val="dashed" w:sz="4" w:space="0" w:color="auto"/>
              <w:right w:val="single" w:sz="4" w:space="0" w:color="auto"/>
            </w:tcBorders>
          </w:tcPr>
          <w:p w:rsidR="00745B16" w:rsidRDefault="009C3782" w:rsidP="0079094E">
            <w:pPr>
              <w:spacing w:after="120" w:line="240" w:lineRule="auto"/>
              <w:jc w:val="both"/>
              <w:rPr>
                <w:rFonts w:ascii="Times New Roman" w:hAnsi="Times New Roman"/>
                <w:bCs/>
                <w:color w:val="000000"/>
                <w:sz w:val="24"/>
                <w:szCs w:val="24"/>
              </w:rPr>
            </w:pPr>
            <w:r w:rsidRPr="009C3782">
              <w:rPr>
                <w:rFonts w:ascii="Times New Roman" w:hAnsi="Times New Roman"/>
                <w:bCs/>
                <w:color w:val="000000"/>
                <w:sz w:val="24"/>
                <w:szCs w:val="24"/>
              </w:rPr>
              <w:lastRenderedPageBreak/>
              <w:t>(</w:t>
            </w:r>
            <w:r w:rsidR="003F72F1">
              <w:rPr>
                <w:rFonts w:ascii="Times New Roman" w:hAnsi="Times New Roman"/>
                <w:bCs/>
                <w:color w:val="000000"/>
                <w:sz w:val="24"/>
                <w:szCs w:val="24"/>
              </w:rPr>
              <w:t>7</w:t>
            </w:r>
            <w:r w:rsidRPr="009C3782">
              <w:rPr>
                <w:rFonts w:ascii="Times New Roman" w:hAnsi="Times New Roman"/>
                <w:bCs/>
                <w:color w:val="000000"/>
                <w:sz w:val="24"/>
                <w:szCs w:val="24"/>
              </w:rPr>
              <w:t>)</w:t>
            </w:r>
            <w:r w:rsidR="00DA793D">
              <w:rPr>
                <w:rFonts w:ascii="Times New Roman" w:hAnsi="Times New Roman"/>
                <w:bCs/>
                <w:color w:val="000000"/>
                <w:sz w:val="24"/>
                <w:szCs w:val="24"/>
              </w:rPr>
              <w:t xml:space="preserve"> </w:t>
            </w:r>
            <w:r w:rsidRPr="009C3782">
              <w:rPr>
                <w:rFonts w:ascii="Times New Roman" w:hAnsi="Times New Roman"/>
                <w:bCs/>
                <w:color w:val="000000"/>
                <w:sz w:val="24"/>
                <w:szCs w:val="24"/>
              </w:rPr>
              <w:t xml:space="preserve">Lai stiprinātu sabiedrības un noguldītāju uzticību finanšu sistēmai, specifiski kredītiestāžu sektoram, kā arī kompetento iestāžu rīcībspējai noguldītāju interešu aizstāvībā un paļāvību uz to, ka nepieciešamības gadījumā un bez kavēšanās </w:t>
            </w:r>
            <w:r w:rsidR="00AA01E5">
              <w:rPr>
                <w:rFonts w:ascii="Times New Roman" w:hAnsi="Times New Roman"/>
                <w:bCs/>
                <w:color w:val="000000"/>
                <w:sz w:val="24"/>
                <w:szCs w:val="24"/>
              </w:rPr>
              <w:t>Noguldījumu garantiju fonds (turpmāk –</w:t>
            </w:r>
            <w:r w:rsidRPr="009C3782">
              <w:rPr>
                <w:rFonts w:ascii="Times New Roman" w:hAnsi="Times New Roman"/>
                <w:bCs/>
                <w:color w:val="000000"/>
                <w:sz w:val="24"/>
                <w:szCs w:val="24"/>
              </w:rPr>
              <w:t>NGF</w:t>
            </w:r>
            <w:r w:rsidR="00AA01E5">
              <w:rPr>
                <w:rFonts w:ascii="Times New Roman" w:hAnsi="Times New Roman"/>
                <w:bCs/>
                <w:color w:val="000000"/>
                <w:sz w:val="24"/>
                <w:szCs w:val="24"/>
              </w:rPr>
              <w:t>)</w:t>
            </w:r>
            <w:r w:rsidRPr="009C3782">
              <w:rPr>
                <w:rFonts w:ascii="Times New Roman" w:hAnsi="Times New Roman"/>
                <w:bCs/>
                <w:color w:val="000000"/>
                <w:sz w:val="24"/>
                <w:szCs w:val="24"/>
              </w:rPr>
              <w:t xml:space="preserve"> būs pietiekams līdzekļu apjoms garantētās summas izmaksai, veikt grozījumus normatīvajos aktos, paredzot noregulējumā NGF stāšanos apdrošināto noguldītāju kā kredītiestādes kreditoru vietā (tiesību un saistību pārņemšana), ja nepieciešama kreditoru līdzekļu izmantošana/ prasījuma tiesību dzēšana kredītiestādes stabilizācijai (</w:t>
            </w:r>
            <w:r w:rsidRPr="00D5529A">
              <w:rPr>
                <w:rFonts w:ascii="Times New Roman" w:hAnsi="Times New Roman"/>
                <w:bCs/>
                <w:i/>
                <w:color w:val="000000"/>
                <w:sz w:val="24"/>
                <w:szCs w:val="24"/>
              </w:rPr>
              <w:t>bail-in</w:t>
            </w:r>
            <w:r w:rsidRPr="009C3782">
              <w:rPr>
                <w:rFonts w:ascii="Times New Roman" w:hAnsi="Times New Roman"/>
                <w:bCs/>
                <w:color w:val="000000"/>
                <w:sz w:val="24"/>
                <w:szCs w:val="24"/>
              </w:rPr>
              <w:t xml:space="preserve"> instruments) pirms iespējama tās restrukturizācija. Paredzēt, ka gan </w:t>
            </w:r>
            <w:r w:rsidR="00135E15">
              <w:rPr>
                <w:rFonts w:ascii="Times New Roman" w:hAnsi="Times New Roman"/>
                <w:bCs/>
                <w:color w:val="000000"/>
                <w:sz w:val="24"/>
                <w:szCs w:val="24"/>
              </w:rPr>
              <w:t>parastā</w:t>
            </w:r>
            <w:r w:rsidRPr="009C3782">
              <w:rPr>
                <w:rFonts w:ascii="Times New Roman" w:hAnsi="Times New Roman"/>
                <w:bCs/>
                <w:color w:val="000000"/>
                <w:sz w:val="24"/>
                <w:szCs w:val="24"/>
              </w:rPr>
              <w:t xml:space="preserve"> maksātnespējas procesā, gan noregulējumā BRRD noteiktiem noguldījumiem un NGF ir prioritāra kreditora kārta.  </w:t>
            </w:r>
          </w:p>
        </w:tc>
        <w:tc>
          <w:tcPr>
            <w:tcW w:w="660" w:type="pct"/>
            <w:gridSpan w:val="3"/>
            <w:tcBorders>
              <w:top w:val="dashed" w:sz="4" w:space="0" w:color="auto"/>
              <w:left w:val="single" w:sz="4" w:space="0" w:color="auto"/>
              <w:bottom w:val="dashed" w:sz="4" w:space="0" w:color="auto"/>
              <w:right w:val="single" w:sz="4" w:space="0" w:color="auto"/>
            </w:tcBorders>
          </w:tcPr>
          <w:p w:rsidR="00745B16" w:rsidRDefault="009C3782" w:rsidP="0079094E">
            <w:pPr>
              <w:spacing w:after="120" w:line="240" w:lineRule="auto"/>
              <w:jc w:val="both"/>
              <w:rPr>
                <w:rFonts w:ascii="Times New Roman" w:hAnsi="Times New Roman"/>
                <w:sz w:val="24"/>
                <w:szCs w:val="24"/>
              </w:rPr>
            </w:pPr>
            <w:r w:rsidRPr="009C3782">
              <w:rPr>
                <w:rFonts w:ascii="Times New Roman" w:hAnsi="Times New Roman"/>
                <w:sz w:val="24"/>
                <w:szCs w:val="24"/>
              </w:rPr>
              <w:t>01.01.2015.</w:t>
            </w:r>
          </w:p>
        </w:tc>
        <w:tc>
          <w:tcPr>
            <w:tcW w:w="375" w:type="pct"/>
            <w:tcBorders>
              <w:top w:val="dashed" w:sz="4" w:space="0" w:color="auto"/>
              <w:left w:val="single" w:sz="4" w:space="0" w:color="auto"/>
              <w:bottom w:val="dashed" w:sz="4" w:space="0" w:color="auto"/>
              <w:right w:val="single" w:sz="4" w:space="0" w:color="auto"/>
            </w:tcBorders>
          </w:tcPr>
          <w:p w:rsidR="00745B16" w:rsidRDefault="008F2AA0" w:rsidP="00F07FE1">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FM, FKTK</w:t>
            </w:r>
          </w:p>
        </w:tc>
        <w:tc>
          <w:tcPr>
            <w:tcW w:w="1285" w:type="pct"/>
            <w:gridSpan w:val="3"/>
            <w:tcBorders>
              <w:top w:val="dashed" w:sz="4" w:space="0" w:color="auto"/>
              <w:left w:val="single" w:sz="4" w:space="0" w:color="auto"/>
              <w:bottom w:val="dashed" w:sz="4" w:space="0" w:color="auto"/>
              <w:right w:val="single" w:sz="4" w:space="0" w:color="auto"/>
            </w:tcBorders>
          </w:tcPr>
          <w:p w:rsidR="00745B16" w:rsidRDefault="009C3782" w:rsidP="0079094E">
            <w:pPr>
              <w:spacing w:after="120" w:line="240" w:lineRule="auto"/>
              <w:jc w:val="both"/>
              <w:rPr>
                <w:rFonts w:ascii="Times New Roman" w:hAnsi="Times New Roman"/>
                <w:color w:val="000000"/>
                <w:sz w:val="24"/>
                <w:szCs w:val="24"/>
              </w:rPr>
            </w:pPr>
            <w:r w:rsidRPr="009C3782">
              <w:rPr>
                <w:rFonts w:ascii="Times New Roman" w:hAnsi="Times New Roman"/>
                <w:color w:val="000000"/>
                <w:sz w:val="24"/>
                <w:szCs w:val="24"/>
              </w:rPr>
              <w:t xml:space="preserve">Noteiktā kārtībā izstrādāt un iesniegt </w:t>
            </w:r>
            <w:r w:rsidR="00D5529A">
              <w:rPr>
                <w:rFonts w:ascii="Times New Roman" w:hAnsi="Times New Roman"/>
                <w:color w:val="000000"/>
                <w:sz w:val="24"/>
                <w:szCs w:val="24"/>
              </w:rPr>
              <w:t xml:space="preserve">MK </w:t>
            </w:r>
            <w:r w:rsidRPr="009C3782">
              <w:rPr>
                <w:rFonts w:ascii="Times New Roman" w:hAnsi="Times New Roman"/>
                <w:color w:val="000000"/>
                <w:sz w:val="24"/>
                <w:szCs w:val="24"/>
              </w:rPr>
              <w:t xml:space="preserve">grozījumus atbilstīgajos normatīvajos aktos, paredzot NGF stāšanos apdrošināto noguldītāju kā kredītiestādes kreditoru vietā (tiesību un saistību pārņemšana), ja nepieciešama kreditoru līdzekļu izmantošana/ prasījuma tiesību dzēšana kredītiestādes noregulējumam. Paredzēt, ka gan </w:t>
            </w:r>
            <w:r w:rsidR="00135E15">
              <w:rPr>
                <w:rFonts w:ascii="Times New Roman" w:hAnsi="Times New Roman"/>
                <w:color w:val="000000"/>
                <w:sz w:val="24"/>
                <w:szCs w:val="24"/>
              </w:rPr>
              <w:t>parastā</w:t>
            </w:r>
            <w:r w:rsidRPr="009C3782">
              <w:rPr>
                <w:rFonts w:ascii="Times New Roman" w:hAnsi="Times New Roman"/>
                <w:color w:val="000000"/>
                <w:sz w:val="24"/>
                <w:szCs w:val="24"/>
              </w:rPr>
              <w:t xml:space="preserve"> maksātnespējas procesā, gan noregulējumā BRRD noteiktajiem noguldījumiem un NGF ir prioritāra kreditora kārta.  </w:t>
            </w:r>
          </w:p>
        </w:tc>
        <w:tc>
          <w:tcPr>
            <w:tcW w:w="666" w:type="pct"/>
            <w:tcBorders>
              <w:top w:val="dashed" w:sz="4" w:space="0" w:color="auto"/>
              <w:left w:val="single" w:sz="4" w:space="0" w:color="auto"/>
              <w:bottom w:val="dashed" w:sz="4" w:space="0" w:color="auto"/>
              <w:right w:val="single" w:sz="4" w:space="0" w:color="auto"/>
            </w:tcBorders>
          </w:tcPr>
          <w:p w:rsidR="00745B16" w:rsidRDefault="00387738" w:rsidP="00A46B5F">
            <w:pPr>
              <w:pStyle w:val="CommentText"/>
              <w:spacing w:before="120" w:after="0" w:line="240" w:lineRule="auto"/>
              <w:jc w:val="both"/>
              <w:rPr>
                <w:rFonts w:ascii="Times New Roman" w:hAnsi="Times New Roman"/>
              </w:rPr>
            </w:pPr>
            <w:r w:rsidRPr="0098706F">
              <w:rPr>
                <w:rFonts w:ascii="Times New Roman" w:eastAsia="Times New Roman" w:hAnsi="Times New Roman"/>
                <w:color w:val="000000"/>
                <w:lang w:eastAsia="lv-LV"/>
              </w:rPr>
              <w:t>FM</w:t>
            </w:r>
            <w:r>
              <w:rPr>
                <w:rFonts w:ascii="Times New Roman" w:eastAsia="Times New Roman" w:hAnsi="Times New Roman"/>
                <w:color w:val="000000"/>
                <w:lang w:eastAsia="lv-LV"/>
              </w:rPr>
              <w:t xml:space="preserve"> </w:t>
            </w:r>
            <w:r w:rsidRPr="0098706F">
              <w:rPr>
                <w:rFonts w:ascii="Times New Roman" w:eastAsia="Times New Roman" w:hAnsi="Times New Roman"/>
                <w:color w:val="000000"/>
                <w:lang w:eastAsia="lv-LV"/>
              </w:rPr>
              <w:t>un LB budžeta ietvaros.</w:t>
            </w:r>
          </w:p>
        </w:tc>
      </w:tr>
      <w:tr w:rsidR="009C3782" w:rsidTr="00B42439">
        <w:tc>
          <w:tcPr>
            <w:tcW w:w="2014" w:type="pct"/>
            <w:tcBorders>
              <w:top w:val="dashed" w:sz="4" w:space="0" w:color="auto"/>
              <w:left w:val="single" w:sz="4" w:space="0" w:color="auto"/>
              <w:bottom w:val="dashed" w:sz="4" w:space="0" w:color="auto"/>
              <w:right w:val="single" w:sz="4" w:space="0" w:color="auto"/>
            </w:tcBorders>
          </w:tcPr>
          <w:p w:rsidR="000E6CAD" w:rsidRPr="000E6CAD" w:rsidRDefault="000E6CAD" w:rsidP="0079094E">
            <w:pPr>
              <w:spacing w:after="120" w:line="240" w:lineRule="auto"/>
              <w:jc w:val="both"/>
              <w:rPr>
                <w:rFonts w:ascii="Times New Roman" w:hAnsi="Times New Roman"/>
                <w:b/>
                <w:bCs/>
                <w:i/>
                <w:color w:val="000000"/>
                <w:sz w:val="24"/>
                <w:szCs w:val="24"/>
              </w:rPr>
            </w:pPr>
            <w:r w:rsidRPr="000E6CAD">
              <w:rPr>
                <w:rFonts w:ascii="Times New Roman" w:hAnsi="Times New Roman"/>
                <w:b/>
                <w:bCs/>
                <w:i/>
                <w:color w:val="000000"/>
                <w:sz w:val="24"/>
                <w:szCs w:val="24"/>
              </w:rPr>
              <w:t>Makroprudenciālās uzraudzības stiprināšana</w:t>
            </w:r>
          </w:p>
          <w:p w:rsidR="000E6CAD" w:rsidRPr="000E6CAD" w:rsidRDefault="000E6CAD" w:rsidP="0079094E">
            <w:pPr>
              <w:spacing w:after="120" w:line="240" w:lineRule="auto"/>
              <w:jc w:val="both"/>
              <w:rPr>
                <w:rFonts w:ascii="Times New Roman" w:hAnsi="Times New Roman"/>
                <w:bCs/>
                <w:i/>
                <w:color w:val="000000"/>
                <w:sz w:val="24"/>
                <w:szCs w:val="24"/>
              </w:rPr>
            </w:pPr>
            <w:r w:rsidRPr="000E6CAD">
              <w:rPr>
                <w:rFonts w:ascii="Times New Roman" w:hAnsi="Times New Roman"/>
                <w:bCs/>
                <w:i/>
                <w:color w:val="000000"/>
                <w:sz w:val="24"/>
                <w:szCs w:val="24"/>
              </w:rPr>
              <w:t>Nozīmīgs solis uz priekšu iekšzemes politikas stiprināšanai ir makrouzraudzības institucionālā regulējuma izveide saskaņā ar Eiropas sistēmisko risku kolēģijas (ESRK) ieteikumu. Šim nolūkam Latvijas valsts institūcijas ir pilnībā apņēmušās aktīvi izmantot jaunizveidoto regulējumu, lai</w:t>
            </w:r>
            <w:r w:rsidR="00F07FE1">
              <w:rPr>
                <w:rFonts w:ascii="Times New Roman" w:hAnsi="Times New Roman"/>
                <w:bCs/>
                <w:i/>
                <w:color w:val="000000"/>
                <w:sz w:val="24"/>
                <w:szCs w:val="24"/>
              </w:rPr>
              <w:t xml:space="preserve"> veicinātu valsts finanšu sistēmas stabilitāti kopumā</w:t>
            </w:r>
            <w:r w:rsidRPr="000E6CAD">
              <w:rPr>
                <w:rFonts w:ascii="Times New Roman" w:hAnsi="Times New Roman"/>
                <w:bCs/>
                <w:i/>
                <w:color w:val="000000"/>
                <w:sz w:val="24"/>
                <w:szCs w:val="24"/>
              </w:rPr>
              <w:t xml:space="preserve">. Tas, cita starpā, ietvers arī visaptverošu analīzi, lai neatliekami identificētu  </w:t>
            </w:r>
            <w:r w:rsidR="00F07FE1">
              <w:rPr>
                <w:rFonts w:ascii="Times New Roman" w:hAnsi="Times New Roman"/>
                <w:bCs/>
                <w:i/>
                <w:color w:val="000000"/>
                <w:sz w:val="24"/>
                <w:szCs w:val="24"/>
              </w:rPr>
              <w:t>sistēmisku risku veidošanos</w:t>
            </w:r>
            <w:r w:rsidRPr="000E6CAD">
              <w:rPr>
                <w:rFonts w:ascii="Times New Roman" w:hAnsi="Times New Roman"/>
                <w:bCs/>
                <w:i/>
                <w:color w:val="000000"/>
                <w:sz w:val="24"/>
                <w:szCs w:val="24"/>
              </w:rPr>
              <w:t xml:space="preserve">, kas varētu apdraudēt </w:t>
            </w:r>
            <w:r w:rsidR="00F07FE1">
              <w:rPr>
                <w:rFonts w:ascii="Times New Roman" w:hAnsi="Times New Roman"/>
                <w:bCs/>
                <w:i/>
                <w:color w:val="000000"/>
                <w:sz w:val="24"/>
                <w:szCs w:val="24"/>
              </w:rPr>
              <w:t>finanšu sistēmas</w:t>
            </w:r>
            <w:r w:rsidR="00F07FE1" w:rsidRPr="000E6CAD">
              <w:rPr>
                <w:rFonts w:ascii="Times New Roman" w:hAnsi="Times New Roman"/>
                <w:bCs/>
                <w:i/>
                <w:color w:val="000000"/>
                <w:sz w:val="24"/>
                <w:szCs w:val="24"/>
              </w:rPr>
              <w:t xml:space="preserve"> </w:t>
            </w:r>
            <w:r w:rsidRPr="000E6CAD">
              <w:rPr>
                <w:rFonts w:ascii="Times New Roman" w:hAnsi="Times New Roman"/>
                <w:bCs/>
                <w:i/>
                <w:color w:val="000000"/>
                <w:sz w:val="24"/>
                <w:szCs w:val="24"/>
              </w:rPr>
              <w:t>stabilitāti. Šim mērķim kompetentās valsts institūcijas ir pilnvarotas nepieciešamības gadījumā veikt papildu pasākumus.</w:t>
            </w:r>
          </w:p>
          <w:p w:rsidR="00D5529A" w:rsidRDefault="000E6CAD" w:rsidP="0079094E">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Rīcībai:</w:t>
            </w:r>
          </w:p>
          <w:p w:rsidR="009C3782" w:rsidRDefault="009C3782" w:rsidP="0079094E">
            <w:pPr>
              <w:spacing w:after="120" w:line="240" w:lineRule="auto"/>
              <w:jc w:val="both"/>
              <w:rPr>
                <w:rFonts w:ascii="Times New Roman" w:hAnsi="Times New Roman"/>
                <w:bCs/>
                <w:color w:val="000000"/>
                <w:sz w:val="24"/>
                <w:szCs w:val="24"/>
              </w:rPr>
            </w:pPr>
            <w:r w:rsidRPr="009C3782">
              <w:rPr>
                <w:rFonts w:ascii="Times New Roman" w:hAnsi="Times New Roman"/>
                <w:bCs/>
                <w:color w:val="000000"/>
                <w:sz w:val="24"/>
                <w:szCs w:val="24"/>
              </w:rPr>
              <w:t>(</w:t>
            </w:r>
            <w:r w:rsidR="003F72F1">
              <w:rPr>
                <w:rFonts w:ascii="Times New Roman" w:hAnsi="Times New Roman"/>
                <w:bCs/>
                <w:color w:val="000000"/>
                <w:sz w:val="24"/>
                <w:szCs w:val="24"/>
              </w:rPr>
              <w:t>8</w:t>
            </w:r>
            <w:r w:rsidRPr="009C3782">
              <w:rPr>
                <w:rFonts w:ascii="Times New Roman" w:hAnsi="Times New Roman"/>
                <w:bCs/>
                <w:color w:val="000000"/>
                <w:sz w:val="24"/>
                <w:szCs w:val="24"/>
              </w:rPr>
              <w:t>) Makroprudenciālās uzraudzības stiprināšana atbilstoši Eiropas Sistēmisko Risku Kolēģijas izdotajām rekomendācijām.</w:t>
            </w:r>
          </w:p>
        </w:tc>
        <w:tc>
          <w:tcPr>
            <w:tcW w:w="660" w:type="pct"/>
            <w:gridSpan w:val="3"/>
            <w:tcBorders>
              <w:top w:val="dashed" w:sz="4" w:space="0" w:color="auto"/>
              <w:left w:val="single" w:sz="4" w:space="0" w:color="auto"/>
              <w:bottom w:val="dashed" w:sz="4" w:space="0" w:color="auto"/>
              <w:right w:val="single" w:sz="4" w:space="0" w:color="auto"/>
            </w:tcBorders>
          </w:tcPr>
          <w:p w:rsidR="009C3782" w:rsidRPr="00E843C7" w:rsidRDefault="00F07FE1" w:rsidP="0079094E">
            <w:pPr>
              <w:spacing w:after="120" w:line="240" w:lineRule="auto"/>
              <w:jc w:val="both"/>
              <w:rPr>
                <w:rFonts w:ascii="Times New Roman" w:hAnsi="Times New Roman"/>
                <w:sz w:val="24"/>
                <w:szCs w:val="24"/>
              </w:rPr>
            </w:pPr>
            <w:r>
              <w:rPr>
                <w:rFonts w:ascii="Times New Roman" w:hAnsi="Times New Roman"/>
                <w:sz w:val="24"/>
                <w:szCs w:val="24"/>
              </w:rPr>
              <w:lastRenderedPageBreak/>
              <w:t>01.01.2016</w:t>
            </w:r>
          </w:p>
        </w:tc>
        <w:tc>
          <w:tcPr>
            <w:tcW w:w="375" w:type="pct"/>
            <w:tcBorders>
              <w:top w:val="dashed" w:sz="4" w:space="0" w:color="auto"/>
              <w:left w:val="single" w:sz="4" w:space="0" w:color="auto"/>
              <w:bottom w:val="dashed" w:sz="4" w:space="0" w:color="auto"/>
              <w:right w:val="single" w:sz="4" w:space="0" w:color="auto"/>
            </w:tcBorders>
          </w:tcPr>
          <w:p w:rsidR="009C3782" w:rsidRDefault="00E843C7" w:rsidP="0079094E">
            <w:pPr>
              <w:spacing w:after="120" w:line="240" w:lineRule="auto"/>
              <w:rPr>
                <w:rFonts w:ascii="Times New Roman" w:hAnsi="Times New Roman"/>
                <w:color w:val="000000"/>
                <w:sz w:val="24"/>
                <w:szCs w:val="24"/>
              </w:rPr>
            </w:pPr>
            <w:r w:rsidRPr="008F2AA0">
              <w:rPr>
                <w:rFonts w:ascii="Times New Roman" w:hAnsi="Times New Roman"/>
                <w:color w:val="000000"/>
                <w:sz w:val="24"/>
                <w:szCs w:val="24"/>
              </w:rPr>
              <w:t xml:space="preserve">LB, </w:t>
            </w:r>
            <w:r>
              <w:rPr>
                <w:rFonts w:ascii="Times New Roman" w:hAnsi="Times New Roman"/>
                <w:color w:val="000000"/>
                <w:sz w:val="24"/>
                <w:szCs w:val="24"/>
              </w:rPr>
              <w:t xml:space="preserve">FM, </w:t>
            </w:r>
            <w:r w:rsidR="008F2AA0" w:rsidRPr="008F2AA0">
              <w:rPr>
                <w:rFonts w:ascii="Times New Roman" w:hAnsi="Times New Roman"/>
                <w:color w:val="000000"/>
                <w:sz w:val="24"/>
                <w:szCs w:val="24"/>
              </w:rPr>
              <w:t xml:space="preserve">FKTK </w:t>
            </w:r>
          </w:p>
        </w:tc>
        <w:tc>
          <w:tcPr>
            <w:tcW w:w="1285" w:type="pct"/>
            <w:gridSpan w:val="3"/>
            <w:tcBorders>
              <w:top w:val="dashed" w:sz="4" w:space="0" w:color="auto"/>
              <w:left w:val="single" w:sz="4" w:space="0" w:color="auto"/>
              <w:bottom w:val="dashed" w:sz="4" w:space="0" w:color="auto"/>
              <w:right w:val="single" w:sz="4" w:space="0" w:color="auto"/>
            </w:tcBorders>
          </w:tcPr>
          <w:p w:rsidR="009C3782" w:rsidRDefault="00F07FE1"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Veikt visas no pasākuma izrietošās tiešās darbības, lai stiprinātu finanšu sistēmas noturību un mazinātu sistēmisko risku veidošanos.</w:t>
            </w:r>
          </w:p>
        </w:tc>
        <w:tc>
          <w:tcPr>
            <w:tcW w:w="666" w:type="pct"/>
            <w:tcBorders>
              <w:top w:val="dashed" w:sz="4" w:space="0" w:color="auto"/>
              <w:left w:val="single" w:sz="4" w:space="0" w:color="auto"/>
              <w:bottom w:val="dashed" w:sz="4" w:space="0" w:color="auto"/>
              <w:right w:val="single" w:sz="4" w:space="0" w:color="auto"/>
            </w:tcBorders>
          </w:tcPr>
          <w:p w:rsidR="009C3782" w:rsidRDefault="00387738" w:rsidP="006427A2">
            <w:pPr>
              <w:pStyle w:val="CommentText"/>
              <w:spacing w:before="120" w:after="0" w:line="240" w:lineRule="auto"/>
              <w:jc w:val="both"/>
              <w:rPr>
                <w:rFonts w:ascii="Times New Roman" w:hAnsi="Times New Roman"/>
              </w:rPr>
            </w:pPr>
            <w:r w:rsidRPr="0098706F">
              <w:rPr>
                <w:rFonts w:ascii="Times New Roman" w:eastAsia="Times New Roman" w:hAnsi="Times New Roman"/>
                <w:color w:val="000000"/>
                <w:lang w:eastAsia="lv-LV"/>
              </w:rPr>
              <w:t xml:space="preserve">FM, </w:t>
            </w:r>
            <w:r>
              <w:rPr>
                <w:rFonts w:ascii="Times New Roman" w:eastAsia="Times New Roman" w:hAnsi="Times New Roman"/>
                <w:color w:val="000000"/>
                <w:lang w:eastAsia="lv-LV"/>
              </w:rPr>
              <w:t xml:space="preserve">FKTK </w:t>
            </w:r>
            <w:r w:rsidRPr="0098706F">
              <w:rPr>
                <w:rFonts w:ascii="Times New Roman" w:eastAsia="Times New Roman" w:hAnsi="Times New Roman"/>
                <w:color w:val="000000"/>
                <w:lang w:eastAsia="lv-LV"/>
              </w:rPr>
              <w:t>un LB budžeta ietvaros.</w:t>
            </w:r>
          </w:p>
        </w:tc>
      </w:tr>
      <w:tr w:rsidR="00E76C35" w:rsidTr="00B42439">
        <w:tc>
          <w:tcPr>
            <w:tcW w:w="2014" w:type="pct"/>
            <w:tcBorders>
              <w:top w:val="single" w:sz="4" w:space="0" w:color="auto"/>
              <w:left w:val="single" w:sz="4" w:space="0" w:color="auto"/>
              <w:bottom w:val="dashed" w:sz="4" w:space="0" w:color="auto"/>
              <w:right w:val="single" w:sz="4" w:space="0" w:color="auto"/>
            </w:tcBorders>
          </w:tcPr>
          <w:p w:rsidR="00E76C35" w:rsidRPr="00A70680" w:rsidRDefault="00E76C35" w:rsidP="0079094E">
            <w:pPr>
              <w:spacing w:after="120" w:line="240" w:lineRule="auto"/>
              <w:jc w:val="both"/>
              <w:rPr>
                <w:rFonts w:ascii="Times New Roman" w:hAnsi="Times New Roman"/>
                <w:b/>
                <w:bCs/>
                <w:color w:val="000000"/>
                <w:sz w:val="24"/>
                <w:szCs w:val="24"/>
              </w:rPr>
            </w:pPr>
            <w:r>
              <w:rPr>
                <w:rFonts w:ascii="Times New Roman" w:hAnsi="Times New Roman"/>
                <w:b/>
                <w:sz w:val="24"/>
                <w:szCs w:val="24"/>
              </w:rPr>
              <w:lastRenderedPageBreak/>
              <w:t xml:space="preserve">1.2. </w:t>
            </w:r>
            <w:r>
              <w:rPr>
                <w:rFonts w:ascii="Times New Roman" w:hAnsi="Times New Roman"/>
                <w:b/>
                <w:bCs/>
                <w:color w:val="000000"/>
                <w:sz w:val="24"/>
                <w:szCs w:val="24"/>
              </w:rPr>
              <w:t>K</w:t>
            </w:r>
            <w:r w:rsidRPr="00274782">
              <w:rPr>
                <w:rFonts w:ascii="Times New Roman" w:hAnsi="Times New Roman"/>
                <w:b/>
                <w:bCs/>
                <w:color w:val="000000"/>
                <w:sz w:val="24"/>
                <w:szCs w:val="24"/>
              </w:rPr>
              <w:t>r</w:t>
            </w:r>
            <w:r>
              <w:rPr>
                <w:rFonts w:ascii="Times New Roman" w:hAnsi="Times New Roman"/>
                <w:b/>
                <w:bCs/>
                <w:color w:val="000000"/>
                <w:sz w:val="24"/>
                <w:szCs w:val="24"/>
              </w:rPr>
              <w:t>edītiestāžu finansējuma avotu diversifikācijas veicināšana</w:t>
            </w:r>
          </w:p>
          <w:p w:rsidR="00E76C35" w:rsidRPr="00850216" w:rsidRDefault="000E6CAD" w:rsidP="0079094E">
            <w:pPr>
              <w:spacing w:after="120" w:line="240" w:lineRule="auto"/>
              <w:jc w:val="both"/>
              <w:rPr>
                <w:rFonts w:ascii="Times New Roman" w:hAnsi="Times New Roman"/>
                <w:i/>
                <w:sz w:val="24"/>
                <w:szCs w:val="24"/>
              </w:rPr>
            </w:pPr>
            <w:r>
              <w:rPr>
                <w:rFonts w:ascii="Times New Roman" w:hAnsi="Times New Roman"/>
                <w:i/>
                <w:sz w:val="24"/>
                <w:szCs w:val="24"/>
              </w:rPr>
              <w:t>Tiek nodalīta</w:t>
            </w:r>
            <w:r w:rsidR="00E76C35" w:rsidRPr="00850216">
              <w:rPr>
                <w:rFonts w:ascii="Times New Roman" w:hAnsi="Times New Roman"/>
                <w:i/>
                <w:sz w:val="24"/>
                <w:szCs w:val="24"/>
              </w:rPr>
              <w:t xml:space="preserve"> (</w:t>
            </w:r>
            <w:r w:rsidR="00325DB2">
              <w:rPr>
                <w:rFonts w:ascii="Times New Roman" w:hAnsi="Times New Roman"/>
                <w:i/>
                <w:sz w:val="24"/>
                <w:szCs w:val="24"/>
              </w:rPr>
              <w:t>I</w:t>
            </w:r>
            <w:r w:rsidR="00E76C35" w:rsidRPr="00850216">
              <w:rPr>
                <w:rFonts w:ascii="Times New Roman" w:hAnsi="Times New Roman"/>
                <w:i/>
                <w:sz w:val="24"/>
                <w:szCs w:val="24"/>
              </w:rPr>
              <w:t>) citu ES dalībvalstu, īpaši Skandināvijas kredītiestāžu meitas sabiedrību finansējuma struktūras aspekts un (</w:t>
            </w:r>
            <w:r w:rsidR="00325DB2">
              <w:rPr>
                <w:rFonts w:ascii="Times New Roman" w:hAnsi="Times New Roman"/>
                <w:i/>
                <w:sz w:val="24"/>
                <w:szCs w:val="24"/>
              </w:rPr>
              <w:t>II</w:t>
            </w:r>
            <w:r w:rsidR="00E76C35" w:rsidRPr="00850216">
              <w:rPr>
                <w:rFonts w:ascii="Times New Roman" w:hAnsi="Times New Roman"/>
                <w:i/>
                <w:sz w:val="24"/>
                <w:szCs w:val="24"/>
              </w:rPr>
              <w:t>) Latvijas kredītiestāžu, kuru darbība orientēta uz ne-rezidentu klientu apkalpošanu, finansējuma struktūra.</w:t>
            </w:r>
          </w:p>
          <w:p w:rsidR="00E76C35" w:rsidRPr="00850216" w:rsidRDefault="00E76C35" w:rsidP="0079094E">
            <w:pPr>
              <w:spacing w:after="120" w:line="240" w:lineRule="auto"/>
              <w:jc w:val="both"/>
              <w:rPr>
                <w:rFonts w:ascii="Times New Roman" w:hAnsi="Times New Roman"/>
                <w:i/>
                <w:sz w:val="24"/>
                <w:szCs w:val="24"/>
              </w:rPr>
            </w:pPr>
            <w:r w:rsidRPr="00850216">
              <w:rPr>
                <w:rFonts w:ascii="Times New Roman" w:hAnsi="Times New Roman"/>
                <w:i/>
                <w:sz w:val="24"/>
                <w:szCs w:val="24"/>
              </w:rPr>
              <w:t>(</w:t>
            </w:r>
            <w:r w:rsidR="00325DB2">
              <w:rPr>
                <w:rFonts w:ascii="Times New Roman" w:hAnsi="Times New Roman"/>
                <w:i/>
                <w:sz w:val="24"/>
                <w:szCs w:val="24"/>
              </w:rPr>
              <w:t>I</w:t>
            </w:r>
            <w:r w:rsidRPr="00850216">
              <w:rPr>
                <w:rFonts w:ascii="Times New Roman" w:hAnsi="Times New Roman"/>
                <w:i/>
                <w:sz w:val="24"/>
                <w:szCs w:val="24"/>
              </w:rPr>
              <w:t>) Latvijas kredītiestāžu, kas ir meitas sabiedrības vai filiāles citās ES dalībvalstīs bāzētām kredītiestādēm, finansējuma struktūrā centrālo lomu veido no mātes kredītiestādēm piesaistītais finansējums primāri to kreditēšanas politikas īstenošanai. Īpaši Skandināvijas bankas, kas Latvijā pastāvīgi darbojas kopš 90-to gadu beigām, Latviju un citas Baltijas valstis uzskata par savu mājas tirgu, un nav pamata uzskatīt, ka tās plānotu krasas izmaiņas savai darbībai šajā reģionā.</w:t>
            </w:r>
          </w:p>
          <w:p w:rsidR="00E76C35" w:rsidRPr="00850216" w:rsidRDefault="00E76C35" w:rsidP="0079094E">
            <w:pPr>
              <w:spacing w:after="120" w:line="240" w:lineRule="auto"/>
              <w:jc w:val="both"/>
              <w:rPr>
                <w:rFonts w:ascii="Times New Roman" w:hAnsi="Times New Roman"/>
                <w:i/>
                <w:sz w:val="24"/>
                <w:szCs w:val="24"/>
              </w:rPr>
            </w:pPr>
            <w:r w:rsidRPr="00850216">
              <w:rPr>
                <w:rFonts w:ascii="Times New Roman" w:hAnsi="Times New Roman"/>
                <w:i/>
                <w:sz w:val="24"/>
                <w:szCs w:val="24"/>
              </w:rPr>
              <w:t xml:space="preserve">2012.gadā līdz ar kredītportfeļa sarukumu un piesaistīto noguldījumu pieaugumu samazinājās arī nepieciešamība pēc papildu finansējuma un </w:t>
            </w:r>
            <w:r w:rsidRPr="00320809">
              <w:rPr>
                <w:rFonts w:ascii="Times New Roman" w:hAnsi="Times New Roman"/>
                <w:i/>
                <w:sz w:val="24"/>
                <w:szCs w:val="24"/>
              </w:rPr>
              <w:t>2012.gadā</w:t>
            </w:r>
            <w:r w:rsidRPr="00850216">
              <w:rPr>
                <w:rFonts w:ascii="Times New Roman" w:hAnsi="Times New Roman"/>
                <w:i/>
                <w:sz w:val="24"/>
                <w:szCs w:val="24"/>
              </w:rPr>
              <w:t xml:space="preserve"> Latvijas kredītiestāžu piesaistītais finansējums no monetārajām finanšu iestādēm turpināja sarukt, gada laikā samazinoties par </w:t>
            </w:r>
            <w:r w:rsidRPr="00320809">
              <w:rPr>
                <w:rFonts w:ascii="Times New Roman" w:hAnsi="Times New Roman"/>
                <w:i/>
                <w:sz w:val="24"/>
                <w:szCs w:val="24"/>
              </w:rPr>
              <w:t>19.1%,</w:t>
            </w:r>
            <w:r w:rsidRPr="00850216">
              <w:rPr>
                <w:rFonts w:ascii="Times New Roman" w:hAnsi="Times New Roman"/>
                <w:i/>
                <w:sz w:val="24"/>
                <w:szCs w:val="24"/>
              </w:rPr>
              <w:t xml:space="preserve"> ko galvenokārt noteica ārvalstu kredītiestāžu meitu un filiāļu no mātes bankām piesaistītā finansējuma sarukums par </w:t>
            </w:r>
            <w:r w:rsidRPr="00320809">
              <w:rPr>
                <w:rFonts w:ascii="Times New Roman" w:hAnsi="Times New Roman"/>
                <w:i/>
                <w:sz w:val="24"/>
                <w:szCs w:val="24"/>
              </w:rPr>
              <w:t>827</w:t>
            </w:r>
            <w:r w:rsidRPr="00850216">
              <w:rPr>
                <w:rFonts w:ascii="Times New Roman" w:hAnsi="Times New Roman"/>
                <w:i/>
                <w:sz w:val="24"/>
                <w:szCs w:val="24"/>
              </w:rPr>
              <w:t xml:space="preserve"> miljoniem latu. Vienlaicīgi tiek nodrošināta regulējošo prasību attiecībā uz likviditāti un kapitāla pietiekamību ievērošana.</w:t>
            </w:r>
          </w:p>
          <w:p w:rsidR="00E76C35" w:rsidRDefault="00E76C35" w:rsidP="0079094E">
            <w:pPr>
              <w:spacing w:after="120" w:line="240" w:lineRule="auto"/>
              <w:jc w:val="both"/>
              <w:rPr>
                <w:rFonts w:ascii="Times New Roman" w:hAnsi="Times New Roman"/>
                <w:b/>
                <w:sz w:val="24"/>
                <w:szCs w:val="24"/>
              </w:rPr>
            </w:pPr>
          </w:p>
        </w:tc>
        <w:tc>
          <w:tcPr>
            <w:tcW w:w="660" w:type="pct"/>
            <w:gridSpan w:val="3"/>
            <w:tcBorders>
              <w:top w:val="single" w:sz="4" w:space="0" w:color="auto"/>
              <w:left w:val="single" w:sz="4" w:space="0" w:color="auto"/>
              <w:bottom w:val="dashed" w:sz="4" w:space="0" w:color="auto"/>
              <w:right w:val="single" w:sz="4" w:space="0" w:color="auto"/>
            </w:tcBorders>
          </w:tcPr>
          <w:p w:rsidR="00E76C35" w:rsidRDefault="00E76C35" w:rsidP="0079094E">
            <w:pPr>
              <w:spacing w:after="120" w:line="240" w:lineRule="auto"/>
              <w:jc w:val="both"/>
              <w:rPr>
                <w:rFonts w:ascii="Times New Roman" w:hAnsi="Times New Roman"/>
                <w:sz w:val="24"/>
                <w:szCs w:val="24"/>
              </w:rPr>
            </w:pPr>
          </w:p>
        </w:tc>
        <w:tc>
          <w:tcPr>
            <w:tcW w:w="375" w:type="pct"/>
            <w:tcBorders>
              <w:top w:val="single" w:sz="4" w:space="0" w:color="auto"/>
              <w:left w:val="single" w:sz="4" w:space="0" w:color="auto"/>
              <w:bottom w:val="dashed" w:sz="4" w:space="0" w:color="auto"/>
              <w:right w:val="single" w:sz="4" w:space="0" w:color="auto"/>
            </w:tcBorders>
          </w:tcPr>
          <w:p w:rsidR="00E76C35" w:rsidRDefault="00E76C35" w:rsidP="0079094E">
            <w:pPr>
              <w:spacing w:after="120" w:line="240" w:lineRule="auto"/>
              <w:jc w:val="both"/>
              <w:rPr>
                <w:rFonts w:ascii="Times New Roman" w:hAnsi="Times New Roman"/>
                <w:color w:val="000000"/>
                <w:sz w:val="24"/>
                <w:szCs w:val="24"/>
              </w:rPr>
            </w:pPr>
          </w:p>
        </w:tc>
        <w:tc>
          <w:tcPr>
            <w:tcW w:w="1285" w:type="pct"/>
            <w:gridSpan w:val="3"/>
            <w:tcBorders>
              <w:top w:val="single" w:sz="4" w:space="0" w:color="auto"/>
              <w:left w:val="single" w:sz="4" w:space="0" w:color="auto"/>
              <w:bottom w:val="dashed" w:sz="4" w:space="0" w:color="auto"/>
              <w:right w:val="single" w:sz="4" w:space="0" w:color="auto"/>
            </w:tcBorders>
          </w:tcPr>
          <w:p w:rsidR="00E76C35" w:rsidRPr="00C35223" w:rsidRDefault="00E76C35" w:rsidP="0079094E">
            <w:pPr>
              <w:spacing w:after="120" w:line="240" w:lineRule="auto"/>
              <w:jc w:val="both"/>
              <w:rPr>
                <w:rFonts w:ascii="Times New Roman" w:hAnsi="Times New Roman"/>
                <w:bCs/>
                <w:color w:val="000000"/>
                <w:sz w:val="24"/>
                <w:szCs w:val="24"/>
              </w:rPr>
            </w:pPr>
          </w:p>
        </w:tc>
        <w:tc>
          <w:tcPr>
            <w:tcW w:w="666" w:type="pct"/>
            <w:tcBorders>
              <w:top w:val="single" w:sz="4" w:space="0" w:color="auto"/>
              <w:left w:val="single" w:sz="4" w:space="0" w:color="auto"/>
              <w:bottom w:val="dashed" w:sz="4" w:space="0" w:color="auto"/>
              <w:right w:val="single" w:sz="4" w:space="0" w:color="auto"/>
            </w:tcBorders>
          </w:tcPr>
          <w:p w:rsidR="00E76C35" w:rsidRDefault="00E76C35" w:rsidP="006427A2">
            <w:pPr>
              <w:pStyle w:val="CommentText"/>
              <w:spacing w:before="120" w:after="0" w:line="240" w:lineRule="auto"/>
              <w:jc w:val="both"/>
              <w:rPr>
                <w:rFonts w:ascii="Times New Roman" w:eastAsia="Times New Roman" w:hAnsi="Times New Roman"/>
                <w:color w:val="000000"/>
                <w:lang w:eastAsia="lv-LV"/>
              </w:rPr>
            </w:pPr>
          </w:p>
        </w:tc>
      </w:tr>
      <w:tr w:rsidR="00C35223" w:rsidTr="00B42439">
        <w:tc>
          <w:tcPr>
            <w:tcW w:w="2014" w:type="pct"/>
            <w:tcBorders>
              <w:top w:val="dashed" w:sz="4" w:space="0" w:color="auto"/>
              <w:left w:val="single" w:sz="4" w:space="0" w:color="auto"/>
              <w:bottom w:val="single" w:sz="4" w:space="0" w:color="auto"/>
              <w:right w:val="single" w:sz="4" w:space="0" w:color="auto"/>
            </w:tcBorders>
          </w:tcPr>
          <w:p w:rsidR="00F36381" w:rsidRPr="00745B16" w:rsidRDefault="00F36381"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lastRenderedPageBreak/>
              <w:t>Rīcībai:</w:t>
            </w:r>
          </w:p>
          <w:p w:rsidR="00C35223" w:rsidRDefault="00F36381" w:rsidP="0079094E">
            <w:pPr>
              <w:pStyle w:val="ListParagraph"/>
              <w:numPr>
                <w:ilvl w:val="0"/>
                <w:numId w:val="0"/>
              </w:numPr>
              <w:spacing w:after="120" w:line="240" w:lineRule="auto"/>
              <w:jc w:val="both"/>
              <w:rPr>
                <w:rFonts w:ascii="Times New Roman" w:hAnsi="Times New Roman"/>
                <w:sz w:val="24"/>
                <w:szCs w:val="24"/>
              </w:rPr>
            </w:pPr>
            <w:r>
              <w:rPr>
                <w:rFonts w:ascii="Times New Roman" w:hAnsi="Times New Roman"/>
                <w:bCs/>
                <w:color w:val="000000"/>
                <w:sz w:val="24"/>
                <w:szCs w:val="24"/>
              </w:rPr>
              <w:t xml:space="preserve"> </w:t>
            </w:r>
            <w:r w:rsidR="00850216">
              <w:rPr>
                <w:rFonts w:ascii="Times New Roman" w:hAnsi="Times New Roman"/>
                <w:bCs/>
                <w:color w:val="000000"/>
                <w:sz w:val="24"/>
                <w:szCs w:val="24"/>
              </w:rPr>
              <w:t xml:space="preserve">(1) </w:t>
            </w:r>
            <w:r w:rsidR="00C35223" w:rsidRPr="00713D7F">
              <w:rPr>
                <w:rFonts w:ascii="Times New Roman" w:hAnsi="Times New Roman"/>
                <w:bCs/>
                <w:color w:val="000000"/>
                <w:sz w:val="24"/>
                <w:szCs w:val="24"/>
              </w:rPr>
              <w:t xml:space="preserve">Turpināt </w:t>
            </w:r>
            <w:r w:rsidR="00C35223">
              <w:rPr>
                <w:rFonts w:ascii="Times New Roman" w:hAnsi="Times New Roman"/>
                <w:bCs/>
                <w:color w:val="000000"/>
                <w:sz w:val="24"/>
                <w:szCs w:val="24"/>
              </w:rPr>
              <w:t xml:space="preserve">FKTK </w:t>
            </w:r>
            <w:r w:rsidR="00C35223" w:rsidRPr="00713D7F">
              <w:rPr>
                <w:rFonts w:ascii="Times New Roman" w:hAnsi="Times New Roman"/>
                <w:bCs/>
                <w:color w:val="000000"/>
                <w:sz w:val="24"/>
                <w:szCs w:val="24"/>
              </w:rPr>
              <w:t>sadarbību ar kredītiestāžu grupu izcelsmes valsts uzraugiem</w:t>
            </w:r>
            <w:r w:rsidR="000E6CAD">
              <w:rPr>
                <w:rFonts w:ascii="Times New Roman" w:hAnsi="Times New Roman"/>
                <w:bCs/>
                <w:color w:val="000000"/>
                <w:sz w:val="24"/>
                <w:szCs w:val="24"/>
              </w:rPr>
              <w:t xml:space="preserve"> gan</w:t>
            </w:r>
            <w:r w:rsidR="00C35223" w:rsidRPr="00713D7F">
              <w:rPr>
                <w:rFonts w:ascii="Times New Roman" w:hAnsi="Times New Roman"/>
                <w:bCs/>
                <w:color w:val="000000"/>
                <w:sz w:val="24"/>
                <w:szCs w:val="24"/>
              </w:rPr>
              <w:t xml:space="preserve"> divpus</w:t>
            </w:r>
            <w:r w:rsidR="000E6CAD">
              <w:rPr>
                <w:rFonts w:ascii="Times New Roman" w:hAnsi="Times New Roman"/>
                <w:bCs/>
                <w:color w:val="000000"/>
                <w:sz w:val="24"/>
                <w:szCs w:val="24"/>
              </w:rPr>
              <w:t>ējā veidā, gan uzraugu kolēģiju</w:t>
            </w:r>
            <w:r w:rsidR="00C35223" w:rsidRPr="00713D7F">
              <w:rPr>
                <w:rFonts w:ascii="Times New Roman" w:hAnsi="Times New Roman"/>
                <w:bCs/>
                <w:color w:val="000000"/>
                <w:sz w:val="24"/>
                <w:szCs w:val="24"/>
              </w:rPr>
              <w:t xml:space="preserve"> ietvaros; </w:t>
            </w:r>
            <w:r w:rsidR="00C35223">
              <w:rPr>
                <w:rFonts w:ascii="Times New Roman" w:hAnsi="Times New Roman"/>
                <w:bCs/>
                <w:color w:val="000000"/>
                <w:sz w:val="24"/>
                <w:szCs w:val="24"/>
              </w:rPr>
              <w:t>pastāvīgi sekot līdzi attiecīgajiem</w:t>
            </w:r>
            <w:r w:rsidR="00C35223" w:rsidRPr="00713D7F">
              <w:rPr>
                <w:rFonts w:ascii="Times New Roman" w:hAnsi="Times New Roman"/>
                <w:bCs/>
                <w:color w:val="000000"/>
                <w:sz w:val="24"/>
                <w:szCs w:val="24"/>
              </w:rPr>
              <w:t xml:space="preserve"> finansējuma struktūras un tās dinamikas </w:t>
            </w:r>
            <w:r w:rsidR="00C35223">
              <w:rPr>
                <w:rFonts w:ascii="Times New Roman" w:hAnsi="Times New Roman"/>
                <w:bCs/>
                <w:color w:val="000000"/>
                <w:sz w:val="24"/>
                <w:szCs w:val="24"/>
              </w:rPr>
              <w:t>rādītājiem</w:t>
            </w:r>
            <w:r w:rsidR="00717E16">
              <w:rPr>
                <w:rFonts w:ascii="Times New Roman" w:hAnsi="Times New Roman"/>
                <w:bCs/>
                <w:color w:val="000000"/>
                <w:sz w:val="24"/>
                <w:szCs w:val="24"/>
              </w:rPr>
              <w:t>;</w:t>
            </w:r>
            <w:r w:rsidR="00717E16">
              <w:t xml:space="preserve"> </w:t>
            </w:r>
            <w:r w:rsidR="00717E16" w:rsidRPr="00717E16">
              <w:rPr>
                <w:rFonts w:ascii="Times New Roman" w:hAnsi="Times New Roman"/>
                <w:bCs/>
                <w:color w:val="000000"/>
                <w:sz w:val="24"/>
                <w:szCs w:val="24"/>
              </w:rPr>
              <w:t>attiecībā uz citu ES dalībvalstu kredītiestāžu meitas sabiedrībām patstāvīgi ir jāseko līdzi aktīvu un pasīvu termiņstruktūrai un finansējuma avotiem</w:t>
            </w:r>
            <w:r w:rsidR="000E6CAD">
              <w:rPr>
                <w:rFonts w:ascii="Times New Roman" w:hAnsi="Times New Roman"/>
                <w:bCs/>
                <w:color w:val="000000"/>
                <w:sz w:val="24"/>
                <w:szCs w:val="24"/>
              </w:rPr>
              <w:t>.</w:t>
            </w:r>
          </w:p>
        </w:tc>
        <w:tc>
          <w:tcPr>
            <w:tcW w:w="660" w:type="pct"/>
            <w:gridSpan w:val="3"/>
            <w:tcBorders>
              <w:top w:val="dashed" w:sz="4" w:space="0" w:color="auto"/>
              <w:left w:val="single" w:sz="4" w:space="0" w:color="auto"/>
              <w:bottom w:val="single" w:sz="4" w:space="0" w:color="auto"/>
              <w:right w:val="single" w:sz="4" w:space="0" w:color="auto"/>
            </w:tcBorders>
          </w:tcPr>
          <w:p w:rsidR="00C35223" w:rsidRDefault="00C35223" w:rsidP="0079094E">
            <w:pPr>
              <w:spacing w:after="120" w:line="240" w:lineRule="auto"/>
              <w:jc w:val="both"/>
              <w:rPr>
                <w:rFonts w:ascii="Times New Roman" w:hAnsi="Times New Roman"/>
                <w:sz w:val="24"/>
                <w:szCs w:val="24"/>
              </w:rPr>
            </w:pPr>
            <w:r w:rsidRPr="00C35223">
              <w:rPr>
                <w:rFonts w:ascii="Times New Roman" w:hAnsi="Times New Roman"/>
                <w:sz w:val="24"/>
                <w:szCs w:val="24"/>
              </w:rPr>
              <w:t>Pastāvīgi</w:t>
            </w:r>
          </w:p>
        </w:tc>
        <w:tc>
          <w:tcPr>
            <w:tcW w:w="375" w:type="pct"/>
            <w:tcBorders>
              <w:top w:val="dashed" w:sz="4" w:space="0" w:color="auto"/>
              <w:left w:val="single" w:sz="4" w:space="0" w:color="auto"/>
              <w:bottom w:val="single" w:sz="4" w:space="0" w:color="auto"/>
              <w:right w:val="single" w:sz="4" w:space="0" w:color="auto"/>
            </w:tcBorders>
          </w:tcPr>
          <w:p w:rsidR="00C35223" w:rsidRDefault="00392469"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FKTK</w:t>
            </w:r>
          </w:p>
        </w:tc>
        <w:tc>
          <w:tcPr>
            <w:tcW w:w="1285" w:type="pct"/>
            <w:gridSpan w:val="3"/>
            <w:tcBorders>
              <w:top w:val="dashed" w:sz="4" w:space="0" w:color="auto"/>
              <w:left w:val="single" w:sz="4" w:space="0" w:color="auto"/>
              <w:bottom w:val="single" w:sz="4" w:space="0" w:color="auto"/>
              <w:right w:val="single" w:sz="4" w:space="0" w:color="auto"/>
            </w:tcBorders>
          </w:tcPr>
          <w:p w:rsidR="00C35223" w:rsidRPr="00C35223" w:rsidRDefault="00670BA7" w:rsidP="000F27A0">
            <w:pPr>
              <w:spacing w:after="120" w:line="240" w:lineRule="auto"/>
              <w:jc w:val="both"/>
              <w:rPr>
                <w:rFonts w:ascii="Times New Roman" w:hAnsi="Times New Roman"/>
                <w:bCs/>
                <w:color w:val="000000"/>
                <w:sz w:val="24"/>
                <w:szCs w:val="24"/>
              </w:rPr>
            </w:pPr>
            <w:r w:rsidRPr="00670BA7">
              <w:rPr>
                <w:rFonts w:ascii="Times New Roman" w:hAnsi="Times New Roman"/>
                <w:bCs/>
                <w:color w:val="000000"/>
                <w:sz w:val="24"/>
                <w:szCs w:val="24"/>
              </w:rPr>
              <w:t>Veikt visas no pasākuma izrietošās tiešās darbības</w:t>
            </w:r>
            <w:r w:rsidRPr="00670BA7" w:rsidDel="00670BA7">
              <w:rPr>
                <w:rFonts w:ascii="Times New Roman" w:hAnsi="Times New Roman"/>
                <w:bCs/>
                <w:color w:val="000000"/>
                <w:sz w:val="24"/>
                <w:szCs w:val="24"/>
              </w:rPr>
              <w:t xml:space="preserve"> </w:t>
            </w:r>
            <w:r w:rsidR="00C35223" w:rsidRPr="00C35223">
              <w:rPr>
                <w:rFonts w:ascii="Times New Roman" w:hAnsi="Times New Roman"/>
                <w:bCs/>
                <w:color w:val="000000"/>
                <w:sz w:val="24"/>
                <w:szCs w:val="24"/>
              </w:rPr>
              <w:t>Vienotā uzraudzības mehānisma izveides kontekstā, stiprināt sadarbību ar ECB un monitorēt Latvijas kredītiestāžu ārējā finansējuma dinamiku un tendences;</w:t>
            </w:r>
            <w:r w:rsidR="00717E16">
              <w:t xml:space="preserve"> </w:t>
            </w:r>
            <w:r w:rsidR="00717E16">
              <w:rPr>
                <w:rFonts w:ascii="Times New Roman" w:hAnsi="Times New Roman"/>
                <w:bCs/>
                <w:color w:val="000000"/>
                <w:sz w:val="24"/>
                <w:szCs w:val="24"/>
              </w:rPr>
              <w:t>sekot</w:t>
            </w:r>
            <w:r w:rsidR="00717E16" w:rsidRPr="00717E16">
              <w:rPr>
                <w:rFonts w:ascii="Times New Roman" w:hAnsi="Times New Roman"/>
                <w:bCs/>
                <w:color w:val="000000"/>
                <w:sz w:val="24"/>
                <w:szCs w:val="24"/>
              </w:rPr>
              <w:t xml:space="preserve"> līdzi aktīvu un pasīvu termiņstruktūrai un finansējuma avotiem</w:t>
            </w:r>
            <w:r w:rsidR="00387738">
              <w:rPr>
                <w:rFonts w:ascii="Times New Roman" w:hAnsi="Times New Roman"/>
                <w:bCs/>
                <w:color w:val="000000"/>
                <w:sz w:val="24"/>
                <w:szCs w:val="24"/>
              </w:rPr>
              <w:t>.</w:t>
            </w:r>
          </w:p>
        </w:tc>
        <w:tc>
          <w:tcPr>
            <w:tcW w:w="666" w:type="pct"/>
            <w:tcBorders>
              <w:top w:val="dashed" w:sz="4" w:space="0" w:color="auto"/>
              <w:left w:val="single" w:sz="4" w:space="0" w:color="auto"/>
              <w:bottom w:val="single" w:sz="4" w:space="0" w:color="auto"/>
              <w:right w:val="single" w:sz="4" w:space="0" w:color="auto"/>
            </w:tcBorders>
          </w:tcPr>
          <w:p w:rsidR="00C35223" w:rsidRDefault="002F1F0C" w:rsidP="006427A2">
            <w:pPr>
              <w:pStyle w:val="CommentText"/>
              <w:spacing w:before="120" w:after="0" w:line="240" w:lineRule="auto"/>
              <w:jc w:val="both"/>
              <w:rPr>
                <w:rFonts w:ascii="Times New Roman" w:eastAsia="Times New Roman" w:hAnsi="Times New Roman"/>
                <w:color w:val="000000"/>
                <w:lang w:eastAsia="lv-LV"/>
              </w:rPr>
            </w:pPr>
            <w:r w:rsidRPr="002F1F0C">
              <w:rPr>
                <w:rFonts w:ascii="Times New Roman" w:eastAsia="Times New Roman" w:hAnsi="Times New Roman"/>
                <w:color w:val="000000"/>
                <w:lang w:eastAsia="lv-LV"/>
              </w:rPr>
              <w:t>FKTK budžeta ietvaros.</w:t>
            </w:r>
          </w:p>
        </w:tc>
      </w:tr>
      <w:tr w:rsidR="00562491" w:rsidTr="00B42439">
        <w:tc>
          <w:tcPr>
            <w:tcW w:w="2014" w:type="pct"/>
            <w:tcBorders>
              <w:top w:val="single" w:sz="4" w:space="0" w:color="auto"/>
              <w:left w:val="single" w:sz="4" w:space="0" w:color="auto"/>
              <w:bottom w:val="dashed" w:sz="4" w:space="0" w:color="auto"/>
              <w:right w:val="single" w:sz="4" w:space="0" w:color="auto"/>
            </w:tcBorders>
          </w:tcPr>
          <w:p w:rsidR="00562491" w:rsidRDefault="004B03C3" w:rsidP="0079094E">
            <w:pPr>
              <w:spacing w:after="120" w:line="240" w:lineRule="auto"/>
              <w:jc w:val="both"/>
              <w:rPr>
                <w:rFonts w:ascii="Times New Roman" w:hAnsi="Times New Roman"/>
                <w:bCs/>
                <w:i/>
                <w:sz w:val="24"/>
                <w:szCs w:val="24"/>
              </w:rPr>
            </w:pPr>
            <w:r>
              <w:rPr>
                <w:rFonts w:ascii="Times New Roman" w:hAnsi="Times New Roman"/>
                <w:bCs/>
                <w:i/>
                <w:sz w:val="24"/>
                <w:szCs w:val="24"/>
              </w:rPr>
              <w:t xml:space="preserve"> </w:t>
            </w:r>
            <w:r w:rsidR="00562491" w:rsidRPr="00850216">
              <w:rPr>
                <w:rFonts w:ascii="Times New Roman" w:hAnsi="Times New Roman"/>
                <w:bCs/>
                <w:i/>
                <w:sz w:val="24"/>
                <w:szCs w:val="24"/>
              </w:rPr>
              <w:t>(</w:t>
            </w:r>
            <w:r w:rsidR="00325DB2">
              <w:rPr>
                <w:rFonts w:ascii="Times New Roman" w:hAnsi="Times New Roman"/>
                <w:bCs/>
                <w:i/>
                <w:sz w:val="24"/>
                <w:szCs w:val="24"/>
              </w:rPr>
              <w:t>II</w:t>
            </w:r>
            <w:r w:rsidR="00562491" w:rsidRPr="00850216">
              <w:rPr>
                <w:rFonts w:ascii="Times New Roman" w:hAnsi="Times New Roman"/>
                <w:bCs/>
                <w:i/>
                <w:sz w:val="24"/>
                <w:szCs w:val="24"/>
              </w:rPr>
              <w:t>) Uz nerezidentu (pārsvarā NVS valstu) klientu apkalpošanu orientētu kredītiestāžu darbības modelis La</w:t>
            </w:r>
            <w:r w:rsidR="000E6CAD">
              <w:rPr>
                <w:rFonts w:ascii="Times New Roman" w:hAnsi="Times New Roman"/>
                <w:bCs/>
                <w:i/>
                <w:sz w:val="24"/>
                <w:szCs w:val="24"/>
              </w:rPr>
              <w:t>tvijas finanšu sektorā darbojas</w:t>
            </w:r>
            <w:r w:rsidR="00562491" w:rsidRPr="00850216">
              <w:rPr>
                <w:rFonts w:ascii="Times New Roman" w:hAnsi="Times New Roman"/>
                <w:bCs/>
                <w:i/>
                <w:sz w:val="24"/>
                <w:szCs w:val="24"/>
              </w:rPr>
              <w:t xml:space="preserve"> jau kopš 90-to gadu sākuma. </w:t>
            </w:r>
            <w:r w:rsidR="003D2F43">
              <w:rPr>
                <w:rFonts w:ascii="Times New Roman" w:hAnsi="Times New Roman"/>
                <w:bCs/>
                <w:i/>
                <w:sz w:val="24"/>
                <w:szCs w:val="24"/>
              </w:rPr>
              <w:t>2013.gada novembra beigās</w:t>
            </w:r>
            <w:r w:rsidR="00562491" w:rsidRPr="00850216">
              <w:rPr>
                <w:rFonts w:ascii="Times New Roman" w:hAnsi="Times New Roman"/>
                <w:bCs/>
                <w:i/>
                <w:sz w:val="24"/>
                <w:szCs w:val="24"/>
              </w:rPr>
              <w:t xml:space="preserve"> šajā segmentā darbojas 13 no </w:t>
            </w:r>
            <w:r w:rsidR="003D2F43">
              <w:rPr>
                <w:rFonts w:ascii="Times New Roman" w:hAnsi="Times New Roman"/>
                <w:bCs/>
                <w:i/>
                <w:sz w:val="24"/>
                <w:szCs w:val="24"/>
              </w:rPr>
              <w:t>19</w:t>
            </w:r>
            <w:r w:rsidR="00562491" w:rsidRPr="00850216">
              <w:rPr>
                <w:rFonts w:ascii="Times New Roman" w:hAnsi="Times New Roman"/>
                <w:bCs/>
                <w:i/>
                <w:sz w:val="24"/>
                <w:szCs w:val="24"/>
              </w:rPr>
              <w:t xml:space="preserve"> Latvijā reģistrētām kredītiestādēm (neskaitot ārvalstu banku filiāles). Nerezidentu noguldījumu apmērs vēsturiski ir bijis nemainīgi augsts un veidojis aptuveni pusi no Latvijas kredītiestāžu sektora piesaistīto noguldījumu bāzes (</w:t>
            </w:r>
            <w:r w:rsidR="003D2F43" w:rsidRPr="003D2F43">
              <w:rPr>
                <w:rFonts w:ascii="Times New Roman" w:hAnsi="Times New Roman"/>
                <w:bCs/>
                <w:i/>
                <w:sz w:val="24"/>
                <w:szCs w:val="24"/>
              </w:rPr>
              <w:t xml:space="preserve">2013.gada novembra beigās – 49,6%, </w:t>
            </w:r>
            <w:r w:rsidR="00562491" w:rsidRPr="00850216">
              <w:rPr>
                <w:rFonts w:ascii="Times New Roman" w:hAnsi="Times New Roman"/>
                <w:bCs/>
                <w:i/>
                <w:sz w:val="24"/>
                <w:szCs w:val="24"/>
              </w:rPr>
              <w:t xml:space="preserve">kas ir krietni zem augstākā līmeņa </w:t>
            </w:r>
            <w:r w:rsidR="000E6CAD">
              <w:rPr>
                <w:rFonts w:ascii="Times New Roman" w:hAnsi="Times New Roman"/>
                <w:bCs/>
                <w:i/>
                <w:sz w:val="24"/>
                <w:szCs w:val="24"/>
              </w:rPr>
              <w:t>šī gadsimta pirmās desmitgades</w:t>
            </w:r>
            <w:r w:rsidR="00562491" w:rsidRPr="00850216">
              <w:rPr>
                <w:rFonts w:ascii="Times New Roman" w:hAnsi="Times New Roman"/>
                <w:bCs/>
                <w:i/>
                <w:sz w:val="24"/>
                <w:szCs w:val="24"/>
              </w:rPr>
              <w:t xml:space="preserve"> sākumā)</w:t>
            </w:r>
            <w:r w:rsidR="000E6CAD">
              <w:rPr>
                <w:rFonts w:ascii="Times New Roman" w:hAnsi="Times New Roman"/>
                <w:bCs/>
                <w:i/>
                <w:sz w:val="24"/>
                <w:szCs w:val="24"/>
              </w:rPr>
              <w:t>.</w:t>
            </w:r>
          </w:p>
          <w:p w:rsidR="004142A5" w:rsidRDefault="004142A5" w:rsidP="0079094E">
            <w:pPr>
              <w:spacing w:after="120" w:line="240" w:lineRule="auto"/>
              <w:jc w:val="both"/>
              <w:rPr>
                <w:rFonts w:ascii="Times New Roman" w:hAnsi="Times New Roman"/>
                <w:bCs/>
                <w:i/>
                <w:sz w:val="24"/>
                <w:szCs w:val="24"/>
              </w:rPr>
            </w:pPr>
            <w:r w:rsidRPr="004142A5">
              <w:rPr>
                <w:rFonts w:ascii="Times New Roman" w:hAnsi="Times New Roman"/>
                <w:bCs/>
                <w:i/>
                <w:sz w:val="24"/>
                <w:szCs w:val="24"/>
              </w:rPr>
              <w:t>Nerezidentu noguldījumu termiņstruktūras specifika, proti, īstermiņa noguldījumu pārsvars kopējā nerezidentu noguldījumu atlikumā (2013.gada novembra beigās noguldījumu uz pieprasījuma īpatsvars kopējā nerezidentu noguldījumu atlikumā Latvijas kredītiestādēs bija 88%, pretstatā 63,4% rezidentu noguldījumiem), padara tos par svārstīgu finansējuma avotu un tādējādi paaugstina kredītiestāžu finansējuma un likviditātes risku.</w:t>
            </w:r>
          </w:p>
          <w:p w:rsidR="003D2F43" w:rsidRPr="00850216" w:rsidRDefault="003D2F43" w:rsidP="00F75F08">
            <w:pPr>
              <w:spacing w:after="120" w:line="240" w:lineRule="auto"/>
              <w:jc w:val="both"/>
              <w:rPr>
                <w:rFonts w:ascii="Times New Roman" w:hAnsi="Times New Roman"/>
                <w:bCs/>
                <w:i/>
                <w:sz w:val="24"/>
                <w:szCs w:val="24"/>
              </w:rPr>
            </w:pPr>
            <w:r w:rsidRPr="003D2F43">
              <w:rPr>
                <w:rFonts w:ascii="Times New Roman" w:hAnsi="Times New Roman"/>
                <w:bCs/>
                <w:i/>
                <w:sz w:val="24"/>
                <w:szCs w:val="24"/>
              </w:rPr>
              <w:t xml:space="preserve">2013.gada novembra beigās nerezidentu noguldījumu apjoms sasniedza 6,4 miljardus latu, veidojot aptuveni 1/3 no Latvijas IKP, taču tas skatāms kontekstā ar visu Latvijas kredītiestāžu sektoru, kas 2013.gada novembra beigās  </w:t>
            </w:r>
            <w:r w:rsidRPr="003D2F43">
              <w:rPr>
                <w:rFonts w:ascii="Times New Roman" w:hAnsi="Times New Roman"/>
                <w:bCs/>
                <w:i/>
                <w:sz w:val="24"/>
                <w:szCs w:val="24"/>
              </w:rPr>
              <w:lastRenderedPageBreak/>
              <w:t>veidoja 122,1% no prognozētā IKP</w:t>
            </w:r>
            <w:r w:rsidR="00F75F08">
              <w:rPr>
                <w:rStyle w:val="FootnoteReference"/>
                <w:rFonts w:ascii="Times New Roman" w:hAnsi="Times New Roman"/>
                <w:bCs/>
                <w:i/>
                <w:sz w:val="24"/>
                <w:szCs w:val="24"/>
              </w:rPr>
              <w:footnoteReference w:id="1"/>
            </w:r>
            <w:r w:rsidRPr="003D2F43">
              <w:rPr>
                <w:rFonts w:ascii="Times New Roman" w:hAnsi="Times New Roman"/>
                <w:bCs/>
                <w:i/>
                <w:sz w:val="24"/>
                <w:szCs w:val="24"/>
              </w:rPr>
              <w:t>. Lai pārvaldītu uz nerezidentu klientu apkalpošanu orientētu kredītiestāžu likviditātes risku, tās ir ieguldījušas no noguldījumiem piesaistītos līdzekļus diversificētā likvīdu ārvalstu aktīvu portfelī – to vidējais likviditātes rādītājs 2013.gada novembra beigās bija 77,5% (minimālā prasība – 30%).  Šo kredītiestāžu biznesa modelim atbilstošu likviditātes rezervju turējuma nodrošināšanai FKTK padome 2013.gada februārī pieņēma lēmumu par individuālas minimālās likviditātes prasības noteikšanu kredītiestādēm atkarībā no nerezidentu noguldījumu īpatsvara to aktīvu kopapjomā.</w:t>
            </w:r>
          </w:p>
        </w:tc>
        <w:tc>
          <w:tcPr>
            <w:tcW w:w="660" w:type="pct"/>
            <w:gridSpan w:val="3"/>
            <w:tcBorders>
              <w:top w:val="single" w:sz="4" w:space="0" w:color="auto"/>
              <w:left w:val="single" w:sz="4" w:space="0" w:color="auto"/>
              <w:bottom w:val="dashed" w:sz="4" w:space="0" w:color="auto"/>
              <w:right w:val="single" w:sz="4" w:space="0" w:color="auto"/>
            </w:tcBorders>
          </w:tcPr>
          <w:p w:rsidR="00562491" w:rsidRDefault="00562491" w:rsidP="006427A2">
            <w:pPr>
              <w:spacing w:before="120" w:after="0" w:line="240" w:lineRule="auto"/>
              <w:jc w:val="both"/>
              <w:rPr>
                <w:rFonts w:ascii="Times New Roman" w:hAnsi="Times New Roman"/>
                <w:sz w:val="24"/>
                <w:szCs w:val="24"/>
              </w:rPr>
            </w:pPr>
          </w:p>
        </w:tc>
        <w:tc>
          <w:tcPr>
            <w:tcW w:w="375" w:type="pct"/>
            <w:tcBorders>
              <w:top w:val="single" w:sz="4" w:space="0" w:color="auto"/>
              <w:left w:val="single" w:sz="4" w:space="0" w:color="auto"/>
              <w:bottom w:val="dashed" w:sz="4" w:space="0" w:color="auto"/>
              <w:right w:val="single" w:sz="4" w:space="0" w:color="auto"/>
            </w:tcBorders>
          </w:tcPr>
          <w:p w:rsidR="00562491" w:rsidRDefault="00562491" w:rsidP="006427A2">
            <w:pPr>
              <w:spacing w:before="120" w:after="0" w:line="240" w:lineRule="auto"/>
              <w:jc w:val="both"/>
              <w:rPr>
                <w:rFonts w:ascii="Times New Roman" w:hAnsi="Times New Roman"/>
                <w:color w:val="000000"/>
                <w:sz w:val="24"/>
                <w:szCs w:val="24"/>
              </w:rPr>
            </w:pPr>
          </w:p>
        </w:tc>
        <w:tc>
          <w:tcPr>
            <w:tcW w:w="1285" w:type="pct"/>
            <w:gridSpan w:val="3"/>
            <w:tcBorders>
              <w:top w:val="single" w:sz="4" w:space="0" w:color="auto"/>
              <w:left w:val="single" w:sz="4" w:space="0" w:color="auto"/>
              <w:bottom w:val="dashed" w:sz="4" w:space="0" w:color="auto"/>
              <w:right w:val="single" w:sz="4" w:space="0" w:color="auto"/>
            </w:tcBorders>
          </w:tcPr>
          <w:p w:rsidR="00562491" w:rsidRDefault="00562491" w:rsidP="006427A2">
            <w:pPr>
              <w:pStyle w:val="ListParagraph"/>
              <w:numPr>
                <w:ilvl w:val="0"/>
                <w:numId w:val="0"/>
              </w:numPr>
              <w:spacing w:before="120" w:after="0" w:line="240" w:lineRule="auto"/>
              <w:ind w:left="360"/>
              <w:jc w:val="both"/>
              <w:rPr>
                <w:rFonts w:ascii="Times New Roman" w:hAnsi="Times New Roman"/>
                <w:bCs/>
                <w:color w:val="000000"/>
                <w:sz w:val="24"/>
                <w:szCs w:val="24"/>
              </w:rPr>
            </w:pPr>
          </w:p>
        </w:tc>
        <w:tc>
          <w:tcPr>
            <w:tcW w:w="666" w:type="pct"/>
            <w:tcBorders>
              <w:top w:val="single" w:sz="4" w:space="0" w:color="auto"/>
              <w:left w:val="single" w:sz="4" w:space="0" w:color="auto"/>
              <w:bottom w:val="dashed" w:sz="4" w:space="0" w:color="auto"/>
              <w:right w:val="single" w:sz="4" w:space="0" w:color="auto"/>
            </w:tcBorders>
          </w:tcPr>
          <w:p w:rsidR="00562491" w:rsidRDefault="00562491" w:rsidP="006427A2">
            <w:pPr>
              <w:pStyle w:val="CommentText"/>
              <w:spacing w:before="120" w:after="0" w:line="240" w:lineRule="auto"/>
              <w:jc w:val="both"/>
              <w:rPr>
                <w:rFonts w:ascii="Times New Roman" w:eastAsia="Times New Roman" w:hAnsi="Times New Roman"/>
                <w:color w:val="000000"/>
                <w:lang w:eastAsia="lv-LV"/>
              </w:rPr>
            </w:pPr>
          </w:p>
        </w:tc>
      </w:tr>
      <w:tr w:rsidR="00562491" w:rsidTr="00B42439">
        <w:tc>
          <w:tcPr>
            <w:tcW w:w="2014" w:type="pct"/>
            <w:tcBorders>
              <w:top w:val="dashed" w:sz="4" w:space="0" w:color="auto"/>
              <w:left w:val="single" w:sz="4" w:space="0" w:color="auto"/>
              <w:bottom w:val="dashed" w:sz="4" w:space="0" w:color="auto"/>
              <w:right w:val="single" w:sz="4" w:space="0" w:color="auto"/>
            </w:tcBorders>
          </w:tcPr>
          <w:p w:rsidR="00562491" w:rsidRPr="00562491" w:rsidRDefault="00562491" w:rsidP="0079094E">
            <w:pPr>
              <w:spacing w:after="120" w:line="240" w:lineRule="auto"/>
              <w:jc w:val="both"/>
              <w:rPr>
                <w:rFonts w:ascii="Times New Roman" w:hAnsi="Times New Roman"/>
                <w:bCs/>
                <w:color w:val="000000"/>
                <w:sz w:val="24"/>
                <w:szCs w:val="24"/>
              </w:rPr>
            </w:pPr>
            <w:r w:rsidRPr="00562491">
              <w:rPr>
                <w:rFonts w:ascii="Times New Roman" w:hAnsi="Times New Roman"/>
                <w:bCs/>
                <w:color w:val="000000"/>
                <w:sz w:val="24"/>
                <w:szCs w:val="24"/>
              </w:rPr>
              <w:lastRenderedPageBreak/>
              <w:t>Rīcībai:</w:t>
            </w:r>
          </w:p>
          <w:p w:rsidR="00562491" w:rsidRDefault="00562491" w:rsidP="0079094E">
            <w:pPr>
              <w:spacing w:after="120" w:line="240" w:lineRule="auto"/>
              <w:jc w:val="both"/>
              <w:rPr>
                <w:rFonts w:ascii="Times New Roman" w:hAnsi="Times New Roman"/>
                <w:bCs/>
                <w:color w:val="000000"/>
                <w:sz w:val="24"/>
                <w:szCs w:val="24"/>
              </w:rPr>
            </w:pPr>
            <w:r w:rsidRPr="00562491">
              <w:rPr>
                <w:rFonts w:ascii="Times New Roman" w:hAnsi="Times New Roman"/>
                <w:bCs/>
                <w:color w:val="000000"/>
                <w:sz w:val="24"/>
                <w:szCs w:val="24"/>
              </w:rPr>
              <w:t>(2) Turpināt piemērot FKTK padomes 2013.gada februāra lēmuma par individuālas minimālās likviditātes prasības noteikšanu kredītiestādēm atkarībā no nerezidentu noguldījumu īpatsvara to aktīvu kopapjom</w:t>
            </w:r>
            <w:r w:rsidR="00A976DA">
              <w:rPr>
                <w:rFonts w:ascii="Times New Roman" w:hAnsi="Times New Roman"/>
                <w:bCs/>
                <w:color w:val="000000"/>
                <w:sz w:val="24"/>
                <w:szCs w:val="24"/>
              </w:rPr>
              <w:t>ā</w:t>
            </w:r>
            <w:r w:rsidR="00717E16">
              <w:rPr>
                <w:rFonts w:ascii="Times New Roman" w:hAnsi="Times New Roman"/>
                <w:bCs/>
                <w:color w:val="000000"/>
                <w:sz w:val="24"/>
                <w:szCs w:val="24"/>
              </w:rPr>
              <w:t>; sekot līdzi</w:t>
            </w:r>
            <w:r w:rsidR="00717E16" w:rsidRPr="00717E16">
              <w:rPr>
                <w:rFonts w:ascii="Times New Roman" w:hAnsi="Times New Roman"/>
                <w:bCs/>
                <w:color w:val="000000"/>
                <w:sz w:val="24"/>
                <w:szCs w:val="24"/>
              </w:rPr>
              <w:t xml:space="preserve"> aktīvu un pasīvu termiņstruktūrai </w:t>
            </w:r>
            <w:r w:rsidR="00717E16">
              <w:rPr>
                <w:rFonts w:ascii="Times New Roman" w:hAnsi="Times New Roman"/>
                <w:bCs/>
                <w:color w:val="000000"/>
                <w:sz w:val="24"/>
                <w:szCs w:val="24"/>
              </w:rPr>
              <w:t>kredītiestādēs, kuru darbība orientēta uz nerezidentu apkalpošanu.</w:t>
            </w:r>
          </w:p>
        </w:tc>
        <w:tc>
          <w:tcPr>
            <w:tcW w:w="660" w:type="pct"/>
            <w:gridSpan w:val="3"/>
            <w:tcBorders>
              <w:top w:val="dashed" w:sz="4" w:space="0" w:color="auto"/>
              <w:left w:val="single" w:sz="4" w:space="0" w:color="auto"/>
              <w:bottom w:val="dashed" w:sz="4" w:space="0" w:color="auto"/>
              <w:right w:val="single" w:sz="4" w:space="0" w:color="auto"/>
            </w:tcBorders>
          </w:tcPr>
          <w:p w:rsidR="00562491" w:rsidRDefault="00562491" w:rsidP="0079094E">
            <w:pPr>
              <w:spacing w:after="120" w:line="240" w:lineRule="auto"/>
              <w:jc w:val="both"/>
              <w:rPr>
                <w:rFonts w:ascii="Times New Roman" w:hAnsi="Times New Roman"/>
                <w:sz w:val="24"/>
                <w:szCs w:val="24"/>
              </w:rPr>
            </w:pPr>
            <w:r w:rsidRPr="00562491">
              <w:rPr>
                <w:rFonts w:ascii="Times New Roman" w:hAnsi="Times New Roman"/>
                <w:sz w:val="24"/>
                <w:szCs w:val="24"/>
              </w:rPr>
              <w:t>Pastāvīgi</w:t>
            </w:r>
          </w:p>
        </w:tc>
        <w:tc>
          <w:tcPr>
            <w:tcW w:w="375" w:type="pct"/>
            <w:tcBorders>
              <w:top w:val="dashed" w:sz="4" w:space="0" w:color="auto"/>
              <w:left w:val="single" w:sz="4" w:space="0" w:color="auto"/>
              <w:bottom w:val="dashed" w:sz="4" w:space="0" w:color="auto"/>
              <w:right w:val="single" w:sz="4" w:space="0" w:color="auto"/>
            </w:tcBorders>
          </w:tcPr>
          <w:p w:rsidR="00562491" w:rsidRDefault="00392469"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FKTK</w:t>
            </w:r>
          </w:p>
        </w:tc>
        <w:tc>
          <w:tcPr>
            <w:tcW w:w="1285" w:type="pct"/>
            <w:gridSpan w:val="3"/>
            <w:tcBorders>
              <w:top w:val="dashed" w:sz="4" w:space="0" w:color="auto"/>
              <w:left w:val="single" w:sz="4" w:space="0" w:color="auto"/>
              <w:bottom w:val="dashed" w:sz="4" w:space="0" w:color="auto"/>
              <w:right w:val="single" w:sz="4" w:space="0" w:color="auto"/>
            </w:tcBorders>
          </w:tcPr>
          <w:p w:rsidR="00562491" w:rsidRPr="0045704C" w:rsidRDefault="00670BA7" w:rsidP="0045704C">
            <w:pPr>
              <w:pStyle w:val="ListParagraph"/>
              <w:numPr>
                <w:ilvl w:val="0"/>
                <w:numId w:val="0"/>
              </w:numPr>
              <w:spacing w:after="120" w:line="240" w:lineRule="auto"/>
              <w:jc w:val="both"/>
              <w:rPr>
                <w:rFonts w:ascii="Times New Roman" w:hAnsi="Times New Roman"/>
                <w:bCs/>
                <w:color w:val="000000"/>
                <w:sz w:val="24"/>
                <w:szCs w:val="24"/>
              </w:rPr>
            </w:pPr>
            <w:r w:rsidRPr="0045704C">
              <w:rPr>
                <w:rFonts w:ascii="Times New Roman" w:hAnsi="Times New Roman"/>
                <w:bCs/>
                <w:color w:val="000000"/>
                <w:sz w:val="24"/>
                <w:szCs w:val="24"/>
              </w:rPr>
              <w:t>Veikt visas no pasākuma izrietošās tiešās darbības</w:t>
            </w:r>
            <w:r w:rsidR="00A976DA" w:rsidRPr="0045704C">
              <w:rPr>
                <w:rFonts w:ascii="Times New Roman" w:hAnsi="Times New Roman"/>
                <w:bCs/>
                <w:color w:val="000000"/>
                <w:sz w:val="24"/>
                <w:szCs w:val="24"/>
              </w:rPr>
              <w:t>.</w:t>
            </w:r>
            <w:r w:rsidR="00335258" w:rsidRPr="0045704C">
              <w:rPr>
                <w:rFonts w:ascii="Times New Roman" w:hAnsi="Times New Roman"/>
                <w:color w:val="000000"/>
                <w:sz w:val="24"/>
                <w:szCs w:val="24"/>
                <w:vertAlign w:val="superscript"/>
              </w:rPr>
              <w:t>i</w:t>
            </w:r>
          </w:p>
        </w:tc>
        <w:tc>
          <w:tcPr>
            <w:tcW w:w="666" w:type="pct"/>
            <w:tcBorders>
              <w:top w:val="dashed" w:sz="4" w:space="0" w:color="auto"/>
              <w:left w:val="single" w:sz="4" w:space="0" w:color="auto"/>
              <w:bottom w:val="dashed" w:sz="4" w:space="0" w:color="auto"/>
              <w:right w:val="single" w:sz="4" w:space="0" w:color="auto"/>
            </w:tcBorders>
          </w:tcPr>
          <w:p w:rsidR="00562491" w:rsidRDefault="00387738" w:rsidP="000F27A0">
            <w:pPr>
              <w:pStyle w:val="CommentText"/>
              <w:spacing w:after="120" w:line="240" w:lineRule="auto"/>
              <w:jc w:val="both"/>
              <w:rPr>
                <w:rFonts w:ascii="Times New Roman" w:eastAsia="Times New Roman" w:hAnsi="Times New Roman"/>
                <w:color w:val="000000"/>
                <w:lang w:eastAsia="lv-LV"/>
              </w:rPr>
            </w:pPr>
            <w:r w:rsidRPr="002F1F0C">
              <w:rPr>
                <w:rFonts w:ascii="Times New Roman" w:eastAsia="Times New Roman" w:hAnsi="Times New Roman"/>
                <w:color w:val="000000"/>
                <w:lang w:eastAsia="lv-LV"/>
              </w:rPr>
              <w:t>FKTK budžeta ietvaros.</w:t>
            </w:r>
          </w:p>
        </w:tc>
      </w:tr>
      <w:tr w:rsidR="00C15B01" w:rsidTr="00B42439">
        <w:tc>
          <w:tcPr>
            <w:tcW w:w="2014" w:type="pct"/>
            <w:tcBorders>
              <w:top w:val="dashed" w:sz="4" w:space="0" w:color="auto"/>
              <w:left w:val="single" w:sz="4" w:space="0" w:color="auto"/>
              <w:bottom w:val="dashed" w:sz="4" w:space="0" w:color="auto"/>
              <w:right w:val="single" w:sz="4" w:space="0" w:color="auto"/>
            </w:tcBorders>
          </w:tcPr>
          <w:p w:rsidR="00C15B01" w:rsidRPr="00850216" w:rsidRDefault="00C15B01" w:rsidP="0079094E">
            <w:pPr>
              <w:spacing w:after="120" w:line="240" w:lineRule="auto"/>
              <w:jc w:val="both"/>
              <w:rPr>
                <w:rFonts w:ascii="Times New Roman" w:hAnsi="Times New Roman"/>
                <w:bCs/>
                <w:i/>
                <w:sz w:val="24"/>
                <w:szCs w:val="24"/>
              </w:rPr>
            </w:pPr>
            <w:r>
              <w:rPr>
                <w:rFonts w:ascii="Times New Roman" w:hAnsi="Times New Roman"/>
                <w:bCs/>
                <w:color w:val="000000"/>
                <w:sz w:val="24"/>
                <w:szCs w:val="24"/>
              </w:rPr>
              <w:t xml:space="preserve"> (3) </w:t>
            </w:r>
            <w:r w:rsidRPr="00745B16">
              <w:rPr>
                <w:rFonts w:ascii="Times New Roman" w:hAnsi="Times New Roman"/>
                <w:bCs/>
                <w:color w:val="000000"/>
                <w:sz w:val="24"/>
                <w:szCs w:val="24"/>
              </w:rPr>
              <w:t>Lai  preventīvi ierobežotu makroeonomisko risku veidošanos</w:t>
            </w:r>
            <w:r>
              <w:rPr>
                <w:rFonts w:ascii="Times New Roman" w:hAnsi="Times New Roman"/>
                <w:bCs/>
                <w:color w:val="000000"/>
                <w:sz w:val="24"/>
                <w:szCs w:val="24"/>
              </w:rPr>
              <w:t>, uzraudzītu nerezidentu depozītu struktūru, pilnveidot regulējumu nosakot nerezidentu pieprasījumu depozītiem stingrākas prasības nekā termiņa depozītiem</w:t>
            </w:r>
            <w:r w:rsidR="00A976DA">
              <w:rPr>
                <w:rFonts w:ascii="Times New Roman" w:hAnsi="Times New Roman"/>
                <w:bCs/>
                <w:color w:val="000000"/>
                <w:sz w:val="24"/>
                <w:szCs w:val="24"/>
              </w:rPr>
              <w:t>.</w:t>
            </w:r>
          </w:p>
        </w:tc>
        <w:tc>
          <w:tcPr>
            <w:tcW w:w="660" w:type="pct"/>
            <w:gridSpan w:val="3"/>
            <w:tcBorders>
              <w:top w:val="dashed" w:sz="4" w:space="0" w:color="auto"/>
              <w:left w:val="single" w:sz="4" w:space="0" w:color="auto"/>
              <w:bottom w:val="dashed" w:sz="4" w:space="0" w:color="auto"/>
              <w:right w:val="single" w:sz="4" w:space="0" w:color="auto"/>
            </w:tcBorders>
          </w:tcPr>
          <w:p w:rsidR="00C15B01" w:rsidRDefault="00C15B01" w:rsidP="0079094E">
            <w:pPr>
              <w:spacing w:after="120" w:line="240" w:lineRule="auto"/>
              <w:jc w:val="both"/>
              <w:rPr>
                <w:rFonts w:ascii="Times New Roman" w:hAnsi="Times New Roman"/>
                <w:sz w:val="24"/>
                <w:szCs w:val="24"/>
              </w:rPr>
            </w:pPr>
            <w:r>
              <w:rPr>
                <w:rFonts w:ascii="Times New Roman" w:hAnsi="Times New Roman"/>
                <w:sz w:val="24"/>
                <w:szCs w:val="24"/>
              </w:rPr>
              <w:t>31.12.2014</w:t>
            </w:r>
            <w:r w:rsidR="000F27A0">
              <w:rPr>
                <w:rFonts w:ascii="Times New Roman" w:hAnsi="Times New Roman"/>
                <w:sz w:val="24"/>
                <w:szCs w:val="24"/>
              </w:rPr>
              <w:t>.</w:t>
            </w:r>
          </w:p>
          <w:p w:rsidR="00C15B01" w:rsidRDefault="00C15B01" w:rsidP="0079094E">
            <w:pPr>
              <w:spacing w:after="120" w:line="240" w:lineRule="auto"/>
              <w:jc w:val="both"/>
              <w:rPr>
                <w:rFonts w:ascii="Times New Roman" w:hAnsi="Times New Roman"/>
                <w:sz w:val="24"/>
                <w:szCs w:val="24"/>
              </w:rPr>
            </w:pPr>
          </w:p>
          <w:p w:rsidR="00C15B01" w:rsidRDefault="00C15B01" w:rsidP="0079094E">
            <w:pPr>
              <w:spacing w:after="120" w:line="240" w:lineRule="auto"/>
              <w:jc w:val="both"/>
              <w:rPr>
                <w:rFonts w:ascii="Times New Roman" w:hAnsi="Times New Roman"/>
                <w:sz w:val="24"/>
                <w:szCs w:val="24"/>
              </w:rPr>
            </w:pPr>
          </w:p>
        </w:tc>
        <w:tc>
          <w:tcPr>
            <w:tcW w:w="375" w:type="pct"/>
            <w:tcBorders>
              <w:top w:val="dashed" w:sz="4" w:space="0" w:color="auto"/>
              <w:left w:val="single" w:sz="4" w:space="0" w:color="auto"/>
              <w:bottom w:val="dashed" w:sz="4" w:space="0" w:color="auto"/>
              <w:right w:val="single" w:sz="4" w:space="0" w:color="auto"/>
            </w:tcBorders>
          </w:tcPr>
          <w:p w:rsidR="00C15B01" w:rsidRDefault="00C15B01"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FKTK</w:t>
            </w:r>
          </w:p>
        </w:tc>
        <w:tc>
          <w:tcPr>
            <w:tcW w:w="1285" w:type="pct"/>
            <w:gridSpan w:val="3"/>
            <w:tcBorders>
              <w:top w:val="dashed" w:sz="4" w:space="0" w:color="auto"/>
              <w:left w:val="single" w:sz="4" w:space="0" w:color="auto"/>
              <w:bottom w:val="dashed" w:sz="4" w:space="0" w:color="auto"/>
              <w:right w:val="single" w:sz="4" w:space="0" w:color="auto"/>
            </w:tcBorders>
          </w:tcPr>
          <w:p w:rsidR="00C15B01" w:rsidRPr="0045704C" w:rsidRDefault="00227AE3" w:rsidP="0045704C">
            <w:pPr>
              <w:pStyle w:val="ListParagraph"/>
              <w:numPr>
                <w:ilvl w:val="0"/>
                <w:numId w:val="0"/>
              </w:numPr>
              <w:spacing w:after="120" w:line="240" w:lineRule="auto"/>
              <w:jc w:val="both"/>
              <w:rPr>
                <w:rFonts w:ascii="Times New Roman" w:hAnsi="Times New Roman"/>
                <w:bCs/>
                <w:color w:val="000000"/>
                <w:sz w:val="24"/>
                <w:szCs w:val="24"/>
              </w:rPr>
            </w:pPr>
            <w:r w:rsidRPr="0045704C">
              <w:rPr>
                <w:rFonts w:ascii="Times New Roman" w:eastAsiaTheme="minorEastAsia" w:hAnsi="Times New Roman"/>
                <w:color w:val="000000"/>
                <w:sz w:val="24"/>
                <w:szCs w:val="24"/>
              </w:rPr>
              <w:t>Monitorēt kredītiestāžu termiņstruktūru, t.sk., nepieciešamības gadījumā izmantot uzraudzības pārbaudes procesa (Pillar 2) instrumentus."</w:t>
            </w:r>
          </w:p>
        </w:tc>
        <w:tc>
          <w:tcPr>
            <w:tcW w:w="666" w:type="pct"/>
            <w:tcBorders>
              <w:top w:val="dashed" w:sz="4" w:space="0" w:color="auto"/>
              <w:left w:val="single" w:sz="4" w:space="0" w:color="auto"/>
              <w:bottom w:val="dashed" w:sz="4" w:space="0" w:color="auto"/>
              <w:right w:val="single" w:sz="4" w:space="0" w:color="auto"/>
            </w:tcBorders>
          </w:tcPr>
          <w:p w:rsidR="00C15B01" w:rsidRDefault="00387738" w:rsidP="000F27A0">
            <w:pPr>
              <w:pStyle w:val="CommentText"/>
              <w:spacing w:after="120" w:line="240" w:lineRule="auto"/>
              <w:jc w:val="both"/>
              <w:rPr>
                <w:rFonts w:ascii="Times New Roman" w:eastAsia="Times New Roman" w:hAnsi="Times New Roman"/>
                <w:color w:val="000000"/>
                <w:lang w:eastAsia="lv-LV"/>
              </w:rPr>
            </w:pPr>
            <w:r w:rsidRPr="002F1F0C">
              <w:rPr>
                <w:rFonts w:ascii="Times New Roman" w:eastAsia="Times New Roman" w:hAnsi="Times New Roman"/>
                <w:color w:val="000000"/>
                <w:lang w:eastAsia="lv-LV"/>
              </w:rPr>
              <w:t>FKTK budžeta ietvaros.</w:t>
            </w:r>
          </w:p>
        </w:tc>
      </w:tr>
      <w:tr w:rsidR="00850216" w:rsidTr="00B42439">
        <w:tc>
          <w:tcPr>
            <w:tcW w:w="2014" w:type="pct"/>
            <w:tcBorders>
              <w:top w:val="dashed" w:sz="4" w:space="0" w:color="auto"/>
              <w:left w:val="single" w:sz="4" w:space="0" w:color="auto"/>
              <w:bottom w:val="dashed" w:sz="4" w:space="0" w:color="auto"/>
              <w:right w:val="single" w:sz="4" w:space="0" w:color="auto"/>
            </w:tcBorders>
          </w:tcPr>
          <w:p w:rsidR="004142A5" w:rsidRDefault="004142A5" w:rsidP="0079094E">
            <w:pPr>
              <w:spacing w:after="120" w:line="240" w:lineRule="auto"/>
              <w:jc w:val="both"/>
              <w:rPr>
                <w:rFonts w:ascii="Times New Roman" w:hAnsi="Times New Roman"/>
                <w:bCs/>
                <w:i/>
                <w:sz w:val="24"/>
                <w:szCs w:val="24"/>
              </w:rPr>
            </w:pPr>
            <w:r w:rsidRPr="004142A5">
              <w:rPr>
                <w:rFonts w:ascii="Times New Roman" w:hAnsi="Times New Roman"/>
                <w:bCs/>
                <w:i/>
                <w:sz w:val="24"/>
                <w:szCs w:val="24"/>
              </w:rPr>
              <w:t xml:space="preserve">Uz nerezidentu klientu apkalpošanu orientētas bankas ir labi kapitalizētas (2013.gada novembrī kapitāla pietiekamības rādītājs – 17,4%, vairāk kā divas reizes pārsniedzot regulējošo minimumu). Kopš 2011.gada vidus šīm bankām ik gadu tiek pārskatītas papildus individuālās kapitāla prasības, balstoties uz kritērijiem, kas ņem vērā gan nerezidentu noguldījumu apmēru, aizdevumu apmēru </w:t>
            </w:r>
            <w:r w:rsidRPr="004142A5">
              <w:rPr>
                <w:rFonts w:ascii="Times New Roman" w:hAnsi="Times New Roman"/>
                <w:bCs/>
                <w:i/>
                <w:sz w:val="24"/>
                <w:szCs w:val="24"/>
              </w:rPr>
              <w:lastRenderedPageBreak/>
              <w:t>nerezidentu klientiem, kā arī to pieauguma tempu (šobrīd tā svārstās no 0.4 līdz 9.7 procentu punktiem virs 8% kapitāla pietiekamības prasības).</w:t>
            </w:r>
          </w:p>
          <w:p w:rsidR="004142A5" w:rsidRPr="00850216" w:rsidRDefault="004142A5" w:rsidP="0079094E">
            <w:pPr>
              <w:spacing w:after="120" w:line="240" w:lineRule="auto"/>
              <w:jc w:val="both"/>
              <w:rPr>
                <w:rFonts w:ascii="Times New Roman" w:hAnsi="Times New Roman"/>
                <w:bCs/>
                <w:i/>
                <w:sz w:val="24"/>
                <w:szCs w:val="24"/>
              </w:rPr>
            </w:pPr>
          </w:p>
        </w:tc>
        <w:tc>
          <w:tcPr>
            <w:tcW w:w="660" w:type="pct"/>
            <w:gridSpan w:val="3"/>
            <w:tcBorders>
              <w:top w:val="dashed" w:sz="4" w:space="0" w:color="auto"/>
              <w:left w:val="single" w:sz="4" w:space="0" w:color="auto"/>
              <w:bottom w:val="dashed" w:sz="4" w:space="0" w:color="auto"/>
              <w:right w:val="single" w:sz="4" w:space="0" w:color="auto"/>
            </w:tcBorders>
          </w:tcPr>
          <w:p w:rsidR="00850216" w:rsidRDefault="00850216" w:rsidP="0079094E">
            <w:pPr>
              <w:spacing w:after="120" w:line="240" w:lineRule="auto"/>
              <w:jc w:val="both"/>
              <w:rPr>
                <w:rFonts w:ascii="Times New Roman" w:hAnsi="Times New Roman"/>
                <w:sz w:val="24"/>
                <w:szCs w:val="24"/>
              </w:rPr>
            </w:pPr>
          </w:p>
        </w:tc>
        <w:tc>
          <w:tcPr>
            <w:tcW w:w="375" w:type="pct"/>
            <w:tcBorders>
              <w:top w:val="dashed" w:sz="4" w:space="0" w:color="auto"/>
              <w:left w:val="single" w:sz="4" w:space="0" w:color="auto"/>
              <w:bottom w:val="dashed" w:sz="4" w:space="0" w:color="auto"/>
              <w:right w:val="single" w:sz="4" w:space="0" w:color="auto"/>
            </w:tcBorders>
          </w:tcPr>
          <w:p w:rsidR="00850216" w:rsidRDefault="00850216" w:rsidP="0079094E">
            <w:pPr>
              <w:spacing w:after="120" w:line="240" w:lineRule="auto"/>
              <w:jc w:val="both"/>
              <w:rPr>
                <w:rFonts w:ascii="Times New Roman" w:hAnsi="Times New Roman"/>
                <w:color w:val="000000"/>
                <w:sz w:val="24"/>
                <w:szCs w:val="24"/>
              </w:rPr>
            </w:pPr>
          </w:p>
        </w:tc>
        <w:tc>
          <w:tcPr>
            <w:tcW w:w="1285" w:type="pct"/>
            <w:gridSpan w:val="3"/>
            <w:tcBorders>
              <w:top w:val="dashed" w:sz="4" w:space="0" w:color="auto"/>
              <w:left w:val="single" w:sz="4" w:space="0" w:color="auto"/>
              <w:bottom w:val="dashed" w:sz="4" w:space="0" w:color="auto"/>
              <w:right w:val="single" w:sz="4" w:space="0" w:color="auto"/>
            </w:tcBorders>
          </w:tcPr>
          <w:p w:rsidR="00850216" w:rsidRPr="00643D59" w:rsidRDefault="00850216" w:rsidP="0079094E">
            <w:pPr>
              <w:pStyle w:val="ListParagraph"/>
              <w:numPr>
                <w:ilvl w:val="0"/>
                <w:numId w:val="0"/>
              </w:numPr>
              <w:spacing w:after="120" w:line="240" w:lineRule="auto"/>
              <w:rPr>
                <w:rFonts w:ascii="Times New Roman" w:hAnsi="Times New Roman"/>
                <w:bCs/>
                <w:color w:val="000000"/>
                <w:sz w:val="24"/>
                <w:szCs w:val="24"/>
              </w:rPr>
            </w:pPr>
          </w:p>
        </w:tc>
        <w:tc>
          <w:tcPr>
            <w:tcW w:w="666" w:type="pct"/>
            <w:tcBorders>
              <w:top w:val="dashed" w:sz="4" w:space="0" w:color="auto"/>
              <w:left w:val="single" w:sz="4" w:space="0" w:color="auto"/>
              <w:bottom w:val="dashed" w:sz="4" w:space="0" w:color="auto"/>
              <w:right w:val="single" w:sz="4" w:space="0" w:color="auto"/>
            </w:tcBorders>
          </w:tcPr>
          <w:p w:rsidR="00850216" w:rsidRDefault="00850216" w:rsidP="006427A2">
            <w:pPr>
              <w:pStyle w:val="CommentText"/>
              <w:spacing w:before="120" w:after="0" w:line="240" w:lineRule="auto"/>
              <w:jc w:val="both"/>
              <w:rPr>
                <w:rFonts w:ascii="Times New Roman" w:eastAsia="Times New Roman" w:hAnsi="Times New Roman"/>
                <w:color w:val="000000"/>
                <w:lang w:eastAsia="lv-LV"/>
              </w:rPr>
            </w:pPr>
          </w:p>
        </w:tc>
      </w:tr>
      <w:tr w:rsidR="00850216" w:rsidTr="00B42439">
        <w:tc>
          <w:tcPr>
            <w:tcW w:w="2014" w:type="pct"/>
            <w:tcBorders>
              <w:top w:val="dashed" w:sz="4" w:space="0" w:color="auto"/>
              <w:left w:val="single" w:sz="4" w:space="0" w:color="auto"/>
              <w:bottom w:val="dashed" w:sz="4" w:space="0" w:color="auto"/>
              <w:right w:val="single" w:sz="4" w:space="0" w:color="auto"/>
            </w:tcBorders>
          </w:tcPr>
          <w:p w:rsidR="00F36381" w:rsidRPr="00745B16" w:rsidRDefault="00F36381" w:rsidP="0079094E">
            <w:pPr>
              <w:spacing w:after="120" w:line="240" w:lineRule="auto"/>
              <w:jc w:val="both"/>
              <w:rPr>
                <w:rFonts w:ascii="Times New Roman" w:hAnsi="Times New Roman"/>
                <w:bCs/>
                <w:color w:val="000000"/>
                <w:sz w:val="24"/>
                <w:szCs w:val="24"/>
              </w:rPr>
            </w:pPr>
            <w:r w:rsidRPr="00745B16">
              <w:rPr>
                <w:rFonts w:ascii="Times New Roman" w:hAnsi="Times New Roman"/>
                <w:bCs/>
                <w:color w:val="000000"/>
                <w:sz w:val="24"/>
                <w:szCs w:val="24"/>
              </w:rPr>
              <w:lastRenderedPageBreak/>
              <w:t>Rīcībai:</w:t>
            </w:r>
          </w:p>
          <w:p w:rsidR="00850216" w:rsidRDefault="00F36381" w:rsidP="0079094E">
            <w:pPr>
              <w:spacing w:after="120" w:line="240" w:lineRule="auto"/>
              <w:jc w:val="both"/>
              <w:rPr>
                <w:rFonts w:ascii="Times New Roman" w:hAnsi="Times New Roman"/>
                <w:sz w:val="24"/>
                <w:szCs w:val="24"/>
              </w:rPr>
            </w:pPr>
            <w:r>
              <w:rPr>
                <w:rFonts w:ascii="Times New Roman" w:hAnsi="Times New Roman"/>
                <w:sz w:val="24"/>
                <w:szCs w:val="24"/>
              </w:rPr>
              <w:t xml:space="preserve"> </w:t>
            </w:r>
            <w:r w:rsidR="00850216">
              <w:rPr>
                <w:rFonts w:ascii="Times New Roman" w:hAnsi="Times New Roman"/>
                <w:sz w:val="24"/>
                <w:szCs w:val="24"/>
              </w:rPr>
              <w:t>(</w:t>
            </w:r>
            <w:r w:rsidR="00C15B01">
              <w:rPr>
                <w:rFonts w:ascii="Times New Roman" w:hAnsi="Times New Roman"/>
                <w:sz w:val="24"/>
                <w:szCs w:val="24"/>
              </w:rPr>
              <w:t>4</w:t>
            </w:r>
            <w:r w:rsidR="00850216">
              <w:rPr>
                <w:rFonts w:ascii="Times New Roman" w:hAnsi="Times New Roman"/>
                <w:sz w:val="24"/>
                <w:szCs w:val="24"/>
              </w:rPr>
              <w:t xml:space="preserve">) </w:t>
            </w:r>
            <w:r w:rsidR="00850216" w:rsidRPr="00850216">
              <w:rPr>
                <w:rFonts w:ascii="Times New Roman" w:hAnsi="Times New Roman"/>
                <w:sz w:val="24"/>
                <w:szCs w:val="24"/>
              </w:rPr>
              <w:t xml:space="preserve">FKTK turpināt piemērot  </w:t>
            </w:r>
            <w:r w:rsidR="00850216" w:rsidRPr="00A976DA">
              <w:rPr>
                <w:rFonts w:ascii="Times New Roman" w:hAnsi="Times New Roman"/>
                <w:sz w:val="24"/>
                <w:szCs w:val="24"/>
              </w:rPr>
              <w:t>papildus individuālās kapitāla</w:t>
            </w:r>
            <w:r w:rsidR="00850216" w:rsidRPr="00850216">
              <w:rPr>
                <w:rFonts w:ascii="Times New Roman" w:hAnsi="Times New Roman"/>
                <w:i/>
                <w:sz w:val="24"/>
                <w:szCs w:val="24"/>
              </w:rPr>
              <w:t xml:space="preserve"> prasības</w:t>
            </w:r>
            <w:r w:rsidR="00850216" w:rsidRPr="00850216">
              <w:rPr>
                <w:rFonts w:ascii="Times New Roman" w:hAnsi="Times New Roman"/>
                <w:sz w:val="24"/>
                <w:szCs w:val="24"/>
              </w:rPr>
              <w:t>, lai nodrošinātu ar nerezidentu klientu apkalpošanu saistītajiem riskiem  atbilstīgu segumu.</w:t>
            </w:r>
          </w:p>
        </w:tc>
        <w:tc>
          <w:tcPr>
            <w:tcW w:w="660" w:type="pct"/>
            <w:gridSpan w:val="3"/>
            <w:tcBorders>
              <w:top w:val="dashed" w:sz="4" w:space="0" w:color="auto"/>
              <w:left w:val="single" w:sz="4" w:space="0" w:color="auto"/>
              <w:bottom w:val="dashed" w:sz="4" w:space="0" w:color="auto"/>
              <w:right w:val="single" w:sz="4" w:space="0" w:color="auto"/>
            </w:tcBorders>
          </w:tcPr>
          <w:p w:rsidR="00850216" w:rsidRDefault="00664F80" w:rsidP="0079094E">
            <w:pPr>
              <w:spacing w:after="120" w:line="240" w:lineRule="auto"/>
              <w:jc w:val="both"/>
              <w:rPr>
                <w:rFonts w:ascii="Times New Roman" w:hAnsi="Times New Roman"/>
                <w:sz w:val="24"/>
                <w:szCs w:val="24"/>
              </w:rPr>
            </w:pPr>
            <w:r>
              <w:rPr>
                <w:rFonts w:ascii="Times New Roman" w:hAnsi="Times New Roman"/>
                <w:sz w:val="24"/>
                <w:szCs w:val="24"/>
              </w:rPr>
              <w:t>Pastāvīgi</w:t>
            </w:r>
          </w:p>
        </w:tc>
        <w:tc>
          <w:tcPr>
            <w:tcW w:w="375" w:type="pct"/>
            <w:tcBorders>
              <w:top w:val="dashed" w:sz="4" w:space="0" w:color="auto"/>
              <w:left w:val="single" w:sz="4" w:space="0" w:color="auto"/>
              <w:bottom w:val="dashed" w:sz="4" w:space="0" w:color="auto"/>
              <w:right w:val="single" w:sz="4" w:space="0" w:color="auto"/>
            </w:tcBorders>
          </w:tcPr>
          <w:p w:rsidR="00850216" w:rsidRDefault="00392469"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FKTK</w:t>
            </w:r>
          </w:p>
        </w:tc>
        <w:tc>
          <w:tcPr>
            <w:tcW w:w="1285" w:type="pct"/>
            <w:gridSpan w:val="3"/>
            <w:tcBorders>
              <w:top w:val="dashed" w:sz="4" w:space="0" w:color="auto"/>
              <w:left w:val="single" w:sz="4" w:space="0" w:color="auto"/>
              <w:bottom w:val="dashed" w:sz="4" w:space="0" w:color="auto"/>
              <w:right w:val="single" w:sz="4" w:space="0" w:color="auto"/>
            </w:tcBorders>
          </w:tcPr>
          <w:p w:rsidR="00850216" w:rsidRPr="0020579C" w:rsidRDefault="00670BA7" w:rsidP="00335258">
            <w:pPr>
              <w:pStyle w:val="ListParagraph"/>
              <w:numPr>
                <w:ilvl w:val="0"/>
                <w:numId w:val="0"/>
              </w:numPr>
              <w:spacing w:after="120" w:line="240" w:lineRule="auto"/>
              <w:rPr>
                <w:rFonts w:ascii="Times New Roman" w:hAnsi="Times New Roman"/>
                <w:bCs/>
                <w:color w:val="000000"/>
                <w:sz w:val="24"/>
                <w:szCs w:val="24"/>
              </w:rPr>
            </w:pPr>
            <w:r w:rsidRPr="0020579C">
              <w:rPr>
                <w:rFonts w:ascii="Times New Roman" w:hAnsi="Times New Roman"/>
                <w:bCs/>
                <w:color w:val="000000"/>
                <w:sz w:val="24"/>
                <w:szCs w:val="24"/>
              </w:rPr>
              <w:t>Veikt visas no pasākuma izrietošās tiešās darbības</w:t>
            </w:r>
            <w:r w:rsidR="00A976DA">
              <w:rPr>
                <w:rFonts w:ascii="Times New Roman" w:hAnsi="Times New Roman"/>
                <w:bCs/>
                <w:color w:val="000000"/>
                <w:sz w:val="24"/>
                <w:szCs w:val="24"/>
              </w:rPr>
              <w:t>.</w:t>
            </w:r>
            <w:r w:rsidR="00335258">
              <w:rPr>
                <w:rFonts w:ascii="Times New Roman" w:hAnsi="Times New Roman"/>
                <w:color w:val="000000"/>
                <w:sz w:val="24"/>
                <w:szCs w:val="24"/>
                <w:vertAlign w:val="superscript"/>
              </w:rPr>
              <w:t>i</w:t>
            </w:r>
          </w:p>
        </w:tc>
        <w:tc>
          <w:tcPr>
            <w:tcW w:w="666" w:type="pct"/>
            <w:tcBorders>
              <w:top w:val="dashed" w:sz="4" w:space="0" w:color="auto"/>
              <w:left w:val="single" w:sz="4" w:space="0" w:color="auto"/>
              <w:bottom w:val="dashed" w:sz="4" w:space="0" w:color="auto"/>
              <w:right w:val="single" w:sz="4" w:space="0" w:color="auto"/>
            </w:tcBorders>
          </w:tcPr>
          <w:p w:rsidR="00850216" w:rsidRDefault="00387738" w:rsidP="000F27A0">
            <w:pPr>
              <w:pStyle w:val="CommentText"/>
              <w:spacing w:after="120" w:line="240" w:lineRule="auto"/>
              <w:jc w:val="both"/>
              <w:rPr>
                <w:rFonts w:ascii="Times New Roman" w:eastAsia="Times New Roman" w:hAnsi="Times New Roman"/>
                <w:color w:val="000000"/>
                <w:lang w:eastAsia="lv-LV"/>
              </w:rPr>
            </w:pPr>
            <w:r w:rsidRPr="002F1F0C">
              <w:rPr>
                <w:rFonts w:ascii="Times New Roman" w:eastAsia="Times New Roman" w:hAnsi="Times New Roman"/>
                <w:color w:val="000000"/>
                <w:lang w:eastAsia="lv-LV"/>
              </w:rPr>
              <w:t>FKTK budžeta ietvaros.</w:t>
            </w:r>
          </w:p>
        </w:tc>
      </w:tr>
      <w:tr w:rsidR="00850216" w:rsidTr="00B42439">
        <w:tc>
          <w:tcPr>
            <w:tcW w:w="2014" w:type="pct"/>
            <w:tcBorders>
              <w:top w:val="dashed" w:sz="4" w:space="0" w:color="auto"/>
              <w:left w:val="single" w:sz="4" w:space="0" w:color="auto"/>
              <w:bottom w:val="dashed" w:sz="4" w:space="0" w:color="auto"/>
              <w:right w:val="single" w:sz="4" w:space="0" w:color="auto"/>
            </w:tcBorders>
          </w:tcPr>
          <w:p w:rsidR="00A976DA" w:rsidRPr="00A976DA" w:rsidRDefault="00A976DA" w:rsidP="000F27A0">
            <w:pPr>
              <w:spacing w:after="120" w:line="240" w:lineRule="auto"/>
              <w:jc w:val="both"/>
              <w:rPr>
                <w:rFonts w:ascii="Times New Roman" w:hAnsi="Times New Roman"/>
                <w:b/>
                <w:bCs/>
                <w:sz w:val="24"/>
                <w:szCs w:val="24"/>
              </w:rPr>
            </w:pPr>
            <w:r w:rsidRPr="00A976DA">
              <w:rPr>
                <w:rFonts w:ascii="Times New Roman" w:hAnsi="Times New Roman"/>
                <w:b/>
                <w:bCs/>
                <w:sz w:val="24"/>
                <w:szCs w:val="24"/>
              </w:rPr>
              <w:t xml:space="preserve">1.3 Noziedzīgi iegūtu līdzekļu legalizācijas </w:t>
            </w:r>
            <w:r w:rsidR="000A0CAF">
              <w:rPr>
                <w:rFonts w:ascii="Times New Roman" w:hAnsi="Times New Roman"/>
                <w:b/>
                <w:bCs/>
                <w:sz w:val="24"/>
                <w:szCs w:val="24"/>
              </w:rPr>
              <w:t xml:space="preserve">riska </w:t>
            </w:r>
            <w:r w:rsidRPr="00A976DA">
              <w:rPr>
                <w:rFonts w:ascii="Times New Roman" w:hAnsi="Times New Roman"/>
                <w:b/>
                <w:bCs/>
                <w:sz w:val="24"/>
                <w:szCs w:val="24"/>
              </w:rPr>
              <w:t>mazināšana</w:t>
            </w:r>
          </w:p>
          <w:p w:rsidR="00850216" w:rsidRPr="00850216" w:rsidRDefault="00A976DA" w:rsidP="000F27A0">
            <w:pPr>
              <w:spacing w:after="120" w:line="240" w:lineRule="auto"/>
              <w:jc w:val="both"/>
              <w:rPr>
                <w:rFonts w:ascii="Times New Roman" w:hAnsi="Times New Roman"/>
                <w:bCs/>
                <w:i/>
                <w:sz w:val="24"/>
                <w:szCs w:val="24"/>
              </w:rPr>
            </w:pPr>
            <w:r>
              <w:rPr>
                <w:rFonts w:ascii="Times New Roman" w:hAnsi="Times New Roman"/>
                <w:bCs/>
                <w:i/>
                <w:sz w:val="24"/>
                <w:szCs w:val="24"/>
              </w:rPr>
              <w:t xml:space="preserve">Viens no riskiem saistībā ar </w:t>
            </w:r>
            <w:r w:rsidR="00850216" w:rsidRPr="00850216">
              <w:rPr>
                <w:rFonts w:ascii="Times New Roman" w:hAnsi="Times New Roman"/>
                <w:bCs/>
                <w:i/>
                <w:sz w:val="24"/>
                <w:szCs w:val="24"/>
              </w:rPr>
              <w:t>nerezidentu klientu apkalpošan</w:t>
            </w:r>
            <w:r>
              <w:rPr>
                <w:rFonts w:ascii="Times New Roman" w:hAnsi="Times New Roman"/>
                <w:bCs/>
                <w:i/>
                <w:sz w:val="24"/>
                <w:szCs w:val="24"/>
              </w:rPr>
              <w:t>u</w:t>
            </w:r>
            <w:r w:rsidR="00850216" w:rsidRPr="00850216">
              <w:rPr>
                <w:rFonts w:ascii="Times New Roman" w:hAnsi="Times New Roman"/>
                <w:bCs/>
                <w:i/>
                <w:sz w:val="24"/>
                <w:szCs w:val="24"/>
              </w:rPr>
              <w:t xml:space="preserve">, ir noziedzīgi iegūtu līdzekļu legalizācijas risks. Ievērojot šī biznesa segmenta īpatsvaru Latvijas kredītiestāžu sektorā, Latvija mērķtiecīgi pēdējās dekādes laikā ir veikusi būtiskus uzlabojumus gan normatīvajā regulējumā, gan nepieciešamo uzraudzības procedūru klāstā. </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Valstī ir izveidota noziedzīgi iegūtu līdzekļu legalizācijas un terorisma finansēšanas novēršanas institucionālā sistēma.</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Finanšu sektora attīstības padome koordinē valsts institūciju un privātā sektora sadarbību noziedzīgi iegūtu līdzekļu legalizācijas novēršanā, nosaka valsts prioritātes noziedzīgi iegūtu līdzekļu legalizācijas un terorisma finansēšanas novēršanā.</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Noziedzīgi iegūtu līdzekļu legalizācijas novēršanas dienesta Konsultatīvā padome koordinē Noziedzīgi iegūtu līdzekļu legalizācijas novēršanas dienesta (turpmāk –</w:t>
            </w:r>
            <w:r w:rsidR="00387738">
              <w:rPr>
                <w:rFonts w:ascii="Times New Roman" w:hAnsi="Times New Roman"/>
                <w:bCs/>
                <w:i/>
                <w:sz w:val="24"/>
                <w:szCs w:val="24"/>
              </w:rPr>
              <w:t xml:space="preserve"> KD</w:t>
            </w:r>
            <w:r w:rsidRPr="00850216">
              <w:rPr>
                <w:rFonts w:ascii="Times New Roman" w:hAnsi="Times New Roman"/>
                <w:bCs/>
                <w:i/>
                <w:sz w:val="24"/>
                <w:szCs w:val="24"/>
              </w:rPr>
              <w:t xml:space="preserve">) sadarbību ar pirmstiesas izmeklēšanas iestādēm, prokuratūru, tiesu, kā arī likuma subjektiem un to uzraudzības iestādēm, kā arī sniedz ieteikumus Kontroles </w:t>
            </w:r>
            <w:r w:rsidRPr="00850216">
              <w:rPr>
                <w:rFonts w:ascii="Times New Roman" w:hAnsi="Times New Roman"/>
                <w:bCs/>
                <w:i/>
                <w:sz w:val="24"/>
                <w:szCs w:val="24"/>
              </w:rPr>
              <w:lastRenderedPageBreak/>
              <w:t xml:space="preserve">dienesta darbības pilnveidošanai. </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 xml:space="preserve">Normatīvie akti uzliek par pienākumu kredītiestādēm uzturēt efektīvas iekšējās kontroles sistēmas, kā arī nodrošina FKTK plašu instrumentu klāstu šo kontroles sistēmu uzlabošanai. </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Saskaņā ar Noziedzīgi iegūtu līdzekļu legalizācijas un terorisma finansēšanas novēršanas likumu Kontroles dienests saņem, analizē kredītiestāžu un citu likuma subjektu sniegtos ziņojumus par aizdomīgiem un neparastiem darījumiem, sniedz informāciju pirmstiesas izmeklēšanas iestādēm, veic noziedzīgi iegūtu līdzekļu legalizācijas paņēmienu izpēti, analizē sniegto ziņojumu kvalitāti un izmantošanas efektivitāti.</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Finanšu sektora attīstības padome 2013. gada 28. martā apstiprināja Darbības plānu MONEYVAL rekomendāciju izpildei, nosakot konkrētus veicamos pasākumus, atbildīgās institūcijas un izpildes termiņus.</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 xml:space="preserve">2012.gada februārī starptautiskā organizācija Financial Action Task Force (FATF) apstiprināja jaunas rekomendācijas cīņai ar noziedzīgi iegūtu līdzekļu legalizāciju, kā arī terorisma un proliferācijas (masveida iznīcināšanas ieroču izplatīšanas) finansēšanu. </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 xml:space="preserve">Saskaņā ar Ministru Prezidenta rīkojumu izveidota darba grupa, kuru vada Finanšu un kapitāla tirgus komisija. Darba grupas uzdevums ir sagatavot grozījumus Noziedzīgi iegūtu līdzekļu legalizācijas un terorisma finansēšanas novēršanas likumā, tajā iekļaujot FATF 2012.gada rekomendāciju prasības, kā arī Eiropas Padomes MONEYVAL komitejas ekspertu komisijas plenārsēdē apstiprinātos rekomendētos pasākumus Latvijai, kuru izpildei nepieciešami likuma grozījumi, kā arī grozījumus, </w:t>
            </w:r>
            <w:r w:rsidRPr="00850216">
              <w:rPr>
                <w:rFonts w:ascii="Times New Roman" w:hAnsi="Times New Roman"/>
                <w:bCs/>
                <w:i/>
                <w:sz w:val="24"/>
                <w:szCs w:val="24"/>
              </w:rPr>
              <w:lastRenderedPageBreak/>
              <w:t>kas izriet no praktiskās aktualitātes.</w:t>
            </w:r>
          </w:p>
          <w:p w:rsidR="00850216" w:rsidRP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Šobrīd ES Eiropas Padomes darba grupās notiek darbs pie 2013. gada 6.februārī publicētā Eiropas Komisijas (EK) priekšlikuma Direktīvai par to, lai nepieļautu finanšu sistēmas izmantošanu noziedzīgi iegūtu līdzekļu legalizācijai un terorisma finansēšanai. Pēc Direktīvas apstiprināšanas būs jāveic pasākumi tās prasību izpildei.</w:t>
            </w:r>
          </w:p>
          <w:p w:rsidR="00850216" w:rsidRDefault="00850216" w:rsidP="000F27A0">
            <w:pPr>
              <w:spacing w:after="120" w:line="240" w:lineRule="auto"/>
              <w:jc w:val="both"/>
              <w:rPr>
                <w:rFonts w:ascii="Times New Roman" w:hAnsi="Times New Roman"/>
                <w:bCs/>
                <w:i/>
                <w:sz w:val="24"/>
                <w:szCs w:val="24"/>
              </w:rPr>
            </w:pPr>
            <w:r w:rsidRPr="00850216">
              <w:rPr>
                <w:rFonts w:ascii="Times New Roman" w:hAnsi="Times New Roman"/>
                <w:bCs/>
                <w:i/>
                <w:sz w:val="24"/>
                <w:szCs w:val="24"/>
              </w:rPr>
              <w:t xml:space="preserve">FKTK savas kompetences ietvaros cieši sadarbojas ar un sniedz atbalstu </w:t>
            </w:r>
            <w:r w:rsidR="005A53FC">
              <w:rPr>
                <w:rFonts w:ascii="Times New Roman" w:hAnsi="Times New Roman"/>
                <w:bCs/>
                <w:i/>
                <w:sz w:val="24"/>
                <w:szCs w:val="24"/>
              </w:rPr>
              <w:t>KD</w:t>
            </w:r>
            <w:r w:rsidRPr="00850216">
              <w:rPr>
                <w:rFonts w:ascii="Times New Roman" w:hAnsi="Times New Roman"/>
                <w:bCs/>
                <w:i/>
                <w:sz w:val="24"/>
                <w:szCs w:val="24"/>
              </w:rPr>
              <w:t xml:space="preserve"> aizdomīgu darījumu izmeklēšanā.</w:t>
            </w:r>
          </w:p>
          <w:p w:rsidR="00392469" w:rsidRPr="00392469" w:rsidRDefault="00392469" w:rsidP="000F27A0">
            <w:pPr>
              <w:spacing w:after="120" w:line="240" w:lineRule="auto"/>
              <w:jc w:val="both"/>
              <w:rPr>
                <w:rFonts w:ascii="Times New Roman" w:hAnsi="Times New Roman"/>
                <w:bCs/>
                <w:i/>
                <w:sz w:val="24"/>
                <w:szCs w:val="24"/>
              </w:rPr>
            </w:pPr>
            <w:r w:rsidRPr="00392469">
              <w:rPr>
                <w:rFonts w:ascii="Times New Roman" w:hAnsi="Times New Roman"/>
                <w:bCs/>
                <w:i/>
                <w:sz w:val="24"/>
                <w:szCs w:val="24"/>
              </w:rPr>
              <w:t>Piemērojot uz nerezidentu klientu apkalpošanu orientētām bankām to biznesa modelim un riska profilam atbilstošas papildus individuālās kapitāla un likviditātes minimālās prasības, kā arī nodrošinot EP MONEYVAL komitejas apstiprināto ekspertu komisijas rekomendāciju Latvijai, FATF 2012.gada  rekomendāciju un EK direktīvas par to, lai nepieļautu finanšu sistēmas izmantošanu noziedzīgi iegūtu līdzekļu legalizācijai un terorisma finansēšanai ieviešanu, kā arī stiprinot Kontroles dienesta kapacitāti un rīcībspēju, tiktu veicināta atbilstīga riska kontroles sistēmas uzturēšana, normatīvo prasību saskaņotība ar labāko starptautisko praksi un paaugstināta starptautisko noziedzīgi iegūtu līdzekļu legalizācijas novēršanas standartu ieviešanas koordinācijas un piemērošanas efektivitāte Latvijā.</w:t>
            </w:r>
          </w:p>
        </w:tc>
        <w:tc>
          <w:tcPr>
            <w:tcW w:w="660" w:type="pct"/>
            <w:gridSpan w:val="3"/>
            <w:tcBorders>
              <w:top w:val="dashed" w:sz="4" w:space="0" w:color="auto"/>
              <w:left w:val="single" w:sz="4" w:space="0" w:color="auto"/>
              <w:bottom w:val="dashed" w:sz="4" w:space="0" w:color="auto"/>
              <w:right w:val="single" w:sz="4" w:space="0" w:color="auto"/>
            </w:tcBorders>
          </w:tcPr>
          <w:p w:rsidR="00850216" w:rsidRDefault="00850216" w:rsidP="000F27A0">
            <w:pPr>
              <w:spacing w:after="120" w:line="240" w:lineRule="auto"/>
              <w:jc w:val="both"/>
              <w:rPr>
                <w:rFonts w:ascii="Times New Roman" w:hAnsi="Times New Roman"/>
                <w:sz w:val="24"/>
                <w:szCs w:val="24"/>
              </w:rPr>
            </w:pPr>
          </w:p>
        </w:tc>
        <w:tc>
          <w:tcPr>
            <w:tcW w:w="375" w:type="pct"/>
            <w:tcBorders>
              <w:top w:val="dashed" w:sz="4" w:space="0" w:color="auto"/>
              <w:left w:val="single" w:sz="4" w:space="0" w:color="auto"/>
              <w:bottom w:val="dashed" w:sz="4" w:space="0" w:color="auto"/>
              <w:right w:val="single" w:sz="4" w:space="0" w:color="auto"/>
            </w:tcBorders>
          </w:tcPr>
          <w:p w:rsidR="00850216" w:rsidRDefault="00850216" w:rsidP="000F27A0">
            <w:pPr>
              <w:spacing w:after="120" w:line="240" w:lineRule="auto"/>
              <w:jc w:val="both"/>
              <w:rPr>
                <w:rFonts w:ascii="Times New Roman" w:hAnsi="Times New Roman"/>
                <w:color w:val="000000"/>
                <w:sz w:val="24"/>
                <w:szCs w:val="24"/>
              </w:rPr>
            </w:pPr>
          </w:p>
        </w:tc>
        <w:tc>
          <w:tcPr>
            <w:tcW w:w="1285" w:type="pct"/>
            <w:gridSpan w:val="3"/>
            <w:tcBorders>
              <w:top w:val="dashed" w:sz="4" w:space="0" w:color="auto"/>
              <w:left w:val="single" w:sz="4" w:space="0" w:color="auto"/>
              <w:bottom w:val="dashed" w:sz="4" w:space="0" w:color="auto"/>
              <w:right w:val="single" w:sz="4" w:space="0" w:color="auto"/>
            </w:tcBorders>
          </w:tcPr>
          <w:p w:rsidR="00850216" w:rsidRPr="00643D59" w:rsidRDefault="00850216" w:rsidP="000F27A0">
            <w:pPr>
              <w:pStyle w:val="ListParagraph"/>
              <w:numPr>
                <w:ilvl w:val="0"/>
                <w:numId w:val="0"/>
              </w:numPr>
              <w:spacing w:after="120" w:line="240" w:lineRule="auto"/>
              <w:rPr>
                <w:rFonts w:ascii="Times New Roman" w:hAnsi="Times New Roman"/>
                <w:bCs/>
                <w:color w:val="000000"/>
                <w:sz w:val="24"/>
                <w:szCs w:val="24"/>
              </w:rPr>
            </w:pPr>
          </w:p>
        </w:tc>
        <w:tc>
          <w:tcPr>
            <w:tcW w:w="666" w:type="pct"/>
            <w:tcBorders>
              <w:top w:val="dashed" w:sz="4" w:space="0" w:color="auto"/>
              <w:left w:val="single" w:sz="4" w:space="0" w:color="auto"/>
              <w:bottom w:val="dashed" w:sz="4" w:space="0" w:color="auto"/>
              <w:right w:val="single" w:sz="4" w:space="0" w:color="auto"/>
            </w:tcBorders>
          </w:tcPr>
          <w:p w:rsidR="00850216" w:rsidRDefault="00850216" w:rsidP="000F27A0">
            <w:pPr>
              <w:pStyle w:val="CommentText"/>
              <w:spacing w:after="120" w:line="240" w:lineRule="auto"/>
              <w:jc w:val="both"/>
              <w:rPr>
                <w:rFonts w:ascii="Times New Roman" w:eastAsia="Times New Roman" w:hAnsi="Times New Roman"/>
                <w:color w:val="000000"/>
                <w:lang w:eastAsia="lv-LV"/>
              </w:rPr>
            </w:pPr>
          </w:p>
        </w:tc>
      </w:tr>
      <w:tr w:rsidR="00682D93" w:rsidTr="00B42439">
        <w:tc>
          <w:tcPr>
            <w:tcW w:w="2014" w:type="pct"/>
            <w:tcBorders>
              <w:top w:val="dashed" w:sz="4" w:space="0" w:color="auto"/>
              <w:left w:val="single" w:sz="4" w:space="0" w:color="auto"/>
              <w:bottom w:val="dashed" w:sz="4" w:space="0" w:color="auto"/>
              <w:right w:val="single" w:sz="4" w:space="0" w:color="auto"/>
            </w:tcBorders>
          </w:tcPr>
          <w:p w:rsidR="00682D93" w:rsidRPr="00682D93" w:rsidRDefault="00682D93" w:rsidP="000F27A0">
            <w:pPr>
              <w:spacing w:after="120" w:line="240" w:lineRule="auto"/>
              <w:jc w:val="both"/>
              <w:rPr>
                <w:rFonts w:ascii="Times New Roman" w:hAnsi="Times New Roman"/>
                <w:sz w:val="24"/>
                <w:szCs w:val="24"/>
              </w:rPr>
            </w:pPr>
            <w:r w:rsidRPr="00682D93">
              <w:rPr>
                <w:rFonts w:ascii="Times New Roman" w:hAnsi="Times New Roman"/>
                <w:sz w:val="24"/>
                <w:szCs w:val="24"/>
              </w:rPr>
              <w:lastRenderedPageBreak/>
              <w:t>Rīcībai:</w:t>
            </w:r>
          </w:p>
          <w:p w:rsidR="00682D93" w:rsidRDefault="00682D93" w:rsidP="00D20302">
            <w:pPr>
              <w:spacing w:after="120" w:line="240" w:lineRule="auto"/>
              <w:jc w:val="both"/>
              <w:rPr>
                <w:rFonts w:ascii="Times New Roman" w:hAnsi="Times New Roman"/>
                <w:sz w:val="24"/>
                <w:szCs w:val="24"/>
              </w:rPr>
            </w:pPr>
            <w:r>
              <w:rPr>
                <w:rFonts w:ascii="Times New Roman" w:hAnsi="Times New Roman"/>
                <w:sz w:val="24"/>
                <w:szCs w:val="24"/>
              </w:rPr>
              <w:t>(</w:t>
            </w:r>
            <w:r w:rsidR="00D20302">
              <w:rPr>
                <w:rFonts w:ascii="Times New Roman" w:hAnsi="Times New Roman"/>
                <w:sz w:val="24"/>
                <w:szCs w:val="24"/>
              </w:rPr>
              <w:t>1</w:t>
            </w:r>
            <w:r>
              <w:rPr>
                <w:rFonts w:ascii="Times New Roman" w:hAnsi="Times New Roman"/>
                <w:sz w:val="24"/>
                <w:szCs w:val="24"/>
              </w:rPr>
              <w:t>)</w:t>
            </w:r>
            <w:r w:rsidR="005A53FC">
              <w:rPr>
                <w:rFonts w:ascii="Times New Roman" w:hAnsi="Times New Roman"/>
                <w:sz w:val="24"/>
                <w:szCs w:val="24"/>
              </w:rPr>
              <w:t>Vienoties par pasākumiem (t.sk.</w:t>
            </w:r>
            <w:r w:rsidRPr="00682D93">
              <w:rPr>
                <w:rFonts w:ascii="Times New Roman" w:hAnsi="Times New Roman"/>
                <w:sz w:val="24"/>
                <w:szCs w:val="24"/>
              </w:rPr>
              <w:t xml:space="preserve"> normatīvo aktu izstrādi) 2012.gada februāra FATF rekomendāciju ieviešanai un nodrošināt to piemērošanu finanšu sektorā atbilstoši apstiprinātajam grafikam.</w:t>
            </w:r>
          </w:p>
        </w:tc>
        <w:tc>
          <w:tcPr>
            <w:tcW w:w="660" w:type="pct"/>
            <w:gridSpan w:val="3"/>
            <w:tcBorders>
              <w:top w:val="dashed" w:sz="4" w:space="0" w:color="auto"/>
              <w:left w:val="single" w:sz="4" w:space="0" w:color="auto"/>
              <w:bottom w:val="dashed" w:sz="4" w:space="0" w:color="auto"/>
              <w:right w:val="single" w:sz="4" w:space="0" w:color="auto"/>
            </w:tcBorders>
          </w:tcPr>
          <w:p w:rsidR="00682D93" w:rsidRDefault="00682D93" w:rsidP="000F27A0">
            <w:pPr>
              <w:spacing w:after="120" w:line="240" w:lineRule="auto"/>
              <w:jc w:val="both"/>
              <w:rPr>
                <w:rFonts w:ascii="Times New Roman" w:hAnsi="Times New Roman"/>
                <w:sz w:val="24"/>
                <w:szCs w:val="24"/>
              </w:rPr>
            </w:pPr>
            <w:r w:rsidRPr="00682D93">
              <w:rPr>
                <w:rFonts w:ascii="Times New Roman" w:hAnsi="Times New Roman"/>
                <w:sz w:val="24"/>
                <w:szCs w:val="24"/>
              </w:rPr>
              <w:t>31.08.2014.</w:t>
            </w:r>
            <w:r w:rsidR="00392469">
              <w:rPr>
                <w:rFonts w:ascii="Times New Roman" w:hAnsi="Times New Roman"/>
                <w:sz w:val="24"/>
                <w:szCs w:val="24"/>
              </w:rPr>
              <w:t xml:space="preserve"> </w:t>
            </w:r>
          </w:p>
          <w:p w:rsidR="00392469" w:rsidRDefault="00392469" w:rsidP="000F27A0">
            <w:pPr>
              <w:spacing w:after="120" w:line="240" w:lineRule="auto"/>
              <w:jc w:val="both"/>
              <w:rPr>
                <w:rFonts w:ascii="Times New Roman" w:hAnsi="Times New Roman"/>
                <w:sz w:val="24"/>
                <w:szCs w:val="24"/>
              </w:rPr>
            </w:pPr>
          </w:p>
        </w:tc>
        <w:tc>
          <w:tcPr>
            <w:tcW w:w="375" w:type="pct"/>
            <w:tcBorders>
              <w:top w:val="dashed" w:sz="4" w:space="0" w:color="auto"/>
              <w:left w:val="single" w:sz="4" w:space="0" w:color="auto"/>
              <w:bottom w:val="dashed" w:sz="4" w:space="0" w:color="auto"/>
              <w:right w:val="single" w:sz="4" w:space="0" w:color="auto"/>
            </w:tcBorders>
          </w:tcPr>
          <w:p w:rsidR="00682D93" w:rsidRDefault="00387738" w:rsidP="000F27A0">
            <w:pPr>
              <w:spacing w:after="120" w:line="240" w:lineRule="auto"/>
              <w:jc w:val="both"/>
              <w:rPr>
                <w:rFonts w:ascii="Times New Roman" w:hAnsi="Times New Roman"/>
                <w:color w:val="000000"/>
                <w:sz w:val="24"/>
                <w:szCs w:val="24"/>
              </w:rPr>
            </w:pPr>
            <w:r>
              <w:rPr>
                <w:rFonts w:ascii="Times New Roman" w:hAnsi="Times New Roman"/>
                <w:color w:val="000000"/>
                <w:sz w:val="24"/>
                <w:szCs w:val="24"/>
              </w:rPr>
              <w:t>KD</w:t>
            </w:r>
          </w:p>
        </w:tc>
        <w:tc>
          <w:tcPr>
            <w:tcW w:w="1285" w:type="pct"/>
            <w:gridSpan w:val="3"/>
            <w:tcBorders>
              <w:top w:val="dashed" w:sz="4" w:space="0" w:color="auto"/>
              <w:left w:val="single" w:sz="4" w:space="0" w:color="auto"/>
              <w:bottom w:val="dashed" w:sz="4" w:space="0" w:color="auto"/>
              <w:right w:val="single" w:sz="4" w:space="0" w:color="auto"/>
            </w:tcBorders>
          </w:tcPr>
          <w:p w:rsidR="00682D93" w:rsidRPr="00682D93" w:rsidRDefault="001D4776" w:rsidP="000F27A0">
            <w:pPr>
              <w:pStyle w:val="ListParagraph"/>
              <w:numPr>
                <w:ilvl w:val="0"/>
                <w:numId w:val="0"/>
              </w:numPr>
              <w:spacing w:after="120" w:line="240" w:lineRule="auto"/>
              <w:rPr>
                <w:rFonts w:ascii="Times New Roman" w:hAnsi="Times New Roman"/>
                <w:bCs/>
                <w:color w:val="000000"/>
                <w:sz w:val="24"/>
                <w:szCs w:val="24"/>
              </w:rPr>
            </w:pPr>
            <w:r>
              <w:rPr>
                <w:rFonts w:ascii="Times New Roman" w:hAnsi="Times New Roman"/>
                <w:bCs/>
                <w:color w:val="000000"/>
                <w:sz w:val="24"/>
                <w:szCs w:val="24"/>
              </w:rPr>
              <w:t xml:space="preserve">KD koordinē </w:t>
            </w:r>
            <w:r w:rsidR="005A53FC">
              <w:rPr>
                <w:rFonts w:ascii="Times New Roman" w:hAnsi="Times New Roman"/>
                <w:bCs/>
                <w:color w:val="000000"/>
                <w:sz w:val="24"/>
                <w:szCs w:val="24"/>
              </w:rPr>
              <w:t>FAFT rekomendāciju ieviešanu.</w:t>
            </w:r>
          </w:p>
          <w:p w:rsidR="00682D93" w:rsidRPr="00682D93" w:rsidRDefault="00682D93" w:rsidP="000F27A0">
            <w:pPr>
              <w:pStyle w:val="ListParagraph"/>
              <w:numPr>
                <w:ilvl w:val="0"/>
                <w:numId w:val="0"/>
              </w:numPr>
              <w:spacing w:after="120" w:line="240" w:lineRule="auto"/>
              <w:rPr>
                <w:rFonts w:ascii="Times New Roman" w:hAnsi="Times New Roman"/>
                <w:bCs/>
                <w:color w:val="000000"/>
                <w:sz w:val="24"/>
                <w:szCs w:val="24"/>
              </w:rPr>
            </w:pPr>
          </w:p>
          <w:p w:rsidR="00682D93" w:rsidRPr="00643D59" w:rsidRDefault="00682D93" w:rsidP="000F27A0">
            <w:pPr>
              <w:pStyle w:val="ListParagraph"/>
              <w:numPr>
                <w:ilvl w:val="0"/>
                <w:numId w:val="0"/>
              </w:numPr>
              <w:spacing w:after="120" w:line="240" w:lineRule="auto"/>
              <w:rPr>
                <w:rFonts w:ascii="Times New Roman" w:hAnsi="Times New Roman"/>
                <w:bCs/>
                <w:color w:val="000000"/>
                <w:sz w:val="24"/>
                <w:szCs w:val="24"/>
              </w:rPr>
            </w:pPr>
          </w:p>
        </w:tc>
        <w:tc>
          <w:tcPr>
            <w:tcW w:w="666" w:type="pct"/>
            <w:tcBorders>
              <w:top w:val="dashed" w:sz="4" w:space="0" w:color="auto"/>
              <w:left w:val="single" w:sz="4" w:space="0" w:color="auto"/>
              <w:bottom w:val="dashed" w:sz="4" w:space="0" w:color="auto"/>
              <w:right w:val="single" w:sz="4" w:space="0" w:color="auto"/>
            </w:tcBorders>
          </w:tcPr>
          <w:p w:rsidR="00682D93" w:rsidRDefault="00387738" w:rsidP="000F27A0">
            <w:pPr>
              <w:pStyle w:val="CommentText"/>
              <w:spacing w:after="12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KD budžeta ietvaros</w:t>
            </w:r>
            <w:r w:rsidR="005A53FC">
              <w:rPr>
                <w:rFonts w:ascii="Times New Roman" w:eastAsia="Times New Roman" w:hAnsi="Times New Roman"/>
                <w:color w:val="000000"/>
                <w:lang w:eastAsia="lv-LV"/>
              </w:rPr>
              <w:t>.</w:t>
            </w:r>
          </w:p>
        </w:tc>
      </w:tr>
      <w:tr w:rsidR="00682D93" w:rsidTr="00B42439">
        <w:tc>
          <w:tcPr>
            <w:tcW w:w="2014" w:type="pct"/>
            <w:tcBorders>
              <w:top w:val="dashed" w:sz="4" w:space="0" w:color="auto"/>
              <w:left w:val="single" w:sz="4" w:space="0" w:color="auto"/>
              <w:bottom w:val="dashed" w:sz="4" w:space="0" w:color="auto"/>
              <w:right w:val="single" w:sz="4" w:space="0" w:color="auto"/>
            </w:tcBorders>
          </w:tcPr>
          <w:p w:rsidR="00682D93" w:rsidRDefault="00682D93" w:rsidP="00D20302">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w:t>
            </w:r>
            <w:r w:rsidR="00D20302">
              <w:rPr>
                <w:rFonts w:ascii="Times New Roman" w:hAnsi="Times New Roman"/>
                <w:bCs/>
                <w:color w:val="000000"/>
                <w:sz w:val="24"/>
                <w:szCs w:val="24"/>
              </w:rPr>
              <w:t>2</w:t>
            </w:r>
            <w:r>
              <w:rPr>
                <w:rFonts w:ascii="Times New Roman" w:hAnsi="Times New Roman"/>
                <w:bCs/>
                <w:color w:val="000000"/>
                <w:sz w:val="24"/>
                <w:szCs w:val="24"/>
              </w:rPr>
              <w:t>)</w:t>
            </w:r>
            <w:r w:rsidRPr="00682D93">
              <w:rPr>
                <w:rFonts w:ascii="Times New Roman" w:hAnsi="Times New Roman"/>
                <w:bCs/>
                <w:color w:val="000000"/>
                <w:sz w:val="24"/>
                <w:szCs w:val="24"/>
              </w:rPr>
              <w:t xml:space="preserve">Izvērtēt iespēju stiprināt </w:t>
            </w:r>
            <w:r w:rsidR="005A53FC">
              <w:rPr>
                <w:rFonts w:ascii="Times New Roman" w:hAnsi="Times New Roman"/>
                <w:bCs/>
                <w:color w:val="000000"/>
                <w:sz w:val="24"/>
                <w:szCs w:val="24"/>
              </w:rPr>
              <w:t>KD</w:t>
            </w:r>
            <w:r w:rsidRPr="00682D93">
              <w:rPr>
                <w:rFonts w:ascii="Times New Roman" w:hAnsi="Times New Roman"/>
                <w:bCs/>
                <w:color w:val="000000"/>
                <w:sz w:val="24"/>
                <w:szCs w:val="24"/>
              </w:rPr>
              <w:t xml:space="preserve"> kapacitāti, tajā skaitā, nodrošinot ar regulāri atjaunojamu, mūsdienīgu </w:t>
            </w:r>
            <w:r w:rsidRPr="00682D93">
              <w:rPr>
                <w:rFonts w:ascii="Times New Roman" w:hAnsi="Times New Roman"/>
                <w:bCs/>
                <w:color w:val="000000"/>
                <w:sz w:val="24"/>
                <w:szCs w:val="24"/>
              </w:rPr>
              <w:lastRenderedPageBreak/>
              <w:t>tehnoloģisko aprīkojumu, skaitliski pietiekamu augsti profesionālu personālu, efektīvu starptautisko sadarbību cīņā ar transnacionālo noziedzīgi iegūtu līdzekļu legalizāciju, lai tādējādi nodrošinātu pastiprinātu ar nerezidentu depozītu ieplūdi Latvijā saistīto risku kontroli, tai skaitā attiecībā uz Latvijas kompetento institūciju spēju nodrošināt noziedzīgi iegūtu līd</w:t>
            </w:r>
            <w:r>
              <w:rPr>
                <w:rFonts w:ascii="Times New Roman" w:hAnsi="Times New Roman"/>
                <w:bCs/>
                <w:color w:val="000000"/>
                <w:sz w:val="24"/>
                <w:szCs w:val="24"/>
              </w:rPr>
              <w:t xml:space="preserve">zekļu legalizācijas novēršanu. </w:t>
            </w:r>
          </w:p>
        </w:tc>
        <w:tc>
          <w:tcPr>
            <w:tcW w:w="660" w:type="pct"/>
            <w:gridSpan w:val="3"/>
            <w:tcBorders>
              <w:top w:val="dashed" w:sz="4" w:space="0" w:color="auto"/>
              <w:left w:val="single" w:sz="4" w:space="0" w:color="auto"/>
              <w:bottom w:val="dashed" w:sz="4" w:space="0" w:color="auto"/>
              <w:right w:val="single" w:sz="4" w:space="0" w:color="auto"/>
            </w:tcBorders>
          </w:tcPr>
          <w:p w:rsidR="00682D93" w:rsidRDefault="00682D93" w:rsidP="000F27A0">
            <w:pPr>
              <w:spacing w:after="120" w:line="240" w:lineRule="auto"/>
              <w:jc w:val="both"/>
              <w:rPr>
                <w:rFonts w:ascii="Times New Roman" w:hAnsi="Times New Roman"/>
                <w:sz w:val="24"/>
                <w:szCs w:val="24"/>
              </w:rPr>
            </w:pPr>
            <w:r w:rsidRPr="00682D93">
              <w:rPr>
                <w:rFonts w:ascii="Times New Roman" w:hAnsi="Times New Roman"/>
                <w:sz w:val="24"/>
                <w:szCs w:val="24"/>
              </w:rPr>
              <w:lastRenderedPageBreak/>
              <w:t>01.01.201</w:t>
            </w:r>
            <w:r w:rsidR="00C15B01">
              <w:rPr>
                <w:rFonts w:ascii="Times New Roman" w:hAnsi="Times New Roman"/>
                <w:sz w:val="24"/>
                <w:szCs w:val="24"/>
              </w:rPr>
              <w:t>5</w:t>
            </w:r>
            <w:r w:rsidR="005A53FC">
              <w:rPr>
                <w:rFonts w:ascii="Times New Roman" w:hAnsi="Times New Roman"/>
                <w:sz w:val="24"/>
                <w:szCs w:val="24"/>
              </w:rPr>
              <w:t>.</w:t>
            </w:r>
            <w:r w:rsidR="00392469">
              <w:rPr>
                <w:rFonts w:ascii="Times New Roman" w:hAnsi="Times New Roman"/>
                <w:sz w:val="24"/>
                <w:szCs w:val="24"/>
              </w:rPr>
              <w:t xml:space="preserve">  </w:t>
            </w:r>
          </w:p>
        </w:tc>
        <w:tc>
          <w:tcPr>
            <w:tcW w:w="375" w:type="pct"/>
            <w:tcBorders>
              <w:top w:val="dashed" w:sz="4" w:space="0" w:color="auto"/>
              <w:left w:val="single" w:sz="4" w:space="0" w:color="auto"/>
              <w:bottom w:val="dashed" w:sz="4" w:space="0" w:color="auto"/>
              <w:right w:val="single" w:sz="4" w:space="0" w:color="auto"/>
            </w:tcBorders>
          </w:tcPr>
          <w:p w:rsidR="00682D93" w:rsidRPr="00A86DF1" w:rsidRDefault="00682D93" w:rsidP="000F27A0">
            <w:pPr>
              <w:spacing w:after="120" w:line="240" w:lineRule="auto"/>
              <w:jc w:val="both"/>
              <w:rPr>
                <w:rFonts w:ascii="Times New Roman" w:hAnsi="Times New Roman"/>
                <w:color w:val="000000"/>
                <w:sz w:val="18"/>
                <w:szCs w:val="18"/>
              </w:rPr>
            </w:pPr>
            <w:r w:rsidRPr="00A86DF1">
              <w:rPr>
                <w:rFonts w:ascii="Times New Roman" w:hAnsi="Times New Roman"/>
                <w:color w:val="000000"/>
                <w:sz w:val="18"/>
                <w:szCs w:val="18"/>
              </w:rPr>
              <w:t xml:space="preserve">LR Prokuratūra, </w:t>
            </w:r>
            <w:r w:rsidR="00387738" w:rsidRPr="00A86DF1">
              <w:rPr>
                <w:rFonts w:ascii="Times New Roman" w:hAnsi="Times New Roman"/>
                <w:color w:val="000000"/>
                <w:sz w:val="18"/>
                <w:szCs w:val="18"/>
              </w:rPr>
              <w:lastRenderedPageBreak/>
              <w:t>KD</w:t>
            </w:r>
          </w:p>
        </w:tc>
        <w:tc>
          <w:tcPr>
            <w:tcW w:w="1285" w:type="pct"/>
            <w:gridSpan w:val="3"/>
            <w:tcBorders>
              <w:top w:val="dashed" w:sz="4" w:space="0" w:color="auto"/>
              <w:left w:val="single" w:sz="4" w:space="0" w:color="auto"/>
              <w:bottom w:val="dashed" w:sz="4" w:space="0" w:color="auto"/>
              <w:right w:val="single" w:sz="4" w:space="0" w:color="auto"/>
            </w:tcBorders>
          </w:tcPr>
          <w:p w:rsidR="00682D93" w:rsidRPr="00682D93" w:rsidRDefault="005A53FC" w:rsidP="0045704C">
            <w:pPr>
              <w:pStyle w:val="ListParagraph"/>
              <w:numPr>
                <w:ilvl w:val="0"/>
                <w:numId w:val="0"/>
              </w:num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Sagatavot</w:t>
            </w:r>
            <w:r w:rsidR="001D4776">
              <w:rPr>
                <w:rFonts w:ascii="Times New Roman" w:hAnsi="Times New Roman"/>
                <w:bCs/>
                <w:color w:val="000000"/>
                <w:sz w:val="24"/>
                <w:szCs w:val="24"/>
              </w:rPr>
              <w:t xml:space="preserve"> pasākum</w:t>
            </w:r>
            <w:r>
              <w:rPr>
                <w:rFonts w:ascii="Times New Roman" w:hAnsi="Times New Roman"/>
                <w:bCs/>
                <w:color w:val="000000"/>
                <w:sz w:val="24"/>
                <w:szCs w:val="24"/>
              </w:rPr>
              <w:t>us</w:t>
            </w:r>
            <w:r w:rsidR="001D4776">
              <w:rPr>
                <w:rFonts w:ascii="Times New Roman" w:hAnsi="Times New Roman"/>
                <w:bCs/>
                <w:color w:val="000000"/>
                <w:sz w:val="24"/>
                <w:szCs w:val="24"/>
              </w:rPr>
              <w:t xml:space="preserve"> </w:t>
            </w:r>
            <w:r w:rsidR="00A27B3B">
              <w:rPr>
                <w:rFonts w:ascii="Times New Roman" w:hAnsi="Times New Roman"/>
                <w:bCs/>
                <w:color w:val="000000"/>
                <w:sz w:val="24"/>
                <w:szCs w:val="24"/>
              </w:rPr>
              <w:t>KD</w:t>
            </w:r>
            <w:r w:rsidR="001D4776">
              <w:rPr>
                <w:rFonts w:ascii="Times New Roman" w:hAnsi="Times New Roman"/>
                <w:bCs/>
                <w:color w:val="000000"/>
                <w:sz w:val="24"/>
                <w:szCs w:val="24"/>
              </w:rPr>
              <w:t xml:space="preserve"> kapacitātes palielināšanai. </w:t>
            </w:r>
          </w:p>
        </w:tc>
        <w:tc>
          <w:tcPr>
            <w:tcW w:w="666" w:type="pct"/>
            <w:tcBorders>
              <w:top w:val="dashed" w:sz="4" w:space="0" w:color="auto"/>
              <w:left w:val="single" w:sz="4" w:space="0" w:color="auto"/>
              <w:bottom w:val="dashed" w:sz="4" w:space="0" w:color="auto"/>
              <w:right w:val="single" w:sz="4" w:space="0" w:color="auto"/>
            </w:tcBorders>
          </w:tcPr>
          <w:p w:rsidR="00387738" w:rsidRDefault="00387738" w:rsidP="000F27A0">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Papildus līdzekļu nepieciešamību </w:t>
            </w:r>
            <w:r>
              <w:rPr>
                <w:rFonts w:ascii="Times New Roman" w:hAnsi="Times New Roman"/>
                <w:color w:val="000000"/>
                <w:sz w:val="24"/>
                <w:szCs w:val="24"/>
              </w:rPr>
              <w:lastRenderedPageBreak/>
              <w:t>izvērtēt 2015.gada valsts budžeta sagatavošanā</w:t>
            </w:r>
            <w:r w:rsidR="00A86DF1">
              <w:rPr>
                <w:rFonts w:ascii="Times New Roman" w:hAnsi="Times New Roman"/>
                <w:color w:val="000000"/>
                <w:sz w:val="24"/>
                <w:szCs w:val="24"/>
              </w:rPr>
              <w:t>.</w:t>
            </w:r>
          </w:p>
          <w:p w:rsidR="00682D93" w:rsidRDefault="00682D93" w:rsidP="000F27A0">
            <w:pPr>
              <w:pStyle w:val="CommentText"/>
              <w:spacing w:after="120" w:line="240" w:lineRule="auto"/>
              <w:jc w:val="both"/>
              <w:rPr>
                <w:rFonts w:ascii="Times New Roman" w:eastAsia="Times New Roman" w:hAnsi="Times New Roman"/>
                <w:color w:val="000000"/>
                <w:lang w:eastAsia="lv-LV"/>
              </w:rPr>
            </w:pPr>
          </w:p>
        </w:tc>
      </w:tr>
      <w:tr w:rsidR="00682D93" w:rsidTr="00B42439">
        <w:tc>
          <w:tcPr>
            <w:tcW w:w="2014" w:type="pct"/>
            <w:tcBorders>
              <w:top w:val="dashed" w:sz="4" w:space="0" w:color="auto"/>
              <w:left w:val="single" w:sz="4" w:space="0" w:color="auto"/>
              <w:bottom w:val="dashed" w:sz="4" w:space="0" w:color="auto"/>
              <w:right w:val="single" w:sz="4" w:space="0" w:color="auto"/>
            </w:tcBorders>
          </w:tcPr>
          <w:p w:rsidR="00682D93" w:rsidRDefault="00682D93" w:rsidP="00D20302">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w:t>
            </w:r>
            <w:r w:rsidR="00D20302">
              <w:rPr>
                <w:rFonts w:ascii="Times New Roman" w:hAnsi="Times New Roman"/>
                <w:bCs/>
                <w:color w:val="000000"/>
                <w:sz w:val="24"/>
                <w:szCs w:val="24"/>
              </w:rPr>
              <w:t>3</w:t>
            </w:r>
            <w:r>
              <w:rPr>
                <w:rFonts w:ascii="Times New Roman" w:hAnsi="Times New Roman"/>
                <w:bCs/>
                <w:color w:val="000000"/>
                <w:sz w:val="24"/>
                <w:szCs w:val="24"/>
              </w:rPr>
              <w:t>)</w:t>
            </w:r>
            <w:r w:rsidRPr="00682D93">
              <w:rPr>
                <w:rFonts w:ascii="Times New Roman" w:hAnsi="Times New Roman"/>
                <w:bCs/>
                <w:color w:val="000000"/>
                <w:sz w:val="24"/>
                <w:szCs w:val="24"/>
              </w:rPr>
              <w:t>Izveidot mehānismu noziedzīgi iegūtu līdzekļu legalizācijas un terorisma finansēšanas riska novērtēšanai un vadīšanai, kuram jāaptver statistisko datu nodrošināšanas mehānisms (datu saturs, uzskaites pienākums, ziņošanas pienākums par riska novērtēšanu atbildīgajai iestādei, par datu uzskaiti atbildīgās institūcijas), pasākumu plāna izstrāde risku ierobežošanai, rīkojumu nodošana un sekošana plāna izpildei, rezultātu novērtēšana.</w:t>
            </w:r>
          </w:p>
        </w:tc>
        <w:tc>
          <w:tcPr>
            <w:tcW w:w="660" w:type="pct"/>
            <w:gridSpan w:val="3"/>
            <w:tcBorders>
              <w:top w:val="dashed" w:sz="4" w:space="0" w:color="auto"/>
              <w:left w:val="single" w:sz="4" w:space="0" w:color="auto"/>
              <w:bottom w:val="dashed" w:sz="4" w:space="0" w:color="auto"/>
              <w:right w:val="single" w:sz="4" w:space="0" w:color="auto"/>
            </w:tcBorders>
          </w:tcPr>
          <w:p w:rsidR="00682D93" w:rsidRDefault="00616D3D" w:rsidP="000F27A0">
            <w:pPr>
              <w:spacing w:after="120" w:line="240" w:lineRule="auto"/>
              <w:jc w:val="both"/>
              <w:rPr>
                <w:rFonts w:ascii="Times New Roman" w:hAnsi="Times New Roman"/>
                <w:sz w:val="24"/>
                <w:szCs w:val="24"/>
              </w:rPr>
            </w:pPr>
            <w:r w:rsidRPr="00616D3D">
              <w:rPr>
                <w:rFonts w:ascii="Times New Roman" w:hAnsi="Times New Roman"/>
                <w:sz w:val="24"/>
                <w:szCs w:val="24"/>
              </w:rPr>
              <w:t>31.12.2014</w:t>
            </w:r>
            <w:r w:rsidR="005A53FC">
              <w:rPr>
                <w:rFonts w:ascii="Times New Roman" w:hAnsi="Times New Roman"/>
                <w:sz w:val="24"/>
                <w:szCs w:val="24"/>
              </w:rPr>
              <w:t>.</w:t>
            </w:r>
          </w:p>
        </w:tc>
        <w:tc>
          <w:tcPr>
            <w:tcW w:w="375" w:type="pct"/>
            <w:tcBorders>
              <w:top w:val="dashed" w:sz="4" w:space="0" w:color="auto"/>
              <w:left w:val="single" w:sz="4" w:space="0" w:color="auto"/>
              <w:bottom w:val="dashed" w:sz="4" w:space="0" w:color="auto"/>
              <w:right w:val="single" w:sz="4" w:space="0" w:color="auto"/>
            </w:tcBorders>
          </w:tcPr>
          <w:p w:rsidR="00682D93" w:rsidRDefault="00387738" w:rsidP="00A46B5F">
            <w:pPr>
              <w:spacing w:after="120" w:line="240" w:lineRule="auto"/>
              <w:jc w:val="both"/>
              <w:rPr>
                <w:rFonts w:ascii="Times New Roman" w:hAnsi="Times New Roman"/>
                <w:color w:val="000000"/>
                <w:sz w:val="24"/>
                <w:szCs w:val="24"/>
              </w:rPr>
            </w:pPr>
            <w:r>
              <w:rPr>
                <w:rFonts w:ascii="Times New Roman" w:hAnsi="Times New Roman"/>
                <w:color w:val="000000"/>
                <w:sz w:val="24"/>
                <w:szCs w:val="24"/>
              </w:rPr>
              <w:t>KD</w:t>
            </w:r>
            <w:r w:rsidR="00BC62F9" w:rsidRPr="00BC62F9">
              <w:rPr>
                <w:rFonts w:ascii="Times New Roman" w:hAnsi="Times New Roman"/>
                <w:color w:val="000000"/>
                <w:sz w:val="24"/>
                <w:szCs w:val="24"/>
              </w:rPr>
              <w:t xml:space="preserve"> </w:t>
            </w:r>
          </w:p>
        </w:tc>
        <w:tc>
          <w:tcPr>
            <w:tcW w:w="1285" w:type="pct"/>
            <w:gridSpan w:val="3"/>
            <w:tcBorders>
              <w:top w:val="dashed" w:sz="4" w:space="0" w:color="auto"/>
              <w:left w:val="single" w:sz="4" w:space="0" w:color="auto"/>
              <w:bottom w:val="dashed" w:sz="4" w:space="0" w:color="auto"/>
              <w:right w:val="single" w:sz="4" w:space="0" w:color="auto"/>
            </w:tcBorders>
          </w:tcPr>
          <w:p w:rsidR="00A46B5F" w:rsidRPr="00A46B5F" w:rsidRDefault="00A46B5F" w:rsidP="00A46B5F">
            <w:pPr>
              <w:spacing w:after="120" w:line="240" w:lineRule="auto"/>
              <w:jc w:val="both"/>
              <w:rPr>
                <w:rFonts w:ascii="Times New Roman" w:hAnsi="Times New Roman"/>
                <w:color w:val="000000"/>
                <w:sz w:val="24"/>
                <w:szCs w:val="24"/>
              </w:rPr>
            </w:pPr>
            <w:r w:rsidRPr="00A46B5F">
              <w:rPr>
                <w:rFonts w:ascii="Times New Roman" w:hAnsi="Times New Roman"/>
                <w:color w:val="000000"/>
                <w:sz w:val="24"/>
                <w:szCs w:val="24"/>
              </w:rPr>
              <w:t xml:space="preserve">1.Noteikt kompetento institūciju, kas, balstoties uz riska novērtējumu, veidotu noziedzīgi iegūtu līdzekļu legalizācijas un terorisma finansēšanas novēršanas politiku, kā arī atbildētu par minēto risku vadīšanu; </w:t>
            </w:r>
          </w:p>
          <w:p w:rsidR="00A46B5F" w:rsidRPr="00A46B5F" w:rsidRDefault="00A46B5F" w:rsidP="00A46B5F">
            <w:pPr>
              <w:spacing w:after="120" w:line="240" w:lineRule="auto"/>
              <w:jc w:val="both"/>
              <w:rPr>
                <w:rFonts w:ascii="Times New Roman" w:hAnsi="Times New Roman"/>
                <w:color w:val="000000"/>
                <w:sz w:val="24"/>
                <w:szCs w:val="24"/>
              </w:rPr>
            </w:pPr>
            <w:r w:rsidRPr="00A46B5F">
              <w:rPr>
                <w:rFonts w:ascii="Times New Roman" w:hAnsi="Times New Roman"/>
                <w:color w:val="000000"/>
                <w:sz w:val="24"/>
                <w:szCs w:val="24"/>
              </w:rPr>
              <w:t>2.Izveidot mehānismu noziedzīgi iegūtu līdzekļu legalizācijas un terorisma finansēšanas riska novērtēšanai un vadīšanai, kuram būtu jāaptver statistisko datu nodrošināšanas mehānisms, risku novērtēšanas rezultātu ziņošana par politiku atbildīgajai institūcijai, pasākumu plāna izstrāde risku ierobežošanai, rīkojumu nodošana un sekošana plāna izpildei, rezultātu novērtēšana;</w:t>
            </w:r>
          </w:p>
          <w:p w:rsidR="00A46B5F" w:rsidRPr="00A46B5F" w:rsidRDefault="00A46B5F" w:rsidP="00A46B5F">
            <w:pPr>
              <w:spacing w:after="120" w:line="240" w:lineRule="auto"/>
              <w:jc w:val="both"/>
              <w:rPr>
                <w:rFonts w:ascii="Times New Roman" w:hAnsi="Times New Roman"/>
                <w:color w:val="000000"/>
                <w:sz w:val="24"/>
                <w:szCs w:val="24"/>
              </w:rPr>
            </w:pPr>
            <w:r w:rsidRPr="00A46B5F">
              <w:rPr>
                <w:rFonts w:ascii="Times New Roman" w:hAnsi="Times New Roman"/>
                <w:color w:val="000000"/>
                <w:sz w:val="24"/>
                <w:szCs w:val="24"/>
              </w:rPr>
              <w:t xml:space="preserve"> 3.Noteikt par riska novērtēšanu atbildīgo institūciju noziedzīgi iegūtu līdzekļu legalizācijas un terorisma finansēšanas riska pastāvīgai novērtēšanai, iekļaujot to esošajā institucionālajā sistēmā; </w:t>
            </w:r>
          </w:p>
          <w:p w:rsidR="00682D93" w:rsidRPr="00F31B8F" w:rsidRDefault="00A46B5F" w:rsidP="00A46B5F">
            <w:pPr>
              <w:spacing w:after="120" w:line="240" w:lineRule="auto"/>
              <w:jc w:val="both"/>
              <w:rPr>
                <w:rFonts w:ascii="Times New Roman" w:hAnsi="Times New Roman"/>
                <w:bCs/>
                <w:color w:val="000000"/>
                <w:sz w:val="24"/>
                <w:szCs w:val="24"/>
              </w:rPr>
            </w:pPr>
            <w:r w:rsidRPr="00A46B5F">
              <w:rPr>
                <w:rFonts w:ascii="Times New Roman" w:hAnsi="Times New Roman"/>
                <w:color w:val="000000"/>
                <w:sz w:val="24"/>
                <w:szCs w:val="24"/>
              </w:rPr>
              <w:lastRenderedPageBreak/>
              <w:t>4.Izvēlēties metodi, pēc kuras tiktu veikta noziedzīgi iegūtu līdzekļu legalizācijas un terorisma finansēšanas riska novērtēšana, tiešā saistībā ar izvēlēto institucionālo modeli;</w:t>
            </w:r>
          </w:p>
        </w:tc>
        <w:tc>
          <w:tcPr>
            <w:tcW w:w="666" w:type="pct"/>
            <w:tcBorders>
              <w:top w:val="dashed" w:sz="4" w:space="0" w:color="auto"/>
              <w:left w:val="single" w:sz="4" w:space="0" w:color="auto"/>
              <w:bottom w:val="dashed" w:sz="4" w:space="0" w:color="auto"/>
              <w:right w:val="single" w:sz="4" w:space="0" w:color="auto"/>
            </w:tcBorders>
          </w:tcPr>
          <w:p w:rsidR="00682D93" w:rsidRDefault="00387738" w:rsidP="00A46B5F">
            <w:pPr>
              <w:pStyle w:val="CommentText"/>
              <w:spacing w:after="12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KD budžeta ietvaros</w:t>
            </w:r>
            <w:r w:rsidR="005A53FC">
              <w:rPr>
                <w:rFonts w:ascii="Times New Roman" w:eastAsia="Times New Roman" w:hAnsi="Times New Roman"/>
                <w:color w:val="000000"/>
                <w:lang w:eastAsia="lv-LV"/>
              </w:rPr>
              <w:t>.</w:t>
            </w:r>
          </w:p>
        </w:tc>
      </w:tr>
      <w:tr w:rsidR="0061131A" w:rsidTr="00B42439">
        <w:tc>
          <w:tcPr>
            <w:tcW w:w="2014" w:type="pct"/>
            <w:tcBorders>
              <w:top w:val="dashed" w:sz="8" w:space="0" w:color="auto"/>
              <w:left w:val="single" w:sz="8" w:space="0" w:color="auto"/>
              <w:bottom w:val="single" w:sz="8" w:space="0" w:color="auto"/>
              <w:right w:val="single" w:sz="8" w:space="0" w:color="auto"/>
            </w:tcBorders>
          </w:tcPr>
          <w:p w:rsidR="0061131A" w:rsidRPr="00EA3531" w:rsidRDefault="0061131A" w:rsidP="00D20302">
            <w:pPr>
              <w:spacing w:after="120" w:line="240" w:lineRule="auto"/>
              <w:jc w:val="both"/>
              <w:rPr>
                <w:rFonts w:ascii="Times New Roman" w:hAnsi="Times New Roman"/>
                <w:bCs/>
                <w:color w:val="000000"/>
                <w:sz w:val="24"/>
                <w:szCs w:val="24"/>
              </w:rPr>
            </w:pPr>
            <w:r>
              <w:rPr>
                <w:rFonts w:ascii="Times New Roman" w:hAnsi="Times New Roman"/>
                <w:color w:val="000000"/>
                <w:sz w:val="24"/>
                <w:szCs w:val="24"/>
              </w:rPr>
              <w:lastRenderedPageBreak/>
              <w:t>(</w:t>
            </w:r>
            <w:r w:rsidR="00D20302">
              <w:rPr>
                <w:rFonts w:ascii="Times New Roman" w:hAnsi="Times New Roman"/>
                <w:color w:val="000000"/>
                <w:sz w:val="24"/>
                <w:szCs w:val="24"/>
              </w:rPr>
              <w:t>4</w:t>
            </w:r>
            <w:r>
              <w:rPr>
                <w:rFonts w:ascii="Times New Roman" w:hAnsi="Times New Roman"/>
                <w:color w:val="000000"/>
                <w:sz w:val="24"/>
                <w:szCs w:val="24"/>
              </w:rPr>
              <w:t>)Pilnveidot sadarbības mehānismu ar ārvalstu korespondentbankām, veicināt (nodrošināt) plaša korespondentbanku tīkla pieejamību LV kredītiestādēm.</w:t>
            </w:r>
          </w:p>
        </w:tc>
        <w:tc>
          <w:tcPr>
            <w:tcW w:w="660" w:type="pct"/>
            <w:gridSpan w:val="3"/>
            <w:tcBorders>
              <w:top w:val="dashed" w:sz="8" w:space="0" w:color="auto"/>
              <w:left w:val="nil"/>
              <w:bottom w:val="single" w:sz="8" w:space="0" w:color="auto"/>
              <w:right w:val="single" w:sz="8" w:space="0" w:color="auto"/>
            </w:tcBorders>
          </w:tcPr>
          <w:p w:rsidR="0061131A" w:rsidRDefault="00A86DF1" w:rsidP="000F27A0">
            <w:pPr>
              <w:spacing w:after="120" w:line="240" w:lineRule="auto"/>
              <w:jc w:val="both"/>
              <w:rPr>
                <w:rFonts w:ascii="Times New Roman" w:hAnsi="Times New Roman"/>
                <w:sz w:val="24"/>
                <w:szCs w:val="24"/>
              </w:rPr>
            </w:pPr>
            <w:r>
              <w:rPr>
                <w:rFonts w:ascii="Times New Roman" w:hAnsi="Times New Roman"/>
                <w:color w:val="000000"/>
                <w:sz w:val="24"/>
                <w:szCs w:val="24"/>
              </w:rPr>
              <w:t>P</w:t>
            </w:r>
            <w:r w:rsidR="0061131A">
              <w:rPr>
                <w:rFonts w:ascii="Times New Roman" w:hAnsi="Times New Roman"/>
                <w:color w:val="000000"/>
                <w:sz w:val="24"/>
                <w:szCs w:val="24"/>
              </w:rPr>
              <w:t>astāvīgi</w:t>
            </w:r>
          </w:p>
        </w:tc>
        <w:tc>
          <w:tcPr>
            <w:tcW w:w="375" w:type="pct"/>
            <w:tcBorders>
              <w:top w:val="dashed" w:sz="8" w:space="0" w:color="auto"/>
              <w:left w:val="nil"/>
              <w:bottom w:val="single" w:sz="8" w:space="0" w:color="auto"/>
              <w:right w:val="single" w:sz="8" w:space="0" w:color="auto"/>
            </w:tcBorders>
          </w:tcPr>
          <w:p w:rsidR="0061131A" w:rsidRDefault="0061131A" w:rsidP="000F27A0">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FKTK, </w:t>
            </w:r>
            <w:r w:rsidR="00B50344">
              <w:rPr>
                <w:rFonts w:ascii="Times New Roman" w:hAnsi="Times New Roman"/>
                <w:color w:val="000000"/>
                <w:sz w:val="24"/>
                <w:szCs w:val="24"/>
              </w:rPr>
              <w:t xml:space="preserve">Latvijas Komercbanku asociācija (turpmāk- </w:t>
            </w:r>
            <w:r>
              <w:rPr>
                <w:rFonts w:ascii="Times New Roman" w:hAnsi="Times New Roman"/>
                <w:color w:val="000000"/>
                <w:sz w:val="24"/>
                <w:szCs w:val="24"/>
              </w:rPr>
              <w:t>LKA</w:t>
            </w:r>
            <w:r w:rsidR="00B50344">
              <w:rPr>
                <w:rFonts w:ascii="Times New Roman" w:hAnsi="Times New Roman"/>
                <w:color w:val="000000"/>
                <w:sz w:val="24"/>
                <w:szCs w:val="24"/>
              </w:rPr>
              <w:t xml:space="preserve">) </w:t>
            </w:r>
          </w:p>
        </w:tc>
        <w:tc>
          <w:tcPr>
            <w:tcW w:w="1285" w:type="pct"/>
            <w:gridSpan w:val="3"/>
            <w:tcBorders>
              <w:top w:val="dashed" w:sz="8" w:space="0" w:color="auto"/>
              <w:left w:val="nil"/>
              <w:bottom w:val="single" w:sz="8" w:space="0" w:color="auto"/>
              <w:right w:val="single" w:sz="8" w:space="0" w:color="auto"/>
            </w:tcBorders>
          </w:tcPr>
          <w:p w:rsidR="0061131A" w:rsidRDefault="00000D91" w:rsidP="00335258">
            <w:pPr>
              <w:pStyle w:val="ListParagraph"/>
              <w:numPr>
                <w:ilvl w:val="0"/>
                <w:numId w:val="0"/>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P</w:t>
            </w:r>
            <w:r w:rsidR="0061131A">
              <w:rPr>
                <w:rFonts w:ascii="Times New Roman" w:hAnsi="Times New Roman"/>
                <w:color w:val="000000"/>
                <w:sz w:val="24"/>
                <w:szCs w:val="24"/>
              </w:rPr>
              <w:t>ilnveidot sadarbības mehānismu.</w:t>
            </w:r>
            <w:r w:rsidR="00335258">
              <w:rPr>
                <w:rFonts w:ascii="Times New Roman" w:hAnsi="Times New Roman"/>
                <w:color w:val="000000"/>
                <w:sz w:val="24"/>
                <w:szCs w:val="24"/>
                <w:vertAlign w:val="superscript"/>
              </w:rPr>
              <w:t>i</w:t>
            </w:r>
          </w:p>
        </w:tc>
        <w:tc>
          <w:tcPr>
            <w:tcW w:w="666" w:type="pct"/>
            <w:tcBorders>
              <w:top w:val="dashed" w:sz="4" w:space="0" w:color="auto"/>
              <w:left w:val="single" w:sz="4" w:space="0" w:color="auto"/>
              <w:bottom w:val="single" w:sz="4" w:space="0" w:color="auto"/>
              <w:right w:val="single" w:sz="4" w:space="0" w:color="auto"/>
            </w:tcBorders>
          </w:tcPr>
          <w:p w:rsidR="0061131A" w:rsidRDefault="00387738" w:rsidP="000F27A0">
            <w:pPr>
              <w:pStyle w:val="CommentText"/>
              <w:spacing w:after="12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FKTK, LKA budžeta ietvaros.</w:t>
            </w:r>
          </w:p>
        </w:tc>
      </w:tr>
      <w:tr w:rsidR="00C4265B" w:rsidTr="00987261">
        <w:tc>
          <w:tcPr>
            <w:tcW w:w="2014" w:type="pct"/>
            <w:tcBorders>
              <w:top w:val="single" w:sz="4" w:space="0" w:color="auto"/>
              <w:left w:val="single" w:sz="4" w:space="0" w:color="auto"/>
              <w:bottom w:val="single" w:sz="4" w:space="0" w:color="auto"/>
              <w:right w:val="single" w:sz="4" w:space="0" w:color="auto"/>
            </w:tcBorders>
            <w:shd w:val="clear" w:color="auto" w:fill="EEECE1" w:themeFill="background2"/>
          </w:tcPr>
          <w:p w:rsidR="00C4265B" w:rsidRPr="00C4265B" w:rsidRDefault="00C4265B" w:rsidP="006427A2">
            <w:pPr>
              <w:spacing w:before="120" w:after="0" w:line="240" w:lineRule="auto"/>
              <w:jc w:val="both"/>
              <w:rPr>
                <w:rFonts w:ascii="Times New Roman" w:hAnsi="Times New Roman"/>
                <w:b/>
                <w:sz w:val="28"/>
                <w:szCs w:val="28"/>
              </w:rPr>
            </w:pPr>
          </w:p>
        </w:tc>
        <w:tc>
          <w:tcPr>
            <w:tcW w:w="2986" w:type="pct"/>
            <w:gridSpan w:val="8"/>
            <w:tcBorders>
              <w:top w:val="single" w:sz="4" w:space="0" w:color="auto"/>
              <w:left w:val="single" w:sz="4" w:space="0" w:color="auto"/>
              <w:bottom w:val="single" w:sz="4" w:space="0" w:color="auto"/>
              <w:right w:val="single" w:sz="4" w:space="0" w:color="auto"/>
            </w:tcBorders>
            <w:shd w:val="clear" w:color="auto" w:fill="EEECE1" w:themeFill="background2"/>
          </w:tcPr>
          <w:p w:rsidR="00C4265B" w:rsidRPr="00726709" w:rsidRDefault="00726709" w:rsidP="00C67B75">
            <w:pPr>
              <w:pStyle w:val="ListParagraph"/>
              <w:numPr>
                <w:ilvl w:val="0"/>
                <w:numId w:val="0"/>
              </w:numPr>
              <w:spacing w:after="0" w:line="240" w:lineRule="auto"/>
              <w:jc w:val="both"/>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 xml:space="preserve">2. </w:t>
            </w:r>
            <w:r w:rsidR="00C4265B" w:rsidRPr="00726709">
              <w:rPr>
                <w:rFonts w:ascii="Times New Roman" w:eastAsia="Times New Roman" w:hAnsi="Times New Roman"/>
                <w:b/>
                <w:color w:val="000000"/>
                <w:sz w:val="28"/>
                <w:szCs w:val="28"/>
                <w:lang w:eastAsia="lv-LV"/>
              </w:rPr>
              <w:t>Kapitāla tirgus</w:t>
            </w:r>
          </w:p>
        </w:tc>
      </w:tr>
      <w:tr w:rsidR="00C4265B" w:rsidTr="00B42439">
        <w:tc>
          <w:tcPr>
            <w:tcW w:w="2014" w:type="pct"/>
            <w:tcBorders>
              <w:top w:val="single" w:sz="4" w:space="0" w:color="auto"/>
              <w:left w:val="single" w:sz="4" w:space="0" w:color="auto"/>
              <w:bottom w:val="single" w:sz="4" w:space="0" w:color="auto"/>
              <w:right w:val="single" w:sz="4" w:space="0" w:color="auto"/>
            </w:tcBorders>
          </w:tcPr>
          <w:p w:rsidR="00C4265B" w:rsidRPr="00726709" w:rsidRDefault="00C4265B" w:rsidP="00B42439">
            <w:pPr>
              <w:pStyle w:val="ListParagraph"/>
              <w:numPr>
                <w:ilvl w:val="1"/>
                <w:numId w:val="19"/>
              </w:numPr>
              <w:spacing w:after="120" w:line="240" w:lineRule="auto"/>
              <w:ind w:left="0" w:firstLine="0"/>
              <w:jc w:val="both"/>
              <w:rPr>
                <w:rFonts w:ascii="Times New Roman" w:hAnsi="Times New Roman"/>
                <w:b/>
                <w:sz w:val="24"/>
                <w:szCs w:val="24"/>
              </w:rPr>
            </w:pPr>
            <w:r w:rsidRPr="00726709">
              <w:rPr>
                <w:rFonts w:ascii="Times New Roman" w:hAnsi="Times New Roman"/>
                <w:b/>
                <w:sz w:val="24"/>
                <w:szCs w:val="24"/>
              </w:rPr>
              <w:t>Caurskat</w:t>
            </w:r>
            <w:r w:rsidR="00227E8B" w:rsidRPr="00726709">
              <w:rPr>
                <w:rFonts w:ascii="Times New Roman" w:hAnsi="Times New Roman"/>
                <w:b/>
                <w:sz w:val="24"/>
                <w:szCs w:val="24"/>
              </w:rPr>
              <w:t>āma</w:t>
            </w:r>
            <w:r w:rsidRPr="00726709">
              <w:rPr>
                <w:rFonts w:ascii="Times New Roman" w:hAnsi="Times New Roman"/>
                <w:b/>
                <w:sz w:val="24"/>
                <w:szCs w:val="24"/>
              </w:rPr>
              <w:t xml:space="preserve"> valsts kapitāla daļu atsavinā</w:t>
            </w:r>
            <w:r w:rsidR="00227E8B" w:rsidRPr="00726709">
              <w:rPr>
                <w:rFonts w:ascii="Times New Roman" w:hAnsi="Times New Roman"/>
                <w:b/>
                <w:sz w:val="24"/>
                <w:szCs w:val="24"/>
              </w:rPr>
              <w:t>šana</w:t>
            </w:r>
          </w:p>
          <w:p w:rsidR="00227E8B" w:rsidRPr="003A3E0C" w:rsidRDefault="00227E8B" w:rsidP="00C67B75">
            <w:pPr>
              <w:spacing w:after="120" w:line="240" w:lineRule="auto"/>
              <w:jc w:val="both"/>
              <w:rPr>
                <w:rFonts w:ascii="Times New Roman" w:hAnsi="Times New Roman"/>
                <w:i/>
                <w:sz w:val="24"/>
                <w:szCs w:val="24"/>
              </w:rPr>
            </w:pPr>
            <w:r w:rsidRPr="003A3E0C">
              <w:rPr>
                <w:rFonts w:ascii="Times New Roman" w:hAnsi="Times New Roman"/>
                <w:i/>
                <w:sz w:val="24"/>
                <w:szCs w:val="24"/>
              </w:rPr>
              <w:t>Gadījumos, kad publiskas personas komercdarbībai nav specifiski identificēta principiāla nepieciešamība, ir jāizstrādā un jāīsteno caurskatāma valsts kapitāla daļu atsavināšanas kārtība. Šīs kārtības ietvaros, izvērtējot piemērotāko atsavināšanas modeli, kā viena no iespējām vienmēr būtu jāizvērtē publiskais piedāvājums (IPO) vai akciju kotācija biržā.</w:t>
            </w:r>
          </w:p>
          <w:p w:rsidR="008D5AE0" w:rsidRDefault="008D5AE0" w:rsidP="00C67B75">
            <w:pPr>
              <w:spacing w:after="120" w:line="240" w:lineRule="auto"/>
              <w:jc w:val="both"/>
              <w:rPr>
                <w:rFonts w:ascii="Times New Roman" w:hAnsi="Times New Roman"/>
                <w:sz w:val="24"/>
                <w:szCs w:val="24"/>
              </w:rPr>
            </w:pPr>
            <w:r>
              <w:rPr>
                <w:rFonts w:ascii="Times New Roman" w:hAnsi="Times New Roman"/>
                <w:sz w:val="24"/>
                <w:szCs w:val="24"/>
              </w:rPr>
              <w:t>Rīcībai:</w:t>
            </w:r>
          </w:p>
          <w:p w:rsidR="008D5AE0" w:rsidRPr="008D5AE0" w:rsidRDefault="008D5AE0" w:rsidP="00FA614B">
            <w:pPr>
              <w:spacing w:after="120" w:line="240" w:lineRule="auto"/>
              <w:jc w:val="both"/>
              <w:rPr>
                <w:rFonts w:ascii="Times New Roman" w:hAnsi="Times New Roman"/>
                <w:sz w:val="24"/>
                <w:szCs w:val="24"/>
              </w:rPr>
            </w:pPr>
            <w:r w:rsidRPr="00FA614B">
              <w:rPr>
                <w:rFonts w:ascii="Times New Roman" w:hAnsi="Times New Roman"/>
                <w:sz w:val="24"/>
                <w:szCs w:val="24"/>
              </w:rPr>
              <w:t>Lēmumu pieņemšana par kapitāla daļu atsavināšanu un atsavināšanas veikšana ir darbības, kas esošās normatīvās bāzes ietvaros var tikt uzsāktas jau pašlaik (negaidot likumprojekta „Publisko personu kapitālsabiedrību un kapitāla daļu pārvaldības likums” spēkā stāšanos)</w:t>
            </w:r>
            <w:r w:rsidR="008A39B7" w:rsidRPr="00FA614B">
              <w:rPr>
                <w:rFonts w:ascii="Times New Roman" w:hAnsi="Times New Roman"/>
                <w:sz w:val="24"/>
                <w:szCs w:val="24"/>
              </w:rPr>
              <w:t>. M</w:t>
            </w:r>
            <w:r w:rsidRPr="00FA614B">
              <w:rPr>
                <w:rFonts w:ascii="Times New Roman" w:hAnsi="Times New Roman"/>
                <w:sz w:val="24"/>
                <w:szCs w:val="24"/>
              </w:rPr>
              <w:t xml:space="preserve">inistrijām iesniedzot priekšlikumus </w:t>
            </w:r>
            <w:r w:rsidR="00B42439" w:rsidRPr="00FA614B">
              <w:rPr>
                <w:rFonts w:ascii="Times New Roman" w:hAnsi="Times New Roman"/>
                <w:sz w:val="24"/>
                <w:szCs w:val="24"/>
              </w:rPr>
              <w:t xml:space="preserve">MK </w:t>
            </w:r>
            <w:r w:rsidRPr="00FA614B">
              <w:rPr>
                <w:rFonts w:ascii="Times New Roman" w:hAnsi="Times New Roman"/>
                <w:sz w:val="24"/>
                <w:szCs w:val="24"/>
              </w:rPr>
              <w:t>par kapitāla daļu atsavināšanu</w:t>
            </w:r>
            <w:r w:rsidR="008A39B7" w:rsidRPr="00FA614B">
              <w:rPr>
                <w:rFonts w:ascii="Times New Roman" w:hAnsi="Times New Roman"/>
                <w:sz w:val="24"/>
                <w:szCs w:val="24"/>
              </w:rPr>
              <w:t xml:space="preserve">, </w:t>
            </w:r>
            <w:r w:rsidR="00FA614B" w:rsidRPr="00FA614B">
              <w:rPr>
                <w:rFonts w:ascii="Times New Roman" w:hAnsi="Times New Roman"/>
                <w:sz w:val="24"/>
                <w:szCs w:val="24"/>
              </w:rPr>
              <w:t xml:space="preserve">izvērtēt iespējas tās atsavināt </w:t>
            </w:r>
            <w:r w:rsidRPr="00FA614B">
              <w:rPr>
                <w:rFonts w:ascii="Times New Roman" w:hAnsi="Times New Roman"/>
                <w:sz w:val="24"/>
                <w:szCs w:val="24"/>
              </w:rPr>
              <w:t xml:space="preserve">publiskajā </w:t>
            </w:r>
            <w:r w:rsidRPr="00FA614B">
              <w:rPr>
                <w:rFonts w:ascii="Times New Roman" w:hAnsi="Times New Roman"/>
                <w:sz w:val="24"/>
                <w:szCs w:val="24"/>
              </w:rPr>
              <w:lastRenderedPageBreak/>
              <w:t>piedāvājumā (IPO) vai kotējot biržā.</w:t>
            </w:r>
          </w:p>
        </w:tc>
        <w:tc>
          <w:tcPr>
            <w:tcW w:w="613" w:type="pct"/>
            <w:gridSpan w:val="2"/>
            <w:tcBorders>
              <w:top w:val="single" w:sz="4" w:space="0" w:color="auto"/>
              <w:left w:val="single" w:sz="4" w:space="0" w:color="auto"/>
              <w:bottom w:val="single" w:sz="4" w:space="0" w:color="auto"/>
              <w:right w:val="single" w:sz="4" w:space="0" w:color="auto"/>
            </w:tcBorders>
          </w:tcPr>
          <w:p w:rsidR="00C4265B" w:rsidRPr="000E3EB3" w:rsidRDefault="00A86DF1"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P</w:t>
            </w:r>
            <w:r w:rsidR="008D5AE0">
              <w:rPr>
                <w:rFonts w:ascii="Times New Roman" w:hAnsi="Times New Roman"/>
                <w:color w:val="000000"/>
                <w:sz w:val="24"/>
                <w:szCs w:val="24"/>
              </w:rPr>
              <w:t>astāvīgi</w:t>
            </w:r>
          </w:p>
        </w:tc>
        <w:tc>
          <w:tcPr>
            <w:tcW w:w="422" w:type="pct"/>
            <w:gridSpan w:val="2"/>
            <w:tcBorders>
              <w:top w:val="single" w:sz="4" w:space="0" w:color="auto"/>
              <w:left w:val="single" w:sz="4" w:space="0" w:color="auto"/>
              <w:bottom w:val="single" w:sz="4" w:space="0" w:color="auto"/>
              <w:right w:val="single" w:sz="4" w:space="0" w:color="auto"/>
            </w:tcBorders>
          </w:tcPr>
          <w:p w:rsidR="00C4265B" w:rsidRPr="000E3EB3" w:rsidRDefault="00FC71C0" w:rsidP="00C67B75">
            <w:pPr>
              <w:spacing w:after="0" w:line="240" w:lineRule="auto"/>
              <w:jc w:val="both"/>
              <w:rPr>
                <w:rFonts w:ascii="Times New Roman" w:hAnsi="Times New Roman"/>
                <w:color w:val="000000"/>
                <w:sz w:val="24"/>
                <w:szCs w:val="24"/>
              </w:rPr>
            </w:pPr>
            <w:r>
              <w:rPr>
                <w:rFonts w:ascii="Times New Roman" w:hAnsi="Times New Roman"/>
                <w:color w:val="000000"/>
                <w:sz w:val="24"/>
                <w:szCs w:val="24"/>
              </w:rPr>
              <w:t>Ministrijas,</w:t>
            </w:r>
            <w:r w:rsidR="007B144D">
              <w:rPr>
                <w:rFonts w:ascii="Times New Roman" w:hAnsi="Times New Roman"/>
                <w:color w:val="000000"/>
                <w:sz w:val="24"/>
                <w:szCs w:val="24"/>
              </w:rPr>
              <w:t xml:space="preserve"> </w:t>
            </w:r>
            <w:r>
              <w:rPr>
                <w:rFonts w:ascii="Times New Roman" w:hAnsi="Times New Roman"/>
                <w:color w:val="000000"/>
                <w:sz w:val="24"/>
                <w:szCs w:val="24"/>
              </w:rPr>
              <w:t>kas ir valsts kapitāla daļu turētājas.</w:t>
            </w:r>
          </w:p>
        </w:tc>
        <w:tc>
          <w:tcPr>
            <w:tcW w:w="1276" w:type="pct"/>
            <w:gridSpan w:val="2"/>
            <w:tcBorders>
              <w:top w:val="single" w:sz="4" w:space="0" w:color="auto"/>
              <w:left w:val="single" w:sz="4" w:space="0" w:color="auto"/>
              <w:bottom w:val="single" w:sz="4" w:space="0" w:color="auto"/>
              <w:right w:val="single" w:sz="4" w:space="0" w:color="auto"/>
            </w:tcBorders>
          </w:tcPr>
          <w:p w:rsidR="00C4265B" w:rsidRDefault="008D5AE0" w:rsidP="00C67B7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204290" w:rsidRPr="00204290">
              <w:rPr>
                <w:rFonts w:ascii="Times New Roman" w:hAnsi="Times New Roman"/>
                <w:color w:val="000000"/>
                <w:sz w:val="24"/>
                <w:szCs w:val="24"/>
              </w:rPr>
              <w:t xml:space="preserve">Saskaņā ar Ministru kabineta 2013.gada 11.jūnija sēdē (prot.Nr.34 37.§) lemto un informatīvā ziņojuma "Par valsts līdzdalības kapitālsabiedrībās izvērtēšanu un ar Ministru prezidenta 2012.gada 19.jūnija rīkojumu Nr.233 izveidotās darba grupas priekšlikumiem turpmākai rīcībai" 5.pielikumā doto uzdevumu Nr.4 un Nr.5 ministrijām līdz </w:t>
            </w:r>
            <w:r>
              <w:rPr>
                <w:rFonts w:ascii="Times New Roman" w:hAnsi="Times New Roman"/>
                <w:color w:val="000000"/>
                <w:sz w:val="24"/>
                <w:szCs w:val="24"/>
              </w:rPr>
              <w:t>2013.gada</w:t>
            </w:r>
            <w:r w:rsidR="00204290" w:rsidRPr="00204290">
              <w:rPr>
                <w:rFonts w:ascii="Times New Roman" w:hAnsi="Times New Roman"/>
                <w:color w:val="000000"/>
                <w:sz w:val="24"/>
                <w:szCs w:val="24"/>
              </w:rPr>
              <w:t xml:space="preserve"> 31.decembrim ir jāiesniedz vērtējums par iespēju atsavināt valstij piederošās kapitāla daļas (akcijas) kapitālsabiedrībā, kurā tā ir kapitāla daļu turētāja.</w:t>
            </w:r>
          </w:p>
          <w:p w:rsidR="007D5328" w:rsidRPr="000E3EB3" w:rsidRDefault="008D5AE0" w:rsidP="00FA614B">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8D5AE0">
              <w:rPr>
                <w:rFonts w:ascii="Times New Roman" w:hAnsi="Times New Roman"/>
                <w:color w:val="000000"/>
                <w:sz w:val="24"/>
                <w:szCs w:val="24"/>
              </w:rPr>
              <w:t xml:space="preserve">Iesniedzot priekšlikumu atsavināt kapitāla daļa (akcijas), var tikt </w:t>
            </w:r>
            <w:r w:rsidRPr="008D5AE0">
              <w:rPr>
                <w:rFonts w:ascii="Times New Roman" w:hAnsi="Times New Roman"/>
                <w:color w:val="000000"/>
                <w:sz w:val="24"/>
                <w:szCs w:val="24"/>
              </w:rPr>
              <w:lastRenderedPageBreak/>
              <w:t>piedāvāts Ministru kabinetam noteikt nosacījumu, ka tās tiek atsavinātas publiskajā piedāvājumā (IPO) vai kotējot biržā.</w:t>
            </w:r>
          </w:p>
        </w:tc>
        <w:tc>
          <w:tcPr>
            <w:tcW w:w="675" w:type="pct"/>
            <w:gridSpan w:val="2"/>
            <w:tcBorders>
              <w:top w:val="single" w:sz="4" w:space="0" w:color="auto"/>
              <w:left w:val="single" w:sz="4" w:space="0" w:color="auto"/>
              <w:bottom w:val="single" w:sz="4" w:space="0" w:color="auto"/>
              <w:right w:val="single" w:sz="4" w:space="0" w:color="auto"/>
            </w:tcBorders>
          </w:tcPr>
          <w:p w:rsidR="00C4265B" w:rsidRPr="00204290" w:rsidRDefault="00204290" w:rsidP="00C67B75">
            <w:pPr>
              <w:pStyle w:val="CommentText"/>
              <w:spacing w:after="120" w:line="240" w:lineRule="auto"/>
              <w:jc w:val="both"/>
              <w:rPr>
                <w:rFonts w:ascii="Times New Roman" w:eastAsia="Times New Roman" w:hAnsi="Times New Roman"/>
                <w:color w:val="000000"/>
                <w:lang w:eastAsia="lv-LV"/>
              </w:rPr>
            </w:pPr>
            <w:r w:rsidRPr="00204290">
              <w:rPr>
                <w:rFonts w:ascii="Times New Roman" w:eastAsia="Times New Roman" w:hAnsi="Times New Roman"/>
                <w:color w:val="000000"/>
                <w:lang w:eastAsia="lv-LV"/>
              </w:rPr>
              <w:lastRenderedPageBreak/>
              <w:t>Funkciju izpilde tiek nodrošināta ikgadēji piešķirto valsts budžeta līdzekļu ietvaros.</w:t>
            </w:r>
          </w:p>
        </w:tc>
      </w:tr>
      <w:tr w:rsidR="00227E8B" w:rsidTr="00B42439">
        <w:tc>
          <w:tcPr>
            <w:tcW w:w="2014" w:type="pct"/>
            <w:tcBorders>
              <w:top w:val="single" w:sz="4" w:space="0" w:color="auto"/>
              <w:left w:val="single" w:sz="4" w:space="0" w:color="auto"/>
              <w:bottom w:val="single" w:sz="4" w:space="0" w:color="auto"/>
              <w:right w:val="single" w:sz="4" w:space="0" w:color="auto"/>
            </w:tcBorders>
          </w:tcPr>
          <w:p w:rsidR="00227E8B" w:rsidRPr="00726709" w:rsidRDefault="003E295F" w:rsidP="0079094E">
            <w:pPr>
              <w:pStyle w:val="ListParagraph"/>
              <w:numPr>
                <w:ilvl w:val="1"/>
                <w:numId w:val="19"/>
              </w:numPr>
              <w:spacing w:after="120" w:line="240" w:lineRule="auto"/>
              <w:ind w:left="0" w:firstLine="0"/>
              <w:jc w:val="both"/>
              <w:rPr>
                <w:rFonts w:ascii="Times New Roman" w:hAnsi="Times New Roman"/>
                <w:b/>
                <w:sz w:val="24"/>
                <w:szCs w:val="24"/>
              </w:rPr>
            </w:pPr>
            <w:r w:rsidRPr="00726709">
              <w:rPr>
                <w:rFonts w:ascii="Times New Roman" w:hAnsi="Times New Roman"/>
                <w:b/>
                <w:sz w:val="24"/>
                <w:szCs w:val="24"/>
              </w:rPr>
              <w:lastRenderedPageBreak/>
              <w:t xml:space="preserve">Iekšzemes </w:t>
            </w:r>
            <w:r w:rsidR="00F21978" w:rsidRPr="00726709">
              <w:rPr>
                <w:rFonts w:ascii="Times New Roman" w:hAnsi="Times New Roman"/>
                <w:b/>
                <w:sz w:val="24"/>
                <w:szCs w:val="24"/>
              </w:rPr>
              <w:t xml:space="preserve">valsts vērtspapīru tirgus attīstības veicināšana </w:t>
            </w:r>
          </w:p>
          <w:p w:rsidR="00F21978" w:rsidRPr="00806040" w:rsidRDefault="00F21978" w:rsidP="00C67B75">
            <w:pPr>
              <w:spacing w:after="120" w:line="240" w:lineRule="auto"/>
              <w:jc w:val="both"/>
              <w:rPr>
                <w:rFonts w:ascii="Times New Roman" w:hAnsi="Times New Roman"/>
                <w:i/>
                <w:sz w:val="24"/>
                <w:szCs w:val="24"/>
              </w:rPr>
            </w:pPr>
            <w:r w:rsidRPr="00806040">
              <w:rPr>
                <w:rFonts w:ascii="Times New Roman" w:hAnsi="Times New Roman"/>
                <w:i/>
                <w:sz w:val="24"/>
                <w:szCs w:val="24"/>
              </w:rPr>
              <w:t xml:space="preserve">Latvijas Valsts parāda vadības mērķi, pamatprincipus un vidēja termiņa uzdevumus nosaka finanšu ministrs, apstiprinot Latvijas Valsts parāda vadības stratēģiju (PVS). </w:t>
            </w:r>
          </w:p>
          <w:p w:rsidR="00F21978" w:rsidRPr="00806040" w:rsidRDefault="00F21978" w:rsidP="00C67B75">
            <w:pPr>
              <w:spacing w:after="120" w:line="240" w:lineRule="auto"/>
              <w:jc w:val="both"/>
              <w:rPr>
                <w:rFonts w:ascii="Times New Roman" w:hAnsi="Times New Roman"/>
                <w:i/>
                <w:sz w:val="24"/>
                <w:szCs w:val="24"/>
              </w:rPr>
            </w:pPr>
            <w:r w:rsidRPr="00806040">
              <w:rPr>
                <w:rFonts w:ascii="Times New Roman" w:hAnsi="Times New Roman"/>
                <w:i/>
                <w:sz w:val="24"/>
                <w:szCs w:val="24"/>
              </w:rPr>
              <w:t>Latvijas Valsts parāda vadības stratēģija tiek veidota analizējot situāciju Latvijas un pasaules finanšu tirgū, ņemot vērā valsts ekonomikas attīstības tendences, kā arī ievērojot  labāko pasaules parāda vadības praksi.</w:t>
            </w:r>
          </w:p>
          <w:p w:rsidR="00F21978" w:rsidRPr="00F319B9" w:rsidRDefault="00F36381" w:rsidP="00C67B75">
            <w:pPr>
              <w:tabs>
                <w:tab w:val="left" w:pos="5149"/>
              </w:tabs>
              <w:spacing w:after="120" w:line="240" w:lineRule="auto"/>
              <w:jc w:val="both"/>
              <w:rPr>
                <w:rFonts w:ascii="Times New Roman" w:hAnsi="Times New Roman"/>
                <w:sz w:val="24"/>
                <w:szCs w:val="24"/>
              </w:rPr>
            </w:pPr>
            <w:r w:rsidRPr="00F36381">
              <w:rPr>
                <w:rFonts w:ascii="Times New Roman" w:hAnsi="Times New Roman"/>
                <w:sz w:val="24"/>
                <w:szCs w:val="24"/>
              </w:rPr>
              <w:t>Rīcībai:</w:t>
            </w:r>
            <w:r w:rsidR="00F21978" w:rsidRPr="00F319B9">
              <w:rPr>
                <w:rFonts w:ascii="Times New Roman" w:hAnsi="Times New Roman"/>
                <w:sz w:val="24"/>
                <w:szCs w:val="24"/>
              </w:rPr>
              <w:tab/>
            </w:r>
          </w:p>
          <w:p w:rsidR="00227E8B" w:rsidRPr="000E3EB3" w:rsidRDefault="00F21978" w:rsidP="00C67B75">
            <w:pPr>
              <w:spacing w:after="120" w:line="240" w:lineRule="auto"/>
              <w:jc w:val="both"/>
              <w:rPr>
                <w:rFonts w:ascii="Times New Roman" w:hAnsi="Times New Roman"/>
                <w:sz w:val="24"/>
                <w:szCs w:val="24"/>
              </w:rPr>
            </w:pPr>
            <w:r w:rsidRPr="00F319B9">
              <w:rPr>
                <w:rFonts w:ascii="Times New Roman" w:hAnsi="Times New Roman"/>
                <w:sz w:val="24"/>
                <w:szCs w:val="24"/>
              </w:rPr>
              <w:t xml:space="preserve">Arī turpmāk veicināt iekšzemes valsts vērtspapīru tirgus attīstību, sekmējot tā integrāciju </w:t>
            </w:r>
            <w:r w:rsidRPr="00F319B9">
              <w:rPr>
                <w:rFonts w:ascii="Times New Roman" w:hAnsi="Times New Roman"/>
                <w:i/>
                <w:sz w:val="24"/>
                <w:szCs w:val="24"/>
              </w:rPr>
              <w:t xml:space="preserve">euro </w:t>
            </w:r>
            <w:r w:rsidRPr="00F319B9">
              <w:rPr>
                <w:rFonts w:ascii="Times New Roman" w:hAnsi="Times New Roman"/>
                <w:sz w:val="24"/>
                <w:szCs w:val="24"/>
              </w:rPr>
              <w:t>zonas kapitāla tirgū.</w:t>
            </w:r>
          </w:p>
        </w:tc>
        <w:tc>
          <w:tcPr>
            <w:tcW w:w="613" w:type="pct"/>
            <w:gridSpan w:val="2"/>
            <w:tcBorders>
              <w:top w:val="single" w:sz="4" w:space="0" w:color="auto"/>
              <w:left w:val="single" w:sz="4" w:space="0" w:color="auto"/>
              <w:bottom w:val="single" w:sz="4" w:space="0" w:color="auto"/>
              <w:right w:val="single" w:sz="4" w:space="0" w:color="auto"/>
            </w:tcBorders>
          </w:tcPr>
          <w:p w:rsidR="00227E8B" w:rsidRPr="000E3EB3" w:rsidRDefault="00B54580" w:rsidP="00C67B75">
            <w:pPr>
              <w:spacing w:after="120" w:line="240" w:lineRule="auto"/>
              <w:jc w:val="both"/>
              <w:rPr>
                <w:rFonts w:ascii="Times New Roman" w:hAnsi="Times New Roman"/>
                <w:color w:val="000000"/>
                <w:sz w:val="24"/>
                <w:szCs w:val="24"/>
              </w:rPr>
            </w:pPr>
            <w:r w:rsidRPr="00B54580">
              <w:rPr>
                <w:rFonts w:ascii="Times New Roman" w:hAnsi="Times New Roman"/>
                <w:color w:val="000000"/>
                <w:sz w:val="24"/>
                <w:szCs w:val="24"/>
              </w:rPr>
              <w:t>Līdz katra gada beigām, vidējā termiņā</w:t>
            </w:r>
            <w:r w:rsidR="00B42439">
              <w:rPr>
                <w:rFonts w:ascii="Times New Roman" w:hAnsi="Times New Roman"/>
                <w:color w:val="000000"/>
                <w:sz w:val="24"/>
                <w:szCs w:val="24"/>
              </w:rPr>
              <w:t>.</w:t>
            </w:r>
          </w:p>
        </w:tc>
        <w:tc>
          <w:tcPr>
            <w:tcW w:w="422" w:type="pct"/>
            <w:gridSpan w:val="2"/>
            <w:tcBorders>
              <w:top w:val="single" w:sz="4" w:space="0" w:color="auto"/>
              <w:left w:val="single" w:sz="4" w:space="0" w:color="auto"/>
              <w:bottom w:val="single" w:sz="4" w:space="0" w:color="auto"/>
              <w:right w:val="single" w:sz="4" w:space="0" w:color="auto"/>
            </w:tcBorders>
          </w:tcPr>
          <w:p w:rsidR="00227E8B" w:rsidRPr="000E3EB3" w:rsidRDefault="007D24E2"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Valsts kase</w:t>
            </w:r>
            <w:r w:rsidR="00F319B9">
              <w:rPr>
                <w:rFonts w:ascii="Times New Roman" w:hAnsi="Times New Roman"/>
                <w:color w:val="000000"/>
                <w:sz w:val="24"/>
                <w:szCs w:val="24"/>
              </w:rPr>
              <w:t xml:space="preserve">, FM, </w:t>
            </w:r>
            <w:r w:rsidR="009A2062" w:rsidRPr="009A2062">
              <w:rPr>
                <w:rFonts w:ascii="Times New Roman" w:hAnsi="Times New Roman"/>
                <w:color w:val="000000"/>
                <w:sz w:val="24"/>
                <w:szCs w:val="24"/>
              </w:rPr>
              <w:t>NASDAQ OMX Riga</w:t>
            </w:r>
          </w:p>
        </w:tc>
        <w:tc>
          <w:tcPr>
            <w:tcW w:w="1276" w:type="pct"/>
            <w:gridSpan w:val="2"/>
            <w:tcBorders>
              <w:top w:val="single" w:sz="4" w:space="0" w:color="auto"/>
              <w:left w:val="single" w:sz="4" w:space="0" w:color="auto"/>
              <w:bottom w:val="single" w:sz="4" w:space="0" w:color="auto"/>
              <w:right w:val="single" w:sz="4" w:space="0" w:color="auto"/>
            </w:tcBorders>
          </w:tcPr>
          <w:p w:rsidR="00227E8B" w:rsidRDefault="00B54580" w:rsidP="00C67B75">
            <w:pPr>
              <w:spacing w:after="120" w:line="240" w:lineRule="auto"/>
              <w:jc w:val="both"/>
              <w:rPr>
                <w:rFonts w:ascii="Times New Roman" w:hAnsi="Times New Roman"/>
                <w:color w:val="000000"/>
                <w:sz w:val="24"/>
                <w:szCs w:val="24"/>
              </w:rPr>
            </w:pPr>
            <w:r w:rsidRPr="00B54580">
              <w:rPr>
                <w:rFonts w:ascii="Times New Roman" w:hAnsi="Times New Roman"/>
                <w:color w:val="000000"/>
                <w:sz w:val="24"/>
                <w:szCs w:val="24"/>
              </w:rPr>
              <w:t>Veikt pasākumus atbilstoši Latvijas Valsts parāda vadības stratēģijai un Va</w:t>
            </w:r>
            <w:r w:rsidR="00440E73">
              <w:rPr>
                <w:rFonts w:ascii="Times New Roman" w:hAnsi="Times New Roman"/>
                <w:color w:val="000000"/>
                <w:sz w:val="24"/>
                <w:szCs w:val="24"/>
              </w:rPr>
              <w:t>lsts kases darbības stratēģijai.</w:t>
            </w:r>
            <w:r w:rsidR="00033474">
              <w:rPr>
                <w:rFonts w:ascii="Times New Roman" w:hAnsi="Times New Roman"/>
                <w:color w:val="000000"/>
                <w:sz w:val="24"/>
                <w:szCs w:val="24"/>
              </w:rPr>
              <w:t xml:space="preserve"> Izpilde tiek parādīta Valsts kases mēneša, ceturkšņa un gada pārskatos</w:t>
            </w:r>
            <w:r w:rsidR="00094A91">
              <w:rPr>
                <w:rFonts w:ascii="Times New Roman" w:hAnsi="Times New Roman"/>
                <w:color w:val="000000"/>
                <w:sz w:val="24"/>
                <w:szCs w:val="24"/>
              </w:rPr>
              <w:t>, kā arī valsts parāda vadības pārskatos</w:t>
            </w:r>
            <w:r w:rsidR="00033474">
              <w:rPr>
                <w:rFonts w:ascii="Times New Roman" w:hAnsi="Times New Roman"/>
                <w:color w:val="000000"/>
                <w:sz w:val="24"/>
                <w:szCs w:val="24"/>
              </w:rPr>
              <w:t>.</w:t>
            </w:r>
          </w:p>
          <w:p w:rsidR="00F319B9" w:rsidRDefault="00F319B9" w:rsidP="00C67B75">
            <w:pPr>
              <w:spacing w:after="120" w:line="240" w:lineRule="auto"/>
              <w:jc w:val="both"/>
              <w:rPr>
                <w:rFonts w:ascii="Times New Roman" w:hAnsi="Times New Roman"/>
                <w:color w:val="000000"/>
                <w:sz w:val="24"/>
                <w:szCs w:val="24"/>
              </w:rPr>
            </w:pPr>
          </w:p>
          <w:p w:rsidR="00F319B9" w:rsidRPr="000E3EB3" w:rsidRDefault="00F319B9" w:rsidP="00C67B75">
            <w:p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rsidR="00227E8B" w:rsidRPr="00B54580" w:rsidRDefault="00387738" w:rsidP="00C67B75">
            <w:pPr>
              <w:pStyle w:val="CommentText"/>
              <w:spacing w:after="120" w:line="240" w:lineRule="auto"/>
              <w:ind w:hanging="23"/>
              <w:jc w:val="both"/>
              <w:rPr>
                <w:rFonts w:ascii="Times New Roman" w:eastAsia="Times New Roman" w:hAnsi="Times New Roman"/>
                <w:color w:val="000000"/>
                <w:lang w:eastAsia="lv-LV"/>
              </w:rPr>
            </w:pPr>
            <w:r>
              <w:rPr>
                <w:rFonts w:ascii="Times New Roman" w:hAnsi="Times New Roman"/>
                <w:color w:val="000000"/>
              </w:rPr>
              <w:t xml:space="preserve"> Valsts kase, FM, </w:t>
            </w:r>
            <w:r w:rsidRPr="009A2062">
              <w:rPr>
                <w:rFonts w:ascii="Times New Roman" w:hAnsi="Times New Roman"/>
                <w:color w:val="000000"/>
              </w:rPr>
              <w:t>NASDAQ OMX Riga</w:t>
            </w:r>
            <w:r>
              <w:rPr>
                <w:rFonts w:ascii="Times New Roman" w:hAnsi="Times New Roman"/>
                <w:color w:val="000000"/>
              </w:rPr>
              <w:t xml:space="preserve"> budžeta ietvaros.</w:t>
            </w:r>
          </w:p>
        </w:tc>
      </w:tr>
      <w:tr w:rsidR="00C46CB6" w:rsidTr="00B42439">
        <w:tc>
          <w:tcPr>
            <w:tcW w:w="2014" w:type="pct"/>
            <w:tcBorders>
              <w:top w:val="single" w:sz="4" w:space="0" w:color="auto"/>
              <w:left w:val="single" w:sz="4" w:space="0" w:color="auto"/>
              <w:bottom w:val="dashed" w:sz="4" w:space="0" w:color="auto"/>
              <w:right w:val="single" w:sz="4" w:space="0" w:color="auto"/>
            </w:tcBorders>
          </w:tcPr>
          <w:p w:rsidR="00C46CB6" w:rsidRPr="00C46CB6" w:rsidRDefault="00C46CB6" w:rsidP="00C67B75">
            <w:pPr>
              <w:spacing w:after="120" w:line="240" w:lineRule="auto"/>
              <w:jc w:val="both"/>
              <w:rPr>
                <w:rFonts w:ascii="Times New Roman" w:hAnsi="Times New Roman"/>
                <w:b/>
                <w:sz w:val="24"/>
                <w:szCs w:val="24"/>
              </w:rPr>
            </w:pPr>
            <w:r>
              <w:rPr>
                <w:rFonts w:ascii="Times New Roman" w:hAnsi="Times New Roman"/>
                <w:b/>
                <w:sz w:val="24"/>
                <w:szCs w:val="24"/>
              </w:rPr>
              <w:t>2.3.</w:t>
            </w:r>
            <w:r w:rsidRPr="00C46CB6">
              <w:rPr>
                <w:rFonts w:ascii="Times New Roman" w:hAnsi="Times New Roman"/>
                <w:b/>
                <w:sz w:val="24"/>
                <w:szCs w:val="24"/>
              </w:rPr>
              <w:t>Korporatīvo parāda vērtspapīru popularizēšana</w:t>
            </w:r>
          </w:p>
          <w:p w:rsidR="00C46CB6" w:rsidRPr="00D411AE" w:rsidRDefault="00C46CB6" w:rsidP="00C67B75">
            <w:pPr>
              <w:spacing w:after="120" w:line="240" w:lineRule="auto"/>
              <w:jc w:val="both"/>
              <w:rPr>
                <w:rFonts w:ascii="Times New Roman" w:hAnsi="Times New Roman"/>
                <w:b/>
                <w:i/>
                <w:sz w:val="24"/>
                <w:szCs w:val="24"/>
              </w:rPr>
            </w:pPr>
            <w:r w:rsidRPr="00D411AE">
              <w:rPr>
                <w:rFonts w:ascii="Times New Roman" w:hAnsi="Times New Roman"/>
                <w:i/>
                <w:sz w:val="24"/>
                <w:szCs w:val="24"/>
              </w:rPr>
              <w:t>Lai veicinātu uzņēmumu piekļuvi to darbības un attīstības nepieciešamajam finansējumam, mazinātu uzņēmējdarbības atkarību no kredītiestāžu kreditēšanas pakalpojumiem kā dominējošā finansējuma avota, lai veicinātu korporatīvās pārvaldības un caurskatāmības labās prakses izplatību, kā arī lai veicinātu vietējo un ārvalstu investoru bāzes attīstību</w:t>
            </w:r>
          </w:p>
        </w:tc>
        <w:tc>
          <w:tcPr>
            <w:tcW w:w="613" w:type="pct"/>
            <w:gridSpan w:val="2"/>
            <w:tcBorders>
              <w:top w:val="single" w:sz="4" w:space="0" w:color="auto"/>
              <w:left w:val="single" w:sz="4" w:space="0" w:color="auto"/>
              <w:bottom w:val="dashed" w:sz="4" w:space="0" w:color="auto"/>
              <w:right w:val="single" w:sz="4" w:space="0" w:color="auto"/>
            </w:tcBorders>
          </w:tcPr>
          <w:p w:rsidR="00C46CB6" w:rsidRDefault="00C46CB6" w:rsidP="00C67B75">
            <w:pPr>
              <w:spacing w:after="120" w:line="240" w:lineRule="auto"/>
              <w:jc w:val="both"/>
              <w:rPr>
                <w:rFonts w:ascii="Times New Roman" w:hAnsi="Times New Roman"/>
                <w:color w:val="000000"/>
                <w:sz w:val="24"/>
                <w:szCs w:val="24"/>
              </w:rPr>
            </w:pPr>
          </w:p>
        </w:tc>
        <w:tc>
          <w:tcPr>
            <w:tcW w:w="422" w:type="pct"/>
            <w:gridSpan w:val="2"/>
            <w:tcBorders>
              <w:top w:val="single" w:sz="4" w:space="0" w:color="auto"/>
              <w:left w:val="single" w:sz="4" w:space="0" w:color="auto"/>
              <w:bottom w:val="dashed" w:sz="4" w:space="0" w:color="auto"/>
              <w:right w:val="single" w:sz="4" w:space="0" w:color="auto"/>
            </w:tcBorders>
          </w:tcPr>
          <w:p w:rsidR="00C46CB6" w:rsidRDefault="00C46CB6" w:rsidP="00C67B75">
            <w:pPr>
              <w:spacing w:after="120" w:line="240" w:lineRule="auto"/>
              <w:jc w:val="both"/>
              <w:rPr>
                <w:rFonts w:ascii="Times New Roman" w:hAnsi="Times New Roman"/>
                <w:color w:val="000000"/>
                <w:sz w:val="24"/>
                <w:szCs w:val="24"/>
              </w:rPr>
            </w:pPr>
          </w:p>
        </w:tc>
        <w:tc>
          <w:tcPr>
            <w:tcW w:w="1276" w:type="pct"/>
            <w:gridSpan w:val="2"/>
            <w:tcBorders>
              <w:top w:val="single" w:sz="4" w:space="0" w:color="auto"/>
              <w:left w:val="single" w:sz="4" w:space="0" w:color="auto"/>
              <w:bottom w:val="dashed" w:sz="4" w:space="0" w:color="auto"/>
              <w:right w:val="single" w:sz="4" w:space="0" w:color="auto"/>
            </w:tcBorders>
          </w:tcPr>
          <w:p w:rsidR="00C46CB6" w:rsidRPr="008342BB" w:rsidRDefault="00C46CB6" w:rsidP="00C67B75">
            <w:p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dashed" w:sz="4" w:space="0" w:color="auto"/>
              <w:right w:val="single" w:sz="4" w:space="0" w:color="auto"/>
            </w:tcBorders>
          </w:tcPr>
          <w:p w:rsidR="00C46CB6" w:rsidRPr="00C4265B" w:rsidRDefault="00C46CB6" w:rsidP="00C67B75">
            <w:pPr>
              <w:pStyle w:val="CommentText"/>
              <w:spacing w:after="120" w:line="240" w:lineRule="auto"/>
              <w:jc w:val="both"/>
              <w:rPr>
                <w:rFonts w:ascii="Times New Roman" w:eastAsia="Times New Roman" w:hAnsi="Times New Roman"/>
                <w:color w:val="000000"/>
                <w:sz w:val="28"/>
                <w:szCs w:val="28"/>
                <w:lang w:eastAsia="lv-LV"/>
              </w:rPr>
            </w:pPr>
          </w:p>
        </w:tc>
      </w:tr>
      <w:tr w:rsidR="00C46CB6" w:rsidTr="00B42439">
        <w:tc>
          <w:tcPr>
            <w:tcW w:w="2014" w:type="pct"/>
            <w:tcBorders>
              <w:top w:val="dashed" w:sz="4" w:space="0" w:color="auto"/>
              <w:left w:val="single" w:sz="4" w:space="0" w:color="auto"/>
              <w:bottom w:val="dashed" w:sz="4" w:space="0" w:color="auto"/>
              <w:right w:val="single" w:sz="4" w:space="0" w:color="auto"/>
            </w:tcBorders>
          </w:tcPr>
          <w:p w:rsidR="00C46CB6" w:rsidRPr="00C46CB6" w:rsidRDefault="00C46CB6" w:rsidP="00C67B75">
            <w:pPr>
              <w:spacing w:after="120" w:line="240" w:lineRule="auto"/>
              <w:jc w:val="both"/>
              <w:rPr>
                <w:rFonts w:ascii="Times New Roman" w:hAnsi="Times New Roman"/>
                <w:sz w:val="24"/>
                <w:szCs w:val="24"/>
              </w:rPr>
            </w:pPr>
            <w:r>
              <w:rPr>
                <w:rFonts w:ascii="Times New Roman" w:hAnsi="Times New Roman"/>
                <w:sz w:val="24"/>
                <w:szCs w:val="24"/>
              </w:rPr>
              <w:t>Rīcībai:</w:t>
            </w:r>
          </w:p>
          <w:p w:rsidR="00C46CB6" w:rsidRDefault="00C46CB6" w:rsidP="00C67B75">
            <w:pPr>
              <w:spacing w:after="120" w:line="240" w:lineRule="auto"/>
              <w:jc w:val="both"/>
              <w:rPr>
                <w:rFonts w:ascii="Times New Roman" w:hAnsi="Times New Roman"/>
                <w:sz w:val="24"/>
                <w:szCs w:val="24"/>
              </w:rPr>
            </w:pPr>
            <w:r>
              <w:rPr>
                <w:rFonts w:ascii="Times New Roman" w:hAnsi="Times New Roman"/>
                <w:sz w:val="24"/>
                <w:szCs w:val="24"/>
              </w:rPr>
              <w:t xml:space="preserve">(1) </w:t>
            </w:r>
            <w:r w:rsidRPr="00C46CB6">
              <w:rPr>
                <w:rFonts w:ascii="Times New Roman" w:hAnsi="Times New Roman"/>
                <w:sz w:val="24"/>
                <w:szCs w:val="24"/>
              </w:rPr>
              <w:t>Popularizēt (publiski un aktīvi informēt) gan plašā sabiedrībā, gan uzņēmēju un potenciālo investoru lokā esošās iespējas korporatīvo parāda vērtspapīru un citu vērtspapīru ar fiksētu ienākumu izmantošanai kā alternatīvu saimnieciskās darbības un attīstības finansējuma avotu.</w:t>
            </w:r>
          </w:p>
        </w:tc>
        <w:tc>
          <w:tcPr>
            <w:tcW w:w="613" w:type="pct"/>
            <w:gridSpan w:val="2"/>
            <w:tcBorders>
              <w:top w:val="dashed" w:sz="4" w:space="0" w:color="auto"/>
              <w:left w:val="single" w:sz="4" w:space="0" w:color="auto"/>
              <w:bottom w:val="dashed" w:sz="4" w:space="0" w:color="auto"/>
              <w:right w:val="single" w:sz="4" w:space="0" w:color="auto"/>
            </w:tcBorders>
          </w:tcPr>
          <w:p w:rsidR="00C46CB6" w:rsidRDefault="00B42439"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w:t>
            </w:r>
            <w:r w:rsidR="00EA3531">
              <w:rPr>
                <w:rFonts w:ascii="Times New Roman" w:hAnsi="Times New Roman"/>
                <w:color w:val="000000"/>
                <w:sz w:val="24"/>
                <w:szCs w:val="24"/>
              </w:rPr>
              <w:t>astāvīgi</w:t>
            </w:r>
          </w:p>
        </w:tc>
        <w:tc>
          <w:tcPr>
            <w:tcW w:w="422" w:type="pct"/>
            <w:gridSpan w:val="2"/>
            <w:tcBorders>
              <w:top w:val="dashed" w:sz="4" w:space="0" w:color="auto"/>
              <w:left w:val="single" w:sz="4" w:space="0" w:color="auto"/>
              <w:bottom w:val="dashed" w:sz="4" w:space="0" w:color="auto"/>
              <w:right w:val="single" w:sz="4" w:space="0" w:color="auto"/>
            </w:tcBorders>
          </w:tcPr>
          <w:p w:rsidR="00C46CB6" w:rsidRDefault="00616D3D"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LKA, EM, FM</w:t>
            </w:r>
          </w:p>
        </w:tc>
        <w:tc>
          <w:tcPr>
            <w:tcW w:w="1276" w:type="pct"/>
            <w:gridSpan w:val="2"/>
            <w:tcBorders>
              <w:top w:val="dashed" w:sz="4" w:space="0" w:color="auto"/>
              <w:left w:val="single" w:sz="4" w:space="0" w:color="auto"/>
              <w:bottom w:val="dashed" w:sz="4" w:space="0" w:color="auto"/>
              <w:right w:val="single" w:sz="4" w:space="0" w:color="auto"/>
            </w:tcBorders>
          </w:tcPr>
          <w:p w:rsidR="00C46CB6" w:rsidRPr="008342BB" w:rsidRDefault="00616D3D" w:rsidP="00335258">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Izvērtēt iespējas popularizēt </w:t>
            </w:r>
            <w:r w:rsidRPr="00616D3D">
              <w:rPr>
                <w:rFonts w:ascii="Times New Roman" w:hAnsi="Times New Roman"/>
                <w:color w:val="000000"/>
                <w:sz w:val="24"/>
                <w:szCs w:val="24"/>
              </w:rPr>
              <w:t>korporatīvo parāda vērtspapīru un citu vērtspapīru ar fiksētu ienākumu izmantošanai kā alternatīvu saimnieciskās darbības un attīstības finansējuma avotu.</w:t>
            </w:r>
            <w:r w:rsidR="00335258">
              <w:rPr>
                <w:rFonts w:ascii="Times New Roman" w:hAnsi="Times New Roman"/>
                <w:color w:val="000000"/>
                <w:sz w:val="24"/>
                <w:szCs w:val="24"/>
                <w:vertAlign w:val="superscript"/>
              </w:rPr>
              <w:t>i</w:t>
            </w:r>
          </w:p>
        </w:tc>
        <w:tc>
          <w:tcPr>
            <w:tcW w:w="675" w:type="pct"/>
            <w:gridSpan w:val="2"/>
            <w:tcBorders>
              <w:top w:val="dashed" w:sz="4" w:space="0" w:color="auto"/>
              <w:left w:val="single" w:sz="4" w:space="0" w:color="auto"/>
              <w:bottom w:val="dashed" w:sz="4" w:space="0" w:color="auto"/>
              <w:right w:val="single" w:sz="4" w:space="0" w:color="auto"/>
            </w:tcBorders>
          </w:tcPr>
          <w:p w:rsidR="00C46CB6" w:rsidRPr="00F84505" w:rsidRDefault="003E0270" w:rsidP="00C67B75">
            <w:pPr>
              <w:pStyle w:val="CommentText"/>
              <w:spacing w:after="120" w:line="240" w:lineRule="auto"/>
              <w:jc w:val="both"/>
              <w:rPr>
                <w:rFonts w:ascii="Times New Roman" w:eastAsia="Times New Roman" w:hAnsi="Times New Roman"/>
                <w:color w:val="000000"/>
                <w:lang w:eastAsia="lv-LV"/>
              </w:rPr>
            </w:pPr>
            <w:r w:rsidRPr="00F84505">
              <w:rPr>
                <w:rFonts w:ascii="Times New Roman" w:eastAsia="Times New Roman" w:hAnsi="Times New Roman"/>
                <w:color w:val="000000"/>
                <w:lang w:eastAsia="lv-LV"/>
              </w:rPr>
              <w:t>LKA, EM</w:t>
            </w:r>
            <w:r>
              <w:rPr>
                <w:rFonts w:ascii="Times New Roman" w:eastAsia="Times New Roman" w:hAnsi="Times New Roman"/>
                <w:color w:val="000000"/>
                <w:lang w:eastAsia="lv-LV"/>
              </w:rPr>
              <w:t>,</w:t>
            </w:r>
            <w:r w:rsidRPr="00F84505">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 xml:space="preserve">FM </w:t>
            </w:r>
            <w:r w:rsidRPr="00F84505">
              <w:rPr>
                <w:rFonts w:ascii="Times New Roman" w:eastAsia="Times New Roman" w:hAnsi="Times New Roman"/>
                <w:color w:val="000000"/>
                <w:lang w:eastAsia="lv-LV"/>
              </w:rPr>
              <w:t>budžeta ietvaros</w:t>
            </w:r>
            <w:r w:rsidR="00A86DF1">
              <w:rPr>
                <w:rFonts w:ascii="Times New Roman" w:eastAsia="Times New Roman" w:hAnsi="Times New Roman"/>
                <w:color w:val="000000"/>
                <w:lang w:eastAsia="lv-LV"/>
              </w:rPr>
              <w:t>.</w:t>
            </w:r>
          </w:p>
        </w:tc>
      </w:tr>
      <w:tr w:rsidR="00C46CB6" w:rsidTr="00B42439">
        <w:tc>
          <w:tcPr>
            <w:tcW w:w="2014" w:type="pct"/>
            <w:tcBorders>
              <w:top w:val="dashed" w:sz="4" w:space="0" w:color="auto"/>
              <w:left w:val="single" w:sz="4" w:space="0" w:color="auto"/>
              <w:bottom w:val="dashed" w:sz="4" w:space="0" w:color="auto"/>
              <w:right w:val="single" w:sz="4" w:space="0" w:color="auto"/>
            </w:tcBorders>
          </w:tcPr>
          <w:p w:rsidR="00C46CB6" w:rsidRDefault="00C46CB6" w:rsidP="00C67B75">
            <w:pPr>
              <w:spacing w:after="120" w:line="240" w:lineRule="auto"/>
              <w:rPr>
                <w:rFonts w:ascii="Times New Roman" w:hAnsi="Times New Roman"/>
                <w:sz w:val="24"/>
                <w:szCs w:val="24"/>
              </w:rPr>
            </w:pPr>
            <w:r>
              <w:rPr>
                <w:rFonts w:ascii="Times New Roman" w:hAnsi="Times New Roman"/>
                <w:sz w:val="24"/>
                <w:szCs w:val="24"/>
              </w:rPr>
              <w:lastRenderedPageBreak/>
              <w:t xml:space="preserve">(2) </w:t>
            </w:r>
            <w:r w:rsidRPr="00C46CB6">
              <w:rPr>
                <w:rFonts w:ascii="Times New Roman" w:hAnsi="Times New Roman"/>
                <w:sz w:val="24"/>
                <w:szCs w:val="24"/>
              </w:rPr>
              <w:t>Rosināt finanšu tirgus dalībniekus, t, sk., kredītiestādes diversificēt savus finansējuma piesaistes avotus, piemēram, izvērtējot iekšzemes finanšu un kapitāla tirgus sniegtās iespējas aktīvu/pasīvu termiņstruktūras pielāgošanai, mērķorientētu vai vispārēju likviditātes vadības vajadzību īstenošanai, izmantojot parāda vērtspapīru emisiju.</w:t>
            </w:r>
          </w:p>
        </w:tc>
        <w:tc>
          <w:tcPr>
            <w:tcW w:w="613" w:type="pct"/>
            <w:gridSpan w:val="2"/>
            <w:tcBorders>
              <w:top w:val="dashed" w:sz="4" w:space="0" w:color="auto"/>
              <w:left w:val="single" w:sz="4" w:space="0" w:color="auto"/>
              <w:bottom w:val="dashed" w:sz="4" w:space="0" w:color="auto"/>
              <w:right w:val="single" w:sz="4" w:space="0" w:color="auto"/>
            </w:tcBorders>
          </w:tcPr>
          <w:p w:rsidR="00C46CB6" w:rsidRDefault="00B42439"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w:t>
            </w:r>
            <w:r w:rsidR="00EA3531">
              <w:rPr>
                <w:rFonts w:ascii="Times New Roman" w:hAnsi="Times New Roman"/>
                <w:color w:val="000000"/>
                <w:sz w:val="24"/>
                <w:szCs w:val="24"/>
              </w:rPr>
              <w:t>astāvīgi</w:t>
            </w:r>
          </w:p>
        </w:tc>
        <w:tc>
          <w:tcPr>
            <w:tcW w:w="422" w:type="pct"/>
            <w:gridSpan w:val="2"/>
            <w:tcBorders>
              <w:top w:val="dashed" w:sz="4" w:space="0" w:color="auto"/>
              <w:left w:val="single" w:sz="4" w:space="0" w:color="auto"/>
              <w:bottom w:val="dashed" w:sz="4" w:space="0" w:color="auto"/>
              <w:right w:val="single" w:sz="4" w:space="0" w:color="auto"/>
            </w:tcBorders>
          </w:tcPr>
          <w:p w:rsidR="00C46CB6" w:rsidRDefault="00616D3D"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LKA, EM, </w:t>
            </w:r>
          </w:p>
        </w:tc>
        <w:tc>
          <w:tcPr>
            <w:tcW w:w="1276" w:type="pct"/>
            <w:gridSpan w:val="2"/>
            <w:tcBorders>
              <w:top w:val="dashed" w:sz="4" w:space="0" w:color="auto"/>
              <w:left w:val="single" w:sz="4" w:space="0" w:color="auto"/>
              <w:bottom w:val="dashed" w:sz="4" w:space="0" w:color="auto"/>
              <w:right w:val="single" w:sz="4" w:space="0" w:color="auto"/>
            </w:tcBorders>
          </w:tcPr>
          <w:p w:rsidR="00C46CB6" w:rsidRPr="008342BB" w:rsidRDefault="00616D3D" w:rsidP="00335258">
            <w:pPr>
              <w:spacing w:after="120" w:line="240" w:lineRule="auto"/>
              <w:jc w:val="both"/>
              <w:rPr>
                <w:rFonts w:ascii="Times New Roman" w:hAnsi="Times New Roman"/>
                <w:color w:val="000000"/>
                <w:sz w:val="24"/>
                <w:szCs w:val="24"/>
              </w:rPr>
            </w:pPr>
            <w:r>
              <w:rPr>
                <w:rFonts w:ascii="Times New Roman" w:hAnsi="Times New Roman"/>
                <w:color w:val="000000"/>
                <w:sz w:val="24"/>
                <w:szCs w:val="24"/>
              </w:rPr>
              <w:t>Izvērtēt iespējas rosināt finanšu tirgus dalībniekus, izmantot parāda vērtspapīru emisiju.</w:t>
            </w:r>
            <w:r w:rsidR="009E38D1">
              <w:rPr>
                <w:rFonts w:ascii="Times New Roman" w:hAnsi="Times New Roman"/>
                <w:color w:val="000000"/>
                <w:sz w:val="24"/>
                <w:szCs w:val="24"/>
              </w:rPr>
              <w:t xml:space="preserve"> Konkrētas tiešās darbības tiks izstrādāt</w:t>
            </w:r>
            <w:r w:rsidR="00A27B3B">
              <w:rPr>
                <w:rFonts w:ascii="Times New Roman" w:hAnsi="Times New Roman"/>
                <w:color w:val="000000"/>
                <w:sz w:val="24"/>
                <w:szCs w:val="24"/>
              </w:rPr>
              <w:t>as</w:t>
            </w:r>
            <w:r w:rsidR="009E38D1">
              <w:rPr>
                <w:rFonts w:ascii="Times New Roman" w:hAnsi="Times New Roman"/>
                <w:color w:val="000000"/>
                <w:sz w:val="24"/>
                <w:szCs w:val="24"/>
              </w:rPr>
              <w:t xml:space="preserve"> sadarbībā ar nozari.</w:t>
            </w:r>
            <w:r w:rsidR="00335258">
              <w:rPr>
                <w:rFonts w:ascii="Times New Roman" w:hAnsi="Times New Roman"/>
                <w:color w:val="000000"/>
                <w:sz w:val="24"/>
                <w:szCs w:val="24"/>
                <w:vertAlign w:val="superscript"/>
              </w:rPr>
              <w:t>i</w:t>
            </w:r>
          </w:p>
        </w:tc>
        <w:tc>
          <w:tcPr>
            <w:tcW w:w="675" w:type="pct"/>
            <w:gridSpan w:val="2"/>
            <w:tcBorders>
              <w:top w:val="dashed" w:sz="4" w:space="0" w:color="auto"/>
              <w:left w:val="single" w:sz="4" w:space="0" w:color="auto"/>
              <w:bottom w:val="dashed" w:sz="4" w:space="0" w:color="auto"/>
              <w:right w:val="single" w:sz="4" w:space="0" w:color="auto"/>
            </w:tcBorders>
          </w:tcPr>
          <w:p w:rsidR="00C46CB6" w:rsidRPr="00C67B75" w:rsidRDefault="006459D6" w:rsidP="00C67B75">
            <w:pPr>
              <w:pStyle w:val="CommentText"/>
              <w:spacing w:after="120" w:line="240" w:lineRule="auto"/>
              <w:jc w:val="both"/>
              <w:rPr>
                <w:rFonts w:ascii="Times New Roman" w:eastAsia="Times New Roman" w:hAnsi="Times New Roman"/>
                <w:color w:val="000000"/>
                <w:lang w:eastAsia="lv-LV"/>
              </w:rPr>
            </w:pPr>
            <w:r w:rsidRPr="00C67B75">
              <w:rPr>
                <w:rFonts w:ascii="Times New Roman" w:eastAsia="Times New Roman" w:hAnsi="Times New Roman"/>
                <w:color w:val="000000"/>
                <w:lang w:eastAsia="lv-LV"/>
              </w:rPr>
              <w:t>LKA, EM budžeta ietvaros</w:t>
            </w:r>
            <w:r w:rsidR="00A86DF1">
              <w:rPr>
                <w:rFonts w:ascii="Times New Roman" w:eastAsia="Times New Roman" w:hAnsi="Times New Roman"/>
                <w:color w:val="000000"/>
                <w:lang w:eastAsia="lv-LV"/>
              </w:rPr>
              <w:t>.</w:t>
            </w:r>
          </w:p>
        </w:tc>
      </w:tr>
      <w:tr w:rsidR="00227E8B" w:rsidTr="00B42439">
        <w:tc>
          <w:tcPr>
            <w:tcW w:w="2014" w:type="pct"/>
            <w:tcBorders>
              <w:top w:val="dashed" w:sz="4" w:space="0" w:color="auto"/>
              <w:left w:val="single" w:sz="4" w:space="0" w:color="auto"/>
              <w:bottom w:val="single" w:sz="4" w:space="0" w:color="auto"/>
              <w:right w:val="single" w:sz="4" w:space="0" w:color="auto"/>
            </w:tcBorders>
          </w:tcPr>
          <w:p w:rsidR="008803F0" w:rsidRPr="00C46CB6" w:rsidRDefault="00C46CB6" w:rsidP="00C67B75">
            <w:pPr>
              <w:spacing w:after="120" w:line="240" w:lineRule="auto"/>
              <w:jc w:val="both"/>
              <w:rPr>
                <w:rFonts w:ascii="Times New Roman" w:hAnsi="Times New Roman"/>
                <w:sz w:val="24"/>
                <w:szCs w:val="24"/>
              </w:rPr>
            </w:pPr>
            <w:r>
              <w:rPr>
                <w:rFonts w:ascii="Times New Roman" w:hAnsi="Times New Roman"/>
                <w:sz w:val="24"/>
                <w:szCs w:val="24"/>
              </w:rPr>
              <w:t xml:space="preserve">(3) </w:t>
            </w:r>
            <w:r w:rsidR="00147AB2">
              <w:rPr>
                <w:rFonts w:ascii="Times New Roman" w:hAnsi="Times New Roman"/>
                <w:sz w:val="24"/>
                <w:szCs w:val="24"/>
              </w:rPr>
              <w:t xml:space="preserve">Pārskatīt regulējumu par </w:t>
            </w:r>
            <w:r w:rsidR="008803F0" w:rsidRPr="00C46CB6">
              <w:rPr>
                <w:rFonts w:ascii="Times New Roman" w:hAnsi="Times New Roman"/>
                <w:sz w:val="24"/>
                <w:szCs w:val="24"/>
              </w:rPr>
              <w:t xml:space="preserve">Hipotekāro ķīlu zīmju likuma normu aktualitāti un atbilstību </w:t>
            </w:r>
            <w:r w:rsidR="00FE7C69" w:rsidRPr="00C46CB6">
              <w:rPr>
                <w:rFonts w:ascii="Times New Roman" w:hAnsi="Times New Roman"/>
                <w:sz w:val="24"/>
                <w:szCs w:val="24"/>
              </w:rPr>
              <w:t>fiksēta ienākuma parāda vērtspapīru tirgus attīstības potenciālam.</w:t>
            </w:r>
          </w:p>
        </w:tc>
        <w:tc>
          <w:tcPr>
            <w:tcW w:w="613" w:type="pct"/>
            <w:gridSpan w:val="2"/>
            <w:tcBorders>
              <w:top w:val="dashed" w:sz="4" w:space="0" w:color="auto"/>
              <w:left w:val="single" w:sz="4" w:space="0" w:color="auto"/>
              <w:bottom w:val="single" w:sz="4" w:space="0" w:color="auto"/>
              <w:right w:val="single" w:sz="4" w:space="0" w:color="auto"/>
            </w:tcBorders>
          </w:tcPr>
          <w:p w:rsidR="00227E8B" w:rsidRPr="000E3EB3" w:rsidRDefault="004D00F8"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01.01.2015.</w:t>
            </w:r>
          </w:p>
        </w:tc>
        <w:tc>
          <w:tcPr>
            <w:tcW w:w="422" w:type="pct"/>
            <w:gridSpan w:val="2"/>
            <w:tcBorders>
              <w:top w:val="dashed" w:sz="4" w:space="0" w:color="auto"/>
              <w:left w:val="single" w:sz="4" w:space="0" w:color="auto"/>
              <w:bottom w:val="single" w:sz="4" w:space="0" w:color="auto"/>
              <w:right w:val="single" w:sz="4" w:space="0" w:color="auto"/>
            </w:tcBorders>
          </w:tcPr>
          <w:p w:rsidR="00227E8B" w:rsidRPr="000E3EB3" w:rsidRDefault="00147AB2" w:rsidP="00C67B75">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FM, </w:t>
            </w:r>
            <w:r w:rsidR="00EA3531" w:rsidRPr="00EA3531">
              <w:rPr>
                <w:rFonts w:ascii="Times New Roman" w:hAnsi="Times New Roman"/>
                <w:color w:val="000000"/>
                <w:sz w:val="24"/>
                <w:szCs w:val="24"/>
              </w:rPr>
              <w:t>FKTK</w:t>
            </w:r>
          </w:p>
        </w:tc>
        <w:tc>
          <w:tcPr>
            <w:tcW w:w="1276" w:type="pct"/>
            <w:gridSpan w:val="2"/>
            <w:tcBorders>
              <w:top w:val="dashed" w:sz="4" w:space="0" w:color="auto"/>
              <w:left w:val="single" w:sz="4" w:space="0" w:color="auto"/>
              <w:bottom w:val="single" w:sz="4" w:space="0" w:color="auto"/>
              <w:right w:val="single" w:sz="4" w:space="0" w:color="auto"/>
            </w:tcBorders>
          </w:tcPr>
          <w:p w:rsidR="00FE7C69" w:rsidRPr="008342BB" w:rsidRDefault="00147AB2" w:rsidP="00C67B75">
            <w:pPr>
              <w:spacing w:after="120" w:line="240" w:lineRule="auto"/>
              <w:jc w:val="both"/>
              <w:rPr>
                <w:rFonts w:ascii="Times New Roman" w:hAnsi="Times New Roman"/>
                <w:color w:val="000000"/>
                <w:sz w:val="24"/>
                <w:szCs w:val="24"/>
              </w:rPr>
            </w:pPr>
            <w:r w:rsidRPr="00C46CB6">
              <w:rPr>
                <w:rFonts w:ascii="Times New Roman" w:hAnsi="Times New Roman"/>
                <w:sz w:val="24"/>
                <w:szCs w:val="24"/>
              </w:rPr>
              <w:t>Izvērtēt Hipotekāro ķīlu zīmju likuma normu aktualitāti un atbilstību fiksēta ienākuma parāda vērtspapīru tirgus attīstības potenciālam.</w:t>
            </w:r>
          </w:p>
        </w:tc>
        <w:tc>
          <w:tcPr>
            <w:tcW w:w="675" w:type="pct"/>
            <w:gridSpan w:val="2"/>
            <w:tcBorders>
              <w:top w:val="dashed" w:sz="4" w:space="0" w:color="auto"/>
              <w:left w:val="single" w:sz="4" w:space="0" w:color="auto"/>
              <w:bottom w:val="single" w:sz="4" w:space="0" w:color="auto"/>
              <w:right w:val="single" w:sz="4" w:space="0" w:color="auto"/>
            </w:tcBorders>
          </w:tcPr>
          <w:p w:rsidR="00227E8B" w:rsidRPr="00C67B75" w:rsidRDefault="006459D6" w:rsidP="00B42439">
            <w:pPr>
              <w:pStyle w:val="CommentText"/>
              <w:spacing w:after="120" w:line="240" w:lineRule="auto"/>
              <w:jc w:val="both"/>
              <w:rPr>
                <w:rFonts w:ascii="Times New Roman" w:eastAsia="Times New Roman" w:hAnsi="Times New Roman"/>
                <w:color w:val="000000"/>
                <w:lang w:eastAsia="lv-LV"/>
              </w:rPr>
            </w:pPr>
            <w:r w:rsidRPr="00C67B75">
              <w:rPr>
                <w:rFonts w:ascii="Times New Roman" w:eastAsia="Times New Roman" w:hAnsi="Times New Roman"/>
                <w:color w:val="000000"/>
                <w:lang w:eastAsia="lv-LV"/>
              </w:rPr>
              <w:t>FM,</w:t>
            </w:r>
            <w:r w:rsidR="00B42439">
              <w:rPr>
                <w:rFonts w:ascii="Times New Roman" w:eastAsia="Times New Roman" w:hAnsi="Times New Roman"/>
                <w:color w:val="000000"/>
                <w:lang w:eastAsia="lv-LV"/>
              </w:rPr>
              <w:t xml:space="preserve"> </w:t>
            </w:r>
            <w:r w:rsidRPr="00C67B75">
              <w:rPr>
                <w:rFonts w:ascii="Times New Roman" w:eastAsia="Times New Roman" w:hAnsi="Times New Roman"/>
                <w:color w:val="000000"/>
                <w:lang w:eastAsia="lv-LV"/>
              </w:rPr>
              <w:t>FKTK budžeta ietvaros</w:t>
            </w:r>
            <w:r w:rsidR="00A86DF1">
              <w:rPr>
                <w:rFonts w:ascii="Times New Roman" w:eastAsia="Times New Roman" w:hAnsi="Times New Roman"/>
                <w:color w:val="000000"/>
                <w:lang w:eastAsia="lv-LV"/>
              </w:rPr>
              <w:t>.</w:t>
            </w:r>
          </w:p>
        </w:tc>
      </w:tr>
      <w:tr w:rsidR="00B35AA4" w:rsidTr="00987261">
        <w:tc>
          <w:tcPr>
            <w:tcW w:w="2014" w:type="pct"/>
            <w:tcBorders>
              <w:top w:val="single" w:sz="4" w:space="0" w:color="auto"/>
              <w:left w:val="single" w:sz="4" w:space="0" w:color="auto"/>
              <w:bottom w:val="single" w:sz="4" w:space="0" w:color="auto"/>
              <w:right w:val="single" w:sz="4" w:space="0" w:color="auto"/>
            </w:tcBorders>
            <w:shd w:val="clear" w:color="auto" w:fill="EEECE1" w:themeFill="background2"/>
          </w:tcPr>
          <w:p w:rsidR="00B35AA4" w:rsidRDefault="00B35AA4" w:rsidP="00B35AA4">
            <w:pPr>
              <w:pStyle w:val="ListParagraph"/>
              <w:numPr>
                <w:ilvl w:val="0"/>
                <w:numId w:val="0"/>
              </w:numPr>
              <w:spacing w:before="120" w:after="0" w:line="240" w:lineRule="auto"/>
              <w:ind w:left="792"/>
              <w:jc w:val="both"/>
              <w:rPr>
                <w:rFonts w:ascii="Times New Roman" w:hAnsi="Times New Roman"/>
                <w:b/>
                <w:sz w:val="24"/>
                <w:szCs w:val="24"/>
              </w:rPr>
            </w:pPr>
          </w:p>
        </w:tc>
        <w:tc>
          <w:tcPr>
            <w:tcW w:w="2986" w:type="pct"/>
            <w:gridSpan w:val="8"/>
            <w:tcBorders>
              <w:top w:val="single" w:sz="4" w:space="0" w:color="auto"/>
              <w:left w:val="single" w:sz="4" w:space="0" w:color="auto"/>
              <w:bottom w:val="single" w:sz="4" w:space="0" w:color="auto"/>
              <w:right w:val="single" w:sz="4" w:space="0" w:color="auto"/>
            </w:tcBorders>
            <w:shd w:val="clear" w:color="auto" w:fill="EEECE1" w:themeFill="background2"/>
          </w:tcPr>
          <w:p w:rsidR="00B35AA4" w:rsidRPr="003227AC" w:rsidRDefault="00D22B8E" w:rsidP="00942F97">
            <w:pPr>
              <w:pStyle w:val="CommentText"/>
              <w:spacing w:before="120" w:after="0" w:line="240" w:lineRule="auto"/>
              <w:jc w:val="both"/>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3</w:t>
            </w:r>
            <w:r w:rsidR="00942F97">
              <w:rPr>
                <w:rFonts w:ascii="Times New Roman" w:eastAsia="Times New Roman" w:hAnsi="Times New Roman"/>
                <w:b/>
                <w:color w:val="000000"/>
                <w:sz w:val="28"/>
                <w:szCs w:val="28"/>
                <w:lang w:eastAsia="lv-LV"/>
              </w:rPr>
              <w:t xml:space="preserve">. </w:t>
            </w:r>
            <w:r w:rsidR="00117DF4">
              <w:rPr>
                <w:rFonts w:ascii="Times New Roman" w:eastAsia="Times New Roman" w:hAnsi="Times New Roman"/>
                <w:b/>
                <w:color w:val="000000"/>
                <w:sz w:val="28"/>
                <w:szCs w:val="28"/>
                <w:lang w:eastAsia="lv-LV"/>
              </w:rPr>
              <w:t>Tiesu sistēma</w:t>
            </w:r>
          </w:p>
        </w:tc>
      </w:tr>
      <w:tr w:rsidR="00B35AA4" w:rsidTr="00B42439">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B35AA4" w:rsidRPr="00D22B8E" w:rsidRDefault="00B35AA4" w:rsidP="00740287">
            <w:pPr>
              <w:pStyle w:val="ListParagraph"/>
              <w:numPr>
                <w:ilvl w:val="1"/>
                <w:numId w:val="27"/>
              </w:numPr>
              <w:spacing w:after="120" w:line="240" w:lineRule="auto"/>
              <w:ind w:left="0" w:firstLine="0"/>
              <w:jc w:val="both"/>
              <w:rPr>
                <w:rFonts w:ascii="Times New Roman" w:hAnsi="Times New Roman"/>
                <w:b/>
                <w:sz w:val="24"/>
                <w:szCs w:val="24"/>
              </w:rPr>
            </w:pPr>
            <w:r w:rsidRPr="00D22B8E">
              <w:rPr>
                <w:rFonts w:ascii="Times New Roman" w:hAnsi="Times New Roman"/>
                <w:b/>
                <w:sz w:val="24"/>
                <w:szCs w:val="24"/>
              </w:rPr>
              <w:t>Tiesnešu kvalifikācijas celšana</w:t>
            </w:r>
            <w:r w:rsidR="002A7859" w:rsidRPr="00D22B8E">
              <w:rPr>
                <w:rFonts w:ascii="Times New Roman" w:hAnsi="Times New Roman"/>
                <w:b/>
                <w:sz w:val="24"/>
                <w:szCs w:val="24"/>
              </w:rPr>
              <w:t>, specializācijas veicināšana</w:t>
            </w:r>
          </w:p>
          <w:p w:rsidR="00FC3320" w:rsidRPr="00FC3320" w:rsidRDefault="00FC3320" w:rsidP="00740287">
            <w:pPr>
              <w:spacing w:after="120" w:line="240" w:lineRule="auto"/>
              <w:jc w:val="both"/>
              <w:rPr>
                <w:rFonts w:ascii="Times New Roman" w:hAnsi="Times New Roman"/>
                <w:i/>
                <w:sz w:val="24"/>
                <w:szCs w:val="24"/>
              </w:rPr>
            </w:pPr>
            <w:r w:rsidRPr="00FC3320">
              <w:rPr>
                <w:rFonts w:ascii="Times New Roman" w:hAnsi="Times New Roman"/>
                <w:i/>
                <w:sz w:val="24"/>
                <w:szCs w:val="24"/>
              </w:rPr>
              <w:t>Kaut arī Eiropas Padomes MONEYVAL Komiteja ar 2012. gada 5. jūlijā apstiprināto ziņojumu par Latvijas noziedzīgi iegūtu līdzekļu legalizācijas un terorisma finansēšanas novēršanas sistēmas atbilstību FATF rekomendācijām (iepriekšējām) novērtēja kopumā pozitīvi, tomēr komitejas ekspertu komisija sastādīja un plenārsēde apstiprināja Latvijai rekomendētu veicamo pasākumu plānu minētās sistēmas trūkumu novēršanai.</w:t>
            </w:r>
          </w:p>
          <w:p w:rsidR="00FC3320" w:rsidRDefault="00806040" w:rsidP="00740287">
            <w:pPr>
              <w:spacing w:after="120" w:line="240" w:lineRule="auto"/>
              <w:jc w:val="both"/>
              <w:rPr>
                <w:rFonts w:ascii="Times New Roman" w:hAnsi="Times New Roman"/>
                <w:sz w:val="24"/>
                <w:szCs w:val="24"/>
              </w:rPr>
            </w:pPr>
            <w:r>
              <w:rPr>
                <w:rFonts w:ascii="Times New Roman" w:hAnsi="Times New Roman"/>
                <w:sz w:val="24"/>
                <w:szCs w:val="24"/>
              </w:rPr>
              <w:t>Rīcībai:</w:t>
            </w:r>
          </w:p>
          <w:p w:rsidR="00B35AA4" w:rsidRDefault="00D5358A" w:rsidP="00740287">
            <w:pPr>
              <w:spacing w:after="120" w:line="240" w:lineRule="auto"/>
              <w:jc w:val="both"/>
              <w:rPr>
                <w:rFonts w:ascii="Times New Roman" w:hAnsi="Times New Roman"/>
                <w:sz w:val="24"/>
                <w:szCs w:val="24"/>
              </w:rPr>
            </w:pPr>
            <w:r>
              <w:rPr>
                <w:rFonts w:ascii="Times New Roman" w:hAnsi="Times New Roman"/>
                <w:sz w:val="24"/>
                <w:szCs w:val="24"/>
              </w:rPr>
              <w:t>Jānodrošina nepārtraukta tiesnešu kvalifikācijas celšana</w:t>
            </w:r>
            <w:r w:rsidR="00B35AA4" w:rsidRPr="00B35AA4">
              <w:rPr>
                <w:rFonts w:ascii="Times New Roman" w:hAnsi="Times New Roman"/>
                <w:sz w:val="24"/>
                <w:szCs w:val="24"/>
              </w:rPr>
              <w:t xml:space="preserve">, ikgadējās tiesas un tiesas darbinieku apmācības programmās paredzot mācību lekcijas par komerctiesību un maksātnespējas procesa jautājumiem, </w:t>
            </w:r>
            <w:r w:rsidR="0007181F">
              <w:rPr>
                <w:rFonts w:ascii="Times New Roman" w:hAnsi="Times New Roman"/>
                <w:sz w:val="24"/>
                <w:szCs w:val="24"/>
              </w:rPr>
              <w:t xml:space="preserve">kā arī par noziedzīgi iegūtu līdzekļu legalizācijas novēršanas jautājumiem, </w:t>
            </w:r>
            <w:r w:rsidR="00B35AA4" w:rsidRPr="00B35AA4">
              <w:rPr>
                <w:rFonts w:ascii="Times New Roman" w:hAnsi="Times New Roman"/>
                <w:sz w:val="24"/>
                <w:szCs w:val="24"/>
              </w:rPr>
              <w:t>tādējādi atvieglojot tiesnešu specializācijas iespējas.</w:t>
            </w:r>
          </w:p>
          <w:p w:rsidR="00215E19" w:rsidRPr="00B35AA4" w:rsidRDefault="00215E19" w:rsidP="00740287">
            <w:pPr>
              <w:spacing w:after="120" w:line="240" w:lineRule="auto"/>
              <w:jc w:val="both"/>
              <w:rPr>
                <w:rFonts w:ascii="Times New Roman" w:hAnsi="Times New Roman"/>
                <w:b/>
                <w:sz w:val="24"/>
                <w:szCs w:val="24"/>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5AA4" w:rsidRDefault="0007181F"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B42439">
              <w:rPr>
                <w:rFonts w:ascii="Times New Roman" w:hAnsi="Times New Roman"/>
                <w:color w:val="000000"/>
                <w:sz w:val="24"/>
                <w:szCs w:val="24"/>
              </w:rPr>
              <w:t>S</w:t>
            </w:r>
            <w:r>
              <w:rPr>
                <w:rFonts w:ascii="Times New Roman" w:hAnsi="Times New Roman"/>
                <w:color w:val="000000"/>
                <w:sz w:val="24"/>
                <w:szCs w:val="24"/>
              </w:rPr>
              <w:t>askaņā ar mācību programmā tiesnešu un tiesu darbinieku mācībām 2014.gadam noteiktajiem datumiem</w:t>
            </w:r>
            <w:r w:rsidR="00B42439">
              <w:rPr>
                <w:rFonts w:ascii="Times New Roman" w:hAnsi="Times New Roman"/>
                <w:color w:val="000000"/>
                <w:sz w:val="24"/>
                <w:szCs w:val="24"/>
              </w:rPr>
              <w:t>.</w:t>
            </w: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Pr="0007181F" w:rsidRDefault="00EA3531" w:rsidP="00740287">
            <w:pPr>
              <w:pStyle w:val="ListParagraph"/>
              <w:numPr>
                <w:ilvl w:val="0"/>
                <w:numId w:val="0"/>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2.</w:t>
            </w:r>
            <w:r w:rsidR="0007181F">
              <w:rPr>
                <w:rFonts w:ascii="Times New Roman" w:hAnsi="Times New Roman"/>
                <w:color w:val="000000"/>
                <w:sz w:val="24"/>
                <w:szCs w:val="24"/>
              </w:rPr>
              <w:t>01.03.2014</w:t>
            </w:r>
            <w:r w:rsidR="0079094E">
              <w:rPr>
                <w:rFonts w:ascii="Times New Roman" w:hAnsi="Times New Roman"/>
                <w:color w:val="000000"/>
                <w:sz w:val="24"/>
                <w:szCs w:val="24"/>
              </w:rPr>
              <w:t>.</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5AA4" w:rsidRDefault="00EA3531"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1.</w:t>
            </w:r>
            <w:r w:rsidR="00B50344">
              <w:rPr>
                <w:rFonts w:ascii="Times New Roman" w:hAnsi="Times New Roman"/>
                <w:color w:val="000000"/>
                <w:sz w:val="24"/>
                <w:szCs w:val="24"/>
              </w:rPr>
              <w:t xml:space="preserve">Tieslietu ministrija (turpmāk – </w:t>
            </w:r>
            <w:r w:rsidR="00E60AF0" w:rsidRPr="000E3EB3">
              <w:rPr>
                <w:rFonts w:ascii="Times New Roman" w:hAnsi="Times New Roman"/>
                <w:color w:val="000000"/>
                <w:sz w:val="24"/>
                <w:szCs w:val="24"/>
              </w:rPr>
              <w:t>TM</w:t>
            </w:r>
            <w:r w:rsidR="00B50344">
              <w:rPr>
                <w:rFonts w:ascii="Times New Roman" w:hAnsi="Times New Roman"/>
                <w:color w:val="000000"/>
                <w:sz w:val="24"/>
                <w:szCs w:val="24"/>
              </w:rPr>
              <w:t>)</w:t>
            </w:r>
            <w:r w:rsidR="00D20302">
              <w:rPr>
                <w:rFonts w:ascii="Times New Roman" w:hAnsi="Times New Roman"/>
                <w:color w:val="000000"/>
                <w:sz w:val="24"/>
                <w:szCs w:val="24"/>
              </w:rPr>
              <w:t>, Latvijas Tiesniešu mācību centrs</w:t>
            </w:r>
            <w:r w:rsidR="0007181F">
              <w:rPr>
                <w:rFonts w:ascii="Times New Roman" w:hAnsi="Times New Roman"/>
                <w:color w:val="000000"/>
                <w:sz w:val="24"/>
                <w:szCs w:val="24"/>
              </w:rPr>
              <w:t xml:space="preserve"> (</w:t>
            </w:r>
            <w:r w:rsidR="00D20302">
              <w:rPr>
                <w:rFonts w:ascii="Times New Roman" w:hAnsi="Times New Roman"/>
                <w:color w:val="000000"/>
                <w:sz w:val="24"/>
                <w:szCs w:val="24"/>
              </w:rPr>
              <w:t xml:space="preserve">turpmāk - </w:t>
            </w:r>
            <w:r w:rsidR="0007181F">
              <w:rPr>
                <w:rFonts w:ascii="Times New Roman" w:hAnsi="Times New Roman"/>
                <w:color w:val="000000"/>
                <w:sz w:val="24"/>
                <w:szCs w:val="24"/>
              </w:rPr>
              <w:t>LTMC)</w:t>
            </w: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194950" w:rsidRDefault="00194950" w:rsidP="00740287">
            <w:pPr>
              <w:spacing w:after="120" w:line="240" w:lineRule="auto"/>
              <w:jc w:val="both"/>
              <w:rPr>
                <w:rFonts w:ascii="Times New Roman" w:hAnsi="Times New Roman"/>
                <w:color w:val="000000"/>
                <w:sz w:val="24"/>
                <w:szCs w:val="24"/>
              </w:rPr>
            </w:pPr>
          </w:p>
          <w:p w:rsidR="0007181F" w:rsidRPr="000E3EB3" w:rsidRDefault="0007181F"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B50344">
              <w:rPr>
                <w:rFonts w:ascii="Times New Roman" w:hAnsi="Times New Roman"/>
                <w:color w:val="000000"/>
                <w:sz w:val="24"/>
                <w:szCs w:val="24"/>
              </w:rPr>
              <w:t>Tiesu</w:t>
            </w:r>
            <w:r w:rsidR="00B42439">
              <w:rPr>
                <w:rFonts w:ascii="Times New Roman" w:hAnsi="Times New Roman"/>
                <w:color w:val="000000"/>
                <w:sz w:val="24"/>
                <w:szCs w:val="24"/>
              </w:rPr>
              <w:t xml:space="preserve"> aģentūra</w:t>
            </w:r>
            <w:r w:rsidR="00B50344">
              <w:rPr>
                <w:rFonts w:ascii="Times New Roman" w:hAnsi="Times New Roman"/>
                <w:color w:val="000000"/>
                <w:sz w:val="24"/>
                <w:szCs w:val="24"/>
              </w:rPr>
              <w:t xml:space="preserve">  (turpmāk- </w:t>
            </w:r>
            <w:r>
              <w:rPr>
                <w:rFonts w:ascii="Times New Roman" w:hAnsi="Times New Roman"/>
                <w:color w:val="000000"/>
                <w:sz w:val="24"/>
                <w:szCs w:val="24"/>
              </w:rPr>
              <w:lastRenderedPageBreak/>
              <w:t>TA</w:t>
            </w:r>
            <w:r w:rsidR="00B50344">
              <w:rPr>
                <w:rFonts w:ascii="Times New Roman" w:hAnsi="Times New Roman"/>
                <w:color w:val="000000"/>
                <w:sz w:val="24"/>
                <w:szCs w:val="24"/>
              </w:rPr>
              <w:t>)</w:t>
            </w:r>
            <w:r w:rsidR="00806040">
              <w:rPr>
                <w:rFonts w:ascii="Times New Roman" w:hAnsi="Times New Roman"/>
                <w:color w:val="000000"/>
                <w:sz w:val="24"/>
                <w:szCs w:val="24"/>
              </w:rPr>
              <w:t xml:space="preserve"> </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501A4" w:rsidRDefault="0007181F"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00C501A4" w:rsidRPr="00C501A4">
              <w:rPr>
                <w:rFonts w:ascii="Times New Roman" w:hAnsi="Times New Roman"/>
                <w:color w:val="000000"/>
                <w:sz w:val="24"/>
                <w:szCs w:val="24"/>
              </w:rPr>
              <w:t>LTMC mācību programmā tiesnešu un tiesu darbinieku mācībām 2014.gadam ir paredzētas vairākas lekcijas par komerctiesību un maksātnespējas procesa jautājumiem-  „Maksātnespējas likuma aktuālie grozījumi”, „Finanšu instrumenti darījumiem ar vērtspapīriem”, „Prasības nodrošinājums komerctiesībās” u.c.</w:t>
            </w:r>
          </w:p>
          <w:p w:rsidR="00B35AA4" w:rsidRPr="000E3EB3" w:rsidRDefault="0007181F" w:rsidP="00740287">
            <w:pPr>
              <w:tabs>
                <w:tab w:val="left" w:pos="23"/>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2. Iesniegt Tieslietu padomei saskaņošanai tiesnešu specializācijas pamatprincipus  un lietas slodzes rādītāju noteikšanas kārtību.</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5AA4" w:rsidRDefault="0007181F"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Mācības tiek nodrošinātas par Tiesu administrācijas finanšu līdzekļiem saskaņā ar noslēgto līdzdarbības līgumu ar LTMC.</w:t>
            </w: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Default="0007181F" w:rsidP="00740287">
            <w:pPr>
              <w:spacing w:after="120" w:line="240" w:lineRule="auto"/>
              <w:jc w:val="both"/>
              <w:rPr>
                <w:rFonts w:ascii="Times New Roman" w:hAnsi="Times New Roman"/>
                <w:color w:val="000000"/>
                <w:sz w:val="24"/>
                <w:szCs w:val="24"/>
              </w:rPr>
            </w:pPr>
          </w:p>
          <w:p w:rsidR="0007181F" w:rsidRPr="000E3EB3" w:rsidRDefault="0007181F" w:rsidP="00503D1B">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2. TA </w:t>
            </w:r>
            <w:r w:rsidR="001540FD" w:rsidRPr="001540FD">
              <w:rPr>
                <w:rFonts w:ascii="Times New Roman" w:hAnsi="Times New Roman"/>
                <w:color w:val="000000"/>
                <w:sz w:val="24"/>
                <w:szCs w:val="24"/>
              </w:rPr>
              <w:t xml:space="preserve">budžeta </w:t>
            </w:r>
            <w:r>
              <w:rPr>
                <w:rFonts w:ascii="Times New Roman" w:hAnsi="Times New Roman"/>
                <w:color w:val="000000"/>
                <w:sz w:val="24"/>
                <w:szCs w:val="24"/>
              </w:rPr>
              <w:t>ietvaros.</w:t>
            </w:r>
          </w:p>
        </w:tc>
      </w:tr>
      <w:tr w:rsidR="00757C0D" w:rsidTr="00B42439">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757C0D" w:rsidRPr="00D22B8E" w:rsidRDefault="00757C0D" w:rsidP="00740287">
            <w:pPr>
              <w:pStyle w:val="ListParagraph"/>
              <w:numPr>
                <w:ilvl w:val="1"/>
                <w:numId w:val="27"/>
              </w:numPr>
              <w:spacing w:after="120" w:line="240" w:lineRule="auto"/>
              <w:ind w:left="0" w:firstLine="0"/>
              <w:jc w:val="both"/>
              <w:rPr>
                <w:rFonts w:ascii="Times New Roman" w:hAnsi="Times New Roman"/>
                <w:b/>
                <w:sz w:val="24"/>
                <w:szCs w:val="24"/>
              </w:rPr>
            </w:pPr>
            <w:r w:rsidRPr="00D22B8E">
              <w:rPr>
                <w:rFonts w:ascii="Times New Roman" w:hAnsi="Times New Roman"/>
                <w:b/>
                <w:sz w:val="24"/>
                <w:szCs w:val="24"/>
              </w:rPr>
              <w:lastRenderedPageBreak/>
              <w:t>Cīņa pret mājokļu īpašnieku parādu uzkrāšanu</w:t>
            </w:r>
          </w:p>
          <w:p w:rsidR="00757C0D" w:rsidRPr="00757C0D" w:rsidRDefault="00757C0D" w:rsidP="00740287">
            <w:pPr>
              <w:spacing w:after="120" w:line="240" w:lineRule="auto"/>
              <w:jc w:val="both"/>
              <w:rPr>
                <w:rFonts w:ascii="Times New Roman" w:hAnsi="Times New Roman"/>
                <w:sz w:val="24"/>
                <w:szCs w:val="24"/>
              </w:rPr>
            </w:pPr>
            <w:r w:rsidRPr="00320809">
              <w:rPr>
                <w:rFonts w:ascii="Times New Roman" w:hAnsi="Times New Roman"/>
                <w:sz w:val="24"/>
                <w:szCs w:val="24"/>
              </w:rPr>
              <w:t>Jāveic grozījumi normatīvajā regulējumā, lai motivētu cīņu pret mājokļu īpašnieku parādu uzkrāšanu, t.sk. maksātnespējas procesa laikā, kā arī atvieglotu īpašumu atsavināšanas procesu.</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7C0D" w:rsidRPr="000E3EB3" w:rsidRDefault="00B01FB2"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30.06.2014</w:t>
            </w:r>
            <w:r w:rsidR="0079094E">
              <w:rPr>
                <w:rFonts w:ascii="Times New Roman" w:hAnsi="Times New Roman"/>
                <w:color w:val="000000"/>
                <w:sz w:val="24"/>
                <w:szCs w:val="24"/>
              </w:rPr>
              <w:t>.</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7BA3" w:rsidRDefault="00CD7BA3"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EM</w:t>
            </w:r>
          </w:p>
          <w:p w:rsidR="00757C0D" w:rsidRPr="000E3EB3" w:rsidRDefault="00757C0D" w:rsidP="00740287">
            <w:pPr>
              <w:spacing w:after="120" w:line="240" w:lineRule="auto"/>
              <w:jc w:val="both"/>
              <w:rPr>
                <w:rFonts w:ascii="Times New Roman" w:hAnsi="Times New Roman"/>
                <w:color w:val="000000"/>
                <w:sz w:val="24"/>
                <w:szCs w:val="24"/>
              </w:rPr>
            </w:pP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9179A" w:rsidRDefault="00CD7BA3"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01FB2" w:rsidRPr="00B01FB2">
              <w:rPr>
                <w:rFonts w:ascii="Times New Roman" w:hAnsi="Times New Roman"/>
                <w:color w:val="000000"/>
                <w:sz w:val="24"/>
                <w:szCs w:val="24"/>
              </w:rPr>
              <w:t xml:space="preserve">Saeimas Valsts pārvaldes un pašvaldības komisija ir pabeigusi ar dzīvokļu īpašnieku maksājumu disciplīnas uzlabošanu saistītā likumprojekta „Grozījumi Dzīvojamo māju pārvaldīšanas likumā” (Nr: 262/Lp11) </w:t>
            </w:r>
            <w:r w:rsidR="00D20302">
              <w:rPr>
                <w:rFonts w:ascii="Times New Roman" w:hAnsi="Times New Roman"/>
                <w:color w:val="000000"/>
                <w:sz w:val="24"/>
                <w:szCs w:val="24"/>
              </w:rPr>
              <w:t>sagatavošanu trešajam lasījumam</w:t>
            </w:r>
            <w:r w:rsidR="00B42439">
              <w:rPr>
                <w:rFonts w:ascii="Times New Roman" w:hAnsi="Times New Roman"/>
                <w:color w:val="000000"/>
                <w:sz w:val="24"/>
                <w:szCs w:val="24"/>
              </w:rPr>
              <w:t>.</w:t>
            </w:r>
          </w:p>
          <w:p w:rsidR="00757C0D" w:rsidRPr="000E3EB3" w:rsidRDefault="00757C0D" w:rsidP="00740287">
            <w:p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7C0D" w:rsidRPr="000E3EB3" w:rsidRDefault="00932B7D" w:rsidP="00503D1B">
            <w:pPr>
              <w:spacing w:after="120" w:line="240" w:lineRule="auto"/>
              <w:jc w:val="both"/>
              <w:rPr>
                <w:rFonts w:ascii="Times New Roman" w:hAnsi="Times New Roman"/>
                <w:color w:val="000000"/>
                <w:sz w:val="24"/>
                <w:szCs w:val="24"/>
              </w:rPr>
            </w:pPr>
            <w:r>
              <w:rPr>
                <w:rFonts w:ascii="Times New Roman" w:hAnsi="Times New Roman"/>
                <w:color w:val="000000"/>
                <w:sz w:val="24"/>
                <w:szCs w:val="24"/>
              </w:rPr>
              <w:t>EM</w:t>
            </w:r>
            <w:r w:rsidR="00B42439">
              <w:rPr>
                <w:rFonts w:ascii="Times New Roman" w:hAnsi="Times New Roman"/>
                <w:color w:val="000000"/>
                <w:sz w:val="24"/>
                <w:szCs w:val="24"/>
              </w:rPr>
              <w:t xml:space="preserve"> budžeta ietvaros</w:t>
            </w:r>
            <w:r w:rsidR="001540FD">
              <w:rPr>
                <w:rFonts w:ascii="Times New Roman" w:hAnsi="Times New Roman"/>
                <w:color w:val="000000"/>
                <w:sz w:val="24"/>
                <w:szCs w:val="24"/>
              </w:rPr>
              <w:t>.</w:t>
            </w:r>
          </w:p>
        </w:tc>
      </w:tr>
      <w:tr w:rsidR="00882BFE" w:rsidTr="00B42439">
        <w:trPr>
          <w:trHeight w:val="3667"/>
        </w:trPr>
        <w:tc>
          <w:tcPr>
            <w:tcW w:w="2014" w:type="pct"/>
            <w:tcBorders>
              <w:top w:val="single" w:sz="4" w:space="0" w:color="auto"/>
              <w:left w:val="single" w:sz="4" w:space="0" w:color="auto"/>
              <w:bottom w:val="dashed" w:sz="4" w:space="0" w:color="auto"/>
              <w:right w:val="single" w:sz="4" w:space="0" w:color="auto"/>
            </w:tcBorders>
            <w:shd w:val="clear" w:color="auto" w:fill="FFFFFF" w:themeFill="background1"/>
          </w:tcPr>
          <w:p w:rsidR="00882BFE" w:rsidRPr="00882BFE" w:rsidRDefault="00D22B8E" w:rsidP="00740287">
            <w:pPr>
              <w:spacing w:after="120" w:line="240" w:lineRule="auto"/>
              <w:jc w:val="both"/>
              <w:rPr>
                <w:rFonts w:ascii="Times New Roman" w:hAnsi="Times New Roman"/>
                <w:b/>
                <w:sz w:val="24"/>
                <w:szCs w:val="24"/>
              </w:rPr>
            </w:pPr>
            <w:r>
              <w:rPr>
                <w:rFonts w:ascii="Times New Roman" w:hAnsi="Times New Roman"/>
                <w:b/>
                <w:sz w:val="24"/>
                <w:szCs w:val="24"/>
              </w:rPr>
              <w:t>3</w:t>
            </w:r>
            <w:r w:rsidR="00882BFE">
              <w:rPr>
                <w:rFonts w:ascii="Times New Roman" w:hAnsi="Times New Roman"/>
                <w:b/>
                <w:sz w:val="24"/>
                <w:szCs w:val="24"/>
              </w:rPr>
              <w:t>.3.</w:t>
            </w:r>
            <w:r w:rsidR="00882BFE" w:rsidRPr="00882BFE">
              <w:rPr>
                <w:rFonts w:ascii="Times New Roman" w:hAnsi="Times New Roman"/>
                <w:b/>
                <w:sz w:val="24"/>
                <w:szCs w:val="24"/>
              </w:rPr>
              <w:t>Finanšu strīdu izskatīšanas mehānisma izveide</w:t>
            </w:r>
          </w:p>
          <w:p w:rsidR="00882BFE" w:rsidRDefault="00882BFE" w:rsidP="00740287">
            <w:pPr>
              <w:spacing w:after="120" w:line="240" w:lineRule="auto"/>
              <w:jc w:val="both"/>
              <w:rPr>
                <w:rFonts w:ascii="Times New Roman" w:hAnsi="Times New Roman"/>
                <w:b/>
                <w:sz w:val="24"/>
                <w:szCs w:val="24"/>
              </w:rPr>
            </w:pPr>
            <w:r w:rsidRPr="00882BFE">
              <w:rPr>
                <w:rFonts w:ascii="Times New Roman" w:hAnsi="Times New Roman"/>
                <w:i/>
                <w:sz w:val="24"/>
                <w:szCs w:val="24"/>
              </w:rPr>
              <w:t>Ir jāizveido efektīvs finanšu strīdu izskatīšanas mehānisms – reāli darbojošos ombudu iedibināšana un šķīrējtiesu (mediācijas) iedzīvināšana, t.sk. izstrādājot skaidrus tiesiskā regulējuma modeļus attiecībā uz specializēto šķīrējtiesu dibināšanas nosacījumiem un šķīrējtiesnešu kvalifikācijas prasībām, ieviešot finanšu pakalpojumu jomā Eiropas Parlamenta un Padomes direktīvas par patērētāju ārpustiesas strīdu risināšanu (ADR direktīva) un Eiropas Parlamenta un Padomes regulas par patērētāju strīdu risināšanu tiešsaistē (ODR regula) prasības.</w:t>
            </w:r>
          </w:p>
        </w:tc>
        <w:tc>
          <w:tcPr>
            <w:tcW w:w="613"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p>
        </w:tc>
        <w:tc>
          <w:tcPr>
            <w:tcW w:w="422"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p>
        </w:tc>
        <w:tc>
          <w:tcPr>
            <w:tcW w:w="1276"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882BFE" w:rsidRDefault="00882BFE" w:rsidP="00C7240A">
            <w:pPr>
              <w:spacing w:before="120" w:after="0" w:line="240" w:lineRule="auto"/>
              <w:jc w:val="both"/>
              <w:rPr>
                <w:rFonts w:ascii="Times New Roman" w:hAnsi="Times New Roman"/>
                <w:color w:val="000000"/>
                <w:sz w:val="24"/>
                <w:szCs w:val="24"/>
              </w:rPr>
            </w:pPr>
          </w:p>
        </w:tc>
      </w:tr>
      <w:tr w:rsidR="00882BFE" w:rsidTr="00B42439">
        <w:trPr>
          <w:trHeight w:val="1863"/>
        </w:trPr>
        <w:tc>
          <w:tcPr>
            <w:tcW w:w="2014" w:type="pct"/>
            <w:tcBorders>
              <w:top w:val="dashed" w:sz="4" w:space="0" w:color="auto"/>
              <w:left w:val="single" w:sz="4" w:space="0" w:color="auto"/>
              <w:bottom w:val="single" w:sz="4" w:space="0" w:color="auto"/>
              <w:right w:val="single" w:sz="4" w:space="0" w:color="auto"/>
            </w:tcBorders>
            <w:shd w:val="clear" w:color="auto" w:fill="FFFFFF" w:themeFill="background1"/>
          </w:tcPr>
          <w:p w:rsidR="00806040" w:rsidRDefault="00806040" w:rsidP="00740287">
            <w:pPr>
              <w:spacing w:after="120" w:line="240" w:lineRule="auto"/>
              <w:jc w:val="both"/>
              <w:rPr>
                <w:rFonts w:ascii="Times New Roman" w:hAnsi="Times New Roman"/>
                <w:sz w:val="24"/>
                <w:szCs w:val="24"/>
              </w:rPr>
            </w:pPr>
            <w:r>
              <w:rPr>
                <w:rFonts w:ascii="Times New Roman" w:hAnsi="Times New Roman"/>
                <w:sz w:val="24"/>
                <w:szCs w:val="24"/>
              </w:rPr>
              <w:t>Rīcībai:</w:t>
            </w:r>
          </w:p>
          <w:p w:rsidR="008052BA" w:rsidRDefault="00882BFE" w:rsidP="00740287">
            <w:pPr>
              <w:spacing w:after="120" w:line="240" w:lineRule="auto"/>
              <w:jc w:val="both"/>
              <w:rPr>
                <w:rFonts w:ascii="Times New Roman" w:hAnsi="Times New Roman"/>
                <w:sz w:val="24"/>
                <w:szCs w:val="24"/>
              </w:rPr>
            </w:pPr>
            <w:r>
              <w:rPr>
                <w:rFonts w:ascii="Times New Roman" w:hAnsi="Times New Roman"/>
                <w:sz w:val="24"/>
                <w:szCs w:val="24"/>
              </w:rPr>
              <w:t>(</w:t>
            </w:r>
            <w:r w:rsidR="00320809">
              <w:rPr>
                <w:rFonts w:ascii="Times New Roman" w:hAnsi="Times New Roman"/>
                <w:sz w:val="24"/>
                <w:szCs w:val="24"/>
              </w:rPr>
              <w:t>1</w:t>
            </w:r>
            <w:r>
              <w:rPr>
                <w:rFonts w:ascii="Times New Roman" w:hAnsi="Times New Roman"/>
                <w:sz w:val="24"/>
                <w:szCs w:val="24"/>
              </w:rPr>
              <w:t>)</w:t>
            </w:r>
            <w:r w:rsidRPr="00060BBE">
              <w:rPr>
                <w:rFonts w:ascii="Times New Roman" w:hAnsi="Times New Roman"/>
                <w:sz w:val="24"/>
                <w:szCs w:val="24"/>
              </w:rPr>
              <w:t>Likumprojekta „Mediācijas likums” pieņemšana.</w:t>
            </w:r>
          </w:p>
          <w:p w:rsidR="00882BFE" w:rsidRPr="001540FD" w:rsidRDefault="008052BA" w:rsidP="00740287">
            <w:pPr>
              <w:spacing w:after="120" w:line="240" w:lineRule="auto"/>
              <w:jc w:val="both"/>
              <w:rPr>
                <w:rFonts w:ascii="Times New Roman" w:hAnsi="Times New Roman"/>
                <w:b/>
                <w:sz w:val="24"/>
                <w:szCs w:val="24"/>
              </w:rPr>
            </w:pPr>
            <w:r w:rsidRPr="001540FD">
              <w:rPr>
                <w:rFonts w:ascii="Times New Roman" w:hAnsi="Times New Roman"/>
                <w:sz w:val="24"/>
                <w:szCs w:val="24"/>
              </w:rPr>
              <w:t>2013.gada 7.novembrī likumprojekts „Mediācijas likums” apstiprināts Saeimā 2.lasījumā. 2013.gada 17.decembrī likumprojekts „Grozījumi Civilprocesa likumā” atbalstīts Saeimas Juridiskajā komisijā.</w:t>
            </w:r>
          </w:p>
        </w:tc>
        <w:tc>
          <w:tcPr>
            <w:tcW w:w="613"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 xml:space="preserve"> 01.</w:t>
            </w:r>
            <w:r w:rsidR="008052BA" w:rsidRPr="00882BFE">
              <w:rPr>
                <w:rFonts w:ascii="Times New Roman" w:hAnsi="Times New Roman"/>
                <w:color w:val="000000"/>
                <w:sz w:val="24"/>
                <w:szCs w:val="24"/>
              </w:rPr>
              <w:t>0</w:t>
            </w:r>
            <w:r w:rsidR="008052BA">
              <w:rPr>
                <w:rFonts w:ascii="Times New Roman" w:hAnsi="Times New Roman"/>
                <w:color w:val="000000"/>
                <w:sz w:val="24"/>
                <w:szCs w:val="24"/>
              </w:rPr>
              <w:t>9</w:t>
            </w:r>
            <w:r w:rsidRPr="00882BFE">
              <w:rPr>
                <w:rFonts w:ascii="Times New Roman" w:hAnsi="Times New Roman"/>
                <w:color w:val="000000"/>
                <w:sz w:val="24"/>
                <w:szCs w:val="24"/>
              </w:rPr>
              <w:t>.2014.</w:t>
            </w:r>
          </w:p>
        </w:tc>
        <w:tc>
          <w:tcPr>
            <w:tcW w:w="422"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TM</w:t>
            </w:r>
          </w:p>
        </w:tc>
        <w:tc>
          <w:tcPr>
            <w:tcW w:w="1276"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882BFE" w:rsidRDefault="00882BFE" w:rsidP="00740287">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Nepieciešamo pasākumu īstenošana likumprojekta „Mediācijas likuma” savlaicīgas pieņemšanas nodrošināšanai.</w:t>
            </w:r>
          </w:p>
        </w:tc>
        <w:tc>
          <w:tcPr>
            <w:tcW w:w="675"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882BFE" w:rsidRDefault="00882BFE" w:rsidP="00503D1B">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 xml:space="preserve">TM </w:t>
            </w:r>
            <w:r w:rsidR="001540FD" w:rsidRPr="001540FD">
              <w:rPr>
                <w:rFonts w:ascii="Times New Roman" w:hAnsi="Times New Roman"/>
                <w:color w:val="000000"/>
                <w:sz w:val="24"/>
                <w:szCs w:val="24"/>
              </w:rPr>
              <w:t xml:space="preserve">budžeta </w:t>
            </w:r>
            <w:r w:rsidRPr="00882BFE">
              <w:rPr>
                <w:rFonts w:ascii="Times New Roman" w:hAnsi="Times New Roman"/>
                <w:color w:val="000000"/>
                <w:sz w:val="24"/>
                <w:szCs w:val="24"/>
              </w:rPr>
              <w:t>ietvaros.</w:t>
            </w:r>
          </w:p>
        </w:tc>
      </w:tr>
      <w:tr w:rsidR="001F6DB1" w:rsidTr="00C501A4">
        <w:trPr>
          <w:trHeight w:val="718"/>
        </w:trPr>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8052BA" w:rsidRDefault="00882BFE" w:rsidP="00740287">
            <w:pPr>
              <w:spacing w:after="120" w:line="240" w:lineRule="auto"/>
              <w:jc w:val="both"/>
              <w:rPr>
                <w:rFonts w:ascii="Times New Roman" w:hAnsi="Times New Roman"/>
                <w:sz w:val="24"/>
                <w:szCs w:val="24"/>
              </w:rPr>
            </w:pPr>
            <w:r>
              <w:rPr>
                <w:rFonts w:ascii="Times New Roman" w:hAnsi="Times New Roman"/>
                <w:sz w:val="24"/>
                <w:szCs w:val="24"/>
              </w:rPr>
              <w:lastRenderedPageBreak/>
              <w:t>(</w:t>
            </w:r>
            <w:r w:rsidR="00320809">
              <w:rPr>
                <w:rFonts w:ascii="Times New Roman" w:hAnsi="Times New Roman"/>
                <w:sz w:val="24"/>
                <w:szCs w:val="24"/>
              </w:rPr>
              <w:t>2</w:t>
            </w:r>
            <w:r>
              <w:rPr>
                <w:rFonts w:ascii="Times New Roman" w:hAnsi="Times New Roman"/>
                <w:sz w:val="24"/>
                <w:szCs w:val="24"/>
              </w:rPr>
              <w:t>)</w:t>
            </w:r>
            <w:r w:rsidR="00060BBE" w:rsidRPr="00060BBE">
              <w:rPr>
                <w:rFonts w:ascii="Times New Roman" w:hAnsi="Times New Roman"/>
                <w:sz w:val="24"/>
                <w:szCs w:val="24"/>
              </w:rPr>
              <w:t>Likumprojekts „Šķīrējtiesu likums” pieņemšana.</w:t>
            </w:r>
          </w:p>
          <w:p w:rsidR="00060BBE" w:rsidRPr="001540FD" w:rsidRDefault="00060BBE" w:rsidP="00740287">
            <w:pPr>
              <w:spacing w:after="120" w:line="240" w:lineRule="auto"/>
              <w:jc w:val="both"/>
              <w:rPr>
                <w:rFonts w:ascii="Times New Roman" w:hAnsi="Times New Roman"/>
                <w:sz w:val="24"/>
                <w:szCs w:val="24"/>
              </w:rPr>
            </w:pPr>
            <w:r w:rsidRPr="001540FD">
              <w:rPr>
                <w:rFonts w:ascii="Times New Roman" w:hAnsi="Times New Roman"/>
                <w:sz w:val="24"/>
                <w:szCs w:val="24"/>
              </w:rPr>
              <w:t>Atbilstoši Valdības rīcības plāna Deklarācijas par Valda Dombrovska vadītā Ministru kabineta iecerēto darbību īstenošanai 118.2.pasākumam izstrādāts un 2013.gada 12.jūnijā iesniegts Valsts kancelejā izskatīšanai MK likumprojekts „Šķīrējtiesu likums” un likumprojekts „Grozījumi Civilprocesa likumā, lai noteiktu šķīrējtiesu izveidošanas kārtību un darbības pamatprincipus un nodrošinātu efektīvu un taisnīgu civiltiesisku strīdu izšķiršanu šķīrējtiesā.</w:t>
            </w:r>
          </w:p>
          <w:p w:rsidR="008052BA" w:rsidRPr="0081436E" w:rsidRDefault="008052BA" w:rsidP="00740287">
            <w:pPr>
              <w:spacing w:after="120" w:line="240" w:lineRule="auto"/>
              <w:jc w:val="both"/>
              <w:rPr>
                <w:rFonts w:ascii="Times New Roman" w:hAnsi="Times New Roman"/>
                <w:sz w:val="24"/>
                <w:szCs w:val="24"/>
              </w:rPr>
            </w:pPr>
            <w:r w:rsidRPr="001540FD">
              <w:rPr>
                <w:rFonts w:ascii="Times New Roman" w:hAnsi="Times New Roman"/>
                <w:sz w:val="24"/>
                <w:szCs w:val="24"/>
              </w:rPr>
              <w:t>2013.gada 12.novembrī likumprojekti „Šķīrējtiesu likums” un „Grozījumi Civilprocesa likumā” tika atbalstīti Ministru kabineta sēdē un paredzēts, ka minētie likumprojekti stāsies spēkā 2015.gada 1.janvārī.</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0BBE" w:rsidRDefault="00882BFE" w:rsidP="00740287">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01.07.</w:t>
            </w:r>
            <w:r w:rsidR="008052BA" w:rsidRPr="00882BFE">
              <w:rPr>
                <w:rFonts w:ascii="Times New Roman" w:hAnsi="Times New Roman"/>
                <w:color w:val="000000"/>
                <w:sz w:val="24"/>
                <w:szCs w:val="24"/>
              </w:rPr>
              <w:t>201</w:t>
            </w:r>
            <w:r w:rsidR="008052BA">
              <w:rPr>
                <w:rFonts w:ascii="Times New Roman" w:hAnsi="Times New Roman"/>
                <w:color w:val="000000"/>
                <w:sz w:val="24"/>
                <w:szCs w:val="24"/>
              </w:rPr>
              <w:t>5</w:t>
            </w:r>
            <w:r w:rsidRPr="00882BFE">
              <w:rPr>
                <w:rFonts w:ascii="Times New Roman" w:hAnsi="Times New Roman"/>
                <w:color w:val="000000"/>
                <w:sz w:val="24"/>
                <w:szCs w:val="24"/>
              </w:rPr>
              <w:t>.</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6DB1" w:rsidRPr="000E3EB3" w:rsidRDefault="00882BFE" w:rsidP="00C501A4">
            <w:pPr>
              <w:spacing w:after="120" w:line="240" w:lineRule="auto"/>
              <w:jc w:val="both"/>
              <w:rPr>
                <w:rFonts w:ascii="Times New Roman" w:hAnsi="Times New Roman"/>
                <w:color w:val="000000"/>
                <w:sz w:val="24"/>
                <w:szCs w:val="24"/>
              </w:rPr>
            </w:pPr>
            <w:r w:rsidRPr="00882BFE">
              <w:rPr>
                <w:rFonts w:ascii="Times New Roman" w:hAnsi="Times New Roman"/>
                <w:color w:val="000000"/>
                <w:sz w:val="24"/>
                <w:szCs w:val="24"/>
              </w:rPr>
              <w:t>TM</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6DB1" w:rsidRDefault="00060BBE"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Nepieci</w:t>
            </w:r>
            <w:r w:rsidR="001540FD">
              <w:rPr>
                <w:rFonts w:ascii="Times New Roman" w:hAnsi="Times New Roman"/>
                <w:color w:val="000000"/>
                <w:sz w:val="24"/>
                <w:szCs w:val="24"/>
              </w:rPr>
              <w:t>ešamo pasākumu īstenošana likum</w:t>
            </w:r>
            <w:r>
              <w:rPr>
                <w:rFonts w:ascii="Times New Roman" w:hAnsi="Times New Roman"/>
                <w:color w:val="000000"/>
                <w:sz w:val="24"/>
                <w:szCs w:val="24"/>
              </w:rPr>
              <w:t>projekta „</w:t>
            </w:r>
            <w:r w:rsidR="008052BA" w:rsidRPr="008052BA">
              <w:rPr>
                <w:rFonts w:ascii="Times New Roman" w:hAnsi="Times New Roman"/>
                <w:color w:val="000000"/>
                <w:sz w:val="24"/>
                <w:szCs w:val="24"/>
              </w:rPr>
              <w:t>Šķīrējtiesu likums</w:t>
            </w:r>
            <w:r>
              <w:rPr>
                <w:rFonts w:ascii="Times New Roman" w:hAnsi="Times New Roman"/>
                <w:color w:val="000000"/>
                <w:sz w:val="24"/>
                <w:szCs w:val="24"/>
              </w:rPr>
              <w:t xml:space="preserve">” savlaicīgas </w:t>
            </w:r>
            <w:r w:rsidR="001540FD">
              <w:rPr>
                <w:rFonts w:ascii="Times New Roman" w:hAnsi="Times New Roman"/>
                <w:color w:val="000000"/>
                <w:sz w:val="24"/>
                <w:szCs w:val="24"/>
              </w:rPr>
              <w:t>pieņemšanas</w:t>
            </w:r>
            <w:r>
              <w:rPr>
                <w:rFonts w:ascii="Times New Roman" w:hAnsi="Times New Roman"/>
                <w:color w:val="000000"/>
                <w:sz w:val="24"/>
                <w:szCs w:val="24"/>
              </w:rPr>
              <w:t xml:space="preserve"> nodrošināšanai.</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0BBE" w:rsidRPr="000E3EB3" w:rsidRDefault="004B03C3" w:rsidP="00503D1B">
            <w:pPr>
              <w:spacing w:after="120" w:line="240" w:lineRule="auto"/>
              <w:jc w:val="both"/>
              <w:rPr>
                <w:rFonts w:ascii="Times New Roman" w:hAnsi="Times New Roman"/>
                <w:color w:val="000000"/>
                <w:sz w:val="24"/>
                <w:szCs w:val="24"/>
              </w:rPr>
            </w:pPr>
            <w:r>
              <w:rPr>
                <w:rFonts w:ascii="Times New Roman" w:hAnsi="Times New Roman"/>
                <w:color w:val="000000"/>
                <w:sz w:val="24"/>
                <w:szCs w:val="24"/>
              </w:rPr>
              <w:t>T</w:t>
            </w:r>
            <w:r w:rsidR="00060BBE">
              <w:rPr>
                <w:rFonts w:ascii="Times New Roman" w:hAnsi="Times New Roman"/>
                <w:color w:val="000000"/>
                <w:sz w:val="24"/>
                <w:szCs w:val="24"/>
              </w:rPr>
              <w:t xml:space="preserve">M </w:t>
            </w:r>
            <w:r w:rsidR="001540FD" w:rsidRPr="001540FD">
              <w:rPr>
                <w:rFonts w:ascii="Times New Roman" w:hAnsi="Times New Roman"/>
                <w:color w:val="000000"/>
                <w:sz w:val="24"/>
                <w:szCs w:val="24"/>
              </w:rPr>
              <w:t xml:space="preserve">budžeta </w:t>
            </w:r>
            <w:r w:rsidR="00060BBE">
              <w:rPr>
                <w:rFonts w:ascii="Times New Roman" w:hAnsi="Times New Roman"/>
                <w:color w:val="000000"/>
                <w:sz w:val="24"/>
                <w:szCs w:val="24"/>
              </w:rPr>
              <w:t>ietvaros</w:t>
            </w:r>
            <w:r w:rsidR="001540FD">
              <w:rPr>
                <w:rFonts w:ascii="Times New Roman" w:hAnsi="Times New Roman"/>
                <w:color w:val="000000"/>
                <w:sz w:val="24"/>
                <w:szCs w:val="24"/>
              </w:rPr>
              <w:t>.</w:t>
            </w:r>
          </w:p>
        </w:tc>
      </w:tr>
      <w:tr w:rsidR="00C501A4" w:rsidTr="00B42439">
        <w:tc>
          <w:tcPr>
            <w:tcW w:w="2014" w:type="pct"/>
            <w:shd w:val="clear" w:color="auto" w:fill="FFFFFF" w:themeFill="background1"/>
          </w:tcPr>
          <w:p w:rsidR="00C501A4" w:rsidRPr="00590A34" w:rsidRDefault="00C501A4" w:rsidP="00C501A4">
            <w:pPr>
              <w:spacing w:after="120" w:line="240" w:lineRule="auto"/>
              <w:jc w:val="both"/>
              <w:rPr>
                <w:rFonts w:ascii="Times New Roman" w:hAnsi="Times New Roman"/>
                <w:b/>
                <w:sz w:val="24"/>
                <w:szCs w:val="24"/>
              </w:rPr>
            </w:pPr>
            <w:r w:rsidRPr="00590A34">
              <w:rPr>
                <w:rFonts w:ascii="Times New Roman" w:hAnsi="Times New Roman"/>
                <w:sz w:val="24"/>
                <w:szCs w:val="24"/>
              </w:rPr>
              <w:t xml:space="preserve">(3)  Likumprojekta „Grozījumi Patērētāju tiesību aizsardzības likumā” pieņemšana un </w:t>
            </w:r>
            <w:r w:rsidRPr="00590A34">
              <w:rPr>
                <w:rFonts w:ascii="Times New Roman" w:hAnsi="Times New Roman"/>
                <w:bCs/>
                <w:sz w:val="24"/>
                <w:szCs w:val="24"/>
              </w:rPr>
              <w:t>Patērētāju strīdu risināšanas komisijas izveide</w:t>
            </w:r>
            <w:r w:rsidRPr="00590A34">
              <w:rPr>
                <w:rFonts w:ascii="Times New Roman" w:hAnsi="Times New Roman"/>
                <w:sz w:val="24"/>
                <w:szCs w:val="24"/>
              </w:rPr>
              <w:t xml:space="preserve">. Lai nodrošinātu </w:t>
            </w:r>
            <w:r w:rsidRPr="00590A34">
              <w:rPr>
                <w:rFonts w:ascii="Times New Roman" w:hAnsi="Times New Roman"/>
                <w:bCs/>
                <w:sz w:val="24"/>
                <w:szCs w:val="24"/>
              </w:rPr>
              <w:t xml:space="preserve">Valdības rīcības plāna 118.3.apakšpunkta izpildi, kas nosaka izstrādāt priekšlikumus normatīvajam aktam patērētāju strīdu risināšanas kārtības uzlabošanai un efektīva alternatīva strīdus izskatīšanas mehānisma ieviešanai, </w:t>
            </w:r>
            <w:r w:rsidRPr="00590A34">
              <w:rPr>
                <w:rFonts w:ascii="Times New Roman" w:hAnsi="Times New Roman"/>
                <w:sz w:val="24"/>
                <w:szCs w:val="24"/>
              </w:rPr>
              <w:t xml:space="preserve">2013.gada 14.novembrī Valsts sekretāru sanāksmē tika izsludināts likumprojekts „Grozījumi Patērētāju tiesību aizsardzības likumā”. Likumprojekts paredz  </w:t>
            </w:r>
            <w:r w:rsidRPr="00590A34">
              <w:rPr>
                <w:rFonts w:ascii="Times New Roman" w:hAnsi="Times New Roman"/>
                <w:bCs/>
                <w:sz w:val="24"/>
                <w:szCs w:val="24"/>
              </w:rPr>
              <w:t xml:space="preserve">Patērētāju strīdu risināšanas komisijas izveidi, kas tostarp būs tiesīgā izskatīt strīdus finanšu pakalpojumu jomā. </w:t>
            </w:r>
          </w:p>
        </w:tc>
        <w:tc>
          <w:tcPr>
            <w:tcW w:w="613"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01.01.2015.</w:t>
            </w:r>
          </w:p>
        </w:tc>
        <w:tc>
          <w:tcPr>
            <w:tcW w:w="422"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sidRPr="00590A34">
              <w:rPr>
                <w:rFonts w:ascii="Times New Roman" w:hAnsi="Times New Roman"/>
                <w:color w:val="000000"/>
                <w:sz w:val="24"/>
                <w:szCs w:val="24"/>
              </w:rPr>
              <w:t>EM</w:t>
            </w:r>
          </w:p>
        </w:tc>
        <w:tc>
          <w:tcPr>
            <w:tcW w:w="1276"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sidRPr="00590A34">
              <w:rPr>
                <w:rFonts w:ascii="Times New Roman" w:hAnsi="Times New Roman"/>
                <w:color w:val="000000"/>
                <w:sz w:val="24"/>
                <w:szCs w:val="24"/>
              </w:rPr>
              <w:t xml:space="preserve">Nepieciešamo pasākumu īstenošana likumprojekta „Grozījumi Patērētāju tiesību aizsardzības likumā” savlaicīgai pieņemšanai. Nepieciešamo pasākumu īstenošana </w:t>
            </w:r>
            <w:r w:rsidRPr="00590A34">
              <w:rPr>
                <w:rFonts w:ascii="Times New Roman" w:hAnsi="Times New Roman"/>
                <w:sz w:val="24"/>
                <w:szCs w:val="24"/>
              </w:rPr>
              <w:t xml:space="preserve">Patērētāju strīdu risināšanas komisijas izveidei un darbības nodrošināšanai. </w:t>
            </w:r>
          </w:p>
        </w:tc>
        <w:tc>
          <w:tcPr>
            <w:tcW w:w="675" w:type="pct"/>
            <w:gridSpan w:val="2"/>
            <w:shd w:val="clear" w:color="auto" w:fill="FFFFFF" w:themeFill="background1"/>
          </w:tcPr>
          <w:p w:rsidR="00C501A4" w:rsidRDefault="00C501A4" w:rsidP="00C501A4">
            <w:pPr>
              <w:spacing w:after="0" w:line="240" w:lineRule="auto"/>
              <w:rPr>
                <w:rFonts w:ascii="Times New Roman" w:hAnsi="Times New Roman"/>
                <w:sz w:val="24"/>
                <w:szCs w:val="24"/>
              </w:rPr>
            </w:pPr>
            <w:r>
              <w:rPr>
                <w:rFonts w:ascii="Times New Roman" w:hAnsi="Times New Roman"/>
                <w:sz w:val="24"/>
                <w:szCs w:val="24"/>
              </w:rPr>
              <w:t>L</w:t>
            </w:r>
            <w:r w:rsidRPr="00590A34">
              <w:rPr>
                <w:rFonts w:ascii="Times New Roman" w:hAnsi="Times New Roman"/>
                <w:sz w:val="24"/>
                <w:szCs w:val="24"/>
              </w:rPr>
              <w:t>īdzekļu nepieciešamību izvērtēt 2015.</w:t>
            </w:r>
            <w:r>
              <w:rPr>
                <w:rFonts w:ascii="Times New Roman" w:hAnsi="Times New Roman"/>
                <w:sz w:val="24"/>
                <w:szCs w:val="24"/>
              </w:rPr>
              <w:t>gada valsts budžeta sagatavošanas laikā</w:t>
            </w:r>
          </w:p>
          <w:p w:rsidR="00C501A4" w:rsidRDefault="00C501A4" w:rsidP="00C501A4">
            <w:pPr>
              <w:spacing w:after="0" w:line="240" w:lineRule="auto"/>
              <w:rPr>
                <w:rFonts w:ascii="Times New Roman" w:hAnsi="Times New Roman"/>
                <w:sz w:val="24"/>
                <w:szCs w:val="24"/>
              </w:rPr>
            </w:pPr>
          </w:p>
          <w:p w:rsidR="00C501A4" w:rsidRPr="00C501A4" w:rsidRDefault="00C501A4" w:rsidP="00C501A4">
            <w:pPr>
              <w:spacing w:after="0" w:line="240" w:lineRule="auto"/>
              <w:rPr>
                <w:rFonts w:ascii="Times New Roman" w:hAnsi="Times New Roman"/>
              </w:rPr>
            </w:pPr>
            <w:r w:rsidRPr="00C501A4">
              <w:rPr>
                <w:rFonts w:ascii="Times New Roman" w:hAnsi="Times New Roman"/>
              </w:rPr>
              <w:t xml:space="preserve">Nepieciešamais finansējumu Patērētāju strīdu risināšanas komisijas izveidei un darbības nodrošināšanai: </w:t>
            </w:r>
          </w:p>
          <w:p w:rsidR="00C501A4" w:rsidRPr="00C501A4" w:rsidRDefault="00C501A4" w:rsidP="00C501A4">
            <w:pPr>
              <w:widowControl w:val="0"/>
              <w:spacing w:before="60" w:after="0" w:line="240" w:lineRule="auto"/>
              <w:jc w:val="both"/>
              <w:rPr>
                <w:rFonts w:ascii="Times New Roman" w:hAnsi="Times New Roman"/>
                <w:color w:val="000000"/>
              </w:rPr>
            </w:pPr>
            <w:r w:rsidRPr="00C501A4">
              <w:rPr>
                <w:rFonts w:ascii="Times New Roman" w:hAnsi="Times New Roman"/>
                <w:color w:val="000000"/>
              </w:rPr>
              <w:t xml:space="preserve">2015.gadā - </w:t>
            </w:r>
            <w:r w:rsidRPr="00C501A4">
              <w:rPr>
                <w:rFonts w:ascii="Times New Roman" w:hAnsi="Times New Roman"/>
              </w:rPr>
              <w:t xml:space="preserve">59,90 tūstoši </w:t>
            </w:r>
            <w:r w:rsidRPr="00C501A4">
              <w:rPr>
                <w:rFonts w:ascii="Times New Roman" w:hAnsi="Times New Roman"/>
                <w:i/>
              </w:rPr>
              <w:t>euro;</w:t>
            </w:r>
          </w:p>
          <w:p w:rsidR="00C501A4" w:rsidRPr="00590A34" w:rsidRDefault="00C501A4" w:rsidP="00C501A4">
            <w:pPr>
              <w:spacing w:before="120" w:after="0" w:line="240" w:lineRule="auto"/>
              <w:jc w:val="both"/>
              <w:rPr>
                <w:rFonts w:ascii="Times New Roman" w:hAnsi="Times New Roman"/>
                <w:color w:val="000000"/>
                <w:sz w:val="24"/>
                <w:szCs w:val="24"/>
              </w:rPr>
            </w:pPr>
            <w:r w:rsidRPr="00C501A4">
              <w:rPr>
                <w:rFonts w:ascii="Times New Roman" w:hAnsi="Times New Roman"/>
              </w:rPr>
              <w:t xml:space="preserve">2016.gadā - 60,53 tūstoši </w:t>
            </w:r>
            <w:r w:rsidRPr="00C501A4">
              <w:rPr>
                <w:rFonts w:ascii="Times New Roman" w:hAnsi="Times New Roman"/>
                <w:i/>
              </w:rPr>
              <w:t>euro</w:t>
            </w:r>
            <w:r>
              <w:rPr>
                <w:rFonts w:ascii="Times New Roman" w:hAnsi="Times New Roman"/>
                <w:i/>
              </w:rPr>
              <w:t>.</w:t>
            </w:r>
            <w:r w:rsidRPr="00C501A4">
              <w:rPr>
                <w:rFonts w:ascii="Times New Roman" w:hAnsi="Times New Roman"/>
                <w:i/>
                <w:sz w:val="24"/>
                <w:szCs w:val="24"/>
              </w:rPr>
              <w:t xml:space="preserve"> </w:t>
            </w:r>
          </w:p>
        </w:tc>
      </w:tr>
      <w:tr w:rsidR="00C501A4" w:rsidTr="00B42439">
        <w:tc>
          <w:tcPr>
            <w:tcW w:w="2014" w:type="pct"/>
            <w:shd w:val="clear" w:color="auto" w:fill="FFFFFF" w:themeFill="background1"/>
          </w:tcPr>
          <w:p w:rsidR="00C501A4" w:rsidRPr="00590A34" w:rsidRDefault="00C501A4" w:rsidP="00C501A4">
            <w:pPr>
              <w:spacing w:after="120" w:line="240" w:lineRule="auto"/>
              <w:jc w:val="both"/>
              <w:rPr>
                <w:rFonts w:ascii="Times New Roman" w:hAnsi="Times New Roman"/>
                <w:b/>
                <w:sz w:val="24"/>
                <w:szCs w:val="24"/>
              </w:rPr>
            </w:pPr>
            <w:r w:rsidRPr="00590A34">
              <w:rPr>
                <w:rFonts w:ascii="Times New Roman" w:hAnsi="Times New Roman"/>
                <w:sz w:val="24"/>
                <w:szCs w:val="24"/>
              </w:rPr>
              <w:lastRenderedPageBreak/>
              <w:t xml:space="preserve">(4) Likumprojekta „Patērētāju ārpustiesas strīdu risināšanas likums” pieņemšana un uzraudzības nodrošināšana. 2013.gada 14.novembrī Valsts sekretāru sanāksmē tika izsludināts likumprojekts „Patērētāju ārpustiesas strīdu risināšanas likums”.  Likumprojekts  nosaka: 1) ārpustiesas strīdu risinātāju darbības principus un ārpustiesas strīdu risināšanā piemērojamos principus – kompetence, neatkarība un objektivitāte, pārredzamība, efektivitāte, taisnīgums, brīvība likumība; 2) ārpustiesas strīdu risinātāju saraksta izveidi; 3) ārpustiesas strīdu risinātāju uzraudzību un sadarbību. </w:t>
            </w:r>
          </w:p>
        </w:tc>
        <w:tc>
          <w:tcPr>
            <w:tcW w:w="613"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01.01.2015.</w:t>
            </w:r>
          </w:p>
        </w:tc>
        <w:tc>
          <w:tcPr>
            <w:tcW w:w="422"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sidRPr="00590A34">
              <w:rPr>
                <w:rFonts w:ascii="Times New Roman" w:hAnsi="Times New Roman"/>
                <w:color w:val="000000"/>
                <w:sz w:val="24"/>
                <w:szCs w:val="24"/>
              </w:rPr>
              <w:t>EM</w:t>
            </w:r>
          </w:p>
        </w:tc>
        <w:tc>
          <w:tcPr>
            <w:tcW w:w="1276" w:type="pct"/>
            <w:gridSpan w:val="2"/>
            <w:shd w:val="clear" w:color="auto" w:fill="FFFFFF" w:themeFill="background1"/>
          </w:tcPr>
          <w:p w:rsidR="00C501A4" w:rsidRPr="00590A34" w:rsidRDefault="00C501A4" w:rsidP="00C501A4">
            <w:pPr>
              <w:spacing w:after="120" w:line="240" w:lineRule="auto"/>
              <w:jc w:val="both"/>
              <w:rPr>
                <w:rFonts w:ascii="Times New Roman" w:hAnsi="Times New Roman"/>
                <w:color w:val="000000"/>
                <w:sz w:val="24"/>
                <w:szCs w:val="24"/>
              </w:rPr>
            </w:pPr>
            <w:r w:rsidRPr="00590A34">
              <w:rPr>
                <w:rFonts w:ascii="Times New Roman" w:hAnsi="Times New Roman"/>
                <w:color w:val="000000"/>
                <w:sz w:val="24"/>
                <w:szCs w:val="24"/>
              </w:rPr>
              <w:t xml:space="preserve">Nepieciešamo pasākumu īstenošana likumprojekta </w:t>
            </w:r>
            <w:r w:rsidRPr="00590A34">
              <w:rPr>
                <w:rFonts w:ascii="Times New Roman" w:hAnsi="Times New Roman"/>
                <w:sz w:val="24"/>
                <w:szCs w:val="24"/>
              </w:rPr>
              <w:t>„Patērētāju ārpustiesas strīdu risināšanas likums”</w:t>
            </w:r>
            <w:r w:rsidRPr="00590A34">
              <w:rPr>
                <w:rFonts w:ascii="Times New Roman" w:hAnsi="Times New Roman"/>
                <w:color w:val="000000"/>
                <w:sz w:val="24"/>
                <w:szCs w:val="24"/>
              </w:rPr>
              <w:t xml:space="preserve"> savlaicīgai pieņemšanai. Nepieciešamo pasākumu īstenošana </w:t>
            </w:r>
            <w:r w:rsidRPr="00590A34">
              <w:rPr>
                <w:rFonts w:ascii="Times New Roman" w:hAnsi="Times New Roman"/>
                <w:sz w:val="24"/>
                <w:szCs w:val="24"/>
              </w:rPr>
              <w:t>ārpustiesas strīdu risinātāju uzraudzībai.</w:t>
            </w:r>
          </w:p>
        </w:tc>
        <w:tc>
          <w:tcPr>
            <w:tcW w:w="675" w:type="pct"/>
            <w:gridSpan w:val="2"/>
            <w:shd w:val="clear" w:color="auto" w:fill="FFFFFF" w:themeFill="background1"/>
          </w:tcPr>
          <w:p w:rsidR="00C501A4" w:rsidRDefault="00C501A4" w:rsidP="00C501A4">
            <w:pPr>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Līdzekļu nepieciešamību izvērtēt 2015.gada valsts budžeta sagatavošanas laikā</w:t>
            </w:r>
          </w:p>
          <w:p w:rsidR="00C501A4" w:rsidRDefault="00C501A4" w:rsidP="00C501A4">
            <w:pPr>
              <w:spacing w:after="0" w:line="240" w:lineRule="auto"/>
              <w:rPr>
                <w:rFonts w:ascii="Times New Roman" w:hAnsi="Times New Roman"/>
                <w:sz w:val="24"/>
                <w:szCs w:val="24"/>
              </w:rPr>
            </w:pPr>
          </w:p>
          <w:p w:rsidR="00C501A4" w:rsidRPr="00C501A4" w:rsidRDefault="00C501A4" w:rsidP="00C501A4">
            <w:pPr>
              <w:spacing w:after="0" w:line="240" w:lineRule="auto"/>
              <w:rPr>
                <w:rFonts w:ascii="Times New Roman" w:hAnsi="Times New Roman"/>
              </w:rPr>
            </w:pPr>
          </w:p>
          <w:p w:rsidR="00C501A4" w:rsidRPr="00C501A4" w:rsidRDefault="00C501A4" w:rsidP="00C501A4">
            <w:pPr>
              <w:spacing w:after="0" w:line="240" w:lineRule="auto"/>
              <w:rPr>
                <w:rFonts w:ascii="Times New Roman" w:hAnsi="Times New Roman"/>
              </w:rPr>
            </w:pPr>
            <w:r w:rsidRPr="00C501A4">
              <w:rPr>
                <w:rFonts w:ascii="Times New Roman" w:hAnsi="Times New Roman"/>
              </w:rPr>
              <w:t xml:space="preserve">Nepieciešamais finansējumu ārpustiesas strīdu risinātāju uzraudzībai: </w:t>
            </w:r>
          </w:p>
          <w:p w:rsidR="00C501A4" w:rsidRPr="00C501A4" w:rsidRDefault="00C501A4" w:rsidP="00C501A4">
            <w:pPr>
              <w:widowControl w:val="0"/>
              <w:spacing w:before="60" w:after="0" w:line="240" w:lineRule="auto"/>
              <w:jc w:val="both"/>
              <w:rPr>
                <w:rFonts w:ascii="Times New Roman" w:hAnsi="Times New Roman"/>
                <w:color w:val="000000"/>
              </w:rPr>
            </w:pPr>
            <w:r w:rsidRPr="00C501A4">
              <w:rPr>
                <w:rFonts w:ascii="Times New Roman" w:hAnsi="Times New Roman"/>
                <w:color w:val="000000"/>
              </w:rPr>
              <w:t>2015.gadā -</w:t>
            </w:r>
            <w:r w:rsidRPr="00C501A4">
              <w:rPr>
                <w:rFonts w:ascii="Times New Roman" w:hAnsi="Times New Roman"/>
                <w:b/>
              </w:rPr>
              <w:t xml:space="preserve"> </w:t>
            </w:r>
            <w:r w:rsidRPr="00C501A4">
              <w:rPr>
                <w:rFonts w:ascii="Times New Roman" w:hAnsi="Times New Roman"/>
              </w:rPr>
              <w:t xml:space="preserve">20,99 tūkstoši </w:t>
            </w:r>
            <w:r w:rsidRPr="00C501A4">
              <w:rPr>
                <w:rFonts w:ascii="Times New Roman" w:hAnsi="Times New Roman"/>
                <w:i/>
              </w:rPr>
              <w:t>euro</w:t>
            </w:r>
            <w:r w:rsidRPr="00C501A4">
              <w:rPr>
                <w:rFonts w:ascii="Times New Roman" w:hAnsi="Times New Roman"/>
              </w:rPr>
              <w:t>;</w:t>
            </w:r>
          </w:p>
          <w:p w:rsidR="00C501A4" w:rsidRPr="00590A34" w:rsidRDefault="00C501A4" w:rsidP="00C501A4">
            <w:pPr>
              <w:spacing w:before="120" w:after="0" w:line="240" w:lineRule="auto"/>
              <w:jc w:val="both"/>
              <w:rPr>
                <w:rFonts w:ascii="Times New Roman" w:hAnsi="Times New Roman"/>
                <w:color w:val="000000"/>
                <w:sz w:val="24"/>
                <w:szCs w:val="24"/>
              </w:rPr>
            </w:pPr>
            <w:r w:rsidRPr="00C501A4">
              <w:rPr>
                <w:rFonts w:ascii="Times New Roman" w:hAnsi="Times New Roman"/>
              </w:rPr>
              <w:t xml:space="preserve">2016.gadā - 19,14 tūstoši </w:t>
            </w:r>
            <w:r w:rsidRPr="00C501A4">
              <w:rPr>
                <w:rFonts w:ascii="Times New Roman" w:hAnsi="Times New Roman"/>
                <w:i/>
              </w:rPr>
              <w:t>euro</w:t>
            </w:r>
            <w:r>
              <w:rPr>
                <w:rFonts w:ascii="Times New Roman" w:hAnsi="Times New Roman"/>
                <w:i/>
              </w:rPr>
              <w:t>.</w:t>
            </w:r>
          </w:p>
        </w:tc>
      </w:tr>
      <w:tr w:rsidR="00406EBD" w:rsidTr="00B42439">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406EBD" w:rsidRDefault="00D22B8E" w:rsidP="00740287">
            <w:pPr>
              <w:spacing w:after="120" w:line="240" w:lineRule="auto"/>
              <w:jc w:val="both"/>
              <w:rPr>
                <w:rFonts w:ascii="Times New Roman" w:hAnsi="Times New Roman"/>
                <w:b/>
                <w:sz w:val="24"/>
                <w:szCs w:val="24"/>
              </w:rPr>
            </w:pPr>
            <w:r>
              <w:rPr>
                <w:rFonts w:ascii="Times New Roman" w:hAnsi="Times New Roman"/>
                <w:b/>
                <w:sz w:val="24"/>
                <w:szCs w:val="24"/>
              </w:rPr>
              <w:t>3</w:t>
            </w:r>
            <w:r w:rsidR="00882BFE">
              <w:rPr>
                <w:rFonts w:ascii="Times New Roman" w:hAnsi="Times New Roman"/>
                <w:b/>
                <w:sz w:val="24"/>
                <w:szCs w:val="24"/>
              </w:rPr>
              <w:t>.4.</w:t>
            </w:r>
            <w:r w:rsidR="00406EBD" w:rsidRPr="00882BFE">
              <w:rPr>
                <w:rFonts w:ascii="Times New Roman" w:hAnsi="Times New Roman"/>
                <w:b/>
                <w:sz w:val="24"/>
                <w:szCs w:val="24"/>
              </w:rPr>
              <w:t>Ieguldītāju (akcionāru) tiesību aizsardzības pilnveidošana un stiprināšana</w:t>
            </w:r>
          </w:p>
          <w:p w:rsidR="00B43937" w:rsidRDefault="00B43937" w:rsidP="00740287">
            <w:pPr>
              <w:spacing w:after="120" w:line="240" w:lineRule="auto"/>
              <w:jc w:val="both"/>
              <w:rPr>
                <w:rFonts w:ascii="Times New Roman" w:hAnsi="Times New Roman"/>
                <w:i/>
                <w:sz w:val="24"/>
                <w:szCs w:val="24"/>
              </w:rPr>
            </w:pPr>
            <w:r w:rsidRPr="0081436E">
              <w:rPr>
                <w:rFonts w:ascii="Times New Roman" w:hAnsi="Times New Roman"/>
                <w:i/>
                <w:sz w:val="24"/>
                <w:szCs w:val="24"/>
              </w:rPr>
              <w:t xml:space="preserve">Atbilstoši Eiropas Savienības normatīvo aktu prasībām (Direktīva 2004/39/EK) uzņēmumu akcijas ir pārvedami vērtspapīri, kas saskaņā ar 2012.gada 7.marta Eiropas Komisijas priekšlikumu regulai par Centrālajiem Vērtspapīru depozitārijiem būs jāiegrāmato Centrālajos Vērtspapīru depozitārijos (turpmāk – CVD) dematerializētā veidā pirms tie tiek tirgoti regulētajās tirdzniecības vietās. </w:t>
            </w:r>
          </w:p>
          <w:p w:rsidR="00B43937" w:rsidRPr="0081436E" w:rsidRDefault="00B43937" w:rsidP="00740287">
            <w:pPr>
              <w:spacing w:after="120" w:line="240" w:lineRule="auto"/>
              <w:jc w:val="both"/>
              <w:rPr>
                <w:rFonts w:ascii="Times New Roman" w:hAnsi="Times New Roman"/>
                <w:i/>
                <w:sz w:val="24"/>
                <w:szCs w:val="24"/>
              </w:rPr>
            </w:pPr>
            <w:r>
              <w:rPr>
                <w:rFonts w:ascii="Times New Roman" w:hAnsi="Times New Roman"/>
                <w:i/>
                <w:sz w:val="24"/>
                <w:szCs w:val="24"/>
              </w:rPr>
              <w:t>V</w:t>
            </w:r>
            <w:r w:rsidRPr="00B43937">
              <w:rPr>
                <w:rFonts w:ascii="Times New Roman" w:hAnsi="Times New Roman"/>
                <w:i/>
                <w:sz w:val="24"/>
                <w:szCs w:val="24"/>
              </w:rPr>
              <w:t>ērtspapīru grāmatošana dematerializētā veidā ir svarīgs solis norēķinu efektivitātes palielināšanai un vērtspapīru emisijas integritātes nodrošināšanai, īpaši turēšanas un pārveduma metožu arvien pieaugošās sarežģītības kontekstā.</w:t>
            </w:r>
          </w:p>
          <w:p w:rsidR="00B43937" w:rsidRDefault="00B43937" w:rsidP="00740287">
            <w:pPr>
              <w:spacing w:after="120" w:line="240" w:lineRule="auto"/>
              <w:jc w:val="both"/>
              <w:rPr>
                <w:rFonts w:ascii="Times New Roman" w:hAnsi="Times New Roman"/>
                <w:sz w:val="24"/>
                <w:szCs w:val="24"/>
              </w:rPr>
            </w:pPr>
            <w:r>
              <w:rPr>
                <w:rFonts w:ascii="Times New Roman" w:hAnsi="Times New Roman"/>
                <w:sz w:val="24"/>
                <w:szCs w:val="24"/>
              </w:rPr>
              <w:t>Rīcībai:</w:t>
            </w:r>
          </w:p>
          <w:p w:rsidR="00406EBD" w:rsidRPr="00C7240A" w:rsidRDefault="001540FD" w:rsidP="001540FD">
            <w:pPr>
              <w:spacing w:after="120" w:line="240" w:lineRule="auto"/>
              <w:jc w:val="both"/>
              <w:rPr>
                <w:rFonts w:ascii="Times New Roman" w:hAnsi="Times New Roman"/>
                <w:sz w:val="24"/>
                <w:szCs w:val="24"/>
              </w:rPr>
            </w:pPr>
            <w:r>
              <w:rPr>
                <w:rFonts w:ascii="Times New Roman" w:hAnsi="Times New Roman"/>
                <w:sz w:val="24"/>
                <w:szCs w:val="24"/>
              </w:rPr>
              <w:lastRenderedPageBreak/>
              <w:t>Izstrādāt g</w:t>
            </w:r>
            <w:r w:rsidR="00406EBD" w:rsidRPr="00C7240A">
              <w:rPr>
                <w:rFonts w:ascii="Times New Roman" w:hAnsi="Times New Roman"/>
                <w:sz w:val="24"/>
                <w:szCs w:val="24"/>
              </w:rPr>
              <w:t>rozījum</w:t>
            </w:r>
            <w:r>
              <w:rPr>
                <w:rFonts w:ascii="Times New Roman" w:hAnsi="Times New Roman"/>
                <w:sz w:val="24"/>
                <w:szCs w:val="24"/>
              </w:rPr>
              <w:t>us</w:t>
            </w:r>
            <w:r w:rsidR="00406EBD" w:rsidRPr="00C7240A">
              <w:rPr>
                <w:rFonts w:ascii="Times New Roman" w:hAnsi="Times New Roman"/>
                <w:sz w:val="24"/>
                <w:szCs w:val="24"/>
              </w:rPr>
              <w:t xml:space="preserve"> normatīvajos aktos, lai pilnveidotu (stiprinātu) akciju piederības reģistrācijas kārtību, nosakot centralizētu akcionāru un tiem piederošo akciju uzskaiti, tādējādi mazinot risku veikt krāpnieciskus darījumus ar akcijām, nepamatotus (prettiesiskus) grozījumus akcionāru reģistrā un nodrošināt, ka akcijas ir droši atsavināt/iegūt neatkarīgi no ieguldītāja atrašanās vietas (valsts)  </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EBD" w:rsidRDefault="00B75FF8"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01.07.2014</w:t>
            </w:r>
            <w:r w:rsidR="0079094E">
              <w:rPr>
                <w:rFonts w:ascii="Times New Roman" w:hAnsi="Times New Roman"/>
                <w:color w:val="000000"/>
                <w:sz w:val="24"/>
                <w:szCs w:val="24"/>
              </w:rPr>
              <w:t>.</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EBD" w:rsidRDefault="00406EBD"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TM, FM, LKA, NASDAQ OMX</w:t>
            </w:r>
            <w:r w:rsidR="00932B7D">
              <w:rPr>
                <w:rFonts w:ascii="Times New Roman" w:hAnsi="Times New Roman"/>
                <w:color w:val="000000"/>
                <w:sz w:val="24"/>
                <w:szCs w:val="24"/>
              </w:rPr>
              <w:t xml:space="preserve"> Riga</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EBD" w:rsidRDefault="001540FD" w:rsidP="001540FD">
            <w:pPr>
              <w:spacing w:after="120" w:line="240" w:lineRule="auto"/>
              <w:jc w:val="both"/>
              <w:rPr>
                <w:rFonts w:ascii="Times New Roman" w:hAnsi="Times New Roman"/>
                <w:color w:val="000000"/>
                <w:sz w:val="24"/>
                <w:szCs w:val="24"/>
              </w:rPr>
            </w:pPr>
            <w:r>
              <w:rPr>
                <w:rFonts w:ascii="Times New Roman" w:hAnsi="Times New Roman"/>
                <w:color w:val="000000"/>
                <w:sz w:val="24"/>
                <w:szCs w:val="24"/>
              </w:rPr>
              <w:t>Noteiktā kārtībā izstrādāt un iesniegt MK</w:t>
            </w:r>
            <w:r w:rsidR="00406EBD">
              <w:rPr>
                <w:rFonts w:ascii="Times New Roman" w:hAnsi="Times New Roman"/>
                <w:color w:val="000000"/>
                <w:sz w:val="24"/>
                <w:szCs w:val="24"/>
              </w:rPr>
              <w:t xml:space="preserve"> grozījum</w:t>
            </w:r>
            <w:r>
              <w:rPr>
                <w:rFonts w:ascii="Times New Roman" w:hAnsi="Times New Roman"/>
                <w:color w:val="000000"/>
                <w:sz w:val="24"/>
                <w:szCs w:val="24"/>
              </w:rPr>
              <w:t>us</w:t>
            </w:r>
            <w:r w:rsidR="00406EBD">
              <w:rPr>
                <w:rFonts w:ascii="Times New Roman" w:hAnsi="Times New Roman"/>
                <w:color w:val="000000"/>
                <w:sz w:val="24"/>
                <w:szCs w:val="24"/>
              </w:rPr>
              <w:t xml:space="preserve"> Komerclikumā </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06EBD" w:rsidRPr="000E3EB3" w:rsidRDefault="00932B7D" w:rsidP="00740287">
            <w:pPr>
              <w:spacing w:after="120" w:line="240" w:lineRule="auto"/>
              <w:jc w:val="both"/>
              <w:rPr>
                <w:rFonts w:ascii="Times New Roman" w:hAnsi="Times New Roman"/>
                <w:color w:val="000000"/>
                <w:sz w:val="24"/>
                <w:szCs w:val="24"/>
              </w:rPr>
            </w:pPr>
            <w:r w:rsidRPr="00932B7D">
              <w:rPr>
                <w:rFonts w:ascii="Times New Roman" w:hAnsi="Times New Roman"/>
                <w:color w:val="000000"/>
                <w:sz w:val="24"/>
                <w:szCs w:val="24"/>
              </w:rPr>
              <w:t>TM, FM, LKA, NASDAQ OMX Riga</w:t>
            </w:r>
            <w:r>
              <w:rPr>
                <w:rFonts w:ascii="Times New Roman" w:hAnsi="Times New Roman"/>
                <w:color w:val="000000"/>
                <w:sz w:val="24"/>
                <w:szCs w:val="24"/>
              </w:rPr>
              <w:t xml:space="preserve"> budžeta ietvaros</w:t>
            </w:r>
            <w:r w:rsidR="00D20302">
              <w:rPr>
                <w:rFonts w:ascii="Times New Roman" w:hAnsi="Times New Roman"/>
                <w:color w:val="000000"/>
                <w:sz w:val="24"/>
                <w:szCs w:val="24"/>
              </w:rPr>
              <w:t>.</w:t>
            </w:r>
          </w:p>
        </w:tc>
      </w:tr>
      <w:tr w:rsidR="00D22B8E" w:rsidTr="00D22B8E">
        <w:tc>
          <w:tcPr>
            <w:tcW w:w="5000" w:type="pct"/>
            <w:gridSpan w:val="9"/>
            <w:tcBorders>
              <w:top w:val="single" w:sz="4" w:space="0" w:color="auto"/>
              <w:left w:val="single" w:sz="4" w:space="0" w:color="auto"/>
              <w:bottom w:val="single" w:sz="4" w:space="0" w:color="auto"/>
              <w:right w:val="single" w:sz="4" w:space="0" w:color="auto"/>
            </w:tcBorders>
            <w:shd w:val="clear" w:color="auto" w:fill="EEECE1" w:themeFill="background2"/>
          </w:tcPr>
          <w:p w:rsidR="00D22B8E" w:rsidRPr="003227AC" w:rsidRDefault="00D22B8E" w:rsidP="00D22B8E">
            <w:pPr>
              <w:pStyle w:val="CommentText"/>
              <w:spacing w:before="120" w:after="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lastRenderedPageBreak/>
              <w:t>4.</w:t>
            </w:r>
            <w:r w:rsidRPr="003227AC">
              <w:rPr>
                <w:rFonts w:ascii="Times New Roman" w:eastAsia="Times New Roman" w:hAnsi="Times New Roman"/>
                <w:b/>
                <w:color w:val="000000"/>
                <w:sz w:val="28"/>
                <w:szCs w:val="28"/>
                <w:lang w:eastAsia="lv-LV"/>
              </w:rPr>
              <w:t>Valsts atbalsta programmas</w:t>
            </w:r>
          </w:p>
        </w:tc>
      </w:tr>
      <w:tr w:rsidR="00225E92" w:rsidTr="00B42439">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225E92" w:rsidRPr="00740287" w:rsidRDefault="00740287" w:rsidP="00740287">
            <w:pPr>
              <w:spacing w:after="120" w:line="240" w:lineRule="auto"/>
              <w:jc w:val="both"/>
              <w:rPr>
                <w:rFonts w:ascii="Times New Roman" w:hAnsi="Times New Roman"/>
                <w:b/>
                <w:sz w:val="24"/>
                <w:szCs w:val="24"/>
              </w:rPr>
            </w:pPr>
            <w:r>
              <w:rPr>
                <w:rFonts w:ascii="Times New Roman" w:hAnsi="Times New Roman"/>
                <w:b/>
                <w:sz w:val="24"/>
                <w:szCs w:val="24"/>
              </w:rPr>
              <w:t>4.1.</w:t>
            </w:r>
            <w:r w:rsidR="00225E92" w:rsidRPr="00740287">
              <w:rPr>
                <w:rFonts w:ascii="Times New Roman" w:hAnsi="Times New Roman"/>
                <w:b/>
                <w:sz w:val="24"/>
                <w:szCs w:val="24"/>
              </w:rPr>
              <w:t>Atbalsta programmu pielāgošana tirgus nepilnību risināšanai</w:t>
            </w:r>
          </w:p>
          <w:p w:rsidR="00B76CF8" w:rsidRPr="0081436E" w:rsidRDefault="00B76CF8" w:rsidP="00740287">
            <w:pPr>
              <w:spacing w:after="120" w:line="240" w:lineRule="auto"/>
              <w:jc w:val="both"/>
              <w:rPr>
                <w:rFonts w:ascii="Times New Roman" w:hAnsi="Times New Roman"/>
                <w:i/>
                <w:sz w:val="24"/>
                <w:szCs w:val="24"/>
              </w:rPr>
            </w:pPr>
            <w:r w:rsidRPr="0081436E">
              <w:rPr>
                <w:rFonts w:ascii="Times New Roman" w:hAnsi="Times New Roman"/>
                <w:i/>
                <w:sz w:val="24"/>
                <w:szCs w:val="24"/>
              </w:rPr>
              <w:t xml:space="preserve">Finanšu resursu pieejamība ir svarīga ekonomikas attīstībai, investīcijas komercdarbībā ļauj paaugstināt tautsaimniecības efektivitāti un konkurētspēju, nodrošināt straujāku augšupeju. Pieeja apgrozāmajam un kapitāla finansējumam ir nozīmīgs šķērslis uzņēmējdarbības aktivitātes un konkurētspējas palielināšanai maziem un vidējiem komersantiem, kā arī uzņēmējdarbības uzsācēju vidū, it sevišķi inovatīviem un strauji augošiem komersantiem. </w:t>
            </w:r>
          </w:p>
          <w:p w:rsidR="001540FD" w:rsidRDefault="001540FD" w:rsidP="00740287">
            <w:pPr>
              <w:spacing w:after="120" w:line="240" w:lineRule="auto"/>
              <w:jc w:val="both"/>
              <w:rPr>
                <w:rFonts w:ascii="Times New Roman" w:hAnsi="Times New Roman"/>
                <w:sz w:val="24"/>
                <w:szCs w:val="24"/>
              </w:rPr>
            </w:pPr>
            <w:r>
              <w:rPr>
                <w:rFonts w:ascii="Times New Roman" w:hAnsi="Times New Roman"/>
                <w:sz w:val="24"/>
                <w:szCs w:val="24"/>
              </w:rPr>
              <w:t>Rīcībai:</w:t>
            </w:r>
          </w:p>
          <w:p w:rsidR="00736577" w:rsidRPr="0081436E" w:rsidRDefault="001540FD" w:rsidP="001540FD">
            <w:pPr>
              <w:spacing w:after="120" w:line="240" w:lineRule="auto"/>
              <w:jc w:val="both"/>
              <w:rPr>
                <w:rFonts w:ascii="Times New Roman" w:hAnsi="Times New Roman"/>
                <w:sz w:val="24"/>
                <w:szCs w:val="24"/>
              </w:rPr>
            </w:pPr>
            <w:r>
              <w:rPr>
                <w:rFonts w:ascii="Times New Roman" w:hAnsi="Times New Roman"/>
                <w:sz w:val="24"/>
                <w:szCs w:val="24"/>
              </w:rPr>
              <w:t>Ir jāv</w:t>
            </w:r>
            <w:r w:rsidR="00B76CF8" w:rsidRPr="00053485">
              <w:rPr>
                <w:rFonts w:ascii="Times New Roman" w:hAnsi="Times New Roman"/>
                <w:sz w:val="24"/>
                <w:szCs w:val="24"/>
              </w:rPr>
              <w:t>eicin</w:t>
            </w:r>
            <w:r w:rsidR="00B76CF8">
              <w:rPr>
                <w:rFonts w:ascii="Times New Roman" w:hAnsi="Times New Roman"/>
                <w:sz w:val="24"/>
                <w:szCs w:val="24"/>
              </w:rPr>
              <w:t>a</w:t>
            </w:r>
            <w:r w:rsidR="00B76CF8" w:rsidRPr="00053485">
              <w:rPr>
                <w:rFonts w:ascii="Times New Roman" w:hAnsi="Times New Roman"/>
                <w:sz w:val="24"/>
                <w:szCs w:val="24"/>
              </w:rPr>
              <w:t xml:space="preserve"> pieej</w:t>
            </w:r>
            <w:r>
              <w:rPr>
                <w:rFonts w:ascii="Times New Roman" w:hAnsi="Times New Roman"/>
                <w:sz w:val="24"/>
                <w:szCs w:val="24"/>
              </w:rPr>
              <w:t>a</w:t>
            </w:r>
            <w:r w:rsidR="00B76CF8" w:rsidRPr="00053485">
              <w:rPr>
                <w:rFonts w:ascii="Times New Roman" w:hAnsi="Times New Roman"/>
                <w:sz w:val="24"/>
                <w:szCs w:val="24"/>
              </w:rPr>
              <w:t xml:space="preserve"> finansējumam komercdarbības attīstībai, vienlaicīgi samazinot tiešā valsts atbalsta negatīvo ietekmi uz tirgus konkurenci un efektīvāk izlietojot valsts atbalsta līdzekļus, tos izmantojot atkārtoti vai piemērojot multiplikatoru.</w:t>
            </w:r>
            <w:r w:rsidR="00B76CF8">
              <w:rPr>
                <w:rFonts w:ascii="Times New Roman" w:hAnsi="Times New Roman"/>
                <w:sz w:val="24"/>
                <w:szCs w:val="24"/>
              </w:rPr>
              <w:t xml:space="preserve"> Esošo atbalsta programmu grozījumus un jaunu atbalsta programmas jāizstrādā balstoties uz tirgus nepilnību regulāru izvērtējumu.</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E92" w:rsidRDefault="001540FD"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w:t>
            </w:r>
            <w:r w:rsidR="00B76CF8">
              <w:rPr>
                <w:rFonts w:ascii="Times New Roman" w:hAnsi="Times New Roman"/>
                <w:color w:val="000000"/>
                <w:sz w:val="24"/>
                <w:szCs w:val="24"/>
              </w:rPr>
              <w:t>astāvīgi</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E92" w:rsidRPr="000E3EB3" w:rsidRDefault="0003065A"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EM, ZM</w:t>
            </w:r>
            <w:r w:rsidR="00AA01E5">
              <w:rPr>
                <w:rFonts w:ascii="Times New Roman" w:hAnsi="Times New Roman"/>
                <w:color w:val="000000"/>
                <w:sz w:val="24"/>
                <w:szCs w:val="24"/>
              </w:rPr>
              <w:t>,</w:t>
            </w:r>
            <w:r w:rsidR="004D00F8">
              <w:rPr>
                <w:rFonts w:ascii="Times New Roman" w:hAnsi="Times New Roman"/>
                <w:color w:val="000000"/>
                <w:sz w:val="24"/>
                <w:szCs w:val="24"/>
              </w:rPr>
              <w:t xml:space="preserve"> </w:t>
            </w:r>
            <w:r w:rsidR="00AA01E5">
              <w:rPr>
                <w:rFonts w:ascii="Times New Roman" w:hAnsi="Times New Roman"/>
                <w:color w:val="000000"/>
                <w:sz w:val="24"/>
                <w:szCs w:val="24"/>
              </w:rPr>
              <w:t>FM</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E92" w:rsidRDefault="00B76CF8" w:rsidP="00740287">
            <w:pPr>
              <w:spacing w:after="120" w:line="240" w:lineRule="auto"/>
              <w:jc w:val="both"/>
              <w:rPr>
                <w:rFonts w:ascii="Times New Roman" w:hAnsi="Times New Roman"/>
                <w:sz w:val="24"/>
                <w:szCs w:val="24"/>
              </w:rPr>
            </w:pPr>
            <w:r>
              <w:rPr>
                <w:rFonts w:ascii="Times New Roman" w:hAnsi="Times New Roman"/>
                <w:sz w:val="24"/>
                <w:szCs w:val="24"/>
              </w:rPr>
              <w:t>I</w:t>
            </w:r>
            <w:r w:rsidR="00225E92" w:rsidRPr="00225E92">
              <w:rPr>
                <w:rFonts w:ascii="Times New Roman" w:hAnsi="Times New Roman"/>
                <w:sz w:val="24"/>
                <w:szCs w:val="24"/>
              </w:rPr>
              <w:t>esniegt MK noteikumus  par jaunu valsts atbalsta programmu ieviešanu finanšu instrumentu veidā vai veikt esošo programmu grozījumus</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E92" w:rsidRDefault="0003065A"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2007.-2013.gada, </w:t>
            </w:r>
            <w:r w:rsidR="004D00F8">
              <w:rPr>
                <w:rFonts w:ascii="Times New Roman" w:hAnsi="Times New Roman"/>
                <w:color w:val="000000"/>
                <w:sz w:val="24"/>
                <w:szCs w:val="24"/>
              </w:rPr>
              <w:t>2014.-2020.gada ES struktūrfondu plānošanas periodā finanšu instrumentiem plānotais finansējums</w:t>
            </w:r>
            <w:r w:rsidR="00436201">
              <w:rPr>
                <w:rFonts w:ascii="Times New Roman" w:hAnsi="Times New Roman"/>
                <w:color w:val="000000"/>
                <w:sz w:val="24"/>
                <w:szCs w:val="24"/>
              </w:rPr>
              <w:t xml:space="preserve"> un citas ārvalstu finanšu instrumentu līdzfinansētas programmas</w:t>
            </w:r>
            <w:r w:rsidR="00D20302">
              <w:rPr>
                <w:rFonts w:ascii="Times New Roman" w:hAnsi="Times New Roman"/>
                <w:color w:val="000000"/>
                <w:sz w:val="24"/>
                <w:szCs w:val="24"/>
              </w:rPr>
              <w:t>.</w:t>
            </w:r>
          </w:p>
          <w:p w:rsidR="00736577" w:rsidRPr="00BB20EA" w:rsidRDefault="00736577" w:rsidP="00740287">
            <w:pPr>
              <w:spacing w:after="120" w:line="240" w:lineRule="auto"/>
              <w:jc w:val="both"/>
              <w:rPr>
                <w:rFonts w:ascii="Times New Roman" w:hAnsi="Times New Roman"/>
                <w:color w:val="000000"/>
                <w:sz w:val="24"/>
                <w:szCs w:val="24"/>
              </w:rPr>
            </w:pPr>
            <w:r w:rsidRPr="00736577">
              <w:rPr>
                <w:rFonts w:ascii="Times New Roman" w:hAnsi="Times New Roman"/>
                <w:color w:val="000000"/>
                <w:sz w:val="24"/>
                <w:szCs w:val="24"/>
              </w:rPr>
              <w:t>Valsts budžeta finansējums vispārējā kārtībā izskatāms gadskārtējā budžeta procesa ietvaros</w:t>
            </w:r>
            <w:r>
              <w:rPr>
                <w:rFonts w:ascii="Times New Roman" w:hAnsi="Times New Roman"/>
                <w:color w:val="000000"/>
                <w:sz w:val="24"/>
                <w:szCs w:val="24"/>
              </w:rPr>
              <w:t>, t.sk.</w:t>
            </w:r>
            <w:r w:rsidRPr="00736577">
              <w:rPr>
                <w:rFonts w:ascii="Times New Roman" w:hAnsi="Times New Roman"/>
                <w:color w:val="000000"/>
                <w:sz w:val="24"/>
                <w:szCs w:val="24"/>
              </w:rPr>
              <w:t xml:space="preserve"> </w:t>
            </w:r>
            <w:r>
              <w:rPr>
                <w:rFonts w:ascii="Times New Roman" w:hAnsi="Times New Roman"/>
                <w:color w:val="000000"/>
                <w:sz w:val="24"/>
                <w:szCs w:val="24"/>
              </w:rPr>
              <w:t>attiecībā uz programmām, ko nosaka</w:t>
            </w:r>
            <w:r w:rsidRPr="00736577">
              <w:rPr>
                <w:rFonts w:ascii="Times New Roman" w:hAnsi="Times New Roman"/>
                <w:color w:val="000000"/>
                <w:sz w:val="24"/>
                <w:szCs w:val="24"/>
              </w:rPr>
              <w:t xml:space="preserve"> </w:t>
            </w:r>
            <w:r>
              <w:rPr>
                <w:rFonts w:ascii="Times New Roman" w:hAnsi="Times New Roman"/>
                <w:color w:val="000000"/>
                <w:sz w:val="24"/>
                <w:szCs w:val="24"/>
              </w:rPr>
              <w:t xml:space="preserve">MK 27.04.2010 </w:t>
            </w:r>
            <w:r>
              <w:rPr>
                <w:rFonts w:ascii="Times New Roman" w:hAnsi="Times New Roman"/>
                <w:color w:val="000000"/>
                <w:sz w:val="24"/>
                <w:szCs w:val="24"/>
              </w:rPr>
              <w:lastRenderedPageBreak/>
              <w:t xml:space="preserve">noteikumi </w:t>
            </w:r>
            <w:r w:rsidRPr="00736577">
              <w:rPr>
                <w:rFonts w:ascii="Times New Roman" w:hAnsi="Times New Roman"/>
                <w:color w:val="000000"/>
                <w:sz w:val="24"/>
                <w:szCs w:val="24"/>
              </w:rPr>
              <w:t>Nr.403 "Kārtība, kādā piešķir valsts atbalstu apgrozāmo līdzekļu iegādei lauksaimniecības produkcijas ražošanai"</w:t>
            </w:r>
            <w:r>
              <w:rPr>
                <w:rFonts w:ascii="Times New Roman" w:hAnsi="Times New Roman"/>
                <w:color w:val="000000"/>
                <w:sz w:val="24"/>
                <w:szCs w:val="24"/>
              </w:rPr>
              <w:t>, un</w:t>
            </w:r>
            <w:r w:rsidRPr="00736577">
              <w:rPr>
                <w:rFonts w:ascii="Times New Roman" w:hAnsi="Times New Roman"/>
                <w:color w:val="000000"/>
                <w:sz w:val="24"/>
                <w:szCs w:val="24"/>
              </w:rPr>
              <w:t xml:space="preserve"> </w:t>
            </w:r>
            <w:r>
              <w:rPr>
                <w:rFonts w:ascii="Times New Roman" w:hAnsi="Times New Roman"/>
                <w:color w:val="000000"/>
                <w:sz w:val="24"/>
                <w:szCs w:val="24"/>
              </w:rPr>
              <w:t xml:space="preserve">MK 29.05.2013 noteikumi </w:t>
            </w:r>
            <w:r w:rsidRPr="00736577">
              <w:rPr>
                <w:rFonts w:ascii="Times New Roman" w:hAnsi="Times New Roman"/>
                <w:color w:val="000000"/>
                <w:sz w:val="24"/>
                <w:szCs w:val="24"/>
              </w:rPr>
              <w:t>Nr.381 "Valsts atbalsta piešķiršanas kārtība lauksaimniecībā izmantojamās zemes iegādei lauksaimniecības produkcijas ražošanai",</w:t>
            </w:r>
          </w:p>
        </w:tc>
      </w:tr>
      <w:tr w:rsidR="003E5231" w:rsidTr="00B42439">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3E5231" w:rsidRPr="00D20302" w:rsidRDefault="00D20302" w:rsidP="00D20302">
            <w:pPr>
              <w:spacing w:after="120" w:line="240" w:lineRule="auto"/>
              <w:jc w:val="both"/>
              <w:rPr>
                <w:rFonts w:ascii="Times New Roman" w:hAnsi="Times New Roman"/>
                <w:b/>
                <w:sz w:val="24"/>
                <w:szCs w:val="24"/>
              </w:rPr>
            </w:pPr>
            <w:r>
              <w:rPr>
                <w:rFonts w:ascii="Times New Roman" w:hAnsi="Times New Roman"/>
                <w:b/>
                <w:sz w:val="24"/>
                <w:szCs w:val="24"/>
              </w:rPr>
              <w:lastRenderedPageBreak/>
              <w:t>4.2.</w:t>
            </w:r>
            <w:r w:rsidR="00AD4B88" w:rsidRPr="00D20302">
              <w:rPr>
                <w:rFonts w:ascii="Times New Roman" w:hAnsi="Times New Roman"/>
                <w:b/>
                <w:sz w:val="24"/>
                <w:szCs w:val="24"/>
              </w:rPr>
              <w:t>Atbalsta programmu vadības centralizācija</w:t>
            </w:r>
          </w:p>
          <w:p w:rsidR="006220F1" w:rsidRPr="0081436E" w:rsidRDefault="006220F1" w:rsidP="00740287">
            <w:pPr>
              <w:spacing w:after="120" w:line="240" w:lineRule="auto"/>
              <w:jc w:val="both"/>
              <w:rPr>
                <w:rFonts w:ascii="Times New Roman" w:hAnsi="Times New Roman"/>
                <w:i/>
                <w:sz w:val="24"/>
                <w:szCs w:val="24"/>
              </w:rPr>
            </w:pPr>
            <w:r w:rsidRPr="0081436E">
              <w:rPr>
                <w:rFonts w:ascii="Times New Roman" w:hAnsi="Times New Roman"/>
                <w:i/>
                <w:sz w:val="24"/>
                <w:szCs w:val="24"/>
              </w:rPr>
              <w:t>Latvijas Republikas 2010.gada 5.jūlijā Starptautiskajam Valūtas fondam nosūtītās Nodomu vēstules 23.punktā tika izteikta apņemšanās izvirzīt priekšlikumus, kā optimizēt attīstības finansēšanas sistēmu Latvijā, tai skaitā sagatavot priekšlikumus par vairāku institūciju, kas darbojas valdības vārdā, apvienošanu vienotā efektīvā attīstības finansēšanas institūcijā. Lai izpildītu Latvijas Republikas Ministru kabineta pieņemtos lēmumus, kā arī lai Latvijas Republika izpildītu pret starptautiskajiem aizdevējiem uzņemtās saistības, būtiski iespējami ātri pabeigt visas nepieciešamās darbības vienotas attīstības finanšu institūcijas izveidei.</w:t>
            </w:r>
          </w:p>
          <w:p w:rsidR="006220F1" w:rsidRPr="0081436E" w:rsidRDefault="006220F1" w:rsidP="00740287">
            <w:pPr>
              <w:spacing w:after="120" w:line="240" w:lineRule="auto"/>
              <w:jc w:val="both"/>
              <w:rPr>
                <w:rFonts w:ascii="Times New Roman" w:hAnsi="Times New Roman"/>
                <w:sz w:val="24"/>
                <w:szCs w:val="24"/>
              </w:rPr>
            </w:pPr>
            <w:r w:rsidRPr="0081436E">
              <w:rPr>
                <w:rFonts w:ascii="Times New Roman" w:hAnsi="Times New Roman"/>
                <w:sz w:val="24"/>
                <w:szCs w:val="24"/>
              </w:rPr>
              <w:lastRenderedPageBreak/>
              <w:t>Rīcībai:</w:t>
            </w:r>
          </w:p>
          <w:p w:rsidR="00215E19" w:rsidRPr="00AD4B88" w:rsidRDefault="00AD4B88" w:rsidP="00740287">
            <w:pPr>
              <w:spacing w:after="120" w:line="240" w:lineRule="auto"/>
              <w:jc w:val="both"/>
              <w:rPr>
                <w:rFonts w:ascii="Times New Roman" w:hAnsi="Times New Roman"/>
                <w:sz w:val="24"/>
                <w:szCs w:val="24"/>
              </w:rPr>
            </w:pPr>
            <w:r w:rsidRPr="006220F1">
              <w:rPr>
                <w:rFonts w:ascii="Times New Roman" w:hAnsi="Times New Roman"/>
                <w:sz w:val="24"/>
                <w:szCs w:val="24"/>
              </w:rPr>
              <w:t>Ir jākonsolidē dažād</w:t>
            </w:r>
            <w:r w:rsidR="004A64F3" w:rsidRPr="00B43937">
              <w:rPr>
                <w:rFonts w:ascii="Times New Roman" w:hAnsi="Times New Roman"/>
                <w:sz w:val="24"/>
                <w:szCs w:val="24"/>
              </w:rPr>
              <w:t xml:space="preserve">as valsts programmas un piedāvātos </w:t>
            </w:r>
            <w:r w:rsidR="004A64F3">
              <w:rPr>
                <w:rFonts w:ascii="Times New Roman" w:hAnsi="Times New Roman"/>
                <w:sz w:val="24"/>
                <w:szCs w:val="24"/>
              </w:rPr>
              <w:t>finanšu instrumentus</w:t>
            </w:r>
            <w:r w:rsidRPr="00AD4B88">
              <w:rPr>
                <w:rFonts w:ascii="Times New Roman" w:hAnsi="Times New Roman"/>
                <w:sz w:val="24"/>
                <w:szCs w:val="24"/>
              </w:rPr>
              <w:t>, kas atbalsta privātā sektora pieeju finansējumam, vienas (attīstības finanšu) institūcijas</w:t>
            </w:r>
            <w:r w:rsidR="00AA01E5">
              <w:rPr>
                <w:rFonts w:ascii="Times New Roman" w:hAnsi="Times New Roman"/>
                <w:sz w:val="24"/>
                <w:szCs w:val="24"/>
              </w:rPr>
              <w:t xml:space="preserve"> (turpmāk – AFI)</w:t>
            </w:r>
            <w:r w:rsidRPr="00AD4B88">
              <w:rPr>
                <w:rFonts w:ascii="Times New Roman" w:hAnsi="Times New Roman"/>
                <w:sz w:val="24"/>
                <w:szCs w:val="24"/>
              </w:rPr>
              <w:t xml:space="preserve"> paspārnē, lai izvairītos no dublēšanās un uzlabotu </w:t>
            </w:r>
            <w:r w:rsidR="004A64F3">
              <w:rPr>
                <w:rFonts w:ascii="Times New Roman" w:hAnsi="Times New Roman"/>
                <w:sz w:val="24"/>
                <w:szCs w:val="24"/>
              </w:rPr>
              <w:t>efektivitāti un lietderību.</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2F1" w:rsidRDefault="001912F1" w:rsidP="00740287">
            <w:pPr>
              <w:spacing w:after="120" w:line="240" w:lineRule="auto"/>
              <w:jc w:val="both"/>
              <w:rPr>
                <w:rFonts w:ascii="Times New Roman" w:hAnsi="Times New Roman"/>
                <w:color w:val="000000"/>
                <w:sz w:val="24"/>
                <w:szCs w:val="24"/>
              </w:rPr>
            </w:pPr>
          </w:p>
          <w:p w:rsidR="003E5231" w:rsidRDefault="00B75FF8"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1.</w:t>
            </w:r>
            <w:r w:rsidR="001912F1">
              <w:rPr>
                <w:rFonts w:ascii="Times New Roman" w:hAnsi="Times New Roman"/>
                <w:color w:val="000000"/>
                <w:sz w:val="24"/>
                <w:szCs w:val="24"/>
              </w:rPr>
              <w:t>01.01.2014</w:t>
            </w:r>
            <w:r w:rsidR="0079094E">
              <w:rPr>
                <w:rFonts w:ascii="Times New Roman" w:hAnsi="Times New Roman"/>
                <w:color w:val="000000"/>
                <w:sz w:val="24"/>
                <w:szCs w:val="24"/>
              </w:rPr>
              <w:t>.</w:t>
            </w:r>
          </w:p>
          <w:p w:rsidR="00B75FF8" w:rsidRDefault="00B75FF8"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2.01.07.2014</w:t>
            </w:r>
            <w:r w:rsidR="0079094E">
              <w:rPr>
                <w:rFonts w:ascii="Times New Roman" w:hAnsi="Times New Roman"/>
                <w:color w:val="000000"/>
                <w:sz w:val="24"/>
                <w:szCs w:val="24"/>
              </w:rPr>
              <w:t>.</w:t>
            </w:r>
          </w:p>
          <w:p w:rsidR="00B75FF8" w:rsidRDefault="00B75FF8"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3.01.07.2014</w:t>
            </w:r>
            <w:r w:rsidR="0079094E">
              <w:rPr>
                <w:rFonts w:ascii="Times New Roman" w:hAnsi="Times New Roman"/>
                <w:color w:val="000000"/>
                <w:sz w:val="24"/>
                <w:szCs w:val="24"/>
              </w:rPr>
              <w:t>.</w:t>
            </w:r>
          </w:p>
          <w:p w:rsidR="00B75FF8" w:rsidRDefault="00B75FF8" w:rsidP="00740287">
            <w:pPr>
              <w:spacing w:after="120" w:line="240" w:lineRule="auto"/>
              <w:jc w:val="both"/>
              <w:rPr>
                <w:rFonts w:ascii="Times New Roman" w:hAnsi="Times New Roman"/>
                <w:color w:val="000000"/>
              </w:rPr>
            </w:pPr>
          </w:p>
          <w:p w:rsidR="001667E3" w:rsidRPr="000E3EB3" w:rsidRDefault="001667E3" w:rsidP="00740287">
            <w:pPr>
              <w:spacing w:after="120" w:line="240" w:lineRule="auto"/>
              <w:jc w:val="both"/>
              <w:rPr>
                <w:rFonts w:ascii="Times New Roman" w:hAnsi="Times New Roman"/>
                <w:color w:val="000000"/>
                <w:sz w:val="24"/>
                <w:szCs w:val="24"/>
              </w:rPr>
            </w:pP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5231" w:rsidRPr="000E3EB3" w:rsidRDefault="00215E19" w:rsidP="00740287">
            <w:pPr>
              <w:spacing w:after="120" w:line="240" w:lineRule="auto"/>
              <w:jc w:val="both"/>
              <w:rPr>
                <w:rFonts w:ascii="Times New Roman" w:hAnsi="Times New Roman"/>
                <w:color w:val="000000"/>
                <w:sz w:val="24"/>
                <w:szCs w:val="24"/>
              </w:rPr>
            </w:pPr>
            <w:r w:rsidRPr="000E3EB3">
              <w:rPr>
                <w:rFonts w:ascii="Times New Roman" w:hAnsi="Times New Roman"/>
                <w:color w:val="000000"/>
                <w:sz w:val="24"/>
                <w:szCs w:val="24"/>
              </w:rPr>
              <w:t>FM, EM</w:t>
            </w:r>
            <w:r w:rsidR="00690EDA">
              <w:rPr>
                <w:rFonts w:ascii="Times New Roman" w:hAnsi="Times New Roman"/>
                <w:color w:val="000000"/>
                <w:sz w:val="24"/>
                <w:szCs w:val="24"/>
              </w:rPr>
              <w:t xml:space="preserve">, </w:t>
            </w:r>
            <w:r w:rsidR="00B50344">
              <w:rPr>
                <w:rFonts w:ascii="Times New Roman" w:hAnsi="Times New Roman"/>
                <w:color w:val="000000"/>
                <w:sz w:val="24"/>
                <w:szCs w:val="24"/>
              </w:rPr>
              <w:t xml:space="preserve">(Zemkopības ministrija- turpmāk </w:t>
            </w:r>
            <w:r w:rsidR="00690EDA">
              <w:rPr>
                <w:rFonts w:ascii="Times New Roman" w:hAnsi="Times New Roman"/>
                <w:color w:val="000000"/>
                <w:sz w:val="24"/>
                <w:szCs w:val="24"/>
              </w:rPr>
              <w:t>ZM</w:t>
            </w:r>
            <w:r w:rsidR="00B50344">
              <w:rPr>
                <w:rFonts w:ascii="Times New Roman" w:hAnsi="Times New Roman"/>
                <w:color w:val="000000"/>
                <w:sz w:val="24"/>
                <w:szCs w:val="24"/>
              </w:rPr>
              <w:t>)</w:t>
            </w:r>
            <w:r w:rsidR="00690EDA">
              <w:rPr>
                <w:rFonts w:ascii="Times New Roman" w:hAnsi="Times New Roman"/>
                <w:color w:val="000000"/>
                <w:sz w:val="24"/>
                <w:szCs w:val="24"/>
              </w:rPr>
              <w:t xml:space="preserve"> </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2F1" w:rsidRPr="001912F1" w:rsidRDefault="0079094E" w:rsidP="00740287">
            <w:pPr>
              <w:spacing w:after="120" w:line="240" w:lineRule="auto"/>
              <w:jc w:val="both"/>
              <w:rPr>
                <w:rFonts w:ascii="Times New Roman" w:hAnsi="Times New Roman"/>
                <w:sz w:val="24"/>
                <w:szCs w:val="24"/>
              </w:rPr>
            </w:pPr>
            <w:r>
              <w:rPr>
                <w:rFonts w:ascii="Times New Roman" w:hAnsi="Times New Roman"/>
                <w:sz w:val="24"/>
                <w:szCs w:val="24"/>
              </w:rPr>
              <w:t>1.</w:t>
            </w:r>
            <w:r w:rsidR="001912F1" w:rsidRPr="001912F1">
              <w:rPr>
                <w:rFonts w:ascii="Times New Roman" w:hAnsi="Times New Roman"/>
                <w:sz w:val="24"/>
                <w:szCs w:val="24"/>
              </w:rPr>
              <w:t>Izveidot AFI kā holdinga sabiedrību, apvienojot valsts akciju sabiedrību „Latvijas Hipotēku un zemes banka”, sabiedrību ar ierobežotu atbildību „Latvijas Garantiju aģentūra”, valsts akciju sabiedrību „Lauku attīstības fonds” un dibinot jaunu holdinga vadošo sabiedrību.</w:t>
            </w:r>
          </w:p>
          <w:p w:rsidR="001912F1" w:rsidRPr="001912F1" w:rsidRDefault="0079094E" w:rsidP="00740287">
            <w:pPr>
              <w:spacing w:after="120" w:line="240" w:lineRule="auto"/>
              <w:jc w:val="both"/>
              <w:rPr>
                <w:rFonts w:ascii="Times New Roman" w:hAnsi="Times New Roman"/>
                <w:sz w:val="24"/>
                <w:szCs w:val="24"/>
              </w:rPr>
            </w:pPr>
            <w:r>
              <w:rPr>
                <w:rFonts w:ascii="Times New Roman" w:hAnsi="Times New Roman"/>
                <w:sz w:val="24"/>
                <w:szCs w:val="24"/>
              </w:rPr>
              <w:t>2.</w:t>
            </w:r>
            <w:r w:rsidR="001912F1" w:rsidRPr="001912F1">
              <w:rPr>
                <w:rFonts w:ascii="Times New Roman" w:hAnsi="Times New Roman"/>
                <w:sz w:val="24"/>
                <w:szCs w:val="24"/>
              </w:rPr>
              <w:t>Izstrādāt AFI holdingā ietilpstošo sabiedrību optimizācijas pasākumu un funkciju integrācijas plānu.</w:t>
            </w:r>
          </w:p>
          <w:p w:rsidR="003E5231" w:rsidRPr="000E3EB3" w:rsidRDefault="001912F1" w:rsidP="00740287">
            <w:pPr>
              <w:spacing w:after="120" w:line="240" w:lineRule="auto"/>
              <w:jc w:val="both"/>
              <w:rPr>
                <w:rFonts w:ascii="Times New Roman" w:hAnsi="Times New Roman"/>
                <w:color w:val="000000"/>
                <w:sz w:val="24"/>
                <w:szCs w:val="24"/>
              </w:rPr>
            </w:pPr>
            <w:r w:rsidRPr="001912F1">
              <w:rPr>
                <w:rFonts w:ascii="Times New Roman" w:hAnsi="Times New Roman"/>
                <w:sz w:val="24"/>
                <w:szCs w:val="24"/>
              </w:rPr>
              <w:lastRenderedPageBreak/>
              <w:t>3.Izstrādāt AFI uzņemto saistību pārgarantēšanas modeli</w:t>
            </w:r>
            <w:r w:rsidR="004D00F8">
              <w:rPr>
                <w:rFonts w:ascii="Times New Roman" w:hAnsi="Times New Roman"/>
                <w:sz w:val="24"/>
                <w:szCs w:val="24"/>
              </w:rPr>
              <w:t xml:space="preserve"> 2015.gada valsts budžeta likumprojekta ietvaros.</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5231" w:rsidRPr="000E3EB3" w:rsidRDefault="0003065A"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FM budžeta ietvaros</w:t>
            </w:r>
            <w:r w:rsidR="00D20302">
              <w:rPr>
                <w:rFonts w:ascii="Times New Roman" w:hAnsi="Times New Roman"/>
                <w:color w:val="000000"/>
                <w:sz w:val="24"/>
                <w:szCs w:val="24"/>
              </w:rPr>
              <w:t>.</w:t>
            </w:r>
            <w:r>
              <w:rPr>
                <w:rFonts w:ascii="Times New Roman" w:hAnsi="Times New Roman"/>
                <w:color w:val="000000"/>
                <w:sz w:val="24"/>
                <w:szCs w:val="24"/>
              </w:rPr>
              <w:t xml:space="preserve"> </w:t>
            </w:r>
          </w:p>
        </w:tc>
      </w:tr>
      <w:tr w:rsidR="00D22B8E" w:rsidTr="00D22B8E">
        <w:tc>
          <w:tcPr>
            <w:tcW w:w="5000" w:type="pct"/>
            <w:gridSpan w:val="9"/>
            <w:tcBorders>
              <w:top w:val="single" w:sz="4" w:space="0" w:color="auto"/>
              <w:left w:val="single" w:sz="4" w:space="0" w:color="auto"/>
              <w:bottom w:val="single" w:sz="4" w:space="0" w:color="auto"/>
              <w:right w:val="single" w:sz="4" w:space="0" w:color="auto"/>
            </w:tcBorders>
            <w:shd w:val="clear" w:color="auto" w:fill="EEECE1" w:themeFill="background2"/>
          </w:tcPr>
          <w:p w:rsidR="00D22B8E" w:rsidRPr="001F6ECD" w:rsidRDefault="00D22B8E" w:rsidP="00D22B8E">
            <w:pPr>
              <w:pStyle w:val="CommentText"/>
              <w:spacing w:before="120" w:after="0" w:line="240" w:lineRule="auto"/>
              <w:ind w:left="360"/>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lastRenderedPageBreak/>
              <w:t>5.Alternatīvi finansējuma veidi</w:t>
            </w:r>
          </w:p>
        </w:tc>
      </w:tr>
      <w:tr w:rsidR="00C6396F" w:rsidTr="002735A4">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C6396F" w:rsidRPr="00D22B8E" w:rsidRDefault="00D22B8E" w:rsidP="00740287">
            <w:pPr>
              <w:spacing w:after="120" w:line="240" w:lineRule="auto"/>
              <w:jc w:val="both"/>
              <w:rPr>
                <w:rFonts w:ascii="Times New Roman" w:hAnsi="Times New Roman"/>
                <w:b/>
                <w:sz w:val="24"/>
                <w:szCs w:val="24"/>
              </w:rPr>
            </w:pPr>
            <w:r>
              <w:rPr>
                <w:rFonts w:ascii="Times New Roman" w:hAnsi="Times New Roman"/>
                <w:b/>
                <w:sz w:val="24"/>
                <w:szCs w:val="24"/>
              </w:rPr>
              <w:t xml:space="preserve">5.1. </w:t>
            </w:r>
            <w:r w:rsidR="00C6396F" w:rsidRPr="00D22B8E">
              <w:rPr>
                <w:rFonts w:ascii="Times New Roman" w:hAnsi="Times New Roman"/>
                <w:b/>
                <w:sz w:val="24"/>
                <w:szCs w:val="24"/>
              </w:rPr>
              <w:t xml:space="preserve">Riska kapitāla nozares attīstība. </w:t>
            </w:r>
          </w:p>
          <w:p w:rsidR="0066730A" w:rsidRPr="001540FD" w:rsidRDefault="0066730A" w:rsidP="00D20302">
            <w:pPr>
              <w:pStyle w:val="ListParagraph"/>
              <w:numPr>
                <w:ilvl w:val="0"/>
                <w:numId w:val="0"/>
              </w:numPr>
              <w:spacing w:after="120" w:line="240" w:lineRule="auto"/>
              <w:jc w:val="both"/>
              <w:rPr>
                <w:rFonts w:ascii="Times New Roman" w:hAnsi="Times New Roman"/>
                <w:i/>
                <w:sz w:val="24"/>
                <w:szCs w:val="24"/>
              </w:rPr>
            </w:pPr>
            <w:r w:rsidRPr="001540FD">
              <w:rPr>
                <w:rFonts w:ascii="Times New Roman" w:hAnsi="Times New Roman"/>
                <w:i/>
                <w:sz w:val="24"/>
                <w:szCs w:val="24"/>
              </w:rPr>
              <w:t>Riska kapitāla ieguldījuma mērķis ir jaunā uzņēmuma straujākas izaugsmes un attīstības veicināšana. Riska investīciju objekti ir uzņēmumi ar augstu straujas izaugsmes potenciālu un nest ievērojamu peļņu attiecībā uz projektā investēto kapitālu.</w:t>
            </w:r>
          </w:p>
          <w:p w:rsidR="001540FD" w:rsidRDefault="001540FD" w:rsidP="00740287">
            <w:pPr>
              <w:pStyle w:val="ListParagraph"/>
              <w:numPr>
                <w:ilvl w:val="0"/>
                <w:numId w:val="0"/>
              </w:numPr>
              <w:spacing w:after="120" w:line="240" w:lineRule="auto"/>
              <w:jc w:val="both"/>
              <w:rPr>
                <w:rFonts w:ascii="Times New Roman" w:hAnsi="Times New Roman"/>
                <w:sz w:val="24"/>
                <w:szCs w:val="24"/>
              </w:rPr>
            </w:pPr>
          </w:p>
          <w:p w:rsidR="001540FD" w:rsidRDefault="001540FD" w:rsidP="00740287">
            <w:pPr>
              <w:pStyle w:val="ListParagraph"/>
              <w:numPr>
                <w:ilvl w:val="0"/>
                <w:numId w:val="0"/>
              </w:numPr>
              <w:spacing w:after="120" w:line="240" w:lineRule="auto"/>
              <w:jc w:val="both"/>
              <w:rPr>
                <w:rFonts w:ascii="Times New Roman" w:hAnsi="Times New Roman"/>
                <w:sz w:val="24"/>
                <w:szCs w:val="24"/>
              </w:rPr>
            </w:pPr>
            <w:r>
              <w:rPr>
                <w:rFonts w:ascii="Times New Roman" w:hAnsi="Times New Roman"/>
                <w:sz w:val="24"/>
                <w:szCs w:val="24"/>
              </w:rPr>
              <w:t>Rīcībai:</w:t>
            </w:r>
          </w:p>
          <w:p w:rsidR="00C6396F" w:rsidRPr="009427AE" w:rsidRDefault="0066730A" w:rsidP="00740287">
            <w:pPr>
              <w:pStyle w:val="ListParagraph"/>
              <w:numPr>
                <w:ilvl w:val="0"/>
                <w:numId w:val="0"/>
              </w:numPr>
              <w:spacing w:after="120" w:line="240" w:lineRule="auto"/>
              <w:jc w:val="both"/>
              <w:rPr>
                <w:rFonts w:ascii="Times New Roman" w:hAnsi="Times New Roman"/>
                <w:b/>
                <w:sz w:val="24"/>
                <w:szCs w:val="24"/>
              </w:rPr>
            </w:pPr>
            <w:r w:rsidRPr="0066730A">
              <w:rPr>
                <w:rFonts w:ascii="Times New Roman" w:hAnsi="Times New Roman"/>
                <w:sz w:val="24"/>
                <w:szCs w:val="24"/>
              </w:rPr>
              <w:t>Ir jānodrošina publiskais finansējums jaunu riska kapitāla fondu izveidei (īpaši ar fokusu uz agrīnas stadijas uzņēmumiem), kas veicinās jaunu riska kapitāla fondu vadības komandu izveidi, gan privāto līdzekļu investīcijas straujas izaugsmes un augsti tehnoloģiskos uzņēmumos.</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2F1" w:rsidRPr="001912F1" w:rsidRDefault="001912F1" w:rsidP="00740287">
            <w:pPr>
              <w:spacing w:after="120" w:line="240" w:lineRule="auto"/>
              <w:jc w:val="both"/>
              <w:rPr>
                <w:rFonts w:ascii="Times New Roman" w:hAnsi="Times New Roman"/>
                <w:color w:val="000000"/>
                <w:sz w:val="24"/>
                <w:szCs w:val="24"/>
              </w:rPr>
            </w:pPr>
            <w:r w:rsidRPr="001912F1">
              <w:rPr>
                <w:rFonts w:ascii="Times New Roman" w:hAnsi="Times New Roman"/>
                <w:color w:val="000000"/>
                <w:sz w:val="24"/>
                <w:szCs w:val="24"/>
              </w:rPr>
              <w:t>1. 31.12.2014.</w:t>
            </w:r>
          </w:p>
          <w:p w:rsidR="001912F1" w:rsidRDefault="001912F1" w:rsidP="00740287">
            <w:pPr>
              <w:spacing w:after="120" w:line="240" w:lineRule="auto"/>
              <w:jc w:val="both"/>
              <w:rPr>
                <w:rFonts w:ascii="Times New Roman" w:hAnsi="Times New Roman"/>
                <w:color w:val="000000"/>
                <w:sz w:val="24"/>
                <w:szCs w:val="24"/>
              </w:rPr>
            </w:pPr>
            <w:r w:rsidRPr="001912F1">
              <w:rPr>
                <w:rFonts w:ascii="Times New Roman" w:hAnsi="Times New Roman"/>
                <w:color w:val="000000"/>
                <w:sz w:val="24"/>
                <w:szCs w:val="24"/>
              </w:rPr>
              <w:t>2. 30.06.2015.</w:t>
            </w:r>
          </w:p>
          <w:p w:rsidR="001912F1" w:rsidRDefault="001912F1" w:rsidP="00740287">
            <w:pPr>
              <w:spacing w:after="120" w:line="240" w:lineRule="auto"/>
              <w:jc w:val="both"/>
              <w:rPr>
                <w:rFonts w:ascii="Times New Roman" w:hAnsi="Times New Roman"/>
                <w:color w:val="000000"/>
                <w:sz w:val="24"/>
                <w:szCs w:val="24"/>
              </w:rPr>
            </w:pPr>
          </w:p>
          <w:p w:rsidR="00C6396F" w:rsidRDefault="00C6396F" w:rsidP="00740287">
            <w:pPr>
              <w:spacing w:after="120" w:line="240" w:lineRule="auto"/>
              <w:jc w:val="both"/>
              <w:rPr>
                <w:rFonts w:ascii="Times New Roman" w:hAnsi="Times New Roman"/>
                <w:color w:val="000000"/>
                <w:sz w:val="24"/>
                <w:szCs w:val="24"/>
              </w:rPr>
            </w:pPr>
          </w:p>
        </w:tc>
        <w:tc>
          <w:tcPr>
            <w:tcW w:w="56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396F" w:rsidRDefault="00C6396F" w:rsidP="001540FD">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EM, </w:t>
            </w:r>
            <w:r w:rsidR="00AA01E5">
              <w:rPr>
                <w:rFonts w:ascii="Times New Roman" w:hAnsi="Times New Roman"/>
                <w:color w:val="000000"/>
                <w:sz w:val="24"/>
                <w:szCs w:val="24"/>
              </w:rPr>
              <w:t>AFI</w:t>
            </w:r>
            <w:r w:rsidR="008B63B7">
              <w:rPr>
                <w:rFonts w:ascii="Times New Roman" w:hAnsi="Times New Roman"/>
                <w:color w:val="000000"/>
                <w:sz w:val="24"/>
                <w:szCs w:val="24"/>
              </w:rPr>
              <w:t>, FM</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Pr>
          <w:p w:rsidR="00C6396F" w:rsidRDefault="00C6396F" w:rsidP="00740287">
            <w:pPr>
              <w:pStyle w:val="ListParagraph"/>
              <w:numPr>
                <w:ilvl w:val="0"/>
                <w:numId w:val="0"/>
              </w:numPr>
              <w:spacing w:after="120" w:line="240" w:lineRule="auto"/>
              <w:jc w:val="both"/>
              <w:rPr>
                <w:rFonts w:ascii="Times New Roman" w:hAnsi="Times New Roman"/>
                <w:sz w:val="24"/>
                <w:szCs w:val="24"/>
              </w:rPr>
            </w:pPr>
            <w:r>
              <w:rPr>
                <w:rFonts w:ascii="Times New Roman" w:hAnsi="Times New Roman"/>
                <w:sz w:val="24"/>
                <w:szCs w:val="24"/>
              </w:rPr>
              <w:t>1. Apstiprināta valsts atbalsta programma</w:t>
            </w:r>
          </w:p>
          <w:p w:rsidR="00C6396F" w:rsidRDefault="00C6396F" w:rsidP="00740287">
            <w:pPr>
              <w:spacing w:after="120" w:line="240" w:lineRule="auto"/>
              <w:jc w:val="both"/>
              <w:rPr>
                <w:rFonts w:ascii="Times New Roman" w:hAnsi="Times New Roman"/>
                <w:color w:val="000000"/>
                <w:sz w:val="24"/>
                <w:szCs w:val="24"/>
              </w:rPr>
            </w:pPr>
            <w:r>
              <w:rPr>
                <w:rFonts w:ascii="Times New Roman" w:hAnsi="Times New Roman"/>
                <w:sz w:val="24"/>
                <w:szCs w:val="24"/>
              </w:rPr>
              <w:t xml:space="preserve">2. Veikt riska kapitāla fondu vadības komandu atlasi. </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96F" w:rsidRDefault="0003065A" w:rsidP="00740287">
            <w:pPr>
              <w:spacing w:after="120" w:line="240" w:lineRule="auto"/>
              <w:jc w:val="both"/>
              <w:rPr>
                <w:rFonts w:ascii="Times New Roman" w:hAnsi="Times New Roman"/>
                <w:color w:val="000000"/>
                <w:sz w:val="24"/>
                <w:szCs w:val="24"/>
              </w:rPr>
            </w:pPr>
            <w:r w:rsidRPr="0003065A">
              <w:rPr>
                <w:rFonts w:ascii="Times New Roman" w:hAnsi="Times New Roman"/>
                <w:color w:val="000000"/>
                <w:sz w:val="24"/>
                <w:szCs w:val="24"/>
              </w:rPr>
              <w:t>2014.-2020.gada ES struktūrfondu plānošanas periodā finanšu instrumentiem plānotais finansējums</w:t>
            </w:r>
            <w:r w:rsidR="00D20302">
              <w:rPr>
                <w:rFonts w:ascii="Times New Roman" w:hAnsi="Times New Roman"/>
                <w:color w:val="000000"/>
                <w:sz w:val="24"/>
                <w:szCs w:val="24"/>
              </w:rPr>
              <w:t>.</w:t>
            </w:r>
          </w:p>
        </w:tc>
      </w:tr>
      <w:tr w:rsidR="00C6396F" w:rsidTr="002735A4">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D20302" w:rsidRPr="00D20302" w:rsidRDefault="00C6396F" w:rsidP="00D20302">
            <w:pPr>
              <w:pStyle w:val="ListParagraph"/>
              <w:numPr>
                <w:ilvl w:val="1"/>
                <w:numId w:val="29"/>
              </w:numPr>
              <w:spacing w:after="120" w:line="240" w:lineRule="auto"/>
              <w:ind w:left="0" w:firstLine="0"/>
              <w:jc w:val="both"/>
              <w:rPr>
                <w:rFonts w:ascii="Times New Roman" w:hAnsi="Times New Roman"/>
                <w:b/>
                <w:sz w:val="24"/>
                <w:szCs w:val="24"/>
              </w:rPr>
            </w:pPr>
            <w:r w:rsidRPr="00D22B8E">
              <w:rPr>
                <w:rFonts w:ascii="Times New Roman" w:hAnsi="Times New Roman"/>
                <w:b/>
                <w:sz w:val="24"/>
                <w:szCs w:val="24"/>
              </w:rPr>
              <w:t>Vidēja un ilgtermiņa eksporta kredīta garantiju instrumenta ieviešana</w:t>
            </w:r>
          </w:p>
          <w:p w:rsidR="0066730A" w:rsidRPr="00B75FF8" w:rsidRDefault="0066730A" w:rsidP="0079094E">
            <w:pPr>
              <w:pStyle w:val="ListParagraph"/>
              <w:numPr>
                <w:ilvl w:val="0"/>
                <w:numId w:val="0"/>
              </w:numPr>
              <w:spacing w:after="120" w:line="240" w:lineRule="auto"/>
              <w:jc w:val="both"/>
              <w:rPr>
                <w:rFonts w:ascii="Times New Roman" w:hAnsi="Times New Roman"/>
                <w:i/>
                <w:sz w:val="24"/>
                <w:szCs w:val="24"/>
              </w:rPr>
            </w:pPr>
            <w:r w:rsidRPr="00B75FF8">
              <w:rPr>
                <w:rFonts w:ascii="Times New Roman" w:hAnsi="Times New Roman"/>
                <w:i/>
                <w:sz w:val="24"/>
                <w:szCs w:val="24"/>
              </w:rPr>
              <w:t xml:space="preserve">Latvijas finanšu tirgus dalībnieki uzņēmumiem nepiedāvā vidēja un ilgtermiņa eksporta kredīta garantijas. </w:t>
            </w:r>
          </w:p>
          <w:p w:rsidR="0066730A" w:rsidRPr="00B75FF8" w:rsidRDefault="0066730A" w:rsidP="0079094E">
            <w:pPr>
              <w:pStyle w:val="ListParagraph"/>
              <w:numPr>
                <w:ilvl w:val="0"/>
                <w:numId w:val="0"/>
              </w:numPr>
              <w:spacing w:after="120" w:line="240" w:lineRule="auto"/>
              <w:jc w:val="both"/>
              <w:rPr>
                <w:rFonts w:ascii="Times New Roman" w:hAnsi="Times New Roman"/>
                <w:i/>
                <w:sz w:val="24"/>
                <w:szCs w:val="24"/>
              </w:rPr>
            </w:pPr>
            <w:r w:rsidRPr="00B75FF8">
              <w:rPr>
                <w:rFonts w:ascii="Times New Roman" w:hAnsi="Times New Roman"/>
                <w:i/>
                <w:sz w:val="24"/>
                <w:szCs w:val="24"/>
              </w:rPr>
              <w:t>Iespējas iesaistīties lielos ilgtermiņa eksporta projektos ar lielu darījumu apmēru ir ierobežotas dēļ esošās eksporta kredītu garantijas programmas ietvaros nepietiekamā eksporta kredīta garantiju seguma un atliktā maksājuma termiņa. No darījuma partnera puses bieži vien prasīta tiek valsts sniegta garantija, ko finanšu tirgus dalībnieki</w:t>
            </w:r>
            <w:r w:rsidR="00B75FF8" w:rsidRPr="00B75FF8">
              <w:rPr>
                <w:rFonts w:ascii="Times New Roman" w:hAnsi="Times New Roman"/>
                <w:i/>
                <w:sz w:val="24"/>
                <w:szCs w:val="24"/>
              </w:rPr>
              <w:t xml:space="preserve"> nespēj dot</w:t>
            </w:r>
            <w:r w:rsidRPr="00B75FF8">
              <w:rPr>
                <w:rFonts w:ascii="Times New Roman" w:hAnsi="Times New Roman"/>
                <w:i/>
                <w:sz w:val="24"/>
                <w:szCs w:val="24"/>
              </w:rPr>
              <w:t>.</w:t>
            </w:r>
          </w:p>
          <w:p w:rsidR="0066730A" w:rsidRPr="0089182C" w:rsidRDefault="0089182C" w:rsidP="00740287">
            <w:pPr>
              <w:pStyle w:val="ListParagraph"/>
              <w:numPr>
                <w:ilvl w:val="0"/>
                <w:numId w:val="0"/>
              </w:numPr>
              <w:spacing w:after="120" w:line="240" w:lineRule="auto"/>
              <w:jc w:val="both"/>
              <w:rPr>
                <w:rFonts w:ascii="Times New Roman" w:hAnsi="Times New Roman"/>
                <w:i/>
                <w:strike/>
                <w:sz w:val="24"/>
                <w:szCs w:val="24"/>
              </w:rPr>
            </w:pPr>
            <w:r>
              <w:rPr>
                <w:rFonts w:ascii="Times New Roman" w:hAnsi="Times New Roman"/>
                <w:i/>
                <w:sz w:val="24"/>
                <w:szCs w:val="24"/>
              </w:rPr>
              <w:lastRenderedPageBreak/>
              <w:t xml:space="preserve">Priekšlikuma </w:t>
            </w:r>
            <w:r w:rsidR="0066730A" w:rsidRPr="00B75FF8">
              <w:rPr>
                <w:rFonts w:ascii="Times New Roman" w:hAnsi="Times New Roman"/>
                <w:i/>
                <w:sz w:val="24"/>
                <w:szCs w:val="24"/>
              </w:rPr>
              <w:t>mērķis ir pasargāt uz eksportu orientētus uzņēmumus no starptautiskās tirdzniecības riskiem (politiskiem un komerciāliem</w:t>
            </w:r>
            <w:r>
              <w:rPr>
                <w:rFonts w:ascii="Times New Roman" w:hAnsi="Times New Roman"/>
                <w:i/>
                <w:sz w:val="24"/>
                <w:szCs w:val="24"/>
              </w:rPr>
              <w:t xml:space="preserve">). </w:t>
            </w:r>
          </w:p>
          <w:p w:rsidR="00BC5A7C" w:rsidRDefault="00BC5A7C" w:rsidP="00740287">
            <w:pPr>
              <w:pStyle w:val="ListParagraph"/>
              <w:numPr>
                <w:ilvl w:val="0"/>
                <w:numId w:val="0"/>
              </w:numPr>
              <w:spacing w:after="120" w:line="240" w:lineRule="auto"/>
              <w:ind w:firstLine="349"/>
              <w:jc w:val="both"/>
              <w:rPr>
                <w:rFonts w:ascii="Times New Roman" w:hAnsi="Times New Roman"/>
                <w:sz w:val="24"/>
                <w:szCs w:val="24"/>
              </w:rPr>
            </w:pPr>
          </w:p>
          <w:p w:rsidR="00806040" w:rsidRDefault="00806040" w:rsidP="00740287">
            <w:pPr>
              <w:pStyle w:val="ListParagraph"/>
              <w:numPr>
                <w:ilvl w:val="0"/>
                <w:numId w:val="0"/>
              </w:numPr>
              <w:spacing w:after="120" w:line="240" w:lineRule="auto"/>
              <w:jc w:val="both"/>
              <w:rPr>
                <w:rFonts w:ascii="Times New Roman" w:hAnsi="Times New Roman"/>
                <w:sz w:val="24"/>
                <w:szCs w:val="24"/>
              </w:rPr>
            </w:pPr>
            <w:r>
              <w:rPr>
                <w:rFonts w:ascii="Times New Roman" w:hAnsi="Times New Roman"/>
                <w:sz w:val="24"/>
                <w:szCs w:val="24"/>
              </w:rPr>
              <w:t>Rīcībai:</w:t>
            </w:r>
          </w:p>
          <w:p w:rsidR="00DA64D3" w:rsidRPr="00B75FF8" w:rsidRDefault="00806040" w:rsidP="00740287">
            <w:pPr>
              <w:pStyle w:val="ListParagraph"/>
              <w:numPr>
                <w:ilvl w:val="0"/>
                <w:numId w:val="0"/>
              </w:numPr>
              <w:spacing w:after="120" w:line="240" w:lineRule="auto"/>
              <w:jc w:val="both"/>
              <w:rPr>
                <w:rFonts w:ascii="Times New Roman" w:hAnsi="Times New Roman"/>
                <w:sz w:val="24"/>
                <w:szCs w:val="24"/>
              </w:rPr>
            </w:pPr>
            <w:r w:rsidRPr="00806040">
              <w:rPr>
                <w:rFonts w:ascii="Times New Roman" w:hAnsi="Times New Roman"/>
                <w:sz w:val="24"/>
                <w:szCs w:val="24"/>
              </w:rPr>
              <w:t xml:space="preserve">Vidēja un ilgtermiņa eksporta kredīta garantiju instrumenta </w:t>
            </w:r>
            <w:r w:rsidR="0089182C">
              <w:rPr>
                <w:rFonts w:ascii="Times New Roman" w:hAnsi="Times New Roman"/>
                <w:sz w:val="24"/>
                <w:szCs w:val="24"/>
              </w:rPr>
              <w:t>formulēšana un izvērtēšana.</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2F1" w:rsidRPr="001912F1" w:rsidRDefault="001912F1" w:rsidP="00740287">
            <w:pPr>
              <w:spacing w:after="120" w:line="240" w:lineRule="auto"/>
              <w:jc w:val="both"/>
              <w:rPr>
                <w:rFonts w:ascii="Times New Roman" w:hAnsi="Times New Roman"/>
                <w:color w:val="000000"/>
                <w:sz w:val="24"/>
                <w:szCs w:val="24"/>
              </w:rPr>
            </w:pPr>
            <w:r w:rsidRPr="001912F1">
              <w:rPr>
                <w:rFonts w:ascii="Times New Roman" w:hAnsi="Times New Roman"/>
                <w:color w:val="000000"/>
                <w:sz w:val="24"/>
                <w:szCs w:val="24"/>
              </w:rPr>
              <w:lastRenderedPageBreak/>
              <w:t xml:space="preserve">1. </w:t>
            </w:r>
            <w:r w:rsidR="00BC5A7C">
              <w:rPr>
                <w:rFonts w:ascii="Times New Roman" w:hAnsi="Times New Roman"/>
                <w:color w:val="000000"/>
                <w:sz w:val="24"/>
                <w:szCs w:val="24"/>
              </w:rPr>
              <w:t>01.07.2014</w:t>
            </w:r>
            <w:r w:rsidR="007725BE">
              <w:rPr>
                <w:rFonts w:ascii="Times New Roman" w:hAnsi="Times New Roman"/>
                <w:color w:val="000000"/>
                <w:sz w:val="24"/>
                <w:szCs w:val="24"/>
              </w:rPr>
              <w:t>.</w:t>
            </w:r>
          </w:p>
          <w:p w:rsidR="001912F1" w:rsidRPr="001912F1" w:rsidRDefault="001912F1" w:rsidP="00740287">
            <w:pPr>
              <w:spacing w:after="120" w:line="240" w:lineRule="auto"/>
              <w:jc w:val="both"/>
              <w:rPr>
                <w:rFonts w:ascii="Times New Roman" w:hAnsi="Times New Roman"/>
                <w:color w:val="000000"/>
                <w:sz w:val="24"/>
                <w:szCs w:val="24"/>
              </w:rPr>
            </w:pPr>
          </w:p>
          <w:p w:rsidR="00C6396F" w:rsidRDefault="001912F1" w:rsidP="00740287">
            <w:pPr>
              <w:spacing w:after="120" w:line="240" w:lineRule="auto"/>
              <w:jc w:val="both"/>
              <w:rPr>
                <w:rFonts w:ascii="Times New Roman" w:hAnsi="Times New Roman"/>
                <w:color w:val="000000"/>
                <w:sz w:val="24"/>
                <w:szCs w:val="24"/>
              </w:rPr>
            </w:pPr>
            <w:r w:rsidRPr="001912F1">
              <w:rPr>
                <w:rFonts w:ascii="Times New Roman" w:hAnsi="Times New Roman"/>
                <w:color w:val="000000"/>
                <w:sz w:val="24"/>
                <w:szCs w:val="24"/>
              </w:rPr>
              <w:t>2. 01.01.2015.</w:t>
            </w:r>
          </w:p>
        </w:tc>
        <w:tc>
          <w:tcPr>
            <w:tcW w:w="56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396F" w:rsidRDefault="00C6396F" w:rsidP="001540FD">
            <w:pPr>
              <w:spacing w:after="120" w:line="240" w:lineRule="auto"/>
              <w:jc w:val="both"/>
              <w:rPr>
                <w:rFonts w:ascii="Times New Roman" w:hAnsi="Times New Roman"/>
                <w:color w:val="000000"/>
                <w:sz w:val="24"/>
                <w:szCs w:val="24"/>
              </w:rPr>
            </w:pPr>
            <w:r>
              <w:rPr>
                <w:rFonts w:ascii="Times New Roman" w:hAnsi="Times New Roman"/>
                <w:color w:val="000000"/>
                <w:sz w:val="24"/>
                <w:szCs w:val="24"/>
              </w:rPr>
              <w:t>EM, AFI</w:t>
            </w:r>
            <w:r w:rsidR="002735A4">
              <w:rPr>
                <w:rFonts w:ascii="Times New Roman" w:hAnsi="Times New Roman"/>
                <w:color w:val="000000"/>
                <w:sz w:val="24"/>
                <w:szCs w:val="24"/>
              </w:rPr>
              <w:t xml:space="preserve">, </w:t>
            </w:r>
            <w:r w:rsidR="008B63B7">
              <w:rPr>
                <w:rFonts w:ascii="Times New Roman" w:hAnsi="Times New Roman"/>
                <w:color w:val="000000"/>
                <w:sz w:val="24"/>
                <w:szCs w:val="24"/>
              </w:rPr>
              <w:t>FM</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Pr>
          <w:p w:rsidR="001912F1" w:rsidRPr="001912F1" w:rsidRDefault="00BC5A7C" w:rsidP="0079094E">
            <w:pPr>
              <w:pStyle w:val="ListParagraph"/>
              <w:numPr>
                <w:ilvl w:val="0"/>
                <w:numId w:val="0"/>
              </w:numPr>
              <w:spacing w:after="120" w:line="240" w:lineRule="auto"/>
              <w:jc w:val="both"/>
              <w:rPr>
                <w:rFonts w:ascii="Times New Roman" w:hAnsi="Times New Roman"/>
                <w:sz w:val="24"/>
                <w:szCs w:val="24"/>
              </w:rPr>
            </w:pPr>
            <w:r>
              <w:rPr>
                <w:rFonts w:ascii="Times New Roman" w:hAnsi="Times New Roman"/>
                <w:sz w:val="24"/>
                <w:szCs w:val="24"/>
              </w:rPr>
              <w:t>1</w:t>
            </w:r>
            <w:r w:rsidR="001912F1" w:rsidRPr="001912F1">
              <w:rPr>
                <w:rFonts w:ascii="Times New Roman" w:hAnsi="Times New Roman"/>
                <w:sz w:val="24"/>
                <w:szCs w:val="24"/>
              </w:rPr>
              <w:t xml:space="preserve">. Programmu atkārtoti skatīt ar 2013.gada 28.maija Ministru kabineta instrukciju Nr.5 „Kārtība, kādā Valsts atbalsta programmu koordinācijas un pilnveidošanas konsultatīvajā padomē (turpmāk- </w:t>
            </w:r>
            <w:r w:rsidR="001540FD">
              <w:rPr>
                <w:rFonts w:ascii="Times New Roman" w:hAnsi="Times New Roman"/>
                <w:sz w:val="24"/>
                <w:szCs w:val="24"/>
              </w:rPr>
              <w:t>K</w:t>
            </w:r>
            <w:r w:rsidR="001912F1" w:rsidRPr="001912F1">
              <w:rPr>
                <w:rFonts w:ascii="Times New Roman" w:hAnsi="Times New Roman"/>
                <w:sz w:val="24"/>
                <w:szCs w:val="24"/>
              </w:rPr>
              <w:t xml:space="preserve">onsultatīvā padome) piesaka un izvērtē valsts atbalsta programmas, kuras īsteno finanšu instrumentu veidā” izveidotajā konsultatīvajā </w:t>
            </w:r>
            <w:r w:rsidR="001912F1" w:rsidRPr="001912F1">
              <w:rPr>
                <w:rFonts w:ascii="Times New Roman" w:hAnsi="Times New Roman"/>
                <w:sz w:val="24"/>
                <w:szCs w:val="24"/>
              </w:rPr>
              <w:lastRenderedPageBreak/>
              <w:t xml:space="preserve">padomē. </w:t>
            </w:r>
          </w:p>
          <w:p w:rsidR="001912F1" w:rsidRPr="001912F1" w:rsidRDefault="001912F1" w:rsidP="0079094E">
            <w:pPr>
              <w:pStyle w:val="ListParagraph"/>
              <w:numPr>
                <w:ilvl w:val="0"/>
                <w:numId w:val="0"/>
              </w:numPr>
              <w:spacing w:after="120" w:line="240" w:lineRule="auto"/>
              <w:jc w:val="both"/>
              <w:rPr>
                <w:rFonts w:ascii="Times New Roman" w:hAnsi="Times New Roman"/>
                <w:sz w:val="24"/>
                <w:szCs w:val="24"/>
              </w:rPr>
            </w:pPr>
            <w:r w:rsidRPr="001912F1">
              <w:rPr>
                <w:rFonts w:ascii="Times New Roman" w:hAnsi="Times New Roman"/>
                <w:sz w:val="24"/>
                <w:szCs w:val="24"/>
              </w:rPr>
              <w:t>2.</w:t>
            </w:r>
            <w:r w:rsidR="00BC5A7C">
              <w:rPr>
                <w:rFonts w:ascii="Times New Roman" w:hAnsi="Times New Roman"/>
                <w:sz w:val="24"/>
                <w:szCs w:val="24"/>
              </w:rPr>
              <w:t xml:space="preserve">Tālākās darbības veikt atbilstoši Konsultatīvajā padomē pieņemtajam lēmumam.  </w:t>
            </w:r>
          </w:p>
          <w:p w:rsidR="00C6396F" w:rsidRDefault="00C6396F" w:rsidP="00740287">
            <w:pPr>
              <w:pStyle w:val="ListParagraph"/>
              <w:numPr>
                <w:ilvl w:val="0"/>
                <w:numId w:val="0"/>
              </w:num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00F8" w:rsidRDefault="004D00F8"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Papildus līdzekļu nepieciešamību izvērtēt 2015.gada valsts budžeta sagatavošanā</w:t>
            </w:r>
            <w:r w:rsidR="00D20302">
              <w:rPr>
                <w:rFonts w:ascii="Times New Roman" w:hAnsi="Times New Roman"/>
                <w:color w:val="000000"/>
                <w:sz w:val="24"/>
                <w:szCs w:val="24"/>
              </w:rPr>
              <w:t>.</w:t>
            </w:r>
          </w:p>
          <w:p w:rsidR="00C6396F" w:rsidRDefault="00C6396F" w:rsidP="00740287">
            <w:pPr>
              <w:spacing w:after="120" w:line="240" w:lineRule="auto"/>
              <w:jc w:val="both"/>
              <w:rPr>
                <w:rFonts w:ascii="Times New Roman" w:hAnsi="Times New Roman"/>
                <w:color w:val="000000"/>
                <w:sz w:val="24"/>
                <w:szCs w:val="24"/>
              </w:rPr>
            </w:pPr>
          </w:p>
        </w:tc>
      </w:tr>
      <w:tr w:rsidR="00325DB2" w:rsidTr="0035791F">
        <w:tc>
          <w:tcPr>
            <w:tcW w:w="2014" w:type="pct"/>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D22B8E" w:rsidRDefault="00325DB2" w:rsidP="00740287">
            <w:pPr>
              <w:pStyle w:val="ListParagraph"/>
              <w:numPr>
                <w:ilvl w:val="1"/>
                <w:numId w:val="29"/>
              </w:numPr>
              <w:spacing w:after="120" w:line="240" w:lineRule="auto"/>
              <w:ind w:left="0" w:firstLine="0"/>
              <w:jc w:val="both"/>
              <w:rPr>
                <w:rFonts w:ascii="Times New Roman" w:hAnsi="Times New Roman"/>
                <w:b/>
                <w:sz w:val="24"/>
                <w:szCs w:val="24"/>
              </w:rPr>
            </w:pPr>
            <w:r w:rsidRPr="00D22B8E">
              <w:rPr>
                <w:rFonts w:ascii="Times New Roman" w:hAnsi="Times New Roman"/>
                <w:b/>
                <w:sz w:val="24"/>
                <w:szCs w:val="24"/>
              </w:rPr>
              <w:lastRenderedPageBreak/>
              <w:t>Krājaizdevu sabiedrību attīstība un to darbības regulēšanas pilnveide</w:t>
            </w:r>
          </w:p>
          <w:p w:rsidR="00325DB2" w:rsidRDefault="00540FD7" w:rsidP="00740287">
            <w:pPr>
              <w:spacing w:after="120" w:line="240" w:lineRule="auto"/>
              <w:jc w:val="both"/>
              <w:rPr>
                <w:rFonts w:ascii="Times New Roman" w:hAnsi="Times New Roman"/>
                <w:sz w:val="24"/>
                <w:szCs w:val="24"/>
              </w:rPr>
            </w:pPr>
            <w:r w:rsidRPr="00540FD7">
              <w:rPr>
                <w:rFonts w:ascii="Times New Roman" w:hAnsi="Times New Roman"/>
                <w:sz w:val="24"/>
                <w:szCs w:val="24"/>
              </w:rPr>
              <w:t>Nepieciešams pilnveidot krājaizdevu sabiedrību normatīvo regulējumu, lai novērstu pastāvošās tiesiskās nepilnības, kas konstatētas krājaizdevu sabiedrību licencēšanas un uzraudzības procesā, identificējot un, līdzsvarojot ar atbilstošiem riska mazināšanas un pienācīgas uzraudzības pasākumiem, iespēju robežās novēršot nepilnības/šķēršļus normatīvajā regulējumā</w:t>
            </w:r>
            <w:r w:rsidR="00EB75FB">
              <w:rPr>
                <w:rFonts w:ascii="Times New Roman" w:hAnsi="Times New Roman"/>
                <w:sz w:val="24"/>
                <w:szCs w:val="24"/>
              </w:rPr>
              <w:t>.</w:t>
            </w:r>
          </w:p>
          <w:p w:rsidR="001540FD" w:rsidRPr="00325DB2" w:rsidRDefault="001540FD" w:rsidP="00503D1B">
            <w:pPr>
              <w:spacing w:after="120" w:line="240" w:lineRule="auto"/>
              <w:jc w:val="both"/>
              <w:rPr>
                <w:rFonts w:ascii="Times New Roman" w:hAnsi="Times New Roman"/>
                <w:sz w:val="24"/>
                <w:szCs w:val="24"/>
              </w:rPr>
            </w:pPr>
            <w:r>
              <w:rPr>
                <w:rFonts w:ascii="Times New Roman" w:hAnsi="Times New Roman"/>
                <w:sz w:val="24"/>
                <w:szCs w:val="24"/>
              </w:rPr>
              <w:t>Likumprojekt</w:t>
            </w:r>
            <w:r w:rsidR="00503D1B">
              <w:rPr>
                <w:rFonts w:ascii="Times New Roman" w:hAnsi="Times New Roman"/>
                <w:sz w:val="24"/>
                <w:szCs w:val="24"/>
              </w:rPr>
              <w:t>s</w:t>
            </w:r>
            <w:r>
              <w:rPr>
                <w:rFonts w:ascii="Times New Roman" w:hAnsi="Times New Roman"/>
                <w:sz w:val="24"/>
                <w:szCs w:val="24"/>
              </w:rPr>
              <w:t xml:space="preserve"> </w:t>
            </w:r>
            <w:r w:rsidR="00706A7C">
              <w:rPr>
                <w:rFonts w:ascii="Times New Roman" w:hAnsi="Times New Roman"/>
                <w:sz w:val="24"/>
                <w:szCs w:val="24"/>
              </w:rPr>
              <w:t>„G</w:t>
            </w:r>
            <w:r w:rsidR="00706A7C" w:rsidRPr="00706A7C">
              <w:rPr>
                <w:rFonts w:ascii="Times New Roman" w:hAnsi="Times New Roman"/>
                <w:sz w:val="24"/>
                <w:szCs w:val="24"/>
              </w:rPr>
              <w:t>rozījum</w:t>
            </w:r>
            <w:r w:rsidR="00706A7C">
              <w:rPr>
                <w:rFonts w:ascii="Times New Roman" w:hAnsi="Times New Roman"/>
                <w:sz w:val="24"/>
                <w:szCs w:val="24"/>
              </w:rPr>
              <w:t>i</w:t>
            </w:r>
            <w:r w:rsidR="00706A7C" w:rsidRPr="00706A7C">
              <w:rPr>
                <w:rFonts w:ascii="Times New Roman" w:hAnsi="Times New Roman"/>
                <w:sz w:val="24"/>
                <w:szCs w:val="24"/>
              </w:rPr>
              <w:t xml:space="preserve"> </w:t>
            </w:r>
            <w:r w:rsidR="00503D1B">
              <w:rPr>
                <w:rFonts w:ascii="Times New Roman" w:hAnsi="Times New Roman"/>
                <w:sz w:val="24"/>
                <w:szCs w:val="24"/>
              </w:rPr>
              <w:t xml:space="preserve">Krājaizdevu sabiedrību likumā” </w:t>
            </w:r>
            <w:r>
              <w:rPr>
                <w:rFonts w:ascii="Times New Roman" w:hAnsi="Times New Roman"/>
                <w:sz w:val="24"/>
                <w:szCs w:val="24"/>
              </w:rPr>
              <w:t>ir izstrādāts un iesniegs MK 14.12.2013.</w:t>
            </w:r>
          </w:p>
        </w:tc>
        <w:tc>
          <w:tcPr>
            <w:tcW w:w="613"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325DB2" w:rsidRDefault="00325DB2" w:rsidP="00740287">
            <w:pPr>
              <w:spacing w:after="120" w:line="240" w:lineRule="auto"/>
              <w:jc w:val="both"/>
              <w:rPr>
                <w:rFonts w:ascii="Times New Roman" w:hAnsi="Times New Roman"/>
                <w:color w:val="000000"/>
                <w:sz w:val="24"/>
                <w:szCs w:val="24"/>
              </w:rPr>
            </w:pPr>
            <w:r w:rsidRPr="00325DB2">
              <w:rPr>
                <w:rFonts w:ascii="Times New Roman" w:hAnsi="Times New Roman"/>
                <w:color w:val="000000"/>
                <w:sz w:val="24"/>
                <w:szCs w:val="24"/>
              </w:rPr>
              <w:t>1. 30.06.2014.</w:t>
            </w:r>
          </w:p>
        </w:tc>
        <w:tc>
          <w:tcPr>
            <w:tcW w:w="565" w:type="pct"/>
            <w:gridSpan w:val="3"/>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325DB2" w:rsidRDefault="00325DB2" w:rsidP="00740287">
            <w:pPr>
              <w:spacing w:after="120" w:line="240" w:lineRule="auto"/>
              <w:jc w:val="both"/>
              <w:rPr>
                <w:rFonts w:ascii="Times New Roman" w:hAnsi="Times New Roman"/>
                <w:color w:val="000000"/>
                <w:sz w:val="24"/>
                <w:szCs w:val="24"/>
              </w:rPr>
            </w:pPr>
            <w:r w:rsidRPr="00325DB2">
              <w:rPr>
                <w:rFonts w:ascii="Times New Roman" w:hAnsi="Times New Roman"/>
                <w:color w:val="000000"/>
                <w:sz w:val="24"/>
                <w:szCs w:val="24"/>
              </w:rPr>
              <w:t>FM</w:t>
            </w:r>
            <w:r w:rsidR="00B75FF8">
              <w:rPr>
                <w:rFonts w:ascii="Times New Roman" w:hAnsi="Times New Roman"/>
                <w:color w:val="000000"/>
                <w:sz w:val="24"/>
                <w:szCs w:val="24"/>
              </w:rPr>
              <w:t>, FKTK</w:t>
            </w:r>
          </w:p>
        </w:tc>
        <w:tc>
          <w:tcPr>
            <w:tcW w:w="1133" w:type="pct"/>
            <w:tcBorders>
              <w:top w:val="single" w:sz="4" w:space="0" w:color="auto"/>
              <w:left w:val="single" w:sz="4" w:space="0" w:color="auto"/>
              <w:bottom w:val="dashed" w:sz="4" w:space="0" w:color="auto"/>
              <w:right w:val="single" w:sz="4" w:space="0" w:color="auto"/>
            </w:tcBorders>
            <w:shd w:val="clear" w:color="auto" w:fill="FFFFFF" w:themeFill="background1"/>
          </w:tcPr>
          <w:p w:rsidR="00706A7C" w:rsidRPr="00325DB2" w:rsidRDefault="00706A7C" w:rsidP="00503D1B">
            <w:pPr>
              <w:spacing w:after="120" w:line="240" w:lineRule="auto"/>
              <w:jc w:val="both"/>
              <w:rPr>
                <w:rFonts w:ascii="Times New Roman" w:hAnsi="Times New Roman"/>
                <w:color w:val="000000"/>
                <w:sz w:val="24"/>
                <w:szCs w:val="24"/>
              </w:rPr>
            </w:pPr>
            <w:r w:rsidRPr="00706A7C">
              <w:rPr>
                <w:rFonts w:ascii="Times New Roman" w:hAnsi="Times New Roman"/>
                <w:color w:val="000000"/>
                <w:sz w:val="24"/>
                <w:szCs w:val="24"/>
              </w:rPr>
              <w:t xml:space="preserve">Nepieciešamo pasākumu īstenošana likumprojekta </w:t>
            </w:r>
            <w:r w:rsidR="00503D1B" w:rsidRPr="00503D1B">
              <w:rPr>
                <w:rFonts w:ascii="Times New Roman" w:hAnsi="Times New Roman"/>
                <w:color w:val="000000"/>
                <w:sz w:val="24"/>
                <w:szCs w:val="24"/>
              </w:rPr>
              <w:t xml:space="preserve">„Grozījumi Krājaizdevu sabiedrību likumā” </w:t>
            </w:r>
            <w:r w:rsidRPr="00706A7C">
              <w:rPr>
                <w:rFonts w:ascii="Times New Roman" w:hAnsi="Times New Roman"/>
                <w:color w:val="000000"/>
                <w:sz w:val="24"/>
                <w:szCs w:val="24"/>
              </w:rPr>
              <w:t>savlaicīgas pieņemšanas nodrošināšanai.</w:t>
            </w:r>
          </w:p>
        </w:tc>
        <w:tc>
          <w:tcPr>
            <w:tcW w:w="675"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325DB2" w:rsidRDefault="00325DB2" w:rsidP="00740287">
            <w:pPr>
              <w:spacing w:after="120" w:line="240" w:lineRule="auto"/>
              <w:jc w:val="both"/>
              <w:rPr>
                <w:rFonts w:ascii="Times New Roman" w:hAnsi="Times New Roman"/>
                <w:color w:val="000000"/>
                <w:sz w:val="24"/>
                <w:szCs w:val="24"/>
              </w:rPr>
            </w:pPr>
            <w:r w:rsidRPr="00325DB2">
              <w:rPr>
                <w:rFonts w:ascii="Times New Roman" w:hAnsi="Times New Roman"/>
                <w:color w:val="000000"/>
                <w:sz w:val="24"/>
                <w:szCs w:val="24"/>
              </w:rPr>
              <w:t>FM</w:t>
            </w:r>
            <w:r w:rsidR="00503D1B">
              <w:rPr>
                <w:rFonts w:ascii="Times New Roman" w:hAnsi="Times New Roman"/>
                <w:color w:val="000000"/>
                <w:sz w:val="24"/>
                <w:szCs w:val="24"/>
              </w:rPr>
              <w:t>, FKTK</w:t>
            </w:r>
            <w:r w:rsidRPr="00325DB2">
              <w:rPr>
                <w:rFonts w:ascii="Times New Roman" w:hAnsi="Times New Roman"/>
                <w:color w:val="000000"/>
                <w:sz w:val="24"/>
                <w:szCs w:val="24"/>
              </w:rPr>
              <w:t xml:space="preserve"> budžeta ietvaros</w:t>
            </w:r>
            <w:r w:rsidR="00503D1B">
              <w:rPr>
                <w:rFonts w:ascii="Times New Roman" w:hAnsi="Times New Roman"/>
                <w:color w:val="000000"/>
                <w:sz w:val="24"/>
                <w:szCs w:val="24"/>
              </w:rPr>
              <w:t>.</w:t>
            </w:r>
          </w:p>
        </w:tc>
      </w:tr>
      <w:tr w:rsidR="00325DB2" w:rsidTr="0035791F">
        <w:tc>
          <w:tcPr>
            <w:tcW w:w="2014" w:type="pct"/>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73269E" w:rsidRDefault="00325DB2" w:rsidP="00740287">
            <w:pPr>
              <w:pStyle w:val="ListParagraph"/>
              <w:numPr>
                <w:ilvl w:val="1"/>
                <w:numId w:val="29"/>
              </w:numPr>
              <w:spacing w:after="120" w:line="240" w:lineRule="auto"/>
              <w:ind w:left="0" w:firstLine="0"/>
              <w:jc w:val="both"/>
              <w:rPr>
                <w:rFonts w:ascii="Times New Roman" w:hAnsi="Times New Roman"/>
                <w:b/>
                <w:sz w:val="24"/>
                <w:szCs w:val="24"/>
              </w:rPr>
            </w:pPr>
            <w:r w:rsidRPr="0073269E">
              <w:rPr>
                <w:rFonts w:ascii="Times New Roman" w:hAnsi="Times New Roman"/>
                <w:b/>
                <w:sz w:val="24"/>
                <w:szCs w:val="24"/>
              </w:rPr>
              <w:t>Uzraudzības institucionālās kapacitātes stiprināšana un optimizēšana</w:t>
            </w:r>
          </w:p>
          <w:p w:rsidR="00325DB2" w:rsidRPr="0073269E" w:rsidRDefault="00B50344" w:rsidP="00740287">
            <w:pPr>
              <w:spacing w:after="120" w:line="240" w:lineRule="auto"/>
              <w:jc w:val="both"/>
              <w:rPr>
                <w:rFonts w:ascii="Times New Roman" w:hAnsi="Times New Roman"/>
                <w:b/>
                <w:sz w:val="24"/>
                <w:szCs w:val="24"/>
              </w:rPr>
            </w:pPr>
            <w:r>
              <w:rPr>
                <w:rFonts w:ascii="Times New Roman" w:hAnsi="Times New Roman"/>
                <w:i/>
                <w:sz w:val="24"/>
                <w:szCs w:val="24"/>
              </w:rPr>
              <w:t xml:space="preserve">Patērētāju tiesību aizsardzības centrs (turpmāk tekstā – </w:t>
            </w:r>
            <w:r w:rsidR="00325DB2" w:rsidRPr="0066730A">
              <w:rPr>
                <w:rFonts w:ascii="Times New Roman" w:hAnsi="Times New Roman"/>
                <w:i/>
                <w:sz w:val="24"/>
                <w:szCs w:val="24"/>
              </w:rPr>
              <w:t>PTAC</w:t>
            </w:r>
            <w:r>
              <w:rPr>
                <w:rFonts w:ascii="Times New Roman" w:hAnsi="Times New Roman"/>
                <w:i/>
                <w:sz w:val="24"/>
                <w:szCs w:val="24"/>
              </w:rPr>
              <w:t>)</w:t>
            </w:r>
            <w:r w:rsidR="00325DB2" w:rsidRPr="0066730A">
              <w:rPr>
                <w:rFonts w:ascii="Times New Roman" w:hAnsi="Times New Roman"/>
                <w:i/>
                <w:sz w:val="24"/>
                <w:szCs w:val="24"/>
              </w:rPr>
              <w:t xml:space="preserve"> kompetencē ir nodrošināt nebanku kreditēšanas pakalpojuma sniedzēju licencēšanu (t.sk. ikgadējo licences pārreģistrāciju) un patērētāju tiesību uzraudzību visā finanšu sektorā, kas aptver ne tikai kredītiestādes un nebanku kreditēšanas pakalpojumu sniedzējus (līzinga devējus, lombardus, īsziņu kredītu devējus u.c.), bet arī apdrošināšanas kompānijas un citus finanšu pakalpojumu sniedzējus, kas sniedz savus pakalpojumus patērētājam.   Licencēšanas un uzraudzības pasākumu ietvaros PTAC nodrošina negodīgas komercprakses (reklāmas, biznesa </w:t>
            </w:r>
            <w:r w:rsidR="00325DB2" w:rsidRPr="0066730A">
              <w:rPr>
                <w:rFonts w:ascii="Times New Roman" w:hAnsi="Times New Roman"/>
                <w:i/>
                <w:sz w:val="24"/>
                <w:szCs w:val="24"/>
              </w:rPr>
              <w:lastRenderedPageBreak/>
              <w:t>prakses) uzraudzību, netaisnīgu līguma noteikumu uzraudzību, konsultāciju sniegšanu patērētājiem un komersantiem, pārbaužu veikšanu internetā un pakalpojumu sniegšanas vietās, kā arī PTAC veic nebanku sektora patērētāju kreditēšanas tirgus izpēti, kas nepieciešama problēmu identificēšanai un efektīvai uzraudzības pasākumu plānošanai.  Augstāk minēto uzdevumu veikšanai PTAC šobrīd  tiek nodarbināti 6 darbinieki (ieskaitot nodaļas vadītāju). Pašreizējā situācija liecina, ka PTAC piešķirtie resursi iepriekš minēto uzdevumu veikšanai ir nepietiekami, līdz ar to ir nepieciešams  stiprināt PTAC institucionālo kapacitāti.</w:t>
            </w:r>
          </w:p>
        </w:tc>
        <w:tc>
          <w:tcPr>
            <w:tcW w:w="613"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4711C3" w:rsidRDefault="00325DB2" w:rsidP="00740287">
            <w:pPr>
              <w:spacing w:after="120" w:line="240" w:lineRule="auto"/>
              <w:jc w:val="both"/>
              <w:rPr>
                <w:rFonts w:ascii="Times New Roman" w:hAnsi="Times New Roman"/>
                <w:color w:val="000000"/>
                <w:sz w:val="24"/>
                <w:szCs w:val="24"/>
              </w:rPr>
            </w:pPr>
          </w:p>
        </w:tc>
        <w:tc>
          <w:tcPr>
            <w:tcW w:w="565" w:type="pct"/>
            <w:gridSpan w:val="3"/>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4711C3" w:rsidRDefault="00325DB2" w:rsidP="00740287">
            <w:pPr>
              <w:spacing w:after="120" w:line="240" w:lineRule="auto"/>
              <w:jc w:val="both"/>
              <w:rPr>
                <w:rFonts w:ascii="Times New Roman" w:hAnsi="Times New Roman"/>
                <w:color w:val="000000"/>
                <w:sz w:val="24"/>
                <w:szCs w:val="24"/>
              </w:rPr>
            </w:pPr>
          </w:p>
        </w:tc>
        <w:tc>
          <w:tcPr>
            <w:tcW w:w="1133" w:type="pct"/>
            <w:tcBorders>
              <w:top w:val="single" w:sz="4" w:space="0" w:color="auto"/>
              <w:left w:val="single" w:sz="4" w:space="0" w:color="auto"/>
              <w:bottom w:val="dashed" w:sz="4" w:space="0" w:color="auto"/>
              <w:right w:val="single" w:sz="4" w:space="0" w:color="auto"/>
            </w:tcBorders>
            <w:shd w:val="clear" w:color="auto" w:fill="FFFFFF" w:themeFill="background1"/>
          </w:tcPr>
          <w:p w:rsidR="00325DB2" w:rsidRPr="004711C3" w:rsidRDefault="00325DB2" w:rsidP="00740287">
            <w:pPr>
              <w:spacing w:after="12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325DB2" w:rsidRDefault="00325DB2" w:rsidP="00740287">
            <w:pPr>
              <w:spacing w:after="120" w:line="240" w:lineRule="auto"/>
              <w:jc w:val="both"/>
              <w:rPr>
                <w:rFonts w:ascii="Times New Roman" w:hAnsi="Times New Roman"/>
                <w:color w:val="000000"/>
                <w:sz w:val="24"/>
                <w:szCs w:val="24"/>
              </w:rPr>
            </w:pPr>
          </w:p>
        </w:tc>
      </w:tr>
      <w:tr w:rsidR="00325DB2" w:rsidTr="0035791F">
        <w:tc>
          <w:tcPr>
            <w:tcW w:w="2014" w:type="pct"/>
            <w:tcBorders>
              <w:top w:val="dashed" w:sz="4" w:space="0" w:color="auto"/>
              <w:left w:val="single" w:sz="4" w:space="0" w:color="auto"/>
              <w:bottom w:val="single" w:sz="4" w:space="0" w:color="auto"/>
              <w:right w:val="single" w:sz="4" w:space="0" w:color="auto"/>
            </w:tcBorders>
            <w:shd w:val="clear" w:color="auto" w:fill="FFFFFF" w:themeFill="background1"/>
          </w:tcPr>
          <w:p w:rsidR="00806040" w:rsidRDefault="00806040" w:rsidP="00740287">
            <w:pPr>
              <w:spacing w:after="120" w:line="240" w:lineRule="auto"/>
              <w:jc w:val="both"/>
              <w:rPr>
                <w:rFonts w:ascii="Times New Roman" w:hAnsi="Times New Roman"/>
                <w:sz w:val="24"/>
                <w:szCs w:val="24"/>
              </w:rPr>
            </w:pPr>
            <w:r>
              <w:rPr>
                <w:rFonts w:ascii="Times New Roman" w:hAnsi="Times New Roman"/>
                <w:sz w:val="24"/>
                <w:szCs w:val="24"/>
              </w:rPr>
              <w:lastRenderedPageBreak/>
              <w:t>Rīcībai:</w:t>
            </w:r>
          </w:p>
          <w:p w:rsidR="00325DB2" w:rsidRPr="0073269E" w:rsidRDefault="00325DB2" w:rsidP="00740287">
            <w:pPr>
              <w:spacing w:after="120" w:line="240" w:lineRule="auto"/>
              <w:jc w:val="both"/>
              <w:rPr>
                <w:rFonts w:ascii="Times New Roman" w:hAnsi="Times New Roman"/>
                <w:b/>
                <w:sz w:val="24"/>
                <w:szCs w:val="24"/>
              </w:rPr>
            </w:pPr>
            <w:r w:rsidRPr="00AA0242">
              <w:rPr>
                <w:rFonts w:ascii="Times New Roman" w:hAnsi="Times New Roman"/>
                <w:sz w:val="24"/>
                <w:szCs w:val="24"/>
              </w:rPr>
              <w:t>PTAC institucionālās kapacitātes stiprināšana, lai nodrošinātu adekvātu naudas aizdevēju (licencētu patērētāju nebanku kreditēšanas pakalpojumu sniedzēju) uzraudzību un preventīvo uzraudzības pasākumu veikšanu.</w:t>
            </w:r>
            <w:r>
              <w:rPr>
                <w:rFonts w:ascii="Times New Roman" w:hAnsi="Times New Roman"/>
                <w:sz w:val="24"/>
                <w:szCs w:val="24"/>
              </w:rPr>
              <w:t xml:space="preserve"> </w:t>
            </w:r>
          </w:p>
        </w:tc>
        <w:tc>
          <w:tcPr>
            <w:tcW w:w="613"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325DB2" w:rsidRPr="000E3EB3" w:rsidRDefault="00325DB2" w:rsidP="00740287">
            <w:pPr>
              <w:spacing w:after="120" w:line="240" w:lineRule="auto"/>
              <w:jc w:val="both"/>
              <w:rPr>
                <w:rFonts w:ascii="Times New Roman" w:hAnsi="Times New Roman"/>
                <w:color w:val="000000"/>
                <w:sz w:val="24"/>
                <w:szCs w:val="24"/>
              </w:rPr>
            </w:pPr>
            <w:r w:rsidRPr="004711C3">
              <w:rPr>
                <w:rFonts w:ascii="Times New Roman" w:hAnsi="Times New Roman"/>
                <w:color w:val="000000"/>
                <w:sz w:val="24"/>
                <w:szCs w:val="24"/>
              </w:rPr>
              <w:t>Pastāvīgi</w:t>
            </w:r>
          </w:p>
        </w:tc>
        <w:tc>
          <w:tcPr>
            <w:tcW w:w="565" w:type="pct"/>
            <w:gridSpan w:val="3"/>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325DB2" w:rsidP="00740287">
            <w:pPr>
              <w:spacing w:after="120" w:line="240" w:lineRule="auto"/>
              <w:jc w:val="both"/>
              <w:rPr>
                <w:rFonts w:ascii="Times New Roman" w:hAnsi="Times New Roman"/>
                <w:color w:val="000000"/>
                <w:sz w:val="24"/>
                <w:szCs w:val="24"/>
              </w:rPr>
            </w:pPr>
            <w:r w:rsidRPr="004711C3">
              <w:rPr>
                <w:rFonts w:ascii="Times New Roman" w:hAnsi="Times New Roman"/>
                <w:color w:val="000000"/>
                <w:sz w:val="24"/>
                <w:szCs w:val="24"/>
              </w:rPr>
              <w:t>EM, FM</w:t>
            </w:r>
            <w:r>
              <w:rPr>
                <w:rFonts w:ascii="Times New Roman" w:hAnsi="Times New Roman"/>
                <w:color w:val="000000"/>
                <w:sz w:val="24"/>
                <w:szCs w:val="24"/>
              </w:rPr>
              <w:t xml:space="preserve"> PTAC</w:t>
            </w:r>
            <w:r w:rsidRPr="004711C3">
              <w:rPr>
                <w:rFonts w:ascii="Times New Roman" w:hAnsi="Times New Roman"/>
                <w:color w:val="000000"/>
                <w:sz w:val="24"/>
                <w:szCs w:val="24"/>
              </w:rPr>
              <w:t xml:space="preserve"> </w:t>
            </w:r>
          </w:p>
        </w:tc>
        <w:tc>
          <w:tcPr>
            <w:tcW w:w="1133" w:type="pct"/>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325DB2" w:rsidP="00330279">
            <w:pPr>
              <w:spacing w:after="120" w:line="240" w:lineRule="auto"/>
              <w:jc w:val="both"/>
              <w:rPr>
                <w:rFonts w:ascii="Times New Roman" w:hAnsi="Times New Roman"/>
                <w:color w:val="000000"/>
                <w:sz w:val="24"/>
                <w:szCs w:val="24"/>
              </w:rPr>
            </w:pPr>
            <w:r w:rsidRPr="004711C3">
              <w:rPr>
                <w:rFonts w:ascii="Times New Roman" w:hAnsi="Times New Roman"/>
                <w:color w:val="000000"/>
                <w:sz w:val="24"/>
                <w:szCs w:val="24"/>
              </w:rPr>
              <w:t>Nodrošināta nepārtraukta, efektīva un pietiekama patērētāju nebanku kreditēšanas pakalpojumu sniedzēju uzraudzība un nevēlamu kreditēšanas prakšu novēršana.</w:t>
            </w:r>
            <w:r w:rsidR="0020579C">
              <w:rPr>
                <w:rFonts w:ascii="Times New Roman" w:hAnsi="Times New Roman"/>
                <w:color w:val="000000"/>
                <w:sz w:val="24"/>
                <w:szCs w:val="24"/>
              </w:rPr>
              <w:t xml:space="preserve"> Sagatavot priekšlikumus instituc</w:t>
            </w:r>
            <w:r w:rsidR="00D20302">
              <w:rPr>
                <w:rFonts w:ascii="Times New Roman" w:hAnsi="Times New Roman"/>
                <w:color w:val="000000"/>
                <w:sz w:val="24"/>
                <w:szCs w:val="24"/>
              </w:rPr>
              <w:t>ionālās kapacitātes uzlabošanaai.</w:t>
            </w:r>
          </w:p>
        </w:tc>
        <w:tc>
          <w:tcPr>
            <w:tcW w:w="675"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325DB2" w:rsidP="00740287">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Papildus līdzekļu nepieciešamību izvērtēt 2015.g.valsts budžeta sagatavošanā</w:t>
            </w:r>
            <w:r w:rsidR="00503D1B">
              <w:rPr>
                <w:rFonts w:ascii="Times New Roman" w:hAnsi="Times New Roman"/>
                <w:color w:val="000000"/>
                <w:sz w:val="24"/>
                <w:szCs w:val="24"/>
              </w:rPr>
              <w:t>.</w:t>
            </w:r>
          </w:p>
          <w:p w:rsidR="00325DB2" w:rsidRPr="000E3EB3" w:rsidRDefault="00325DB2" w:rsidP="00740287">
            <w:pPr>
              <w:spacing w:after="120" w:line="240" w:lineRule="auto"/>
              <w:jc w:val="both"/>
              <w:rPr>
                <w:rFonts w:ascii="Times New Roman" w:hAnsi="Times New Roman"/>
                <w:color w:val="000000"/>
                <w:sz w:val="24"/>
                <w:szCs w:val="24"/>
              </w:rPr>
            </w:pPr>
          </w:p>
        </w:tc>
      </w:tr>
      <w:tr w:rsidR="00325DB2" w:rsidTr="0081436E">
        <w:tc>
          <w:tcPr>
            <w:tcW w:w="2014" w:type="pct"/>
            <w:tcBorders>
              <w:top w:val="single" w:sz="4" w:space="0" w:color="auto"/>
              <w:left w:val="single" w:sz="4" w:space="0" w:color="auto"/>
              <w:bottom w:val="single" w:sz="4" w:space="0" w:color="auto"/>
              <w:right w:val="single" w:sz="4" w:space="0" w:color="auto"/>
            </w:tcBorders>
            <w:shd w:val="clear" w:color="auto" w:fill="EEECE1" w:themeFill="background2"/>
          </w:tcPr>
          <w:p w:rsidR="00325DB2" w:rsidRPr="00202AF9" w:rsidRDefault="00325DB2" w:rsidP="00325DB2">
            <w:pPr>
              <w:spacing w:before="120" w:after="0" w:line="240" w:lineRule="auto"/>
              <w:jc w:val="both"/>
              <w:rPr>
                <w:rFonts w:ascii="Times New Roman" w:hAnsi="Times New Roman"/>
                <w:b/>
                <w:sz w:val="24"/>
                <w:szCs w:val="24"/>
              </w:rPr>
            </w:pPr>
          </w:p>
        </w:tc>
        <w:tc>
          <w:tcPr>
            <w:tcW w:w="2986" w:type="pct"/>
            <w:gridSpan w:val="8"/>
            <w:tcBorders>
              <w:top w:val="single" w:sz="4" w:space="0" w:color="auto"/>
              <w:left w:val="single" w:sz="4" w:space="0" w:color="auto"/>
              <w:bottom w:val="single" w:sz="4" w:space="0" w:color="auto"/>
              <w:right w:val="single" w:sz="4" w:space="0" w:color="auto"/>
            </w:tcBorders>
            <w:shd w:val="clear" w:color="auto" w:fill="EEECE1" w:themeFill="background2"/>
          </w:tcPr>
          <w:p w:rsidR="00325DB2" w:rsidRDefault="00325DB2" w:rsidP="00D22B8E">
            <w:pPr>
              <w:pStyle w:val="CommentText"/>
              <w:numPr>
                <w:ilvl w:val="0"/>
                <w:numId w:val="29"/>
              </w:numPr>
              <w:spacing w:before="120" w:after="0" w:line="240" w:lineRule="auto"/>
              <w:jc w:val="both"/>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Finanšu pratība</w:t>
            </w:r>
          </w:p>
        </w:tc>
      </w:tr>
      <w:tr w:rsidR="007131A9" w:rsidTr="0081436E">
        <w:tc>
          <w:tcPr>
            <w:tcW w:w="2014" w:type="pct"/>
            <w:tcBorders>
              <w:top w:val="single" w:sz="4" w:space="0" w:color="auto"/>
              <w:left w:val="single" w:sz="4" w:space="0" w:color="auto"/>
              <w:bottom w:val="dashed" w:sz="4" w:space="0" w:color="auto"/>
              <w:right w:val="single" w:sz="4" w:space="0" w:color="auto"/>
            </w:tcBorders>
            <w:shd w:val="clear" w:color="auto" w:fill="FFFFFF" w:themeFill="background1"/>
          </w:tcPr>
          <w:p w:rsidR="00386682" w:rsidRDefault="007131A9">
            <w:pPr>
              <w:spacing w:after="120" w:line="240" w:lineRule="auto"/>
              <w:jc w:val="both"/>
              <w:rPr>
                <w:rFonts w:ascii="Times New Roman" w:hAnsi="Times New Roman"/>
                <w:b/>
                <w:sz w:val="24"/>
                <w:szCs w:val="24"/>
              </w:rPr>
            </w:pPr>
            <w:r>
              <w:rPr>
                <w:rFonts w:ascii="Times New Roman" w:hAnsi="Times New Roman"/>
                <w:b/>
                <w:sz w:val="24"/>
                <w:szCs w:val="24"/>
              </w:rPr>
              <w:t xml:space="preserve">6.1. </w:t>
            </w:r>
            <w:r w:rsidRPr="008F275E">
              <w:rPr>
                <w:rFonts w:ascii="Times New Roman" w:hAnsi="Times New Roman"/>
                <w:b/>
                <w:sz w:val="24"/>
                <w:szCs w:val="24"/>
              </w:rPr>
              <w:t xml:space="preserve">Finanšu pratības </w:t>
            </w:r>
            <w:r>
              <w:rPr>
                <w:rFonts w:ascii="Times New Roman" w:hAnsi="Times New Roman"/>
                <w:b/>
                <w:sz w:val="24"/>
                <w:szCs w:val="24"/>
              </w:rPr>
              <w:t xml:space="preserve">virziena </w:t>
            </w:r>
            <w:r w:rsidRPr="008F275E">
              <w:rPr>
                <w:rFonts w:ascii="Times New Roman" w:hAnsi="Times New Roman"/>
                <w:b/>
                <w:sz w:val="24"/>
                <w:szCs w:val="24"/>
              </w:rPr>
              <w:t>attīstība</w:t>
            </w:r>
          </w:p>
          <w:p w:rsidR="00386682" w:rsidRDefault="007131A9">
            <w:pPr>
              <w:spacing w:after="120" w:line="240" w:lineRule="auto"/>
              <w:jc w:val="both"/>
              <w:rPr>
                <w:rFonts w:ascii="Times New Roman" w:hAnsi="Times New Roman"/>
                <w:i/>
                <w:sz w:val="24"/>
                <w:szCs w:val="24"/>
              </w:rPr>
            </w:pPr>
            <w:r w:rsidRPr="0081436E">
              <w:rPr>
                <w:rFonts w:ascii="Times New Roman" w:hAnsi="Times New Roman"/>
                <w:i/>
                <w:sz w:val="24"/>
                <w:szCs w:val="24"/>
              </w:rPr>
              <w:t>Pirmskrīzes gados pārāk strauji augusī kreditēšana un problēmātisko  kredītu augstais rādītājs ekonomiskās lejupslīdes gados</w:t>
            </w:r>
            <w:r w:rsidR="00392F2A">
              <w:rPr>
                <w:rFonts w:ascii="Times New Roman" w:hAnsi="Times New Roman"/>
                <w:i/>
                <w:sz w:val="24"/>
                <w:szCs w:val="24"/>
              </w:rPr>
              <w:t xml:space="preserve"> (līdz pat 19% no kopējā apjoma</w:t>
            </w:r>
            <w:r w:rsidRPr="0081436E">
              <w:rPr>
                <w:rFonts w:ascii="Times New Roman" w:hAnsi="Times New Roman"/>
                <w:i/>
                <w:sz w:val="24"/>
                <w:szCs w:val="24"/>
              </w:rPr>
              <w:t xml:space="preserve">) parādīja, ka ir nepieciešama dziļāku zināšanu veicināšana par dažādu pakalpojumu patiesajām izmaksām un riskiem dažādās tirgus situācijās; </w:t>
            </w:r>
          </w:p>
          <w:p w:rsidR="00386682" w:rsidRDefault="007131A9">
            <w:pPr>
              <w:spacing w:after="120" w:line="240" w:lineRule="auto"/>
              <w:jc w:val="both"/>
              <w:rPr>
                <w:rFonts w:ascii="Times New Roman" w:hAnsi="Times New Roman"/>
                <w:i/>
                <w:sz w:val="24"/>
                <w:szCs w:val="24"/>
              </w:rPr>
            </w:pPr>
            <w:r w:rsidRPr="0081436E">
              <w:rPr>
                <w:rFonts w:ascii="Times New Roman" w:hAnsi="Times New Roman"/>
                <w:i/>
                <w:sz w:val="24"/>
                <w:szCs w:val="24"/>
              </w:rPr>
              <w:t xml:space="preserve">Joprojām gan uzņēmējiem, gan privātpersonām ir grūtības segt savus parādus, Latvijas mājsaimniecību finanšu </w:t>
            </w:r>
            <w:r w:rsidRPr="0081436E">
              <w:rPr>
                <w:rFonts w:ascii="Times New Roman" w:hAnsi="Times New Roman"/>
                <w:i/>
                <w:sz w:val="24"/>
                <w:szCs w:val="24"/>
              </w:rPr>
              <w:lastRenderedPageBreak/>
              <w:t xml:space="preserve">struktūra ir viegli ievainojama; </w:t>
            </w:r>
          </w:p>
          <w:p w:rsidR="00386682" w:rsidRDefault="007131A9">
            <w:pPr>
              <w:spacing w:after="120" w:line="240" w:lineRule="auto"/>
              <w:jc w:val="both"/>
              <w:rPr>
                <w:rFonts w:ascii="Times New Roman" w:hAnsi="Times New Roman"/>
                <w:i/>
                <w:sz w:val="24"/>
                <w:szCs w:val="24"/>
              </w:rPr>
            </w:pPr>
            <w:r w:rsidRPr="0081436E">
              <w:rPr>
                <w:rFonts w:ascii="Times New Roman" w:hAnsi="Times New Roman"/>
                <w:i/>
                <w:sz w:val="24"/>
                <w:szCs w:val="24"/>
              </w:rPr>
              <w:t>Stabilas riskus pārvaldošas mājsaimniecības ir stūrakmens visa finanšu sektora stabilitātei un attīstībai ilgtermiņā.</w:t>
            </w:r>
          </w:p>
          <w:p w:rsidR="00386682" w:rsidRDefault="007131A9">
            <w:pPr>
              <w:spacing w:after="120" w:line="240" w:lineRule="auto"/>
              <w:jc w:val="both"/>
              <w:rPr>
                <w:rFonts w:ascii="Times New Roman" w:hAnsi="Times New Roman"/>
                <w:i/>
                <w:sz w:val="24"/>
                <w:szCs w:val="24"/>
              </w:rPr>
            </w:pPr>
            <w:r w:rsidRPr="0081436E">
              <w:rPr>
                <w:rFonts w:ascii="Times New Roman" w:hAnsi="Times New Roman"/>
                <w:i/>
                <w:sz w:val="24"/>
                <w:szCs w:val="24"/>
              </w:rPr>
              <w:t>Situāciju raksturo aptauju rezultāti: par finanšu lietām zina tikai pašus pamatus vai izprot tās ļoti slikti vairāk nekā 57% Latvijas iedzīvotāju (FKTK, SKDS, marts, 2013)</w:t>
            </w:r>
          </w:p>
          <w:p w:rsidR="00386682" w:rsidRDefault="007131A9">
            <w:pPr>
              <w:spacing w:after="120" w:line="240" w:lineRule="auto"/>
              <w:jc w:val="both"/>
              <w:rPr>
                <w:rFonts w:ascii="Times New Roman" w:hAnsi="Times New Roman"/>
                <w:i/>
                <w:sz w:val="24"/>
                <w:szCs w:val="24"/>
              </w:rPr>
            </w:pPr>
            <w:r>
              <w:rPr>
                <w:rFonts w:ascii="Times New Roman" w:hAnsi="Times New Roman"/>
                <w:sz w:val="24"/>
                <w:szCs w:val="24"/>
              </w:rPr>
              <w:t xml:space="preserve"> </w:t>
            </w:r>
            <w:r w:rsidRPr="0081436E">
              <w:rPr>
                <w:rFonts w:ascii="Times New Roman" w:hAnsi="Times New Roman"/>
                <w:i/>
                <w:sz w:val="24"/>
                <w:szCs w:val="24"/>
              </w:rPr>
              <w:t xml:space="preserve">Saskaņā ar FKTK darbības stratēģiju 2012.–2014.  gadam par vienu no tās stratēģiskajām prioritātēm ir noteikta sabiedrības finanšu izglītība un izpratnes līmeņa celšana par finanšu pakalpojumu tirgu. Saistībā ar uzaicinājumu Latvijai kļūt par Ekonomiskās sadarbības un attīstības organizācijas – OECD dalībvalsti FKTK 2013. gada aprīlī ir kļuvusi par OECD finanšu pratības ekspertu tīkla INFE (International Network on Financial Education) pilntiesīgu </w:t>
            </w:r>
            <w:r w:rsidR="00297514">
              <w:rPr>
                <w:rFonts w:ascii="Times New Roman" w:hAnsi="Times New Roman"/>
                <w:i/>
                <w:sz w:val="24"/>
                <w:szCs w:val="24"/>
              </w:rPr>
              <w:t xml:space="preserve">biedru, uzņemoties ikgadējās dalības maksas segšanu.  </w:t>
            </w:r>
          </w:p>
          <w:p w:rsidR="00386682" w:rsidRDefault="00297514">
            <w:pPr>
              <w:jc w:val="both"/>
              <w:rPr>
                <w:rFonts w:ascii="Times New Roman" w:hAnsi="Times New Roman"/>
                <w:i/>
                <w:sz w:val="24"/>
                <w:szCs w:val="24"/>
              </w:rPr>
            </w:pPr>
            <w:r w:rsidRPr="0045704C">
              <w:rPr>
                <w:rFonts w:ascii="Times New Roman" w:hAnsi="Times New Roman"/>
                <w:i/>
                <w:sz w:val="24"/>
                <w:szCs w:val="24"/>
              </w:rPr>
              <w:t xml:space="preserve">Ir izstrādāta "Latvijas iedzīvotāju finanšu pratības stratēģija 2014-2020" </w:t>
            </w:r>
            <w:r w:rsidR="00DA6C1D">
              <w:rPr>
                <w:rFonts w:ascii="Times New Roman" w:hAnsi="Times New Roman"/>
                <w:i/>
                <w:sz w:val="24"/>
                <w:szCs w:val="24"/>
              </w:rPr>
              <w:t xml:space="preserve">. </w:t>
            </w:r>
            <w:r w:rsidRPr="0045704C">
              <w:rPr>
                <w:rFonts w:ascii="Times New Roman" w:hAnsi="Times New Roman"/>
                <w:i/>
                <w:sz w:val="24"/>
                <w:szCs w:val="24"/>
              </w:rPr>
              <w:t>Stratēģiju partnerībā ar FKTK ir izstrādājusi – Izglītības un zinātnes ministrija (turpmāk – IZM), Valsts izglītības un satura centrs (turpmāk – VISC), Patērētāju tiesību aizsardzības centrs (turpmāk – PTAC), Banku augstskola, kā arī finanšu pakalpojumu sniedzēju profesionālās asociācijas – Latvijas Komercbanku asociācija un Latvijas Apdrošinātāju asociācija.</w:t>
            </w:r>
          </w:p>
          <w:p w:rsidR="00386682" w:rsidRPr="0045704C" w:rsidRDefault="00297514">
            <w:pPr>
              <w:jc w:val="both"/>
              <w:rPr>
                <w:rFonts w:ascii="Times New Roman" w:hAnsi="Times New Roman"/>
                <w:i/>
                <w:sz w:val="24"/>
                <w:szCs w:val="24"/>
              </w:rPr>
            </w:pPr>
            <w:r w:rsidRPr="0045704C">
              <w:rPr>
                <w:rFonts w:ascii="Times New Roman" w:hAnsi="Times New Roman"/>
                <w:i/>
                <w:sz w:val="24"/>
                <w:szCs w:val="24"/>
              </w:rPr>
              <w:t xml:space="preserve">Stratēģija paredz sasniegt definētos stratēģiskos mērķus, partneriem īstenojot aktivitātes valsts izglītības satura pilnveidē, mūžizglītības mācību satura un zināšanu pārbaudes rīku izstrādē un popularizēšanā, kā arī sadarbības projektos starp iesaistītajām valsts un pašvaldību iestādēm, dažādu izglītības pakāpju mācību </w:t>
            </w:r>
            <w:r w:rsidRPr="0045704C">
              <w:rPr>
                <w:rFonts w:ascii="Times New Roman" w:hAnsi="Times New Roman"/>
                <w:i/>
                <w:sz w:val="24"/>
                <w:szCs w:val="24"/>
              </w:rPr>
              <w:lastRenderedPageBreak/>
              <w:t>iestādēm, nevalstiskajām organizācijām, finanšu sektora profesionālajām asociācijām un finanšu un kapitāla tirgus dalībniekiem, t.sk. ietverot arī starptautisko partneru aktivitātes un sniegto atbalstu.</w:t>
            </w:r>
          </w:p>
          <w:p w:rsidR="00386682" w:rsidRDefault="00386682">
            <w:pPr>
              <w:spacing w:after="120" w:line="240" w:lineRule="auto"/>
              <w:jc w:val="both"/>
              <w:rPr>
                <w:rFonts w:ascii="Times New Roman" w:hAnsi="Times New Roman"/>
                <w:b/>
                <w:sz w:val="24"/>
                <w:szCs w:val="24"/>
              </w:rPr>
            </w:pPr>
          </w:p>
        </w:tc>
        <w:tc>
          <w:tcPr>
            <w:tcW w:w="613"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7131A9" w:rsidRDefault="007131A9" w:rsidP="00325DB2">
            <w:pPr>
              <w:spacing w:before="120" w:after="0" w:line="240" w:lineRule="auto"/>
              <w:jc w:val="both"/>
              <w:rPr>
                <w:rFonts w:ascii="Times New Roman" w:hAnsi="Times New Roman"/>
                <w:color w:val="000000"/>
                <w:sz w:val="24"/>
                <w:szCs w:val="24"/>
              </w:rPr>
            </w:pPr>
          </w:p>
        </w:tc>
        <w:tc>
          <w:tcPr>
            <w:tcW w:w="565" w:type="pct"/>
            <w:gridSpan w:val="3"/>
            <w:tcBorders>
              <w:top w:val="single" w:sz="4" w:space="0" w:color="auto"/>
              <w:left w:val="single" w:sz="4" w:space="0" w:color="auto"/>
              <w:bottom w:val="dashed" w:sz="4" w:space="0" w:color="auto"/>
              <w:right w:val="single" w:sz="4" w:space="0" w:color="auto"/>
            </w:tcBorders>
            <w:shd w:val="clear" w:color="auto" w:fill="FFFFFF" w:themeFill="background1"/>
          </w:tcPr>
          <w:p w:rsidR="007131A9" w:rsidRPr="00F67B95" w:rsidRDefault="007131A9" w:rsidP="00AA01E5">
            <w:pPr>
              <w:spacing w:before="120" w:after="0" w:line="240" w:lineRule="auto"/>
              <w:jc w:val="both"/>
              <w:rPr>
                <w:rFonts w:ascii="Times New Roman" w:hAnsi="Times New Roman"/>
                <w:color w:val="000000"/>
                <w:sz w:val="24"/>
                <w:szCs w:val="24"/>
              </w:rPr>
            </w:pPr>
          </w:p>
        </w:tc>
        <w:tc>
          <w:tcPr>
            <w:tcW w:w="1133" w:type="pct"/>
            <w:tcBorders>
              <w:top w:val="single" w:sz="4" w:space="0" w:color="auto"/>
              <w:left w:val="single" w:sz="4" w:space="0" w:color="auto"/>
              <w:bottom w:val="dashed" w:sz="4" w:space="0" w:color="auto"/>
              <w:right w:val="single" w:sz="4" w:space="0" w:color="auto"/>
            </w:tcBorders>
            <w:shd w:val="clear" w:color="auto" w:fill="FFFFFF" w:themeFill="background1"/>
          </w:tcPr>
          <w:p w:rsidR="007131A9" w:rsidRDefault="007131A9" w:rsidP="00325DB2">
            <w:pPr>
              <w:spacing w:before="120" w:after="0" w:line="240" w:lineRule="auto"/>
              <w:jc w:val="both"/>
              <w:rPr>
                <w:rFonts w:ascii="Times New Roman" w:hAnsi="Times New Roman"/>
                <w:color w:val="000000"/>
                <w:sz w:val="24"/>
                <w:szCs w:val="24"/>
              </w:rPr>
            </w:pPr>
          </w:p>
        </w:tc>
        <w:tc>
          <w:tcPr>
            <w:tcW w:w="675" w:type="pct"/>
            <w:gridSpan w:val="2"/>
            <w:tcBorders>
              <w:top w:val="single" w:sz="4" w:space="0" w:color="auto"/>
              <w:left w:val="single" w:sz="4" w:space="0" w:color="auto"/>
              <w:bottom w:val="dashed" w:sz="4" w:space="0" w:color="auto"/>
              <w:right w:val="single" w:sz="4" w:space="0" w:color="auto"/>
            </w:tcBorders>
            <w:shd w:val="clear" w:color="auto" w:fill="FFFFFF" w:themeFill="background1"/>
          </w:tcPr>
          <w:p w:rsidR="007131A9" w:rsidRPr="00666244" w:rsidRDefault="007131A9" w:rsidP="00325DB2">
            <w:pPr>
              <w:spacing w:before="120" w:after="0" w:line="240" w:lineRule="auto"/>
              <w:jc w:val="both"/>
              <w:rPr>
                <w:rFonts w:ascii="Times New Roman" w:hAnsi="Times New Roman"/>
                <w:color w:val="000000"/>
                <w:sz w:val="24"/>
                <w:szCs w:val="24"/>
              </w:rPr>
            </w:pPr>
          </w:p>
        </w:tc>
      </w:tr>
      <w:tr w:rsidR="00325DB2" w:rsidTr="0081436E">
        <w:tc>
          <w:tcPr>
            <w:tcW w:w="2014" w:type="pct"/>
            <w:tcBorders>
              <w:top w:val="dashed" w:sz="4" w:space="0" w:color="auto"/>
              <w:left w:val="single" w:sz="4" w:space="0" w:color="auto"/>
              <w:bottom w:val="single" w:sz="4" w:space="0" w:color="auto"/>
              <w:right w:val="single" w:sz="4" w:space="0" w:color="auto"/>
            </w:tcBorders>
            <w:shd w:val="clear" w:color="auto" w:fill="FFFFFF" w:themeFill="background1"/>
          </w:tcPr>
          <w:p w:rsidR="00B43937" w:rsidRDefault="00B43937" w:rsidP="0079094E">
            <w:pPr>
              <w:spacing w:after="120" w:line="240" w:lineRule="auto"/>
              <w:jc w:val="both"/>
              <w:rPr>
                <w:rFonts w:ascii="Times New Roman" w:hAnsi="Times New Roman"/>
                <w:sz w:val="24"/>
                <w:szCs w:val="24"/>
              </w:rPr>
            </w:pPr>
            <w:r w:rsidRPr="00B43937">
              <w:rPr>
                <w:rFonts w:ascii="Times New Roman" w:hAnsi="Times New Roman"/>
                <w:sz w:val="24"/>
                <w:szCs w:val="24"/>
              </w:rPr>
              <w:lastRenderedPageBreak/>
              <w:t>Rīcībai:</w:t>
            </w:r>
          </w:p>
          <w:p w:rsidR="00FC1369" w:rsidRDefault="00FC1369" w:rsidP="0079094E">
            <w:pPr>
              <w:spacing w:after="120" w:line="240" w:lineRule="auto"/>
              <w:jc w:val="both"/>
              <w:rPr>
                <w:rFonts w:ascii="Times New Roman" w:hAnsi="Times New Roman"/>
                <w:sz w:val="24"/>
                <w:szCs w:val="24"/>
              </w:rPr>
            </w:pPr>
            <w:r w:rsidRPr="00330279">
              <w:rPr>
                <w:rFonts w:ascii="Times New Roman" w:hAnsi="Times New Roman"/>
                <w:sz w:val="24"/>
                <w:szCs w:val="24"/>
              </w:rPr>
              <w:t>Īsteno</w:t>
            </w:r>
            <w:r w:rsidR="009D5E16" w:rsidRPr="00330279">
              <w:rPr>
                <w:rFonts w:ascii="Times New Roman" w:hAnsi="Times New Roman"/>
                <w:sz w:val="24"/>
                <w:szCs w:val="24"/>
              </w:rPr>
              <w:t>t apsti</w:t>
            </w:r>
            <w:r w:rsidRPr="00330279">
              <w:rPr>
                <w:rFonts w:ascii="Times New Roman" w:hAnsi="Times New Roman"/>
                <w:sz w:val="24"/>
                <w:szCs w:val="24"/>
              </w:rPr>
              <w:t>p</w:t>
            </w:r>
            <w:r w:rsidR="009D5E16" w:rsidRPr="00330279">
              <w:rPr>
                <w:rFonts w:ascii="Times New Roman" w:hAnsi="Times New Roman"/>
                <w:sz w:val="24"/>
                <w:szCs w:val="24"/>
              </w:rPr>
              <w:t>r</w:t>
            </w:r>
            <w:r w:rsidRPr="00330279">
              <w:rPr>
                <w:rFonts w:ascii="Times New Roman" w:hAnsi="Times New Roman"/>
                <w:sz w:val="24"/>
                <w:szCs w:val="24"/>
              </w:rPr>
              <w:t>ināto "Latvijas iedzīvotāju finanšu pratības stratēģiju 2014-2020"</w:t>
            </w:r>
            <w:r w:rsidR="009D5E16" w:rsidRPr="00330279">
              <w:rPr>
                <w:rFonts w:ascii="Times New Roman" w:hAnsi="Times New Roman"/>
                <w:sz w:val="24"/>
                <w:szCs w:val="24"/>
              </w:rPr>
              <w:t>.</w:t>
            </w:r>
          </w:p>
          <w:p w:rsidR="00330279" w:rsidRPr="00330279" w:rsidRDefault="00330279" w:rsidP="0079094E">
            <w:pPr>
              <w:spacing w:after="120" w:line="240" w:lineRule="auto"/>
              <w:jc w:val="both"/>
              <w:rPr>
                <w:rFonts w:ascii="Times New Roman" w:hAnsi="Times New Roman"/>
                <w:sz w:val="24"/>
                <w:szCs w:val="24"/>
              </w:rPr>
            </w:pPr>
          </w:p>
          <w:p w:rsidR="00325DB2" w:rsidRPr="008F275E" w:rsidRDefault="00325DB2" w:rsidP="0079094E">
            <w:pPr>
              <w:spacing w:after="120" w:line="240" w:lineRule="auto"/>
              <w:jc w:val="both"/>
              <w:rPr>
                <w:rFonts w:ascii="Times New Roman" w:hAnsi="Times New Roman"/>
                <w:sz w:val="24"/>
                <w:szCs w:val="24"/>
              </w:rPr>
            </w:pPr>
            <w:r w:rsidRPr="00F81615">
              <w:rPr>
                <w:rFonts w:ascii="Times New Roman" w:hAnsi="Times New Roman"/>
                <w:sz w:val="24"/>
                <w:szCs w:val="24"/>
              </w:rPr>
              <w:t xml:space="preserve">Saistībā ar Finanšu pratības stratēģiju 2014.-2020. gadam un tās ieviešanas gaitu paralēli tiek izstrādāts Latvijas iedzīvotāju finanšu pratības ikgadējā mērījuma mehānisms jeb Finanšu pratības indekss, kas atspoguļos sabiedrības finanšu izpratnes un izglītības līmeņa finanšu jautājumos izmaiņas. </w:t>
            </w:r>
          </w:p>
        </w:tc>
        <w:tc>
          <w:tcPr>
            <w:tcW w:w="613"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9D5E16" w:rsidP="0079094E">
            <w:pPr>
              <w:spacing w:after="120" w:line="240" w:lineRule="auto"/>
              <w:jc w:val="both"/>
              <w:rPr>
                <w:rFonts w:ascii="Times New Roman" w:hAnsi="Times New Roman"/>
                <w:color w:val="000000"/>
                <w:sz w:val="24"/>
                <w:szCs w:val="24"/>
              </w:rPr>
            </w:pPr>
            <w:r w:rsidRPr="00F81615">
              <w:rPr>
                <w:rFonts w:ascii="Times New Roman" w:hAnsi="Times New Roman"/>
                <w:sz w:val="24"/>
                <w:szCs w:val="24"/>
              </w:rPr>
              <w:t>Finanšu pratības indeks</w:t>
            </w:r>
            <w:r>
              <w:rPr>
                <w:rFonts w:ascii="Times New Roman" w:hAnsi="Times New Roman"/>
                <w:sz w:val="24"/>
                <w:szCs w:val="24"/>
              </w:rPr>
              <w:t>a izstrādei-</w:t>
            </w:r>
            <w:r w:rsidDel="009D5E16">
              <w:rPr>
                <w:rFonts w:ascii="Times New Roman" w:hAnsi="Times New Roman"/>
                <w:color w:val="000000"/>
                <w:sz w:val="24"/>
                <w:szCs w:val="24"/>
              </w:rPr>
              <w:t xml:space="preserve"> </w:t>
            </w:r>
            <w:r w:rsidR="007131A9">
              <w:rPr>
                <w:rFonts w:ascii="Times New Roman" w:hAnsi="Times New Roman"/>
                <w:color w:val="000000"/>
                <w:sz w:val="24"/>
                <w:szCs w:val="24"/>
              </w:rPr>
              <w:t>01.07</w:t>
            </w:r>
            <w:r w:rsidR="00325DB2" w:rsidRPr="008F275E">
              <w:rPr>
                <w:rFonts w:ascii="Times New Roman" w:hAnsi="Times New Roman"/>
                <w:color w:val="000000"/>
                <w:sz w:val="24"/>
                <w:szCs w:val="24"/>
              </w:rPr>
              <w:t>.</w:t>
            </w:r>
            <w:r w:rsidR="007131A9" w:rsidRPr="008F275E">
              <w:rPr>
                <w:rFonts w:ascii="Times New Roman" w:hAnsi="Times New Roman"/>
                <w:color w:val="000000"/>
                <w:sz w:val="24"/>
                <w:szCs w:val="24"/>
              </w:rPr>
              <w:t>201</w:t>
            </w:r>
            <w:r w:rsidR="007131A9">
              <w:rPr>
                <w:rFonts w:ascii="Times New Roman" w:hAnsi="Times New Roman"/>
                <w:color w:val="000000"/>
                <w:sz w:val="24"/>
                <w:szCs w:val="24"/>
              </w:rPr>
              <w:t>4</w:t>
            </w:r>
            <w:r w:rsidR="00325DB2" w:rsidRPr="008F275E">
              <w:rPr>
                <w:rFonts w:ascii="Times New Roman" w:hAnsi="Times New Roman"/>
                <w:color w:val="000000"/>
                <w:sz w:val="24"/>
                <w:szCs w:val="24"/>
              </w:rPr>
              <w:t>.</w:t>
            </w:r>
          </w:p>
          <w:p w:rsidR="00325DB2" w:rsidRDefault="00325DB2" w:rsidP="0079094E">
            <w:pPr>
              <w:spacing w:after="120" w:line="240" w:lineRule="auto"/>
              <w:jc w:val="both"/>
              <w:rPr>
                <w:rFonts w:ascii="Times New Roman" w:hAnsi="Times New Roman"/>
                <w:color w:val="000000"/>
                <w:sz w:val="24"/>
                <w:szCs w:val="24"/>
              </w:rPr>
            </w:pPr>
          </w:p>
          <w:p w:rsidR="00325DB2" w:rsidRPr="008F275E" w:rsidRDefault="00325DB2"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Finanšu pratības līmeņa mērījumiem - </w:t>
            </w:r>
            <w:r w:rsidR="00B75FF8">
              <w:rPr>
                <w:rFonts w:ascii="Times New Roman" w:hAnsi="Times New Roman"/>
                <w:color w:val="000000"/>
                <w:sz w:val="24"/>
                <w:szCs w:val="24"/>
              </w:rPr>
              <w:t>pastāvīgi</w:t>
            </w:r>
          </w:p>
        </w:tc>
        <w:tc>
          <w:tcPr>
            <w:tcW w:w="565" w:type="pct"/>
            <w:gridSpan w:val="3"/>
            <w:tcBorders>
              <w:top w:val="dashed" w:sz="4" w:space="0" w:color="auto"/>
              <w:left w:val="single" w:sz="4" w:space="0" w:color="auto"/>
              <w:bottom w:val="single" w:sz="4" w:space="0" w:color="auto"/>
              <w:right w:val="single" w:sz="4" w:space="0" w:color="auto"/>
            </w:tcBorders>
            <w:shd w:val="clear" w:color="auto" w:fill="FFFFFF" w:themeFill="background1"/>
          </w:tcPr>
          <w:p w:rsidR="00325DB2" w:rsidRPr="000E3EB3" w:rsidRDefault="00325DB2" w:rsidP="00392F2A">
            <w:pPr>
              <w:spacing w:after="120" w:line="240" w:lineRule="auto"/>
              <w:jc w:val="both"/>
              <w:rPr>
                <w:rFonts w:ascii="Times New Roman" w:hAnsi="Times New Roman"/>
                <w:color w:val="000000"/>
                <w:sz w:val="24"/>
                <w:szCs w:val="24"/>
              </w:rPr>
            </w:pPr>
            <w:r w:rsidRPr="00F67B95">
              <w:rPr>
                <w:rFonts w:ascii="Times New Roman" w:hAnsi="Times New Roman"/>
                <w:color w:val="000000"/>
                <w:sz w:val="24"/>
                <w:szCs w:val="24"/>
              </w:rPr>
              <w:t>FKTK</w:t>
            </w:r>
            <w:r>
              <w:rPr>
                <w:rFonts w:ascii="Times New Roman" w:hAnsi="Times New Roman"/>
                <w:color w:val="000000"/>
                <w:sz w:val="24"/>
                <w:szCs w:val="24"/>
              </w:rPr>
              <w:t xml:space="preserve">, </w:t>
            </w:r>
            <w:r w:rsidR="00B75FF8">
              <w:rPr>
                <w:rFonts w:ascii="Times New Roman" w:hAnsi="Times New Roman"/>
                <w:color w:val="000000"/>
                <w:sz w:val="24"/>
                <w:szCs w:val="24"/>
              </w:rPr>
              <w:t>LB</w:t>
            </w:r>
            <w:r w:rsidRPr="0076757E">
              <w:rPr>
                <w:rFonts w:ascii="Times New Roman" w:hAnsi="Times New Roman"/>
                <w:color w:val="000000"/>
                <w:sz w:val="24"/>
                <w:szCs w:val="24"/>
              </w:rPr>
              <w:t>,</w:t>
            </w:r>
            <w:r w:rsidR="00B75FF8">
              <w:rPr>
                <w:rFonts w:ascii="Times New Roman" w:hAnsi="Times New Roman"/>
                <w:color w:val="000000"/>
                <w:sz w:val="24"/>
                <w:szCs w:val="24"/>
              </w:rPr>
              <w:t xml:space="preserve"> FM,</w:t>
            </w:r>
            <w:r w:rsidRPr="0076757E">
              <w:rPr>
                <w:rFonts w:ascii="Times New Roman" w:hAnsi="Times New Roman"/>
                <w:color w:val="000000"/>
                <w:sz w:val="24"/>
                <w:szCs w:val="24"/>
              </w:rPr>
              <w:t xml:space="preserve"> Banku augstskola, </w:t>
            </w:r>
            <w:r>
              <w:rPr>
                <w:rFonts w:ascii="Times New Roman" w:hAnsi="Times New Roman"/>
                <w:color w:val="000000"/>
                <w:sz w:val="24"/>
                <w:szCs w:val="24"/>
              </w:rPr>
              <w:t xml:space="preserve">LKA, </w:t>
            </w:r>
            <w:r w:rsidRPr="000E3EB3">
              <w:rPr>
                <w:rFonts w:ascii="Times New Roman" w:hAnsi="Times New Roman"/>
                <w:color w:val="000000"/>
                <w:sz w:val="24"/>
                <w:szCs w:val="24"/>
              </w:rPr>
              <w:t>EM, PTAC,</w:t>
            </w:r>
            <w:r w:rsidR="00AA01E5">
              <w:rPr>
                <w:rFonts w:ascii="Times New Roman" w:hAnsi="Times New Roman"/>
                <w:color w:val="000000"/>
                <w:sz w:val="24"/>
                <w:szCs w:val="24"/>
              </w:rPr>
              <w:t xml:space="preserve"> </w:t>
            </w:r>
            <w:r>
              <w:rPr>
                <w:rFonts w:ascii="Times New Roman" w:hAnsi="Times New Roman"/>
                <w:color w:val="000000"/>
                <w:sz w:val="24"/>
                <w:szCs w:val="24"/>
              </w:rPr>
              <w:t>IZM, VISC,</w:t>
            </w:r>
            <w:r w:rsidR="00AA01E5">
              <w:rPr>
                <w:rFonts w:ascii="Times New Roman" w:hAnsi="Times New Roman"/>
                <w:color w:val="000000"/>
                <w:sz w:val="24"/>
                <w:szCs w:val="24"/>
              </w:rPr>
              <w:t xml:space="preserve"> AFI,</w:t>
            </w:r>
            <w:r>
              <w:rPr>
                <w:rFonts w:ascii="Times New Roman" w:hAnsi="Times New Roman"/>
                <w:color w:val="000000"/>
                <w:sz w:val="24"/>
                <w:szCs w:val="24"/>
              </w:rPr>
              <w:t xml:space="preserve"> tirgus dalībnieki-komercbankas</w:t>
            </w:r>
          </w:p>
        </w:tc>
        <w:tc>
          <w:tcPr>
            <w:tcW w:w="1133" w:type="pct"/>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9D5E16" w:rsidP="0079094E">
            <w:pPr>
              <w:spacing w:after="120" w:line="240" w:lineRule="auto"/>
              <w:jc w:val="both"/>
              <w:rPr>
                <w:rFonts w:ascii="Times New Roman" w:hAnsi="Times New Roman"/>
                <w:sz w:val="24"/>
                <w:szCs w:val="24"/>
              </w:rPr>
            </w:pPr>
            <w:r>
              <w:rPr>
                <w:rFonts w:ascii="Times New Roman" w:hAnsi="Times New Roman"/>
                <w:sz w:val="24"/>
                <w:szCs w:val="24"/>
              </w:rPr>
              <w:t>I</w:t>
            </w:r>
            <w:r w:rsidR="00325DB2">
              <w:rPr>
                <w:rFonts w:ascii="Times New Roman" w:hAnsi="Times New Roman"/>
                <w:sz w:val="24"/>
                <w:szCs w:val="24"/>
              </w:rPr>
              <w:t xml:space="preserve">eviest Latvijas </w:t>
            </w:r>
            <w:r>
              <w:rPr>
                <w:rFonts w:ascii="Times New Roman" w:hAnsi="Times New Roman"/>
                <w:sz w:val="24"/>
                <w:szCs w:val="24"/>
              </w:rPr>
              <w:t xml:space="preserve">iedzīvotāju </w:t>
            </w:r>
            <w:r w:rsidR="00325DB2">
              <w:rPr>
                <w:rFonts w:ascii="Times New Roman" w:hAnsi="Times New Roman"/>
                <w:sz w:val="24"/>
                <w:szCs w:val="24"/>
              </w:rPr>
              <w:t>finanšu pratības stratēģiju 2014.-2020.gadam.</w:t>
            </w:r>
          </w:p>
          <w:p w:rsidR="00325DB2" w:rsidRDefault="00325DB2" w:rsidP="0079094E">
            <w:pPr>
              <w:spacing w:after="120" w:line="240" w:lineRule="auto"/>
              <w:jc w:val="both"/>
              <w:rPr>
                <w:rFonts w:ascii="Times New Roman" w:hAnsi="Times New Roman"/>
                <w:sz w:val="24"/>
                <w:szCs w:val="24"/>
              </w:rPr>
            </w:pPr>
            <w:r>
              <w:rPr>
                <w:rFonts w:ascii="Times New Roman" w:hAnsi="Times New Roman"/>
                <w:sz w:val="24"/>
                <w:szCs w:val="24"/>
              </w:rPr>
              <w:t>Noteikt un analizēt Latvijas iedzīvotāju finanšu pratības līmeņa ikgadējās izmaiņas.</w:t>
            </w:r>
          </w:p>
          <w:p w:rsidR="00325DB2" w:rsidRDefault="00325DB2" w:rsidP="0079094E">
            <w:pPr>
              <w:spacing w:after="120" w:line="240" w:lineRule="auto"/>
              <w:jc w:val="both"/>
              <w:rPr>
                <w:rFonts w:ascii="Times New Roman" w:hAnsi="Times New Roman"/>
                <w:sz w:val="24"/>
                <w:szCs w:val="24"/>
              </w:rPr>
            </w:pPr>
          </w:p>
          <w:p w:rsidR="00325DB2" w:rsidRPr="000E3EB3" w:rsidRDefault="00325DB2" w:rsidP="0079094E">
            <w:pPr>
              <w:spacing w:after="120" w:line="240" w:lineRule="auto"/>
              <w:jc w:val="both"/>
              <w:rPr>
                <w:rFonts w:ascii="Times New Roman" w:hAnsi="Times New Roman"/>
                <w:color w:val="000000"/>
                <w:sz w:val="24"/>
                <w:szCs w:val="24"/>
              </w:rPr>
            </w:pPr>
          </w:p>
        </w:tc>
        <w:tc>
          <w:tcPr>
            <w:tcW w:w="675" w:type="pct"/>
            <w:gridSpan w:val="2"/>
            <w:tcBorders>
              <w:top w:val="dashed" w:sz="4" w:space="0" w:color="auto"/>
              <w:left w:val="single" w:sz="4" w:space="0" w:color="auto"/>
              <w:bottom w:val="single" w:sz="4" w:space="0" w:color="auto"/>
              <w:right w:val="single" w:sz="4" w:space="0" w:color="auto"/>
            </w:tcBorders>
            <w:shd w:val="clear" w:color="auto" w:fill="FFFFFF" w:themeFill="background1"/>
          </w:tcPr>
          <w:p w:rsidR="00325DB2" w:rsidRDefault="00325DB2" w:rsidP="0079094E">
            <w:pPr>
              <w:spacing w:after="120" w:line="240" w:lineRule="auto"/>
              <w:jc w:val="both"/>
              <w:rPr>
                <w:rFonts w:ascii="Times New Roman" w:hAnsi="Times New Roman"/>
                <w:color w:val="000000"/>
                <w:sz w:val="24"/>
                <w:szCs w:val="24"/>
              </w:rPr>
            </w:pPr>
            <w:r w:rsidRPr="00666244">
              <w:rPr>
                <w:rFonts w:ascii="Times New Roman" w:hAnsi="Times New Roman"/>
                <w:color w:val="000000"/>
                <w:sz w:val="24"/>
                <w:szCs w:val="24"/>
              </w:rPr>
              <w:t>Partneru personāla resurss un finanšu iz</w:t>
            </w:r>
            <w:r w:rsidR="00392F2A">
              <w:rPr>
                <w:rFonts w:ascii="Times New Roman" w:hAnsi="Times New Roman"/>
                <w:color w:val="000000"/>
                <w:sz w:val="24"/>
                <w:szCs w:val="24"/>
              </w:rPr>
              <w:t>glītības veicināšanai paredzētā</w:t>
            </w:r>
            <w:r w:rsidRPr="00666244">
              <w:rPr>
                <w:rFonts w:ascii="Times New Roman" w:hAnsi="Times New Roman"/>
                <w:color w:val="000000"/>
                <w:sz w:val="24"/>
                <w:szCs w:val="24"/>
              </w:rPr>
              <w:t xml:space="preserve"> iestāžu budžeta līdzekļu ietv</w:t>
            </w:r>
            <w:r>
              <w:rPr>
                <w:rFonts w:ascii="Times New Roman" w:hAnsi="Times New Roman"/>
                <w:color w:val="000000"/>
                <w:sz w:val="24"/>
                <w:szCs w:val="24"/>
              </w:rPr>
              <w:t>a</w:t>
            </w:r>
            <w:r w:rsidRPr="00666244">
              <w:rPr>
                <w:rFonts w:ascii="Times New Roman" w:hAnsi="Times New Roman"/>
                <w:color w:val="000000"/>
                <w:sz w:val="24"/>
                <w:szCs w:val="24"/>
              </w:rPr>
              <w:t>ros.</w:t>
            </w:r>
          </w:p>
          <w:p w:rsidR="00325DB2" w:rsidRPr="000E3EB3" w:rsidRDefault="00325DB2" w:rsidP="0079094E">
            <w:pPr>
              <w:spacing w:after="120" w:line="240" w:lineRule="auto"/>
              <w:jc w:val="both"/>
              <w:rPr>
                <w:rFonts w:ascii="Times New Roman" w:hAnsi="Times New Roman"/>
                <w:color w:val="000000"/>
                <w:sz w:val="24"/>
                <w:szCs w:val="24"/>
              </w:rPr>
            </w:pPr>
          </w:p>
        </w:tc>
      </w:tr>
      <w:tr w:rsidR="00325DB2" w:rsidTr="002735A4">
        <w:tc>
          <w:tcPr>
            <w:tcW w:w="2014" w:type="pct"/>
            <w:tcBorders>
              <w:top w:val="single" w:sz="4" w:space="0" w:color="auto"/>
              <w:left w:val="single" w:sz="4" w:space="0" w:color="auto"/>
              <w:bottom w:val="single" w:sz="4" w:space="0" w:color="auto"/>
              <w:right w:val="single" w:sz="4" w:space="0" w:color="auto"/>
            </w:tcBorders>
            <w:shd w:val="clear" w:color="auto" w:fill="FFFFFF" w:themeFill="background1"/>
          </w:tcPr>
          <w:p w:rsidR="00325DB2" w:rsidRPr="004B75EE" w:rsidRDefault="00D22B8E" w:rsidP="0079094E">
            <w:pPr>
              <w:spacing w:after="120" w:line="240" w:lineRule="auto"/>
              <w:jc w:val="both"/>
              <w:rPr>
                <w:rFonts w:ascii="Times New Roman" w:hAnsi="Times New Roman"/>
                <w:b/>
                <w:sz w:val="24"/>
                <w:szCs w:val="24"/>
              </w:rPr>
            </w:pPr>
            <w:r>
              <w:rPr>
                <w:rFonts w:ascii="Times New Roman" w:hAnsi="Times New Roman"/>
                <w:b/>
                <w:sz w:val="24"/>
                <w:szCs w:val="24"/>
              </w:rPr>
              <w:t>6</w:t>
            </w:r>
            <w:r w:rsidR="00325DB2" w:rsidRPr="004B75EE">
              <w:rPr>
                <w:rFonts w:ascii="Times New Roman" w:hAnsi="Times New Roman"/>
                <w:b/>
                <w:sz w:val="24"/>
                <w:szCs w:val="24"/>
              </w:rPr>
              <w:t>.2. Informējošu un izglītojošu kampaņu organizēšana patērētāju kredītsloga samazināšanai un informēšanai par finanšu pakalpojumiem</w:t>
            </w:r>
          </w:p>
          <w:p w:rsidR="00330279" w:rsidRDefault="00330279" w:rsidP="0079094E">
            <w:pPr>
              <w:spacing w:after="120" w:line="240" w:lineRule="auto"/>
              <w:jc w:val="both"/>
              <w:rPr>
                <w:rFonts w:ascii="Times New Roman" w:hAnsi="Times New Roman"/>
                <w:sz w:val="24"/>
                <w:szCs w:val="24"/>
              </w:rPr>
            </w:pPr>
            <w:r>
              <w:rPr>
                <w:rFonts w:ascii="Times New Roman" w:hAnsi="Times New Roman"/>
                <w:sz w:val="24"/>
                <w:szCs w:val="24"/>
              </w:rPr>
              <w:t>Rīcībai:</w:t>
            </w:r>
          </w:p>
          <w:p w:rsidR="00325DB2" w:rsidRPr="004B75EE" w:rsidRDefault="00325DB2" w:rsidP="0079094E">
            <w:pPr>
              <w:spacing w:after="120" w:line="240" w:lineRule="auto"/>
              <w:jc w:val="both"/>
              <w:rPr>
                <w:rFonts w:ascii="Times New Roman" w:hAnsi="Times New Roman"/>
                <w:sz w:val="24"/>
                <w:szCs w:val="24"/>
              </w:rPr>
            </w:pPr>
            <w:r w:rsidRPr="004B75EE">
              <w:rPr>
                <w:rFonts w:ascii="Times New Roman" w:hAnsi="Times New Roman"/>
                <w:sz w:val="24"/>
                <w:szCs w:val="24"/>
              </w:rPr>
              <w:t>Lai risinātu problēmas patērētāju kreditēšanas tirgū ar pārlieku mājsaimniecību parādu slogu, kā arī veicinātu uz informāciju balstītu lēmumu pieņemšanu par kredīta nepieciešamību un izdevīgāko piedāvājumu, nepieciešama patērētāju izglītošanas kampaņa par šo finanšu pakalpojumu izmantošanas aspektiem bezatbildīgas aizņemšanās samazināšanai (TV un radio reklāma, infografikas, viedokļu raksti drukātajos medijos, u.c. aktivitātes, kas sasniegtu to sabiedrības daļu, kas izmanto ātro kredītu pakalpojumus)</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25DB2" w:rsidRPr="008F275E" w:rsidRDefault="00335258" w:rsidP="0079094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Pastāvīgi.</w:t>
            </w:r>
          </w:p>
        </w:tc>
        <w:tc>
          <w:tcPr>
            <w:tcW w:w="56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5DB2" w:rsidRDefault="00325DB2" w:rsidP="0079094E">
            <w:pPr>
              <w:spacing w:after="120" w:line="240" w:lineRule="auto"/>
              <w:jc w:val="both"/>
              <w:rPr>
                <w:rFonts w:ascii="Times New Roman" w:hAnsi="Times New Roman"/>
                <w:color w:val="000000"/>
                <w:sz w:val="24"/>
                <w:szCs w:val="24"/>
              </w:rPr>
            </w:pPr>
            <w:r w:rsidRPr="004B75EE">
              <w:rPr>
                <w:rFonts w:ascii="Times New Roman" w:hAnsi="Times New Roman"/>
                <w:color w:val="000000"/>
                <w:sz w:val="24"/>
                <w:szCs w:val="24"/>
              </w:rPr>
              <w:t>PTAC, EM</w:t>
            </w:r>
          </w:p>
        </w:tc>
        <w:tc>
          <w:tcPr>
            <w:tcW w:w="1133" w:type="pct"/>
            <w:tcBorders>
              <w:top w:val="single" w:sz="4" w:space="0" w:color="auto"/>
              <w:left w:val="single" w:sz="4" w:space="0" w:color="auto"/>
              <w:bottom w:val="single" w:sz="4" w:space="0" w:color="auto"/>
              <w:right w:val="single" w:sz="4" w:space="0" w:color="auto"/>
            </w:tcBorders>
            <w:shd w:val="clear" w:color="auto" w:fill="FFFFFF" w:themeFill="background1"/>
          </w:tcPr>
          <w:p w:rsidR="00325DB2" w:rsidRDefault="00325DB2" w:rsidP="0079094E">
            <w:pPr>
              <w:spacing w:after="120" w:line="240" w:lineRule="auto"/>
              <w:jc w:val="both"/>
              <w:rPr>
                <w:rFonts w:ascii="Times New Roman" w:hAnsi="Times New Roman"/>
                <w:color w:val="000000"/>
                <w:sz w:val="24"/>
                <w:szCs w:val="24"/>
              </w:rPr>
            </w:pPr>
            <w:r w:rsidRPr="004B75EE">
              <w:rPr>
                <w:rFonts w:ascii="Times New Roman" w:hAnsi="Times New Roman"/>
                <w:color w:val="000000"/>
                <w:sz w:val="24"/>
                <w:szCs w:val="24"/>
              </w:rPr>
              <w:t>Izstrādāt un īstenot uz Latvijas iedzīvotājiem vērstu mediju kampaņu par patērētāja tiesībām un pienākumiem, slēdzot patērētāja kreditēšanas līgumu.</w:t>
            </w: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25DB2" w:rsidRPr="00666244" w:rsidRDefault="00335258" w:rsidP="00335258">
            <w:pPr>
              <w:spacing w:after="120" w:line="240" w:lineRule="auto"/>
              <w:jc w:val="both"/>
              <w:rPr>
                <w:rFonts w:ascii="Times New Roman" w:hAnsi="Times New Roman"/>
                <w:color w:val="000000"/>
                <w:sz w:val="24"/>
                <w:szCs w:val="24"/>
              </w:rPr>
            </w:pPr>
            <w:r>
              <w:rPr>
                <w:rFonts w:ascii="Times New Roman" w:hAnsi="Times New Roman"/>
                <w:color w:val="000000"/>
                <w:sz w:val="24"/>
                <w:szCs w:val="24"/>
              </w:rPr>
              <w:t>Finanšu izglītības veicināšanai paredzētā iestāžu budžeta līdzekļu ietvaros, kā arī p</w:t>
            </w:r>
            <w:r w:rsidR="00325DB2" w:rsidRPr="00903B4E">
              <w:rPr>
                <w:rFonts w:ascii="Times New Roman" w:hAnsi="Times New Roman"/>
                <w:color w:val="000000"/>
                <w:sz w:val="24"/>
                <w:szCs w:val="24"/>
              </w:rPr>
              <w:t>apildus līdzekļu nepieciešamību izvērtēt 2015.g.valsts budžeta sagatavošanā</w:t>
            </w:r>
            <w:r>
              <w:rPr>
                <w:rFonts w:ascii="Times New Roman" w:hAnsi="Times New Roman"/>
                <w:color w:val="000000"/>
                <w:sz w:val="24"/>
                <w:szCs w:val="24"/>
              </w:rPr>
              <w:t>.</w:t>
            </w:r>
          </w:p>
        </w:tc>
      </w:tr>
    </w:tbl>
    <w:p w:rsidR="006F03A8" w:rsidRDefault="006F03A8" w:rsidP="0081436E">
      <w:pPr>
        <w:rPr>
          <w:rFonts w:ascii="Times New Roman" w:hAnsi="Times New Roman"/>
          <w:b/>
          <w:sz w:val="28"/>
          <w:szCs w:val="28"/>
        </w:rPr>
      </w:pPr>
    </w:p>
    <w:p w:rsidR="0081436E" w:rsidRPr="003B69BB" w:rsidRDefault="006F03A8" w:rsidP="0081436E">
      <w:pPr>
        <w:rPr>
          <w:rFonts w:ascii="Times New Roman" w:hAnsi="Times New Roman"/>
          <w:sz w:val="28"/>
          <w:szCs w:val="28"/>
        </w:rPr>
      </w:pPr>
      <w:r w:rsidRPr="003B69BB">
        <w:rPr>
          <w:rFonts w:ascii="Times New Roman" w:hAnsi="Times New Roman"/>
          <w:sz w:val="28"/>
          <w:szCs w:val="28"/>
        </w:rPr>
        <w:lastRenderedPageBreak/>
        <w:t>Finanšu ministrs</w:t>
      </w:r>
      <w:r w:rsidR="00C814CF" w:rsidRPr="003B69BB">
        <w:rPr>
          <w:rFonts w:ascii="Times New Roman" w:hAnsi="Times New Roman"/>
          <w:sz w:val="28"/>
          <w:szCs w:val="28"/>
        </w:rPr>
        <w:tab/>
      </w:r>
      <w:r w:rsidR="00C814CF" w:rsidRPr="003B69BB">
        <w:rPr>
          <w:rFonts w:ascii="Times New Roman" w:hAnsi="Times New Roman"/>
          <w:sz w:val="28"/>
          <w:szCs w:val="28"/>
        </w:rPr>
        <w:tab/>
      </w:r>
      <w:r w:rsidR="00C814CF" w:rsidRPr="003B69BB">
        <w:rPr>
          <w:rFonts w:ascii="Times New Roman" w:hAnsi="Times New Roman"/>
          <w:sz w:val="28"/>
          <w:szCs w:val="28"/>
        </w:rPr>
        <w:tab/>
        <w:t xml:space="preserve">   </w:t>
      </w:r>
      <w:r w:rsidR="00C814CF" w:rsidRPr="003B69BB">
        <w:rPr>
          <w:rFonts w:ascii="Times New Roman" w:hAnsi="Times New Roman"/>
          <w:sz w:val="28"/>
          <w:szCs w:val="28"/>
        </w:rPr>
        <w:tab/>
      </w:r>
      <w:r w:rsidR="00C814CF" w:rsidRPr="003B69BB">
        <w:rPr>
          <w:rFonts w:ascii="Times New Roman" w:hAnsi="Times New Roman"/>
          <w:sz w:val="28"/>
          <w:szCs w:val="28"/>
        </w:rPr>
        <w:tab/>
        <w:t xml:space="preserve">                                                                     </w:t>
      </w:r>
      <w:r w:rsidRPr="003B69BB">
        <w:rPr>
          <w:rFonts w:ascii="Times New Roman" w:hAnsi="Times New Roman"/>
          <w:sz w:val="28"/>
          <w:szCs w:val="28"/>
        </w:rPr>
        <w:t>A.Vilks</w:t>
      </w:r>
    </w:p>
    <w:p w:rsidR="00D20302" w:rsidRDefault="00D20302" w:rsidP="0081436E">
      <w:pPr>
        <w:rPr>
          <w:rFonts w:ascii="Times New Roman" w:eastAsia="Times New Roman" w:hAnsi="Times New Roman"/>
          <w:lang w:eastAsia="lv-LV"/>
        </w:rPr>
      </w:pPr>
    </w:p>
    <w:p w:rsidR="00D20302" w:rsidRDefault="00D20302" w:rsidP="0081436E">
      <w:pPr>
        <w:rPr>
          <w:rFonts w:ascii="Times New Roman" w:eastAsia="Times New Roman" w:hAnsi="Times New Roman"/>
          <w:lang w:eastAsia="lv-LV"/>
        </w:rPr>
      </w:pPr>
    </w:p>
    <w:p w:rsidR="00D20302" w:rsidRDefault="00D20302" w:rsidP="0081436E">
      <w:pPr>
        <w:rPr>
          <w:rFonts w:ascii="Times New Roman" w:eastAsia="Times New Roman" w:hAnsi="Times New Roman"/>
          <w:lang w:eastAsia="lv-LV"/>
        </w:rPr>
      </w:pPr>
    </w:p>
    <w:p w:rsidR="00D20302" w:rsidRDefault="00D20302" w:rsidP="0081436E">
      <w:pPr>
        <w:rPr>
          <w:rFonts w:ascii="Times New Roman" w:eastAsia="Times New Roman" w:hAnsi="Times New Roman"/>
          <w:lang w:eastAsia="lv-LV"/>
        </w:rPr>
      </w:pPr>
    </w:p>
    <w:p w:rsidR="00D20302" w:rsidRDefault="00D20302" w:rsidP="0081436E">
      <w:pPr>
        <w:rPr>
          <w:rFonts w:ascii="Times New Roman" w:eastAsia="Times New Roman" w:hAnsi="Times New Roman"/>
          <w:lang w:eastAsia="lv-LV"/>
        </w:rPr>
      </w:pPr>
    </w:p>
    <w:p w:rsidR="00D20302" w:rsidRDefault="00D20302" w:rsidP="0081436E">
      <w:pPr>
        <w:rPr>
          <w:rFonts w:ascii="Times New Roman" w:eastAsia="Times New Roman" w:hAnsi="Times New Roman"/>
          <w:lang w:eastAsia="lv-LV"/>
        </w:rPr>
      </w:pPr>
    </w:p>
    <w:p w:rsidR="00D20302" w:rsidRPr="006F03A8" w:rsidRDefault="006A0F60" w:rsidP="00D20302">
      <w:pPr>
        <w:spacing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sidR="00571381">
        <w:rPr>
          <w:rFonts w:ascii="Times New Roman" w:eastAsia="Times New Roman" w:hAnsi="Times New Roman"/>
          <w:sz w:val="20"/>
          <w:szCs w:val="20"/>
          <w:lang w:eastAsia="lv-LV"/>
        </w:rPr>
        <w:t>1</w:t>
      </w:r>
      <w:r>
        <w:rPr>
          <w:rFonts w:ascii="Times New Roman" w:eastAsia="Times New Roman" w:hAnsi="Times New Roman"/>
          <w:sz w:val="20"/>
          <w:szCs w:val="20"/>
          <w:lang w:eastAsia="lv-LV"/>
        </w:rPr>
        <w:t>.03</w:t>
      </w:r>
      <w:r w:rsidR="00A27B6F" w:rsidRPr="006F03A8">
        <w:rPr>
          <w:rFonts w:ascii="Times New Roman" w:eastAsia="Times New Roman" w:hAnsi="Times New Roman"/>
          <w:sz w:val="20"/>
          <w:szCs w:val="20"/>
          <w:lang w:eastAsia="lv-LV"/>
        </w:rPr>
        <w:t>.</w:t>
      </w:r>
      <w:r w:rsidR="00C501A4">
        <w:rPr>
          <w:rFonts w:ascii="Times New Roman" w:eastAsia="Times New Roman" w:hAnsi="Times New Roman"/>
          <w:sz w:val="20"/>
          <w:szCs w:val="20"/>
          <w:lang w:eastAsia="lv-LV"/>
        </w:rPr>
        <w:t>2014</w:t>
      </w:r>
      <w:r w:rsidR="00A27B6F" w:rsidRPr="006F03A8">
        <w:rPr>
          <w:rFonts w:ascii="Times New Roman" w:eastAsia="Times New Roman" w:hAnsi="Times New Roman"/>
          <w:sz w:val="20"/>
          <w:szCs w:val="20"/>
          <w:lang w:eastAsia="lv-LV"/>
        </w:rPr>
        <w:t xml:space="preserve">  </w:t>
      </w:r>
      <w:r w:rsidR="00C74DEC" w:rsidRPr="006F03A8">
        <w:rPr>
          <w:rFonts w:ascii="Times New Roman" w:eastAsia="Times New Roman" w:hAnsi="Times New Roman"/>
          <w:sz w:val="20"/>
          <w:szCs w:val="20"/>
          <w:lang w:eastAsia="lv-LV"/>
        </w:rPr>
        <w:t>1</w:t>
      </w:r>
      <w:r w:rsidR="00571381">
        <w:rPr>
          <w:rFonts w:ascii="Times New Roman" w:eastAsia="Times New Roman" w:hAnsi="Times New Roman"/>
          <w:sz w:val="20"/>
          <w:szCs w:val="20"/>
          <w:lang w:eastAsia="lv-LV"/>
        </w:rPr>
        <w:t>2</w:t>
      </w:r>
      <w:r w:rsidR="00C74DEC" w:rsidRPr="006F03A8">
        <w:rPr>
          <w:rFonts w:ascii="Times New Roman" w:eastAsia="Times New Roman" w:hAnsi="Times New Roman"/>
          <w:sz w:val="20"/>
          <w:szCs w:val="20"/>
          <w:lang w:eastAsia="lv-LV"/>
        </w:rPr>
        <w:t>:00</w:t>
      </w:r>
    </w:p>
    <w:p w:rsidR="00A27B6F" w:rsidRPr="006F03A8" w:rsidRDefault="00D22B8E" w:rsidP="00D20302">
      <w:pPr>
        <w:spacing w:after="0"/>
        <w:rPr>
          <w:rFonts w:ascii="Times New Roman" w:eastAsia="Times New Roman" w:hAnsi="Times New Roman"/>
          <w:sz w:val="20"/>
          <w:szCs w:val="20"/>
          <w:lang w:eastAsia="lv-LV"/>
        </w:rPr>
      </w:pPr>
      <w:r w:rsidRPr="006F03A8">
        <w:rPr>
          <w:rFonts w:ascii="Times New Roman" w:eastAsia="Times New Roman" w:hAnsi="Times New Roman"/>
          <w:sz w:val="20"/>
          <w:szCs w:val="20"/>
          <w:lang w:eastAsia="lv-LV"/>
        </w:rPr>
        <w:t>5</w:t>
      </w:r>
      <w:r w:rsidR="00571381">
        <w:rPr>
          <w:rFonts w:ascii="Times New Roman" w:eastAsia="Times New Roman" w:hAnsi="Times New Roman"/>
          <w:sz w:val="20"/>
          <w:szCs w:val="20"/>
          <w:lang w:eastAsia="lv-LV"/>
        </w:rPr>
        <w:t>650</w:t>
      </w:r>
    </w:p>
    <w:p w:rsidR="00A27B6F" w:rsidRPr="006F03A8" w:rsidRDefault="00A27B6F" w:rsidP="00D20302">
      <w:pPr>
        <w:spacing w:after="0" w:line="240" w:lineRule="auto"/>
        <w:rPr>
          <w:rFonts w:ascii="Times New Roman" w:eastAsia="Times New Roman" w:hAnsi="Times New Roman"/>
          <w:sz w:val="20"/>
          <w:szCs w:val="20"/>
          <w:lang w:eastAsia="lv-LV"/>
        </w:rPr>
      </w:pPr>
      <w:bookmarkStart w:id="0" w:name="OLE_LINK7"/>
      <w:bookmarkStart w:id="1" w:name="OLE_LINK8"/>
      <w:bookmarkStart w:id="2" w:name="OLE_LINK11"/>
      <w:bookmarkStart w:id="3" w:name="OLE_LINK12"/>
      <w:r w:rsidRPr="006F03A8">
        <w:rPr>
          <w:rFonts w:ascii="Times New Roman" w:eastAsia="Times New Roman" w:hAnsi="Times New Roman"/>
          <w:sz w:val="20"/>
          <w:szCs w:val="20"/>
          <w:lang w:eastAsia="lv-LV"/>
        </w:rPr>
        <w:t>ITiesnieks</w:t>
      </w:r>
    </w:p>
    <w:p w:rsidR="00A27B6F" w:rsidRPr="006F03A8" w:rsidRDefault="00A27B6F" w:rsidP="00D20302">
      <w:pPr>
        <w:spacing w:after="0" w:line="240" w:lineRule="auto"/>
        <w:rPr>
          <w:rFonts w:ascii="Times New Roman" w:hAnsi="Times New Roman"/>
          <w:sz w:val="20"/>
          <w:szCs w:val="20"/>
        </w:rPr>
      </w:pPr>
      <w:bookmarkStart w:id="4" w:name="_GoBack"/>
      <w:r w:rsidRPr="006F03A8">
        <w:rPr>
          <w:rFonts w:ascii="Times New Roman" w:eastAsia="Times New Roman" w:hAnsi="Times New Roman"/>
          <w:sz w:val="20"/>
          <w:szCs w:val="20"/>
          <w:lang w:eastAsia="lv-LV"/>
        </w:rPr>
        <w:t>670</w:t>
      </w:r>
      <w:bookmarkEnd w:id="0"/>
      <w:bookmarkEnd w:id="1"/>
      <w:r w:rsidRPr="006F03A8">
        <w:rPr>
          <w:rFonts w:ascii="Times New Roman" w:eastAsia="Times New Roman" w:hAnsi="Times New Roman"/>
          <w:sz w:val="20"/>
          <w:szCs w:val="20"/>
          <w:lang w:eastAsia="lv-LV"/>
        </w:rPr>
        <w:t>9</w:t>
      </w:r>
      <w:bookmarkEnd w:id="2"/>
      <w:bookmarkEnd w:id="3"/>
      <w:r w:rsidRPr="006F03A8">
        <w:rPr>
          <w:rFonts w:ascii="Times New Roman" w:eastAsia="Times New Roman" w:hAnsi="Times New Roman"/>
          <w:sz w:val="20"/>
          <w:szCs w:val="20"/>
          <w:lang w:eastAsia="lv-LV"/>
        </w:rPr>
        <w:t>5667, Imants.Tiesnieks@fm.gov.lv</w:t>
      </w:r>
    </w:p>
    <w:bookmarkEnd w:id="4"/>
    <w:p w:rsidR="00A27B6F" w:rsidRPr="00B35AA4" w:rsidRDefault="00A27B6F" w:rsidP="00F731CA">
      <w:pPr>
        <w:rPr>
          <w:b/>
        </w:rPr>
      </w:pPr>
    </w:p>
    <w:sectPr w:rsidR="00A27B6F" w:rsidRPr="00B35AA4" w:rsidSect="00F84505">
      <w:headerReference w:type="even" r:id="rId8"/>
      <w:headerReference w:type="default" r:id="rId9"/>
      <w:footerReference w:type="even" r:id="rId10"/>
      <w:footerReference w:type="default" r:id="rId11"/>
      <w:headerReference w:type="first" r:id="rId12"/>
      <w:footerReference w:type="first" r:id="rId13"/>
      <w:pgSz w:w="16840" w:h="11901" w:orient="landscape"/>
      <w:pgMar w:top="284" w:right="1106"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C9" w:rsidRDefault="00C83BC9" w:rsidP="00480AE3">
      <w:pPr>
        <w:spacing w:after="0" w:line="240" w:lineRule="auto"/>
      </w:pPr>
      <w:r>
        <w:separator/>
      </w:r>
    </w:p>
  </w:endnote>
  <w:endnote w:type="continuationSeparator" w:id="0">
    <w:p w:rsidR="00C83BC9" w:rsidRDefault="00C83BC9" w:rsidP="00480AE3">
      <w:pPr>
        <w:spacing w:after="0" w:line="240" w:lineRule="auto"/>
      </w:pPr>
      <w:r>
        <w:continuationSeparator/>
      </w:r>
    </w:p>
  </w:endnote>
  <w:endnote w:id="1">
    <w:p w:rsidR="00386682" w:rsidRDefault="00386682">
      <w:pPr>
        <w:pStyle w:val="EndnoteText"/>
      </w:pPr>
      <w:r w:rsidRPr="00335258">
        <w:rPr>
          <w:rStyle w:val="EndnoteReference"/>
          <w:rFonts w:ascii="Times New Roman" w:hAnsi="Times New Roman"/>
        </w:rPr>
        <w:endnoteRef/>
      </w:r>
      <w:r>
        <w:t xml:space="preserve"> </w:t>
      </w:r>
      <w:r w:rsidRPr="00335258">
        <w:rPr>
          <w:rFonts w:ascii="Times New Roman" w:hAnsi="Times New Roman"/>
        </w:rPr>
        <w:t>Pasākums ir definēts kā process, tādēļ tiešās darbības rezultātu plānā nevar definēt.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B" w:rsidRDefault="003B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47332"/>
      <w:docPartObj>
        <w:docPartGallery w:val="Page Numbers (Bottom of Page)"/>
        <w:docPartUnique/>
      </w:docPartObj>
    </w:sdtPr>
    <w:sdtEndPr>
      <w:rPr>
        <w:noProof/>
      </w:rPr>
    </w:sdtEndPr>
    <w:sdtContent>
      <w:p w:rsidR="00386682" w:rsidRDefault="00386682">
        <w:pPr>
          <w:pStyle w:val="Footer"/>
          <w:jc w:val="center"/>
          <w:rPr>
            <w:rFonts w:ascii="Times New Roman" w:hAnsi="Times New Roman"/>
            <w:noProof/>
          </w:rPr>
        </w:pPr>
        <w:r w:rsidRPr="00A27B6F">
          <w:rPr>
            <w:rFonts w:ascii="Times New Roman" w:hAnsi="Times New Roman"/>
          </w:rPr>
          <w:fldChar w:fldCharType="begin"/>
        </w:r>
        <w:r w:rsidRPr="00A27B6F">
          <w:rPr>
            <w:rFonts w:ascii="Times New Roman" w:hAnsi="Times New Roman"/>
          </w:rPr>
          <w:instrText xml:space="preserve"> PAGE   \* MERGEFORMAT </w:instrText>
        </w:r>
        <w:r w:rsidRPr="00A27B6F">
          <w:rPr>
            <w:rFonts w:ascii="Times New Roman" w:hAnsi="Times New Roman"/>
          </w:rPr>
          <w:fldChar w:fldCharType="separate"/>
        </w:r>
        <w:r w:rsidR="00427F05">
          <w:rPr>
            <w:rFonts w:ascii="Times New Roman" w:hAnsi="Times New Roman"/>
            <w:noProof/>
          </w:rPr>
          <w:t>27</w:t>
        </w:r>
        <w:r w:rsidRPr="00A27B6F">
          <w:rPr>
            <w:rFonts w:ascii="Times New Roman" w:hAnsi="Times New Roman"/>
            <w:noProof/>
          </w:rPr>
          <w:fldChar w:fldCharType="end"/>
        </w:r>
      </w:p>
      <w:p w:rsidR="00386682" w:rsidRPr="00A27B6F" w:rsidRDefault="00386682">
        <w:pPr>
          <w:pStyle w:val="Footer"/>
          <w:jc w:val="center"/>
          <w:rPr>
            <w:rFonts w:ascii="Times New Roman" w:hAnsi="Times New Roman"/>
            <w:noProof/>
          </w:rPr>
        </w:pPr>
      </w:p>
      <w:p w:rsidR="00386682" w:rsidRDefault="00386682" w:rsidP="00A27B6F">
        <w:pPr>
          <w:pStyle w:val="Footer"/>
        </w:pPr>
        <w:r w:rsidRPr="00A27B6F">
          <w:rPr>
            <w:rFonts w:ascii="Times New Roman" w:hAnsi="Times New Roman"/>
            <w:noProof/>
          </w:rPr>
          <w:t>FMpl</w:t>
        </w:r>
        <w:r w:rsidR="00571381">
          <w:rPr>
            <w:rFonts w:ascii="Times New Roman" w:hAnsi="Times New Roman"/>
            <w:noProof/>
          </w:rPr>
          <w:t>a</w:t>
        </w:r>
        <w:r w:rsidRPr="00A27B6F">
          <w:rPr>
            <w:rFonts w:ascii="Times New Roman" w:hAnsi="Times New Roman"/>
            <w:noProof/>
          </w:rPr>
          <w:t>ns_</w:t>
        </w:r>
        <w:r w:rsidR="004F7A61">
          <w:rPr>
            <w:rFonts w:ascii="Times New Roman" w:hAnsi="Times New Roman"/>
            <w:noProof/>
          </w:rPr>
          <w:t>1</w:t>
        </w:r>
        <w:r w:rsidR="00571381">
          <w:rPr>
            <w:rFonts w:ascii="Times New Roman" w:hAnsi="Times New Roman"/>
            <w:noProof/>
          </w:rPr>
          <w:t>1</w:t>
        </w:r>
        <w:r>
          <w:rPr>
            <w:rFonts w:ascii="Times New Roman" w:hAnsi="Times New Roman"/>
            <w:noProof/>
          </w:rPr>
          <w:t>0</w:t>
        </w:r>
        <w:r w:rsidR="004F7A61">
          <w:rPr>
            <w:rFonts w:ascii="Times New Roman" w:hAnsi="Times New Roman"/>
            <w:noProof/>
          </w:rPr>
          <w:t>3</w:t>
        </w:r>
        <w:r>
          <w:rPr>
            <w:rFonts w:ascii="Times New Roman" w:hAnsi="Times New Roman"/>
            <w:noProof/>
          </w:rPr>
          <w:t>2014</w:t>
        </w:r>
        <w:r w:rsidRPr="00A27B6F">
          <w:rPr>
            <w:rFonts w:ascii="Times New Roman" w:hAnsi="Times New Roman"/>
            <w:noProof/>
          </w:rPr>
          <w:t>_FSAPl</w:t>
        </w:r>
        <w:r w:rsidR="00571381">
          <w:rPr>
            <w:rFonts w:ascii="Times New Roman" w:hAnsi="Times New Roman"/>
            <w:noProof/>
          </w:rPr>
          <w:t>a</w:t>
        </w:r>
        <w:r w:rsidRPr="00A27B6F">
          <w:rPr>
            <w:rFonts w:ascii="Times New Roman" w:hAnsi="Times New Roman"/>
            <w:noProof/>
          </w:rPr>
          <w:t>na pielikums;  Finanšu sektora attīstības plāna 2014.-2016.gadam pielikums „Plānā paredzēt</w:t>
        </w:r>
        <w:r>
          <w:rPr>
            <w:rFonts w:ascii="Times New Roman" w:hAnsi="Times New Roman"/>
            <w:noProof/>
          </w:rPr>
          <w:t>ie</w:t>
        </w:r>
        <w:r w:rsidRPr="00A27B6F">
          <w:rPr>
            <w:rFonts w:ascii="Times New Roman" w:hAnsi="Times New Roman"/>
            <w:noProof/>
          </w:rPr>
          <w:t xml:space="preserve"> pasākum</w:t>
        </w:r>
        <w:r>
          <w:rPr>
            <w:rFonts w:ascii="Times New Roman" w:hAnsi="Times New Roman"/>
            <w:noProof/>
          </w:rPr>
          <w:t>i</w:t>
        </w:r>
        <w:r w:rsidRPr="00A27B6F">
          <w:rPr>
            <w:rFonts w:ascii="Times New Roman" w:hAnsi="Times New Roman"/>
            <w:noProof/>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B" w:rsidRDefault="003B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C9" w:rsidRDefault="00C83BC9" w:rsidP="00480AE3">
      <w:pPr>
        <w:spacing w:after="0" w:line="240" w:lineRule="auto"/>
      </w:pPr>
      <w:r>
        <w:separator/>
      </w:r>
    </w:p>
  </w:footnote>
  <w:footnote w:type="continuationSeparator" w:id="0">
    <w:p w:rsidR="00C83BC9" w:rsidRDefault="00C83BC9" w:rsidP="00480AE3">
      <w:pPr>
        <w:spacing w:after="0" w:line="240" w:lineRule="auto"/>
      </w:pPr>
      <w:r>
        <w:continuationSeparator/>
      </w:r>
    </w:p>
  </w:footnote>
  <w:footnote w:id="1">
    <w:p w:rsidR="00386682" w:rsidRDefault="00386682">
      <w:pPr>
        <w:pStyle w:val="FootnoteText"/>
      </w:pPr>
      <w:r>
        <w:rPr>
          <w:rStyle w:val="FootnoteReference"/>
        </w:rPr>
        <w:footnoteRef/>
      </w:r>
      <w:r>
        <w:t xml:space="preserve"> </w:t>
      </w:r>
      <w:r w:rsidRPr="00F75F08">
        <w:rPr>
          <w:rFonts w:ascii="Times New Roman" w:hAnsi="Times New Roman"/>
        </w:rPr>
        <w:t>Finanšu ministrijas prognoze 2013.gadam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82" w:rsidRDefault="00386682" w:rsidP="006427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682" w:rsidRDefault="00386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82" w:rsidRDefault="00386682">
    <w:pPr>
      <w:pStyle w:val="Header"/>
    </w:pPr>
    <w:r>
      <w:ptab w:relativeTo="margin" w:alignment="center" w:leader="none"/>
    </w:r>
    <w:r w:rsidRPr="00F84505">
      <w:rPr>
        <w:rFonts w:ascii="Times New Roman" w:hAnsi="Times New Roman"/>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B" w:rsidRDefault="003B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043"/>
    <w:multiLevelType w:val="hybridMultilevel"/>
    <w:tmpl w:val="0EEA79D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2214D8"/>
    <w:multiLevelType w:val="hybridMultilevel"/>
    <w:tmpl w:val="3DDC9268"/>
    <w:lvl w:ilvl="0" w:tplc="99B0619E">
      <w:start w:val="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540E"/>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F20DC1"/>
    <w:multiLevelType w:val="multilevel"/>
    <w:tmpl w:val="C4CC7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4B5DE9"/>
    <w:multiLevelType w:val="hybridMultilevel"/>
    <w:tmpl w:val="D8468D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C411BFC"/>
    <w:multiLevelType w:val="multilevel"/>
    <w:tmpl w:val="DA9E6560"/>
    <w:lvl w:ilvl="0">
      <w:start w:val="1"/>
      <w:numFmt w:val="decimal"/>
      <w:lvlText w:val="%1."/>
      <w:lvlJc w:val="left"/>
      <w:pPr>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1C4E018C"/>
    <w:multiLevelType w:val="multilevel"/>
    <w:tmpl w:val="23EA1C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BD5D95"/>
    <w:multiLevelType w:val="multilevel"/>
    <w:tmpl w:val="EDA473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6180D61"/>
    <w:multiLevelType w:val="multilevel"/>
    <w:tmpl w:val="0F00CA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1750B"/>
    <w:multiLevelType w:val="hybridMultilevel"/>
    <w:tmpl w:val="0EEA79D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8D7CCB"/>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B218BB"/>
    <w:multiLevelType w:val="multilevel"/>
    <w:tmpl w:val="D3CCD5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2C39DC"/>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8B0710"/>
    <w:multiLevelType w:val="hybridMultilevel"/>
    <w:tmpl w:val="E89C308C"/>
    <w:lvl w:ilvl="0" w:tplc="F6524844">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320104CF"/>
    <w:multiLevelType w:val="hybridMultilevel"/>
    <w:tmpl w:val="37ECC0E8"/>
    <w:lvl w:ilvl="0" w:tplc="EDEAB5A0">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B5BA0"/>
    <w:multiLevelType w:val="multilevel"/>
    <w:tmpl w:val="C5224D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5B515B"/>
    <w:multiLevelType w:val="hybridMultilevel"/>
    <w:tmpl w:val="A178FF1A"/>
    <w:lvl w:ilvl="0" w:tplc="E4DEBB98">
      <w:start w:val="1"/>
      <w:numFmt w:val="decimal"/>
      <w:pStyle w:val="ListParagraph"/>
      <w:suff w:val="space"/>
      <w:lvlText w:val="%1."/>
      <w:lvlJc w:val="right"/>
      <w:pPr>
        <w:snapToGrid w:val="0"/>
        <w:ind w:left="-360" w:firstLine="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F338EF"/>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9159CA"/>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1A3A3C"/>
    <w:multiLevelType w:val="multilevel"/>
    <w:tmpl w:val="EDA473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C66175B"/>
    <w:multiLevelType w:val="multilevel"/>
    <w:tmpl w:val="724A07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3B1362"/>
    <w:multiLevelType w:val="multilevel"/>
    <w:tmpl w:val="C61C9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E8637B"/>
    <w:multiLevelType w:val="hybridMultilevel"/>
    <w:tmpl w:val="661242DC"/>
    <w:lvl w:ilvl="0" w:tplc="15B4EF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F519F8"/>
    <w:multiLevelType w:val="hybridMultilevel"/>
    <w:tmpl w:val="113A5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BA7EEA"/>
    <w:multiLevelType w:val="hybridMultilevel"/>
    <w:tmpl w:val="C7B2B5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65275"/>
    <w:multiLevelType w:val="hybridMultilevel"/>
    <w:tmpl w:val="ED1CF470"/>
    <w:lvl w:ilvl="0" w:tplc="365CD974">
      <w:start w:val="5"/>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5"/>
  </w:num>
  <w:num w:numId="5">
    <w:abstractNumId w:val="10"/>
  </w:num>
  <w:num w:numId="6">
    <w:abstractNumId w:val="2"/>
  </w:num>
  <w:num w:numId="7">
    <w:abstractNumId w:val="17"/>
  </w:num>
  <w:num w:numId="8">
    <w:abstractNumId w:val="21"/>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4"/>
  </w:num>
  <w:num w:numId="15">
    <w:abstractNumId w:val="18"/>
  </w:num>
  <w:num w:numId="16">
    <w:abstractNumId w:val="12"/>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0"/>
  </w:num>
  <w:num w:numId="26">
    <w:abstractNumId w:val="9"/>
  </w:num>
  <w:num w:numId="27">
    <w:abstractNumId w:val="8"/>
  </w:num>
  <w:num w:numId="28">
    <w:abstractNumId w:val="20"/>
  </w:num>
  <w:num w:numId="29">
    <w:abstractNumId w:val="11"/>
  </w:num>
  <w:num w:numId="30">
    <w:abstractNumId w:val="4"/>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0AE3"/>
    <w:rsid w:val="00000D91"/>
    <w:rsid w:val="00006111"/>
    <w:rsid w:val="00013C94"/>
    <w:rsid w:val="000159CA"/>
    <w:rsid w:val="000254DA"/>
    <w:rsid w:val="00025DA4"/>
    <w:rsid w:val="0003065A"/>
    <w:rsid w:val="000315B4"/>
    <w:rsid w:val="00033474"/>
    <w:rsid w:val="00034010"/>
    <w:rsid w:val="00041B8F"/>
    <w:rsid w:val="00042011"/>
    <w:rsid w:val="00045F19"/>
    <w:rsid w:val="000566E5"/>
    <w:rsid w:val="000577B6"/>
    <w:rsid w:val="00060BBE"/>
    <w:rsid w:val="0007181F"/>
    <w:rsid w:val="0007356E"/>
    <w:rsid w:val="00080732"/>
    <w:rsid w:val="00082560"/>
    <w:rsid w:val="00091ED9"/>
    <w:rsid w:val="00094A91"/>
    <w:rsid w:val="000A0CAF"/>
    <w:rsid w:val="000A5416"/>
    <w:rsid w:val="000C4013"/>
    <w:rsid w:val="000C7C8B"/>
    <w:rsid w:val="000E01F9"/>
    <w:rsid w:val="000E1C6C"/>
    <w:rsid w:val="000E265F"/>
    <w:rsid w:val="000E3EB3"/>
    <w:rsid w:val="000E6CAD"/>
    <w:rsid w:val="000E77CD"/>
    <w:rsid w:val="000F27A0"/>
    <w:rsid w:val="000F2C2E"/>
    <w:rsid w:val="000F3F4A"/>
    <w:rsid w:val="000F5F5E"/>
    <w:rsid w:val="001066F8"/>
    <w:rsid w:val="00107913"/>
    <w:rsid w:val="00112BEB"/>
    <w:rsid w:val="00117131"/>
    <w:rsid w:val="00117DF4"/>
    <w:rsid w:val="00135E15"/>
    <w:rsid w:val="00136182"/>
    <w:rsid w:val="00136D2E"/>
    <w:rsid w:val="00147AB2"/>
    <w:rsid w:val="00147FE6"/>
    <w:rsid w:val="00152A5B"/>
    <w:rsid w:val="001540FD"/>
    <w:rsid w:val="001556EE"/>
    <w:rsid w:val="0015625D"/>
    <w:rsid w:val="001609A9"/>
    <w:rsid w:val="00163462"/>
    <w:rsid w:val="00164358"/>
    <w:rsid w:val="0016521B"/>
    <w:rsid w:val="001667E3"/>
    <w:rsid w:val="00173826"/>
    <w:rsid w:val="00174316"/>
    <w:rsid w:val="0018043D"/>
    <w:rsid w:val="00182A64"/>
    <w:rsid w:val="00183C49"/>
    <w:rsid w:val="001912F1"/>
    <w:rsid w:val="00194950"/>
    <w:rsid w:val="0019517E"/>
    <w:rsid w:val="001A3F58"/>
    <w:rsid w:val="001A4565"/>
    <w:rsid w:val="001A5AA0"/>
    <w:rsid w:val="001A663A"/>
    <w:rsid w:val="001B2150"/>
    <w:rsid w:val="001B2215"/>
    <w:rsid w:val="001B4ED5"/>
    <w:rsid w:val="001C5BE7"/>
    <w:rsid w:val="001C720B"/>
    <w:rsid w:val="001D1E3B"/>
    <w:rsid w:val="001D43D1"/>
    <w:rsid w:val="001D46E5"/>
    <w:rsid w:val="001D4776"/>
    <w:rsid w:val="001D5090"/>
    <w:rsid w:val="001D54C9"/>
    <w:rsid w:val="001D71A6"/>
    <w:rsid w:val="001E0439"/>
    <w:rsid w:val="001E57F9"/>
    <w:rsid w:val="001E6AF9"/>
    <w:rsid w:val="001E757A"/>
    <w:rsid w:val="001F2A1E"/>
    <w:rsid w:val="001F6DB1"/>
    <w:rsid w:val="001F6ECD"/>
    <w:rsid w:val="002002D4"/>
    <w:rsid w:val="00202AF9"/>
    <w:rsid w:val="00204290"/>
    <w:rsid w:val="002045C1"/>
    <w:rsid w:val="0020579C"/>
    <w:rsid w:val="002151CC"/>
    <w:rsid w:val="00215E19"/>
    <w:rsid w:val="00215F91"/>
    <w:rsid w:val="00217682"/>
    <w:rsid w:val="00221005"/>
    <w:rsid w:val="00225E92"/>
    <w:rsid w:val="00227AE3"/>
    <w:rsid w:val="00227E8B"/>
    <w:rsid w:val="002303A5"/>
    <w:rsid w:val="00233F67"/>
    <w:rsid w:val="0023590A"/>
    <w:rsid w:val="00235C27"/>
    <w:rsid w:val="0024052E"/>
    <w:rsid w:val="00241BC2"/>
    <w:rsid w:val="00260551"/>
    <w:rsid w:val="00260C50"/>
    <w:rsid w:val="002627F5"/>
    <w:rsid w:val="00263F6C"/>
    <w:rsid w:val="00265AF8"/>
    <w:rsid w:val="002735A4"/>
    <w:rsid w:val="00273A0E"/>
    <w:rsid w:val="00281807"/>
    <w:rsid w:val="00287BE3"/>
    <w:rsid w:val="0029537D"/>
    <w:rsid w:val="00297514"/>
    <w:rsid w:val="002A028E"/>
    <w:rsid w:val="002A3264"/>
    <w:rsid w:val="002A3B81"/>
    <w:rsid w:val="002A6DAD"/>
    <w:rsid w:val="002A7859"/>
    <w:rsid w:val="002B03C8"/>
    <w:rsid w:val="002C1FCC"/>
    <w:rsid w:val="002D4C5A"/>
    <w:rsid w:val="002E3011"/>
    <w:rsid w:val="002E56E7"/>
    <w:rsid w:val="002E7A2D"/>
    <w:rsid w:val="002F1F0C"/>
    <w:rsid w:val="002F54F3"/>
    <w:rsid w:val="002F5A8B"/>
    <w:rsid w:val="0030651F"/>
    <w:rsid w:val="0031548D"/>
    <w:rsid w:val="00316B85"/>
    <w:rsid w:val="00320809"/>
    <w:rsid w:val="003227AC"/>
    <w:rsid w:val="00325DB2"/>
    <w:rsid w:val="0032716C"/>
    <w:rsid w:val="00330279"/>
    <w:rsid w:val="003331D9"/>
    <w:rsid w:val="00335258"/>
    <w:rsid w:val="0033566D"/>
    <w:rsid w:val="00337048"/>
    <w:rsid w:val="003529CB"/>
    <w:rsid w:val="0035791F"/>
    <w:rsid w:val="003606F9"/>
    <w:rsid w:val="00367266"/>
    <w:rsid w:val="00382BCF"/>
    <w:rsid w:val="00386682"/>
    <w:rsid w:val="00386C3E"/>
    <w:rsid w:val="00387738"/>
    <w:rsid w:val="0039067A"/>
    <w:rsid w:val="00392469"/>
    <w:rsid w:val="00392F2A"/>
    <w:rsid w:val="00395E11"/>
    <w:rsid w:val="003A2E21"/>
    <w:rsid w:val="003A355D"/>
    <w:rsid w:val="003A3E0C"/>
    <w:rsid w:val="003A7AE4"/>
    <w:rsid w:val="003B029E"/>
    <w:rsid w:val="003B69BB"/>
    <w:rsid w:val="003C52FD"/>
    <w:rsid w:val="003D2F43"/>
    <w:rsid w:val="003E0270"/>
    <w:rsid w:val="003E295F"/>
    <w:rsid w:val="003E3427"/>
    <w:rsid w:val="003E5231"/>
    <w:rsid w:val="003F6152"/>
    <w:rsid w:val="003F72F1"/>
    <w:rsid w:val="00406EBD"/>
    <w:rsid w:val="00411234"/>
    <w:rsid w:val="004128C3"/>
    <w:rsid w:val="004135B4"/>
    <w:rsid w:val="004142A5"/>
    <w:rsid w:val="0042271A"/>
    <w:rsid w:val="00427F05"/>
    <w:rsid w:val="00436201"/>
    <w:rsid w:val="00440E73"/>
    <w:rsid w:val="004431BD"/>
    <w:rsid w:val="00450BF9"/>
    <w:rsid w:val="00452174"/>
    <w:rsid w:val="0045704C"/>
    <w:rsid w:val="004610AA"/>
    <w:rsid w:val="00465DD6"/>
    <w:rsid w:val="004711C3"/>
    <w:rsid w:val="00474BEC"/>
    <w:rsid w:val="00474CF6"/>
    <w:rsid w:val="00475431"/>
    <w:rsid w:val="00480314"/>
    <w:rsid w:val="00480AE3"/>
    <w:rsid w:val="00480BAD"/>
    <w:rsid w:val="004837A1"/>
    <w:rsid w:val="004A64F3"/>
    <w:rsid w:val="004A7DF1"/>
    <w:rsid w:val="004B03C3"/>
    <w:rsid w:val="004B0978"/>
    <w:rsid w:val="004B2F49"/>
    <w:rsid w:val="004B75EE"/>
    <w:rsid w:val="004C4E8D"/>
    <w:rsid w:val="004D00F8"/>
    <w:rsid w:val="004D0A1D"/>
    <w:rsid w:val="004D32B3"/>
    <w:rsid w:val="004D5DF7"/>
    <w:rsid w:val="004D61DC"/>
    <w:rsid w:val="004F12B4"/>
    <w:rsid w:val="004F26D9"/>
    <w:rsid w:val="004F7A61"/>
    <w:rsid w:val="00503D1B"/>
    <w:rsid w:val="005047E0"/>
    <w:rsid w:val="005322EC"/>
    <w:rsid w:val="00537A0E"/>
    <w:rsid w:val="00540FD7"/>
    <w:rsid w:val="00554FE4"/>
    <w:rsid w:val="00555514"/>
    <w:rsid w:val="00562491"/>
    <w:rsid w:val="00571381"/>
    <w:rsid w:val="00573098"/>
    <w:rsid w:val="00584CE2"/>
    <w:rsid w:val="0058794E"/>
    <w:rsid w:val="0059018A"/>
    <w:rsid w:val="00590A34"/>
    <w:rsid w:val="0059179A"/>
    <w:rsid w:val="00595E5D"/>
    <w:rsid w:val="005A53FC"/>
    <w:rsid w:val="005B40F6"/>
    <w:rsid w:val="005B472B"/>
    <w:rsid w:val="005C280E"/>
    <w:rsid w:val="005D259A"/>
    <w:rsid w:val="005D2E9D"/>
    <w:rsid w:val="005E09A4"/>
    <w:rsid w:val="005E61FA"/>
    <w:rsid w:val="0061131A"/>
    <w:rsid w:val="0061324B"/>
    <w:rsid w:val="006134DC"/>
    <w:rsid w:val="00616D3D"/>
    <w:rsid w:val="006220F1"/>
    <w:rsid w:val="006311EB"/>
    <w:rsid w:val="006320B7"/>
    <w:rsid w:val="00633A4F"/>
    <w:rsid w:val="00634930"/>
    <w:rsid w:val="00635D84"/>
    <w:rsid w:val="00642315"/>
    <w:rsid w:val="006427A2"/>
    <w:rsid w:val="00643D59"/>
    <w:rsid w:val="006459D6"/>
    <w:rsid w:val="006554EC"/>
    <w:rsid w:val="00655D2D"/>
    <w:rsid w:val="00664F80"/>
    <w:rsid w:val="00666244"/>
    <w:rsid w:val="0066730A"/>
    <w:rsid w:val="00670BA7"/>
    <w:rsid w:val="006738E4"/>
    <w:rsid w:val="00677321"/>
    <w:rsid w:val="0068144A"/>
    <w:rsid w:val="00682D93"/>
    <w:rsid w:val="00684D8F"/>
    <w:rsid w:val="00690EDA"/>
    <w:rsid w:val="006940D1"/>
    <w:rsid w:val="006972D3"/>
    <w:rsid w:val="006A0653"/>
    <w:rsid w:val="006A0F60"/>
    <w:rsid w:val="006A1112"/>
    <w:rsid w:val="006A2E6F"/>
    <w:rsid w:val="006A4D6D"/>
    <w:rsid w:val="006B5DC9"/>
    <w:rsid w:val="006C2ECE"/>
    <w:rsid w:val="006C3D2C"/>
    <w:rsid w:val="006D61E5"/>
    <w:rsid w:val="006D7453"/>
    <w:rsid w:val="006E3795"/>
    <w:rsid w:val="006E3FD2"/>
    <w:rsid w:val="006F03A8"/>
    <w:rsid w:val="006F068A"/>
    <w:rsid w:val="006F120B"/>
    <w:rsid w:val="006F4A4D"/>
    <w:rsid w:val="00700B2F"/>
    <w:rsid w:val="007019A3"/>
    <w:rsid w:val="007048EE"/>
    <w:rsid w:val="00706A7C"/>
    <w:rsid w:val="00710C35"/>
    <w:rsid w:val="00711900"/>
    <w:rsid w:val="007131A9"/>
    <w:rsid w:val="0071510F"/>
    <w:rsid w:val="007177AF"/>
    <w:rsid w:val="00717E16"/>
    <w:rsid w:val="007205F1"/>
    <w:rsid w:val="00725891"/>
    <w:rsid w:val="00726709"/>
    <w:rsid w:val="0072733E"/>
    <w:rsid w:val="007273E4"/>
    <w:rsid w:val="0073038B"/>
    <w:rsid w:val="0073269E"/>
    <w:rsid w:val="0073621C"/>
    <w:rsid w:val="00736577"/>
    <w:rsid w:val="007369A0"/>
    <w:rsid w:val="00740287"/>
    <w:rsid w:val="00740A6E"/>
    <w:rsid w:val="00745AD9"/>
    <w:rsid w:val="00745B16"/>
    <w:rsid w:val="00757C0D"/>
    <w:rsid w:val="007614E1"/>
    <w:rsid w:val="00764FFD"/>
    <w:rsid w:val="0076757E"/>
    <w:rsid w:val="007725BE"/>
    <w:rsid w:val="00773126"/>
    <w:rsid w:val="00781D3A"/>
    <w:rsid w:val="007858CF"/>
    <w:rsid w:val="00785B3C"/>
    <w:rsid w:val="0079094E"/>
    <w:rsid w:val="00792225"/>
    <w:rsid w:val="00792ECF"/>
    <w:rsid w:val="00793698"/>
    <w:rsid w:val="00794798"/>
    <w:rsid w:val="00796918"/>
    <w:rsid w:val="007A671D"/>
    <w:rsid w:val="007B144D"/>
    <w:rsid w:val="007B1BD0"/>
    <w:rsid w:val="007B313D"/>
    <w:rsid w:val="007C35FD"/>
    <w:rsid w:val="007D1480"/>
    <w:rsid w:val="007D24E2"/>
    <w:rsid w:val="007D5328"/>
    <w:rsid w:val="007D57B4"/>
    <w:rsid w:val="007D7095"/>
    <w:rsid w:val="007E3163"/>
    <w:rsid w:val="007E3E27"/>
    <w:rsid w:val="007F0814"/>
    <w:rsid w:val="008031D7"/>
    <w:rsid w:val="008052BA"/>
    <w:rsid w:val="00806040"/>
    <w:rsid w:val="0081376E"/>
    <w:rsid w:val="0081436E"/>
    <w:rsid w:val="00821501"/>
    <w:rsid w:val="00821A65"/>
    <w:rsid w:val="00825731"/>
    <w:rsid w:val="00830198"/>
    <w:rsid w:val="008342BB"/>
    <w:rsid w:val="008501AA"/>
    <w:rsid w:val="00850216"/>
    <w:rsid w:val="0085372E"/>
    <w:rsid w:val="0086640B"/>
    <w:rsid w:val="008803F0"/>
    <w:rsid w:val="00881793"/>
    <w:rsid w:val="00882BFE"/>
    <w:rsid w:val="00883FD1"/>
    <w:rsid w:val="0089112B"/>
    <w:rsid w:val="0089182C"/>
    <w:rsid w:val="008A39B7"/>
    <w:rsid w:val="008A51FA"/>
    <w:rsid w:val="008B46EB"/>
    <w:rsid w:val="008B4FC9"/>
    <w:rsid w:val="008B63B7"/>
    <w:rsid w:val="008C367E"/>
    <w:rsid w:val="008D5AE0"/>
    <w:rsid w:val="008E107F"/>
    <w:rsid w:val="008E35E6"/>
    <w:rsid w:val="008E4473"/>
    <w:rsid w:val="008E5721"/>
    <w:rsid w:val="008F1839"/>
    <w:rsid w:val="008F275E"/>
    <w:rsid w:val="008F2AA0"/>
    <w:rsid w:val="009029CF"/>
    <w:rsid w:val="00903B4E"/>
    <w:rsid w:val="00904D24"/>
    <w:rsid w:val="00904D2B"/>
    <w:rsid w:val="00910E9C"/>
    <w:rsid w:val="00913C5F"/>
    <w:rsid w:val="0091400F"/>
    <w:rsid w:val="00922C17"/>
    <w:rsid w:val="00924F33"/>
    <w:rsid w:val="009308C7"/>
    <w:rsid w:val="00932AB2"/>
    <w:rsid w:val="00932B7D"/>
    <w:rsid w:val="0093428F"/>
    <w:rsid w:val="00940E63"/>
    <w:rsid w:val="00942F97"/>
    <w:rsid w:val="00944510"/>
    <w:rsid w:val="00951FC3"/>
    <w:rsid w:val="00955A89"/>
    <w:rsid w:val="00960175"/>
    <w:rsid w:val="00960E3E"/>
    <w:rsid w:val="009632B4"/>
    <w:rsid w:val="00971D1D"/>
    <w:rsid w:val="00973A23"/>
    <w:rsid w:val="00982EA3"/>
    <w:rsid w:val="00986041"/>
    <w:rsid w:val="0098706F"/>
    <w:rsid w:val="00987261"/>
    <w:rsid w:val="00992D0A"/>
    <w:rsid w:val="00995F2C"/>
    <w:rsid w:val="009A0EAA"/>
    <w:rsid w:val="009A2062"/>
    <w:rsid w:val="009A23F4"/>
    <w:rsid w:val="009A42CC"/>
    <w:rsid w:val="009B224A"/>
    <w:rsid w:val="009B4700"/>
    <w:rsid w:val="009B4B09"/>
    <w:rsid w:val="009C0036"/>
    <w:rsid w:val="009C3782"/>
    <w:rsid w:val="009D4C54"/>
    <w:rsid w:val="009D5E16"/>
    <w:rsid w:val="009E38D1"/>
    <w:rsid w:val="009E6473"/>
    <w:rsid w:val="009E71FB"/>
    <w:rsid w:val="009F346C"/>
    <w:rsid w:val="009F59B0"/>
    <w:rsid w:val="00A02010"/>
    <w:rsid w:val="00A0268C"/>
    <w:rsid w:val="00A061D2"/>
    <w:rsid w:val="00A10489"/>
    <w:rsid w:val="00A10AF2"/>
    <w:rsid w:val="00A11241"/>
    <w:rsid w:val="00A176AD"/>
    <w:rsid w:val="00A2161A"/>
    <w:rsid w:val="00A26E84"/>
    <w:rsid w:val="00A27B3B"/>
    <w:rsid w:val="00A27B6F"/>
    <w:rsid w:val="00A33B7D"/>
    <w:rsid w:val="00A35BAD"/>
    <w:rsid w:val="00A369FA"/>
    <w:rsid w:val="00A46B5F"/>
    <w:rsid w:val="00A54B39"/>
    <w:rsid w:val="00A56874"/>
    <w:rsid w:val="00A601BF"/>
    <w:rsid w:val="00A66826"/>
    <w:rsid w:val="00A749F8"/>
    <w:rsid w:val="00A74EBE"/>
    <w:rsid w:val="00A8082D"/>
    <w:rsid w:val="00A81E67"/>
    <w:rsid w:val="00A86DF1"/>
    <w:rsid w:val="00A91376"/>
    <w:rsid w:val="00A976DA"/>
    <w:rsid w:val="00AA01E5"/>
    <w:rsid w:val="00AA0242"/>
    <w:rsid w:val="00AA3598"/>
    <w:rsid w:val="00AA58C1"/>
    <w:rsid w:val="00AA73C6"/>
    <w:rsid w:val="00AB1ABC"/>
    <w:rsid w:val="00AC594C"/>
    <w:rsid w:val="00AC636E"/>
    <w:rsid w:val="00AC6E83"/>
    <w:rsid w:val="00AD1D6C"/>
    <w:rsid w:val="00AD4B88"/>
    <w:rsid w:val="00AE170C"/>
    <w:rsid w:val="00AE7016"/>
    <w:rsid w:val="00AE79C4"/>
    <w:rsid w:val="00AF20EB"/>
    <w:rsid w:val="00B01FB2"/>
    <w:rsid w:val="00B15305"/>
    <w:rsid w:val="00B25D6C"/>
    <w:rsid w:val="00B27D1D"/>
    <w:rsid w:val="00B35AA4"/>
    <w:rsid w:val="00B37294"/>
    <w:rsid w:val="00B41B75"/>
    <w:rsid w:val="00B42439"/>
    <w:rsid w:val="00B42E82"/>
    <w:rsid w:val="00B43937"/>
    <w:rsid w:val="00B50344"/>
    <w:rsid w:val="00B54580"/>
    <w:rsid w:val="00B67268"/>
    <w:rsid w:val="00B704FA"/>
    <w:rsid w:val="00B70FE1"/>
    <w:rsid w:val="00B759FB"/>
    <w:rsid w:val="00B75FF8"/>
    <w:rsid w:val="00B76CF8"/>
    <w:rsid w:val="00B85751"/>
    <w:rsid w:val="00B949A6"/>
    <w:rsid w:val="00B96E96"/>
    <w:rsid w:val="00BA2EA9"/>
    <w:rsid w:val="00BB003C"/>
    <w:rsid w:val="00BB20EA"/>
    <w:rsid w:val="00BB3E6D"/>
    <w:rsid w:val="00BB686F"/>
    <w:rsid w:val="00BC5A7C"/>
    <w:rsid w:val="00BC62F9"/>
    <w:rsid w:val="00BD2D1A"/>
    <w:rsid w:val="00BD373A"/>
    <w:rsid w:val="00BD56C6"/>
    <w:rsid w:val="00BD5C25"/>
    <w:rsid w:val="00BE7911"/>
    <w:rsid w:val="00BF58D7"/>
    <w:rsid w:val="00BF5953"/>
    <w:rsid w:val="00C076FE"/>
    <w:rsid w:val="00C127D8"/>
    <w:rsid w:val="00C1431E"/>
    <w:rsid w:val="00C154EA"/>
    <w:rsid w:val="00C1595F"/>
    <w:rsid w:val="00C15B01"/>
    <w:rsid w:val="00C21784"/>
    <w:rsid w:val="00C223DE"/>
    <w:rsid w:val="00C35223"/>
    <w:rsid w:val="00C4265B"/>
    <w:rsid w:val="00C44A05"/>
    <w:rsid w:val="00C46CB6"/>
    <w:rsid w:val="00C501A4"/>
    <w:rsid w:val="00C50D52"/>
    <w:rsid w:val="00C57DBC"/>
    <w:rsid w:val="00C6396F"/>
    <w:rsid w:val="00C65A30"/>
    <w:rsid w:val="00C67B75"/>
    <w:rsid w:val="00C7012F"/>
    <w:rsid w:val="00C7240A"/>
    <w:rsid w:val="00C74D37"/>
    <w:rsid w:val="00C74DEC"/>
    <w:rsid w:val="00C75ABE"/>
    <w:rsid w:val="00C814CF"/>
    <w:rsid w:val="00C83BC9"/>
    <w:rsid w:val="00C83BF3"/>
    <w:rsid w:val="00C85844"/>
    <w:rsid w:val="00C86352"/>
    <w:rsid w:val="00C90DB6"/>
    <w:rsid w:val="00CB1A12"/>
    <w:rsid w:val="00CB3D24"/>
    <w:rsid w:val="00CB4BAA"/>
    <w:rsid w:val="00CC16FF"/>
    <w:rsid w:val="00CC2C8C"/>
    <w:rsid w:val="00CC365F"/>
    <w:rsid w:val="00CD6D0C"/>
    <w:rsid w:val="00CD6F19"/>
    <w:rsid w:val="00CD7BA3"/>
    <w:rsid w:val="00CE2307"/>
    <w:rsid w:val="00CF62B3"/>
    <w:rsid w:val="00CF7636"/>
    <w:rsid w:val="00D01776"/>
    <w:rsid w:val="00D0481E"/>
    <w:rsid w:val="00D0629F"/>
    <w:rsid w:val="00D07288"/>
    <w:rsid w:val="00D10053"/>
    <w:rsid w:val="00D20302"/>
    <w:rsid w:val="00D22B8E"/>
    <w:rsid w:val="00D22CC4"/>
    <w:rsid w:val="00D25DB6"/>
    <w:rsid w:val="00D313A4"/>
    <w:rsid w:val="00D314EE"/>
    <w:rsid w:val="00D31D83"/>
    <w:rsid w:val="00D40FFB"/>
    <w:rsid w:val="00D41110"/>
    <w:rsid w:val="00D411AE"/>
    <w:rsid w:val="00D43579"/>
    <w:rsid w:val="00D43CD4"/>
    <w:rsid w:val="00D44CAE"/>
    <w:rsid w:val="00D50CD6"/>
    <w:rsid w:val="00D51DA3"/>
    <w:rsid w:val="00D5358A"/>
    <w:rsid w:val="00D539F0"/>
    <w:rsid w:val="00D53A3F"/>
    <w:rsid w:val="00D5529A"/>
    <w:rsid w:val="00D55CAC"/>
    <w:rsid w:val="00D71BF9"/>
    <w:rsid w:val="00D90FDD"/>
    <w:rsid w:val="00D91F91"/>
    <w:rsid w:val="00D92F9D"/>
    <w:rsid w:val="00D94CB3"/>
    <w:rsid w:val="00D965D0"/>
    <w:rsid w:val="00DA64D3"/>
    <w:rsid w:val="00DA6C1D"/>
    <w:rsid w:val="00DA793D"/>
    <w:rsid w:val="00DB00F8"/>
    <w:rsid w:val="00DB027D"/>
    <w:rsid w:val="00DB7923"/>
    <w:rsid w:val="00DC017B"/>
    <w:rsid w:val="00DC3031"/>
    <w:rsid w:val="00DD186A"/>
    <w:rsid w:val="00DD4FF7"/>
    <w:rsid w:val="00DD6171"/>
    <w:rsid w:val="00DE1A51"/>
    <w:rsid w:val="00E00143"/>
    <w:rsid w:val="00E059C5"/>
    <w:rsid w:val="00E33BCE"/>
    <w:rsid w:val="00E33CA6"/>
    <w:rsid w:val="00E37A64"/>
    <w:rsid w:val="00E40876"/>
    <w:rsid w:val="00E421BA"/>
    <w:rsid w:val="00E474F1"/>
    <w:rsid w:val="00E51745"/>
    <w:rsid w:val="00E527F4"/>
    <w:rsid w:val="00E60795"/>
    <w:rsid w:val="00E60AF0"/>
    <w:rsid w:val="00E6202E"/>
    <w:rsid w:val="00E6282F"/>
    <w:rsid w:val="00E70150"/>
    <w:rsid w:val="00E76C35"/>
    <w:rsid w:val="00E806F0"/>
    <w:rsid w:val="00E818E3"/>
    <w:rsid w:val="00E832E5"/>
    <w:rsid w:val="00E843C7"/>
    <w:rsid w:val="00E86D16"/>
    <w:rsid w:val="00E86F02"/>
    <w:rsid w:val="00E93984"/>
    <w:rsid w:val="00E955EC"/>
    <w:rsid w:val="00E95858"/>
    <w:rsid w:val="00EA3531"/>
    <w:rsid w:val="00EA5DA3"/>
    <w:rsid w:val="00EB6F0F"/>
    <w:rsid w:val="00EB75FB"/>
    <w:rsid w:val="00ED03BB"/>
    <w:rsid w:val="00ED0582"/>
    <w:rsid w:val="00ED3DA9"/>
    <w:rsid w:val="00EE1103"/>
    <w:rsid w:val="00EF0A1B"/>
    <w:rsid w:val="00EF531D"/>
    <w:rsid w:val="00F07FE1"/>
    <w:rsid w:val="00F10AB4"/>
    <w:rsid w:val="00F16063"/>
    <w:rsid w:val="00F21978"/>
    <w:rsid w:val="00F241BC"/>
    <w:rsid w:val="00F27E7D"/>
    <w:rsid w:val="00F319B9"/>
    <w:rsid w:val="00F31B8F"/>
    <w:rsid w:val="00F36381"/>
    <w:rsid w:val="00F4069C"/>
    <w:rsid w:val="00F40BC4"/>
    <w:rsid w:val="00F4269F"/>
    <w:rsid w:val="00F4470B"/>
    <w:rsid w:val="00F47914"/>
    <w:rsid w:val="00F50793"/>
    <w:rsid w:val="00F54856"/>
    <w:rsid w:val="00F54D41"/>
    <w:rsid w:val="00F639BF"/>
    <w:rsid w:val="00F66A6E"/>
    <w:rsid w:val="00F71E73"/>
    <w:rsid w:val="00F731CA"/>
    <w:rsid w:val="00F75F08"/>
    <w:rsid w:val="00F77DB2"/>
    <w:rsid w:val="00F81615"/>
    <w:rsid w:val="00F84505"/>
    <w:rsid w:val="00F855FD"/>
    <w:rsid w:val="00F8662D"/>
    <w:rsid w:val="00F963A7"/>
    <w:rsid w:val="00FA0CCD"/>
    <w:rsid w:val="00FA2F72"/>
    <w:rsid w:val="00FA4C10"/>
    <w:rsid w:val="00FA518B"/>
    <w:rsid w:val="00FA614B"/>
    <w:rsid w:val="00FB5558"/>
    <w:rsid w:val="00FC1369"/>
    <w:rsid w:val="00FC143E"/>
    <w:rsid w:val="00FC3320"/>
    <w:rsid w:val="00FC4224"/>
    <w:rsid w:val="00FC71C0"/>
    <w:rsid w:val="00FD6810"/>
    <w:rsid w:val="00FE38FF"/>
    <w:rsid w:val="00FE7C69"/>
    <w:rsid w:val="00FF19A1"/>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E26EEC-F355-47D6-9856-EE8B807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34"/>
    <w:pPr>
      <w:spacing w:after="200" w:line="276" w:lineRule="auto"/>
    </w:pPr>
    <w:rPr>
      <w:rFonts w:ascii="Calibri" w:eastAsia="Calibri" w:hAnsi="Calibri" w:cs="Times New Roman"/>
      <w:sz w:val="22"/>
      <w:szCs w:val="22"/>
      <w:lang w:val="lv-LV"/>
    </w:rPr>
  </w:style>
  <w:style w:type="paragraph" w:styleId="Heading2">
    <w:name w:val="heading 2"/>
    <w:basedOn w:val="Normal"/>
    <w:next w:val="Normal"/>
    <w:link w:val="Heading2Char"/>
    <w:uiPriority w:val="9"/>
    <w:unhideWhenUsed/>
    <w:qFormat/>
    <w:rsid w:val="006427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autoRedefine/>
    <w:uiPriority w:val="34"/>
    <w:unhideWhenUsed/>
    <w:qFormat/>
    <w:rsid w:val="00480AE3"/>
    <w:pPr>
      <w:snapToGrid w:val="0"/>
      <w:spacing w:line="240" w:lineRule="auto"/>
      <w:ind w:left="-360" w:firstLine="360"/>
      <w:contextualSpacing/>
      <w:jc w:val="both"/>
    </w:pPr>
    <w:rPr>
      <w:rFonts w:ascii="Cambria" w:hAnsi="Cambria"/>
      <w:bCs/>
      <w:sz w:val="24"/>
      <w:szCs w:val="24"/>
    </w:rPr>
  </w:style>
  <w:style w:type="character" w:customStyle="1" w:styleId="CommentTextChar">
    <w:name w:val="Comment Text Char"/>
    <w:aliases w:val="Char3 Char"/>
    <w:basedOn w:val="DefaultParagraphFont"/>
    <w:link w:val="CommentText"/>
    <w:locked/>
    <w:rsid w:val="00480AE3"/>
    <w:rPr>
      <w:rFonts w:ascii="Calibri" w:hAnsi="Calibri" w:cs="Calibri"/>
      <w:lang w:val="lv-LV"/>
    </w:rPr>
  </w:style>
  <w:style w:type="paragraph" w:styleId="CommentText">
    <w:name w:val="annotation text"/>
    <w:aliases w:val="Char3"/>
    <w:basedOn w:val="Normal"/>
    <w:link w:val="CommentTextChar"/>
    <w:unhideWhenUsed/>
    <w:rsid w:val="00480AE3"/>
    <w:rPr>
      <w:rFonts w:eastAsiaTheme="minorEastAsia" w:cs="Calibri"/>
      <w:sz w:val="24"/>
      <w:szCs w:val="24"/>
    </w:rPr>
  </w:style>
  <w:style w:type="character" w:customStyle="1" w:styleId="CommentTextChar1">
    <w:name w:val="Comment Text Char1"/>
    <w:aliases w:val="Char3 Char1"/>
    <w:basedOn w:val="DefaultParagraphFont"/>
    <w:uiPriority w:val="99"/>
    <w:semiHidden/>
    <w:rsid w:val="00480AE3"/>
    <w:rPr>
      <w:rFonts w:ascii="Calibri" w:eastAsia="Calibri" w:hAnsi="Calibri" w:cs="Times New Roman"/>
      <w:lang w:val="lv-LV"/>
    </w:rPr>
  </w:style>
  <w:style w:type="paragraph" w:styleId="ListParagraph">
    <w:name w:val="List Paragraph"/>
    <w:basedOn w:val="Normal"/>
    <w:uiPriority w:val="34"/>
    <w:qFormat/>
    <w:rsid w:val="00480AE3"/>
    <w:pPr>
      <w:numPr>
        <w:numId w:val="1"/>
      </w:numPr>
      <w:contextualSpacing/>
    </w:pPr>
  </w:style>
  <w:style w:type="paragraph" w:styleId="Header">
    <w:name w:val="header"/>
    <w:basedOn w:val="Normal"/>
    <w:link w:val="HeaderChar"/>
    <w:uiPriority w:val="99"/>
    <w:unhideWhenUsed/>
    <w:rsid w:val="00480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0AE3"/>
    <w:rPr>
      <w:rFonts w:ascii="Calibri" w:eastAsia="Calibri" w:hAnsi="Calibri" w:cs="Times New Roman"/>
      <w:sz w:val="22"/>
      <w:szCs w:val="22"/>
      <w:lang w:val="lv-LV"/>
    </w:rPr>
  </w:style>
  <w:style w:type="paragraph" w:styleId="Footer">
    <w:name w:val="footer"/>
    <w:basedOn w:val="Normal"/>
    <w:link w:val="FooterChar"/>
    <w:uiPriority w:val="99"/>
    <w:unhideWhenUsed/>
    <w:rsid w:val="00480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0AE3"/>
    <w:rPr>
      <w:rFonts w:ascii="Calibri" w:eastAsia="Calibri" w:hAnsi="Calibri" w:cs="Times New Roman"/>
      <w:sz w:val="22"/>
      <w:szCs w:val="22"/>
      <w:lang w:val="lv-LV"/>
    </w:rPr>
  </w:style>
  <w:style w:type="character" w:styleId="PageNumber">
    <w:name w:val="page number"/>
    <w:basedOn w:val="DefaultParagraphFont"/>
    <w:uiPriority w:val="99"/>
    <w:semiHidden/>
    <w:unhideWhenUsed/>
    <w:rsid w:val="00480AE3"/>
  </w:style>
  <w:style w:type="character" w:customStyle="1" w:styleId="Heading2Char">
    <w:name w:val="Heading 2 Char"/>
    <w:basedOn w:val="DefaultParagraphFont"/>
    <w:link w:val="Heading2"/>
    <w:uiPriority w:val="9"/>
    <w:rsid w:val="006427A2"/>
    <w:rPr>
      <w:rFonts w:asciiTheme="majorHAnsi" w:eastAsiaTheme="majorEastAsia" w:hAnsiTheme="majorHAnsi" w:cstheme="majorBidi"/>
      <w:b/>
      <w:bCs/>
      <w:color w:val="4F81BD" w:themeColor="accent1"/>
      <w:sz w:val="26"/>
      <w:szCs w:val="26"/>
      <w:lang w:val="lv-LV"/>
    </w:rPr>
  </w:style>
  <w:style w:type="paragraph" w:styleId="BalloonText">
    <w:name w:val="Balloon Text"/>
    <w:basedOn w:val="Normal"/>
    <w:link w:val="BalloonTextChar"/>
    <w:uiPriority w:val="99"/>
    <w:semiHidden/>
    <w:unhideWhenUsed/>
    <w:rsid w:val="004B2F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F49"/>
    <w:rPr>
      <w:rFonts w:ascii="Lucida Grande" w:eastAsia="Calibri" w:hAnsi="Lucida Grande" w:cs="Times New Roman"/>
      <w:sz w:val="18"/>
      <w:szCs w:val="18"/>
      <w:lang w:val="lv-LV"/>
    </w:rPr>
  </w:style>
  <w:style w:type="character" w:styleId="Hyperlink">
    <w:name w:val="Hyperlink"/>
    <w:basedOn w:val="DefaultParagraphFont"/>
    <w:uiPriority w:val="99"/>
    <w:unhideWhenUsed/>
    <w:rsid w:val="00677321"/>
    <w:rPr>
      <w:color w:val="0000FF" w:themeColor="hyperlink"/>
      <w:u w:val="single"/>
    </w:rPr>
  </w:style>
  <w:style w:type="character" w:styleId="CommentReference">
    <w:name w:val="annotation reference"/>
    <w:basedOn w:val="DefaultParagraphFont"/>
    <w:uiPriority w:val="99"/>
    <w:semiHidden/>
    <w:unhideWhenUsed/>
    <w:rsid w:val="00411234"/>
    <w:rPr>
      <w:sz w:val="16"/>
      <w:szCs w:val="16"/>
    </w:rPr>
  </w:style>
  <w:style w:type="paragraph" w:styleId="CommentSubject">
    <w:name w:val="annotation subject"/>
    <w:basedOn w:val="CommentText"/>
    <w:next w:val="CommentText"/>
    <w:link w:val="CommentSubjectChar"/>
    <w:uiPriority w:val="99"/>
    <w:semiHidden/>
    <w:unhideWhenUsed/>
    <w:rsid w:val="00411234"/>
    <w:pPr>
      <w:spacing w:line="240" w:lineRule="auto"/>
    </w:pPr>
    <w:rPr>
      <w:rFonts w:eastAsia="Calibri" w:cs="Times New Roman"/>
      <w:b/>
      <w:bCs/>
      <w:sz w:val="20"/>
      <w:szCs w:val="20"/>
    </w:rPr>
  </w:style>
  <w:style w:type="character" w:customStyle="1" w:styleId="CommentSubjectChar">
    <w:name w:val="Comment Subject Char"/>
    <w:basedOn w:val="CommentTextChar"/>
    <w:link w:val="CommentSubject"/>
    <w:uiPriority w:val="99"/>
    <w:semiHidden/>
    <w:rsid w:val="00411234"/>
    <w:rPr>
      <w:rFonts w:ascii="Calibri" w:eastAsia="Calibri" w:hAnsi="Calibri" w:cs="Times New Roman"/>
      <w:b/>
      <w:bCs/>
      <w:sz w:val="20"/>
      <w:szCs w:val="20"/>
      <w:lang w:val="lv-LV"/>
    </w:rPr>
  </w:style>
  <w:style w:type="paragraph" w:styleId="HTMLPreformatted">
    <w:name w:val="HTML Preformatted"/>
    <w:basedOn w:val="Normal"/>
    <w:link w:val="HTMLPreformattedChar"/>
    <w:uiPriority w:val="99"/>
    <w:semiHidden/>
    <w:unhideWhenUsed/>
    <w:rsid w:val="00E6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6202E"/>
    <w:rPr>
      <w:rFonts w:ascii="Courier New" w:eastAsia="MS Mincho" w:hAnsi="Courier New" w:cs="Courier New"/>
      <w:sz w:val="20"/>
      <w:szCs w:val="20"/>
      <w:lang w:val="lv-LV" w:eastAsia="lv-LV"/>
    </w:rPr>
  </w:style>
  <w:style w:type="paragraph" w:styleId="FootnoteText">
    <w:name w:val="footnote text"/>
    <w:basedOn w:val="Normal"/>
    <w:link w:val="FootnoteTextChar"/>
    <w:uiPriority w:val="99"/>
    <w:semiHidden/>
    <w:unhideWhenUsed/>
    <w:rsid w:val="00B70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FA"/>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B704FA"/>
    <w:rPr>
      <w:vertAlign w:val="superscript"/>
    </w:rPr>
  </w:style>
  <w:style w:type="paragraph" w:styleId="EndnoteText">
    <w:name w:val="endnote text"/>
    <w:basedOn w:val="Normal"/>
    <w:link w:val="EndnoteTextChar"/>
    <w:uiPriority w:val="99"/>
    <w:semiHidden/>
    <w:unhideWhenUsed/>
    <w:rsid w:val="00A27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B3B"/>
    <w:rPr>
      <w:rFonts w:ascii="Calibri" w:eastAsia="Calibri" w:hAnsi="Calibri" w:cs="Times New Roman"/>
      <w:sz w:val="20"/>
      <w:szCs w:val="20"/>
      <w:lang w:val="lv-LV"/>
    </w:rPr>
  </w:style>
  <w:style w:type="character" w:styleId="EndnoteReference">
    <w:name w:val="endnote reference"/>
    <w:basedOn w:val="DefaultParagraphFont"/>
    <w:uiPriority w:val="99"/>
    <w:semiHidden/>
    <w:unhideWhenUsed/>
    <w:rsid w:val="00A27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6258">
      <w:bodyDiv w:val="1"/>
      <w:marLeft w:val="0"/>
      <w:marRight w:val="0"/>
      <w:marTop w:val="0"/>
      <w:marBottom w:val="0"/>
      <w:divBdr>
        <w:top w:val="none" w:sz="0" w:space="0" w:color="auto"/>
        <w:left w:val="none" w:sz="0" w:space="0" w:color="auto"/>
        <w:bottom w:val="none" w:sz="0" w:space="0" w:color="auto"/>
        <w:right w:val="none" w:sz="0" w:space="0" w:color="auto"/>
      </w:divBdr>
    </w:div>
    <w:div w:id="614558792">
      <w:bodyDiv w:val="1"/>
      <w:marLeft w:val="0"/>
      <w:marRight w:val="0"/>
      <w:marTop w:val="0"/>
      <w:marBottom w:val="0"/>
      <w:divBdr>
        <w:top w:val="none" w:sz="0" w:space="0" w:color="auto"/>
        <w:left w:val="none" w:sz="0" w:space="0" w:color="auto"/>
        <w:bottom w:val="none" w:sz="0" w:space="0" w:color="auto"/>
        <w:right w:val="none" w:sz="0" w:space="0" w:color="auto"/>
      </w:divBdr>
    </w:div>
    <w:div w:id="740634723">
      <w:bodyDiv w:val="1"/>
      <w:marLeft w:val="0"/>
      <w:marRight w:val="0"/>
      <w:marTop w:val="0"/>
      <w:marBottom w:val="0"/>
      <w:divBdr>
        <w:top w:val="none" w:sz="0" w:space="0" w:color="auto"/>
        <w:left w:val="none" w:sz="0" w:space="0" w:color="auto"/>
        <w:bottom w:val="none" w:sz="0" w:space="0" w:color="auto"/>
        <w:right w:val="none" w:sz="0" w:space="0" w:color="auto"/>
      </w:divBdr>
    </w:div>
    <w:div w:id="1153180634">
      <w:bodyDiv w:val="1"/>
      <w:marLeft w:val="0"/>
      <w:marRight w:val="0"/>
      <w:marTop w:val="0"/>
      <w:marBottom w:val="0"/>
      <w:divBdr>
        <w:top w:val="none" w:sz="0" w:space="0" w:color="auto"/>
        <w:left w:val="none" w:sz="0" w:space="0" w:color="auto"/>
        <w:bottom w:val="none" w:sz="0" w:space="0" w:color="auto"/>
        <w:right w:val="none" w:sz="0" w:space="0" w:color="auto"/>
      </w:divBdr>
    </w:div>
    <w:div w:id="1497263437">
      <w:bodyDiv w:val="1"/>
      <w:marLeft w:val="0"/>
      <w:marRight w:val="0"/>
      <w:marTop w:val="0"/>
      <w:marBottom w:val="0"/>
      <w:divBdr>
        <w:top w:val="none" w:sz="0" w:space="0" w:color="auto"/>
        <w:left w:val="none" w:sz="0" w:space="0" w:color="auto"/>
        <w:bottom w:val="none" w:sz="0" w:space="0" w:color="auto"/>
        <w:right w:val="none" w:sz="0" w:space="0" w:color="auto"/>
      </w:divBdr>
    </w:div>
    <w:div w:id="1862206942">
      <w:bodyDiv w:val="1"/>
      <w:marLeft w:val="0"/>
      <w:marRight w:val="0"/>
      <w:marTop w:val="0"/>
      <w:marBottom w:val="0"/>
      <w:divBdr>
        <w:top w:val="none" w:sz="0" w:space="0" w:color="auto"/>
        <w:left w:val="none" w:sz="0" w:space="0" w:color="auto"/>
        <w:bottom w:val="none" w:sz="0" w:space="0" w:color="auto"/>
        <w:right w:val="none" w:sz="0" w:space="0" w:color="auto"/>
      </w:divBdr>
    </w:div>
    <w:div w:id="1873499019">
      <w:bodyDiv w:val="1"/>
      <w:marLeft w:val="0"/>
      <w:marRight w:val="0"/>
      <w:marTop w:val="0"/>
      <w:marBottom w:val="0"/>
      <w:divBdr>
        <w:top w:val="none" w:sz="0" w:space="0" w:color="auto"/>
        <w:left w:val="none" w:sz="0" w:space="0" w:color="auto"/>
        <w:bottom w:val="none" w:sz="0" w:space="0" w:color="auto"/>
        <w:right w:val="none" w:sz="0" w:space="0" w:color="auto"/>
      </w:divBdr>
    </w:div>
    <w:div w:id="1927880877">
      <w:bodyDiv w:val="1"/>
      <w:marLeft w:val="0"/>
      <w:marRight w:val="0"/>
      <w:marTop w:val="0"/>
      <w:marBottom w:val="0"/>
      <w:divBdr>
        <w:top w:val="none" w:sz="0" w:space="0" w:color="auto"/>
        <w:left w:val="none" w:sz="0" w:space="0" w:color="auto"/>
        <w:bottom w:val="none" w:sz="0" w:space="0" w:color="auto"/>
        <w:right w:val="none" w:sz="0" w:space="0" w:color="auto"/>
      </w:divBdr>
    </w:div>
    <w:div w:id="1942950327">
      <w:bodyDiv w:val="1"/>
      <w:marLeft w:val="0"/>
      <w:marRight w:val="0"/>
      <w:marTop w:val="0"/>
      <w:marBottom w:val="0"/>
      <w:divBdr>
        <w:top w:val="none" w:sz="0" w:space="0" w:color="auto"/>
        <w:left w:val="none" w:sz="0" w:space="0" w:color="auto"/>
        <w:bottom w:val="none" w:sz="0" w:space="0" w:color="auto"/>
        <w:right w:val="none" w:sz="0" w:space="0" w:color="auto"/>
      </w:divBdr>
    </w:div>
    <w:div w:id="2037845202">
      <w:bodyDiv w:val="1"/>
      <w:marLeft w:val="0"/>
      <w:marRight w:val="0"/>
      <w:marTop w:val="0"/>
      <w:marBottom w:val="0"/>
      <w:divBdr>
        <w:top w:val="none" w:sz="0" w:space="0" w:color="auto"/>
        <w:left w:val="none" w:sz="0" w:space="0" w:color="auto"/>
        <w:bottom w:val="none" w:sz="0" w:space="0" w:color="auto"/>
        <w:right w:val="none" w:sz="0" w:space="0" w:color="auto"/>
      </w:divBdr>
    </w:div>
    <w:div w:id="21394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F82D-50B0-42E7-A50D-C569EC3B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31217</Words>
  <Characters>17795</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FMplans_11032014_FSAPlana pielikums;  Finanšu sektora attīstības plāna 2014.-2016.gadam pielikums „Plānā paredzētie pasākumi”</dc:title>
  <dc:subject>pielikums</dc:subject>
  <dc:creator>imants.tiesnieks@fm.gov.lv</dc:creator>
  <cp:keywords/>
  <dc:description>67095667, Imants.Tiesnieks@fm.gov.lv</dc:description>
  <cp:lastModifiedBy>Lagzdiņa Lelde</cp:lastModifiedBy>
  <cp:revision>6</cp:revision>
  <cp:lastPrinted>2014-03-10T09:55:00Z</cp:lastPrinted>
  <dcterms:created xsi:type="dcterms:W3CDTF">2014-03-11T09:34:00Z</dcterms:created>
  <dcterms:modified xsi:type="dcterms:W3CDTF">2014-03-19T12:39:00Z</dcterms:modified>
</cp:coreProperties>
</file>