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628" w:rsidRPr="004544EF" w:rsidRDefault="006A5628" w:rsidP="002135B8">
      <w:pPr>
        <w:pStyle w:val="Subtitle"/>
        <w:widowControl/>
        <w:spacing w:before="120" w:after="120"/>
        <w:ind w:right="84"/>
        <w:jc w:val="right"/>
        <w:rPr>
          <w:b w:val="0"/>
          <w:sz w:val="24"/>
          <w:szCs w:val="24"/>
          <w:lang w:val="lv-LV"/>
        </w:rPr>
      </w:pPr>
      <w:r w:rsidRPr="004544EF">
        <w:rPr>
          <w:b w:val="0"/>
          <w:sz w:val="24"/>
          <w:szCs w:val="24"/>
          <w:lang w:val="lv-LV"/>
        </w:rPr>
        <w:t>PROJEKTS</w:t>
      </w:r>
    </w:p>
    <w:p w:rsidR="006A5628" w:rsidRPr="004544EF" w:rsidRDefault="006A5628" w:rsidP="002135B8">
      <w:pPr>
        <w:spacing w:before="120" w:after="120"/>
        <w:jc w:val="right"/>
        <w:rPr>
          <w:b/>
          <w:szCs w:val="24"/>
        </w:rPr>
      </w:pPr>
      <w:r w:rsidRPr="004544EF">
        <w:rPr>
          <w:b/>
          <w:szCs w:val="24"/>
        </w:rPr>
        <w:t>Saeimas Publisko izdevumu un revīzijas komisijai</w:t>
      </w:r>
    </w:p>
    <w:p w:rsidR="009C02A0" w:rsidRPr="004544EF" w:rsidRDefault="009C02A0" w:rsidP="002135B8">
      <w:pPr>
        <w:pStyle w:val="Subtitle"/>
        <w:widowControl/>
        <w:spacing w:before="120" w:after="120"/>
        <w:rPr>
          <w:i/>
          <w:sz w:val="24"/>
          <w:szCs w:val="24"/>
          <w:lang w:val="lv-LV"/>
        </w:rPr>
      </w:pPr>
    </w:p>
    <w:p w:rsidR="006A5628" w:rsidRPr="004544EF" w:rsidRDefault="006A5628" w:rsidP="00B11375">
      <w:pPr>
        <w:pStyle w:val="Subtitle"/>
        <w:widowControl/>
        <w:spacing w:before="0" w:after="0"/>
        <w:rPr>
          <w:b w:val="0"/>
          <w:i/>
          <w:sz w:val="24"/>
          <w:szCs w:val="24"/>
          <w:lang w:val="lv-LV" w:eastAsia="lv-LV"/>
        </w:rPr>
      </w:pPr>
      <w:r w:rsidRPr="004544EF">
        <w:rPr>
          <w:b w:val="0"/>
          <w:i/>
          <w:sz w:val="24"/>
          <w:szCs w:val="24"/>
          <w:lang w:val="lv-LV"/>
        </w:rPr>
        <w:t xml:space="preserve">Par </w:t>
      </w:r>
      <w:r w:rsidR="00B11375" w:rsidRPr="004544EF">
        <w:rPr>
          <w:b w:val="0"/>
          <w:i/>
          <w:sz w:val="24"/>
          <w:szCs w:val="24"/>
          <w:lang w:val="lv-LV" w:eastAsia="lv-LV"/>
        </w:rPr>
        <w:t>budžeta iestāžu veiktajiem</w:t>
      </w:r>
    </w:p>
    <w:p w:rsidR="00B11375" w:rsidRPr="004544EF" w:rsidRDefault="00B11375" w:rsidP="00B11375">
      <w:pPr>
        <w:rPr>
          <w:i/>
          <w:lang w:eastAsia="lv-LV"/>
        </w:rPr>
      </w:pPr>
      <w:r w:rsidRPr="004544EF">
        <w:rPr>
          <w:i/>
          <w:lang w:eastAsia="lv-LV"/>
        </w:rPr>
        <w:t>administratīvajiem izdevumiem</w:t>
      </w:r>
    </w:p>
    <w:p w:rsidR="003D124E" w:rsidRPr="004544EF" w:rsidRDefault="003D124E" w:rsidP="002135B8">
      <w:pPr>
        <w:spacing w:before="120" w:after="120"/>
        <w:ind w:firstLine="720"/>
        <w:rPr>
          <w:szCs w:val="24"/>
        </w:rPr>
      </w:pPr>
    </w:p>
    <w:p w:rsidR="003D124E" w:rsidRPr="004544EF" w:rsidRDefault="003D124E" w:rsidP="00A2408D">
      <w:pPr>
        <w:spacing w:before="120" w:after="120"/>
        <w:ind w:firstLine="709"/>
        <w:rPr>
          <w:b/>
          <w:szCs w:val="24"/>
          <w:lang w:eastAsia="lv-LV"/>
        </w:rPr>
      </w:pPr>
      <w:r w:rsidRPr="004544EF">
        <w:rPr>
          <w:szCs w:val="24"/>
        </w:rPr>
        <w:t>Ministru kabinets ir iepazinies ar</w:t>
      </w:r>
      <w:r w:rsidRPr="004544EF">
        <w:rPr>
          <w:b/>
          <w:szCs w:val="24"/>
        </w:rPr>
        <w:t xml:space="preserve"> </w:t>
      </w:r>
      <w:r w:rsidRPr="004544EF">
        <w:rPr>
          <w:rStyle w:val="Emphasis"/>
          <w:b w:val="0"/>
          <w:color w:val="000000"/>
          <w:szCs w:val="24"/>
        </w:rPr>
        <w:t xml:space="preserve">Saeimas </w:t>
      </w:r>
      <w:r w:rsidR="008D6D43" w:rsidRPr="004544EF">
        <w:rPr>
          <w:rStyle w:val="Emphasis"/>
          <w:b w:val="0"/>
          <w:color w:val="000000"/>
          <w:szCs w:val="24"/>
        </w:rPr>
        <w:t>Publisko izdevumu un revīzijas</w:t>
      </w:r>
      <w:r w:rsidRPr="004544EF">
        <w:rPr>
          <w:rStyle w:val="Emphasis"/>
          <w:b w:val="0"/>
          <w:color w:val="000000"/>
          <w:szCs w:val="24"/>
        </w:rPr>
        <w:t xml:space="preserve"> komisijas </w:t>
      </w:r>
      <w:r w:rsidRPr="004544EF">
        <w:rPr>
          <w:szCs w:val="24"/>
          <w:lang w:eastAsia="lv-LV"/>
        </w:rPr>
        <w:t>(turpmāk –</w:t>
      </w:r>
      <w:r w:rsidR="008D6D43" w:rsidRPr="004544EF">
        <w:rPr>
          <w:szCs w:val="24"/>
          <w:lang w:eastAsia="lv-LV"/>
        </w:rPr>
        <w:t xml:space="preserve"> </w:t>
      </w:r>
      <w:r w:rsidR="00BD21A8" w:rsidRPr="004544EF">
        <w:rPr>
          <w:szCs w:val="24"/>
          <w:lang w:eastAsia="lv-LV"/>
        </w:rPr>
        <w:t>K</w:t>
      </w:r>
      <w:r w:rsidRPr="004544EF">
        <w:rPr>
          <w:szCs w:val="24"/>
          <w:lang w:eastAsia="lv-LV"/>
        </w:rPr>
        <w:t xml:space="preserve">omisija) </w:t>
      </w:r>
      <w:r w:rsidRPr="004544EF">
        <w:rPr>
          <w:color w:val="000000"/>
          <w:szCs w:val="24"/>
        </w:rPr>
        <w:t xml:space="preserve">2014.gada </w:t>
      </w:r>
      <w:r w:rsidR="00BD21A8" w:rsidRPr="004544EF">
        <w:rPr>
          <w:color w:val="000000"/>
          <w:szCs w:val="24"/>
        </w:rPr>
        <w:t>3.aprīļa</w:t>
      </w:r>
      <w:r w:rsidRPr="004544EF">
        <w:rPr>
          <w:color w:val="000000"/>
          <w:szCs w:val="24"/>
        </w:rPr>
        <w:t xml:space="preserve"> </w:t>
      </w:r>
      <w:r w:rsidRPr="004544EF">
        <w:rPr>
          <w:szCs w:val="24"/>
        </w:rPr>
        <w:t>vēstuli Nr.9/1</w:t>
      </w:r>
      <w:r w:rsidR="00BD21A8" w:rsidRPr="004544EF">
        <w:rPr>
          <w:szCs w:val="24"/>
        </w:rPr>
        <w:t>2</w:t>
      </w:r>
      <w:r w:rsidRPr="004544EF">
        <w:rPr>
          <w:szCs w:val="24"/>
        </w:rPr>
        <w:t>-2-n/</w:t>
      </w:r>
      <w:r w:rsidR="00BD21A8" w:rsidRPr="004544EF">
        <w:rPr>
          <w:szCs w:val="24"/>
        </w:rPr>
        <w:t>61</w:t>
      </w:r>
      <w:r w:rsidRPr="004544EF">
        <w:rPr>
          <w:szCs w:val="24"/>
        </w:rPr>
        <w:t xml:space="preserve">-11/14, kurā Ministru kabinetam </w:t>
      </w:r>
      <w:r w:rsidR="00BD21A8" w:rsidRPr="004544EF">
        <w:rPr>
          <w:szCs w:val="24"/>
        </w:rPr>
        <w:t>uzdots</w:t>
      </w:r>
      <w:r w:rsidRPr="004544EF">
        <w:rPr>
          <w:szCs w:val="24"/>
        </w:rPr>
        <w:t xml:space="preserve"> </w:t>
      </w:r>
      <w:r w:rsidR="00BD21A8" w:rsidRPr="004544EF">
        <w:rPr>
          <w:szCs w:val="24"/>
        </w:rPr>
        <w:t>sniegt viedokli par publiskā sektora administratīvo, reprezentācijas un kolektīvo pasākumu organizēšanas izdevumu lietderību</w:t>
      </w:r>
      <w:r w:rsidRPr="004544EF">
        <w:rPr>
          <w:szCs w:val="24"/>
        </w:rPr>
        <w:t xml:space="preserve">. Atbildot uz </w:t>
      </w:r>
      <w:r w:rsidR="00BD21A8" w:rsidRPr="004544EF">
        <w:rPr>
          <w:szCs w:val="24"/>
        </w:rPr>
        <w:t>K</w:t>
      </w:r>
      <w:r w:rsidRPr="004544EF">
        <w:rPr>
          <w:szCs w:val="24"/>
        </w:rPr>
        <w:t xml:space="preserve">omisijas vēstulē </w:t>
      </w:r>
      <w:r w:rsidR="009C02A0" w:rsidRPr="004544EF">
        <w:rPr>
          <w:szCs w:val="24"/>
        </w:rPr>
        <w:t>uzdoto</w:t>
      </w:r>
      <w:r w:rsidR="00D9514E" w:rsidRPr="004544EF">
        <w:rPr>
          <w:szCs w:val="24"/>
        </w:rPr>
        <w:t xml:space="preserve">, kā arī </w:t>
      </w:r>
      <w:r w:rsidR="001B0339" w:rsidRPr="004544EF">
        <w:rPr>
          <w:szCs w:val="24"/>
        </w:rPr>
        <w:t>ņemot vērā</w:t>
      </w:r>
      <w:r w:rsidR="00D9514E" w:rsidRPr="004544EF">
        <w:rPr>
          <w:szCs w:val="24"/>
        </w:rPr>
        <w:t xml:space="preserve"> Valsts kontroles 2014.gada 20.marta vēstulē Nr.6-2.3.1/281 “Par budžeta iestāžu veiktajiem administratīvajiem izdevumiem”</w:t>
      </w:r>
      <w:r w:rsidR="001B0339" w:rsidRPr="004544EF">
        <w:rPr>
          <w:szCs w:val="24"/>
        </w:rPr>
        <w:t xml:space="preserve"> </w:t>
      </w:r>
      <w:r w:rsidR="009C02A0" w:rsidRPr="004544EF">
        <w:rPr>
          <w:szCs w:val="24"/>
        </w:rPr>
        <w:t>minēto</w:t>
      </w:r>
      <w:r w:rsidRPr="004544EF">
        <w:rPr>
          <w:szCs w:val="24"/>
        </w:rPr>
        <w:t>, informējam par sekojošo.</w:t>
      </w:r>
    </w:p>
    <w:p w:rsidR="008D6D43" w:rsidRPr="004544EF" w:rsidRDefault="00E13A4A" w:rsidP="00A2408D">
      <w:pPr>
        <w:spacing w:before="120" w:after="120"/>
        <w:ind w:firstLine="709"/>
        <w:rPr>
          <w:i/>
          <w:szCs w:val="24"/>
          <w:lang w:eastAsia="lv-LV"/>
        </w:rPr>
      </w:pPr>
      <w:r w:rsidRPr="004544EF">
        <w:rPr>
          <w:i/>
          <w:szCs w:val="24"/>
          <w:lang w:eastAsia="lv-LV"/>
        </w:rPr>
        <w:t>1. Cik lieli bija administratīvie, reprezentācijas un kolektīvo pasākumu organizēšanas izdevumi valsts pārvaldē 2011., 2012. un 2013.gadā, sadalījumā pa resoriem?</w:t>
      </w:r>
      <w:r w:rsidR="008D6D43" w:rsidRPr="004544EF">
        <w:rPr>
          <w:i/>
          <w:szCs w:val="24"/>
          <w:lang w:eastAsia="lv-LV"/>
        </w:rPr>
        <w:t xml:space="preserve"> </w:t>
      </w:r>
    </w:p>
    <w:p w:rsidR="00E41423" w:rsidRPr="004544EF" w:rsidRDefault="00E41423" w:rsidP="00A2408D">
      <w:pPr>
        <w:spacing w:before="120" w:after="120"/>
        <w:ind w:firstLine="709"/>
      </w:pPr>
      <w:r w:rsidRPr="004544EF">
        <w:t>Lai noteiktu izdevumu apjomu administratīvo, reprezentācijas un kolektīvo pasākumu organizēšanai, Finanšu ministrija apkopoja iestāžu veiktos minētos izdevumus, kuru uzskaiti nosaka  Ministru kabineta 2005.gada 27.decembra noteikumi Nr.1031</w:t>
      </w:r>
      <w:r w:rsidRPr="004544EF">
        <w:rPr>
          <w:bCs/>
        </w:rPr>
        <w:t xml:space="preserve"> “Noteikumi par budžetu izdevumu klasifikāciju atbilstoši ekonomiskajām kategorijām” </w:t>
      </w:r>
      <w:r w:rsidRPr="004544EF">
        <w:t>(turpmāk – klasifikācija). Saskaņā ar klasifikāciju:</w:t>
      </w:r>
    </w:p>
    <w:p w:rsidR="00E41423" w:rsidRPr="004544EF" w:rsidRDefault="00E41423" w:rsidP="00E41423">
      <w:pPr>
        <w:pStyle w:val="ListParagraph"/>
        <w:numPr>
          <w:ilvl w:val="0"/>
          <w:numId w:val="22"/>
        </w:numPr>
        <w:spacing w:after="120"/>
        <w:ind w:left="567" w:hanging="283"/>
      </w:pPr>
      <w:r w:rsidRPr="004544EF">
        <w:t>izdevumu kodā 2230 “Iestādes administratīvie izdevumi un ar iestādes darbības nodrošināšanu saistītie izdevumi” uzskaita iestādes administratīvos izdevumus un ar iestādes darbības nodrošināšanu saistītos izdevumus, tajā skaitā</w:t>
      </w:r>
    </w:p>
    <w:p w:rsidR="00E41423" w:rsidRPr="004544EF" w:rsidRDefault="00E41423" w:rsidP="00E41423">
      <w:pPr>
        <w:pStyle w:val="ListParagraph"/>
        <w:numPr>
          <w:ilvl w:val="1"/>
          <w:numId w:val="22"/>
        </w:numPr>
        <w:spacing w:after="120"/>
      </w:pPr>
      <w:r w:rsidRPr="004544EF">
        <w:t>kodā 2231 “Administratīvie izdevumi un sabiedriskās attiecības, kursu un semināru organizēšana” uzskaita iestādes administratīvos izdevumus oficiālu citu institūciju pārstāvju, iekšzemes un ārvalstu delegāciju un citu pasākumu saimnieciskai apkalpošanai, kā arī sabiedrisko attiecību īstenošanas izdevumus (informatīvie materiāli, kancelejas preces, telpu noma sanāksmju, konferenču un citu pasākumu organizēšanai, kā arī apspriežu, kursu, semināru, konferenču, kongresu un citu pasākumu organizēšanas izdevumus (telpu īre, transporta un tulkošanas pakalpojumi, ēdināšanas pakalpojumi);</w:t>
      </w:r>
    </w:p>
    <w:p w:rsidR="00E41423" w:rsidRPr="004544EF" w:rsidRDefault="00E41423" w:rsidP="00E41423">
      <w:pPr>
        <w:pStyle w:val="ListParagraph"/>
        <w:numPr>
          <w:ilvl w:val="1"/>
          <w:numId w:val="22"/>
        </w:numPr>
        <w:spacing w:after="120"/>
      </w:pPr>
      <w:r w:rsidRPr="004544EF">
        <w:t xml:space="preserve">kodā 2239 “Pārējie iestādes administratīvie izdevumi” uzskaita pārējos iestādes administratīvos izdevumus, kas nav minēti citos koda 2230 </w:t>
      </w:r>
      <w:proofErr w:type="spellStart"/>
      <w:r w:rsidRPr="004544EF">
        <w:t>apakškodos</w:t>
      </w:r>
      <w:proofErr w:type="spellEnd"/>
      <w:r w:rsidRPr="004544EF">
        <w:t xml:space="preserve">, tai skaitā darba aizsardzības un ugunsdrošības ekspertu un citu ekspertu pakalpojumu izdevumus, personāla meklēšanas izdevumus; statistisko un socioloģisko </w:t>
      </w:r>
      <w:proofErr w:type="spellStart"/>
      <w:r w:rsidRPr="004544EF">
        <w:t>apsekojumu</w:t>
      </w:r>
      <w:proofErr w:type="spellEnd"/>
      <w:r w:rsidRPr="004544EF">
        <w:t xml:space="preserve">, tipogrāfiju un publikāciju, dokumentu iesiešanas un brošēšanas, arhīva pakalpojumu, bibliotēku grāmatu iesiešanas un pārsūtīšanas, literatūras iegādes izdevumus; izdevumus, kas saistīti ar periodiskās preses pasūtīšanu iestādes vajadzībām, iestādes pārcelšanās izdevumus, kā arī citu ar iestādes darbības nodrošināšanu saistīto pakalpojumu izdevumus; </w:t>
      </w:r>
    </w:p>
    <w:p w:rsidR="00E41423" w:rsidRPr="004544EF" w:rsidRDefault="00E41423" w:rsidP="00E41423">
      <w:pPr>
        <w:pStyle w:val="ListParagraph"/>
        <w:numPr>
          <w:ilvl w:val="0"/>
          <w:numId w:val="22"/>
        </w:numPr>
        <w:spacing w:after="120"/>
      </w:pPr>
      <w:r w:rsidRPr="004544EF">
        <w:t>izdevumu kodā 2278 “Iestādes iekšējo kolektīvo pasākumu organizēšanas izdevumi” uzskaita izdevumus iestādes pasākumiem kultūras un sporta jomā, kas nodrošina darbinieku motivēšanu un organizācijas mērķu sasniegšanu.</w:t>
      </w:r>
    </w:p>
    <w:p w:rsidR="00E13A4A" w:rsidRPr="004544EF" w:rsidRDefault="00546F2B" w:rsidP="00E13A4A">
      <w:pPr>
        <w:spacing w:before="120" w:after="120"/>
        <w:ind w:firstLine="709"/>
        <w:rPr>
          <w:szCs w:val="24"/>
          <w:lang w:eastAsia="lv-LV"/>
        </w:rPr>
      </w:pPr>
      <w:r w:rsidRPr="004544EF">
        <w:rPr>
          <w:szCs w:val="24"/>
          <w:lang w:eastAsia="lv-LV"/>
        </w:rPr>
        <w:lastRenderedPageBreak/>
        <w:t xml:space="preserve">Saskaņā ar valsts budžeta izpildes datiem 2011.gadā valsts pamatbudžetā </w:t>
      </w:r>
      <w:r w:rsidR="00574ADC" w:rsidRPr="004544EF">
        <w:rPr>
          <w:szCs w:val="24"/>
          <w:lang w:eastAsia="lv-LV"/>
        </w:rPr>
        <w:t xml:space="preserve">un valsts speciālajā budžetā kopā </w:t>
      </w:r>
      <w:r w:rsidRPr="004544EF">
        <w:rPr>
          <w:szCs w:val="24"/>
          <w:lang w:eastAsia="lv-LV"/>
        </w:rPr>
        <w:t>budžeta iestāžu administratīvajiem izdevumiem izlietoti 12,3 milj. latu, tajā skaitā valsts pamatfunkciju īstenošanai 5,</w:t>
      </w:r>
      <w:r w:rsidR="001B3DCD" w:rsidRPr="004544EF">
        <w:rPr>
          <w:szCs w:val="24"/>
          <w:lang w:eastAsia="lv-LV"/>
        </w:rPr>
        <w:t>5</w:t>
      </w:r>
      <w:r w:rsidRPr="004544EF">
        <w:rPr>
          <w:szCs w:val="24"/>
          <w:lang w:eastAsia="lv-LV"/>
        </w:rPr>
        <w:t xml:space="preserve"> milj. latu, bet ES politiku instrumentu un pārējās ārvalstu finanšu palīdzības līdzfinansēto projektu un pasākumu īstenošanai 6,8 milj. latu.</w:t>
      </w:r>
      <w:r w:rsidR="001B3DCD" w:rsidRPr="004544EF">
        <w:rPr>
          <w:szCs w:val="24"/>
          <w:lang w:eastAsia="lv-LV"/>
        </w:rPr>
        <w:t xml:space="preserve"> 2012.gadā administratīvajiem izdevumiem kopā </w:t>
      </w:r>
      <w:r w:rsidR="00DC2542" w:rsidRPr="004544EF">
        <w:rPr>
          <w:szCs w:val="24"/>
          <w:lang w:eastAsia="lv-LV"/>
        </w:rPr>
        <w:t xml:space="preserve">izlietoti </w:t>
      </w:r>
      <w:r w:rsidR="001B3DCD" w:rsidRPr="004544EF">
        <w:rPr>
          <w:szCs w:val="24"/>
          <w:lang w:eastAsia="lv-LV"/>
        </w:rPr>
        <w:t>13,</w:t>
      </w:r>
      <w:r w:rsidR="00A81E66" w:rsidRPr="004544EF">
        <w:rPr>
          <w:szCs w:val="24"/>
          <w:lang w:eastAsia="lv-LV"/>
        </w:rPr>
        <w:t>6</w:t>
      </w:r>
      <w:r w:rsidR="001B3DCD" w:rsidRPr="004544EF">
        <w:rPr>
          <w:szCs w:val="24"/>
          <w:lang w:eastAsia="lv-LV"/>
        </w:rPr>
        <w:t xml:space="preserve"> milj. latu, </w:t>
      </w:r>
      <w:r w:rsidR="00DC2542" w:rsidRPr="004544EF">
        <w:rPr>
          <w:szCs w:val="24"/>
          <w:lang w:eastAsia="lv-LV"/>
        </w:rPr>
        <w:t xml:space="preserve">tajā skaitā </w:t>
      </w:r>
      <w:r w:rsidR="001B3DCD" w:rsidRPr="004544EF">
        <w:rPr>
          <w:szCs w:val="24"/>
          <w:lang w:eastAsia="lv-LV"/>
        </w:rPr>
        <w:t>valsts pamatfunkciju īstenošanai 6,</w:t>
      </w:r>
      <w:r w:rsidR="00D37357" w:rsidRPr="004544EF">
        <w:rPr>
          <w:szCs w:val="24"/>
          <w:lang w:eastAsia="lv-LV"/>
        </w:rPr>
        <w:t xml:space="preserve">4 </w:t>
      </w:r>
      <w:r w:rsidR="001B3DCD" w:rsidRPr="004544EF">
        <w:rPr>
          <w:szCs w:val="24"/>
          <w:lang w:eastAsia="lv-LV"/>
        </w:rPr>
        <w:t>milj. latu un ES politiku instrumentu un pārējās ārvalstu finanšu palīdzības līdzfinansēto projektu un pasākumu īstenošanai 7,</w:t>
      </w:r>
      <w:r w:rsidR="00574ADC" w:rsidRPr="004544EF">
        <w:rPr>
          <w:szCs w:val="24"/>
          <w:lang w:eastAsia="lv-LV"/>
        </w:rPr>
        <w:t>2</w:t>
      </w:r>
      <w:r w:rsidR="001B3DCD" w:rsidRPr="004544EF">
        <w:rPr>
          <w:szCs w:val="24"/>
          <w:lang w:eastAsia="lv-LV"/>
        </w:rPr>
        <w:t xml:space="preserve"> milj. latu</w:t>
      </w:r>
      <w:r w:rsidR="000322D0" w:rsidRPr="004544EF">
        <w:rPr>
          <w:szCs w:val="24"/>
          <w:lang w:eastAsia="lv-LV"/>
        </w:rPr>
        <w:t xml:space="preserve">. </w:t>
      </w:r>
      <w:r w:rsidR="00883E5B" w:rsidRPr="004544EF">
        <w:rPr>
          <w:szCs w:val="24"/>
          <w:lang w:eastAsia="lv-LV"/>
        </w:rPr>
        <w:t xml:space="preserve">2013.gadā </w:t>
      </w:r>
      <w:r w:rsidR="00DC2542" w:rsidRPr="004544EF">
        <w:rPr>
          <w:szCs w:val="24"/>
          <w:lang w:eastAsia="lv-LV"/>
        </w:rPr>
        <w:t xml:space="preserve">administratīvajiem izdevumiem kopā izlietoti </w:t>
      </w:r>
      <w:r w:rsidR="00883E5B" w:rsidRPr="004544EF">
        <w:rPr>
          <w:szCs w:val="24"/>
          <w:lang w:eastAsia="lv-LV"/>
        </w:rPr>
        <w:t xml:space="preserve">16,7 milj. latu, </w:t>
      </w:r>
      <w:r w:rsidR="00DC2542" w:rsidRPr="004544EF">
        <w:rPr>
          <w:szCs w:val="24"/>
          <w:lang w:eastAsia="lv-LV"/>
        </w:rPr>
        <w:t xml:space="preserve">tajā skaitā valsts pamatfunkciju īstenošanai </w:t>
      </w:r>
      <w:r w:rsidR="00883E5B" w:rsidRPr="004544EF">
        <w:rPr>
          <w:szCs w:val="24"/>
          <w:lang w:eastAsia="lv-LV"/>
        </w:rPr>
        <w:t>8</w:t>
      </w:r>
      <w:r w:rsidR="000322D0" w:rsidRPr="004544EF">
        <w:rPr>
          <w:szCs w:val="24"/>
          <w:lang w:eastAsia="lv-LV"/>
        </w:rPr>
        <w:t>,5 milj. latu un</w:t>
      </w:r>
      <w:r w:rsidR="00DC2542" w:rsidRPr="004544EF">
        <w:rPr>
          <w:szCs w:val="24"/>
          <w:lang w:eastAsia="lv-LV"/>
        </w:rPr>
        <w:t xml:space="preserve"> ES politiku instrumentu un pārējās ārvalstu finanšu palīdzības līdzfinansēto projektu un pasākumu īstenošanai</w:t>
      </w:r>
      <w:r w:rsidR="00CD4688" w:rsidRPr="004544EF">
        <w:rPr>
          <w:szCs w:val="24"/>
          <w:lang w:eastAsia="lv-LV"/>
        </w:rPr>
        <w:t>, ievērojot ES līdzfinansēto projektu normatīvo regulējumu,</w:t>
      </w:r>
      <w:r w:rsidR="00DC2542" w:rsidRPr="004544EF">
        <w:rPr>
          <w:szCs w:val="24"/>
          <w:lang w:eastAsia="lv-LV"/>
        </w:rPr>
        <w:t xml:space="preserve"> </w:t>
      </w:r>
      <w:r w:rsidR="000322D0" w:rsidRPr="004544EF">
        <w:rPr>
          <w:szCs w:val="24"/>
          <w:lang w:eastAsia="lv-LV"/>
        </w:rPr>
        <w:t>8,2 milj. latu  (</w:t>
      </w:r>
      <w:r w:rsidR="00AB43B9" w:rsidRPr="004544EF">
        <w:rPr>
          <w:szCs w:val="24"/>
        </w:rPr>
        <w:t>Pielikums Nr.1</w:t>
      </w:r>
      <w:r w:rsidR="000322D0" w:rsidRPr="004544EF">
        <w:rPr>
          <w:szCs w:val="24"/>
          <w:lang w:eastAsia="lv-LV"/>
        </w:rPr>
        <w:t>)</w:t>
      </w:r>
      <w:r w:rsidR="00883E5B" w:rsidRPr="004544EF">
        <w:rPr>
          <w:szCs w:val="24"/>
          <w:lang w:eastAsia="lv-LV"/>
        </w:rPr>
        <w:t>.</w:t>
      </w:r>
    </w:p>
    <w:p w:rsidR="00AA3C09" w:rsidRPr="004544EF" w:rsidRDefault="00AA3C09" w:rsidP="00E13A4A">
      <w:pPr>
        <w:spacing w:before="120" w:after="120"/>
        <w:ind w:firstLine="709"/>
        <w:rPr>
          <w:szCs w:val="24"/>
          <w:lang w:eastAsia="lv-LV"/>
        </w:rPr>
      </w:pPr>
      <w:r w:rsidRPr="004544EF">
        <w:rPr>
          <w:bCs/>
          <w:color w:val="000000"/>
          <w:szCs w:val="24"/>
          <w:lang w:eastAsia="lv-LV"/>
        </w:rPr>
        <w:t>Valsts pamatbudžetā administratīvie, reprezentācijas un kolektīvo pasākumu organizēšanas izdevumi 2011. un 2012.gadā veidoja 0,4%, bet 2013.gadā 0,5% no kopējiem izdevumiem</w:t>
      </w:r>
      <w:r w:rsidR="00D87857" w:rsidRPr="004544EF">
        <w:rPr>
          <w:bCs/>
          <w:color w:val="000000"/>
          <w:szCs w:val="24"/>
          <w:lang w:eastAsia="lv-LV"/>
        </w:rPr>
        <w:t>, ta</w:t>
      </w:r>
      <w:r w:rsidR="00462452" w:rsidRPr="004544EF">
        <w:rPr>
          <w:bCs/>
          <w:color w:val="000000"/>
          <w:szCs w:val="24"/>
          <w:lang w:eastAsia="lv-LV"/>
        </w:rPr>
        <w:t xml:space="preserve">jā skaitā no </w:t>
      </w:r>
      <w:r w:rsidR="00D87857" w:rsidRPr="004544EF">
        <w:rPr>
          <w:bCs/>
          <w:color w:val="000000"/>
          <w:szCs w:val="24"/>
          <w:lang w:eastAsia="lv-LV"/>
        </w:rPr>
        <w:t xml:space="preserve">izdevumiem </w:t>
      </w:r>
      <w:r w:rsidR="00462452" w:rsidRPr="004544EF">
        <w:rPr>
          <w:bCs/>
          <w:color w:val="000000"/>
          <w:szCs w:val="24"/>
          <w:lang w:eastAsia="lv-LV"/>
        </w:rPr>
        <w:t>valsts pamatfunkciju īsteno</w:t>
      </w:r>
      <w:r w:rsidR="00D87857" w:rsidRPr="004544EF">
        <w:rPr>
          <w:bCs/>
          <w:color w:val="000000"/>
          <w:szCs w:val="24"/>
          <w:lang w:eastAsia="lv-LV"/>
        </w:rPr>
        <w:t>šanai – 2011.gadā 0,2%, bet 2012. un 2013.gadā 0,3%, no izdevumiem</w:t>
      </w:r>
      <w:r w:rsidR="00D87857" w:rsidRPr="004544EF">
        <w:rPr>
          <w:szCs w:val="24"/>
          <w:lang w:eastAsia="lv-LV"/>
        </w:rPr>
        <w:t xml:space="preserve"> ES politiku instrumentu un pārējās ārvalstu finanšu palīdzības līdzfinansēto projektu un pasākumu īstenošanai </w:t>
      </w:r>
      <w:r w:rsidR="00D87857" w:rsidRPr="004544EF">
        <w:rPr>
          <w:bCs/>
          <w:color w:val="000000"/>
          <w:szCs w:val="24"/>
          <w:lang w:eastAsia="lv-LV"/>
        </w:rPr>
        <w:t>2011.gadā 0,7%, 2012.gadā 0,8% un 2013.gadā 0,9%</w:t>
      </w:r>
      <w:r w:rsidR="00D34CBC" w:rsidRPr="004544EF">
        <w:rPr>
          <w:bCs/>
          <w:color w:val="000000"/>
          <w:szCs w:val="24"/>
          <w:lang w:eastAsia="lv-LV"/>
        </w:rPr>
        <w:t xml:space="preserve"> (1.tabula)</w:t>
      </w:r>
      <w:r w:rsidR="00D87857" w:rsidRPr="004544EF">
        <w:rPr>
          <w:bCs/>
          <w:color w:val="000000"/>
          <w:szCs w:val="24"/>
          <w:lang w:eastAsia="lv-LV"/>
        </w:rPr>
        <w:t>.</w:t>
      </w:r>
    </w:p>
    <w:p w:rsidR="002E7986" w:rsidRPr="004544EF" w:rsidRDefault="002E7986" w:rsidP="00E13A4A">
      <w:pPr>
        <w:spacing w:before="120" w:after="120"/>
        <w:ind w:firstLine="709"/>
        <w:rPr>
          <w:szCs w:val="24"/>
          <w:lang w:eastAsia="lv-LV"/>
        </w:rPr>
      </w:pPr>
    </w:p>
    <w:p w:rsidR="00D34CBC" w:rsidRPr="004544EF" w:rsidRDefault="00D34CBC" w:rsidP="00D34CBC">
      <w:pPr>
        <w:ind w:firstLine="709"/>
        <w:jc w:val="right"/>
        <w:rPr>
          <w:szCs w:val="24"/>
          <w:lang w:eastAsia="lv-LV"/>
        </w:rPr>
      </w:pPr>
      <w:r w:rsidRPr="004544EF">
        <w:rPr>
          <w:szCs w:val="24"/>
          <w:lang w:eastAsia="lv-LV"/>
        </w:rPr>
        <w:t>1.tabula</w:t>
      </w:r>
    </w:p>
    <w:tbl>
      <w:tblPr>
        <w:tblW w:w="8784" w:type="dxa"/>
        <w:tblInd w:w="113" w:type="dxa"/>
        <w:tblLook w:val="04A0" w:firstRow="1" w:lastRow="0" w:firstColumn="1" w:lastColumn="0" w:noHBand="0" w:noVBand="1"/>
      </w:tblPr>
      <w:tblGrid>
        <w:gridCol w:w="960"/>
        <w:gridCol w:w="3997"/>
        <w:gridCol w:w="1275"/>
        <w:gridCol w:w="1276"/>
        <w:gridCol w:w="1276"/>
      </w:tblGrid>
      <w:tr w:rsidR="00367E59" w:rsidRPr="004544EF" w:rsidTr="00826E46">
        <w:trPr>
          <w:trHeight w:val="660"/>
        </w:trPr>
        <w:tc>
          <w:tcPr>
            <w:tcW w:w="8784" w:type="dxa"/>
            <w:gridSpan w:val="5"/>
            <w:tcBorders>
              <w:top w:val="nil"/>
              <w:left w:val="nil"/>
              <w:bottom w:val="nil"/>
              <w:right w:val="nil"/>
            </w:tcBorders>
            <w:shd w:val="clear" w:color="auto" w:fill="auto"/>
            <w:vAlign w:val="bottom"/>
            <w:hideMark/>
          </w:tcPr>
          <w:p w:rsidR="00367E59" w:rsidRPr="004544EF" w:rsidRDefault="00367E59" w:rsidP="00D34CBC">
            <w:pPr>
              <w:jc w:val="center"/>
              <w:rPr>
                <w:b/>
                <w:bCs/>
                <w:szCs w:val="24"/>
                <w:lang w:eastAsia="lv-LV"/>
              </w:rPr>
            </w:pPr>
            <w:r w:rsidRPr="004544EF">
              <w:rPr>
                <w:b/>
                <w:bCs/>
                <w:szCs w:val="24"/>
                <w:lang w:eastAsia="lv-LV"/>
              </w:rPr>
              <w:t xml:space="preserve">Administratīvie, reprezentācijas un kolektīvo pasākumu organizēšanas izdevumi valsts budžetā 2011., 2012. un 2013.gadā </w:t>
            </w:r>
          </w:p>
        </w:tc>
      </w:tr>
      <w:tr w:rsidR="00367E59" w:rsidRPr="004544EF" w:rsidTr="00826E46">
        <w:trPr>
          <w:trHeight w:val="255"/>
        </w:trPr>
        <w:tc>
          <w:tcPr>
            <w:tcW w:w="960" w:type="dxa"/>
            <w:tcBorders>
              <w:top w:val="nil"/>
              <w:left w:val="nil"/>
              <w:bottom w:val="nil"/>
              <w:right w:val="nil"/>
            </w:tcBorders>
            <w:shd w:val="clear" w:color="auto" w:fill="auto"/>
            <w:vAlign w:val="bottom"/>
            <w:hideMark/>
          </w:tcPr>
          <w:p w:rsidR="00367E59" w:rsidRPr="004544EF" w:rsidRDefault="00367E59" w:rsidP="00826E46">
            <w:pPr>
              <w:jc w:val="center"/>
              <w:rPr>
                <w:b/>
                <w:bCs/>
                <w:szCs w:val="24"/>
                <w:lang w:eastAsia="lv-LV"/>
              </w:rPr>
            </w:pPr>
          </w:p>
        </w:tc>
        <w:tc>
          <w:tcPr>
            <w:tcW w:w="3997" w:type="dxa"/>
            <w:tcBorders>
              <w:top w:val="nil"/>
              <w:left w:val="nil"/>
              <w:bottom w:val="nil"/>
              <w:right w:val="nil"/>
            </w:tcBorders>
            <w:shd w:val="clear" w:color="auto" w:fill="auto"/>
            <w:vAlign w:val="bottom"/>
            <w:hideMark/>
          </w:tcPr>
          <w:p w:rsidR="00367E59" w:rsidRPr="004544EF" w:rsidRDefault="00367E59" w:rsidP="00826E46">
            <w:pPr>
              <w:jc w:val="left"/>
              <w:rPr>
                <w:sz w:val="20"/>
                <w:lang w:eastAsia="lv-LV"/>
              </w:rPr>
            </w:pPr>
          </w:p>
        </w:tc>
        <w:tc>
          <w:tcPr>
            <w:tcW w:w="1275" w:type="dxa"/>
            <w:tcBorders>
              <w:top w:val="nil"/>
              <w:left w:val="nil"/>
              <w:bottom w:val="nil"/>
              <w:right w:val="nil"/>
            </w:tcBorders>
            <w:shd w:val="clear" w:color="auto" w:fill="auto"/>
            <w:vAlign w:val="bottom"/>
            <w:hideMark/>
          </w:tcPr>
          <w:p w:rsidR="00367E59" w:rsidRPr="004544EF" w:rsidRDefault="00367E59" w:rsidP="00826E46">
            <w:pPr>
              <w:jc w:val="left"/>
              <w:rPr>
                <w:sz w:val="20"/>
                <w:lang w:eastAsia="lv-LV"/>
              </w:rPr>
            </w:pPr>
          </w:p>
        </w:tc>
        <w:tc>
          <w:tcPr>
            <w:tcW w:w="1276" w:type="dxa"/>
            <w:tcBorders>
              <w:top w:val="nil"/>
              <w:left w:val="nil"/>
              <w:bottom w:val="nil"/>
              <w:right w:val="nil"/>
            </w:tcBorders>
            <w:shd w:val="clear" w:color="auto" w:fill="auto"/>
            <w:vAlign w:val="bottom"/>
            <w:hideMark/>
          </w:tcPr>
          <w:p w:rsidR="00367E59" w:rsidRPr="004544EF" w:rsidRDefault="00367E59" w:rsidP="00826E46">
            <w:pPr>
              <w:jc w:val="left"/>
              <w:rPr>
                <w:sz w:val="20"/>
                <w:lang w:eastAsia="lv-LV"/>
              </w:rPr>
            </w:pPr>
          </w:p>
        </w:tc>
        <w:tc>
          <w:tcPr>
            <w:tcW w:w="1276" w:type="dxa"/>
            <w:tcBorders>
              <w:top w:val="nil"/>
              <w:left w:val="nil"/>
              <w:bottom w:val="nil"/>
              <w:right w:val="nil"/>
            </w:tcBorders>
            <w:shd w:val="clear" w:color="auto" w:fill="auto"/>
            <w:vAlign w:val="bottom"/>
            <w:hideMark/>
          </w:tcPr>
          <w:p w:rsidR="00367E59" w:rsidRPr="004544EF" w:rsidRDefault="00367E59" w:rsidP="00826E46">
            <w:pPr>
              <w:jc w:val="left"/>
              <w:rPr>
                <w:sz w:val="20"/>
                <w:lang w:eastAsia="lv-LV"/>
              </w:rPr>
            </w:pPr>
          </w:p>
        </w:tc>
      </w:tr>
      <w:tr w:rsidR="00367E59" w:rsidRPr="004544EF" w:rsidTr="00826E46">
        <w:trPr>
          <w:trHeight w:val="255"/>
        </w:trPr>
        <w:tc>
          <w:tcPr>
            <w:tcW w:w="960" w:type="dxa"/>
            <w:tcBorders>
              <w:top w:val="nil"/>
              <w:left w:val="nil"/>
              <w:bottom w:val="nil"/>
              <w:right w:val="nil"/>
            </w:tcBorders>
            <w:shd w:val="clear" w:color="auto" w:fill="auto"/>
            <w:vAlign w:val="bottom"/>
            <w:hideMark/>
          </w:tcPr>
          <w:p w:rsidR="00367E59" w:rsidRPr="004544EF" w:rsidRDefault="00367E59" w:rsidP="00826E46">
            <w:pPr>
              <w:jc w:val="left"/>
              <w:rPr>
                <w:sz w:val="20"/>
                <w:lang w:eastAsia="lv-LV"/>
              </w:rPr>
            </w:pPr>
          </w:p>
        </w:tc>
        <w:tc>
          <w:tcPr>
            <w:tcW w:w="3997" w:type="dxa"/>
            <w:tcBorders>
              <w:top w:val="nil"/>
              <w:left w:val="nil"/>
              <w:bottom w:val="nil"/>
              <w:right w:val="nil"/>
            </w:tcBorders>
            <w:shd w:val="clear" w:color="auto" w:fill="auto"/>
            <w:vAlign w:val="bottom"/>
            <w:hideMark/>
          </w:tcPr>
          <w:p w:rsidR="00367E59" w:rsidRPr="004544EF" w:rsidRDefault="00367E59" w:rsidP="00826E46">
            <w:pPr>
              <w:jc w:val="left"/>
              <w:rPr>
                <w:sz w:val="20"/>
                <w:lang w:eastAsia="lv-LV"/>
              </w:rPr>
            </w:pPr>
          </w:p>
        </w:tc>
        <w:tc>
          <w:tcPr>
            <w:tcW w:w="1275" w:type="dxa"/>
            <w:tcBorders>
              <w:top w:val="nil"/>
              <w:left w:val="nil"/>
              <w:bottom w:val="nil"/>
              <w:right w:val="nil"/>
            </w:tcBorders>
            <w:shd w:val="clear" w:color="auto" w:fill="auto"/>
            <w:vAlign w:val="bottom"/>
            <w:hideMark/>
          </w:tcPr>
          <w:p w:rsidR="00367E59" w:rsidRPr="004544EF" w:rsidRDefault="00367E59" w:rsidP="00826E46">
            <w:pPr>
              <w:jc w:val="left"/>
              <w:rPr>
                <w:sz w:val="20"/>
                <w:lang w:eastAsia="lv-LV"/>
              </w:rPr>
            </w:pPr>
          </w:p>
        </w:tc>
        <w:tc>
          <w:tcPr>
            <w:tcW w:w="1276" w:type="dxa"/>
            <w:tcBorders>
              <w:top w:val="nil"/>
              <w:left w:val="nil"/>
              <w:bottom w:val="nil"/>
              <w:right w:val="nil"/>
            </w:tcBorders>
            <w:shd w:val="clear" w:color="auto" w:fill="auto"/>
            <w:vAlign w:val="bottom"/>
            <w:hideMark/>
          </w:tcPr>
          <w:p w:rsidR="00367E59" w:rsidRPr="004544EF" w:rsidRDefault="00367E59" w:rsidP="00826E46">
            <w:pPr>
              <w:jc w:val="left"/>
              <w:rPr>
                <w:sz w:val="20"/>
                <w:lang w:eastAsia="lv-LV"/>
              </w:rPr>
            </w:pPr>
          </w:p>
        </w:tc>
        <w:tc>
          <w:tcPr>
            <w:tcW w:w="1276" w:type="dxa"/>
            <w:tcBorders>
              <w:top w:val="nil"/>
              <w:left w:val="nil"/>
              <w:bottom w:val="nil"/>
              <w:right w:val="nil"/>
            </w:tcBorders>
            <w:shd w:val="clear" w:color="auto" w:fill="auto"/>
            <w:vAlign w:val="bottom"/>
            <w:hideMark/>
          </w:tcPr>
          <w:p w:rsidR="00367E59" w:rsidRPr="004544EF" w:rsidRDefault="00367E59" w:rsidP="00826E46">
            <w:pPr>
              <w:jc w:val="left"/>
              <w:rPr>
                <w:sz w:val="20"/>
                <w:lang w:eastAsia="lv-LV"/>
              </w:rPr>
            </w:pPr>
            <w:r w:rsidRPr="004544EF">
              <w:rPr>
                <w:sz w:val="20"/>
                <w:lang w:eastAsia="lv-LV"/>
              </w:rPr>
              <w:t>milj. latu</w:t>
            </w:r>
          </w:p>
        </w:tc>
      </w:tr>
      <w:tr w:rsidR="00367E59" w:rsidRPr="004544EF" w:rsidTr="00826E46">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7E59" w:rsidRPr="004544EF" w:rsidRDefault="00367E59" w:rsidP="00826E46">
            <w:pPr>
              <w:jc w:val="center"/>
              <w:rPr>
                <w:sz w:val="20"/>
                <w:lang w:eastAsia="lv-LV"/>
              </w:rPr>
            </w:pPr>
            <w:r w:rsidRPr="004544EF">
              <w:rPr>
                <w:sz w:val="20"/>
                <w:lang w:eastAsia="lv-LV"/>
              </w:rPr>
              <w:t>EKK kods</w:t>
            </w:r>
          </w:p>
        </w:tc>
        <w:tc>
          <w:tcPr>
            <w:tcW w:w="3997" w:type="dxa"/>
            <w:tcBorders>
              <w:top w:val="single" w:sz="4" w:space="0" w:color="auto"/>
              <w:left w:val="nil"/>
              <w:bottom w:val="single" w:sz="4" w:space="0" w:color="auto"/>
              <w:right w:val="single" w:sz="4" w:space="0" w:color="auto"/>
            </w:tcBorders>
            <w:shd w:val="clear" w:color="auto" w:fill="auto"/>
            <w:vAlign w:val="bottom"/>
            <w:hideMark/>
          </w:tcPr>
          <w:p w:rsidR="00367E59" w:rsidRPr="004544EF" w:rsidRDefault="00367E59" w:rsidP="00826E46">
            <w:pPr>
              <w:jc w:val="left"/>
              <w:rPr>
                <w:sz w:val="20"/>
                <w:lang w:eastAsia="lv-LV"/>
              </w:rPr>
            </w:pPr>
            <w:r w:rsidRPr="004544EF">
              <w:rPr>
                <w:sz w:val="20"/>
                <w:lang w:eastAsia="lv-LV"/>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367E59" w:rsidRPr="004544EF" w:rsidRDefault="00367E59" w:rsidP="00826E46">
            <w:pPr>
              <w:jc w:val="center"/>
              <w:rPr>
                <w:sz w:val="20"/>
                <w:lang w:eastAsia="lv-LV"/>
              </w:rPr>
            </w:pPr>
            <w:r w:rsidRPr="004544EF">
              <w:rPr>
                <w:sz w:val="20"/>
                <w:lang w:eastAsia="lv-LV"/>
              </w:rPr>
              <w:t>2011.gada izpilde</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67E59" w:rsidRPr="004544EF" w:rsidRDefault="00367E59" w:rsidP="00826E46">
            <w:pPr>
              <w:jc w:val="center"/>
              <w:rPr>
                <w:sz w:val="20"/>
                <w:lang w:eastAsia="lv-LV"/>
              </w:rPr>
            </w:pPr>
            <w:r w:rsidRPr="004544EF">
              <w:rPr>
                <w:sz w:val="20"/>
                <w:lang w:eastAsia="lv-LV"/>
              </w:rPr>
              <w:t>2012.gada izpilde</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67E59" w:rsidRPr="004544EF" w:rsidRDefault="00367E59" w:rsidP="00826E46">
            <w:pPr>
              <w:jc w:val="center"/>
              <w:rPr>
                <w:sz w:val="20"/>
                <w:lang w:eastAsia="lv-LV"/>
              </w:rPr>
            </w:pPr>
            <w:r w:rsidRPr="004544EF">
              <w:rPr>
                <w:sz w:val="20"/>
                <w:lang w:eastAsia="lv-LV"/>
              </w:rPr>
              <w:t>2013.gada izpilde</w:t>
            </w:r>
          </w:p>
        </w:tc>
      </w:tr>
      <w:tr w:rsidR="00367E59" w:rsidRPr="004544EF" w:rsidTr="00826E46">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67E59" w:rsidRPr="004544EF" w:rsidRDefault="00367E59" w:rsidP="00826E46">
            <w:pPr>
              <w:jc w:val="left"/>
              <w:rPr>
                <w:sz w:val="20"/>
                <w:lang w:eastAsia="lv-LV"/>
              </w:rPr>
            </w:pPr>
            <w:r w:rsidRPr="004544EF">
              <w:rPr>
                <w:sz w:val="20"/>
                <w:lang w:eastAsia="lv-LV"/>
              </w:rPr>
              <w:t> </w:t>
            </w:r>
          </w:p>
        </w:tc>
        <w:tc>
          <w:tcPr>
            <w:tcW w:w="3997"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left"/>
              <w:rPr>
                <w:sz w:val="20"/>
                <w:lang w:eastAsia="lv-LV"/>
              </w:rPr>
            </w:pPr>
            <w:r w:rsidRPr="004544EF">
              <w:rPr>
                <w:sz w:val="20"/>
                <w:lang w:eastAsia="lv-LV"/>
              </w:rPr>
              <w:t> </w:t>
            </w:r>
          </w:p>
        </w:tc>
        <w:tc>
          <w:tcPr>
            <w:tcW w:w="1275"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left"/>
              <w:rPr>
                <w:sz w:val="20"/>
                <w:lang w:eastAsia="lv-LV"/>
              </w:rPr>
            </w:pPr>
            <w:r w:rsidRPr="004544EF">
              <w:rPr>
                <w:sz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left"/>
              <w:rPr>
                <w:sz w:val="20"/>
                <w:lang w:eastAsia="lv-LV"/>
              </w:rPr>
            </w:pPr>
            <w:r w:rsidRPr="004544EF">
              <w:rPr>
                <w:sz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left"/>
              <w:rPr>
                <w:sz w:val="20"/>
                <w:lang w:eastAsia="lv-LV"/>
              </w:rPr>
            </w:pPr>
            <w:r w:rsidRPr="004544EF">
              <w:rPr>
                <w:sz w:val="20"/>
                <w:lang w:eastAsia="lv-LV"/>
              </w:rPr>
              <w:t> </w:t>
            </w:r>
          </w:p>
        </w:tc>
      </w:tr>
      <w:tr w:rsidR="00367E59" w:rsidRPr="004544EF" w:rsidTr="00826E46">
        <w:trPr>
          <w:trHeight w:val="255"/>
        </w:trPr>
        <w:tc>
          <w:tcPr>
            <w:tcW w:w="960" w:type="dxa"/>
            <w:tcBorders>
              <w:top w:val="nil"/>
              <w:left w:val="single" w:sz="4" w:space="0" w:color="auto"/>
              <w:bottom w:val="single" w:sz="4" w:space="0" w:color="auto"/>
              <w:right w:val="single" w:sz="4" w:space="0" w:color="auto"/>
            </w:tcBorders>
            <w:shd w:val="clear" w:color="000000" w:fill="F2F2F2"/>
            <w:vAlign w:val="bottom"/>
            <w:hideMark/>
          </w:tcPr>
          <w:p w:rsidR="00367E59" w:rsidRPr="004544EF" w:rsidRDefault="00367E59" w:rsidP="00826E46">
            <w:pPr>
              <w:jc w:val="left"/>
              <w:rPr>
                <w:color w:val="000000"/>
                <w:sz w:val="20"/>
                <w:lang w:eastAsia="lv-LV"/>
              </w:rPr>
            </w:pPr>
            <w:r w:rsidRPr="004544EF">
              <w:rPr>
                <w:color w:val="000000"/>
                <w:sz w:val="20"/>
                <w:lang w:eastAsia="lv-LV"/>
              </w:rPr>
              <w:t> </w:t>
            </w:r>
          </w:p>
        </w:tc>
        <w:tc>
          <w:tcPr>
            <w:tcW w:w="3997"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center"/>
              <w:rPr>
                <w:b/>
                <w:bCs/>
                <w:color w:val="000000"/>
                <w:sz w:val="20"/>
                <w:lang w:eastAsia="lv-LV"/>
              </w:rPr>
            </w:pPr>
            <w:r w:rsidRPr="004544EF">
              <w:rPr>
                <w:b/>
                <w:bCs/>
                <w:color w:val="000000"/>
                <w:sz w:val="20"/>
                <w:lang w:eastAsia="lv-LV"/>
              </w:rPr>
              <w:t>Valsts pamatbudžets</w:t>
            </w:r>
          </w:p>
        </w:tc>
        <w:tc>
          <w:tcPr>
            <w:tcW w:w="1275"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right"/>
              <w:rPr>
                <w:b/>
                <w:bCs/>
                <w:color w:val="000000"/>
                <w:sz w:val="20"/>
                <w:lang w:eastAsia="lv-LV"/>
              </w:rPr>
            </w:pPr>
            <w:r w:rsidRPr="004544EF">
              <w:rPr>
                <w:b/>
                <w:bCs/>
                <w:color w:val="000000"/>
                <w:sz w:val="20"/>
                <w:lang w:eastAsia="lv-LV"/>
              </w:rPr>
              <w:t> </w:t>
            </w:r>
          </w:p>
        </w:tc>
        <w:tc>
          <w:tcPr>
            <w:tcW w:w="1276"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right"/>
              <w:rPr>
                <w:b/>
                <w:bCs/>
                <w:color w:val="000000"/>
                <w:sz w:val="20"/>
                <w:lang w:eastAsia="lv-LV"/>
              </w:rPr>
            </w:pPr>
            <w:r w:rsidRPr="004544EF">
              <w:rPr>
                <w:b/>
                <w:bCs/>
                <w:color w:val="000000"/>
                <w:sz w:val="20"/>
                <w:lang w:eastAsia="lv-LV"/>
              </w:rPr>
              <w:t> </w:t>
            </w:r>
          </w:p>
        </w:tc>
        <w:tc>
          <w:tcPr>
            <w:tcW w:w="1276"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right"/>
              <w:rPr>
                <w:b/>
                <w:bCs/>
                <w:color w:val="000000"/>
                <w:sz w:val="20"/>
                <w:lang w:eastAsia="lv-LV"/>
              </w:rPr>
            </w:pPr>
            <w:r w:rsidRPr="004544EF">
              <w:rPr>
                <w:b/>
                <w:bCs/>
                <w:color w:val="000000"/>
                <w:sz w:val="20"/>
                <w:lang w:eastAsia="lv-LV"/>
              </w:rPr>
              <w:t> </w:t>
            </w:r>
          </w:p>
        </w:tc>
      </w:tr>
      <w:tr w:rsidR="00367E59" w:rsidRPr="004544EF" w:rsidTr="00826E46">
        <w:trPr>
          <w:trHeight w:val="255"/>
        </w:trPr>
        <w:tc>
          <w:tcPr>
            <w:tcW w:w="960" w:type="dxa"/>
            <w:tcBorders>
              <w:top w:val="nil"/>
              <w:left w:val="single" w:sz="4" w:space="0" w:color="auto"/>
              <w:bottom w:val="single" w:sz="4" w:space="0" w:color="auto"/>
              <w:right w:val="single" w:sz="4" w:space="0" w:color="auto"/>
            </w:tcBorders>
            <w:shd w:val="clear" w:color="000000" w:fill="F2F2F2"/>
            <w:vAlign w:val="bottom"/>
            <w:hideMark/>
          </w:tcPr>
          <w:p w:rsidR="00367E59" w:rsidRPr="004544EF" w:rsidRDefault="00367E59" w:rsidP="00826E46">
            <w:pPr>
              <w:jc w:val="left"/>
              <w:rPr>
                <w:color w:val="000000"/>
                <w:sz w:val="20"/>
                <w:lang w:eastAsia="lv-LV"/>
              </w:rPr>
            </w:pPr>
            <w:r w:rsidRPr="004544EF">
              <w:rPr>
                <w:color w:val="000000"/>
                <w:sz w:val="20"/>
                <w:lang w:eastAsia="lv-LV"/>
              </w:rPr>
              <w:t> </w:t>
            </w:r>
          </w:p>
        </w:tc>
        <w:tc>
          <w:tcPr>
            <w:tcW w:w="3997"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center"/>
              <w:rPr>
                <w:b/>
                <w:bCs/>
                <w:color w:val="000000"/>
                <w:sz w:val="20"/>
                <w:lang w:eastAsia="lv-LV"/>
              </w:rPr>
            </w:pPr>
            <w:r w:rsidRPr="004544EF">
              <w:rPr>
                <w:b/>
                <w:bCs/>
                <w:color w:val="000000"/>
                <w:sz w:val="20"/>
                <w:lang w:eastAsia="lv-LV"/>
              </w:rPr>
              <w:t>Izdevumi – kopā</w:t>
            </w:r>
          </w:p>
        </w:tc>
        <w:tc>
          <w:tcPr>
            <w:tcW w:w="1275"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right"/>
              <w:rPr>
                <w:b/>
                <w:bCs/>
                <w:color w:val="000000"/>
                <w:sz w:val="20"/>
                <w:lang w:eastAsia="lv-LV"/>
              </w:rPr>
            </w:pPr>
            <w:r w:rsidRPr="004544EF">
              <w:rPr>
                <w:b/>
                <w:bCs/>
                <w:color w:val="000000"/>
                <w:sz w:val="20"/>
                <w:lang w:eastAsia="lv-LV"/>
              </w:rPr>
              <w:t>3 210,2</w:t>
            </w:r>
          </w:p>
        </w:tc>
        <w:tc>
          <w:tcPr>
            <w:tcW w:w="1276"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right"/>
              <w:rPr>
                <w:b/>
                <w:bCs/>
                <w:color w:val="000000"/>
                <w:sz w:val="20"/>
                <w:lang w:eastAsia="lv-LV"/>
              </w:rPr>
            </w:pPr>
            <w:r w:rsidRPr="004544EF">
              <w:rPr>
                <w:b/>
                <w:bCs/>
                <w:color w:val="000000"/>
                <w:sz w:val="20"/>
                <w:lang w:eastAsia="lv-LV"/>
              </w:rPr>
              <w:t>3 265,1</w:t>
            </w:r>
          </w:p>
        </w:tc>
        <w:tc>
          <w:tcPr>
            <w:tcW w:w="1276"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right"/>
              <w:rPr>
                <w:b/>
                <w:bCs/>
                <w:color w:val="000000"/>
                <w:sz w:val="20"/>
                <w:lang w:eastAsia="lv-LV"/>
              </w:rPr>
            </w:pPr>
            <w:r w:rsidRPr="004544EF">
              <w:rPr>
                <w:b/>
                <w:bCs/>
                <w:color w:val="000000"/>
                <w:sz w:val="20"/>
                <w:lang w:eastAsia="lv-LV"/>
              </w:rPr>
              <w:t>3 352,0</w:t>
            </w:r>
          </w:p>
        </w:tc>
      </w:tr>
      <w:tr w:rsidR="00367E59" w:rsidRPr="004544EF" w:rsidTr="00826E46">
        <w:trPr>
          <w:trHeight w:val="510"/>
        </w:trPr>
        <w:tc>
          <w:tcPr>
            <w:tcW w:w="960" w:type="dxa"/>
            <w:tcBorders>
              <w:top w:val="nil"/>
              <w:left w:val="single" w:sz="4" w:space="0" w:color="auto"/>
              <w:bottom w:val="single" w:sz="4" w:space="0" w:color="auto"/>
              <w:right w:val="single" w:sz="4" w:space="0" w:color="auto"/>
            </w:tcBorders>
            <w:shd w:val="clear" w:color="000000" w:fill="F2F2F2"/>
            <w:vAlign w:val="bottom"/>
            <w:hideMark/>
          </w:tcPr>
          <w:p w:rsidR="00367E59" w:rsidRPr="004544EF" w:rsidRDefault="00367E59" w:rsidP="00826E46">
            <w:pPr>
              <w:jc w:val="left"/>
              <w:rPr>
                <w:color w:val="000000"/>
                <w:sz w:val="20"/>
                <w:lang w:eastAsia="lv-LV"/>
              </w:rPr>
            </w:pPr>
            <w:r w:rsidRPr="004544EF">
              <w:rPr>
                <w:color w:val="000000"/>
                <w:sz w:val="20"/>
                <w:lang w:eastAsia="lv-LV"/>
              </w:rPr>
              <w:t> </w:t>
            </w:r>
          </w:p>
        </w:tc>
        <w:tc>
          <w:tcPr>
            <w:tcW w:w="3997"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center"/>
              <w:rPr>
                <w:b/>
                <w:bCs/>
                <w:color w:val="000000"/>
                <w:sz w:val="20"/>
                <w:lang w:eastAsia="lv-LV"/>
              </w:rPr>
            </w:pPr>
            <w:r w:rsidRPr="004544EF">
              <w:rPr>
                <w:b/>
                <w:bCs/>
                <w:color w:val="000000"/>
                <w:sz w:val="20"/>
                <w:lang w:eastAsia="lv-LV"/>
              </w:rPr>
              <w:t xml:space="preserve">tajā skaitā administratīvie, reprezentācijas un kolektīvo pasākumu organizēšanas izdevumi </w:t>
            </w:r>
          </w:p>
        </w:tc>
        <w:tc>
          <w:tcPr>
            <w:tcW w:w="1275"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right"/>
              <w:rPr>
                <w:b/>
                <w:bCs/>
                <w:color w:val="000000"/>
                <w:sz w:val="20"/>
                <w:lang w:eastAsia="lv-LV"/>
              </w:rPr>
            </w:pPr>
            <w:r w:rsidRPr="004544EF">
              <w:rPr>
                <w:b/>
                <w:bCs/>
                <w:color w:val="000000"/>
                <w:sz w:val="20"/>
                <w:lang w:eastAsia="lv-LV"/>
              </w:rPr>
              <w:t>12,3</w:t>
            </w:r>
          </w:p>
        </w:tc>
        <w:tc>
          <w:tcPr>
            <w:tcW w:w="1276"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right"/>
              <w:rPr>
                <w:b/>
                <w:bCs/>
                <w:color w:val="000000"/>
                <w:sz w:val="20"/>
                <w:lang w:eastAsia="lv-LV"/>
              </w:rPr>
            </w:pPr>
            <w:r w:rsidRPr="004544EF">
              <w:rPr>
                <w:b/>
                <w:bCs/>
                <w:color w:val="000000"/>
                <w:sz w:val="20"/>
                <w:lang w:eastAsia="lv-LV"/>
              </w:rPr>
              <w:t>13,5</w:t>
            </w:r>
          </w:p>
        </w:tc>
        <w:tc>
          <w:tcPr>
            <w:tcW w:w="1276"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right"/>
              <w:rPr>
                <w:b/>
                <w:bCs/>
                <w:color w:val="000000"/>
                <w:sz w:val="20"/>
                <w:lang w:eastAsia="lv-LV"/>
              </w:rPr>
            </w:pPr>
            <w:r w:rsidRPr="004544EF">
              <w:rPr>
                <w:b/>
                <w:bCs/>
                <w:color w:val="000000"/>
                <w:sz w:val="20"/>
                <w:lang w:eastAsia="lv-LV"/>
              </w:rPr>
              <w:t>16,6</w:t>
            </w:r>
          </w:p>
        </w:tc>
      </w:tr>
      <w:tr w:rsidR="00367E59" w:rsidRPr="004544EF" w:rsidTr="00826E46">
        <w:trPr>
          <w:trHeight w:val="255"/>
        </w:trPr>
        <w:tc>
          <w:tcPr>
            <w:tcW w:w="960" w:type="dxa"/>
            <w:tcBorders>
              <w:top w:val="nil"/>
              <w:left w:val="single" w:sz="4" w:space="0" w:color="auto"/>
              <w:bottom w:val="single" w:sz="4" w:space="0" w:color="auto"/>
              <w:right w:val="single" w:sz="4" w:space="0" w:color="auto"/>
            </w:tcBorders>
            <w:shd w:val="clear" w:color="000000" w:fill="F2F2F2"/>
            <w:vAlign w:val="bottom"/>
            <w:hideMark/>
          </w:tcPr>
          <w:p w:rsidR="00367E59" w:rsidRPr="004544EF" w:rsidRDefault="00367E59" w:rsidP="00826E46">
            <w:pPr>
              <w:jc w:val="left"/>
              <w:rPr>
                <w:color w:val="000000"/>
                <w:sz w:val="20"/>
                <w:lang w:eastAsia="lv-LV"/>
              </w:rPr>
            </w:pPr>
            <w:r w:rsidRPr="004544EF">
              <w:rPr>
                <w:color w:val="000000"/>
                <w:sz w:val="20"/>
                <w:lang w:eastAsia="lv-LV"/>
              </w:rPr>
              <w:t> </w:t>
            </w:r>
          </w:p>
        </w:tc>
        <w:tc>
          <w:tcPr>
            <w:tcW w:w="3997"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center"/>
              <w:rPr>
                <w:b/>
                <w:bCs/>
                <w:color w:val="000000"/>
                <w:sz w:val="20"/>
                <w:lang w:eastAsia="lv-LV"/>
              </w:rPr>
            </w:pPr>
            <w:r w:rsidRPr="004544EF">
              <w:rPr>
                <w:b/>
                <w:bCs/>
                <w:color w:val="000000"/>
                <w:sz w:val="20"/>
                <w:lang w:eastAsia="lv-LV"/>
              </w:rPr>
              <w:t>% no kopējiem valsts pamatbudžeta izdevumiem</w:t>
            </w:r>
          </w:p>
        </w:tc>
        <w:tc>
          <w:tcPr>
            <w:tcW w:w="1275"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right"/>
              <w:rPr>
                <w:b/>
                <w:bCs/>
                <w:color w:val="000000"/>
                <w:sz w:val="20"/>
                <w:lang w:eastAsia="lv-LV"/>
              </w:rPr>
            </w:pPr>
            <w:r w:rsidRPr="004544EF">
              <w:rPr>
                <w:b/>
                <w:bCs/>
                <w:color w:val="000000"/>
                <w:sz w:val="20"/>
                <w:lang w:eastAsia="lv-LV"/>
              </w:rPr>
              <w:t>0,4%</w:t>
            </w:r>
          </w:p>
        </w:tc>
        <w:tc>
          <w:tcPr>
            <w:tcW w:w="1276"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right"/>
              <w:rPr>
                <w:b/>
                <w:bCs/>
                <w:color w:val="000000"/>
                <w:sz w:val="20"/>
                <w:lang w:eastAsia="lv-LV"/>
              </w:rPr>
            </w:pPr>
            <w:r w:rsidRPr="004544EF">
              <w:rPr>
                <w:b/>
                <w:bCs/>
                <w:color w:val="000000"/>
                <w:sz w:val="20"/>
                <w:lang w:eastAsia="lv-LV"/>
              </w:rPr>
              <w:t>0,4%</w:t>
            </w:r>
          </w:p>
        </w:tc>
        <w:tc>
          <w:tcPr>
            <w:tcW w:w="1276"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right"/>
              <w:rPr>
                <w:b/>
                <w:bCs/>
                <w:color w:val="000000"/>
                <w:sz w:val="20"/>
                <w:lang w:eastAsia="lv-LV"/>
              </w:rPr>
            </w:pPr>
            <w:r w:rsidRPr="004544EF">
              <w:rPr>
                <w:b/>
                <w:bCs/>
                <w:color w:val="000000"/>
                <w:sz w:val="20"/>
                <w:lang w:eastAsia="lv-LV"/>
              </w:rPr>
              <w:t>0,5%</w:t>
            </w:r>
          </w:p>
        </w:tc>
      </w:tr>
      <w:tr w:rsidR="00367E59" w:rsidRPr="004544EF" w:rsidTr="00826E46">
        <w:trPr>
          <w:trHeight w:val="51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67E59" w:rsidRPr="004544EF" w:rsidRDefault="00367E59" w:rsidP="00826E46">
            <w:pPr>
              <w:jc w:val="left"/>
              <w:rPr>
                <w:color w:val="000000"/>
                <w:sz w:val="20"/>
                <w:lang w:eastAsia="lv-LV"/>
              </w:rPr>
            </w:pPr>
            <w:r w:rsidRPr="004544EF">
              <w:rPr>
                <w:color w:val="000000"/>
                <w:sz w:val="20"/>
                <w:lang w:eastAsia="lv-LV"/>
              </w:rPr>
              <w:t>2231</w:t>
            </w:r>
          </w:p>
        </w:tc>
        <w:tc>
          <w:tcPr>
            <w:tcW w:w="3997"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left"/>
              <w:rPr>
                <w:color w:val="000000"/>
                <w:sz w:val="20"/>
                <w:lang w:eastAsia="lv-LV"/>
              </w:rPr>
            </w:pPr>
            <w:r w:rsidRPr="004544EF">
              <w:rPr>
                <w:color w:val="000000"/>
                <w:sz w:val="20"/>
                <w:lang w:eastAsia="lv-LV"/>
              </w:rPr>
              <w:t>Administratīvie izdevumi un sabiedriskās attiecības, kursu un semināru organizēšana</w:t>
            </w:r>
          </w:p>
        </w:tc>
        <w:tc>
          <w:tcPr>
            <w:tcW w:w="1275"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right"/>
              <w:rPr>
                <w:color w:val="000000"/>
                <w:sz w:val="20"/>
                <w:lang w:eastAsia="lv-LV"/>
              </w:rPr>
            </w:pPr>
            <w:r w:rsidRPr="004544EF">
              <w:rPr>
                <w:color w:val="000000"/>
                <w:sz w:val="20"/>
                <w:lang w:eastAsia="lv-LV"/>
              </w:rPr>
              <w:t>7,4</w:t>
            </w:r>
          </w:p>
        </w:tc>
        <w:tc>
          <w:tcPr>
            <w:tcW w:w="1276"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right"/>
              <w:rPr>
                <w:color w:val="000000"/>
                <w:sz w:val="20"/>
                <w:lang w:eastAsia="lv-LV"/>
              </w:rPr>
            </w:pPr>
            <w:r w:rsidRPr="004544EF">
              <w:rPr>
                <w:color w:val="000000"/>
                <w:sz w:val="20"/>
                <w:lang w:eastAsia="lv-LV"/>
              </w:rPr>
              <w:t>7,9</w:t>
            </w:r>
          </w:p>
        </w:tc>
        <w:tc>
          <w:tcPr>
            <w:tcW w:w="1276"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right"/>
              <w:rPr>
                <w:color w:val="000000"/>
                <w:sz w:val="20"/>
                <w:lang w:eastAsia="lv-LV"/>
              </w:rPr>
            </w:pPr>
            <w:r w:rsidRPr="004544EF">
              <w:rPr>
                <w:color w:val="000000"/>
                <w:sz w:val="20"/>
                <w:lang w:eastAsia="lv-LV"/>
              </w:rPr>
              <w:t>9,5</w:t>
            </w:r>
          </w:p>
        </w:tc>
      </w:tr>
      <w:tr w:rsidR="00367E59" w:rsidRPr="004544EF" w:rsidTr="00826E46">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67E59" w:rsidRPr="004544EF" w:rsidRDefault="00367E59" w:rsidP="00826E46">
            <w:pPr>
              <w:jc w:val="left"/>
              <w:rPr>
                <w:color w:val="000000"/>
                <w:sz w:val="20"/>
                <w:lang w:eastAsia="lv-LV"/>
              </w:rPr>
            </w:pPr>
            <w:r w:rsidRPr="004544EF">
              <w:rPr>
                <w:color w:val="000000"/>
                <w:sz w:val="20"/>
                <w:lang w:eastAsia="lv-LV"/>
              </w:rPr>
              <w:t>2239</w:t>
            </w:r>
          </w:p>
        </w:tc>
        <w:tc>
          <w:tcPr>
            <w:tcW w:w="3997"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left"/>
              <w:rPr>
                <w:color w:val="000000"/>
                <w:sz w:val="20"/>
                <w:lang w:eastAsia="lv-LV"/>
              </w:rPr>
            </w:pPr>
            <w:r w:rsidRPr="004544EF">
              <w:rPr>
                <w:color w:val="000000"/>
                <w:sz w:val="20"/>
                <w:lang w:eastAsia="lv-LV"/>
              </w:rPr>
              <w:t>Pārējie iestādes administratīvie izdevumi</w:t>
            </w:r>
          </w:p>
        </w:tc>
        <w:tc>
          <w:tcPr>
            <w:tcW w:w="1275"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right"/>
              <w:rPr>
                <w:color w:val="000000"/>
                <w:sz w:val="20"/>
                <w:lang w:eastAsia="lv-LV"/>
              </w:rPr>
            </w:pPr>
            <w:r w:rsidRPr="004544EF">
              <w:rPr>
                <w:color w:val="000000"/>
                <w:sz w:val="20"/>
                <w:lang w:eastAsia="lv-LV"/>
              </w:rPr>
              <w:t>4,9</w:t>
            </w:r>
          </w:p>
        </w:tc>
        <w:tc>
          <w:tcPr>
            <w:tcW w:w="1276"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right"/>
              <w:rPr>
                <w:color w:val="000000"/>
                <w:sz w:val="20"/>
                <w:lang w:eastAsia="lv-LV"/>
              </w:rPr>
            </w:pPr>
            <w:r w:rsidRPr="004544EF">
              <w:rPr>
                <w:color w:val="000000"/>
                <w:sz w:val="20"/>
                <w:lang w:eastAsia="lv-LV"/>
              </w:rPr>
              <w:t>5,7</w:t>
            </w:r>
          </w:p>
        </w:tc>
        <w:tc>
          <w:tcPr>
            <w:tcW w:w="1276"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right"/>
              <w:rPr>
                <w:color w:val="000000"/>
                <w:sz w:val="20"/>
                <w:lang w:eastAsia="lv-LV"/>
              </w:rPr>
            </w:pPr>
            <w:r w:rsidRPr="004544EF">
              <w:rPr>
                <w:color w:val="000000"/>
                <w:sz w:val="20"/>
                <w:lang w:eastAsia="lv-LV"/>
              </w:rPr>
              <w:t>7,1</w:t>
            </w:r>
          </w:p>
        </w:tc>
      </w:tr>
      <w:tr w:rsidR="00367E59" w:rsidRPr="004544EF" w:rsidTr="00826E46">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67E59" w:rsidRPr="004544EF" w:rsidRDefault="00367E59" w:rsidP="00826E46">
            <w:pPr>
              <w:jc w:val="left"/>
              <w:rPr>
                <w:color w:val="000000"/>
                <w:sz w:val="20"/>
                <w:lang w:eastAsia="lv-LV"/>
              </w:rPr>
            </w:pPr>
            <w:r w:rsidRPr="004544EF">
              <w:rPr>
                <w:color w:val="000000"/>
                <w:sz w:val="20"/>
                <w:lang w:eastAsia="lv-LV"/>
              </w:rPr>
              <w:t>2278</w:t>
            </w:r>
          </w:p>
        </w:tc>
        <w:tc>
          <w:tcPr>
            <w:tcW w:w="3997"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left"/>
              <w:rPr>
                <w:color w:val="000000"/>
                <w:sz w:val="20"/>
                <w:lang w:eastAsia="lv-LV"/>
              </w:rPr>
            </w:pPr>
            <w:r w:rsidRPr="004544EF">
              <w:rPr>
                <w:color w:val="000000"/>
                <w:sz w:val="20"/>
                <w:lang w:eastAsia="lv-LV"/>
              </w:rPr>
              <w:t>Iestādes iekšējo kolektīvo pasākumu organizēšanas izdevumi</w:t>
            </w:r>
          </w:p>
        </w:tc>
        <w:tc>
          <w:tcPr>
            <w:tcW w:w="1275"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right"/>
              <w:rPr>
                <w:color w:val="000000"/>
                <w:sz w:val="20"/>
                <w:lang w:eastAsia="lv-LV"/>
              </w:rPr>
            </w:pPr>
            <w:r w:rsidRPr="004544EF">
              <w:rPr>
                <w:color w:val="000000"/>
                <w:sz w:val="20"/>
                <w:lang w:eastAsia="lv-LV"/>
              </w:rPr>
              <w:t>0,0</w:t>
            </w:r>
            <w:r w:rsidR="003B2200" w:rsidRPr="004544EF">
              <w:rPr>
                <w:color w:val="000000"/>
                <w:sz w:val="20"/>
                <w:lang w:eastAsia="lv-LV"/>
              </w:rPr>
              <w:t>1</w:t>
            </w:r>
          </w:p>
        </w:tc>
        <w:tc>
          <w:tcPr>
            <w:tcW w:w="1276"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right"/>
              <w:rPr>
                <w:color w:val="000000"/>
                <w:sz w:val="20"/>
                <w:lang w:eastAsia="lv-LV"/>
              </w:rPr>
            </w:pPr>
            <w:r w:rsidRPr="004544EF">
              <w:rPr>
                <w:color w:val="000000"/>
                <w:sz w:val="20"/>
                <w:lang w:eastAsia="lv-LV"/>
              </w:rPr>
              <w:t>0,0</w:t>
            </w:r>
            <w:r w:rsidR="003B2200" w:rsidRPr="004544EF">
              <w:rPr>
                <w:color w:val="000000"/>
                <w:sz w:val="20"/>
                <w:lang w:eastAsia="lv-LV"/>
              </w:rPr>
              <w:t>2</w:t>
            </w:r>
          </w:p>
        </w:tc>
        <w:tc>
          <w:tcPr>
            <w:tcW w:w="1276"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right"/>
              <w:rPr>
                <w:color w:val="000000"/>
                <w:sz w:val="20"/>
                <w:lang w:eastAsia="lv-LV"/>
              </w:rPr>
            </w:pPr>
            <w:r w:rsidRPr="004544EF">
              <w:rPr>
                <w:color w:val="000000"/>
                <w:sz w:val="20"/>
                <w:lang w:eastAsia="lv-LV"/>
              </w:rPr>
              <w:t>0,0</w:t>
            </w:r>
            <w:r w:rsidR="003B2200" w:rsidRPr="004544EF">
              <w:rPr>
                <w:color w:val="000000"/>
                <w:sz w:val="20"/>
                <w:lang w:eastAsia="lv-LV"/>
              </w:rPr>
              <w:t>4</w:t>
            </w:r>
          </w:p>
        </w:tc>
      </w:tr>
      <w:tr w:rsidR="00367E59" w:rsidRPr="004544EF" w:rsidTr="00826E46">
        <w:trPr>
          <w:trHeight w:val="255"/>
        </w:trPr>
        <w:tc>
          <w:tcPr>
            <w:tcW w:w="960" w:type="dxa"/>
            <w:tcBorders>
              <w:top w:val="nil"/>
              <w:left w:val="single" w:sz="4" w:space="0" w:color="auto"/>
              <w:bottom w:val="single" w:sz="4" w:space="0" w:color="auto"/>
              <w:right w:val="single" w:sz="4" w:space="0" w:color="auto"/>
            </w:tcBorders>
            <w:shd w:val="clear" w:color="000000" w:fill="F2F2F2"/>
            <w:vAlign w:val="bottom"/>
            <w:hideMark/>
          </w:tcPr>
          <w:p w:rsidR="00367E59" w:rsidRPr="004544EF" w:rsidRDefault="00367E59" w:rsidP="00826E46">
            <w:pPr>
              <w:jc w:val="left"/>
              <w:rPr>
                <w:color w:val="000000"/>
                <w:sz w:val="20"/>
                <w:lang w:eastAsia="lv-LV"/>
              </w:rPr>
            </w:pPr>
            <w:r w:rsidRPr="004544EF">
              <w:rPr>
                <w:color w:val="000000"/>
                <w:sz w:val="20"/>
                <w:lang w:eastAsia="lv-LV"/>
              </w:rPr>
              <w:t> </w:t>
            </w:r>
          </w:p>
        </w:tc>
        <w:tc>
          <w:tcPr>
            <w:tcW w:w="3997"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left"/>
              <w:rPr>
                <w:b/>
                <w:bCs/>
                <w:color w:val="000000"/>
                <w:sz w:val="20"/>
                <w:lang w:eastAsia="lv-LV"/>
              </w:rPr>
            </w:pPr>
            <w:r w:rsidRPr="004544EF">
              <w:rPr>
                <w:b/>
                <w:bCs/>
                <w:color w:val="000000"/>
                <w:sz w:val="20"/>
                <w:lang w:eastAsia="lv-LV"/>
              </w:rPr>
              <w:t>I. Valsts pamatfunkciju īstenošana</w:t>
            </w:r>
          </w:p>
        </w:tc>
        <w:tc>
          <w:tcPr>
            <w:tcW w:w="1275"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right"/>
              <w:rPr>
                <w:b/>
                <w:bCs/>
                <w:color w:val="000000"/>
                <w:sz w:val="20"/>
                <w:lang w:eastAsia="lv-LV"/>
              </w:rPr>
            </w:pPr>
            <w:r w:rsidRPr="004544EF">
              <w:rPr>
                <w:b/>
                <w:bCs/>
                <w:color w:val="000000"/>
                <w:sz w:val="20"/>
                <w:lang w:eastAsia="lv-LV"/>
              </w:rPr>
              <w:t>2 218,5</w:t>
            </w:r>
          </w:p>
        </w:tc>
        <w:tc>
          <w:tcPr>
            <w:tcW w:w="1276"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right"/>
              <w:rPr>
                <w:b/>
                <w:bCs/>
                <w:color w:val="000000"/>
                <w:sz w:val="20"/>
                <w:lang w:eastAsia="lv-LV"/>
              </w:rPr>
            </w:pPr>
            <w:r w:rsidRPr="004544EF">
              <w:rPr>
                <w:b/>
                <w:bCs/>
                <w:color w:val="000000"/>
                <w:sz w:val="20"/>
                <w:lang w:eastAsia="lv-LV"/>
              </w:rPr>
              <w:t>2 340,8</w:t>
            </w:r>
          </w:p>
        </w:tc>
        <w:tc>
          <w:tcPr>
            <w:tcW w:w="1276"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right"/>
              <w:rPr>
                <w:b/>
                <w:bCs/>
                <w:color w:val="000000"/>
                <w:sz w:val="20"/>
                <w:lang w:eastAsia="lv-LV"/>
              </w:rPr>
            </w:pPr>
            <w:r w:rsidRPr="004544EF">
              <w:rPr>
                <w:b/>
                <w:bCs/>
                <w:color w:val="000000"/>
                <w:sz w:val="20"/>
                <w:lang w:eastAsia="lv-LV"/>
              </w:rPr>
              <w:t>2 436,4</w:t>
            </w:r>
          </w:p>
        </w:tc>
      </w:tr>
      <w:tr w:rsidR="00367E59" w:rsidRPr="004544EF" w:rsidTr="00826E46">
        <w:trPr>
          <w:trHeight w:val="510"/>
        </w:trPr>
        <w:tc>
          <w:tcPr>
            <w:tcW w:w="960" w:type="dxa"/>
            <w:tcBorders>
              <w:top w:val="nil"/>
              <w:left w:val="single" w:sz="4" w:space="0" w:color="auto"/>
              <w:bottom w:val="single" w:sz="4" w:space="0" w:color="auto"/>
              <w:right w:val="single" w:sz="4" w:space="0" w:color="auto"/>
            </w:tcBorders>
            <w:shd w:val="clear" w:color="000000" w:fill="F2F2F2"/>
            <w:vAlign w:val="bottom"/>
            <w:hideMark/>
          </w:tcPr>
          <w:p w:rsidR="00367E59" w:rsidRPr="004544EF" w:rsidRDefault="00367E59" w:rsidP="00826E46">
            <w:pPr>
              <w:jc w:val="left"/>
              <w:rPr>
                <w:color w:val="000000"/>
                <w:sz w:val="20"/>
                <w:lang w:eastAsia="lv-LV"/>
              </w:rPr>
            </w:pPr>
            <w:r w:rsidRPr="004544EF">
              <w:rPr>
                <w:color w:val="000000"/>
                <w:sz w:val="20"/>
                <w:lang w:eastAsia="lv-LV"/>
              </w:rPr>
              <w:t> </w:t>
            </w:r>
          </w:p>
        </w:tc>
        <w:tc>
          <w:tcPr>
            <w:tcW w:w="3997"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center"/>
              <w:rPr>
                <w:b/>
                <w:bCs/>
                <w:color w:val="000000"/>
                <w:sz w:val="20"/>
                <w:lang w:eastAsia="lv-LV"/>
              </w:rPr>
            </w:pPr>
            <w:r w:rsidRPr="004544EF">
              <w:rPr>
                <w:b/>
                <w:bCs/>
                <w:color w:val="000000"/>
                <w:sz w:val="20"/>
                <w:lang w:eastAsia="lv-LV"/>
              </w:rPr>
              <w:t xml:space="preserve">tajā skaitā administratīvie, reprezentācijas un kolektīvo pasākumu organizēšanas izdevumi </w:t>
            </w:r>
          </w:p>
        </w:tc>
        <w:tc>
          <w:tcPr>
            <w:tcW w:w="1275"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right"/>
              <w:rPr>
                <w:b/>
                <w:bCs/>
                <w:color w:val="000000"/>
                <w:sz w:val="20"/>
                <w:lang w:eastAsia="lv-LV"/>
              </w:rPr>
            </w:pPr>
            <w:r w:rsidRPr="004544EF">
              <w:rPr>
                <w:b/>
                <w:bCs/>
                <w:color w:val="000000"/>
                <w:sz w:val="20"/>
                <w:lang w:eastAsia="lv-LV"/>
              </w:rPr>
              <w:t>5,4</w:t>
            </w:r>
          </w:p>
        </w:tc>
        <w:tc>
          <w:tcPr>
            <w:tcW w:w="1276"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right"/>
              <w:rPr>
                <w:b/>
                <w:bCs/>
                <w:color w:val="000000"/>
                <w:sz w:val="20"/>
                <w:lang w:eastAsia="lv-LV"/>
              </w:rPr>
            </w:pPr>
            <w:r w:rsidRPr="004544EF">
              <w:rPr>
                <w:b/>
                <w:bCs/>
                <w:color w:val="000000"/>
                <w:sz w:val="20"/>
                <w:lang w:eastAsia="lv-LV"/>
              </w:rPr>
              <w:t>6,3</w:t>
            </w:r>
          </w:p>
        </w:tc>
        <w:tc>
          <w:tcPr>
            <w:tcW w:w="1276"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right"/>
              <w:rPr>
                <w:b/>
                <w:bCs/>
                <w:color w:val="000000"/>
                <w:sz w:val="20"/>
                <w:lang w:eastAsia="lv-LV"/>
              </w:rPr>
            </w:pPr>
            <w:r w:rsidRPr="004544EF">
              <w:rPr>
                <w:b/>
                <w:bCs/>
                <w:color w:val="000000"/>
                <w:sz w:val="20"/>
                <w:lang w:eastAsia="lv-LV"/>
              </w:rPr>
              <w:t>8,4</w:t>
            </w:r>
          </w:p>
        </w:tc>
      </w:tr>
      <w:tr w:rsidR="00367E59" w:rsidRPr="004544EF" w:rsidTr="00826E46">
        <w:trPr>
          <w:trHeight w:val="510"/>
        </w:trPr>
        <w:tc>
          <w:tcPr>
            <w:tcW w:w="960" w:type="dxa"/>
            <w:tcBorders>
              <w:top w:val="nil"/>
              <w:left w:val="single" w:sz="4" w:space="0" w:color="auto"/>
              <w:bottom w:val="single" w:sz="4" w:space="0" w:color="auto"/>
              <w:right w:val="single" w:sz="4" w:space="0" w:color="auto"/>
            </w:tcBorders>
            <w:shd w:val="clear" w:color="000000" w:fill="F2F2F2"/>
            <w:vAlign w:val="bottom"/>
            <w:hideMark/>
          </w:tcPr>
          <w:p w:rsidR="00367E59" w:rsidRPr="004544EF" w:rsidRDefault="00367E59" w:rsidP="00826E46">
            <w:pPr>
              <w:jc w:val="left"/>
              <w:rPr>
                <w:color w:val="000000"/>
                <w:sz w:val="20"/>
                <w:lang w:eastAsia="lv-LV"/>
              </w:rPr>
            </w:pPr>
            <w:r w:rsidRPr="004544EF">
              <w:rPr>
                <w:color w:val="000000"/>
                <w:sz w:val="20"/>
                <w:lang w:eastAsia="lv-LV"/>
              </w:rPr>
              <w:t> </w:t>
            </w:r>
          </w:p>
        </w:tc>
        <w:tc>
          <w:tcPr>
            <w:tcW w:w="3997"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left"/>
              <w:rPr>
                <w:b/>
                <w:bCs/>
                <w:color w:val="000000"/>
                <w:sz w:val="20"/>
                <w:lang w:eastAsia="lv-LV"/>
              </w:rPr>
            </w:pPr>
            <w:r w:rsidRPr="004544EF">
              <w:rPr>
                <w:b/>
                <w:bCs/>
                <w:color w:val="000000"/>
                <w:sz w:val="20"/>
                <w:lang w:eastAsia="lv-LV"/>
              </w:rPr>
              <w:t>% no kopējiem valsts pamatbudžeta izdevumiem valsts pamatfunkciju īstenošanai</w:t>
            </w:r>
          </w:p>
        </w:tc>
        <w:tc>
          <w:tcPr>
            <w:tcW w:w="1275"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right"/>
              <w:rPr>
                <w:b/>
                <w:bCs/>
                <w:color w:val="000000"/>
                <w:sz w:val="20"/>
                <w:lang w:eastAsia="lv-LV"/>
              </w:rPr>
            </w:pPr>
            <w:r w:rsidRPr="004544EF">
              <w:rPr>
                <w:b/>
                <w:bCs/>
                <w:color w:val="000000"/>
                <w:sz w:val="20"/>
                <w:lang w:eastAsia="lv-LV"/>
              </w:rPr>
              <w:t>0,2%</w:t>
            </w:r>
          </w:p>
        </w:tc>
        <w:tc>
          <w:tcPr>
            <w:tcW w:w="1276"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right"/>
              <w:rPr>
                <w:b/>
                <w:bCs/>
                <w:color w:val="000000"/>
                <w:sz w:val="20"/>
                <w:lang w:eastAsia="lv-LV"/>
              </w:rPr>
            </w:pPr>
            <w:r w:rsidRPr="004544EF">
              <w:rPr>
                <w:b/>
                <w:bCs/>
                <w:color w:val="000000"/>
                <w:sz w:val="20"/>
                <w:lang w:eastAsia="lv-LV"/>
              </w:rPr>
              <w:t>0,3%</w:t>
            </w:r>
          </w:p>
        </w:tc>
        <w:tc>
          <w:tcPr>
            <w:tcW w:w="1276"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right"/>
              <w:rPr>
                <w:b/>
                <w:bCs/>
                <w:color w:val="000000"/>
                <w:sz w:val="20"/>
                <w:lang w:eastAsia="lv-LV"/>
              </w:rPr>
            </w:pPr>
            <w:r w:rsidRPr="004544EF">
              <w:rPr>
                <w:b/>
                <w:bCs/>
                <w:color w:val="000000"/>
                <w:sz w:val="20"/>
                <w:lang w:eastAsia="lv-LV"/>
              </w:rPr>
              <w:t>0,3%</w:t>
            </w:r>
          </w:p>
        </w:tc>
      </w:tr>
      <w:tr w:rsidR="00367E59" w:rsidRPr="004544EF" w:rsidTr="00826E46">
        <w:trPr>
          <w:trHeight w:val="51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67E59" w:rsidRPr="004544EF" w:rsidRDefault="00367E59" w:rsidP="00826E46">
            <w:pPr>
              <w:jc w:val="left"/>
              <w:rPr>
                <w:color w:val="000000"/>
                <w:sz w:val="20"/>
                <w:lang w:eastAsia="lv-LV"/>
              </w:rPr>
            </w:pPr>
            <w:r w:rsidRPr="004544EF">
              <w:rPr>
                <w:color w:val="000000"/>
                <w:sz w:val="20"/>
                <w:lang w:eastAsia="lv-LV"/>
              </w:rPr>
              <w:t>2231</w:t>
            </w:r>
          </w:p>
        </w:tc>
        <w:tc>
          <w:tcPr>
            <w:tcW w:w="3997"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left"/>
              <w:rPr>
                <w:color w:val="000000"/>
                <w:sz w:val="20"/>
                <w:lang w:eastAsia="lv-LV"/>
              </w:rPr>
            </w:pPr>
            <w:r w:rsidRPr="004544EF">
              <w:rPr>
                <w:color w:val="000000"/>
                <w:sz w:val="20"/>
                <w:lang w:eastAsia="lv-LV"/>
              </w:rPr>
              <w:t>Administratīvie izdevumi un sabiedriskās attiecības, kursu un semināru organizēšana</w:t>
            </w:r>
          </w:p>
        </w:tc>
        <w:tc>
          <w:tcPr>
            <w:tcW w:w="1275"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right"/>
              <w:rPr>
                <w:color w:val="000000"/>
                <w:sz w:val="20"/>
                <w:lang w:eastAsia="lv-LV"/>
              </w:rPr>
            </w:pPr>
            <w:r w:rsidRPr="004544EF">
              <w:rPr>
                <w:color w:val="000000"/>
                <w:sz w:val="20"/>
                <w:lang w:eastAsia="lv-LV"/>
              </w:rPr>
              <w:t>2,0</w:t>
            </w:r>
          </w:p>
        </w:tc>
        <w:tc>
          <w:tcPr>
            <w:tcW w:w="1276"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right"/>
              <w:rPr>
                <w:color w:val="000000"/>
                <w:sz w:val="20"/>
                <w:lang w:eastAsia="lv-LV"/>
              </w:rPr>
            </w:pPr>
            <w:r w:rsidRPr="004544EF">
              <w:rPr>
                <w:color w:val="000000"/>
                <w:sz w:val="20"/>
                <w:lang w:eastAsia="lv-LV"/>
              </w:rPr>
              <w:t>2,5</w:t>
            </w:r>
          </w:p>
        </w:tc>
        <w:tc>
          <w:tcPr>
            <w:tcW w:w="1276"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right"/>
              <w:rPr>
                <w:color w:val="000000"/>
                <w:sz w:val="20"/>
                <w:lang w:eastAsia="lv-LV"/>
              </w:rPr>
            </w:pPr>
            <w:r w:rsidRPr="004544EF">
              <w:rPr>
                <w:color w:val="000000"/>
                <w:sz w:val="20"/>
                <w:lang w:eastAsia="lv-LV"/>
              </w:rPr>
              <w:t>4,1</w:t>
            </w:r>
          </w:p>
        </w:tc>
      </w:tr>
      <w:tr w:rsidR="00367E59" w:rsidRPr="004544EF" w:rsidTr="00826E46">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67E59" w:rsidRPr="004544EF" w:rsidRDefault="00367E59" w:rsidP="00826E46">
            <w:pPr>
              <w:jc w:val="left"/>
              <w:rPr>
                <w:color w:val="000000"/>
                <w:sz w:val="20"/>
                <w:lang w:eastAsia="lv-LV"/>
              </w:rPr>
            </w:pPr>
            <w:r w:rsidRPr="004544EF">
              <w:rPr>
                <w:color w:val="000000"/>
                <w:sz w:val="20"/>
                <w:lang w:eastAsia="lv-LV"/>
              </w:rPr>
              <w:t>2239</w:t>
            </w:r>
          </w:p>
        </w:tc>
        <w:tc>
          <w:tcPr>
            <w:tcW w:w="3997"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left"/>
              <w:rPr>
                <w:color w:val="000000"/>
                <w:sz w:val="20"/>
                <w:lang w:eastAsia="lv-LV"/>
              </w:rPr>
            </w:pPr>
            <w:r w:rsidRPr="004544EF">
              <w:rPr>
                <w:color w:val="000000"/>
                <w:sz w:val="20"/>
                <w:lang w:eastAsia="lv-LV"/>
              </w:rPr>
              <w:t>Pārējie iestādes administratīvie izdevumi</w:t>
            </w:r>
          </w:p>
        </w:tc>
        <w:tc>
          <w:tcPr>
            <w:tcW w:w="1275"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right"/>
              <w:rPr>
                <w:color w:val="000000"/>
                <w:sz w:val="20"/>
                <w:lang w:eastAsia="lv-LV"/>
              </w:rPr>
            </w:pPr>
            <w:r w:rsidRPr="004544EF">
              <w:rPr>
                <w:color w:val="000000"/>
                <w:sz w:val="20"/>
                <w:lang w:eastAsia="lv-LV"/>
              </w:rPr>
              <w:t>3,4</w:t>
            </w:r>
          </w:p>
        </w:tc>
        <w:tc>
          <w:tcPr>
            <w:tcW w:w="1276"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right"/>
              <w:rPr>
                <w:color w:val="000000"/>
                <w:sz w:val="20"/>
                <w:lang w:eastAsia="lv-LV"/>
              </w:rPr>
            </w:pPr>
            <w:r w:rsidRPr="004544EF">
              <w:rPr>
                <w:color w:val="000000"/>
                <w:sz w:val="20"/>
                <w:lang w:eastAsia="lv-LV"/>
              </w:rPr>
              <w:t>3,8</w:t>
            </w:r>
          </w:p>
        </w:tc>
        <w:tc>
          <w:tcPr>
            <w:tcW w:w="1276"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right"/>
              <w:rPr>
                <w:color w:val="000000"/>
                <w:sz w:val="20"/>
                <w:lang w:eastAsia="lv-LV"/>
              </w:rPr>
            </w:pPr>
            <w:r w:rsidRPr="004544EF">
              <w:rPr>
                <w:color w:val="000000"/>
                <w:sz w:val="20"/>
                <w:lang w:eastAsia="lv-LV"/>
              </w:rPr>
              <w:t>4,3</w:t>
            </w:r>
          </w:p>
        </w:tc>
      </w:tr>
      <w:tr w:rsidR="00367E59" w:rsidRPr="004544EF" w:rsidTr="00826E46">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67E59" w:rsidRPr="004544EF" w:rsidRDefault="00367E59" w:rsidP="00826E46">
            <w:pPr>
              <w:jc w:val="left"/>
              <w:rPr>
                <w:color w:val="000000"/>
                <w:sz w:val="20"/>
                <w:lang w:eastAsia="lv-LV"/>
              </w:rPr>
            </w:pPr>
            <w:r w:rsidRPr="004544EF">
              <w:rPr>
                <w:color w:val="000000"/>
                <w:sz w:val="20"/>
                <w:lang w:eastAsia="lv-LV"/>
              </w:rPr>
              <w:lastRenderedPageBreak/>
              <w:t>2278</w:t>
            </w:r>
          </w:p>
        </w:tc>
        <w:tc>
          <w:tcPr>
            <w:tcW w:w="3997"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left"/>
              <w:rPr>
                <w:color w:val="000000"/>
                <w:sz w:val="20"/>
                <w:lang w:eastAsia="lv-LV"/>
              </w:rPr>
            </w:pPr>
            <w:r w:rsidRPr="004544EF">
              <w:rPr>
                <w:color w:val="000000"/>
                <w:sz w:val="20"/>
                <w:lang w:eastAsia="lv-LV"/>
              </w:rPr>
              <w:t>Iestādes iekšējo kolektīvo pasākumu organizēšanas izdevumi</w:t>
            </w:r>
          </w:p>
        </w:tc>
        <w:tc>
          <w:tcPr>
            <w:tcW w:w="1275"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right"/>
              <w:rPr>
                <w:color w:val="000000"/>
                <w:sz w:val="20"/>
                <w:lang w:eastAsia="lv-LV"/>
              </w:rPr>
            </w:pPr>
            <w:r w:rsidRPr="004544EF">
              <w:rPr>
                <w:color w:val="000000"/>
                <w:sz w:val="20"/>
                <w:lang w:eastAsia="lv-LV"/>
              </w:rPr>
              <w:t>0,0</w:t>
            </w:r>
            <w:r w:rsidR="003B2200" w:rsidRPr="004544EF">
              <w:rPr>
                <w:color w:val="000000"/>
                <w:sz w:val="20"/>
                <w:lang w:eastAsia="lv-LV"/>
              </w:rPr>
              <w:t>1</w:t>
            </w:r>
          </w:p>
        </w:tc>
        <w:tc>
          <w:tcPr>
            <w:tcW w:w="1276"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right"/>
              <w:rPr>
                <w:color w:val="000000"/>
                <w:sz w:val="20"/>
                <w:lang w:eastAsia="lv-LV"/>
              </w:rPr>
            </w:pPr>
            <w:r w:rsidRPr="004544EF">
              <w:rPr>
                <w:color w:val="000000"/>
                <w:sz w:val="20"/>
                <w:lang w:eastAsia="lv-LV"/>
              </w:rPr>
              <w:t>0,0</w:t>
            </w:r>
            <w:r w:rsidR="003B2200" w:rsidRPr="004544EF">
              <w:rPr>
                <w:color w:val="000000"/>
                <w:sz w:val="20"/>
                <w:lang w:eastAsia="lv-LV"/>
              </w:rPr>
              <w:t>2</w:t>
            </w:r>
          </w:p>
        </w:tc>
        <w:tc>
          <w:tcPr>
            <w:tcW w:w="1276"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right"/>
              <w:rPr>
                <w:color w:val="000000"/>
                <w:sz w:val="20"/>
                <w:lang w:eastAsia="lv-LV"/>
              </w:rPr>
            </w:pPr>
            <w:r w:rsidRPr="004544EF">
              <w:rPr>
                <w:color w:val="000000"/>
                <w:sz w:val="20"/>
                <w:lang w:eastAsia="lv-LV"/>
              </w:rPr>
              <w:t>0,0</w:t>
            </w:r>
            <w:r w:rsidR="003B2200" w:rsidRPr="004544EF">
              <w:rPr>
                <w:color w:val="000000"/>
                <w:sz w:val="20"/>
                <w:lang w:eastAsia="lv-LV"/>
              </w:rPr>
              <w:t>4</w:t>
            </w:r>
          </w:p>
        </w:tc>
      </w:tr>
      <w:tr w:rsidR="00367E59" w:rsidRPr="004544EF" w:rsidTr="00826E46">
        <w:trPr>
          <w:trHeight w:val="585"/>
        </w:trPr>
        <w:tc>
          <w:tcPr>
            <w:tcW w:w="960" w:type="dxa"/>
            <w:tcBorders>
              <w:top w:val="nil"/>
              <w:left w:val="single" w:sz="4" w:space="0" w:color="auto"/>
              <w:bottom w:val="single" w:sz="4" w:space="0" w:color="auto"/>
              <w:right w:val="single" w:sz="4" w:space="0" w:color="auto"/>
            </w:tcBorders>
            <w:shd w:val="clear" w:color="000000" w:fill="F2F2F2"/>
            <w:vAlign w:val="bottom"/>
            <w:hideMark/>
          </w:tcPr>
          <w:p w:rsidR="00367E59" w:rsidRPr="004544EF" w:rsidRDefault="00367E59" w:rsidP="00826E46">
            <w:pPr>
              <w:jc w:val="left"/>
              <w:rPr>
                <w:color w:val="000000"/>
                <w:sz w:val="20"/>
                <w:lang w:eastAsia="lv-LV"/>
              </w:rPr>
            </w:pPr>
            <w:r w:rsidRPr="004544EF">
              <w:rPr>
                <w:color w:val="000000"/>
                <w:sz w:val="20"/>
                <w:lang w:eastAsia="lv-LV"/>
              </w:rPr>
              <w:t> </w:t>
            </w:r>
          </w:p>
        </w:tc>
        <w:tc>
          <w:tcPr>
            <w:tcW w:w="3997"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left"/>
              <w:rPr>
                <w:b/>
                <w:bCs/>
                <w:color w:val="000000"/>
                <w:sz w:val="20"/>
                <w:lang w:eastAsia="lv-LV"/>
              </w:rPr>
            </w:pPr>
            <w:r w:rsidRPr="004544EF">
              <w:rPr>
                <w:b/>
                <w:bCs/>
                <w:color w:val="000000"/>
                <w:sz w:val="20"/>
                <w:lang w:eastAsia="lv-LV"/>
              </w:rPr>
              <w:t>II. ES politiku instrumentu un pārējās ārvalstu finanšu palīdzības līdzfinansēto projektu un pasākumu īstenošana</w:t>
            </w:r>
          </w:p>
        </w:tc>
        <w:tc>
          <w:tcPr>
            <w:tcW w:w="1275"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right"/>
              <w:rPr>
                <w:b/>
                <w:bCs/>
                <w:color w:val="000000"/>
                <w:sz w:val="20"/>
                <w:lang w:eastAsia="lv-LV"/>
              </w:rPr>
            </w:pPr>
            <w:r w:rsidRPr="004544EF">
              <w:rPr>
                <w:b/>
                <w:bCs/>
                <w:color w:val="000000"/>
                <w:sz w:val="20"/>
                <w:lang w:eastAsia="lv-LV"/>
              </w:rPr>
              <w:t>991,7</w:t>
            </w:r>
          </w:p>
        </w:tc>
        <w:tc>
          <w:tcPr>
            <w:tcW w:w="1276"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right"/>
              <w:rPr>
                <w:b/>
                <w:bCs/>
                <w:color w:val="000000"/>
                <w:sz w:val="20"/>
                <w:lang w:eastAsia="lv-LV"/>
              </w:rPr>
            </w:pPr>
            <w:r w:rsidRPr="004544EF">
              <w:rPr>
                <w:b/>
                <w:bCs/>
                <w:color w:val="000000"/>
                <w:sz w:val="20"/>
                <w:lang w:eastAsia="lv-LV"/>
              </w:rPr>
              <w:t>924,3</w:t>
            </w:r>
          </w:p>
        </w:tc>
        <w:tc>
          <w:tcPr>
            <w:tcW w:w="1276"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right"/>
              <w:rPr>
                <w:b/>
                <w:bCs/>
                <w:color w:val="000000"/>
                <w:sz w:val="20"/>
                <w:lang w:eastAsia="lv-LV"/>
              </w:rPr>
            </w:pPr>
            <w:r w:rsidRPr="004544EF">
              <w:rPr>
                <w:b/>
                <w:bCs/>
                <w:color w:val="000000"/>
                <w:sz w:val="20"/>
                <w:lang w:eastAsia="lv-LV"/>
              </w:rPr>
              <w:t>915,6</w:t>
            </w:r>
          </w:p>
        </w:tc>
      </w:tr>
      <w:tr w:rsidR="00367E59" w:rsidRPr="004544EF" w:rsidTr="00826E46">
        <w:trPr>
          <w:trHeight w:val="600"/>
        </w:trPr>
        <w:tc>
          <w:tcPr>
            <w:tcW w:w="960" w:type="dxa"/>
            <w:tcBorders>
              <w:top w:val="nil"/>
              <w:left w:val="single" w:sz="4" w:space="0" w:color="auto"/>
              <w:bottom w:val="single" w:sz="4" w:space="0" w:color="auto"/>
              <w:right w:val="single" w:sz="4" w:space="0" w:color="auto"/>
            </w:tcBorders>
            <w:shd w:val="clear" w:color="000000" w:fill="F2F2F2"/>
            <w:vAlign w:val="bottom"/>
            <w:hideMark/>
          </w:tcPr>
          <w:p w:rsidR="00367E59" w:rsidRPr="004544EF" w:rsidRDefault="00367E59" w:rsidP="00826E46">
            <w:pPr>
              <w:jc w:val="left"/>
              <w:rPr>
                <w:color w:val="000000"/>
                <w:sz w:val="20"/>
                <w:lang w:eastAsia="lv-LV"/>
              </w:rPr>
            </w:pPr>
            <w:r w:rsidRPr="004544EF">
              <w:rPr>
                <w:color w:val="000000"/>
                <w:sz w:val="20"/>
                <w:lang w:eastAsia="lv-LV"/>
              </w:rPr>
              <w:t> </w:t>
            </w:r>
          </w:p>
        </w:tc>
        <w:tc>
          <w:tcPr>
            <w:tcW w:w="3997"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center"/>
              <w:rPr>
                <w:b/>
                <w:bCs/>
                <w:color w:val="000000"/>
                <w:sz w:val="20"/>
                <w:lang w:eastAsia="lv-LV"/>
              </w:rPr>
            </w:pPr>
            <w:r w:rsidRPr="004544EF">
              <w:rPr>
                <w:b/>
                <w:bCs/>
                <w:color w:val="000000"/>
                <w:sz w:val="20"/>
                <w:lang w:eastAsia="lv-LV"/>
              </w:rPr>
              <w:t xml:space="preserve">tajā skaitā administratīvie, reprezentācijas un kolektīvo pasākumu organizēšanas izdevumi </w:t>
            </w:r>
          </w:p>
        </w:tc>
        <w:tc>
          <w:tcPr>
            <w:tcW w:w="1275"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right"/>
              <w:rPr>
                <w:b/>
                <w:bCs/>
                <w:color w:val="000000"/>
                <w:sz w:val="20"/>
                <w:lang w:eastAsia="lv-LV"/>
              </w:rPr>
            </w:pPr>
            <w:r w:rsidRPr="004544EF">
              <w:rPr>
                <w:b/>
                <w:bCs/>
                <w:color w:val="000000"/>
                <w:sz w:val="20"/>
                <w:lang w:eastAsia="lv-LV"/>
              </w:rPr>
              <w:t>6,8</w:t>
            </w:r>
          </w:p>
        </w:tc>
        <w:tc>
          <w:tcPr>
            <w:tcW w:w="1276"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right"/>
              <w:rPr>
                <w:b/>
                <w:bCs/>
                <w:color w:val="000000"/>
                <w:sz w:val="20"/>
                <w:lang w:eastAsia="lv-LV"/>
              </w:rPr>
            </w:pPr>
            <w:r w:rsidRPr="004544EF">
              <w:rPr>
                <w:b/>
                <w:bCs/>
                <w:color w:val="000000"/>
                <w:sz w:val="20"/>
                <w:lang w:eastAsia="lv-LV"/>
              </w:rPr>
              <w:t>7,3</w:t>
            </w:r>
          </w:p>
        </w:tc>
        <w:tc>
          <w:tcPr>
            <w:tcW w:w="1276"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right"/>
              <w:rPr>
                <w:b/>
                <w:bCs/>
                <w:color w:val="000000"/>
                <w:sz w:val="20"/>
                <w:lang w:eastAsia="lv-LV"/>
              </w:rPr>
            </w:pPr>
            <w:r w:rsidRPr="004544EF">
              <w:rPr>
                <w:b/>
                <w:bCs/>
                <w:color w:val="000000"/>
                <w:sz w:val="20"/>
                <w:lang w:eastAsia="lv-LV"/>
              </w:rPr>
              <w:t>8,2</w:t>
            </w:r>
          </w:p>
        </w:tc>
      </w:tr>
      <w:tr w:rsidR="00367E59" w:rsidRPr="004544EF" w:rsidTr="00826E46">
        <w:trPr>
          <w:trHeight w:val="765"/>
        </w:trPr>
        <w:tc>
          <w:tcPr>
            <w:tcW w:w="960" w:type="dxa"/>
            <w:tcBorders>
              <w:top w:val="nil"/>
              <w:left w:val="single" w:sz="4" w:space="0" w:color="auto"/>
              <w:bottom w:val="single" w:sz="4" w:space="0" w:color="auto"/>
              <w:right w:val="single" w:sz="4" w:space="0" w:color="auto"/>
            </w:tcBorders>
            <w:shd w:val="clear" w:color="000000" w:fill="F2F2F2"/>
            <w:vAlign w:val="bottom"/>
            <w:hideMark/>
          </w:tcPr>
          <w:p w:rsidR="00367E59" w:rsidRPr="004544EF" w:rsidRDefault="00367E59" w:rsidP="00826E46">
            <w:pPr>
              <w:jc w:val="left"/>
              <w:rPr>
                <w:color w:val="000000"/>
                <w:sz w:val="20"/>
                <w:lang w:eastAsia="lv-LV"/>
              </w:rPr>
            </w:pPr>
            <w:r w:rsidRPr="004544EF">
              <w:rPr>
                <w:color w:val="000000"/>
                <w:sz w:val="20"/>
                <w:lang w:eastAsia="lv-LV"/>
              </w:rPr>
              <w:t> </w:t>
            </w:r>
          </w:p>
        </w:tc>
        <w:tc>
          <w:tcPr>
            <w:tcW w:w="3997"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left"/>
              <w:rPr>
                <w:b/>
                <w:bCs/>
                <w:color w:val="000000"/>
                <w:sz w:val="20"/>
                <w:lang w:eastAsia="lv-LV"/>
              </w:rPr>
            </w:pPr>
            <w:r w:rsidRPr="004544EF">
              <w:rPr>
                <w:b/>
                <w:bCs/>
                <w:color w:val="000000"/>
                <w:sz w:val="20"/>
                <w:lang w:eastAsia="lv-LV"/>
              </w:rPr>
              <w:t>% no kopējiem valsts pamatbudžeta izdevumiem ES politiku instrumentu un pārējās ārvalstu finanšu palīdzības līdzfinansēto projektu un pasākumu īstenošanai</w:t>
            </w:r>
          </w:p>
        </w:tc>
        <w:tc>
          <w:tcPr>
            <w:tcW w:w="1275"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right"/>
              <w:rPr>
                <w:b/>
                <w:bCs/>
                <w:color w:val="000000"/>
                <w:sz w:val="20"/>
                <w:lang w:eastAsia="lv-LV"/>
              </w:rPr>
            </w:pPr>
            <w:r w:rsidRPr="004544EF">
              <w:rPr>
                <w:b/>
                <w:bCs/>
                <w:color w:val="000000"/>
                <w:sz w:val="20"/>
                <w:lang w:eastAsia="lv-LV"/>
              </w:rPr>
              <w:t>0,7%</w:t>
            </w:r>
          </w:p>
        </w:tc>
        <w:tc>
          <w:tcPr>
            <w:tcW w:w="1276"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right"/>
              <w:rPr>
                <w:b/>
                <w:bCs/>
                <w:color w:val="000000"/>
                <w:sz w:val="20"/>
                <w:lang w:eastAsia="lv-LV"/>
              </w:rPr>
            </w:pPr>
            <w:r w:rsidRPr="004544EF">
              <w:rPr>
                <w:b/>
                <w:bCs/>
                <w:color w:val="000000"/>
                <w:sz w:val="20"/>
                <w:lang w:eastAsia="lv-LV"/>
              </w:rPr>
              <w:t>0,8%</w:t>
            </w:r>
          </w:p>
        </w:tc>
        <w:tc>
          <w:tcPr>
            <w:tcW w:w="1276"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right"/>
              <w:rPr>
                <w:b/>
                <w:bCs/>
                <w:color w:val="000000"/>
                <w:sz w:val="20"/>
                <w:lang w:eastAsia="lv-LV"/>
              </w:rPr>
            </w:pPr>
            <w:r w:rsidRPr="004544EF">
              <w:rPr>
                <w:b/>
                <w:bCs/>
                <w:color w:val="000000"/>
                <w:sz w:val="20"/>
                <w:lang w:eastAsia="lv-LV"/>
              </w:rPr>
              <w:t>0,9%</w:t>
            </w:r>
          </w:p>
        </w:tc>
      </w:tr>
      <w:tr w:rsidR="00367E59" w:rsidRPr="004544EF" w:rsidTr="00826E46">
        <w:trPr>
          <w:trHeight w:val="51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67E59" w:rsidRPr="004544EF" w:rsidRDefault="00367E59" w:rsidP="00826E46">
            <w:pPr>
              <w:jc w:val="left"/>
              <w:rPr>
                <w:color w:val="000000"/>
                <w:sz w:val="20"/>
                <w:lang w:eastAsia="lv-LV"/>
              </w:rPr>
            </w:pPr>
            <w:r w:rsidRPr="004544EF">
              <w:rPr>
                <w:color w:val="000000"/>
                <w:sz w:val="20"/>
                <w:lang w:eastAsia="lv-LV"/>
              </w:rPr>
              <w:t>2231</w:t>
            </w:r>
          </w:p>
        </w:tc>
        <w:tc>
          <w:tcPr>
            <w:tcW w:w="3997"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left"/>
              <w:rPr>
                <w:color w:val="000000"/>
                <w:sz w:val="20"/>
                <w:lang w:eastAsia="lv-LV"/>
              </w:rPr>
            </w:pPr>
            <w:r w:rsidRPr="004544EF">
              <w:rPr>
                <w:color w:val="000000"/>
                <w:sz w:val="20"/>
                <w:lang w:eastAsia="lv-LV"/>
              </w:rPr>
              <w:t>Administratīvie izdevumi un sabiedriskās attiecības, kursu un semināru organizēšana</w:t>
            </w:r>
          </w:p>
        </w:tc>
        <w:tc>
          <w:tcPr>
            <w:tcW w:w="1275"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right"/>
              <w:rPr>
                <w:color w:val="000000"/>
                <w:sz w:val="20"/>
                <w:lang w:eastAsia="lv-LV"/>
              </w:rPr>
            </w:pPr>
            <w:r w:rsidRPr="004544EF">
              <w:rPr>
                <w:color w:val="000000"/>
                <w:sz w:val="20"/>
                <w:lang w:eastAsia="lv-LV"/>
              </w:rPr>
              <w:t>5,4</w:t>
            </w:r>
          </w:p>
        </w:tc>
        <w:tc>
          <w:tcPr>
            <w:tcW w:w="1276"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right"/>
              <w:rPr>
                <w:color w:val="000000"/>
                <w:sz w:val="20"/>
                <w:lang w:eastAsia="lv-LV"/>
              </w:rPr>
            </w:pPr>
            <w:r w:rsidRPr="004544EF">
              <w:rPr>
                <w:color w:val="000000"/>
                <w:sz w:val="20"/>
                <w:lang w:eastAsia="lv-LV"/>
              </w:rPr>
              <w:t>5,4</w:t>
            </w:r>
          </w:p>
        </w:tc>
        <w:tc>
          <w:tcPr>
            <w:tcW w:w="1276"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right"/>
              <w:rPr>
                <w:color w:val="000000"/>
                <w:sz w:val="20"/>
                <w:lang w:eastAsia="lv-LV"/>
              </w:rPr>
            </w:pPr>
            <w:r w:rsidRPr="004544EF">
              <w:rPr>
                <w:color w:val="000000"/>
                <w:sz w:val="20"/>
                <w:lang w:eastAsia="lv-LV"/>
              </w:rPr>
              <w:t>5,4</w:t>
            </w:r>
          </w:p>
        </w:tc>
      </w:tr>
      <w:tr w:rsidR="00367E59" w:rsidRPr="004544EF" w:rsidTr="00826E46">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67E59" w:rsidRPr="004544EF" w:rsidRDefault="00367E59" w:rsidP="00826E46">
            <w:pPr>
              <w:jc w:val="left"/>
              <w:rPr>
                <w:color w:val="000000"/>
                <w:sz w:val="20"/>
                <w:lang w:eastAsia="lv-LV"/>
              </w:rPr>
            </w:pPr>
            <w:r w:rsidRPr="004544EF">
              <w:rPr>
                <w:color w:val="000000"/>
                <w:sz w:val="20"/>
                <w:lang w:eastAsia="lv-LV"/>
              </w:rPr>
              <w:t>2239</w:t>
            </w:r>
          </w:p>
        </w:tc>
        <w:tc>
          <w:tcPr>
            <w:tcW w:w="3997"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left"/>
              <w:rPr>
                <w:color w:val="000000"/>
                <w:sz w:val="20"/>
                <w:lang w:eastAsia="lv-LV"/>
              </w:rPr>
            </w:pPr>
            <w:r w:rsidRPr="004544EF">
              <w:rPr>
                <w:color w:val="000000"/>
                <w:sz w:val="20"/>
                <w:lang w:eastAsia="lv-LV"/>
              </w:rPr>
              <w:t>Pārējie iestādes administratīvie izdevumi</w:t>
            </w:r>
          </w:p>
        </w:tc>
        <w:tc>
          <w:tcPr>
            <w:tcW w:w="1275"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right"/>
              <w:rPr>
                <w:color w:val="000000"/>
                <w:sz w:val="20"/>
                <w:lang w:eastAsia="lv-LV"/>
              </w:rPr>
            </w:pPr>
            <w:r w:rsidRPr="004544EF">
              <w:rPr>
                <w:color w:val="000000"/>
                <w:sz w:val="20"/>
                <w:lang w:eastAsia="lv-LV"/>
              </w:rPr>
              <w:t>1,4</w:t>
            </w:r>
          </w:p>
        </w:tc>
        <w:tc>
          <w:tcPr>
            <w:tcW w:w="1276"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right"/>
              <w:rPr>
                <w:color w:val="000000"/>
                <w:sz w:val="20"/>
                <w:lang w:eastAsia="lv-LV"/>
              </w:rPr>
            </w:pPr>
            <w:r w:rsidRPr="004544EF">
              <w:rPr>
                <w:color w:val="000000"/>
                <w:sz w:val="20"/>
                <w:lang w:eastAsia="lv-LV"/>
              </w:rPr>
              <w:t>1,9</w:t>
            </w:r>
          </w:p>
        </w:tc>
        <w:tc>
          <w:tcPr>
            <w:tcW w:w="1276"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right"/>
              <w:rPr>
                <w:color w:val="000000"/>
                <w:sz w:val="20"/>
                <w:lang w:eastAsia="lv-LV"/>
              </w:rPr>
            </w:pPr>
            <w:r w:rsidRPr="004544EF">
              <w:rPr>
                <w:color w:val="000000"/>
                <w:sz w:val="20"/>
                <w:lang w:eastAsia="lv-LV"/>
              </w:rPr>
              <w:t>2,8</w:t>
            </w:r>
          </w:p>
        </w:tc>
      </w:tr>
      <w:tr w:rsidR="00367E59" w:rsidRPr="004544EF" w:rsidTr="00826E46">
        <w:trPr>
          <w:trHeight w:val="255"/>
        </w:trPr>
        <w:tc>
          <w:tcPr>
            <w:tcW w:w="960" w:type="dxa"/>
            <w:tcBorders>
              <w:top w:val="nil"/>
              <w:left w:val="single" w:sz="4" w:space="0" w:color="auto"/>
              <w:bottom w:val="single" w:sz="4" w:space="0" w:color="auto"/>
              <w:right w:val="single" w:sz="4" w:space="0" w:color="auto"/>
            </w:tcBorders>
            <w:shd w:val="clear" w:color="000000" w:fill="F2F2F2"/>
            <w:vAlign w:val="bottom"/>
            <w:hideMark/>
          </w:tcPr>
          <w:p w:rsidR="00367E59" w:rsidRPr="004544EF" w:rsidRDefault="00367E59" w:rsidP="00826E46">
            <w:pPr>
              <w:jc w:val="left"/>
              <w:rPr>
                <w:color w:val="000000"/>
                <w:sz w:val="20"/>
                <w:lang w:eastAsia="lv-LV"/>
              </w:rPr>
            </w:pPr>
            <w:r w:rsidRPr="004544EF">
              <w:rPr>
                <w:color w:val="000000"/>
                <w:sz w:val="20"/>
                <w:lang w:eastAsia="lv-LV"/>
              </w:rPr>
              <w:t> </w:t>
            </w:r>
          </w:p>
        </w:tc>
        <w:tc>
          <w:tcPr>
            <w:tcW w:w="3997"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center"/>
              <w:rPr>
                <w:b/>
                <w:bCs/>
                <w:color w:val="000000"/>
                <w:sz w:val="20"/>
                <w:lang w:eastAsia="lv-LV"/>
              </w:rPr>
            </w:pPr>
            <w:r w:rsidRPr="004544EF">
              <w:rPr>
                <w:b/>
                <w:bCs/>
                <w:color w:val="000000"/>
                <w:sz w:val="20"/>
                <w:lang w:eastAsia="lv-LV"/>
              </w:rPr>
              <w:t>Valsts speciālais budžets</w:t>
            </w:r>
          </w:p>
        </w:tc>
        <w:tc>
          <w:tcPr>
            <w:tcW w:w="1275"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left"/>
              <w:rPr>
                <w:b/>
                <w:bCs/>
                <w:color w:val="000000"/>
                <w:sz w:val="20"/>
                <w:lang w:eastAsia="lv-LV"/>
              </w:rPr>
            </w:pPr>
            <w:r w:rsidRPr="004544EF">
              <w:rPr>
                <w:b/>
                <w:bCs/>
                <w:color w:val="000000"/>
                <w:sz w:val="20"/>
                <w:lang w:eastAsia="lv-LV"/>
              </w:rPr>
              <w:t> </w:t>
            </w:r>
          </w:p>
        </w:tc>
        <w:tc>
          <w:tcPr>
            <w:tcW w:w="1276"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left"/>
              <w:rPr>
                <w:b/>
                <w:bCs/>
                <w:color w:val="000000"/>
                <w:sz w:val="20"/>
                <w:lang w:eastAsia="lv-LV"/>
              </w:rPr>
            </w:pPr>
            <w:r w:rsidRPr="004544EF">
              <w:rPr>
                <w:b/>
                <w:bCs/>
                <w:color w:val="000000"/>
                <w:sz w:val="20"/>
                <w:lang w:eastAsia="lv-LV"/>
              </w:rPr>
              <w:t> </w:t>
            </w:r>
          </w:p>
        </w:tc>
        <w:tc>
          <w:tcPr>
            <w:tcW w:w="1276"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left"/>
              <w:rPr>
                <w:b/>
                <w:bCs/>
                <w:color w:val="000000"/>
                <w:sz w:val="20"/>
                <w:lang w:eastAsia="lv-LV"/>
              </w:rPr>
            </w:pPr>
            <w:r w:rsidRPr="004544EF">
              <w:rPr>
                <w:b/>
                <w:bCs/>
                <w:color w:val="000000"/>
                <w:sz w:val="20"/>
                <w:lang w:eastAsia="lv-LV"/>
              </w:rPr>
              <w:t> </w:t>
            </w:r>
          </w:p>
        </w:tc>
      </w:tr>
      <w:tr w:rsidR="00367E59" w:rsidRPr="004544EF" w:rsidTr="00826E46">
        <w:trPr>
          <w:trHeight w:val="255"/>
        </w:trPr>
        <w:tc>
          <w:tcPr>
            <w:tcW w:w="960" w:type="dxa"/>
            <w:tcBorders>
              <w:top w:val="nil"/>
              <w:left w:val="single" w:sz="4" w:space="0" w:color="auto"/>
              <w:bottom w:val="single" w:sz="4" w:space="0" w:color="auto"/>
              <w:right w:val="single" w:sz="4" w:space="0" w:color="auto"/>
            </w:tcBorders>
            <w:shd w:val="clear" w:color="000000" w:fill="F2F2F2"/>
            <w:vAlign w:val="bottom"/>
            <w:hideMark/>
          </w:tcPr>
          <w:p w:rsidR="00367E59" w:rsidRPr="004544EF" w:rsidRDefault="00367E59" w:rsidP="00826E46">
            <w:pPr>
              <w:jc w:val="left"/>
              <w:rPr>
                <w:color w:val="000000"/>
                <w:sz w:val="20"/>
                <w:lang w:eastAsia="lv-LV"/>
              </w:rPr>
            </w:pPr>
            <w:r w:rsidRPr="004544EF">
              <w:rPr>
                <w:color w:val="000000"/>
                <w:sz w:val="20"/>
                <w:lang w:eastAsia="lv-LV"/>
              </w:rPr>
              <w:t> </w:t>
            </w:r>
          </w:p>
        </w:tc>
        <w:tc>
          <w:tcPr>
            <w:tcW w:w="3997"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center"/>
              <w:rPr>
                <w:b/>
                <w:bCs/>
                <w:color w:val="000000"/>
                <w:sz w:val="20"/>
                <w:lang w:eastAsia="lv-LV"/>
              </w:rPr>
            </w:pPr>
            <w:r w:rsidRPr="004544EF">
              <w:rPr>
                <w:b/>
                <w:bCs/>
                <w:color w:val="000000"/>
                <w:sz w:val="20"/>
                <w:lang w:eastAsia="lv-LV"/>
              </w:rPr>
              <w:t>Izdevumi – kopā</w:t>
            </w:r>
          </w:p>
        </w:tc>
        <w:tc>
          <w:tcPr>
            <w:tcW w:w="1275"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right"/>
              <w:rPr>
                <w:b/>
                <w:bCs/>
                <w:color w:val="000000"/>
                <w:sz w:val="20"/>
                <w:lang w:eastAsia="lv-LV"/>
              </w:rPr>
            </w:pPr>
            <w:r w:rsidRPr="004544EF">
              <w:rPr>
                <w:b/>
                <w:bCs/>
                <w:color w:val="000000"/>
                <w:sz w:val="20"/>
                <w:lang w:eastAsia="lv-LV"/>
              </w:rPr>
              <w:t>1 379,7</w:t>
            </w:r>
          </w:p>
        </w:tc>
        <w:tc>
          <w:tcPr>
            <w:tcW w:w="1276"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right"/>
              <w:rPr>
                <w:b/>
                <w:bCs/>
                <w:color w:val="000000"/>
                <w:sz w:val="20"/>
                <w:lang w:eastAsia="lv-LV"/>
              </w:rPr>
            </w:pPr>
            <w:r w:rsidRPr="004544EF">
              <w:rPr>
                <w:b/>
                <w:bCs/>
                <w:color w:val="000000"/>
                <w:sz w:val="20"/>
                <w:lang w:eastAsia="lv-LV"/>
              </w:rPr>
              <w:t>1 402,2</w:t>
            </w:r>
          </w:p>
        </w:tc>
        <w:tc>
          <w:tcPr>
            <w:tcW w:w="1276"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right"/>
              <w:rPr>
                <w:b/>
                <w:bCs/>
                <w:color w:val="000000"/>
                <w:sz w:val="20"/>
                <w:lang w:eastAsia="lv-LV"/>
              </w:rPr>
            </w:pPr>
            <w:r w:rsidRPr="004544EF">
              <w:rPr>
                <w:b/>
                <w:bCs/>
                <w:color w:val="000000"/>
                <w:sz w:val="20"/>
                <w:lang w:eastAsia="lv-LV"/>
              </w:rPr>
              <w:t>1 471,8</w:t>
            </w:r>
          </w:p>
        </w:tc>
      </w:tr>
      <w:tr w:rsidR="00367E59" w:rsidRPr="004544EF" w:rsidTr="00826E46">
        <w:trPr>
          <w:trHeight w:val="255"/>
        </w:trPr>
        <w:tc>
          <w:tcPr>
            <w:tcW w:w="960" w:type="dxa"/>
            <w:tcBorders>
              <w:top w:val="nil"/>
              <w:left w:val="single" w:sz="4" w:space="0" w:color="auto"/>
              <w:bottom w:val="single" w:sz="4" w:space="0" w:color="auto"/>
              <w:right w:val="single" w:sz="4" w:space="0" w:color="auto"/>
            </w:tcBorders>
            <w:shd w:val="clear" w:color="000000" w:fill="F2F2F2"/>
            <w:vAlign w:val="bottom"/>
            <w:hideMark/>
          </w:tcPr>
          <w:p w:rsidR="00367E59" w:rsidRPr="004544EF" w:rsidRDefault="00367E59" w:rsidP="00826E46">
            <w:pPr>
              <w:jc w:val="left"/>
              <w:rPr>
                <w:color w:val="000000"/>
                <w:sz w:val="20"/>
                <w:lang w:eastAsia="lv-LV"/>
              </w:rPr>
            </w:pPr>
            <w:r w:rsidRPr="004544EF">
              <w:rPr>
                <w:color w:val="000000"/>
                <w:sz w:val="20"/>
                <w:lang w:eastAsia="lv-LV"/>
              </w:rPr>
              <w:t> </w:t>
            </w:r>
          </w:p>
        </w:tc>
        <w:tc>
          <w:tcPr>
            <w:tcW w:w="3997"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center"/>
              <w:rPr>
                <w:b/>
                <w:bCs/>
                <w:color w:val="000000"/>
                <w:sz w:val="20"/>
                <w:lang w:eastAsia="lv-LV"/>
              </w:rPr>
            </w:pPr>
            <w:r w:rsidRPr="004544EF">
              <w:rPr>
                <w:b/>
                <w:bCs/>
                <w:color w:val="000000"/>
                <w:sz w:val="20"/>
                <w:lang w:eastAsia="lv-LV"/>
              </w:rPr>
              <w:t xml:space="preserve">tajā skaitā administratīvie izdevumi </w:t>
            </w:r>
          </w:p>
        </w:tc>
        <w:tc>
          <w:tcPr>
            <w:tcW w:w="1275"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right"/>
              <w:rPr>
                <w:b/>
                <w:bCs/>
                <w:color w:val="000000"/>
                <w:sz w:val="20"/>
                <w:lang w:eastAsia="lv-LV"/>
              </w:rPr>
            </w:pPr>
            <w:r w:rsidRPr="004544EF">
              <w:rPr>
                <w:b/>
                <w:bCs/>
                <w:color w:val="000000"/>
                <w:sz w:val="20"/>
                <w:lang w:eastAsia="lv-LV"/>
              </w:rPr>
              <w:t>0,013</w:t>
            </w:r>
          </w:p>
        </w:tc>
        <w:tc>
          <w:tcPr>
            <w:tcW w:w="1276"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right"/>
              <w:rPr>
                <w:b/>
                <w:bCs/>
                <w:color w:val="000000"/>
                <w:sz w:val="20"/>
                <w:lang w:eastAsia="lv-LV"/>
              </w:rPr>
            </w:pPr>
            <w:r w:rsidRPr="004544EF">
              <w:rPr>
                <w:b/>
                <w:bCs/>
                <w:color w:val="000000"/>
                <w:sz w:val="20"/>
                <w:lang w:eastAsia="lv-LV"/>
              </w:rPr>
              <w:t>0,060</w:t>
            </w:r>
          </w:p>
        </w:tc>
        <w:tc>
          <w:tcPr>
            <w:tcW w:w="1276"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right"/>
              <w:rPr>
                <w:b/>
                <w:bCs/>
                <w:color w:val="000000"/>
                <w:sz w:val="20"/>
                <w:lang w:eastAsia="lv-LV"/>
              </w:rPr>
            </w:pPr>
            <w:r w:rsidRPr="004544EF">
              <w:rPr>
                <w:b/>
                <w:bCs/>
                <w:color w:val="000000"/>
                <w:sz w:val="20"/>
                <w:lang w:eastAsia="lv-LV"/>
              </w:rPr>
              <w:t>0,065</w:t>
            </w:r>
          </w:p>
        </w:tc>
      </w:tr>
      <w:tr w:rsidR="00367E59" w:rsidRPr="004544EF" w:rsidTr="00826E46">
        <w:trPr>
          <w:trHeight w:val="255"/>
        </w:trPr>
        <w:tc>
          <w:tcPr>
            <w:tcW w:w="960" w:type="dxa"/>
            <w:tcBorders>
              <w:top w:val="nil"/>
              <w:left w:val="single" w:sz="4" w:space="0" w:color="auto"/>
              <w:bottom w:val="single" w:sz="4" w:space="0" w:color="auto"/>
              <w:right w:val="single" w:sz="4" w:space="0" w:color="auto"/>
            </w:tcBorders>
            <w:shd w:val="clear" w:color="000000" w:fill="F2F2F2"/>
            <w:vAlign w:val="bottom"/>
            <w:hideMark/>
          </w:tcPr>
          <w:p w:rsidR="00367E59" w:rsidRPr="004544EF" w:rsidRDefault="00367E59" w:rsidP="00826E46">
            <w:pPr>
              <w:jc w:val="left"/>
              <w:rPr>
                <w:color w:val="000000"/>
                <w:sz w:val="20"/>
                <w:lang w:eastAsia="lv-LV"/>
              </w:rPr>
            </w:pPr>
            <w:r w:rsidRPr="004544EF">
              <w:rPr>
                <w:color w:val="000000"/>
                <w:sz w:val="20"/>
                <w:lang w:eastAsia="lv-LV"/>
              </w:rPr>
              <w:t> </w:t>
            </w:r>
          </w:p>
        </w:tc>
        <w:tc>
          <w:tcPr>
            <w:tcW w:w="3997"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center"/>
              <w:rPr>
                <w:b/>
                <w:bCs/>
                <w:color w:val="000000"/>
                <w:sz w:val="20"/>
                <w:lang w:eastAsia="lv-LV"/>
              </w:rPr>
            </w:pPr>
            <w:r w:rsidRPr="004544EF">
              <w:rPr>
                <w:b/>
                <w:bCs/>
                <w:color w:val="000000"/>
                <w:sz w:val="20"/>
                <w:lang w:eastAsia="lv-LV"/>
              </w:rPr>
              <w:t>% no kopējiem valsts speciālā budžeta izdevumiem</w:t>
            </w:r>
          </w:p>
        </w:tc>
        <w:tc>
          <w:tcPr>
            <w:tcW w:w="1275"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right"/>
              <w:rPr>
                <w:b/>
                <w:bCs/>
                <w:color w:val="000000"/>
                <w:sz w:val="20"/>
                <w:lang w:eastAsia="lv-LV"/>
              </w:rPr>
            </w:pPr>
            <w:r w:rsidRPr="004544EF">
              <w:rPr>
                <w:b/>
                <w:bCs/>
                <w:color w:val="000000"/>
                <w:sz w:val="20"/>
                <w:lang w:eastAsia="lv-LV"/>
              </w:rPr>
              <w:t>0,001%</w:t>
            </w:r>
          </w:p>
        </w:tc>
        <w:tc>
          <w:tcPr>
            <w:tcW w:w="1276"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right"/>
              <w:rPr>
                <w:b/>
                <w:bCs/>
                <w:color w:val="000000"/>
                <w:sz w:val="20"/>
                <w:lang w:eastAsia="lv-LV"/>
              </w:rPr>
            </w:pPr>
            <w:r w:rsidRPr="004544EF">
              <w:rPr>
                <w:b/>
                <w:bCs/>
                <w:color w:val="000000"/>
                <w:sz w:val="20"/>
                <w:lang w:eastAsia="lv-LV"/>
              </w:rPr>
              <w:t>0,004%</w:t>
            </w:r>
          </w:p>
        </w:tc>
        <w:tc>
          <w:tcPr>
            <w:tcW w:w="1276" w:type="dxa"/>
            <w:tcBorders>
              <w:top w:val="nil"/>
              <w:left w:val="nil"/>
              <w:bottom w:val="single" w:sz="4" w:space="0" w:color="auto"/>
              <w:right w:val="single" w:sz="4" w:space="0" w:color="auto"/>
            </w:tcBorders>
            <w:shd w:val="clear" w:color="000000" w:fill="F2F2F2"/>
            <w:vAlign w:val="bottom"/>
            <w:hideMark/>
          </w:tcPr>
          <w:p w:rsidR="00367E59" w:rsidRPr="004544EF" w:rsidRDefault="00367E59" w:rsidP="00826E46">
            <w:pPr>
              <w:jc w:val="right"/>
              <w:rPr>
                <w:b/>
                <w:bCs/>
                <w:color w:val="000000"/>
                <w:sz w:val="20"/>
                <w:lang w:eastAsia="lv-LV"/>
              </w:rPr>
            </w:pPr>
            <w:r w:rsidRPr="004544EF">
              <w:rPr>
                <w:b/>
                <w:bCs/>
                <w:color w:val="000000"/>
                <w:sz w:val="20"/>
                <w:lang w:eastAsia="lv-LV"/>
              </w:rPr>
              <w:t>0,004%</w:t>
            </w:r>
          </w:p>
        </w:tc>
      </w:tr>
      <w:tr w:rsidR="00367E59" w:rsidRPr="004544EF" w:rsidTr="00826E46">
        <w:trPr>
          <w:trHeight w:val="51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67E59" w:rsidRPr="004544EF" w:rsidRDefault="00367E59" w:rsidP="00826E46">
            <w:pPr>
              <w:jc w:val="left"/>
              <w:rPr>
                <w:color w:val="000000"/>
                <w:sz w:val="20"/>
                <w:lang w:eastAsia="lv-LV"/>
              </w:rPr>
            </w:pPr>
            <w:r w:rsidRPr="004544EF">
              <w:rPr>
                <w:color w:val="000000"/>
                <w:sz w:val="20"/>
                <w:lang w:eastAsia="lv-LV"/>
              </w:rPr>
              <w:t>2231</w:t>
            </w:r>
          </w:p>
        </w:tc>
        <w:tc>
          <w:tcPr>
            <w:tcW w:w="3997"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left"/>
              <w:rPr>
                <w:color w:val="000000"/>
                <w:sz w:val="20"/>
                <w:lang w:eastAsia="lv-LV"/>
              </w:rPr>
            </w:pPr>
            <w:r w:rsidRPr="004544EF">
              <w:rPr>
                <w:color w:val="000000"/>
                <w:sz w:val="20"/>
                <w:lang w:eastAsia="lv-LV"/>
              </w:rPr>
              <w:t>Administratīvie izdevumi un sabiedriskās attiecības, kursu un semināru organizēšana</w:t>
            </w:r>
          </w:p>
        </w:tc>
        <w:tc>
          <w:tcPr>
            <w:tcW w:w="1275"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left"/>
              <w:rPr>
                <w:color w:val="000000"/>
                <w:sz w:val="20"/>
                <w:lang w:eastAsia="lv-LV"/>
              </w:rPr>
            </w:pPr>
            <w:r w:rsidRPr="004544EF">
              <w:rPr>
                <w:color w:val="000000"/>
                <w:sz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right"/>
              <w:rPr>
                <w:color w:val="000000"/>
                <w:sz w:val="20"/>
                <w:lang w:eastAsia="lv-LV"/>
              </w:rPr>
            </w:pPr>
            <w:r w:rsidRPr="004544EF">
              <w:rPr>
                <w:color w:val="000000"/>
                <w:sz w:val="20"/>
                <w:lang w:eastAsia="lv-LV"/>
              </w:rPr>
              <w:t>0,000</w:t>
            </w:r>
            <w:r w:rsidR="003B2200" w:rsidRPr="004544EF">
              <w:rPr>
                <w:color w:val="000000"/>
                <w:sz w:val="20"/>
                <w:lang w:eastAsia="lv-LV"/>
              </w:rPr>
              <w:t>1</w:t>
            </w:r>
          </w:p>
        </w:tc>
        <w:tc>
          <w:tcPr>
            <w:tcW w:w="1276"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right"/>
              <w:rPr>
                <w:color w:val="000000"/>
                <w:sz w:val="20"/>
                <w:lang w:eastAsia="lv-LV"/>
              </w:rPr>
            </w:pPr>
          </w:p>
        </w:tc>
      </w:tr>
      <w:tr w:rsidR="00367E59" w:rsidRPr="004544EF" w:rsidTr="00826E46">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67E59" w:rsidRPr="004544EF" w:rsidRDefault="00367E59" w:rsidP="00826E46">
            <w:pPr>
              <w:jc w:val="left"/>
              <w:rPr>
                <w:color w:val="000000"/>
                <w:sz w:val="20"/>
                <w:lang w:eastAsia="lv-LV"/>
              </w:rPr>
            </w:pPr>
            <w:r w:rsidRPr="004544EF">
              <w:rPr>
                <w:color w:val="000000"/>
                <w:sz w:val="20"/>
                <w:lang w:eastAsia="lv-LV"/>
              </w:rPr>
              <w:t>2239</w:t>
            </w:r>
          </w:p>
        </w:tc>
        <w:tc>
          <w:tcPr>
            <w:tcW w:w="3997"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left"/>
              <w:rPr>
                <w:color w:val="000000"/>
                <w:sz w:val="20"/>
                <w:lang w:eastAsia="lv-LV"/>
              </w:rPr>
            </w:pPr>
            <w:r w:rsidRPr="004544EF">
              <w:rPr>
                <w:color w:val="000000"/>
                <w:sz w:val="20"/>
                <w:lang w:eastAsia="lv-LV"/>
              </w:rPr>
              <w:t>Pārējie iestādes administratīvie izdevumi</w:t>
            </w:r>
          </w:p>
        </w:tc>
        <w:tc>
          <w:tcPr>
            <w:tcW w:w="1275"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right"/>
              <w:rPr>
                <w:color w:val="000000"/>
                <w:sz w:val="20"/>
                <w:lang w:eastAsia="lv-LV"/>
              </w:rPr>
            </w:pPr>
            <w:r w:rsidRPr="004544EF">
              <w:rPr>
                <w:color w:val="000000"/>
                <w:sz w:val="20"/>
                <w:lang w:eastAsia="lv-LV"/>
              </w:rPr>
              <w:t>0,013</w:t>
            </w:r>
          </w:p>
        </w:tc>
        <w:tc>
          <w:tcPr>
            <w:tcW w:w="1276"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right"/>
              <w:rPr>
                <w:color w:val="000000"/>
                <w:sz w:val="20"/>
                <w:lang w:eastAsia="lv-LV"/>
              </w:rPr>
            </w:pPr>
            <w:r w:rsidRPr="004544EF">
              <w:rPr>
                <w:color w:val="000000"/>
                <w:sz w:val="20"/>
                <w:lang w:eastAsia="lv-LV"/>
              </w:rPr>
              <w:t>0,060</w:t>
            </w:r>
          </w:p>
        </w:tc>
        <w:tc>
          <w:tcPr>
            <w:tcW w:w="1276"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right"/>
              <w:rPr>
                <w:color w:val="000000"/>
                <w:sz w:val="20"/>
                <w:lang w:eastAsia="lv-LV"/>
              </w:rPr>
            </w:pPr>
            <w:r w:rsidRPr="004544EF">
              <w:rPr>
                <w:color w:val="000000"/>
                <w:sz w:val="20"/>
                <w:lang w:eastAsia="lv-LV"/>
              </w:rPr>
              <w:t>0,065</w:t>
            </w:r>
          </w:p>
        </w:tc>
      </w:tr>
      <w:tr w:rsidR="00367E59" w:rsidRPr="004544EF" w:rsidTr="00826E46">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67E59" w:rsidRPr="004544EF" w:rsidRDefault="00367E59" w:rsidP="00826E46">
            <w:pPr>
              <w:jc w:val="left"/>
              <w:rPr>
                <w:color w:val="000000"/>
                <w:sz w:val="20"/>
                <w:lang w:eastAsia="lv-LV"/>
              </w:rPr>
            </w:pPr>
            <w:r w:rsidRPr="004544EF">
              <w:rPr>
                <w:color w:val="000000"/>
                <w:sz w:val="20"/>
                <w:lang w:eastAsia="lv-LV"/>
              </w:rPr>
              <w:t> </w:t>
            </w:r>
          </w:p>
        </w:tc>
        <w:tc>
          <w:tcPr>
            <w:tcW w:w="3997"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left"/>
              <w:rPr>
                <w:b/>
                <w:bCs/>
                <w:color w:val="000000"/>
                <w:sz w:val="20"/>
                <w:lang w:eastAsia="lv-LV"/>
              </w:rPr>
            </w:pPr>
            <w:r w:rsidRPr="004544EF">
              <w:rPr>
                <w:b/>
                <w:bCs/>
                <w:color w:val="000000"/>
                <w:sz w:val="20"/>
                <w:lang w:eastAsia="lv-LV"/>
              </w:rPr>
              <w:t>I. Valsts pamatfunkciju īstenošana</w:t>
            </w:r>
          </w:p>
        </w:tc>
        <w:tc>
          <w:tcPr>
            <w:tcW w:w="1275"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right"/>
              <w:rPr>
                <w:b/>
                <w:bCs/>
                <w:color w:val="000000"/>
                <w:sz w:val="20"/>
                <w:lang w:eastAsia="lv-LV"/>
              </w:rPr>
            </w:pPr>
            <w:r w:rsidRPr="004544EF">
              <w:rPr>
                <w:b/>
                <w:bCs/>
                <w:color w:val="000000"/>
                <w:sz w:val="20"/>
                <w:lang w:eastAsia="lv-LV"/>
              </w:rPr>
              <w:t>0,013</w:t>
            </w:r>
          </w:p>
        </w:tc>
        <w:tc>
          <w:tcPr>
            <w:tcW w:w="1276"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right"/>
              <w:rPr>
                <w:b/>
                <w:bCs/>
                <w:color w:val="000000"/>
                <w:sz w:val="20"/>
                <w:lang w:eastAsia="lv-LV"/>
              </w:rPr>
            </w:pPr>
            <w:r w:rsidRPr="004544EF">
              <w:rPr>
                <w:b/>
                <w:bCs/>
                <w:color w:val="000000"/>
                <w:sz w:val="20"/>
                <w:lang w:eastAsia="lv-LV"/>
              </w:rPr>
              <w:t>0,060</w:t>
            </w:r>
          </w:p>
        </w:tc>
        <w:tc>
          <w:tcPr>
            <w:tcW w:w="1276"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right"/>
              <w:rPr>
                <w:b/>
                <w:bCs/>
                <w:color w:val="000000"/>
                <w:sz w:val="20"/>
                <w:lang w:eastAsia="lv-LV"/>
              </w:rPr>
            </w:pPr>
            <w:r w:rsidRPr="004544EF">
              <w:rPr>
                <w:b/>
                <w:bCs/>
                <w:color w:val="000000"/>
                <w:sz w:val="20"/>
                <w:lang w:eastAsia="lv-LV"/>
              </w:rPr>
              <w:t>0,065</w:t>
            </w:r>
          </w:p>
        </w:tc>
      </w:tr>
      <w:tr w:rsidR="00367E59" w:rsidRPr="004544EF" w:rsidTr="00826E46">
        <w:trPr>
          <w:trHeight w:val="51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67E59" w:rsidRPr="004544EF" w:rsidRDefault="00367E59" w:rsidP="00826E46">
            <w:pPr>
              <w:jc w:val="left"/>
              <w:rPr>
                <w:color w:val="000000"/>
                <w:sz w:val="20"/>
                <w:lang w:eastAsia="lv-LV"/>
              </w:rPr>
            </w:pPr>
            <w:r w:rsidRPr="004544EF">
              <w:rPr>
                <w:color w:val="000000"/>
                <w:sz w:val="20"/>
                <w:lang w:eastAsia="lv-LV"/>
              </w:rPr>
              <w:t>2231</w:t>
            </w:r>
          </w:p>
        </w:tc>
        <w:tc>
          <w:tcPr>
            <w:tcW w:w="3997"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left"/>
              <w:rPr>
                <w:color w:val="000000"/>
                <w:sz w:val="20"/>
                <w:lang w:eastAsia="lv-LV"/>
              </w:rPr>
            </w:pPr>
            <w:r w:rsidRPr="004544EF">
              <w:rPr>
                <w:color w:val="000000"/>
                <w:sz w:val="20"/>
                <w:lang w:eastAsia="lv-LV"/>
              </w:rPr>
              <w:t>Administratīvie izdevumi un sabiedriskās attiecības, kursu un semināru organizēšana</w:t>
            </w:r>
          </w:p>
        </w:tc>
        <w:tc>
          <w:tcPr>
            <w:tcW w:w="1275"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right"/>
              <w:rPr>
                <w:color w:val="000000"/>
                <w:sz w:val="20"/>
                <w:lang w:eastAsia="lv-LV"/>
              </w:rPr>
            </w:pPr>
            <w:r w:rsidRPr="004544EF">
              <w:rPr>
                <w:color w:val="000000"/>
                <w:sz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right"/>
              <w:rPr>
                <w:color w:val="000000"/>
                <w:sz w:val="20"/>
                <w:lang w:eastAsia="lv-LV"/>
              </w:rPr>
            </w:pPr>
            <w:r w:rsidRPr="004544EF">
              <w:rPr>
                <w:color w:val="000000"/>
                <w:sz w:val="20"/>
                <w:lang w:eastAsia="lv-LV"/>
              </w:rPr>
              <w:t>0,000</w:t>
            </w:r>
            <w:r w:rsidR="003B2200" w:rsidRPr="004544EF">
              <w:rPr>
                <w:color w:val="000000"/>
                <w:sz w:val="20"/>
                <w:lang w:eastAsia="lv-LV"/>
              </w:rPr>
              <w:t>1</w:t>
            </w:r>
          </w:p>
        </w:tc>
        <w:tc>
          <w:tcPr>
            <w:tcW w:w="1276"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right"/>
              <w:rPr>
                <w:color w:val="000000"/>
                <w:sz w:val="20"/>
                <w:lang w:eastAsia="lv-LV"/>
              </w:rPr>
            </w:pPr>
          </w:p>
        </w:tc>
      </w:tr>
      <w:tr w:rsidR="00367E59" w:rsidRPr="004544EF" w:rsidTr="00826E46">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67E59" w:rsidRPr="004544EF" w:rsidRDefault="00367E59" w:rsidP="00826E46">
            <w:pPr>
              <w:jc w:val="left"/>
              <w:rPr>
                <w:color w:val="000000"/>
                <w:sz w:val="20"/>
                <w:lang w:eastAsia="lv-LV"/>
              </w:rPr>
            </w:pPr>
            <w:r w:rsidRPr="004544EF">
              <w:rPr>
                <w:color w:val="000000"/>
                <w:sz w:val="20"/>
                <w:lang w:eastAsia="lv-LV"/>
              </w:rPr>
              <w:t>2239</w:t>
            </w:r>
          </w:p>
        </w:tc>
        <w:tc>
          <w:tcPr>
            <w:tcW w:w="3997"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left"/>
              <w:rPr>
                <w:color w:val="000000"/>
                <w:sz w:val="20"/>
                <w:lang w:eastAsia="lv-LV"/>
              </w:rPr>
            </w:pPr>
            <w:r w:rsidRPr="004544EF">
              <w:rPr>
                <w:color w:val="000000"/>
                <w:sz w:val="20"/>
                <w:lang w:eastAsia="lv-LV"/>
              </w:rPr>
              <w:t>Pārējie iestādes administratīvie izdevumi</w:t>
            </w:r>
          </w:p>
        </w:tc>
        <w:tc>
          <w:tcPr>
            <w:tcW w:w="1275"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right"/>
              <w:rPr>
                <w:color w:val="000000"/>
                <w:sz w:val="20"/>
                <w:lang w:eastAsia="lv-LV"/>
              </w:rPr>
            </w:pPr>
            <w:r w:rsidRPr="004544EF">
              <w:rPr>
                <w:color w:val="000000"/>
                <w:sz w:val="20"/>
                <w:lang w:eastAsia="lv-LV"/>
              </w:rPr>
              <w:t>0,013</w:t>
            </w:r>
          </w:p>
        </w:tc>
        <w:tc>
          <w:tcPr>
            <w:tcW w:w="1276"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right"/>
              <w:rPr>
                <w:color w:val="000000"/>
                <w:sz w:val="20"/>
                <w:lang w:eastAsia="lv-LV"/>
              </w:rPr>
            </w:pPr>
            <w:r w:rsidRPr="004544EF">
              <w:rPr>
                <w:color w:val="000000"/>
                <w:sz w:val="20"/>
                <w:lang w:eastAsia="lv-LV"/>
              </w:rPr>
              <w:t>0,060</w:t>
            </w:r>
          </w:p>
        </w:tc>
        <w:tc>
          <w:tcPr>
            <w:tcW w:w="1276" w:type="dxa"/>
            <w:tcBorders>
              <w:top w:val="nil"/>
              <w:left w:val="nil"/>
              <w:bottom w:val="single" w:sz="4" w:space="0" w:color="auto"/>
              <w:right w:val="single" w:sz="4" w:space="0" w:color="auto"/>
            </w:tcBorders>
            <w:shd w:val="clear" w:color="auto" w:fill="auto"/>
            <w:vAlign w:val="bottom"/>
            <w:hideMark/>
          </w:tcPr>
          <w:p w:rsidR="00367E59" w:rsidRPr="004544EF" w:rsidRDefault="00367E59" w:rsidP="00826E46">
            <w:pPr>
              <w:jc w:val="right"/>
              <w:rPr>
                <w:color w:val="000000"/>
                <w:sz w:val="20"/>
                <w:lang w:eastAsia="lv-LV"/>
              </w:rPr>
            </w:pPr>
            <w:r w:rsidRPr="004544EF">
              <w:rPr>
                <w:color w:val="000000"/>
                <w:sz w:val="20"/>
                <w:lang w:eastAsia="lv-LV"/>
              </w:rPr>
              <w:t>0,065</w:t>
            </w:r>
          </w:p>
        </w:tc>
      </w:tr>
    </w:tbl>
    <w:p w:rsidR="00367E59" w:rsidRPr="004544EF" w:rsidRDefault="00367E59" w:rsidP="00367E59">
      <w:pPr>
        <w:spacing w:before="120" w:after="120"/>
        <w:rPr>
          <w:szCs w:val="24"/>
          <w:lang w:eastAsia="lv-LV"/>
        </w:rPr>
      </w:pPr>
    </w:p>
    <w:p w:rsidR="00E3220D" w:rsidRPr="004544EF" w:rsidRDefault="00E3220D" w:rsidP="00E13A4A">
      <w:pPr>
        <w:spacing w:before="120" w:after="120"/>
        <w:ind w:firstLine="709"/>
      </w:pPr>
      <w:r w:rsidRPr="004544EF">
        <w:rPr>
          <w:szCs w:val="24"/>
          <w:lang w:eastAsia="lv-LV"/>
        </w:rPr>
        <w:t xml:space="preserve">2011.gadā no </w:t>
      </w:r>
      <w:r w:rsidR="003819E9" w:rsidRPr="004544EF">
        <w:rPr>
          <w:szCs w:val="24"/>
          <w:lang w:eastAsia="lv-LV"/>
        </w:rPr>
        <w:t>5,</w:t>
      </w:r>
      <w:r w:rsidR="00697476" w:rsidRPr="004544EF">
        <w:rPr>
          <w:szCs w:val="24"/>
          <w:lang w:eastAsia="lv-LV"/>
        </w:rPr>
        <w:t>5</w:t>
      </w:r>
      <w:r w:rsidR="003819E9" w:rsidRPr="004544EF">
        <w:rPr>
          <w:szCs w:val="24"/>
          <w:lang w:eastAsia="lv-LV"/>
        </w:rPr>
        <w:t xml:space="preserve"> milj. latu </w:t>
      </w:r>
      <w:r w:rsidRPr="004544EF">
        <w:rPr>
          <w:szCs w:val="24"/>
          <w:lang w:eastAsia="lv-LV"/>
        </w:rPr>
        <w:t>valsts pamatfunkciju īstenošanai izlietotajiem administratīvajiem izdevumiem 2,0 milj. latu izlietoti</w:t>
      </w:r>
      <w:r w:rsidRPr="004544EF">
        <w:t xml:space="preserve"> kodā 2231 “Administratīvie izdevumi un sabiedriskās attiecības, kursu un semināru organizēšana” (turpmāk – </w:t>
      </w:r>
      <w:r w:rsidR="00DE51D2" w:rsidRPr="004544EF">
        <w:t>EKK</w:t>
      </w:r>
      <w:r w:rsidRPr="004544EF">
        <w:t xml:space="preserve"> 2231), 3,</w:t>
      </w:r>
      <w:r w:rsidR="00697476" w:rsidRPr="004544EF">
        <w:t>5</w:t>
      </w:r>
      <w:r w:rsidRPr="004544EF">
        <w:t xml:space="preserve"> milj. latu izdevumiem kodā 2239 “Pārējie iestādes administratīvie izdevumi” (turpmāk – </w:t>
      </w:r>
      <w:r w:rsidR="00DE51D2" w:rsidRPr="004544EF">
        <w:t>EKK</w:t>
      </w:r>
      <w:r w:rsidRPr="004544EF">
        <w:t xml:space="preserve"> 2239) un 0,006 milj. latu izdevumiem kodā 2278 “Iestādes iekšējo kolektīvo pasākumu organizēšanas izdevumi” (turpmāk – </w:t>
      </w:r>
      <w:r w:rsidR="00DE51D2" w:rsidRPr="004544EF">
        <w:t>EKK</w:t>
      </w:r>
      <w:r w:rsidRPr="004544EF">
        <w:t xml:space="preserve"> 2278).</w:t>
      </w:r>
    </w:p>
    <w:p w:rsidR="00697476" w:rsidRPr="004544EF" w:rsidRDefault="00697476" w:rsidP="00697476">
      <w:pPr>
        <w:spacing w:before="120" w:after="120"/>
        <w:ind w:firstLine="709"/>
      </w:pPr>
      <w:r w:rsidRPr="004544EF">
        <w:rPr>
          <w:szCs w:val="24"/>
          <w:lang w:eastAsia="lv-LV"/>
        </w:rPr>
        <w:t>2012.gadā no 6,4 milj. latu valsts pamatfunkciju īstenošanai izlietotajiem administratīvajiem izdevumiem 2,5 milj. latu izlietoti</w:t>
      </w:r>
      <w:r w:rsidRPr="004544EF">
        <w:t xml:space="preserve"> </w:t>
      </w:r>
      <w:r w:rsidR="00DE51D2" w:rsidRPr="004544EF">
        <w:t>EKK</w:t>
      </w:r>
      <w:r w:rsidRPr="004544EF">
        <w:t xml:space="preserve"> 2231, 3,8 milj. latu izdevumiem </w:t>
      </w:r>
      <w:r w:rsidR="00DE51D2" w:rsidRPr="004544EF">
        <w:t>EKK</w:t>
      </w:r>
      <w:r w:rsidRPr="004544EF">
        <w:t xml:space="preserve"> 2239 un 0,024 milj. latu izdevumiem </w:t>
      </w:r>
      <w:r w:rsidR="00DE51D2" w:rsidRPr="004544EF">
        <w:t>EKK</w:t>
      </w:r>
      <w:r w:rsidRPr="004544EF">
        <w:t xml:space="preserve"> 2278.</w:t>
      </w:r>
    </w:p>
    <w:p w:rsidR="00BA7EAD" w:rsidRPr="004544EF" w:rsidRDefault="00BA7EAD" w:rsidP="00BA7EAD">
      <w:pPr>
        <w:spacing w:before="120" w:after="120"/>
        <w:ind w:firstLine="709"/>
      </w:pPr>
      <w:r w:rsidRPr="004544EF">
        <w:rPr>
          <w:szCs w:val="24"/>
          <w:lang w:eastAsia="lv-LV"/>
        </w:rPr>
        <w:t>2013.gadā no 8,5 milj. latu valsts pamatfunkciju īstenošanai izlietotajiem administratīvajiem izdevumiem 4,1 milj. latu izlietoti</w:t>
      </w:r>
      <w:r w:rsidRPr="004544EF">
        <w:t xml:space="preserve"> </w:t>
      </w:r>
      <w:r w:rsidR="00DE51D2" w:rsidRPr="004544EF">
        <w:t>EKK</w:t>
      </w:r>
      <w:r w:rsidRPr="004544EF">
        <w:t xml:space="preserve"> 2231, 4,3 milj. latu izdevumiem </w:t>
      </w:r>
      <w:r w:rsidR="00DE51D2" w:rsidRPr="004544EF">
        <w:t>EKK</w:t>
      </w:r>
      <w:r w:rsidRPr="004544EF">
        <w:t xml:space="preserve"> 2239 un 0,043 milj. latu izdevumiem </w:t>
      </w:r>
      <w:r w:rsidR="00DE51D2" w:rsidRPr="004544EF">
        <w:t>EKK</w:t>
      </w:r>
      <w:r w:rsidRPr="004544EF">
        <w:t xml:space="preserve"> 2278.</w:t>
      </w:r>
    </w:p>
    <w:p w:rsidR="00153BC1" w:rsidRPr="004544EF" w:rsidRDefault="00153BC1" w:rsidP="00153BC1">
      <w:pPr>
        <w:spacing w:before="120" w:after="120"/>
      </w:pPr>
    </w:p>
    <w:p w:rsidR="00E13A4A" w:rsidRPr="004544EF" w:rsidRDefault="00E13A4A" w:rsidP="00A2408D">
      <w:pPr>
        <w:spacing w:before="120" w:after="120"/>
        <w:ind w:firstLine="709"/>
        <w:rPr>
          <w:i/>
          <w:szCs w:val="24"/>
          <w:lang w:eastAsia="lv-LV"/>
        </w:rPr>
      </w:pPr>
      <w:r w:rsidRPr="004544EF">
        <w:rPr>
          <w:i/>
          <w:szCs w:val="24"/>
          <w:lang w:eastAsia="lv-LV"/>
        </w:rPr>
        <w:t>2. Kādi publiskā sektora normatīvie akti pieļauj administratīvo, reprezentācijas un kolektīvo pasākumu organizēšanas izdevumu veikšanu no valsts budžeta līdzekļiem?</w:t>
      </w:r>
    </w:p>
    <w:p w:rsidR="00E41423" w:rsidRPr="004544EF" w:rsidRDefault="00882704" w:rsidP="00A2408D">
      <w:pPr>
        <w:pStyle w:val="naisf"/>
        <w:spacing w:before="120" w:beforeAutospacing="0" w:after="120" w:afterAutospacing="0"/>
        <w:ind w:firstLine="709"/>
        <w:jc w:val="both"/>
      </w:pPr>
      <w:r w:rsidRPr="004544EF">
        <w:tab/>
      </w:r>
      <w:r w:rsidR="00E41423" w:rsidRPr="004544EF">
        <w:t xml:space="preserve">Administratīvo izdevumu veikšana ir iestādes darbības nodrošināšanas neatņemama sastāvdaļa. Plānojot un izlietojot valsts budžeta līdzekļus, valsts budžeta iestādēm ir jāievēro Publiskas personas finanšu līdzekļu un mantas izšķērdēšanas novēršanas likuma 3.panta 1.punktā noteiktās prasības, lai nodrošinātu valsts budžeta līdzekļu lietderīgu izmantošanu, </w:t>
      </w:r>
      <w:r w:rsidR="00E41423" w:rsidRPr="004544EF">
        <w:lastRenderedPageBreak/>
        <w:t xml:space="preserve">mērķi sasniedzot ar iespējami mazāku finansējuma izlietojumu. Savukārt Likums par budžetu un finanšu vadību nosaka, ka vadītāji ir atbildīgi par šajā likumā noteiktās kārtības un prasību ievērošanu, izpildi un kontroli, kā arī par budžeta līdzekļu efektīvu un ekonomisku izlietošanu atbilstoši paredzētajiem mērķiem.  </w:t>
      </w:r>
    </w:p>
    <w:p w:rsidR="00E41423" w:rsidRPr="004544EF" w:rsidRDefault="00E41423" w:rsidP="00A2408D">
      <w:pPr>
        <w:widowControl w:val="0"/>
        <w:spacing w:before="120" w:after="120"/>
        <w:ind w:firstLine="709"/>
        <w:rPr>
          <w:szCs w:val="24"/>
        </w:rPr>
      </w:pPr>
      <w:r w:rsidRPr="004544EF">
        <w:rPr>
          <w:szCs w:val="24"/>
        </w:rPr>
        <w:t>Tāpat valsts budžeta iestādes, organizējot saimnieciski administratīvo darbību, šobrīd vadās no</w:t>
      </w:r>
      <w:r w:rsidR="00D85986" w:rsidRPr="004544EF">
        <w:rPr>
          <w:szCs w:val="24"/>
        </w:rPr>
        <w:t xml:space="preserve"> vispārīgajām tiesību normām, tajā skaitā</w:t>
      </w:r>
      <w:r w:rsidRPr="004544EF">
        <w:rPr>
          <w:szCs w:val="24"/>
        </w:rPr>
        <w:t xml:space="preserve"> Administratīvā procesa likumā ietvertā tiesību normu saprātīgas piemērošanas principa, Valsts pārvaldes iekārtas likumā ietvertajiem pamatprincipiem, kurus cita starpā piemēro arī pārbaudot iestāžu un amatpersonu rīcības tiesiskumu un lietderību. </w:t>
      </w:r>
    </w:p>
    <w:p w:rsidR="00E41423" w:rsidRPr="004544EF" w:rsidRDefault="00E41423" w:rsidP="00A2408D">
      <w:pPr>
        <w:widowControl w:val="0"/>
        <w:spacing w:before="120" w:after="120"/>
        <w:ind w:firstLine="709"/>
      </w:pPr>
      <w:r w:rsidRPr="004544EF">
        <w:rPr>
          <w:szCs w:val="24"/>
        </w:rPr>
        <w:t>Lai finansētu reprezentācijas pasākumus, valsts budžeta iestādēs pamatā ir izstrādāti iekšējie noteikumi, kas nosaka kārtību pasākumu plānošanai, reprezentācijas izdevumu veidus un to pieļaujamos apjomus, ņ</w:t>
      </w:r>
      <w:r w:rsidRPr="004544EF">
        <w:t xml:space="preserve">emot vērā reprezentācijas izdevumu pozīciju daudzveidību un iestāžu atšķirīgas darbības sfēras un vides.  </w:t>
      </w:r>
    </w:p>
    <w:p w:rsidR="00D85986" w:rsidRPr="004544EF" w:rsidRDefault="00D85986" w:rsidP="00A2408D">
      <w:pPr>
        <w:spacing w:before="120" w:after="120"/>
        <w:ind w:firstLine="709"/>
        <w:rPr>
          <w:bCs/>
          <w:szCs w:val="24"/>
        </w:rPr>
      </w:pPr>
      <w:r w:rsidRPr="004544EF">
        <w:rPr>
          <w:szCs w:val="24"/>
        </w:rPr>
        <w:t xml:space="preserve">Kā kolektīvie pasākumi tiek uzskaitīti arī iestāžu organizētie sporta pasākumi. </w:t>
      </w:r>
      <w:r w:rsidR="00D34CBC" w:rsidRPr="004544EF">
        <w:rPr>
          <w:szCs w:val="24"/>
        </w:rPr>
        <w:t>Piemēram, s</w:t>
      </w:r>
      <w:r w:rsidRPr="004544EF">
        <w:rPr>
          <w:szCs w:val="24"/>
        </w:rPr>
        <w:t xml:space="preserve">askaņā ar </w:t>
      </w:r>
      <w:proofErr w:type="spellStart"/>
      <w:r w:rsidRPr="004544EF">
        <w:rPr>
          <w:szCs w:val="24"/>
        </w:rPr>
        <w:t>Iekšlietu</w:t>
      </w:r>
      <w:proofErr w:type="spellEnd"/>
      <w:r w:rsidRPr="004544EF">
        <w:rPr>
          <w:szCs w:val="24"/>
        </w:rPr>
        <w:t xml:space="preserve"> ministrijas sistēmas iestāžu un Ieslodzījuma vietu pārvaldes amatpersonu ar speciālajām dienesta pakāpēm dienesta gaitas likuma 4.panta otro punktu dienestā var atrasties tikai tās personas, kuru fiziskā sagatavotība atbilst Ministru kabineta noteiktajām prasībām. Atbilstošās fiziskās sagatavotības prasības noteiktas Ministru kabineta 2013.gada 28.maija noteikumos Nr.288 „Fiziskās sagatavotības prasības </w:t>
      </w:r>
      <w:proofErr w:type="spellStart"/>
      <w:r w:rsidRPr="004544EF">
        <w:rPr>
          <w:szCs w:val="24"/>
        </w:rPr>
        <w:t>Iekšlietu</w:t>
      </w:r>
      <w:proofErr w:type="spellEnd"/>
      <w:r w:rsidRPr="004544EF">
        <w:rPr>
          <w:szCs w:val="24"/>
        </w:rPr>
        <w:t xml:space="preserve"> ministrijas sistēmas iestāžu un Ieslodzījuma vietu pārvaldes amatpersonām ar speciālajām dienesta pakāpēm”. Bez tam, atbilstoši Ministru kabineta 2010.gada 5.oktobra noteikumu Nr.943 „</w:t>
      </w:r>
      <w:proofErr w:type="spellStart"/>
      <w:r w:rsidRPr="004544EF">
        <w:rPr>
          <w:szCs w:val="24"/>
        </w:rPr>
        <w:t>Iekšlietu</w:t>
      </w:r>
      <w:proofErr w:type="spellEnd"/>
      <w:r w:rsidRPr="004544EF">
        <w:rPr>
          <w:szCs w:val="24"/>
        </w:rPr>
        <w:t xml:space="preserve"> ministrijas veselības un sporta centra nolikums” 2.5.apakšpunktam </w:t>
      </w:r>
      <w:proofErr w:type="spellStart"/>
      <w:r w:rsidRPr="004544EF">
        <w:rPr>
          <w:szCs w:val="24"/>
        </w:rPr>
        <w:t>Iekšlietu</w:t>
      </w:r>
      <w:proofErr w:type="spellEnd"/>
      <w:r w:rsidRPr="004544EF">
        <w:rPr>
          <w:szCs w:val="24"/>
        </w:rPr>
        <w:t xml:space="preserve"> ministrijas veselības un sporta centra (turpmāk – Centrs) funkcija ir veicināt </w:t>
      </w:r>
      <w:proofErr w:type="spellStart"/>
      <w:r w:rsidRPr="004544EF">
        <w:rPr>
          <w:szCs w:val="24"/>
        </w:rPr>
        <w:t>Iekšlietu</w:t>
      </w:r>
      <w:proofErr w:type="spellEnd"/>
      <w:r w:rsidRPr="004544EF">
        <w:rPr>
          <w:szCs w:val="24"/>
        </w:rPr>
        <w:t xml:space="preserve"> ministrijas sistēmas iestāžu amatpersonu fizisko sagatavotību, bet atbilstoši minēto noteikumu 3.8.apakšpunktam Centra uzdevums ir organizēt fiziskās sagatavotības pārbaudes, sacensības un citus sporta pasākumus </w:t>
      </w:r>
      <w:proofErr w:type="spellStart"/>
      <w:r w:rsidRPr="004544EF">
        <w:rPr>
          <w:szCs w:val="24"/>
        </w:rPr>
        <w:t>Iekšlietu</w:t>
      </w:r>
      <w:proofErr w:type="spellEnd"/>
      <w:r w:rsidRPr="004544EF">
        <w:rPr>
          <w:szCs w:val="24"/>
        </w:rPr>
        <w:t xml:space="preserve"> ministrijas sistēmas iestāžu amatpersonām ar speciālajām dienesta pakāpēm. Kārtība, kādā Centrs organizē sporta sacensības, noteikta </w:t>
      </w:r>
      <w:proofErr w:type="spellStart"/>
      <w:r w:rsidRPr="004544EF">
        <w:rPr>
          <w:szCs w:val="24"/>
        </w:rPr>
        <w:t>Iekšlietu</w:t>
      </w:r>
      <w:proofErr w:type="spellEnd"/>
      <w:r w:rsidRPr="004544EF">
        <w:rPr>
          <w:szCs w:val="24"/>
        </w:rPr>
        <w:t xml:space="preserve"> ministrijas 2012.gada 6.augusta iekšējos noteikumos Nr.1-10/25 „</w:t>
      </w:r>
      <w:r w:rsidRPr="004544EF">
        <w:rPr>
          <w:bCs/>
          <w:szCs w:val="24"/>
        </w:rPr>
        <w:t xml:space="preserve">Kārtība, kādā </w:t>
      </w:r>
      <w:proofErr w:type="spellStart"/>
      <w:r w:rsidRPr="004544EF">
        <w:rPr>
          <w:bCs/>
          <w:szCs w:val="24"/>
        </w:rPr>
        <w:t>Iekšlietu</w:t>
      </w:r>
      <w:proofErr w:type="spellEnd"/>
      <w:r w:rsidRPr="004544EF">
        <w:rPr>
          <w:bCs/>
          <w:szCs w:val="24"/>
        </w:rPr>
        <w:t xml:space="preserve"> ministrijas veselības un sporta centrs organizē sporta sacensības un apkopo to rezultātus”. Saskaņā ar šiem iekšējiem noteikumiem ik gadu tiek sagatavots </w:t>
      </w:r>
      <w:proofErr w:type="spellStart"/>
      <w:r w:rsidRPr="004544EF">
        <w:rPr>
          <w:bCs/>
          <w:szCs w:val="24"/>
        </w:rPr>
        <w:t>Iekšlietu</w:t>
      </w:r>
      <w:proofErr w:type="spellEnd"/>
      <w:r w:rsidRPr="004544EF">
        <w:rPr>
          <w:bCs/>
          <w:szCs w:val="24"/>
        </w:rPr>
        <w:t xml:space="preserve"> ministrijas rīkojums, kurš nosaka sporta sacensību norises kalendāro plānu un sacensību nolikumus. Centrs sagatavo sacensību organizēšanai pieļaujamo izdevumu tāmes. </w:t>
      </w:r>
    </w:p>
    <w:p w:rsidR="00B15BE9" w:rsidRPr="004544EF" w:rsidRDefault="00B15BE9" w:rsidP="00A2408D">
      <w:pPr>
        <w:spacing w:before="120" w:after="120"/>
        <w:ind w:firstLine="709"/>
        <w:rPr>
          <w:bCs/>
          <w:szCs w:val="24"/>
        </w:rPr>
      </w:pPr>
    </w:p>
    <w:p w:rsidR="00E13A4A" w:rsidRPr="004544EF" w:rsidRDefault="00E13A4A" w:rsidP="00A2408D">
      <w:pPr>
        <w:spacing w:before="120" w:after="120"/>
        <w:ind w:firstLine="709"/>
        <w:rPr>
          <w:i/>
          <w:szCs w:val="24"/>
          <w:lang w:eastAsia="lv-LV"/>
        </w:rPr>
      </w:pPr>
      <w:r w:rsidRPr="004544EF">
        <w:rPr>
          <w:i/>
          <w:szCs w:val="24"/>
          <w:lang w:eastAsia="lv-LV"/>
        </w:rPr>
        <w:t>3. Kādi nosacījumi un/vai ierobežojumi ir jāievēro publiskā sektora iestādēm, plānojot un izlietojot valsts budžeta līdzekļus reprezentācijai, kolektīvajiem pasākumiem un administratīvajiem pasākumiem?</w:t>
      </w:r>
    </w:p>
    <w:p w:rsidR="00B87B8C" w:rsidRPr="004544EF" w:rsidRDefault="00B87B8C" w:rsidP="00B87B8C">
      <w:pPr>
        <w:spacing w:before="120"/>
        <w:ind w:firstLine="709"/>
        <w:rPr>
          <w:szCs w:val="24"/>
        </w:rPr>
      </w:pPr>
      <w:r w:rsidRPr="004544EF">
        <w:rPr>
          <w:szCs w:val="24"/>
          <w:lang w:eastAsia="lv-LV"/>
        </w:rPr>
        <w:t>Saskaņā ar Likuma par budžetu un finanšu vadību m</w:t>
      </w:r>
      <w:r w:rsidRPr="004544EF">
        <w:rPr>
          <w:szCs w:val="24"/>
        </w:rPr>
        <w:t xml:space="preserve">inistrijas un citas centrālās valsts iestādes (turpmāk – ministrija) valsts budžeta pieprasījumus sagatavo atbilstoši Ministru kabineta noteiktajiem budžeta pieprasījumu izstrādāšanas pamatprincipiem. </w:t>
      </w:r>
      <w:r w:rsidRPr="004544EF">
        <w:t>Budžeta pieprasījumu izstrādāšanas pamatprincipi ietver:</w:t>
      </w:r>
    </w:p>
    <w:p w:rsidR="00B87B8C" w:rsidRPr="004544EF" w:rsidRDefault="00B87B8C" w:rsidP="00B87B8C">
      <w:pPr>
        <w:pStyle w:val="nais1"/>
        <w:spacing w:before="0" w:beforeAutospacing="0" w:after="0" w:afterAutospacing="0"/>
        <w:jc w:val="both"/>
      </w:pPr>
      <w:r w:rsidRPr="004544EF">
        <w:t>1) vidēja termiņa budžeta ietvara likumā norādītā ministrijas maksimāli pieļaujamo kopējo izdevumu apjoma robežās plānojamo budžeta izdevumu sadalījumu pa programmām (apakšprogrammām) un izdevumiem atbilstoši ekonomiskajām un valdības funkciju kategorijām;</w:t>
      </w:r>
    </w:p>
    <w:p w:rsidR="00B87B8C" w:rsidRPr="004544EF" w:rsidRDefault="00B87B8C" w:rsidP="00B87B8C">
      <w:pPr>
        <w:pStyle w:val="nais1"/>
        <w:spacing w:before="0" w:beforeAutospacing="0" w:after="0" w:afterAutospacing="0"/>
        <w:jc w:val="both"/>
      </w:pPr>
      <w:r w:rsidRPr="004544EF">
        <w:t>2) citus finanšu ierobežojumus, ko ievēro budžeta aprēķinos;</w:t>
      </w:r>
    </w:p>
    <w:p w:rsidR="00B87B8C" w:rsidRPr="004544EF" w:rsidRDefault="00B87B8C" w:rsidP="00B87B8C">
      <w:pPr>
        <w:pStyle w:val="nais1"/>
        <w:spacing w:before="0" w:beforeAutospacing="0" w:after="0" w:afterAutospacing="0"/>
        <w:jc w:val="both"/>
      </w:pPr>
      <w:r w:rsidRPr="004544EF">
        <w:lastRenderedPageBreak/>
        <w:t>3) budžeta pieprasījumu izstrādāšanas kārtību un termiņu;</w:t>
      </w:r>
    </w:p>
    <w:p w:rsidR="00B87B8C" w:rsidRPr="004544EF" w:rsidRDefault="00B87B8C" w:rsidP="00B87B8C">
      <w:pPr>
        <w:pStyle w:val="nais1"/>
        <w:spacing w:before="0" w:beforeAutospacing="0" w:after="0" w:afterAutospacing="0"/>
        <w:jc w:val="both"/>
      </w:pPr>
      <w:r w:rsidRPr="004544EF">
        <w:t>4) budžeta aprēķinos izmantojamos rādītājus;</w:t>
      </w:r>
    </w:p>
    <w:p w:rsidR="00B87B8C" w:rsidRPr="004544EF" w:rsidRDefault="00B87B8C" w:rsidP="00B87B8C">
      <w:pPr>
        <w:pStyle w:val="nais1"/>
        <w:spacing w:before="0" w:beforeAutospacing="0" w:after="0" w:afterAutospacing="0"/>
        <w:jc w:val="both"/>
      </w:pPr>
      <w:r w:rsidRPr="004544EF">
        <w:t>5) budžeta pieprasījumu veidlapas;</w:t>
      </w:r>
    </w:p>
    <w:p w:rsidR="00B87B8C" w:rsidRPr="004544EF" w:rsidRDefault="00B87B8C" w:rsidP="00B87B8C">
      <w:pPr>
        <w:pStyle w:val="nais1"/>
        <w:spacing w:before="0" w:beforeAutospacing="0" w:after="0" w:afterAutospacing="0"/>
        <w:jc w:val="both"/>
      </w:pPr>
      <w:r w:rsidRPr="004544EF">
        <w:t>6) citu budžeta pieprasījumu izstrādāšanai nepieciešamo informāciju.</w:t>
      </w:r>
    </w:p>
    <w:p w:rsidR="00B87B8C" w:rsidRPr="004544EF" w:rsidRDefault="00B87B8C" w:rsidP="00B87B8C">
      <w:pPr>
        <w:spacing w:before="120"/>
        <w:ind w:firstLine="709"/>
        <w:rPr>
          <w:vanish/>
          <w:szCs w:val="24"/>
          <w:lang w:eastAsia="lv-LV"/>
        </w:rPr>
      </w:pPr>
      <w:r w:rsidRPr="004544EF">
        <w:rPr>
          <w:szCs w:val="24"/>
          <w:lang w:eastAsia="lv-LV"/>
        </w:rPr>
        <w:t xml:space="preserve">Saskaņā ar </w:t>
      </w:r>
      <w:r w:rsidRPr="004544EF">
        <w:rPr>
          <w:szCs w:val="24"/>
        </w:rPr>
        <w:t xml:space="preserve">Ministru kabineta </w:t>
      </w:r>
      <w:r w:rsidRPr="004544EF">
        <w:rPr>
          <w:szCs w:val="24"/>
          <w:lang w:eastAsia="lv-LV"/>
        </w:rPr>
        <w:t xml:space="preserve">2012.gada 31.jūlija noteikumiem Nr.523 </w:t>
      </w:r>
      <w:r w:rsidRPr="004544EF">
        <w:rPr>
          <w:bCs/>
          <w:szCs w:val="24"/>
        </w:rPr>
        <w:t>„</w:t>
      </w:r>
      <w:r w:rsidRPr="004544EF">
        <w:rPr>
          <w:bCs/>
          <w:szCs w:val="24"/>
          <w:lang w:eastAsia="lv-LV"/>
        </w:rPr>
        <w:t>Noteikumi par budžeta pieprasījumu izstrādāšanas un iesniegšanas pamatprincipiem</w:t>
      </w:r>
      <w:r w:rsidRPr="004544EF">
        <w:rPr>
          <w:bCs/>
          <w:szCs w:val="24"/>
        </w:rPr>
        <w:t>”</w:t>
      </w:r>
      <w:r w:rsidRPr="004544EF">
        <w:rPr>
          <w:szCs w:val="24"/>
        </w:rPr>
        <w:t xml:space="preserve"> </w:t>
      </w:r>
      <w:r w:rsidRPr="004544EF">
        <w:rPr>
          <w:szCs w:val="24"/>
          <w:lang w:eastAsia="lv-LV"/>
        </w:rPr>
        <w:t xml:space="preserve">ministrijas budžeta pieprasījumus </w:t>
      </w:r>
      <w:r w:rsidRPr="004544EF">
        <w:rPr>
          <w:szCs w:val="24"/>
        </w:rPr>
        <w:t xml:space="preserve">sagatavo kodu zemākajā detalizācijas pakāpē, bet valsts budžets kārtējam gadam tik sīkā detalizācijas līmenī netiek apstiprināts. </w:t>
      </w:r>
      <w:r w:rsidRPr="004544EF">
        <w:rPr>
          <w:szCs w:val="24"/>
          <w:lang w:eastAsia="lv-LV"/>
        </w:rPr>
        <w:t xml:space="preserve">Likumā par valsts budžetu kārtējam gadam noteiktajā detalizācijas līmenī tiek apstiprināti izdevumi kodā 2000 „Preces un pakalpojumi”, kuros ietilpst arī administratīvie izdevumi. </w:t>
      </w:r>
      <w:r w:rsidRPr="004544EF">
        <w:rPr>
          <w:vanish/>
          <w:szCs w:val="24"/>
          <w:lang w:eastAsia="lv-LV"/>
        </w:rPr>
        <w:t xml:space="preserve"> 5</w:t>
      </w:r>
    </w:p>
    <w:p w:rsidR="00B87B8C" w:rsidRPr="004544EF" w:rsidRDefault="00B87B8C" w:rsidP="00B87B8C">
      <w:pPr>
        <w:spacing w:before="120"/>
        <w:ind w:firstLine="709"/>
        <w:rPr>
          <w:szCs w:val="24"/>
          <w:lang w:eastAsia="lv-LV"/>
        </w:rPr>
      </w:pPr>
    </w:p>
    <w:p w:rsidR="00B87B8C" w:rsidRPr="004544EF" w:rsidRDefault="00B87B8C" w:rsidP="00B87B8C">
      <w:pPr>
        <w:pStyle w:val="naisf"/>
        <w:spacing w:before="120" w:beforeAutospacing="0" w:after="120" w:afterAutospacing="0"/>
        <w:ind w:firstLine="709"/>
        <w:jc w:val="both"/>
      </w:pPr>
      <w:bookmarkStart w:id="0" w:name="p-437901"/>
      <w:bookmarkStart w:id="1" w:name="p1"/>
      <w:bookmarkEnd w:id="0"/>
      <w:bookmarkEnd w:id="1"/>
      <w:r w:rsidRPr="004544EF">
        <w:t>Savukārt, Ministru kabineta 2009.gada 20.janvāra instrukcijā Nr.2</w:t>
      </w:r>
      <w:r w:rsidRPr="004544EF">
        <w:rPr>
          <w:bCs/>
        </w:rPr>
        <w:t xml:space="preserve">  „Kārtība, kādā valsts budžeta iestādes sagatavo un apstiprina valsts budžeta programmu, apakšprogrammu un pasākumu tāmes kārtējam gadam” </w:t>
      </w:r>
      <w:r w:rsidRPr="004544EF">
        <w:t xml:space="preserve">noteikta kārtība, kādā valsts budžeta iestādes (turpmāk – iestāde) sagatavo un apstiprina valsts budžeta programmu, apakšprogrammu un pasākumu tāmes (turpmāk – tāme) kārtējam gadam un nodrošina to izpildi. Iestāde klasifikācijas kodus un to nosaukumus tāmēs piemēro saskaņā ar normatīvajiem aktiem par budžetu ieņēmumu klasifikāciju (kodu zemākajā detalizācijas pakāpē – piecas zīmes), budžetu izdevumu klasifikāciju atbilstoši ekonomiskajām kategorijām (kodu zemākajā detalizācijas pakāpē – četras zīmes) un budžetu finansēšanas klasifikāciju (likumā par valsts budžetu kārtējam gadam noteiktajā detalizācijas līmenī). </w:t>
      </w:r>
    </w:p>
    <w:p w:rsidR="00B87B8C" w:rsidRPr="004544EF" w:rsidRDefault="00B87B8C" w:rsidP="00B87B8C">
      <w:pPr>
        <w:ind w:firstLine="709"/>
        <w:rPr>
          <w:szCs w:val="24"/>
          <w:lang w:eastAsia="lv-LV"/>
        </w:rPr>
      </w:pPr>
      <w:r w:rsidRPr="004544EF">
        <w:rPr>
          <w:szCs w:val="24"/>
          <w:lang w:eastAsia="lv-LV"/>
        </w:rPr>
        <w:t>Atbilstoši instrukcijai budžeta izpildītājiem ir tiesības, nemainot likumā par valsts budžetu kārtējam gadam vai Ministru kabinetā apstiprinātās apropriācijas sadalījumu, izdarīt tāmē izmaiņas (mainīt tāmē apstiprināto līdzekļu izlietojumu – novirzīt līdzekļus no viena izdevumu posteņa uz citu), ja šīs izmaiņas:</w:t>
      </w:r>
    </w:p>
    <w:p w:rsidR="00B87B8C" w:rsidRPr="004544EF" w:rsidRDefault="00B87B8C" w:rsidP="00B87B8C">
      <w:pPr>
        <w:rPr>
          <w:szCs w:val="24"/>
          <w:lang w:eastAsia="lv-LV"/>
        </w:rPr>
      </w:pPr>
      <w:r w:rsidRPr="004544EF">
        <w:t xml:space="preserve">1) </w:t>
      </w:r>
      <w:r w:rsidRPr="004544EF">
        <w:rPr>
          <w:szCs w:val="24"/>
          <w:lang w:eastAsia="lv-LV"/>
        </w:rPr>
        <w:t>neierobežo iespēju sasniegt programmu un apakšprogrammu rezulta</w:t>
      </w:r>
      <w:r w:rsidRPr="004544EF">
        <w:rPr>
          <w:szCs w:val="24"/>
          <w:lang w:eastAsia="lv-LV"/>
        </w:rPr>
        <w:softHyphen/>
        <w:t>tīvos rādītājus;</w:t>
      </w:r>
    </w:p>
    <w:p w:rsidR="00B87B8C" w:rsidRPr="004544EF" w:rsidRDefault="00B87B8C" w:rsidP="00B87B8C">
      <w:pPr>
        <w:rPr>
          <w:szCs w:val="24"/>
          <w:lang w:eastAsia="lv-LV"/>
        </w:rPr>
      </w:pPr>
      <w:r w:rsidRPr="004544EF">
        <w:rPr>
          <w:szCs w:val="24"/>
          <w:lang w:eastAsia="lv-LV"/>
        </w:rPr>
        <w:t>2) nodrošina valsts budžeta līdzekļu efektīvu izlietojumu;</w:t>
      </w:r>
    </w:p>
    <w:p w:rsidR="00B87B8C" w:rsidRPr="004544EF" w:rsidRDefault="00B87B8C" w:rsidP="00B87B8C">
      <w:pPr>
        <w:rPr>
          <w:szCs w:val="24"/>
          <w:lang w:eastAsia="lv-LV"/>
        </w:rPr>
      </w:pPr>
      <w:r w:rsidRPr="004544EF">
        <w:rPr>
          <w:szCs w:val="24"/>
          <w:lang w:eastAsia="lv-LV"/>
        </w:rPr>
        <w:t>3) nerada valsts sociālās apdrošināšanas obligāto iemaksu, komunālo maksājumu un citus iestādes saistību parādus.</w:t>
      </w:r>
    </w:p>
    <w:p w:rsidR="00E41423" w:rsidRPr="004544EF" w:rsidRDefault="00E41423" w:rsidP="00E41423">
      <w:pPr>
        <w:spacing w:before="120" w:after="120"/>
        <w:ind w:firstLine="709"/>
        <w:rPr>
          <w:szCs w:val="24"/>
          <w:lang w:eastAsia="lv-LV"/>
        </w:rPr>
      </w:pPr>
      <w:r w:rsidRPr="004544EF">
        <w:rPr>
          <w:szCs w:val="24"/>
        </w:rPr>
        <w:t xml:space="preserve">Reprezentācijas, kolektīvo pasākumu un citu administratīvo pasākumu plānošanā valsts budžeta iestāžu vadītāju atbildībā ir izvērtēt izdevumu nepieciešamības pamatojumu, vienlaikus sekojot līdzi arī tam, lai izdevumi būtu samērīgi ar pasākuma veidu, tā nozīmīgumu, un pieejamiem finanšu resursiem. </w:t>
      </w:r>
    </w:p>
    <w:p w:rsidR="00E41423" w:rsidRPr="004544EF" w:rsidRDefault="00E41423" w:rsidP="00E41423">
      <w:pPr>
        <w:spacing w:before="120" w:after="120"/>
        <w:ind w:firstLine="709"/>
        <w:rPr>
          <w:szCs w:val="24"/>
          <w:lang w:eastAsia="lv-LV"/>
        </w:rPr>
      </w:pPr>
      <w:r w:rsidRPr="004544EF">
        <w:rPr>
          <w:szCs w:val="24"/>
          <w:lang w:eastAsia="lv-LV"/>
        </w:rPr>
        <w:t>Valsts budžeta iestādēm izlietojot valsts budžeta līdzekļus, jāievēro kopējais finansēšanas plānos apstiprinātais izdevumu apjoms preču un pakalpojumu samaksai, kā arī vienlaikus jānodrošina racionāls valsts budžeta līdzekļu izlietojums, ievērojot tai skaitā jau iepriekš minētos normatīvos aktus</w:t>
      </w:r>
      <w:r w:rsidRPr="004544EF">
        <w:rPr>
          <w:szCs w:val="24"/>
        </w:rPr>
        <w:t>.</w:t>
      </w:r>
      <w:r w:rsidRPr="004544EF">
        <w:rPr>
          <w:szCs w:val="24"/>
          <w:lang w:eastAsia="lv-LV"/>
        </w:rPr>
        <w:t xml:space="preserve"> Valsts budžeta iestādes vadītājs ir atbildīgs par to, lai resursi reprezentācijas, kolektīvo un citu administratīvo pasākumu izdevumu veikšanai, kā arī citu izdevumu veikšanai tiktu izlietoti efektīvi, racionāli un nebūtu nesamērīgi. </w:t>
      </w:r>
    </w:p>
    <w:p w:rsidR="00E41423" w:rsidRPr="004544EF" w:rsidRDefault="00E41423" w:rsidP="00E41423">
      <w:pPr>
        <w:spacing w:before="120" w:after="120"/>
        <w:ind w:firstLine="709"/>
        <w:rPr>
          <w:szCs w:val="24"/>
          <w:lang w:eastAsia="lv-LV"/>
        </w:rPr>
      </w:pPr>
      <w:r w:rsidRPr="004544EF">
        <w:rPr>
          <w:szCs w:val="24"/>
          <w:lang w:eastAsia="lv-LV"/>
        </w:rPr>
        <w:t xml:space="preserve">Vienlaikus atzīmējam, ka Finanšu ministrija 2012.gada septembrī ir izstrādājusi vadlīnijas ministrijām un citām centrālajām valsts iestādēm administratīvo izdevumu un atbalsta funkciju indikatoru pielietošanai finanšu un budžeta analīzē, kas publicētas Finanšu ministrijas mājas lapā </w:t>
      </w:r>
      <w:hyperlink r:id="rId8" w:history="1">
        <w:r w:rsidRPr="004544EF">
          <w:rPr>
            <w:rStyle w:val="Hyperlink"/>
            <w:szCs w:val="24"/>
            <w:lang w:eastAsia="lv-LV"/>
          </w:rPr>
          <w:t>http://www.fm.gov.lv/lv/sadalas/valsts_budzets/metodika/vadlinijas/</w:t>
        </w:r>
      </w:hyperlink>
      <w:r w:rsidRPr="004544EF">
        <w:rPr>
          <w:szCs w:val="24"/>
          <w:lang w:eastAsia="lv-LV"/>
        </w:rPr>
        <w:t xml:space="preserve">  Lai gan atbilstoši šīm vadlīnijām administratīvie izdevumi tiek skatīti plašākā mērogā nekā tikai klasifikācijas 2230 kodā uzskaitāmie izdevumi, tomēr atbilstoši šīm vadlīnijām tiek rekomendēts izvērtēt arī kopējos administratīvos izdevumus (kas ietver tai skaitā</w:t>
      </w:r>
      <w:r w:rsidRPr="004544EF">
        <w:t xml:space="preserve"> </w:t>
      </w:r>
      <w:r w:rsidRPr="004544EF">
        <w:rPr>
          <w:szCs w:val="24"/>
          <w:lang w:eastAsia="lv-LV"/>
        </w:rPr>
        <w:lastRenderedPageBreak/>
        <w:t>reprezentācijas, kolektīvo pasākumu izdevumus) vidēji uz vienu amata vietu. Minētās vadlīnijas ļauj ministrijām sekmīgāk analizēt un sistemātiski pārraudzīt resora administratīvos izdevumus un atbalsta funkciju izdevumus, un nepieciešamības gadījumā pieņemt lēmumus administratīvo izdevumu un atbalsta funkciju izdevumu efektivitātes palielināšanai.</w:t>
      </w:r>
    </w:p>
    <w:p w:rsidR="00E41423" w:rsidRPr="004544EF" w:rsidRDefault="00E41423" w:rsidP="00A2408D">
      <w:pPr>
        <w:spacing w:before="120" w:after="120"/>
        <w:ind w:firstLine="709"/>
      </w:pPr>
      <w:r w:rsidRPr="004544EF">
        <w:rPr>
          <w:szCs w:val="24"/>
          <w:lang w:eastAsia="lv-LV"/>
        </w:rPr>
        <w:t xml:space="preserve">Saistībā ar Valsts kontroles vēstulē minēto, ka regulējums par administratīvajiem izdevumiem būtu īpaši nepieciešams ņemot vērā, ka 2015.gadā Latvijai uzņemoties Eiropas Savienības prezidējošās valsts pienākumus, dažādu administratīvo izdevumu apjoms būtiski palielināsies, vēršam uzmanību, ka Ministru kabinets 2012.gada 24.aprīlī Ministru kabinetā izskatīja un pieņēma zināšanai Latvijas prezidentūras Eiropas Savienības Padomē budžeta veidošanas principus un vadlīnijas </w:t>
      </w:r>
      <w:hyperlink r:id="rId9" w:history="1">
        <w:r w:rsidRPr="004544EF">
          <w:rPr>
            <w:rStyle w:val="Hyperlink"/>
            <w:szCs w:val="24"/>
            <w:lang w:eastAsia="lv-LV"/>
          </w:rPr>
          <w:t>http://www.es2015.lv/lv/gatavosanas-prezidenturai/budzets</w:t>
        </w:r>
      </w:hyperlink>
      <w:r w:rsidRPr="004544EF">
        <w:rPr>
          <w:szCs w:val="24"/>
          <w:lang w:eastAsia="lv-LV"/>
        </w:rPr>
        <w:t>, lai nodrošinātu budžeta veidošanas caurskatāmību, kā arī vienotu pieeju prezidentūras budžeta izdevumu aprēķināšanai dažādās valsts institūcijās. Minētajās vadlīnijās skaidri noteikti budžeta izdevumu pozīciju plānošanas principi, tai skaitā administratīvo un reprezentācijas izdevumu ierobežojumi.</w:t>
      </w:r>
      <w:r w:rsidRPr="004544EF">
        <w:t xml:space="preserve"> </w:t>
      </w:r>
    </w:p>
    <w:p w:rsidR="00B15BE9" w:rsidRPr="004544EF" w:rsidRDefault="00B15BE9" w:rsidP="00A2408D">
      <w:pPr>
        <w:spacing w:before="120" w:after="120"/>
        <w:ind w:firstLine="709"/>
      </w:pPr>
    </w:p>
    <w:p w:rsidR="00E13A4A" w:rsidRPr="004544EF" w:rsidRDefault="00E13A4A" w:rsidP="00A2408D">
      <w:pPr>
        <w:spacing w:before="120" w:after="120"/>
        <w:ind w:firstLine="709"/>
        <w:rPr>
          <w:i/>
          <w:szCs w:val="24"/>
          <w:lang w:eastAsia="lv-LV"/>
        </w:rPr>
      </w:pPr>
      <w:r w:rsidRPr="004544EF">
        <w:rPr>
          <w:i/>
          <w:szCs w:val="24"/>
          <w:lang w:eastAsia="lv-LV"/>
        </w:rPr>
        <w:t>4. Kādu mērķu un uzdevumu realizācijai valsts budžetā tiek paredzēti administratīvie, reprezentācijas un kolektīvo pasākumu organizēšanas izdevumi (pamatojums šādu izdevumu nepieciešamībai)?</w:t>
      </w:r>
    </w:p>
    <w:p w:rsidR="00103592" w:rsidRPr="004544EF" w:rsidRDefault="00103592" w:rsidP="00A2408D">
      <w:pPr>
        <w:spacing w:before="120" w:after="120"/>
        <w:ind w:firstLine="709"/>
        <w:rPr>
          <w:szCs w:val="24"/>
        </w:rPr>
      </w:pPr>
      <w:r w:rsidRPr="004544EF">
        <w:rPr>
          <w:szCs w:val="24"/>
        </w:rPr>
        <w:t>Valsts budžetā administratīvie un reprezentācijas izdevumi paredzēti ministrijām un to padotības iestādēm deleģēto valsts pārvaldes funkciju un uzdevumu realizācijai, lai nodrošinātu tām uzticēto politiku izstrādi, politiku īstenošanas organizēšanu un koordinēšanu attiecīgajās jomās.</w:t>
      </w:r>
    </w:p>
    <w:p w:rsidR="00E41423" w:rsidRPr="004544EF" w:rsidRDefault="00E41423" w:rsidP="00A2408D">
      <w:pPr>
        <w:spacing w:before="120" w:after="120"/>
        <w:ind w:firstLine="709"/>
        <w:rPr>
          <w:szCs w:val="24"/>
          <w:lang w:eastAsia="lv-LV"/>
        </w:rPr>
      </w:pPr>
      <w:r w:rsidRPr="004544EF">
        <w:t xml:space="preserve">Administratīvo izdevumu veikšana ir iestādes darbības nodrošināšanas neatņemama sastāvdaļa. </w:t>
      </w:r>
      <w:r w:rsidRPr="004544EF">
        <w:rPr>
          <w:szCs w:val="24"/>
          <w:lang w:eastAsia="lv-LV"/>
        </w:rPr>
        <w:t xml:space="preserve">Reprezentācijas izdevumi galvenokārt tiek veikti, ar mērķi paaugstināt valsts budžeta iestādes prestižu, gan sabiedrības, gan iestādes klientu, gan pašu darbinieku vidū, kā arī veikt izglītojušus un informējošus pasākumus konkrētā sabiedrības </w:t>
      </w:r>
      <w:proofErr w:type="spellStart"/>
      <w:r w:rsidRPr="004544EF">
        <w:rPr>
          <w:szCs w:val="24"/>
          <w:lang w:eastAsia="lv-LV"/>
        </w:rPr>
        <w:t>mērķgrupā</w:t>
      </w:r>
      <w:proofErr w:type="spellEnd"/>
      <w:r w:rsidRPr="004544EF">
        <w:rPr>
          <w:szCs w:val="24"/>
          <w:lang w:eastAsia="lv-LV"/>
        </w:rPr>
        <w:t xml:space="preserve">. Svarīgi nodrošināt sekmīgu dažādu ar valsts budžeta iestādes darbību saistītu semināru, konferenču, lietišķu tikšanos organizēšanu. Tāpat valsts pārvaldes iestādei jāveic darbības, kas nepieciešamas sabiedrības informēšanai un izglītošanai institūcijas kompetencē esošajos jautājumos, jānodrošina virzība uz labākas prakses pārņemšanu un </w:t>
      </w:r>
      <w:proofErr w:type="spellStart"/>
      <w:r w:rsidRPr="004544EF">
        <w:rPr>
          <w:szCs w:val="24"/>
          <w:lang w:eastAsia="lv-LV"/>
        </w:rPr>
        <w:t>atvērtību</w:t>
      </w:r>
      <w:proofErr w:type="spellEnd"/>
      <w:r w:rsidR="00A2408D" w:rsidRPr="004544EF">
        <w:rPr>
          <w:szCs w:val="24"/>
          <w:lang w:eastAsia="lv-LV"/>
        </w:rPr>
        <w:t xml:space="preserve"> </w:t>
      </w:r>
      <w:r w:rsidRPr="004544EF">
        <w:rPr>
          <w:szCs w:val="24"/>
          <w:lang w:eastAsia="lv-LV"/>
        </w:rPr>
        <w:t xml:space="preserve">pret sabiedrību, savukārt motivējoši pasākumi darbinieku vidū veido labvēlīgu vidi produktīvai pienākumi izpildei, virzoties uz kopējo mērķi – valsts iestāžu prestiža paaugstināšanu, tādējādi stiprinot iestādes kā darba devēja pozīcijas un izkopjot organizācijas kultūru, kam modernajā sabiedrībā ir arvien pieaugošāka un nozīmīgāka loma organizācijas vadībā un efektīvās darbības nodrošināšanā. Labāko darbinieku apbalvošanai, piemēram ar goda rakstu, ir būtisks morālā novērtējuma aspekts, lai arī turpmāk sekmīgi tiktu sasniegti organizācijas mērķi. </w:t>
      </w:r>
    </w:p>
    <w:p w:rsidR="00E41423" w:rsidRPr="004544EF" w:rsidRDefault="00E41423" w:rsidP="00A2408D">
      <w:pPr>
        <w:autoSpaceDE w:val="0"/>
        <w:autoSpaceDN w:val="0"/>
        <w:adjustRightInd w:val="0"/>
        <w:spacing w:before="120" w:after="120"/>
        <w:ind w:firstLine="709"/>
        <w:rPr>
          <w:szCs w:val="24"/>
          <w:lang w:eastAsia="lv-LV"/>
        </w:rPr>
      </w:pPr>
      <w:r w:rsidRPr="004544EF">
        <w:rPr>
          <w:szCs w:val="24"/>
          <w:lang w:eastAsia="lv-LV"/>
        </w:rPr>
        <w:t>Līdz ar to valsts budžeta iestādēm reprezentācijas izdevumi nodrošina iespēju, tiekoties ar ārvalstu, nevalstisko organizāciju un citiem sadarbības partneriem, atbildēt partneriem ar pieklājības žestu, kā arī prezentēt un reklamēt savu iestādi kā līdzvērtīgu un respektablu sadarbības partneri.</w:t>
      </w:r>
    </w:p>
    <w:p w:rsidR="009C0E97" w:rsidRPr="004544EF" w:rsidRDefault="009C0E97" w:rsidP="00A2408D">
      <w:pPr>
        <w:spacing w:before="120" w:after="120"/>
        <w:ind w:firstLine="709"/>
        <w:rPr>
          <w:szCs w:val="24"/>
        </w:rPr>
      </w:pPr>
      <w:r w:rsidRPr="004544EF">
        <w:rPr>
          <w:szCs w:val="24"/>
        </w:rPr>
        <w:t xml:space="preserve">Ministrijas, Valsts kanceleja, Korupcijas novēršanas un apkarošanas birojs, Sabiedrības integrācijas fonds un </w:t>
      </w:r>
      <w:proofErr w:type="spellStart"/>
      <w:r w:rsidRPr="004544EF">
        <w:rPr>
          <w:szCs w:val="24"/>
        </w:rPr>
        <w:t>Pārresoru</w:t>
      </w:r>
      <w:proofErr w:type="spellEnd"/>
      <w:r w:rsidRPr="004544EF">
        <w:rPr>
          <w:szCs w:val="24"/>
        </w:rPr>
        <w:t xml:space="preserve"> koordinācijas centrs sagatavoja detalizētu informāciju par 2011., 2012. un 2013.gadā veiktajiem administratīvajiem izdevumiem </w:t>
      </w:r>
      <w:r w:rsidRPr="004544EF">
        <w:rPr>
          <w:szCs w:val="24"/>
          <w:lang w:eastAsia="lv-LV"/>
        </w:rPr>
        <w:t>valsts pamatfunkciju īstenošanai,</w:t>
      </w:r>
      <w:r w:rsidRPr="004544EF">
        <w:rPr>
          <w:szCs w:val="24"/>
        </w:rPr>
        <w:t xml:space="preserve"> sniedzot skaidrojumu par </w:t>
      </w:r>
      <w:r w:rsidR="00A2408D" w:rsidRPr="004544EF">
        <w:rPr>
          <w:szCs w:val="24"/>
        </w:rPr>
        <w:t xml:space="preserve">īstenotajiem </w:t>
      </w:r>
      <w:r w:rsidR="00E60A03" w:rsidRPr="004544EF">
        <w:rPr>
          <w:szCs w:val="24"/>
        </w:rPr>
        <w:t>pasākumiem</w:t>
      </w:r>
      <w:r w:rsidRPr="004544EF">
        <w:rPr>
          <w:szCs w:val="24"/>
        </w:rPr>
        <w:t xml:space="preserve"> budžeta programmu/ apakšprogrammu griezumā (Pielikums Nr.2).</w:t>
      </w:r>
    </w:p>
    <w:p w:rsidR="000B132D" w:rsidRPr="004544EF" w:rsidRDefault="00EA37D7" w:rsidP="00B15BE9">
      <w:pPr>
        <w:spacing w:before="120" w:after="120"/>
        <w:ind w:firstLine="709"/>
        <w:rPr>
          <w:szCs w:val="24"/>
        </w:rPr>
      </w:pPr>
      <w:r w:rsidRPr="004544EF">
        <w:rPr>
          <w:szCs w:val="24"/>
        </w:rPr>
        <w:lastRenderedPageBreak/>
        <w:t>Administratīvie un reprezentācijas izdevumi</w:t>
      </w:r>
      <w:r w:rsidR="004E4365" w:rsidRPr="004544EF">
        <w:rPr>
          <w:szCs w:val="24"/>
        </w:rPr>
        <w:t>,</w:t>
      </w:r>
      <w:r w:rsidRPr="004544EF">
        <w:rPr>
          <w:szCs w:val="24"/>
        </w:rPr>
        <w:t xml:space="preserve"> </w:t>
      </w:r>
      <w:r w:rsidR="00412C8D" w:rsidRPr="004544EF">
        <w:rPr>
          <w:szCs w:val="24"/>
        </w:rPr>
        <w:t>galvenokārt</w:t>
      </w:r>
      <w:r w:rsidR="004E4365" w:rsidRPr="004544EF">
        <w:rPr>
          <w:szCs w:val="24"/>
        </w:rPr>
        <w:t>,</w:t>
      </w:r>
      <w:r w:rsidRPr="004544EF">
        <w:rPr>
          <w:szCs w:val="24"/>
        </w:rPr>
        <w:t xml:space="preserve"> saistīti ar ārvalstu un iekšzemes delegāciju</w:t>
      </w:r>
      <w:r w:rsidR="00B36A42" w:rsidRPr="004544EF">
        <w:rPr>
          <w:szCs w:val="24"/>
        </w:rPr>
        <w:t xml:space="preserve"> uzņemšanu un ar to saistītu izdevumu segšanu</w:t>
      </w:r>
      <w:r w:rsidRPr="004544EF">
        <w:rPr>
          <w:szCs w:val="24"/>
        </w:rPr>
        <w:t>, atsevišķu amatpersonu uzņemšanu, ministrijas pārstāvju ārvalstu vizītēm, rīkotajiem oficiālajiem pasākumiem</w:t>
      </w:r>
      <w:r w:rsidR="00584AF7" w:rsidRPr="004544EF">
        <w:rPr>
          <w:szCs w:val="24"/>
        </w:rPr>
        <w:t>, tajā skaitā, ievērojot Valsts protokola prasības</w:t>
      </w:r>
      <w:r w:rsidRPr="004544EF">
        <w:rPr>
          <w:szCs w:val="24"/>
        </w:rPr>
        <w:t xml:space="preserve">. Šie izdevumi ietver suvenīru iegādi, </w:t>
      </w:r>
      <w:r w:rsidR="00B36A42" w:rsidRPr="004544EF">
        <w:rPr>
          <w:szCs w:val="24"/>
        </w:rPr>
        <w:t xml:space="preserve">reprezentācijas izdevumus (pildspalvas, mapes ar iestādes logo), </w:t>
      </w:r>
      <w:r w:rsidRPr="004544EF">
        <w:rPr>
          <w:szCs w:val="24"/>
        </w:rPr>
        <w:t>tulka pakalpojumu izmantošanu, brokastu, pusdienu, vakariņu, kafijas paužu organizēšanu, autotransporta izmantošanu</w:t>
      </w:r>
      <w:r w:rsidR="000B132D" w:rsidRPr="004544EF">
        <w:rPr>
          <w:szCs w:val="24"/>
        </w:rPr>
        <w:t>.</w:t>
      </w:r>
    </w:p>
    <w:p w:rsidR="00B15BE9" w:rsidRPr="004544EF" w:rsidRDefault="00B15BE9" w:rsidP="00B15BE9">
      <w:pPr>
        <w:spacing w:before="120" w:after="120"/>
        <w:ind w:firstLine="709"/>
        <w:rPr>
          <w:szCs w:val="24"/>
        </w:rPr>
      </w:pPr>
      <w:r w:rsidRPr="004544EF">
        <w:rPr>
          <w:szCs w:val="24"/>
        </w:rPr>
        <w:t xml:space="preserve">Lielākie reprezentācijas izdevumi paredzēti ministrijām, kuru darbība saistīta ar </w:t>
      </w:r>
      <w:r w:rsidRPr="004544EF">
        <w:rPr>
          <w:color w:val="000000" w:themeColor="text1"/>
          <w:szCs w:val="24"/>
        </w:rPr>
        <w:t xml:space="preserve">diplomātiskā protokola jautājumiem. </w:t>
      </w:r>
      <w:r w:rsidRPr="004544EF">
        <w:rPr>
          <w:szCs w:val="24"/>
        </w:rPr>
        <w:t>Piemēram, Aizsardzības ministrija savas kompetences ietvaros ir iesaistīta reprezentatīvos un ceremoniālos pasākumos gan ārvalstīs ar aizsardzības atašeju un pārstāvju dalību, gan Latvijā ar Latvijas un ārvalstu dažāda ranga civilo un militāro amatpersonu kā arī sabiedrības piedalīšanos, kas prasa resursu plānošanu un apguvi reprezentācijas izdevumiem, lai sekmīgi nodrošinātu minēto pasākumu realizāciju. Reprezentācijas pasākumi noris gan kolektīvā formātā – NATO, ES u.c. formātos, gan divpusējas sadarbības ietvaros. Papildus laika gaitā dažādu paražu formā ir attīstījušies un arī notiek ne tikai pasākumi ar ārvalstu civilo un militāro amatpersonu iesaisti, bet arī uz Latvijas sabiedrību un Aizsardzības nozares personālu vērsti pasākumi. Kā būtiskākos uz sabiedrību vērstos pasākumus var minēt Lāčplēša dienas un Latvijas armijas dienas svinības, Latvijas Republikas Proklamēšanas dienas 18.novembrī parādi krastmalā un Latvijas Republikas Neatkarības atjaunošanas dienas 4.maijā parādes novados, kā arī dažādu piemiņas vietu apmeklēšanu un uzturēšanu. Savukārt, Aizsardzības resora pasākumu - NBS virsnieku un instruktoru balle, kā arī dažādu vēsturiski militāru notikumu piemiņas ceremoniālu pasākumu organizēšana palīdz veidot NBS personālsastāva apziņu par Latvijas bruņotu spēku vēsturi/tradīcijām un bruņoto spēku vērtībām un to lomu mūsdienu sabiedrībā.</w:t>
      </w:r>
    </w:p>
    <w:p w:rsidR="00B15BE9" w:rsidRPr="004544EF" w:rsidRDefault="00B15BE9" w:rsidP="00B15BE9">
      <w:pPr>
        <w:spacing w:before="120" w:after="120"/>
        <w:ind w:firstLine="709"/>
        <w:rPr>
          <w:color w:val="000000" w:themeColor="text1"/>
          <w:szCs w:val="24"/>
        </w:rPr>
      </w:pPr>
      <w:r w:rsidRPr="004544EF">
        <w:rPr>
          <w:color w:val="000000" w:themeColor="text1"/>
          <w:szCs w:val="24"/>
        </w:rPr>
        <w:t xml:space="preserve">Lai koordinētu Latvijas Republikas valsts institūciju saskaņotu darbību diplomātiskā protokola jautājumos un nodrošināt diplomātiskā protokola ievērošanu, Ārlietu ministrija sadarbībā ar Latvijas Republikas diplomātiskajām un konsulārajām pārstāvniecībām ārvalstīs organizē ārvalstu delegāciju oficiālās vizītes Latvijā, ja minētās delegācijas vada ārvalstu prezidenti, viceprezidenti, premjerministri, vēstnieki, ārlietu ministri un to vietnieki, kā arī organizē starptautisko organizāciju oficiālās vizītes, ja tās vada šo organizāciju vadītāji. Tāpat ārvalstu delegāciju vizītes Latvijā tiek organizētas, ja minētās delegācijas Latvijā uzturas pēc valsts prezidenta, Saeimas priekšsēdētāja, ministru prezidenta vai ārlietu ministra oficiāla ielūguma. Ja minētās Latvijas amatpersonas dodas oficiālās vizītēs uz ārvalstīm, Valsts protokols sadarbībā ar attiecīgajām ārvalstu institūcijām organizē šo amatpersonu vizītes. </w:t>
      </w:r>
    </w:p>
    <w:p w:rsidR="005354CD" w:rsidRPr="004544EF" w:rsidRDefault="00B36A42" w:rsidP="00A2408D">
      <w:pPr>
        <w:spacing w:before="120" w:after="120"/>
        <w:ind w:firstLine="709"/>
        <w:rPr>
          <w:szCs w:val="24"/>
        </w:rPr>
      </w:pPr>
      <w:r w:rsidRPr="004544EF">
        <w:rPr>
          <w:szCs w:val="24"/>
        </w:rPr>
        <w:t xml:space="preserve">Izdevumi paredzēti arī </w:t>
      </w:r>
      <w:r w:rsidR="00EA37D7" w:rsidRPr="004544EF">
        <w:rPr>
          <w:szCs w:val="24"/>
        </w:rPr>
        <w:t>sabiedrisko attiecību īstenošana</w:t>
      </w:r>
      <w:r w:rsidRPr="004544EF">
        <w:rPr>
          <w:szCs w:val="24"/>
        </w:rPr>
        <w:t xml:space="preserve">i (apspriežu, kursu, konferenču un citu pasākumu organizēšanai), </w:t>
      </w:r>
      <w:r w:rsidR="00EA37D7" w:rsidRPr="004544EF">
        <w:rPr>
          <w:szCs w:val="24"/>
        </w:rPr>
        <w:t xml:space="preserve"> </w:t>
      </w:r>
      <w:r w:rsidRPr="004544EF">
        <w:rPr>
          <w:szCs w:val="24"/>
        </w:rPr>
        <w:t>informatīvo semināru organizēšanai, publicitātes pasākumiem (veidoti sižeti un apraide TV)</w:t>
      </w:r>
      <w:r w:rsidR="00E302FE" w:rsidRPr="004544EF">
        <w:rPr>
          <w:szCs w:val="24"/>
        </w:rPr>
        <w:t xml:space="preserve">, ekspertu pakalpojumiem, </w:t>
      </w:r>
      <w:r w:rsidR="00002617" w:rsidRPr="004544EF">
        <w:rPr>
          <w:szCs w:val="24"/>
        </w:rPr>
        <w:t>elektronisko parakstu un laika zīmogu nodrošināšanai</w:t>
      </w:r>
      <w:r w:rsidR="00E302FE" w:rsidRPr="004544EF">
        <w:rPr>
          <w:szCs w:val="24"/>
        </w:rPr>
        <w:t>, sludinājumiem</w:t>
      </w:r>
      <w:r w:rsidR="00412C8D" w:rsidRPr="004544EF">
        <w:rPr>
          <w:szCs w:val="24"/>
        </w:rPr>
        <w:t xml:space="preserve"> un līdzjūtībām</w:t>
      </w:r>
      <w:r w:rsidR="00E302FE" w:rsidRPr="004544EF">
        <w:rPr>
          <w:szCs w:val="24"/>
        </w:rPr>
        <w:t xml:space="preserve">, </w:t>
      </w:r>
      <w:r w:rsidR="00002617" w:rsidRPr="004544EF">
        <w:rPr>
          <w:szCs w:val="24"/>
        </w:rPr>
        <w:t xml:space="preserve">preses abonēšanai, </w:t>
      </w:r>
      <w:r w:rsidR="00412C8D" w:rsidRPr="004544EF">
        <w:rPr>
          <w:szCs w:val="24"/>
        </w:rPr>
        <w:t xml:space="preserve">ziedu iegādei, </w:t>
      </w:r>
      <w:r w:rsidR="00E302FE" w:rsidRPr="004544EF">
        <w:rPr>
          <w:szCs w:val="24"/>
        </w:rPr>
        <w:t xml:space="preserve">vizītkartēm, </w:t>
      </w:r>
      <w:r w:rsidR="00412C8D" w:rsidRPr="004544EF">
        <w:rPr>
          <w:szCs w:val="24"/>
        </w:rPr>
        <w:t xml:space="preserve">telpu nomai, </w:t>
      </w:r>
      <w:r w:rsidR="00F97D1E" w:rsidRPr="004544EF">
        <w:rPr>
          <w:szCs w:val="24"/>
        </w:rPr>
        <w:t>d</w:t>
      </w:r>
      <w:r w:rsidR="00E302FE" w:rsidRPr="004544EF">
        <w:rPr>
          <w:szCs w:val="24"/>
        </w:rPr>
        <w:t xml:space="preserve">arba aizsardzības pakalpojumiem, </w:t>
      </w:r>
      <w:r w:rsidR="00656B76" w:rsidRPr="004544EF">
        <w:rPr>
          <w:szCs w:val="24"/>
        </w:rPr>
        <w:t>arhīva pakalpojumiem u.c. pasākumiem.</w:t>
      </w:r>
      <w:r w:rsidR="005354CD" w:rsidRPr="004544EF">
        <w:rPr>
          <w:szCs w:val="24"/>
        </w:rPr>
        <w:t xml:space="preserve"> </w:t>
      </w:r>
    </w:p>
    <w:p w:rsidR="00B15BE9" w:rsidRPr="004544EF" w:rsidRDefault="00B15BE9" w:rsidP="00A2408D">
      <w:pPr>
        <w:spacing w:before="120" w:after="120"/>
        <w:ind w:firstLine="709"/>
        <w:rPr>
          <w:szCs w:val="24"/>
        </w:rPr>
      </w:pPr>
    </w:p>
    <w:p w:rsidR="00DA565E" w:rsidRPr="004544EF" w:rsidRDefault="00DA565E" w:rsidP="00A2408D">
      <w:pPr>
        <w:spacing w:before="120" w:after="120"/>
        <w:ind w:firstLine="709"/>
        <w:rPr>
          <w:i/>
          <w:szCs w:val="24"/>
          <w:lang w:eastAsia="lv-LV"/>
        </w:rPr>
      </w:pPr>
      <w:r w:rsidRPr="004544EF">
        <w:rPr>
          <w:i/>
          <w:szCs w:val="24"/>
          <w:lang w:eastAsia="lv-LV"/>
        </w:rPr>
        <w:t>5. Kādas izmaiņas 2014.gadā Ministru kabinets ir paredzējis īstenot minēto izdevumu plānošanas un izlietošanas sistēmā?</w:t>
      </w:r>
    </w:p>
    <w:p w:rsidR="00E41423" w:rsidRPr="004544EF" w:rsidRDefault="00E41423" w:rsidP="00A2408D">
      <w:pPr>
        <w:spacing w:before="120" w:after="120"/>
        <w:ind w:firstLine="709"/>
        <w:rPr>
          <w:szCs w:val="24"/>
          <w:lang w:eastAsia="lv-LV"/>
        </w:rPr>
      </w:pPr>
      <w:r w:rsidRPr="004544EF">
        <w:rPr>
          <w:szCs w:val="24"/>
          <w:lang w:eastAsia="lv-LV"/>
        </w:rPr>
        <w:t xml:space="preserve">Valsts kontroles revīzijā Nr.5.1-2-33/2012 </w:t>
      </w:r>
      <w:r w:rsidR="00544D50" w:rsidRPr="004544EF">
        <w:rPr>
          <w:szCs w:val="24"/>
          <w:lang w:eastAsia="lv-LV"/>
        </w:rPr>
        <w:t>“</w:t>
      </w:r>
      <w:r w:rsidRPr="004544EF">
        <w:rPr>
          <w:szCs w:val="24"/>
          <w:lang w:eastAsia="lv-LV"/>
        </w:rPr>
        <w:t xml:space="preserve">Par Latvijas Republikas 2012.gada pārskatu par valsts budžeta izpildi un par pašvaldību budžetiem” ir izteikts šāds ieteikums: </w:t>
      </w:r>
      <w:r w:rsidRPr="004544EF">
        <w:rPr>
          <w:szCs w:val="24"/>
          <w:lang w:eastAsia="lv-LV"/>
        </w:rPr>
        <w:lastRenderedPageBreak/>
        <w:t>„</w:t>
      </w:r>
      <w:r w:rsidRPr="004544EF">
        <w:rPr>
          <w:i/>
          <w:szCs w:val="24"/>
          <w:lang w:eastAsia="lv-LV"/>
        </w:rPr>
        <w:t>Lai nodrošinātu vienveidīgu izpratni, atbilstošu piemērošanu un darbinieku motivācijas sasaistīšanu ar darba rezultātiem, Finanšu ministrijai izvērtēt un veikt nepieciešamos precizējumus normatīvajos aktos vai nodrošināt skaidrojumu sniegšanu, nosakot</w:t>
      </w:r>
      <w:r w:rsidRPr="004544EF">
        <w:rPr>
          <w:i/>
        </w:rPr>
        <w:t xml:space="preserve"> </w:t>
      </w:r>
      <w:r w:rsidRPr="004544EF">
        <w:rPr>
          <w:i/>
          <w:szCs w:val="24"/>
          <w:lang w:eastAsia="lv-LV"/>
        </w:rPr>
        <w:t>kādi pasākumi uzskatāmi par kolektīviem pasākumiem, un saskaņojot Valsts un pašvaldību institūciju amatpersonu un darbinieku atlīdzības likuma un Ministru kabineta noteikumu Nr.1031 „Noteikumi par budžetu izdevumu klasifikāciju atbilstoši ekonomiskajām kategorijām” normas.</w:t>
      </w:r>
      <w:r w:rsidRPr="004544EF">
        <w:rPr>
          <w:szCs w:val="24"/>
          <w:lang w:eastAsia="lv-LV"/>
        </w:rPr>
        <w:t xml:space="preserve">”. Minētais ieteikums atbilstoši Finanšu ministrijas 2013.gada 3.oktobra rīkojumam Nr.420 “Par Valsts kontroles revīzijas ieteikumu ieviešanas plānu” </w:t>
      </w:r>
      <w:r w:rsidR="00A64DC9" w:rsidRPr="004544EF">
        <w:rPr>
          <w:szCs w:val="24"/>
          <w:lang w:eastAsia="lv-LV"/>
        </w:rPr>
        <w:t>šobrīd tiek</w:t>
      </w:r>
      <w:r w:rsidRPr="004544EF">
        <w:rPr>
          <w:szCs w:val="24"/>
          <w:lang w:eastAsia="lv-LV"/>
        </w:rPr>
        <w:t xml:space="preserve"> izvērtēts un </w:t>
      </w:r>
      <w:r w:rsidR="00A64DC9" w:rsidRPr="004544EF">
        <w:rPr>
          <w:szCs w:val="24"/>
          <w:lang w:eastAsia="lv-LV"/>
        </w:rPr>
        <w:t>tā ieviešanas termiņš ir</w:t>
      </w:r>
      <w:r w:rsidRPr="004544EF">
        <w:rPr>
          <w:szCs w:val="24"/>
          <w:lang w:eastAsia="lv-LV"/>
        </w:rPr>
        <w:t xml:space="preserve"> </w:t>
      </w:r>
      <w:r w:rsidR="00A64DC9" w:rsidRPr="004544EF">
        <w:rPr>
          <w:szCs w:val="24"/>
          <w:lang w:eastAsia="lv-LV"/>
        </w:rPr>
        <w:t>noteikts līdz 2015.gada 1.martam</w:t>
      </w:r>
      <w:r w:rsidRPr="004544EF">
        <w:rPr>
          <w:szCs w:val="24"/>
          <w:lang w:eastAsia="lv-LV"/>
        </w:rPr>
        <w:t xml:space="preserve">. </w:t>
      </w:r>
    </w:p>
    <w:p w:rsidR="006A5628" w:rsidRPr="004544EF" w:rsidRDefault="006A5628" w:rsidP="00A2408D">
      <w:pPr>
        <w:spacing w:before="120" w:after="120"/>
        <w:rPr>
          <w:szCs w:val="24"/>
        </w:rPr>
      </w:pPr>
    </w:p>
    <w:p w:rsidR="006A5628" w:rsidRPr="004544EF" w:rsidRDefault="006A5628" w:rsidP="002135B8">
      <w:pPr>
        <w:spacing w:before="120" w:after="120"/>
        <w:rPr>
          <w:szCs w:val="24"/>
        </w:rPr>
      </w:pPr>
    </w:p>
    <w:p w:rsidR="006A5628" w:rsidRPr="004544EF" w:rsidRDefault="006A5628" w:rsidP="002135B8">
      <w:pPr>
        <w:spacing w:before="120" w:after="120"/>
        <w:rPr>
          <w:szCs w:val="24"/>
        </w:rPr>
      </w:pPr>
      <w:r w:rsidRPr="004544EF">
        <w:rPr>
          <w:szCs w:val="24"/>
        </w:rPr>
        <w:t>Ar cieņu</w:t>
      </w:r>
    </w:p>
    <w:p w:rsidR="006A5628" w:rsidRPr="004544EF" w:rsidRDefault="002135B8" w:rsidP="002135B8">
      <w:pPr>
        <w:spacing w:before="120" w:after="120"/>
        <w:rPr>
          <w:szCs w:val="24"/>
        </w:rPr>
      </w:pPr>
      <w:r w:rsidRPr="004544EF">
        <w:rPr>
          <w:szCs w:val="24"/>
        </w:rPr>
        <w:t>Ministru prezidente</w:t>
      </w:r>
      <w:r w:rsidR="006A5628" w:rsidRPr="004544EF">
        <w:rPr>
          <w:szCs w:val="24"/>
        </w:rPr>
        <w:t xml:space="preserve"> </w:t>
      </w:r>
      <w:r w:rsidR="006A5628" w:rsidRPr="004544EF">
        <w:rPr>
          <w:szCs w:val="24"/>
        </w:rPr>
        <w:tab/>
      </w:r>
      <w:r w:rsidR="006A5628" w:rsidRPr="004544EF">
        <w:rPr>
          <w:szCs w:val="24"/>
        </w:rPr>
        <w:tab/>
      </w:r>
      <w:r w:rsidR="006A5628" w:rsidRPr="004544EF">
        <w:rPr>
          <w:szCs w:val="24"/>
        </w:rPr>
        <w:tab/>
      </w:r>
      <w:r w:rsidR="006A5628" w:rsidRPr="004544EF">
        <w:rPr>
          <w:szCs w:val="24"/>
        </w:rPr>
        <w:tab/>
      </w:r>
      <w:r w:rsidR="006A5628" w:rsidRPr="004544EF">
        <w:rPr>
          <w:szCs w:val="24"/>
        </w:rPr>
        <w:tab/>
      </w:r>
      <w:r w:rsidR="006A5628" w:rsidRPr="004544EF">
        <w:rPr>
          <w:szCs w:val="24"/>
        </w:rPr>
        <w:tab/>
      </w:r>
      <w:r w:rsidR="006A5628" w:rsidRPr="004544EF">
        <w:rPr>
          <w:szCs w:val="24"/>
        </w:rPr>
        <w:tab/>
      </w:r>
      <w:proofErr w:type="spellStart"/>
      <w:r w:rsidRPr="004544EF">
        <w:rPr>
          <w:szCs w:val="24"/>
        </w:rPr>
        <w:t>L.Straujuma</w:t>
      </w:r>
      <w:proofErr w:type="spellEnd"/>
    </w:p>
    <w:p w:rsidR="006A5628" w:rsidRPr="004544EF" w:rsidRDefault="006A5628" w:rsidP="006A5628">
      <w:pPr>
        <w:spacing w:line="276" w:lineRule="auto"/>
        <w:rPr>
          <w:szCs w:val="24"/>
        </w:rPr>
      </w:pPr>
    </w:p>
    <w:p w:rsidR="006A5628" w:rsidRPr="004544EF" w:rsidRDefault="006A5628" w:rsidP="006A5628">
      <w:pPr>
        <w:spacing w:line="276" w:lineRule="auto"/>
        <w:rPr>
          <w:szCs w:val="26"/>
        </w:rPr>
      </w:pPr>
    </w:p>
    <w:p w:rsidR="00A475DE" w:rsidRPr="004544EF" w:rsidRDefault="00A475DE" w:rsidP="006A5628">
      <w:pPr>
        <w:spacing w:line="276" w:lineRule="auto"/>
        <w:rPr>
          <w:szCs w:val="26"/>
        </w:rPr>
      </w:pPr>
    </w:p>
    <w:p w:rsidR="005028D8" w:rsidRPr="004544EF" w:rsidRDefault="005028D8" w:rsidP="006A5628">
      <w:pPr>
        <w:spacing w:line="276" w:lineRule="auto"/>
        <w:rPr>
          <w:szCs w:val="26"/>
        </w:rPr>
      </w:pPr>
      <w:r w:rsidRPr="004544EF">
        <w:rPr>
          <w:szCs w:val="26"/>
        </w:rPr>
        <w:t>Iesniedzējs:</w:t>
      </w:r>
    </w:p>
    <w:p w:rsidR="005028D8" w:rsidRPr="004544EF" w:rsidRDefault="005028D8" w:rsidP="006A5628">
      <w:pPr>
        <w:spacing w:line="276" w:lineRule="auto"/>
        <w:rPr>
          <w:szCs w:val="26"/>
        </w:rPr>
      </w:pPr>
      <w:r w:rsidRPr="004544EF">
        <w:rPr>
          <w:szCs w:val="26"/>
        </w:rPr>
        <w:t>Finanšu ministrs</w:t>
      </w:r>
      <w:r w:rsidRPr="004544EF">
        <w:rPr>
          <w:szCs w:val="26"/>
        </w:rPr>
        <w:tab/>
      </w:r>
      <w:r w:rsidRPr="004544EF">
        <w:rPr>
          <w:szCs w:val="26"/>
        </w:rPr>
        <w:tab/>
      </w:r>
      <w:r w:rsidRPr="004544EF">
        <w:rPr>
          <w:szCs w:val="26"/>
        </w:rPr>
        <w:tab/>
      </w:r>
      <w:r w:rsidRPr="004544EF">
        <w:rPr>
          <w:szCs w:val="26"/>
        </w:rPr>
        <w:tab/>
      </w:r>
      <w:r w:rsidRPr="004544EF">
        <w:rPr>
          <w:szCs w:val="26"/>
        </w:rPr>
        <w:tab/>
      </w:r>
      <w:r w:rsidRPr="004544EF">
        <w:rPr>
          <w:szCs w:val="26"/>
        </w:rPr>
        <w:tab/>
      </w:r>
      <w:r w:rsidRPr="004544EF">
        <w:rPr>
          <w:szCs w:val="26"/>
        </w:rPr>
        <w:tab/>
      </w:r>
      <w:proofErr w:type="spellStart"/>
      <w:r w:rsidRPr="004544EF">
        <w:rPr>
          <w:szCs w:val="26"/>
        </w:rPr>
        <w:t>A.Vilks</w:t>
      </w:r>
      <w:proofErr w:type="spellEnd"/>
    </w:p>
    <w:p w:rsidR="005028D8" w:rsidRPr="004544EF" w:rsidRDefault="005028D8" w:rsidP="006A5628">
      <w:pPr>
        <w:spacing w:line="276" w:lineRule="auto"/>
        <w:rPr>
          <w:szCs w:val="26"/>
        </w:rPr>
      </w:pPr>
    </w:p>
    <w:p w:rsidR="005028D8" w:rsidRPr="004544EF" w:rsidRDefault="005028D8" w:rsidP="006A5628">
      <w:pPr>
        <w:spacing w:line="276" w:lineRule="auto"/>
        <w:rPr>
          <w:szCs w:val="26"/>
        </w:rPr>
      </w:pPr>
    </w:p>
    <w:p w:rsidR="005028D8" w:rsidRPr="004544EF" w:rsidRDefault="005028D8" w:rsidP="006A5628">
      <w:pPr>
        <w:spacing w:line="276" w:lineRule="auto"/>
        <w:rPr>
          <w:szCs w:val="26"/>
        </w:rPr>
      </w:pPr>
      <w:bookmarkStart w:id="2" w:name="_GoBack"/>
      <w:bookmarkEnd w:id="2"/>
    </w:p>
    <w:p w:rsidR="00A475DE" w:rsidRPr="004544EF" w:rsidRDefault="00A475DE" w:rsidP="006A5628">
      <w:pPr>
        <w:spacing w:line="276" w:lineRule="auto"/>
        <w:rPr>
          <w:szCs w:val="26"/>
        </w:rPr>
      </w:pPr>
    </w:p>
    <w:p w:rsidR="006A5628" w:rsidRPr="004544EF" w:rsidRDefault="002135B8" w:rsidP="001578DF">
      <w:pPr>
        <w:jc w:val="left"/>
        <w:rPr>
          <w:sz w:val="20"/>
        </w:rPr>
      </w:pPr>
      <w:r w:rsidRPr="004544EF">
        <w:rPr>
          <w:sz w:val="20"/>
        </w:rPr>
        <w:t>29.04.2014.  1</w:t>
      </w:r>
      <w:r w:rsidR="00AC1F7A" w:rsidRPr="004544EF">
        <w:rPr>
          <w:sz w:val="20"/>
        </w:rPr>
        <w:t>4</w:t>
      </w:r>
      <w:r w:rsidRPr="004544EF">
        <w:rPr>
          <w:sz w:val="20"/>
        </w:rPr>
        <w:t>:0</w:t>
      </w:r>
      <w:r w:rsidR="006A5628" w:rsidRPr="004544EF">
        <w:rPr>
          <w:sz w:val="20"/>
        </w:rPr>
        <w:t>0</w:t>
      </w:r>
    </w:p>
    <w:p w:rsidR="006A5628" w:rsidRPr="004544EF" w:rsidRDefault="000B132D" w:rsidP="001578DF">
      <w:pPr>
        <w:jc w:val="left"/>
        <w:rPr>
          <w:sz w:val="20"/>
        </w:rPr>
      </w:pPr>
      <w:r w:rsidRPr="004544EF">
        <w:rPr>
          <w:sz w:val="20"/>
        </w:rPr>
        <w:t>2</w:t>
      </w:r>
      <w:r w:rsidR="004544EF">
        <w:rPr>
          <w:sz w:val="20"/>
        </w:rPr>
        <w:t>733</w:t>
      </w:r>
    </w:p>
    <w:p w:rsidR="006A5628" w:rsidRPr="004544EF" w:rsidRDefault="000B132D" w:rsidP="001578DF">
      <w:pPr>
        <w:jc w:val="left"/>
        <w:rPr>
          <w:sz w:val="20"/>
        </w:rPr>
      </w:pPr>
      <w:proofErr w:type="spellStart"/>
      <w:r w:rsidRPr="004544EF">
        <w:rPr>
          <w:sz w:val="20"/>
        </w:rPr>
        <w:t>Z.Adijāne</w:t>
      </w:r>
      <w:proofErr w:type="spellEnd"/>
    </w:p>
    <w:p w:rsidR="00006948" w:rsidRPr="004544EF" w:rsidRDefault="006A5628" w:rsidP="001578DF">
      <w:pPr>
        <w:jc w:val="left"/>
        <w:rPr>
          <w:sz w:val="20"/>
        </w:rPr>
      </w:pPr>
      <w:r w:rsidRPr="004544EF">
        <w:rPr>
          <w:sz w:val="20"/>
        </w:rPr>
        <w:t>670</w:t>
      </w:r>
      <w:r w:rsidR="002135B8" w:rsidRPr="004544EF">
        <w:rPr>
          <w:sz w:val="20"/>
        </w:rPr>
        <w:t>95</w:t>
      </w:r>
      <w:r w:rsidR="000B132D" w:rsidRPr="004544EF">
        <w:rPr>
          <w:sz w:val="20"/>
        </w:rPr>
        <w:t>437</w:t>
      </w:r>
      <w:r w:rsidRPr="004544EF">
        <w:rPr>
          <w:sz w:val="20"/>
        </w:rPr>
        <w:t xml:space="preserve">, </w:t>
      </w:r>
      <w:hyperlink r:id="rId10" w:history="1">
        <w:r w:rsidR="000B132D" w:rsidRPr="004544EF">
          <w:rPr>
            <w:rStyle w:val="Hyperlink"/>
            <w:sz w:val="20"/>
          </w:rPr>
          <w:t>zane.adijane@fm.gov.lv</w:t>
        </w:r>
      </w:hyperlink>
    </w:p>
    <w:p w:rsidR="00006948" w:rsidRPr="004544EF" w:rsidRDefault="000B132D" w:rsidP="001578DF">
      <w:pPr>
        <w:jc w:val="left"/>
        <w:rPr>
          <w:rFonts w:ascii="Tahoma" w:hAnsi="Tahoma"/>
          <w:sz w:val="20"/>
        </w:rPr>
      </w:pPr>
      <w:proofErr w:type="spellStart"/>
      <w:r w:rsidRPr="004544EF">
        <w:rPr>
          <w:iCs/>
          <w:sz w:val="20"/>
        </w:rPr>
        <w:t>R.Č</w:t>
      </w:r>
      <w:r w:rsidR="00006948" w:rsidRPr="004544EF">
        <w:rPr>
          <w:iCs/>
          <w:sz w:val="20"/>
        </w:rPr>
        <w:t>ablis</w:t>
      </w:r>
      <w:proofErr w:type="spellEnd"/>
    </w:p>
    <w:p w:rsidR="00006948" w:rsidRPr="000B132D" w:rsidRDefault="00006948" w:rsidP="001578DF">
      <w:pPr>
        <w:jc w:val="left"/>
        <w:rPr>
          <w:rFonts w:ascii="Tahoma" w:hAnsi="Tahoma"/>
          <w:sz w:val="20"/>
        </w:rPr>
      </w:pPr>
      <w:r w:rsidRPr="004544EF">
        <w:rPr>
          <w:iCs/>
          <w:sz w:val="20"/>
        </w:rPr>
        <w:t xml:space="preserve">t.67095498; </w:t>
      </w:r>
      <w:hyperlink r:id="rId11" w:history="1">
        <w:r w:rsidRPr="004544EF">
          <w:rPr>
            <w:rStyle w:val="Hyperlink"/>
            <w:iCs/>
            <w:color w:val="0000FF"/>
            <w:sz w:val="20"/>
          </w:rPr>
          <w:t>raivis.cablis@fm.gov.lv</w:t>
        </w:r>
      </w:hyperlink>
    </w:p>
    <w:p w:rsidR="006A5628" w:rsidRPr="00006948" w:rsidRDefault="006A5628" w:rsidP="006A5628">
      <w:pPr>
        <w:spacing w:line="276" w:lineRule="auto"/>
        <w:rPr>
          <w:sz w:val="20"/>
        </w:rPr>
      </w:pPr>
    </w:p>
    <w:sectPr w:rsidR="006A5628" w:rsidRPr="00006948" w:rsidSect="00C713FA">
      <w:headerReference w:type="even" r:id="rId12"/>
      <w:headerReference w:type="default" r:id="rId13"/>
      <w:footerReference w:type="default" r:id="rId14"/>
      <w:footerReference w:type="first" r:id="rId15"/>
      <w:pgSz w:w="11906" w:h="16838"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043" w:rsidRDefault="00155043">
      <w:r>
        <w:separator/>
      </w:r>
    </w:p>
  </w:endnote>
  <w:endnote w:type="continuationSeparator" w:id="0">
    <w:p w:rsidR="00155043" w:rsidRDefault="0015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7FF" w:rsidRPr="00554BBD" w:rsidRDefault="00546F2B" w:rsidP="000037FF">
    <w:pPr>
      <w:pStyle w:val="Footer"/>
    </w:pPr>
    <w:r w:rsidRPr="00D95EEA">
      <w:t xml:space="preserve">FMPav_290414_SPIRK_adm_izd; </w:t>
    </w:r>
    <w:r w:rsidR="000037FF" w:rsidRPr="00554BBD">
      <w:t xml:space="preserve">Ministru kabineta </w:t>
    </w:r>
    <w:r w:rsidR="000037FF">
      <w:t>vēstules projekts</w:t>
    </w:r>
    <w:r w:rsidR="000037FF" w:rsidRPr="00554BBD">
      <w:t xml:space="preserve"> Saeimas Publisko izdevumu un revīzijas komisijai</w:t>
    </w:r>
  </w:p>
  <w:p w:rsidR="00546F2B" w:rsidRPr="00D95EEA" w:rsidRDefault="00546F2B" w:rsidP="00546F2B">
    <w:pPr>
      <w:pStyle w:val="Subtitle"/>
      <w:widowControl/>
      <w:spacing w:before="120" w:after="120"/>
      <w:rPr>
        <w:b w:val="0"/>
        <w:i/>
        <w:sz w:val="20"/>
      </w:rPr>
    </w:pPr>
  </w:p>
  <w:p w:rsidR="00155043" w:rsidRDefault="00155043">
    <w:pPr>
      <w:pStyle w:val="Footer"/>
    </w:pPr>
  </w:p>
  <w:p w:rsidR="00155043" w:rsidRDefault="00155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7FF" w:rsidRPr="00554BBD" w:rsidRDefault="000037FF" w:rsidP="000037FF">
    <w:pPr>
      <w:pStyle w:val="Footer"/>
    </w:pPr>
    <w:r w:rsidRPr="00D95EEA">
      <w:t xml:space="preserve">FMPav_290414_SPIRK_adm_izd; </w:t>
    </w:r>
    <w:r w:rsidRPr="00554BBD">
      <w:t xml:space="preserve">Ministru kabineta </w:t>
    </w:r>
    <w:r>
      <w:t>vēstules projekts</w:t>
    </w:r>
    <w:r w:rsidRPr="00554BBD">
      <w:t xml:space="preserve"> Saeimas Publisko izdevumu un revīzijas komisijai</w:t>
    </w:r>
  </w:p>
  <w:p w:rsidR="00D95EEA" w:rsidRPr="00D95EEA" w:rsidRDefault="00D95EEA" w:rsidP="00D95EEA">
    <w:pPr>
      <w:pStyle w:val="Subtitle"/>
      <w:widowControl/>
      <w:spacing w:before="120" w:after="120"/>
      <w:rPr>
        <w:b w:val="0"/>
        <w:i/>
        <w:sz w:val="20"/>
      </w:rPr>
    </w:pPr>
  </w:p>
  <w:p w:rsidR="00D95EEA" w:rsidRDefault="00D95EEA">
    <w:pPr>
      <w:pStyle w:val="Footer"/>
    </w:pPr>
  </w:p>
  <w:p w:rsidR="00155043" w:rsidRPr="0064397C" w:rsidRDefault="00155043" w:rsidP="002D5B96">
    <w:pPr>
      <w:jc w:val="left"/>
      <w:rPr>
        <w:i/>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043" w:rsidRDefault="00155043">
      <w:r>
        <w:separator/>
      </w:r>
    </w:p>
  </w:footnote>
  <w:footnote w:type="continuationSeparator" w:id="0">
    <w:p w:rsidR="00155043" w:rsidRDefault="00155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043" w:rsidRDefault="0015504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5043" w:rsidRDefault="001550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043" w:rsidRDefault="0015504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44EF">
      <w:rPr>
        <w:rStyle w:val="PageNumber"/>
        <w:noProof/>
      </w:rPr>
      <w:t>7</w:t>
    </w:r>
    <w:r>
      <w:rPr>
        <w:rStyle w:val="PageNumber"/>
      </w:rPr>
      <w:fldChar w:fldCharType="end"/>
    </w:r>
  </w:p>
  <w:p w:rsidR="00155043" w:rsidRDefault="001550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52A73"/>
    <w:multiLevelType w:val="hybridMultilevel"/>
    <w:tmpl w:val="576E784E"/>
    <w:lvl w:ilvl="0" w:tplc="669CCF44">
      <w:start w:val="1"/>
      <w:numFmt w:val="upperRoman"/>
      <w:pStyle w:val="Lielaisvirsraksts"/>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13777FE3"/>
    <w:multiLevelType w:val="hybridMultilevel"/>
    <w:tmpl w:val="D5A4A3B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2A01B8E"/>
    <w:multiLevelType w:val="hybridMultilevel"/>
    <w:tmpl w:val="1978883E"/>
    <w:lvl w:ilvl="0" w:tplc="4F0E32BE">
      <w:start w:val="1"/>
      <w:numFmt w:val="decimal"/>
      <w:lvlText w:val="%1)"/>
      <w:lvlJc w:val="left"/>
      <w:pPr>
        <w:ind w:left="869" w:hanging="585"/>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nsid w:val="409A0A83"/>
    <w:multiLevelType w:val="multilevel"/>
    <w:tmpl w:val="0426001F"/>
    <w:lvl w:ilvl="0">
      <w:start w:val="1"/>
      <w:numFmt w:val="decimal"/>
      <w:lvlText w:val="%1."/>
      <w:lvlJc w:val="left"/>
      <w:pPr>
        <w:tabs>
          <w:tab w:val="num" w:pos="360"/>
        </w:tabs>
        <w:ind w:left="360" w:hanging="36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sz w:val="28"/>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45A87858"/>
    <w:multiLevelType w:val="hybridMultilevel"/>
    <w:tmpl w:val="AC0A7E3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A4F0270"/>
    <w:multiLevelType w:val="hybridMultilevel"/>
    <w:tmpl w:val="549083E4"/>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6">
    <w:nsid w:val="4B704D0D"/>
    <w:multiLevelType w:val="hybridMultilevel"/>
    <w:tmpl w:val="D140F9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A0A708F"/>
    <w:multiLevelType w:val="hybridMultilevel"/>
    <w:tmpl w:val="E770744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5AA7E08"/>
    <w:multiLevelType w:val="hybridMultilevel"/>
    <w:tmpl w:val="9E16543C"/>
    <w:lvl w:ilvl="0" w:tplc="6CA8C664">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BA84E6C"/>
    <w:multiLevelType w:val="multilevel"/>
    <w:tmpl w:val="0426001F"/>
    <w:lvl w:ilvl="0">
      <w:start w:val="1"/>
      <w:numFmt w:val="decimal"/>
      <w:lvlText w:val="%1."/>
      <w:lvlJc w:val="left"/>
      <w:pPr>
        <w:tabs>
          <w:tab w:val="num" w:pos="360"/>
        </w:tabs>
        <w:ind w:left="360" w:hanging="36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745A64B8"/>
    <w:multiLevelType w:val="hybridMultilevel"/>
    <w:tmpl w:val="71068E40"/>
    <w:lvl w:ilvl="0" w:tplc="D61C66D2">
      <w:start w:val="1"/>
      <w:numFmt w:val="decimal"/>
      <w:pStyle w:val="Pielikumiem"/>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74C50A89"/>
    <w:multiLevelType w:val="multilevel"/>
    <w:tmpl w:val="A8D0AA56"/>
    <w:lvl w:ilvl="0">
      <w:start w:val="1"/>
      <w:numFmt w:val="decimal"/>
      <w:pStyle w:val="Stlis1"/>
      <w:lvlText w:val="%1."/>
      <w:lvlJc w:val="left"/>
      <w:pPr>
        <w:tabs>
          <w:tab w:val="num" w:pos="360"/>
        </w:tabs>
        <w:ind w:left="360" w:hanging="360"/>
      </w:pPr>
    </w:lvl>
    <w:lvl w:ilvl="1">
      <w:start w:val="1"/>
      <w:numFmt w:val="decimal"/>
      <w:pStyle w:val="Stils11"/>
      <w:lvlText w:val="%1.%2."/>
      <w:lvlJc w:val="left"/>
      <w:pPr>
        <w:tabs>
          <w:tab w:val="num" w:pos="792"/>
        </w:tabs>
        <w:ind w:left="792" w:hanging="432"/>
      </w:pPr>
    </w:lvl>
    <w:lvl w:ilvl="2">
      <w:start w:val="1"/>
      <w:numFmt w:val="decimal"/>
      <w:pStyle w:val="Stils111"/>
      <w:lvlText w:val="%1.%2.%3."/>
      <w:lvlJc w:val="left"/>
      <w:pPr>
        <w:tabs>
          <w:tab w:val="num" w:pos="1440"/>
        </w:tabs>
        <w:ind w:left="1224" w:hanging="504"/>
      </w:pPr>
    </w:lvl>
    <w:lvl w:ilvl="3">
      <w:start w:val="1"/>
      <w:numFmt w:val="decimal"/>
      <w:pStyle w:val="Stlis1111"/>
      <w:lvlText w:val="%1.%2.%3.%4."/>
      <w:lvlJc w:val="left"/>
      <w:pPr>
        <w:tabs>
          <w:tab w:val="num" w:pos="1800"/>
        </w:tabs>
        <w:ind w:left="1728" w:hanging="648"/>
      </w:pPr>
    </w:lvl>
    <w:lvl w:ilvl="4">
      <w:start w:val="1"/>
      <w:numFmt w:val="decimal"/>
      <w:pStyle w:val="Stils11111"/>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7A927B13"/>
    <w:multiLevelType w:val="hybridMultilevel"/>
    <w:tmpl w:val="17EE5B14"/>
    <w:lvl w:ilvl="0" w:tplc="62ACF08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7AB0030E"/>
    <w:multiLevelType w:val="hybridMultilevel"/>
    <w:tmpl w:val="419ED6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B456433"/>
    <w:multiLevelType w:val="multilevel"/>
    <w:tmpl w:val="D17ABF9E"/>
    <w:styleLink w:val="StilsStrukturtsnumurts"/>
    <w:lvl w:ilvl="0">
      <w:start w:val="1"/>
      <w:numFmt w:val="decimal"/>
      <w:lvlText w:val="%1."/>
      <w:lvlJc w:val="left"/>
      <w:pPr>
        <w:tabs>
          <w:tab w:val="num" w:pos="360"/>
        </w:tabs>
        <w:ind w:left="360" w:hanging="36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3"/>
  </w:num>
  <w:num w:numId="3">
    <w:abstractNumId w:val="0"/>
  </w:num>
  <w:num w:numId="4">
    <w:abstractNumId w:val="10"/>
  </w:num>
  <w:num w:numId="5">
    <w:abstractNumId w:val="14"/>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2"/>
  </w:num>
  <w:num w:numId="17">
    <w:abstractNumId w:val="13"/>
  </w:num>
  <w:num w:numId="18">
    <w:abstractNumId w:val="12"/>
  </w:num>
  <w:num w:numId="19">
    <w:abstractNumId w:val="5"/>
  </w:num>
  <w:num w:numId="20">
    <w:abstractNumId w:val="8"/>
  </w:num>
  <w:num w:numId="21">
    <w:abstractNumId w:val="6"/>
  </w:num>
  <w:num w:numId="22">
    <w:abstractNumId w:val="7"/>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002" w:allStyles="0" w:customStyles="1"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B34"/>
    <w:rsid w:val="00002617"/>
    <w:rsid w:val="000037FF"/>
    <w:rsid w:val="00006948"/>
    <w:rsid w:val="000135DD"/>
    <w:rsid w:val="000322D0"/>
    <w:rsid w:val="00036DEF"/>
    <w:rsid w:val="00071F15"/>
    <w:rsid w:val="00074BF1"/>
    <w:rsid w:val="000A0C5C"/>
    <w:rsid w:val="000A63B7"/>
    <w:rsid w:val="000B132D"/>
    <w:rsid w:val="000B6FA2"/>
    <w:rsid w:val="000C3A59"/>
    <w:rsid w:val="000C77EE"/>
    <w:rsid w:val="000D4C08"/>
    <w:rsid w:val="000D5533"/>
    <w:rsid w:val="000E6B8B"/>
    <w:rsid w:val="000E6F78"/>
    <w:rsid w:val="000F0B99"/>
    <w:rsid w:val="00103592"/>
    <w:rsid w:val="0012733E"/>
    <w:rsid w:val="00140F9B"/>
    <w:rsid w:val="00142AA9"/>
    <w:rsid w:val="001456D6"/>
    <w:rsid w:val="00153BC1"/>
    <w:rsid w:val="00155043"/>
    <w:rsid w:val="001578DF"/>
    <w:rsid w:val="00164B0F"/>
    <w:rsid w:val="00165F72"/>
    <w:rsid w:val="001A56E3"/>
    <w:rsid w:val="001B0339"/>
    <w:rsid w:val="001B0744"/>
    <w:rsid w:val="001B3DCD"/>
    <w:rsid w:val="001F3711"/>
    <w:rsid w:val="002135B8"/>
    <w:rsid w:val="0023346C"/>
    <w:rsid w:val="0026676C"/>
    <w:rsid w:val="00275BB0"/>
    <w:rsid w:val="00286073"/>
    <w:rsid w:val="0029659B"/>
    <w:rsid w:val="002A7807"/>
    <w:rsid w:val="002B71B8"/>
    <w:rsid w:val="002C29A6"/>
    <w:rsid w:val="002D5B96"/>
    <w:rsid w:val="002E5A5F"/>
    <w:rsid w:val="002E7986"/>
    <w:rsid w:val="00315554"/>
    <w:rsid w:val="0034471D"/>
    <w:rsid w:val="00344F6E"/>
    <w:rsid w:val="00367E27"/>
    <w:rsid w:val="00367E59"/>
    <w:rsid w:val="003819E9"/>
    <w:rsid w:val="003B2200"/>
    <w:rsid w:val="003B24FE"/>
    <w:rsid w:val="003B46A0"/>
    <w:rsid w:val="003B7A59"/>
    <w:rsid w:val="003D124E"/>
    <w:rsid w:val="003E35B4"/>
    <w:rsid w:val="003F2640"/>
    <w:rsid w:val="003F44EA"/>
    <w:rsid w:val="00412C8D"/>
    <w:rsid w:val="00413F5D"/>
    <w:rsid w:val="00436A7B"/>
    <w:rsid w:val="004544EF"/>
    <w:rsid w:val="00462452"/>
    <w:rsid w:val="0047147A"/>
    <w:rsid w:val="00482918"/>
    <w:rsid w:val="004B4D25"/>
    <w:rsid w:val="004D5292"/>
    <w:rsid w:val="004E4365"/>
    <w:rsid w:val="004E714D"/>
    <w:rsid w:val="004F7896"/>
    <w:rsid w:val="005028D8"/>
    <w:rsid w:val="00511E6D"/>
    <w:rsid w:val="00511F93"/>
    <w:rsid w:val="00531CFE"/>
    <w:rsid w:val="005354CD"/>
    <w:rsid w:val="00544D50"/>
    <w:rsid w:val="00546F2B"/>
    <w:rsid w:val="0055007C"/>
    <w:rsid w:val="00574ADC"/>
    <w:rsid w:val="00584AF7"/>
    <w:rsid w:val="005935D4"/>
    <w:rsid w:val="00595B51"/>
    <w:rsid w:val="005A5663"/>
    <w:rsid w:val="005B701E"/>
    <w:rsid w:val="005E7C61"/>
    <w:rsid w:val="0064397C"/>
    <w:rsid w:val="006550E6"/>
    <w:rsid w:val="00656B76"/>
    <w:rsid w:val="00686AA4"/>
    <w:rsid w:val="00691171"/>
    <w:rsid w:val="0069156A"/>
    <w:rsid w:val="00697476"/>
    <w:rsid w:val="006A5628"/>
    <w:rsid w:val="006A6A15"/>
    <w:rsid w:val="006C1A0C"/>
    <w:rsid w:val="006C1B27"/>
    <w:rsid w:val="006C40AC"/>
    <w:rsid w:val="006E682D"/>
    <w:rsid w:val="006F3C92"/>
    <w:rsid w:val="00707721"/>
    <w:rsid w:val="00707A59"/>
    <w:rsid w:val="007125BD"/>
    <w:rsid w:val="00736641"/>
    <w:rsid w:val="00736AD3"/>
    <w:rsid w:val="00737769"/>
    <w:rsid w:val="00744A3A"/>
    <w:rsid w:val="007559C2"/>
    <w:rsid w:val="0078668C"/>
    <w:rsid w:val="007A455B"/>
    <w:rsid w:val="007B33EE"/>
    <w:rsid w:val="007D0E57"/>
    <w:rsid w:val="007F6E38"/>
    <w:rsid w:val="00804774"/>
    <w:rsid w:val="008263DE"/>
    <w:rsid w:val="00833DD8"/>
    <w:rsid w:val="008346E5"/>
    <w:rsid w:val="008369E3"/>
    <w:rsid w:val="00846B5F"/>
    <w:rsid w:val="00876FA3"/>
    <w:rsid w:val="00882704"/>
    <w:rsid w:val="00883E5B"/>
    <w:rsid w:val="00886E17"/>
    <w:rsid w:val="00893DF7"/>
    <w:rsid w:val="008A5FE6"/>
    <w:rsid w:val="008B04C4"/>
    <w:rsid w:val="008B1879"/>
    <w:rsid w:val="008B6F2B"/>
    <w:rsid w:val="008D6D43"/>
    <w:rsid w:val="008F3BC7"/>
    <w:rsid w:val="008F6C69"/>
    <w:rsid w:val="009012B9"/>
    <w:rsid w:val="00902F07"/>
    <w:rsid w:val="009111D2"/>
    <w:rsid w:val="009457B7"/>
    <w:rsid w:val="00956412"/>
    <w:rsid w:val="00973BCF"/>
    <w:rsid w:val="00986058"/>
    <w:rsid w:val="009908D5"/>
    <w:rsid w:val="009B1B11"/>
    <w:rsid w:val="009C02A0"/>
    <w:rsid w:val="009C0E97"/>
    <w:rsid w:val="009C68FB"/>
    <w:rsid w:val="009D167C"/>
    <w:rsid w:val="009E5D88"/>
    <w:rsid w:val="009F43AF"/>
    <w:rsid w:val="00A2408D"/>
    <w:rsid w:val="00A26CDD"/>
    <w:rsid w:val="00A27AC0"/>
    <w:rsid w:val="00A3329C"/>
    <w:rsid w:val="00A46C75"/>
    <w:rsid w:val="00A475DE"/>
    <w:rsid w:val="00A574F1"/>
    <w:rsid w:val="00A578CB"/>
    <w:rsid w:val="00A64DC9"/>
    <w:rsid w:val="00A6651D"/>
    <w:rsid w:val="00A81E66"/>
    <w:rsid w:val="00AA3C09"/>
    <w:rsid w:val="00AB29DA"/>
    <w:rsid w:val="00AB43B9"/>
    <w:rsid w:val="00AC1F7A"/>
    <w:rsid w:val="00AF5C22"/>
    <w:rsid w:val="00B100F2"/>
    <w:rsid w:val="00B11375"/>
    <w:rsid w:val="00B15BE9"/>
    <w:rsid w:val="00B2420E"/>
    <w:rsid w:val="00B25658"/>
    <w:rsid w:val="00B36A42"/>
    <w:rsid w:val="00B51B34"/>
    <w:rsid w:val="00B77D74"/>
    <w:rsid w:val="00B84599"/>
    <w:rsid w:val="00B87B8C"/>
    <w:rsid w:val="00B9235B"/>
    <w:rsid w:val="00B9689F"/>
    <w:rsid w:val="00BA7EAD"/>
    <w:rsid w:val="00BD21A8"/>
    <w:rsid w:val="00BF05C1"/>
    <w:rsid w:val="00BF3444"/>
    <w:rsid w:val="00C050B5"/>
    <w:rsid w:val="00C372B8"/>
    <w:rsid w:val="00C47744"/>
    <w:rsid w:val="00C713FA"/>
    <w:rsid w:val="00C82272"/>
    <w:rsid w:val="00CA4372"/>
    <w:rsid w:val="00CB7CE7"/>
    <w:rsid w:val="00CD4688"/>
    <w:rsid w:val="00CF7872"/>
    <w:rsid w:val="00D22ACE"/>
    <w:rsid w:val="00D30784"/>
    <w:rsid w:val="00D34CBC"/>
    <w:rsid w:val="00D37357"/>
    <w:rsid w:val="00D727B8"/>
    <w:rsid w:val="00D72D4E"/>
    <w:rsid w:val="00D85986"/>
    <w:rsid w:val="00D87857"/>
    <w:rsid w:val="00D91D31"/>
    <w:rsid w:val="00D9514E"/>
    <w:rsid w:val="00D95EEA"/>
    <w:rsid w:val="00DA565E"/>
    <w:rsid w:val="00DA5867"/>
    <w:rsid w:val="00DB3A6C"/>
    <w:rsid w:val="00DB5454"/>
    <w:rsid w:val="00DC2542"/>
    <w:rsid w:val="00DC27D5"/>
    <w:rsid w:val="00DE51D2"/>
    <w:rsid w:val="00DF126F"/>
    <w:rsid w:val="00E05C05"/>
    <w:rsid w:val="00E13A4A"/>
    <w:rsid w:val="00E148C4"/>
    <w:rsid w:val="00E24F41"/>
    <w:rsid w:val="00E302FE"/>
    <w:rsid w:val="00E3220D"/>
    <w:rsid w:val="00E41423"/>
    <w:rsid w:val="00E55F53"/>
    <w:rsid w:val="00E60A03"/>
    <w:rsid w:val="00E91F0E"/>
    <w:rsid w:val="00EA37D7"/>
    <w:rsid w:val="00EB2990"/>
    <w:rsid w:val="00EB4B54"/>
    <w:rsid w:val="00EE5519"/>
    <w:rsid w:val="00EF478F"/>
    <w:rsid w:val="00F12C5E"/>
    <w:rsid w:val="00F15488"/>
    <w:rsid w:val="00F34404"/>
    <w:rsid w:val="00F97D1E"/>
    <w:rsid w:val="00FC7B01"/>
    <w:rsid w:val="00FD3B2F"/>
    <w:rsid w:val="00FE29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8AB3866F-4EAB-4EAE-83FC-C4A7124C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F6E"/>
    <w:pPr>
      <w:jc w:val="both"/>
    </w:pPr>
    <w:rPr>
      <w:sz w:val="24"/>
      <w:lang w:eastAsia="en-US"/>
    </w:rPr>
  </w:style>
  <w:style w:type="paragraph" w:styleId="Heading1">
    <w:name w:val="heading 1"/>
    <w:basedOn w:val="Normal"/>
    <w:next w:val="Normal"/>
    <w:qFormat/>
    <w:rsid w:val="00DB3A6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713FA"/>
    <w:pPr>
      <w:tabs>
        <w:tab w:val="center" w:pos="4153"/>
        <w:tab w:val="right" w:pos="8306"/>
      </w:tabs>
    </w:pPr>
    <w:rPr>
      <w:sz w:val="20"/>
    </w:rPr>
  </w:style>
  <w:style w:type="paragraph" w:customStyle="1" w:styleId="H4">
    <w:name w:val="H4"/>
    <w:rsid w:val="00C713FA"/>
    <w:pPr>
      <w:spacing w:after="120"/>
      <w:jc w:val="center"/>
      <w:outlineLvl w:val="3"/>
    </w:pPr>
    <w:rPr>
      <w:b/>
      <w:sz w:val="28"/>
      <w:lang w:eastAsia="zh-CN"/>
    </w:rPr>
  </w:style>
  <w:style w:type="paragraph" w:customStyle="1" w:styleId="H3">
    <w:name w:val="H3"/>
    <w:rsid w:val="00C713FA"/>
    <w:pPr>
      <w:spacing w:after="120"/>
      <w:jc w:val="center"/>
      <w:outlineLvl w:val="2"/>
    </w:pPr>
    <w:rPr>
      <w:b/>
      <w:sz w:val="32"/>
      <w:lang w:eastAsia="zh-CN"/>
    </w:rPr>
  </w:style>
  <w:style w:type="paragraph" w:customStyle="1" w:styleId="H2">
    <w:name w:val="H2"/>
    <w:rsid w:val="00C713FA"/>
    <w:pPr>
      <w:spacing w:after="120"/>
      <w:jc w:val="center"/>
      <w:outlineLvl w:val="1"/>
    </w:pPr>
    <w:rPr>
      <w:b/>
      <w:sz w:val="36"/>
      <w:lang w:eastAsia="zh-CN"/>
    </w:rPr>
  </w:style>
  <w:style w:type="paragraph" w:customStyle="1" w:styleId="H1">
    <w:name w:val="H1"/>
    <w:rsid w:val="00C713FA"/>
    <w:pPr>
      <w:spacing w:after="120"/>
      <w:jc w:val="center"/>
      <w:outlineLvl w:val="0"/>
    </w:pPr>
    <w:rPr>
      <w:b/>
      <w:sz w:val="44"/>
      <w:lang w:eastAsia="zh-CN"/>
    </w:rPr>
  </w:style>
  <w:style w:type="paragraph" w:customStyle="1" w:styleId="T">
    <w:name w:val="T"/>
    <w:basedOn w:val="Normal"/>
    <w:rsid w:val="00C713FA"/>
    <w:pPr>
      <w:jc w:val="center"/>
    </w:pPr>
    <w:rPr>
      <w:b/>
      <w:i/>
    </w:rPr>
  </w:style>
  <w:style w:type="paragraph" w:customStyle="1" w:styleId="Z">
    <w:name w:val="Z"/>
    <w:basedOn w:val="T"/>
    <w:rsid w:val="00C713FA"/>
  </w:style>
  <w:style w:type="character" w:styleId="PageNumber">
    <w:name w:val="page number"/>
    <w:basedOn w:val="DefaultParagraphFont"/>
    <w:rsid w:val="00C713FA"/>
  </w:style>
  <w:style w:type="paragraph" w:styleId="Header">
    <w:name w:val="header"/>
    <w:basedOn w:val="Normal"/>
    <w:link w:val="HeaderChar"/>
    <w:rsid w:val="00C713FA"/>
    <w:pPr>
      <w:tabs>
        <w:tab w:val="center" w:pos="4153"/>
        <w:tab w:val="right" w:pos="8306"/>
      </w:tabs>
    </w:pPr>
  </w:style>
  <w:style w:type="paragraph" w:customStyle="1" w:styleId="StilsPirmrindia0cm">
    <w:name w:val="Stils Pirmā rindiņa:  0 cm"/>
    <w:basedOn w:val="Normal"/>
    <w:rsid w:val="00DB3A6C"/>
  </w:style>
  <w:style w:type="numbering" w:customStyle="1" w:styleId="StilsStrukturtsnumurts">
    <w:name w:val="Stils Strukturēts numurēts"/>
    <w:basedOn w:val="NoList"/>
    <w:rsid w:val="00142AA9"/>
    <w:pPr>
      <w:numPr>
        <w:numId w:val="5"/>
      </w:numPr>
    </w:pPr>
  </w:style>
  <w:style w:type="paragraph" w:styleId="BalloonText">
    <w:name w:val="Balloon Text"/>
    <w:basedOn w:val="Normal"/>
    <w:semiHidden/>
    <w:rsid w:val="001456D6"/>
    <w:rPr>
      <w:rFonts w:ascii="Tahoma" w:hAnsi="Tahoma" w:cs="Tahoma"/>
      <w:sz w:val="16"/>
      <w:szCs w:val="16"/>
    </w:rPr>
  </w:style>
  <w:style w:type="paragraph" w:customStyle="1" w:styleId="Lielaisvirsraksts">
    <w:name w:val="Lielais virsraksts"/>
    <w:basedOn w:val="Heading1"/>
    <w:next w:val="Normal"/>
    <w:rsid w:val="00DB3A6C"/>
    <w:pPr>
      <w:numPr>
        <w:numId w:val="3"/>
      </w:numPr>
      <w:jc w:val="center"/>
    </w:pPr>
    <w:rPr>
      <w:rFonts w:ascii="Times New Roman" w:hAnsi="Times New Roman"/>
    </w:rPr>
  </w:style>
  <w:style w:type="paragraph" w:customStyle="1" w:styleId="Pielikumiem">
    <w:name w:val="Pielikumiem"/>
    <w:basedOn w:val="Heading1"/>
    <w:next w:val="BodyText"/>
    <w:rsid w:val="00DB3A6C"/>
    <w:pPr>
      <w:numPr>
        <w:numId w:val="4"/>
      </w:numPr>
      <w:jc w:val="right"/>
    </w:pPr>
    <w:rPr>
      <w:rFonts w:ascii="Times New Roman" w:hAnsi="Times New Roman"/>
      <w:sz w:val="28"/>
    </w:rPr>
  </w:style>
  <w:style w:type="paragraph" w:styleId="BodyText">
    <w:name w:val="Body Text"/>
    <w:basedOn w:val="Normal"/>
    <w:rsid w:val="00DB3A6C"/>
  </w:style>
  <w:style w:type="paragraph" w:customStyle="1" w:styleId="11">
    <w:name w:val="1.1"/>
    <w:basedOn w:val="Normal"/>
    <w:rsid w:val="0069156A"/>
  </w:style>
  <w:style w:type="paragraph" w:customStyle="1" w:styleId="1">
    <w:name w:val="1"/>
    <w:basedOn w:val="Normal"/>
    <w:rsid w:val="0069156A"/>
  </w:style>
  <w:style w:type="paragraph" w:customStyle="1" w:styleId="111">
    <w:name w:val="1.1.1"/>
    <w:basedOn w:val="Normal"/>
    <w:rsid w:val="0069156A"/>
  </w:style>
  <w:style w:type="paragraph" w:customStyle="1" w:styleId="1111">
    <w:name w:val="1.1.1.1"/>
    <w:basedOn w:val="Normal"/>
    <w:rsid w:val="0069156A"/>
    <w:pPr>
      <w:tabs>
        <w:tab w:val="left" w:pos="2835"/>
      </w:tabs>
    </w:pPr>
  </w:style>
  <w:style w:type="paragraph" w:customStyle="1" w:styleId="Stlis11111">
    <w:name w:val="Stlis 1.1.1.1.1"/>
    <w:basedOn w:val="Normal"/>
    <w:rsid w:val="0069156A"/>
  </w:style>
  <w:style w:type="paragraph" w:customStyle="1" w:styleId="Stlis1">
    <w:name w:val="Stlis 1"/>
    <w:basedOn w:val="Normal"/>
    <w:rsid w:val="0069156A"/>
    <w:pPr>
      <w:numPr>
        <w:numId w:val="15"/>
      </w:numPr>
    </w:pPr>
  </w:style>
  <w:style w:type="paragraph" w:customStyle="1" w:styleId="Stils11">
    <w:name w:val="Stils 1.1"/>
    <w:basedOn w:val="Normal"/>
    <w:rsid w:val="0069156A"/>
    <w:pPr>
      <w:numPr>
        <w:ilvl w:val="1"/>
        <w:numId w:val="15"/>
      </w:numPr>
    </w:pPr>
  </w:style>
  <w:style w:type="paragraph" w:customStyle="1" w:styleId="Stils111">
    <w:name w:val="Stils 1.1.1"/>
    <w:basedOn w:val="Normal"/>
    <w:rsid w:val="0069156A"/>
    <w:pPr>
      <w:numPr>
        <w:ilvl w:val="2"/>
        <w:numId w:val="15"/>
      </w:numPr>
    </w:pPr>
  </w:style>
  <w:style w:type="paragraph" w:customStyle="1" w:styleId="Stlis1111">
    <w:name w:val="Stlis 1.1.1.1"/>
    <w:basedOn w:val="Normal"/>
    <w:rsid w:val="0069156A"/>
    <w:pPr>
      <w:numPr>
        <w:ilvl w:val="3"/>
        <w:numId w:val="15"/>
      </w:numPr>
      <w:tabs>
        <w:tab w:val="left" w:pos="2835"/>
      </w:tabs>
    </w:pPr>
  </w:style>
  <w:style w:type="paragraph" w:customStyle="1" w:styleId="Stils11111">
    <w:name w:val="Stils 1.1.1.1.1"/>
    <w:basedOn w:val="Normal"/>
    <w:rsid w:val="0069156A"/>
    <w:pPr>
      <w:numPr>
        <w:ilvl w:val="4"/>
        <w:numId w:val="15"/>
      </w:numPr>
    </w:pPr>
  </w:style>
  <w:style w:type="table" w:styleId="TableGrid">
    <w:name w:val="Table Grid"/>
    <w:basedOn w:val="TableNormal"/>
    <w:rsid w:val="00344F6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C27D5"/>
    <w:pPr>
      <w:ind w:firstLine="720"/>
    </w:pPr>
    <w:rPr>
      <w:szCs w:val="24"/>
    </w:rPr>
  </w:style>
  <w:style w:type="character" w:customStyle="1" w:styleId="BodyTextIndentChar">
    <w:name w:val="Body Text Indent Char"/>
    <w:basedOn w:val="DefaultParagraphFont"/>
    <w:link w:val="BodyTextIndent"/>
    <w:rsid w:val="00DC27D5"/>
    <w:rPr>
      <w:sz w:val="24"/>
      <w:szCs w:val="24"/>
      <w:lang w:eastAsia="en-US"/>
    </w:rPr>
  </w:style>
  <w:style w:type="character" w:styleId="Hyperlink">
    <w:name w:val="Hyperlink"/>
    <w:basedOn w:val="DefaultParagraphFont"/>
    <w:uiPriority w:val="99"/>
    <w:unhideWhenUsed/>
    <w:rsid w:val="00DC27D5"/>
    <w:rPr>
      <w:color w:val="0000FF" w:themeColor="hyperlink"/>
      <w:u w:val="single"/>
    </w:rPr>
  </w:style>
  <w:style w:type="paragraph" w:styleId="ListParagraph">
    <w:name w:val="List Paragraph"/>
    <w:basedOn w:val="Normal"/>
    <w:uiPriority w:val="34"/>
    <w:qFormat/>
    <w:rsid w:val="00FC7B01"/>
    <w:pPr>
      <w:ind w:left="720"/>
      <w:contextualSpacing/>
    </w:pPr>
  </w:style>
  <w:style w:type="paragraph" w:styleId="NormalWeb">
    <w:name w:val="Normal (Web)"/>
    <w:basedOn w:val="Normal"/>
    <w:uiPriority w:val="99"/>
    <w:unhideWhenUsed/>
    <w:rsid w:val="000E6F78"/>
    <w:pPr>
      <w:spacing w:before="100" w:beforeAutospacing="1" w:after="100" w:afterAutospacing="1"/>
      <w:jc w:val="left"/>
    </w:pPr>
    <w:rPr>
      <w:szCs w:val="24"/>
      <w:lang w:eastAsia="lv-LV"/>
    </w:rPr>
  </w:style>
  <w:style w:type="character" w:styleId="CommentReference">
    <w:name w:val="annotation reference"/>
    <w:basedOn w:val="DefaultParagraphFont"/>
    <w:uiPriority w:val="99"/>
    <w:unhideWhenUsed/>
    <w:rsid w:val="000E6F78"/>
    <w:rPr>
      <w:sz w:val="16"/>
      <w:szCs w:val="16"/>
    </w:rPr>
  </w:style>
  <w:style w:type="paragraph" w:styleId="CommentText">
    <w:name w:val="annotation text"/>
    <w:basedOn w:val="Normal"/>
    <w:link w:val="CommentTextChar"/>
    <w:uiPriority w:val="99"/>
    <w:unhideWhenUsed/>
    <w:rsid w:val="000E6F78"/>
    <w:pPr>
      <w:spacing w:after="200"/>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0E6F78"/>
    <w:rPr>
      <w:rFonts w:asciiTheme="minorHAnsi" w:eastAsiaTheme="minorHAnsi" w:hAnsiTheme="minorHAnsi" w:cstheme="minorBidi"/>
      <w:lang w:eastAsia="en-US"/>
    </w:rPr>
  </w:style>
  <w:style w:type="character" w:customStyle="1" w:styleId="FooterChar">
    <w:name w:val="Footer Char"/>
    <w:basedOn w:val="DefaultParagraphFont"/>
    <w:link w:val="Footer"/>
    <w:rsid w:val="002D5B96"/>
    <w:rPr>
      <w:lang w:eastAsia="en-US"/>
    </w:rPr>
  </w:style>
  <w:style w:type="character" w:customStyle="1" w:styleId="HeaderChar">
    <w:name w:val="Header Char"/>
    <w:basedOn w:val="DefaultParagraphFont"/>
    <w:link w:val="Header"/>
    <w:rsid w:val="005E7C61"/>
    <w:rPr>
      <w:sz w:val="24"/>
      <w:lang w:eastAsia="en-US"/>
    </w:rPr>
  </w:style>
  <w:style w:type="character" w:styleId="Emphasis">
    <w:name w:val="Emphasis"/>
    <w:qFormat/>
    <w:rsid w:val="005E7C61"/>
    <w:rPr>
      <w:b/>
      <w:bCs/>
      <w:i w:val="0"/>
      <w:iCs w:val="0"/>
    </w:rPr>
  </w:style>
  <w:style w:type="paragraph" w:styleId="Subtitle">
    <w:name w:val="Subtitle"/>
    <w:basedOn w:val="Normal"/>
    <w:next w:val="Normal"/>
    <w:link w:val="SubtitleChar"/>
    <w:qFormat/>
    <w:rsid w:val="0026676C"/>
    <w:pPr>
      <w:keepNext/>
      <w:keepLines/>
      <w:widowControl w:val="0"/>
      <w:suppressAutoHyphens/>
      <w:spacing w:before="600" w:after="600"/>
      <w:ind w:right="4820"/>
      <w:jc w:val="left"/>
    </w:pPr>
    <w:rPr>
      <w:b/>
      <w:sz w:val="26"/>
      <w:lang w:val="en-AU"/>
    </w:rPr>
  </w:style>
  <w:style w:type="character" w:customStyle="1" w:styleId="SubtitleChar">
    <w:name w:val="Subtitle Char"/>
    <w:basedOn w:val="DefaultParagraphFont"/>
    <w:link w:val="Subtitle"/>
    <w:rsid w:val="0026676C"/>
    <w:rPr>
      <w:b/>
      <w:sz w:val="26"/>
      <w:lang w:val="en-AU" w:eastAsia="en-US"/>
    </w:rPr>
  </w:style>
  <w:style w:type="character" w:styleId="Strong">
    <w:name w:val="Strong"/>
    <w:qFormat/>
    <w:rsid w:val="0026676C"/>
    <w:rPr>
      <w:rFonts w:ascii="Tahoma" w:hAnsi="Tahoma"/>
      <w:b/>
      <w:bCs/>
      <w:lang w:val="en-US" w:eastAsia="en-US" w:bidi="ar-SA"/>
    </w:rPr>
  </w:style>
  <w:style w:type="paragraph" w:customStyle="1" w:styleId="naisc">
    <w:name w:val="naisc"/>
    <w:basedOn w:val="Normal"/>
    <w:rsid w:val="00882704"/>
    <w:pPr>
      <w:spacing w:before="100" w:beforeAutospacing="1" w:after="100" w:afterAutospacing="1"/>
      <w:jc w:val="left"/>
    </w:pPr>
    <w:rPr>
      <w:szCs w:val="24"/>
      <w:lang w:eastAsia="lv-LV"/>
    </w:rPr>
  </w:style>
  <w:style w:type="paragraph" w:customStyle="1" w:styleId="naiskr">
    <w:name w:val="naiskr"/>
    <w:basedOn w:val="Normal"/>
    <w:rsid w:val="00882704"/>
    <w:pPr>
      <w:spacing w:before="100" w:beforeAutospacing="1" w:after="100" w:afterAutospacing="1"/>
      <w:jc w:val="left"/>
    </w:pPr>
    <w:rPr>
      <w:szCs w:val="24"/>
      <w:lang w:eastAsia="lv-LV"/>
    </w:rPr>
  </w:style>
  <w:style w:type="paragraph" w:customStyle="1" w:styleId="naislab">
    <w:name w:val="naislab"/>
    <w:basedOn w:val="Normal"/>
    <w:rsid w:val="00882704"/>
    <w:pPr>
      <w:spacing w:before="100" w:beforeAutospacing="1" w:after="100" w:afterAutospacing="1"/>
      <w:jc w:val="left"/>
    </w:pPr>
    <w:rPr>
      <w:szCs w:val="24"/>
      <w:lang w:eastAsia="lv-LV"/>
    </w:rPr>
  </w:style>
  <w:style w:type="paragraph" w:customStyle="1" w:styleId="naisf">
    <w:name w:val="naisf"/>
    <w:basedOn w:val="Normal"/>
    <w:rsid w:val="00315554"/>
    <w:pPr>
      <w:spacing w:before="100" w:beforeAutospacing="1" w:after="100" w:afterAutospacing="1"/>
      <w:jc w:val="left"/>
    </w:pPr>
    <w:rPr>
      <w:szCs w:val="24"/>
      <w:lang w:eastAsia="lv-LV"/>
    </w:rPr>
  </w:style>
  <w:style w:type="paragraph" w:customStyle="1" w:styleId="naispie">
    <w:name w:val="naispie"/>
    <w:basedOn w:val="Normal"/>
    <w:rsid w:val="00315554"/>
    <w:pPr>
      <w:spacing w:before="100" w:beforeAutospacing="1" w:after="100" w:afterAutospacing="1"/>
      <w:jc w:val="left"/>
    </w:pPr>
    <w:rPr>
      <w:szCs w:val="24"/>
      <w:lang w:eastAsia="lv-LV"/>
    </w:rPr>
  </w:style>
  <w:style w:type="paragraph" w:customStyle="1" w:styleId="naispant">
    <w:name w:val="naispant"/>
    <w:basedOn w:val="Normal"/>
    <w:rsid w:val="007559C2"/>
    <w:pPr>
      <w:spacing w:before="100" w:beforeAutospacing="1" w:after="100" w:afterAutospacing="1"/>
      <w:jc w:val="left"/>
    </w:pPr>
    <w:rPr>
      <w:szCs w:val="24"/>
      <w:lang w:eastAsia="lv-LV"/>
    </w:rPr>
  </w:style>
  <w:style w:type="paragraph" w:customStyle="1" w:styleId="nais1">
    <w:name w:val="nais1"/>
    <w:basedOn w:val="Normal"/>
    <w:rsid w:val="007559C2"/>
    <w:pPr>
      <w:spacing w:before="100" w:beforeAutospacing="1" w:after="100" w:afterAutospacing="1"/>
      <w:jc w:val="left"/>
    </w:pPr>
    <w:rPr>
      <w:szCs w:val="24"/>
      <w:lang w:eastAsia="lv-LV"/>
    </w:rPr>
  </w:style>
  <w:style w:type="paragraph" w:customStyle="1" w:styleId="tv2131">
    <w:name w:val="tv2131"/>
    <w:basedOn w:val="Normal"/>
    <w:rsid w:val="00DA5867"/>
    <w:pPr>
      <w:spacing w:line="360" w:lineRule="auto"/>
      <w:ind w:firstLine="300"/>
      <w:jc w:val="left"/>
    </w:pPr>
    <w:rPr>
      <w:color w:val="414142"/>
      <w:sz w:val="20"/>
      <w:lang w:eastAsia="lv-LV"/>
    </w:rPr>
  </w:style>
  <w:style w:type="paragraph" w:styleId="FootnoteText">
    <w:name w:val="footnote text"/>
    <w:basedOn w:val="Normal"/>
    <w:link w:val="FootnoteTextChar"/>
    <w:rsid w:val="006C40AC"/>
    <w:pPr>
      <w:jc w:val="left"/>
    </w:pPr>
    <w:rPr>
      <w:sz w:val="20"/>
    </w:rPr>
  </w:style>
  <w:style w:type="character" w:customStyle="1" w:styleId="FootnoteTextChar">
    <w:name w:val="Footnote Text Char"/>
    <w:basedOn w:val="DefaultParagraphFont"/>
    <w:link w:val="FootnoteText"/>
    <w:rsid w:val="006C40AC"/>
    <w:rPr>
      <w:lang w:eastAsia="en-US"/>
    </w:rPr>
  </w:style>
  <w:style w:type="character" w:styleId="FootnoteReference">
    <w:name w:val="footnote reference"/>
    <w:rsid w:val="006C40AC"/>
    <w:rPr>
      <w:vertAlign w:val="superscript"/>
    </w:rPr>
  </w:style>
  <w:style w:type="paragraph" w:customStyle="1" w:styleId="tv213">
    <w:name w:val="tv213"/>
    <w:basedOn w:val="Normal"/>
    <w:rsid w:val="00BF05C1"/>
    <w:pPr>
      <w:spacing w:before="100" w:beforeAutospacing="1" w:after="100" w:afterAutospacing="1"/>
      <w:jc w:val="left"/>
    </w:pPr>
    <w:rPr>
      <w:szCs w:val="24"/>
      <w:lang w:eastAsia="lv-LV"/>
    </w:rPr>
  </w:style>
  <w:style w:type="paragraph" w:customStyle="1" w:styleId="tvhtml">
    <w:name w:val="tv_html"/>
    <w:basedOn w:val="Normal"/>
    <w:rsid w:val="00BF05C1"/>
    <w:pPr>
      <w:spacing w:before="100" w:beforeAutospacing="1" w:after="100" w:afterAutospacing="1"/>
      <w:jc w:val="left"/>
    </w:pPr>
    <w:rPr>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75289">
      <w:bodyDiv w:val="1"/>
      <w:marLeft w:val="0"/>
      <w:marRight w:val="0"/>
      <w:marTop w:val="0"/>
      <w:marBottom w:val="0"/>
      <w:divBdr>
        <w:top w:val="none" w:sz="0" w:space="0" w:color="auto"/>
        <w:left w:val="none" w:sz="0" w:space="0" w:color="auto"/>
        <w:bottom w:val="none" w:sz="0" w:space="0" w:color="auto"/>
        <w:right w:val="none" w:sz="0" w:space="0" w:color="auto"/>
      </w:divBdr>
    </w:div>
    <w:div w:id="286199078">
      <w:bodyDiv w:val="1"/>
      <w:marLeft w:val="0"/>
      <w:marRight w:val="0"/>
      <w:marTop w:val="0"/>
      <w:marBottom w:val="0"/>
      <w:divBdr>
        <w:top w:val="none" w:sz="0" w:space="0" w:color="auto"/>
        <w:left w:val="none" w:sz="0" w:space="0" w:color="auto"/>
        <w:bottom w:val="none" w:sz="0" w:space="0" w:color="auto"/>
        <w:right w:val="none" w:sz="0" w:space="0" w:color="auto"/>
      </w:divBdr>
      <w:divsChild>
        <w:div w:id="577176346">
          <w:marLeft w:val="0"/>
          <w:marRight w:val="0"/>
          <w:marTop w:val="0"/>
          <w:marBottom w:val="0"/>
          <w:divBdr>
            <w:top w:val="none" w:sz="0" w:space="0" w:color="auto"/>
            <w:left w:val="none" w:sz="0" w:space="0" w:color="auto"/>
            <w:bottom w:val="none" w:sz="0" w:space="0" w:color="auto"/>
            <w:right w:val="none" w:sz="0" w:space="0" w:color="auto"/>
          </w:divBdr>
          <w:divsChild>
            <w:div w:id="1029330764">
              <w:marLeft w:val="0"/>
              <w:marRight w:val="0"/>
              <w:marTop w:val="0"/>
              <w:marBottom w:val="0"/>
              <w:divBdr>
                <w:top w:val="none" w:sz="0" w:space="0" w:color="auto"/>
                <w:left w:val="none" w:sz="0" w:space="0" w:color="auto"/>
                <w:bottom w:val="none" w:sz="0" w:space="0" w:color="auto"/>
                <w:right w:val="none" w:sz="0" w:space="0" w:color="auto"/>
              </w:divBdr>
              <w:divsChild>
                <w:div w:id="57556104">
                  <w:marLeft w:val="0"/>
                  <w:marRight w:val="0"/>
                  <w:marTop w:val="0"/>
                  <w:marBottom w:val="0"/>
                  <w:divBdr>
                    <w:top w:val="none" w:sz="0" w:space="0" w:color="auto"/>
                    <w:left w:val="none" w:sz="0" w:space="0" w:color="auto"/>
                    <w:bottom w:val="none" w:sz="0" w:space="0" w:color="auto"/>
                    <w:right w:val="none" w:sz="0" w:space="0" w:color="auto"/>
                  </w:divBdr>
                  <w:divsChild>
                    <w:div w:id="577207461">
                      <w:marLeft w:val="0"/>
                      <w:marRight w:val="0"/>
                      <w:marTop w:val="0"/>
                      <w:marBottom w:val="0"/>
                      <w:divBdr>
                        <w:top w:val="none" w:sz="0" w:space="0" w:color="auto"/>
                        <w:left w:val="none" w:sz="0" w:space="0" w:color="auto"/>
                        <w:bottom w:val="none" w:sz="0" w:space="0" w:color="auto"/>
                        <w:right w:val="none" w:sz="0" w:space="0" w:color="auto"/>
                      </w:divBdr>
                      <w:divsChild>
                        <w:div w:id="2033845548">
                          <w:marLeft w:val="0"/>
                          <w:marRight w:val="0"/>
                          <w:marTop w:val="0"/>
                          <w:marBottom w:val="0"/>
                          <w:divBdr>
                            <w:top w:val="none" w:sz="0" w:space="0" w:color="auto"/>
                            <w:left w:val="none" w:sz="0" w:space="0" w:color="auto"/>
                            <w:bottom w:val="none" w:sz="0" w:space="0" w:color="auto"/>
                            <w:right w:val="none" w:sz="0" w:space="0" w:color="auto"/>
                          </w:divBdr>
                          <w:divsChild>
                            <w:div w:id="161251907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563356">
      <w:bodyDiv w:val="1"/>
      <w:marLeft w:val="0"/>
      <w:marRight w:val="0"/>
      <w:marTop w:val="0"/>
      <w:marBottom w:val="0"/>
      <w:divBdr>
        <w:top w:val="none" w:sz="0" w:space="0" w:color="auto"/>
        <w:left w:val="none" w:sz="0" w:space="0" w:color="auto"/>
        <w:bottom w:val="none" w:sz="0" w:space="0" w:color="auto"/>
        <w:right w:val="none" w:sz="0" w:space="0" w:color="auto"/>
      </w:divBdr>
    </w:div>
    <w:div w:id="488526044">
      <w:bodyDiv w:val="1"/>
      <w:marLeft w:val="0"/>
      <w:marRight w:val="0"/>
      <w:marTop w:val="0"/>
      <w:marBottom w:val="0"/>
      <w:divBdr>
        <w:top w:val="none" w:sz="0" w:space="0" w:color="auto"/>
        <w:left w:val="none" w:sz="0" w:space="0" w:color="auto"/>
        <w:bottom w:val="none" w:sz="0" w:space="0" w:color="auto"/>
        <w:right w:val="none" w:sz="0" w:space="0" w:color="auto"/>
      </w:divBdr>
      <w:divsChild>
        <w:div w:id="1092898685">
          <w:marLeft w:val="0"/>
          <w:marRight w:val="0"/>
          <w:marTop w:val="0"/>
          <w:marBottom w:val="0"/>
          <w:divBdr>
            <w:top w:val="none" w:sz="0" w:space="0" w:color="auto"/>
            <w:left w:val="none" w:sz="0" w:space="0" w:color="auto"/>
            <w:bottom w:val="none" w:sz="0" w:space="0" w:color="auto"/>
            <w:right w:val="none" w:sz="0" w:space="0" w:color="auto"/>
          </w:divBdr>
          <w:divsChild>
            <w:div w:id="533688356">
              <w:marLeft w:val="0"/>
              <w:marRight w:val="0"/>
              <w:marTop w:val="0"/>
              <w:marBottom w:val="0"/>
              <w:divBdr>
                <w:top w:val="none" w:sz="0" w:space="0" w:color="auto"/>
                <w:left w:val="none" w:sz="0" w:space="0" w:color="auto"/>
                <w:bottom w:val="none" w:sz="0" w:space="0" w:color="auto"/>
                <w:right w:val="none" w:sz="0" w:space="0" w:color="auto"/>
              </w:divBdr>
              <w:divsChild>
                <w:div w:id="1287658786">
                  <w:marLeft w:val="0"/>
                  <w:marRight w:val="0"/>
                  <w:marTop w:val="0"/>
                  <w:marBottom w:val="0"/>
                  <w:divBdr>
                    <w:top w:val="none" w:sz="0" w:space="0" w:color="auto"/>
                    <w:left w:val="none" w:sz="0" w:space="0" w:color="auto"/>
                    <w:bottom w:val="none" w:sz="0" w:space="0" w:color="auto"/>
                    <w:right w:val="none" w:sz="0" w:space="0" w:color="auto"/>
                  </w:divBdr>
                  <w:divsChild>
                    <w:div w:id="2016573574">
                      <w:marLeft w:val="0"/>
                      <w:marRight w:val="0"/>
                      <w:marTop w:val="0"/>
                      <w:marBottom w:val="0"/>
                      <w:divBdr>
                        <w:top w:val="none" w:sz="0" w:space="0" w:color="auto"/>
                        <w:left w:val="none" w:sz="0" w:space="0" w:color="auto"/>
                        <w:bottom w:val="none" w:sz="0" w:space="0" w:color="auto"/>
                        <w:right w:val="none" w:sz="0" w:space="0" w:color="auto"/>
                      </w:divBdr>
                      <w:divsChild>
                        <w:div w:id="213004478">
                          <w:marLeft w:val="0"/>
                          <w:marRight w:val="0"/>
                          <w:marTop w:val="0"/>
                          <w:marBottom w:val="0"/>
                          <w:divBdr>
                            <w:top w:val="none" w:sz="0" w:space="0" w:color="auto"/>
                            <w:left w:val="none" w:sz="0" w:space="0" w:color="auto"/>
                            <w:bottom w:val="none" w:sz="0" w:space="0" w:color="auto"/>
                            <w:right w:val="none" w:sz="0" w:space="0" w:color="auto"/>
                          </w:divBdr>
                          <w:divsChild>
                            <w:div w:id="7133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747423">
      <w:bodyDiv w:val="1"/>
      <w:marLeft w:val="0"/>
      <w:marRight w:val="0"/>
      <w:marTop w:val="0"/>
      <w:marBottom w:val="0"/>
      <w:divBdr>
        <w:top w:val="none" w:sz="0" w:space="0" w:color="auto"/>
        <w:left w:val="none" w:sz="0" w:space="0" w:color="auto"/>
        <w:bottom w:val="none" w:sz="0" w:space="0" w:color="auto"/>
        <w:right w:val="none" w:sz="0" w:space="0" w:color="auto"/>
      </w:divBdr>
    </w:div>
    <w:div w:id="610287955">
      <w:bodyDiv w:val="1"/>
      <w:marLeft w:val="0"/>
      <w:marRight w:val="0"/>
      <w:marTop w:val="0"/>
      <w:marBottom w:val="0"/>
      <w:divBdr>
        <w:top w:val="none" w:sz="0" w:space="0" w:color="auto"/>
        <w:left w:val="none" w:sz="0" w:space="0" w:color="auto"/>
        <w:bottom w:val="none" w:sz="0" w:space="0" w:color="auto"/>
        <w:right w:val="none" w:sz="0" w:space="0" w:color="auto"/>
      </w:divBdr>
      <w:divsChild>
        <w:div w:id="2126197137">
          <w:marLeft w:val="0"/>
          <w:marRight w:val="0"/>
          <w:marTop w:val="0"/>
          <w:marBottom w:val="0"/>
          <w:divBdr>
            <w:top w:val="none" w:sz="0" w:space="0" w:color="auto"/>
            <w:left w:val="none" w:sz="0" w:space="0" w:color="auto"/>
            <w:bottom w:val="none" w:sz="0" w:space="0" w:color="auto"/>
            <w:right w:val="none" w:sz="0" w:space="0" w:color="auto"/>
          </w:divBdr>
          <w:divsChild>
            <w:div w:id="1799837682">
              <w:marLeft w:val="0"/>
              <w:marRight w:val="0"/>
              <w:marTop w:val="0"/>
              <w:marBottom w:val="0"/>
              <w:divBdr>
                <w:top w:val="none" w:sz="0" w:space="0" w:color="auto"/>
                <w:left w:val="none" w:sz="0" w:space="0" w:color="auto"/>
                <w:bottom w:val="none" w:sz="0" w:space="0" w:color="auto"/>
                <w:right w:val="none" w:sz="0" w:space="0" w:color="auto"/>
              </w:divBdr>
              <w:divsChild>
                <w:div w:id="466430711">
                  <w:marLeft w:val="0"/>
                  <w:marRight w:val="0"/>
                  <w:marTop w:val="0"/>
                  <w:marBottom w:val="0"/>
                  <w:divBdr>
                    <w:top w:val="none" w:sz="0" w:space="0" w:color="auto"/>
                    <w:left w:val="none" w:sz="0" w:space="0" w:color="auto"/>
                    <w:bottom w:val="none" w:sz="0" w:space="0" w:color="auto"/>
                    <w:right w:val="none" w:sz="0" w:space="0" w:color="auto"/>
                  </w:divBdr>
                  <w:divsChild>
                    <w:div w:id="120541774">
                      <w:marLeft w:val="0"/>
                      <w:marRight w:val="0"/>
                      <w:marTop w:val="0"/>
                      <w:marBottom w:val="0"/>
                      <w:divBdr>
                        <w:top w:val="none" w:sz="0" w:space="0" w:color="auto"/>
                        <w:left w:val="none" w:sz="0" w:space="0" w:color="auto"/>
                        <w:bottom w:val="none" w:sz="0" w:space="0" w:color="auto"/>
                        <w:right w:val="none" w:sz="0" w:space="0" w:color="auto"/>
                      </w:divBdr>
                      <w:divsChild>
                        <w:div w:id="653216654">
                          <w:marLeft w:val="0"/>
                          <w:marRight w:val="0"/>
                          <w:marTop w:val="0"/>
                          <w:marBottom w:val="0"/>
                          <w:divBdr>
                            <w:top w:val="none" w:sz="0" w:space="0" w:color="auto"/>
                            <w:left w:val="none" w:sz="0" w:space="0" w:color="auto"/>
                            <w:bottom w:val="none" w:sz="0" w:space="0" w:color="auto"/>
                            <w:right w:val="none" w:sz="0" w:space="0" w:color="auto"/>
                          </w:divBdr>
                          <w:divsChild>
                            <w:div w:id="1905681781">
                              <w:marLeft w:val="0"/>
                              <w:marRight w:val="0"/>
                              <w:marTop w:val="480"/>
                              <w:marBottom w:val="240"/>
                              <w:divBdr>
                                <w:top w:val="none" w:sz="0" w:space="0" w:color="auto"/>
                                <w:left w:val="none" w:sz="0" w:space="0" w:color="auto"/>
                                <w:bottom w:val="none" w:sz="0" w:space="0" w:color="auto"/>
                                <w:right w:val="none" w:sz="0" w:space="0" w:color="auto"/>
                              </w:divBdr>
                            </w:div>
                            <w:div w:id="1465196331">
                              <w:marLeft w:val="0"/>
                              <w:marRight w:val="0"/>
                              <w:marTop w:val="0"/>
                              <w:marBottom w:val="567"/>
                              <w:divBdr>
                                <w:top w:val="none" w:sz="0" w:space="0" w:color="auto"/>
                                <w:left w:val="none" w:sz="0" w:space="0" w:color="auto"/>
                                <w:bottom w:val="none" w:sz="0" w:space="0" w:color="auto"/>
                                <w:right w:val="none" w:sz="0" w:space="0" w:color="auto"/>
                              </w:divBdr>
                            </w:div>
                            <w:div w:id="1297950739">
                              <w:marLeft w:val="0"/>
                              <w:marRight w:val="0"/>
                              <w:marTop w:val="0"/>
                              <w:marBottom w:val="567"/>
                              <w:divBdr>
                                <w:top w:val="none" w:sz="0" w:space="0" w:color="auto"/>
                                <w:left w:val="none" w:sz="0" w:space="0" w:color="auto"/>
                                <w:bottom w:val="none" w:sz="0" w:space="0" w:color="auto"/>
                                <w:right w:val="none" w:sz="0" w:space="0" w:color="auto"/>
                              </w:divBdr>
                            </w:div>
                            <w:div w:id="12235739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7307">
      <w:bodyDiv w:val="1"/>
      <w:marLeft w:val="0"/>
      <w:marRight w:val="0"/>
      <w:marTop w:val="0"/>
      <w:marBottom w:val="0"/>
      <w:divBdr>
        <w:top w:val="none" w:sz="0" w:space="0" w:color="auto"/>
        <w:left w:val="none" w:sz="0" w:space="0" w:color="auto"/>
        <w:bottom w:val="none" w:sz="0" w:space="0" w:color="auto"/>
        <w:right w:val="none" w:sz="0" w:space="0" w:color="auto"/>
      </w:divBdr>
    </w:div>
    <w:div w:id="901058127">
      <w:bodyDiv w:val="1"/>
      <w:marLeft w:val="0"/>
      <w:marRight w:val="0"/>
      <w:marTop w:val="0"/>
      <w:marBottom w:val="0"/>
      <w:divBdr>
        <w:top w:val="none" w:sz="0" w:space="0" w:color="auto"/>
        <w:left w:val="none" w:sz="0" w:space="0" w:color="auto"/>
        <w:bottom w:val="none" w:sz="0" w:space="0" w:color="auto"/>
        <w:right w:val="none" w:sz="0" w:space="0" w:color="auto"/>
      </w:divBdr>
    </w:div>
    <w:div w:id="955139769">
      <w:bodyDiv w:val="1"/>
      <w:marLeft w:val="45"/>
      <w:marRight w:val="45"/>
      <w:marTop w:val="90"/>
      <w:marBottom w:val="90"/>
      <w:divBdr>
        <w:top w:val="none" w:sz="0" w:space="0" w:color="auto"/>
        <w:left w:val="none" w:sz="0" w:space="0" w:color="auto"/>
        <w:bottom w:val="none" w:sz="0" w:space="0" w:color="auto"/>
        <w:right w:val="none" w:sz="0" w:space="0" w:color="auto"/>
      </w:divBdr>
      <w:divsChild>
        <w:div w:id="381833764">
          <w:marLeft w:val="0"/>
          <w:marRight w:val="0"/>
          <w:marTop w:val="0"/>
          <w:marBottom w:val="567"/>
          <w:divBdr>
            <w:top w:val="none" w:sz="0" w:space="0" w:color="auto"/>
            <w:left w:val="none" w:sz="0" w:space="0" w:color="auto"/>
            <w:bottom w:val="none" w:sz="0" w:space="0" w:color="auto"/>
            <w:right w:val="none" w:sz="0" w:space="0" w:color="auto"/>
          </w:divBdr>
        </w:div>
      </w:divsChild>
    </w:div>
    <w:div w:id="1322008601">
      <w:bodyDiv w:val="1"/>
      <w:marLeft w:val="0"/>
      <w:marRight w:val="0"/>
      <w:marTop w:val="0"/>
      <w:marBottom w:val="0"/>
      <w:divBdr>
        <w:top w:val="none" w:sz="0" w:space="0" w:color="auto"/>
        <w:left w:val="none" w:sz="0" w:space="0" w:color="auto"/>
        <w:bottom w:val="none" w:sz="0" w:space="0" w:color="auto"/>
        <w:right w:val="none" w:sz="0" w:space="0" w:color="auto"/>
      </w:divBdr>
      <w:divsChild>
        <w:div w:id="557206552">
          <w:marLeft w:val="0"/>
          <w:marRight w:val="0"/>
          <w:marTop w:val="0"/>
          <w:marBottom w:val="0"/>
          <w:divBdr>
            <w:top w:val="none" w:sz="0" w:space="0" w:color="auto"/>
            <w:left w:val="none" w:sz="0" w:space="0" w:color="auto"/>
            <w:bottom w:val="none" w:sz="0" w:space="0" w:color="auto"/>
            <w:right w:val="none" w:sz="0" w:space="0" w:color="auto"/>
          </w:divBdr>
          <w:divsChild>
            <w:div w:id="101148460">
              <w:marLeft w:val="0"/>
              <w:marRight w:val="0"/>
              <w:marTop w:val="0"/>
              <w:marBottom w:val="0"/>
              <w:divBdr>
                <w:top w:val="none" w:sz="0" w:space="0" w:color="auto"/>
                <w:left w:val="none" w:sz="0" w:space="0" w:color="auto"/>
                <w:bottom w:val="none" w:sz="0" w:space="0" w:color="auto"/>
                <w:right w:val="none" w:sz="0" w:space="0" w:color="auto"/>
              </w:divBdr>
              <w:divsChild>
                <w:div w:id="1541624691">
                  <w:marLeft w:val="0"/>
                  <w:marRight w:val="0"/>
                  <w:marTop w:val="0"/>
                  <w:marBottom w:val="0"/>
                  <w:divBdr>
                    <w:top w:val="none" w:sz="0" w:space="0" w:color="auto"/>
                    <w:left w:val="none" w:sz="0" w:space="0" w:color="auto"/>
                    <w:bottom w:val="none" w:sz="0" w:space="0" w:color="auto"/>
                    <w:right w:val="none" w:sz="0" w:space="0" w:color="auto"/>
                  </w:divBdr>
                  <w:divsChild>
                    <w:div w:id="1359970045">
                      <w:marLeft w:val="0"/>
                      <w:marRight w:val="0"/>
                      <w:marTop w:val="0"/>
                      <w:marBottom w:val="0"/>
                      <w:divBdr>
                        <w:top w:val="none" w:sz="0" w:space="0" w:color="auto"/>
                        <w:left w:val="none" w:sz="0" w:space="0" w:color="auto"/>
                        <w:bottom w:val="none" w:sz="0" w:space="0" w:color="auto"/>
                        <w:right w:val="none" w:sz="0" w:space="0" w:color="auto"/>
                      </w:divBdr>
                      <w:divsChild>
                        <w:div w:id="346372439">
                          <w:marLeft w:val="0"/>
                          <w:marRight w:val="0"/>
                          <w:marTop w:val="0"/>
                          <w:marBottom w:val="0"/>
                          <w:divBdr>
                            <w:top w:val="none" w:sz="0" w:space="0" w:color="auto"/>
                            <w:left w:val="none" w:sz="0" w:space="0" w:color="auto"/>
                            <w:bottom w:val="none" w:sz="0" w:space="0" w:color="auto"/>
                            <w:right w:val="none" w:sz="0" w:space="0" w:color="auto"/>
                          </w:divBdr>
                          <w:divsChild>
                            <w:div w:id="1128277759">
                              <w:marLeft w:val="0"/>
                              <w:marRight w:val="0"/>
                              <w:marTop w:val="0"/>
                              <w:marBottom w:val="0"/>
                              <w:divBdr>
                                <w:top w:val="none" w:sz="0" w:space="0" w:color="auto"/>
                                <w:left w:val="none" w:sz="0" w:space="0" w:color="auto"/>
                                <w:bottom w:val="none" w:sz="0" w:space="0" w:color="auto"/>
                                <w:right w:val="none" w:sz="0" w:space="0" w:color="auto"/>
                              </w:divBdr>
                              <w:divsChild>
                                <w:div w:id="6597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779516">
      <w:bodyDiv w:val="1"/>
      <w:marLeft w:val="0"/>
      <w:marRight w:val="0"/>
      <w:marTop w:val="0"/>
      <w:marBottom w:val="0"/>
      <w:divBdr>
        <w:top w:val="none" w:sz="0" w:space="0" w:color="auto"/>
        <w:left w:val="none" w:sz="0" w:space="0" w:color="auto"/>
        <w:bottom w:val="none" w:sz="0" w:space="0" w:color="auto"/>
        <w:right w:val="none" w:sz="0" w:space="0" w:color="auto"/>
      </w:divBdr>
    </w:div>
    <w:div w:id="195764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lv/sadalas/valsts_budzets/metodika/vadlinija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ivis.cablis@f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ne.adijane@fm.gov.lv" TargetMode="External"/><Relationship Id="rId4" Type="http://schemas.openxmlformats.org/officeDocument/2006/relationships/settings" Target="settings.xml"/><Relationship Id="rId9" Type="http://schemas.openxmlformats.org/officeDocument/2006/relationships/hyperlink" Target="http://www.es2015.lv/lv/gatavosanas-prezidenturai/budze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templates.doc\FM%20ar%20datumu%20un%20numur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C8361-D742-43F1-ADC9-209F2DE50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ar datumu un numuru</Template>
  <TotalTime>943</TotalTime>
  <Pages>8</Pages>
  <Words>15103</Words>
  <Characters>8610</Characters>
  <Application>Microsoft Office Word</Application>
  <DocSecurity>0</DocSecurity>
  <Lines>71</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nosaukums</vt:lpstr>
      <vt:lpstr>nosaukums</vt:lpstr>
    </vt:vector>
  </TitlesOfParts>
  <Company>FM</Company>
  <LinksUpToDate>false</LinksUpToDate>
  <CharactersWithSpaces>23666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vēstules projekts Saeimas Publisko izdevumu un revīzijas komisijai</dc:title>
  <dc:subject>vēstule</dc:subject>
  <dc:creator>Zane Adijāne, Raivis Čablis</dc:creator>
  <dc:description>zane.adijane@fm.gov.lv, 7095437;
raivis.cablis@fm.gov.lv, 7095498</dc:description>
  <cp:lastModifiedBy>Windows User</cp:lastModifiedBy>
  <cp:revision>96</cp:revision>
  <cp:lastPrinted>2014-04-16T08:11:00Z</cp:lastPrinted>
  <dcterms:created xsi:type="dcterms:W3CDTF">2012-05-15T12:45:00Z</dcterms:created>
  <dcterms:modified xsi:type="dcterms:W3CDTF">2014-04-29T13:10:00Z</dcterms:modified>
</cp:coreProperties>
</file>