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571B" w:rsidRDefault="00F6571B" w:rsidP="00F6571B">
      <w:pPr>
        <w:pStyle w:val="Title"/>
        <w:rPr>
          <w:szCs w:val="28"/>
        </w:rPr>
      </w:pPr>
    </w:p>
    <w:p w:rsidR="004425D1" w:rsidRPr="000F601D" w:rsidRDefault="004425D1" w:rsidP="000E3129">
      <w:pPr>
        <w:jc w:val="center"/>
        <w:rPr>
          <w:b/>
          <w:sz w:val="26"/>
          <w:szCs w:val="26"/>
        </w:rPr>
      </w:pPr>
      <w:r w:rsidRPr="000F601D">
        <w:rPr>
          <w:b/>
          <w:sz w:val="26"/>
          <w:szCs w:val="26"/>
        </w:rPr>
        <w:t xml:space="preserve">Ministru kabineta noteikumu projekta </w:t>
      </w:r>
      <w:r w:rsidR="000E3129" w:rsidRPr="000F601D">
        <w:rPr>
          <w:b/>
          <w:iCs/>
          <w:sz w:val="26"/>
          <w:szCs w:val="26"/>
        </w:rPr>
        <w:t>"</w:t>
      </w:r>
      <w:r w:rsidR="000E3129" w:rsidRPr="000F601D">
        <w:rPr>
          <w:b/>
          <w:bCs/>
          <w:sz w:val="26"/>
          <w:szCs w:val="26"/>
        </w:rPr>
        <w:t xml:space="preserve">Grozījumi Ministru kabineta 2013.gada 15.oktobra noteikumos Nr.1106 </w:t>
      </w:r>
      <w:r w:rsidR="000E3129" w:rsidRPr="000F601D">
        <w:rPr>
          <w:b/>
          <w:iCs/>
          <w:sz w:val="26"/>
          <w:szCs w:val="26"/>
        </w:rPr>
        <w:t>"</w:t>
      </w:r>
      <w:r w:rsidR="000E3129" w:rsidRPr="000F601D">
        <w:rPr>
          <w:b/>
          <w:bCs/>
          <w:sz w:val="26"/>
          <w:szCs w:val="26"/>
        </w:rPr>
        <w:t>Zemes izpirkuma (pirkuma) līguma noslēgšanas kārtība</w:t>
      </w:r>
      <w:r w:rsidR="000E3129" w:rsidRPr="000F601D">
        <w:rPr>
          <w:b/>
          <w:iCs/>
          <w:sz w:val="26"/>
          <w:szCs w:val="26"/>
        </w:rPr>
        <w:t>""</w:t>
      </w:r>
      <w:r w:rsidRPr="000F601D">
        <w:rPr>
          <w:b/>
          <w:sz w:val="26"/>
          <w:szCs w:val="26"/>
        </w:rPr>
        <w:t xml:space="preserve"> sākotnējās ietekmes novērtējuma ziņojums (anotācija)</w:t>
      </w:r>
    </w:p>
    <w:p w:rsidR="000F601D" w:rsidRPr="000F601D" w:rsidRDefault="000F601D" w:rsidP="000E3129">
      <w:pPr>
        <w:jc w:val="center"/>
        <w:rPr>
          <w:b/>
          <w:iCs/>
          <w:sz w:val="26"/>
          <w:szCs w:val="26"/>
        </w:rPr>
      </w:pPr>
    </w:p>
    <w:tbl>
      <w:tblPr>
        <w:tblpPr w:leftFromText="180" w:rightFromText="180" w:vertAnchor="text" w:horzAnchor="margin" w:tblpXSpec="center" w:tblpY="149"/>
        <w:tblW w:w="9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50"/>
        <w:gridCol w:w="4315"/>
        <w:gridCol w:w="4860"/>
      </w:tblGrid>
      <w:tr w:rsidR="00F6571B" w:rsidRPr="000F601D" w:rsidTr="00E2648C">
        <w:tc>
          <w:tcPr>
            <w:tcW w:w="9725" w:type="dxa"/>
            <w:gridSpan w:val="3"/>
            <w:vAlign w:val="center"/>
          </w:tcPr>
          <w:p w:rsidR="00F6571B" w:rsidRPr="000F601D" w:rsidRDefault="00F6571B" w:rsidP="00E2648C">
            <w:pPr>
              <w:pStyle w:val="naisnod"/>
              <w:spacing w:before="0" w:after="0"/>
              <w:rPr>
                <w:sz w:val="26"/>
                <w:szCs w:val="26"/>
              </w:rPr>
            </w:pPr>
            <w:r w:rsidRPr="000F601D">
              <w:rPr>
                <w:sz w:val="26"/>
                <w:szCs w:val="26"/>
              </w:rPr>
              <w:t>I. Tiesību akta projekta izstrādes nepieciešamība</w:t>
            </w:r>
          </w:p>
        </w:tc>
      </w:tr>
      <w:tr w:rsidR="00F6571B" w:rsidRPr="000F601D" w:rsidTr="00E2648C">
        <w:trPr>
          <w:trHeight w:val="630"/>
        </w:trPr>
        <w:tc>
          <w:tcPr>
            <w:tcW w:w="550" w:type="dxa"/>
          </w:tcPr>
          <w:p w:rsidR="00F6571B" w:rsidRPr="000F601D" w:rsidRDefault="00F6571B" w:rsidP="00E2648C">
            <w:pPr>
              <w:pStyle w:val="naiskr"/>
              <w:spacing w:before="0" w:after="0"/>
              <w:rPr>
                <w:sz w:val="26"/>
                <w:szCs w:val="26"/>
              </w:rPr>
            </w:pPr>
            <w:r w:rsidRPr="000F601D">
              <w:rPr>
                <w:sz w:val="26"/>
                <w:szCs w:val="26"/>
              </w:rPr>
              <w:t>1.</w:t>
            </w:r>
          </w:p>
        </w:tc>
        <w:tc>
          <w:tcPr>
            <w:tcW w:w="4315" w:type="dxa"/>
          </w:tcPr>
          <w:p w:rsidR="00F6571B" w:rsidRPr="000F601D" w:rsidRDefault="00F6571B" w:rsidP="00E2648C">
            <w:pPr>
              <w:pStyle w:val="naiskr"/>
              <w:spacing w:before="0" w:after="0"/>
              <w:ind w:hanging="10"/>
              <w:rPr>
                <w:sz w:val="26"/>
                <w:szCs w:val="26"/>
              </w:rPr>
            </w:pPr>
            <w:r w:rsidRPr="000F601D">
              <w:rPr>
                <w:sz w:val="26"/>
                <w:szCs w:val="26"/>
              </w:rPr>
              <w:t>Pamatojums</w:t>
            </w:r>
          </w:p>
        </w:tc>
        <w:tc>
          <w:tcPr>
            <w:tcW w:w="4860" w:type="dxa"/>
          </w:tcPr>
          <w:p w:rsidR="002848C7" w:rsidRPr="000F601D" w:rsidRDefault="009A75E0" w:rsidP="009A75E0">
            <w:pPr>
              <w:jc w:val="both"/>
              <w:rPr>
                <w:iCs/>
                <w:sz w:val="26"/>
                <w:szCs w:val="26"/>
              </w:rPr>
            </w:pPr>
            <w:r w:rsidRPr="000F601D">
              <w:rPr>
                <w:iCs/>
                <w:sz w:val="26"/>
                <w:szCs w:val="26"/>
              </w:rPr>
              <w:t>Valsts un pašvaldību īpašuma privatizācijas</w:t>
            </w:r>
            <w:r w:rsidR="00C32071" w:rsidRPr="000F601D">
              <w:rPr>
                <w:iCs/>
                <w:sz w:val="26"/>
                <w:szCs w:val="26"/>
              </w:rPr>
              <w:t xml:space="preserve"> </w:t>
            </w:r>
            <w:r w:rsidRPr="000F601D">
              <w:rPr>
                <w:iCs/>
                <w:sz w:val="26"/>
                <w:szCs w:val="26"/>
              </w:rPr>
              <w:t xml:space="preserve"> un privatizācijas sertifikātu izmantošanas pabeigšanas likuma 32.panta astotā daļa.</w:t>
            </w:r>
          </w:p>
          <w:p w:rsidR="00F6571B" w:rsidRPr="000F601D" w:rsidRDefault="009A75E0" w:rsidP="009A75E0">
            <w:pPr>
              <w:jc w:val="both"/>
              <w:rPr>
                <w:iCs/>
                <w:sz w:val="26"/>
                <w:szCs w:val="26"/>
              </w:rPr>
            </w:pPr>
            <w:r w:rsidRPr="000F601D">
              <w:rPr>
                <w:bCs/>
                <w:sz w:val="26"/>
                <w:szCs w:val="26"/>
              </w:rPr>
              <w:t xml:space="preserve">Ministru kabineta noteikumi </w:t>
            </w:r>
            <w:r w:rsidRPr="000F601D">
              <w:rPr>
                <w:iCs/>
                <w:sz w:val="26"/>
                <w:szCs w:val="26"/>
              </w:rPr>
              <w:t>"</w:t>
            </w:r>
            <w:r w:rsidRPr="000F601D">
              <w:rPr>
                <w:bCs/>
                <w:sz w:val="26"/>
                <w:szCs w:val="26"/>
              </w:rPr>
              <w:t xml:space="preserve">Grozījumi Ministru kabineta 2013.gada 15.oktobra noteikumos Nr.1106 </w:t>
            </w:r>
            <w:r w:rsidRPr="000F601D">
              <w:rPr>
                <w:iCs/>
                <w:sz w:val="26"/>
                <w:szCs w:val="26"/>
              </w:rPr>
              <w:t>"</w:t>
            </w:r>
            <w:r w:rsidRPr="000F601D">
              <w:rPr>
                <w:bCs/>
                <w:sz w:val="26"/>
                <w:szCs w:val="26"/>
              </w:rPr>
              <w:t>Zemes izpirkuma (pirkuma) līguma noslēgšanas kārtība</w:t>
            </w:r>
            <w:r w:rsidRPr="000F601D">
              <w:rPr>
                <w:iCs/>
                <w:sz w:val="26"/>
                <w:szCs w:val="26"/>
              </w:rPr>
              <w:t xml:space="preserve">"" (turpmāk – Noteikumu projekts) </w:t>
            </w:r>
            <w:r w:rsidR="000F4197" w:rsidRPr="000F601D">
              <w:rPr>
                <w:sz w:val="26"/>
                <w:szCs w:val="26"/>
              </w:rPr>
              <w:t>sagatavots saskaņā ar Ministru kabineta 2013.gada 24.septembra sēdes protokola Nr.50 153</w:t>
            </w:r>
            <w:bookmarkStart w:id="0" w:name="9"/>
            <w:r w:rsidR="000F4197" w:rsidRPr="000F601D">
              <w:rPr>
                <w:sz w:val="26"/>
                <w:szCs w:val="26"/>
              </w:rPr>
              <w:t>.§</w:t>
            </w:r>
            <w:bookmarkEnd w:id="0"/>
            <w:r w:rsidR="000F4197" w:rsidRPr="000F601D">
              <w:rPr>
                <w:sz w:val="26"/>
                <w:szCs w:val="26"/>
              </w:rPr>
              <w:t xml:space="preserve"> 3.punktu Finanšu ministrijai sadarbībā ar Tieslietu ministriju, Ekonomikas ministriju un valsts akciju sabiedrību „Latvijas Hipotēku un zemes banka” līdz 2013.gada 31.oktobrim sagatavot un iesniegt izskatīšanai Ministru kabineta sēdē grozījumus informatīvajā ziņojumā uzskaitītajos likumos saistībā ar zemes reformas nodrošināšanu un zemes izpirkuma (pirkuma) līgumu noslēgšanu un administrēšanu, un pēc attiecīgo likumprojektu apstiprināšanas Saeimā iesniegt izskatīšanai Ministru kabineta sēdē grozījumu projektus informatīvajā ziņojumā uzskaitītajos Ministru kabineta noteikumos saistībā ar zemes reformas nodrošināšanu un zemes izpirkuma (pirkuma) līgumu noslēgšanu un administrēšanu.</w:t>
            </w:r>
          </w:p>
          <w:p w:rsidR="009201E1" w:rsidRPr="000F601D" w:rsidRDefault="009201E1" w:rsidP="00D67B05">
            <w:pPr>
              <w:spacing w:after="120"/>
              <w:jc w:val="both"/>
              <w:rPr>
                <w:sz w:val="26"/>
                <w:szCs w:val="26"/>
              </w:rPr>
            </w:pPr>
            <w:r w:rsidRPr="000F601D">
              <w:rPr>
                <w:sz w:val="26"/>
                <w:szCs w:val="26"/>
              </w:rPr>
              <w:t>Savukārt i</w:t>
            </w:r>
            <w:r w:rsidR="00D67B05" w:rsidRPr="000F601D">
              <w:rPr>
                <w:sz w:val="26"/>
                <w:szCs w:val="26"/>
              </w:rPr>
              <w:t xml:space="preserve">nformatīvajā ziņojumā norādīts, ka Finanšu ministrijai sadarbībā ar Tieslietu ministriju un Hipotēku banku saistībā ar zemes reformas nodrošināšanu un zemes izpirkuma (pirkuma) līgumu noslēgšanu administrēšanu jāsagatavo grozījumi </w:t>
            </w:r>
            <w:r w:rsidRPr="000F601D">
              <w:rPr>
                <w:sz w:val="26"/>
                <w:szCs w:val="26"/>
              </w:rPr>
              <w:t>Ministru kabineta 2008.gada 25.augusta noteikumos Nr. 686 „Zemes izpirkuma (pirkuma) līguma noslēgšanas kārtība”</w:t>
            </w:r>
            <w:r w:rsidR="00394F41" w:rsidRPr="000F601D">
              <w:rPr>
                <w:sz w:val="26"/>
                <w:szCs w:val="26"/>
              </w:rPr>
              <w:t xml:space="preserve"> (turpmāk – Noteikumi Nr.686)</w:t>
            </w:r>
            <w:r w:rsidRPr="000F601D">
              <w:rPr>
                <w:sz w:val="26"/>
                <w:szCs w:val="26"/>
              </w:rPr>
              <w:t>.</w:t>
            </w:r>
          </w:p>
          <w:p w:rsidR="007808C3" w:rsidRPr="000F601D" w:rsidRDefault="009201E1" w:rsidP="009D766B">
            <w:pPr>
              <w:spacing w:after="120"/>
              <w:jc w:val="both"/>
              <w:rPr>
                <w:iCs/>
                <w:sz w:val="26"/>
                <w:szCs w:val="26"/>
              </w:rPr>
            </w:pPr>
            <w:r w:rsidRPr="000F601D">
              <w:rPr>
                <w:bCs/>
                <w:sz w:val="26"/>
                <w:szCs w:val="26"/>
              </w:rPr>
              <w:t xml:space="preserve">2013.gada 15.oktobrī tika </w:t>
            </w:r>
            <w:r w:rsidR="009D766B">
              <w:rPr>
                <w:bCs/>
                <w:sz w:val="26"/>
                <w:szCs w:val="26"/>
              </w:rPr>
              <w:t>pieņemti</w:t>
            </w:r>
            <w:r w:rsidRPr="000F601D">
              <w:rPr>
                <w:bCs/>
                <w:sz w:val="26"/>
                <w:szCs w:val="26"/>
              </w:rPr>
              <w:t xml:space="preserve"> Ministru kabineta noteikumi Nr.1106 </w:t>
            </w:r>
            <w:r w:rsidRPr="000F601D">
              <w:rPr>
                <w:iCs/>
                <w:sz w:val="26"/>
                <w:szCs w:val="26"/>
              </w:rPr>
              <w:t>"</w:t>
            </w:r>
            <w:r w:rsidRPr="000F601D">
              <w:rPr>
                <w:bCs/>
                <w:sz w:val="26"/>
                <w:szCs w:val="26"/>
              </w:rPr>
              <w:t>Zemes izpirkuma (pirkuma) līguma noslēgšanas kārtība</w:t>
            </w:r>
            <w:r w:rsidRPr="000F601D">
              <w:rPr>
                <w:iCs/>
                <w:sz w:val="26"/>
                <w:szCs w:val="26"/>
              </w:rPr>
              <w:t>"</w:t>
            </w:r>
            <w:r w:rsidR="00D457C5" w:rsidRPr="000F601D">
              <w:rPr>
                <w:iCs/>
                <w:sz w:val="26"/>
                <w:szCs w:val="26"/>
              </w:rPr>
              <w:t xml:space="preserve"> </w:t>
            </w:r>
            <w:r w:rsidR="00D457C5" w:rsidRPr="000F601D">
              <w:rPr>
                <w:iCs/>
                <w:sz w:val="26"/>
                <w:szCs w:val="26"/>
              </w:rPr>
              <w:lastRenderedPageBreak/>
              <w:t>(turpmāk –Noteikumi</w:t>
            </w:r>
            <w:r w:rsidR="00F81534" w:rsidRPr="000F601D">
              <w:rPr>
                <w:iCs/>
                <w:sz w:val="26"/>
                <w:szCs w:val="26"/>
              </w:rPr>
              <w:t xml:space="preserve"> </w:t>
            </w:r>
            <w:r w:rsidR="00F81534" w:rsidRPr="000F601D">
              <w:rPr>
                <w:bCs/>
                <w:sz w:val="26"/>
                <w:szCs w:val="26"/>
              </w:rPr>
              <w:t xml:space="preserve"> Nr.1106</w:t>
            </w:r>
            <w:r w:rsidR="00D457C5" w:rsidRPr="000F601D">
              <w:rPr>
                <w:iCs/>
                <w:sz w:val="26"/>
                <w:szCs w:val="26"/>
              </w:rPr>
              <w:t>)</w:t>
            </w:r>
            <w:r w:rsidRPr="000F601D">
              <w:rPr>
                <w:iCs/>
                <w:sz w:val="26"/>
                <w:szCs w:val="26"/>
              </w:rPr>
              <w:t xml:space="preserve"> ar kuriem tika aizstāti Noteikumi Nr.686.</w:t>
            </w:r>
          </w:p>
        </w:tc>
      </w:tr>
      <w:tr w:rsidR="00D02409" w:rsidRPr="000F601D" w:rsidTr="00E2648C">
        <w:trPr>
          <w:trHeight w:val="472"/>
        </w:trPr>
        <w:tc>
          <w:tcPr>
            <w:tcW w:w="550" w:type="dxa"/>
          </w:tcPr>
          <w:p w:rsidR="00F6571B" w:rsidRPr="000F601D" w:rsidRDefault="00F6571B" w:rsidP="00E2648C">
            <w:pPr>
              <w:pStyle w:val="naiskr"/>
              <w:spacing w:before="0" w:after="0"/>
              <w:rPr>
                <w:sz w:val="26"/>
                <w:szCs w:val="26"/>
              </w:rPr>
            </w:pPr>
            <w:r w:rsidRPr="000F601D">
              <w:rPr>
                <w:sz w:val="26"/>
                <w:szCs w:val="26"/>
              </w:rPr>
              <w:lastRenderedPageBreak/>
              <w:t>2.</w:t>
            </w:r>
          </w:p>
        </w:tc>
        <w:tc>
          <w:tcPr>
            <w:tcW w:w="4315" w:type="dxa"/>
          </w:tcPr>
          <w:p w:rsidR="00F6571B" w:rsidRPr="000F601D" w:rsidRDefault="00F6571B" w:rsidP="00E2648C">
            <w:pPr>
              <w:pStyle w:val="naiskr"/>
              <w:tabs>
                <w:tab w:val="left" w:pos="170"/>
              </w:tabs>
              <w:spacing w:before="0" w:after="0"/>
              <w:rPr>
                <w:sz w:val="26"/>
                <w:szCs w:val="26"/>
              </w:rPr>
            </w:pPr>
            <w:r w:rsidRPr="000F601D">
              <w:rPr>
                <w:sz w:val="26"/>
                <w:szCs w:val="26"/>
              </w:rPr>
              <w:t xml:space="preserve">Pašreizējā situācija un problēmas, kuru risināšanai tiesību akta projekts izstrādāts, tiesiskā regulējuma mērķis un būtība </w:t>
            </w:r>
          </w:p>
          <w:p w:rsidR="00F6571B" w:rsidRPr="000F601D" w:rsidRDefault="00F6571B" w:rsidP="00E2648C">
            <w:pPr>
              <w:rPr>
                <w:sz w:val="26"/>
                <w:szCs w:val="26"/>
              </w:rPr>
            </w:pPr>
          </w:p>
          <w:p w:rsidR="00F6571B" w:rsidRPr="000F601D" w:rsidRDefault="00F6571B" w:rsidP="00E2648C">
            <w:pPr>
              <w:rPr>
                <w:sz w:val="26"/>
                <w:szCs w:val="26"/>
              </w:rPr>
            </w:pPr>
          </w:p>
          <w:p w:rsidR="00F6571B" w:rsidRPr="000F601D" w:rsidRDefault="00F6571B" w:rsidP="00E2648C">
            <w:pPr>
              <w:ind w:firstLine="720"/>
              <w:rPr>
                <w:sz w:val="26"/>
                <w:szCs w:val="26"/>
              </w:rPr>
            </w:pPr>
          </w:p>
        </w:tc>
        <w:tc>
          <w:tcPr>
            <w:tcW w:w="4860" w:type="dxa"/>
          </w:tcPr>
          <w:p w:rsidR="000D32EA" w:rsidRPr="000F601D" w:rsidRDefault="005A2773" w:rsidP="00637996">
            <w:pPr>
              <w:pStyle w:val="tv2131"/>
              <w:spacing w:line="240" w:lineRule="auto"/>
              <w:ind w:firstLine="0"/>
              <w:jc w:val="both"/>
              <w:rPr>
                <w:color w:val="auto"/>
                <w:sz w:val="26"/>
                <w:szCs w:val="26"/>
              </w:rPr>
            </w:pPr>
            <w:r w:rsidRPr="000F601D">
              <w:rPr>
                <w:color w:val="auto"/>
                <w:sz w:val="26"/>
                <w:szCs w:val="26"/>
              </w:rPr>
              <w:t>2014.gada 1.janvārī Valsts akciju sabiedrība „Latvijas Hipotēku un zemes banka”</w:t>
            </w:r>
            <w:r w:rsidR="008C4337" w:rsidRPr="000F601D">
              <w:rPr>
                <w:color w:val="auto"/>
                <w:sz w:val="26"/>
                <w:szCs w:val="26"/>
              </w:rPr>
              <w:t xml:space="preserve"> (turpmāk –</w:t>
            </w:r>
            <w:r w:rsidR="00D03C69" w:rsidRPr="000F601D">
              <w:rPr>
                <w:color w:val="auto"/>
                <w:sz w:val="26"/>
                <w:szCs w:val="26"/>
              </w:rPr>
              <w:t xml:space="preserve"> </w:t>
            </w:r>
            <w:r w:rsidR="008C4337" w:rsidRPr="000F601D">
              <w:rPr>
                <w:color w:val="auto"/>
                <w:sz w:val="26"/>
                <w:szCs w:val="26"/>
              </w:rPr>
              <w:t>Hipotēku banka), reorganizācijas ietvaros,</w:t>
            </w:r>
            <w:r w:rsidRPr="000F601D">
              <w:rPr>
                <w:color w:val="auto"/>
                <w:sz w:val="26"/>
                <w:szCs w:val="26"/>
              </w:rPr>
              <w:t xml:space="preserve"> ir atteikusies no kredītiestādes licences un manījusi nosaukumu uz valsts akciju sabiedrība "Latvijas Attīstības finanšu institūcija </w:t>
            </w:r>
            <w:proofErr w:type="spellStart"/>
            <w:r w:rsidRPr="000F601D">
              <w:rPr>
                <w:color w:val="auto"/>
                <w:sz w:val="26"/>
                <w:szCs w:val="26"/>
              </w:rPr>
              <w:t>Altum</w:t>
            </w:r>
            <w:proofErr w:type="spellEnd"/>
            <w:r w:rsidRPr="000F601D">
              <w:rPr>
                <w:color w:val="auto"/>
                <w:sz w:val="26"/>
                <w:szCs w:val="26"/>
              </w:rPr>
              <w:t>"</w:t>
            </w:r>
            <w:r w:rsidR="008C4337" w:rsidRPr="000F601D">
              <w:rPr>
                <w:color w:val="auto"/>
                <w:sz w:val="26"/>
                <w:szCs w:val="26"/>
              </w:rPr>
              <w:t xml:space="preserve"> (turpmāk - </w:t>
            </w:r>
            <w:proofErr w:type="spellStart"/>
            <w:r w:rsidR="008C4337" w:rsidRPr="000F601D">
              <w:rPr>
                <w:color w:val="auto"/>
                <w:sz w:val="26"/>
                <w:szCs w:val="26"/>
              </w:rPr>
              <w:t>Altum</w:t>
            </w:r>
            <w:proofErr w:type="spellEnd"/>
            <w:r w:rsidR="008C4337" w:rsidRPr="000F601D">
              <w:rPr>
                <w:color w:val="auto"/>
                <w:sz w:val="26"/>
                <w:szCs w:val="26"/>
              </w:rPr>
              <w:t>)</w:t>
            </w:r>
            <w:r w:rsidRPr="000F601D">
              <w:rPr>
                <w:color w:val="auto"/>
                <w:sz w:val="26"/>
                <w:szCs w:val="26"/>
              </w:rPr>
              <w:t>.</w:t>
            </w:r>
          </w:p>
          <w:p w:rsidR="007808C3" w:rsidRPr="000F601D" w:rsidRDefault="00D67B05" w:rsidP="008F37CC">
            <w:pPr>
              <w:pStyle w:val="tv2131"/>
              <w:spacing w:line="240" w:lineRule="auto"/>
              <w:ind w:firstLine="0"/>
              <w:jc w:val="both"/>
              <w:rPr>
                <w:color w:val="auto"/>
                <w:sz w:val="26"/>
                <w:szCs w:val="26"/>
              </w:rPr>
            </w:pPr>
            <w:r w:rsidRPr="000F601D">
              <w:rPr>
                <w:color w:val="auto"/>
                <w:sz w:val="26"/>
                <w:szCs w:val="26"/>
              </w:rPr>
              <w:t xml:space="preserve">Lai </w:t>
            </w:r>
            <w:proofErr w:type="spellStart"/>
            <w:r w:rsidRPr="000F601D">
              <w:rPr>
                <w:color w:val="auto"/>
                <w:sz w:val="26"/>
                <w:szCs w:val="26"/>
              </w:rPr>
              <w:t>Altum</w:t>
            </w:r>
            <w:proofErr w:type="spellEnd"/>
            <w:r w:rsidRPr="000F601D">
              <w:rPr>
                <w:color w:val="auto"/>
                <w:sz w:val="26"/>
                <w:szCs w:val="26"/>
              </w:rPr>
              <w:t xml:space="preserve"> varētu nodrošināt sekmīgu </w:t>
            </w:r>
            <w:r w:rsidRPr="000F601D">
              <w:rPr>
                <w:bCs/>
                <w:color w:val="auto"/>
                <w:sz w:val="26"/>
                <w:szCs w:val="26"/>
              </w:rPr>
              <w:t>zemes izpirkuma (pirkuma) līguma noslēgšanu, Noteikumos</w:t>
            </w:r>
            <w:r w:rsidR="00F81534" w:rsidRPr="000F601D">
              <w:rPr>
                <w:bCs/>
                <w:color w:val="auto"/>
                <w:sz w:val="26"/>
                <w:szCs w:val="26"/>
              </w:rPr>
              <w:t xml:space="preserve"> </w:t>
            </w:r>
            <w:r w:rsidR="009A75E0" w:rsidRPr="000F601D">
              <w:rPr>
                <w:bCs/>
                <w:sz w:val="26"/>
                <w:szCs w:val="26"/>
              </w:rPr>
              <w:t>Nr.1106</w:t>
            </w:r>
            <w:r w:rsidRPr="000F601D">
              <w:rPr>
                <w:bCs/>
                <w:color w:val="auto"/>
                <w:sz w:val="26"/>
                <w:szCs w:val="26"/>
              </w:rPr>
              <w:t xml:space="preserve"> aizst</w:t>
            </w:r>
            <w:r w:rsidR="007B30F9" w:rsidRPr="000F601D">
              <w:rPr>
                <w:bCs/>
                <w:color w:val="auto"/>
                <w:sz w:val="26"/>
                <w:szCs w:val="26"/>
              </w:rPr>
              <w:t>āts vecais nosaukums „Latvijas H</w:t>
            </w:r>
            <w:r w:rsidRPr="000F601D">
              <w:rPr>
                <w:bCs/>
                <w:color w:val="auto"/>
                <w:sz w:val="26"/>
                <w:szCs w:val="26"/>
              </w:rPr>
              <w:t>ipotēku un zemes banka” ar jauno</w:t>
            </w:r>
            <w:r w:rsidR="007B30F9" w:rsidRPr="000F601D">
              <w:rPr>
                <w:bCs/>
                <w:color w:val="auto"/>
                <w:sz w:val="26"/>
                <w:szCs w:val="26"/>
              </w:rPr>
              <w:t xml:space="preserve"> nosaukumu</w:t>
            </w:r>
            <w:r w:rsidRPr="000F601D">
              <w:rPr>
                <w:bCs/>
                <w:color w:val="auto"/>
                <w:sz w:val="26"/>
                <w:szCs w:val="26"/>
              </w:rPr>
              <w:t xml:space="preserve"> </w:t>
            </w:r>
            <w:r w:rsidRPr="000F601D">
              <w:rPr>
                <w:color w:val="auto"/>
                <w:sz w:val="26"/>
                <w:szCs w:val="26"/>
              </w:rPr>
              <w:t xml:space="preserve">"Latvijas Attīstības finanšu institūcija </w:t>
            </w:r>
            <w:proofErr w:type="spellStart"/>
            <w:r w:rsidRPr="000F601D">
              <w:rPr>
                <w:color w:val="auto"/>
                <w:sz w:val="26"/>
                <w:szCs w:val="26"/>
              </w:rPr>
              <w:t>Altum</w:t>
            </w:r>
            <w:proofErr w:type="spellEnd"/>
            <w:r w:rsidRPr="000F601D">
              <w:rPr>
                <w:color w:val="auto"/>
                <w:sz w:val="26"/>
                <w:szCs w:val="26"/>
              </w:rPr>
              <w:t>".</w:t>
            </w:r>
          </w:p>
          <w:p w:rsidR="004F58F5" w:rsidRPr="000F601D" w:rsidRDefault="007808C3" w:rsidP="006012C5">
            <w:pPr>
              <w:pStyle w:val="tv2131"/>
              <w:spacing w:line="240" w:lineRule="auto"/>
              <w:ind w:firstLine="0"/>
              <w:jc w:val="both"/>
              <w:rPr>
                <w:color w:val="auto"/>
                <w:sz w:val="26"/>
                <w:szCs w:val="26"/>
              </w:rPr>
            </w:pPr>
            <w:r w:rsidRPr="000F601D">
              <w:rPr>
                <w:iCs/>
                <w:color w:val="auto"/>
                <w:sz w:val="26"/>
                <w:szCs w:val="26"/>
              </w:rPr>
              <w:t xml:space="preserve">2014.gada 29.aprīlī Ministru kabinetā tika pieņemts Ministru kabineta </w:t>
            </w:r>
            <w:r w:rsidRPr="000F601D">
              <w:rPr>
                <w:color w:val="auto"/>
                <w:sz w:val="26"/>
                <w:szCs w:val="26"/>
              </w:rPr>
              <w:t>noteikumu projekts "Kārtība, kādā deleģē valsts pārvaldes uzdevumu – zemes izpirkuma (pirkuma) līgumu slēgšanu, šo līgumu izpildes kontroli un neizpirktās zemes nodošanu pašvaldības īpašumā" (turpmāk – Valsts pārvaldes uzdevuma deleģējuma  noteikumi).</w:t>
            </w:r>
            <w:r w:rsidR="00E50BA6" w:rsidRPr="000F601D">
              <w:rPr>
                <w:color w:val="auto"/>
                <w:sz w:val="26"/>
                <w:szCs w:val="26"/>
              </w:rPr>
              <w:t xml:space="preserve"> </w:t>
            </w:r>
            <w:r w:rsidRPr="000F601D">
              <w:rPr>
                <w:color w:val="auto"/>
                <w:sz w:val="26"/>
                <w:szCs w:val="26"/>
              </w:rPr>
              <w:t>Valsts</w:t>
            </w:r>
            <w:r w:rsidR="006012C5" w:rsidRPr="000F601D">
              <w:rPr>
                <w:color w:val="auto"/>
                <w:sz w:val="26"/>
                <w:szCs w:val="26"/>
              </w:rPr>
              <w:t xml:space="preserve"> pārvaldes uzdevuma deleģējuma </w:t>
            </w:r>
            <w:r w:rsidRPr="000F601D">
              <w:rPr>
                <w:color w:val="auto"/>
                <w:sz w:val="26"/>
                <w:szCs w:val="26"/>
              </w:rPr>
              <w:t xml:space="preserve">noteikumi nosaka lauku un pilsētu zemes izpirkuma (pirkuma) līgumu slēgšanas, šo līgumu izpildes kontroles un neizpirktās zemes nodošanas pašvaldību īpašumā uzdevuma deleģēšanu valsts akciju sabiedrībai </w:t>
            </w:r>
            <w:proofErr w:type="spellStart"/>
            <w:r w:rsidR="008B7645" w:rsidRPr="000F601D">
              <w:rPr>
                <w:color w:val="auto"/>
                <w:sz w:val="26"/>
                <w:szCs w:val="26"/>
              </w:rPr>
              <w:t>Altum</w:t>
            </w:r>
            <w:proofErr w:type="spellEnd"/>
            <w:r w:rsidR="007A58C1" w:rsidRPr="000F601D">
              <w:rPr>
                <w:color w:val="auto"/>
                <w:sz w:val="26"/>
                <w:szCs w:val="26"/>
              </w:rPr>
              <w:t>.</w:t>
            </w:r>
            <w:r w:rsidR="008B7645" w:rsidRPr="000F601D">
              <w:rPr>
                <w:color w:val="auto"/>
                <w:sz w:val="26"/>
                <w:szCs w:val="26"/>
              </w:rPr>
              <w:t xml:space="preserve"> Ņemot vērā to, ka </w:t>
            </w:r>
            <w:r w:rsidR="006012C5" w:rsidRPr="000F601D">
              <w:rPr>
                <w:color w:val="auto"/>
                <w:sz w:val="26"/>
                <w:szCs w:val="26"/>
              </w:rPr>
              <w:t xml:space="preserve">valsts pārvaldes uzdevums ir deleģēts  </w:t>
            </w:r>
            <w:proofErr w:type="spellStart"/>
            <w:r w:rsidR="006012C5" w:rsidRPr="000F601D">
              <w:rPr>
                <w:color w:val="auto"/>
                <w:sz w:val="26"/>
                <w:szCs w:val="26"/>
              </w:rPr>
              <w:t>Altum</w:t>
            </w:r>
            <w:proofErr w:type="spellEnd"/>
            <w:r w:rsidR="006012C5" w:rsidRPr="000F601D">
              <w:rPr>
                <w:color w:val="auto"/>
                <w:sz w:val="26"/>
                <w:szCs w:val="26"/>
              </w:rPr>
              <w:t xml:space="preserve">, tad </w:t>
            </w:r>
            <w:proofErr w:type="spellStart"/>
            <w:r w:rsidR="006012C5" w:rsidRPr="000F601D">
              <w:rPr>
                <w:color w:val="auto"/>
                <w:sz w:val="26"/>
                <w:szCs w:val="26"/>
              </w:rPr>
              <w:t>Altum</w:t>
            </w:r>
            <w:proofErr w:type="spellEnd"/>
            <w:r w:rsidR="008B7645" w:rsidRPr="000F601D">
              <w:rPr>
                <w:color w:val="auto"/>
                <w:sz w:val="26"/>
                <w:szCs w:val="26"/>
              </w:rPr>
              <w:t xml:space="preserve"> </w:t>
            </w:r>
            <w:r w:rsidR="009775C6" w:rsidRPr="000F601D">
              <w:rPr>
                <w:color w:val="auto"/>
                <w:sz w:val="26"/>
                <w:szCs w:val="26"/>
              </w:rPr>
              <w:t>turpinās veikt ar zemes izpirkšanas (pirkšanas) līguma noslēgšanu saist</w:t>
            </w:r>
            <w:r w:rsidR="00350AC5" w:rsidRPr="000F601D">
              <w:rPr>
                <w:color w:val="auto"/>
                <w:sz w:val="26"/>
                <w:szCs w:val="26"/>
              </w:rPr>
              <w:t>ītos uzdevumus.</w:t>
            </w:r>
            <w:r w:rsidR="007E6EAD" w:rsidRPr="000F601D">
              <w:rPr>
                <w:color w:val="auto"/>
                <w:sz w:val="26"/>
                <w:szCs w:val="26"/>
              </w:rPr>
              <w:t xml:space="preserve"> </w:t>
            </w:r>
          </w:p>
          <w:p w:rsidR="00C32071" w:rsidRPr="006270B1" w:rsidRDefault="00C32071" w:rsidP="006270B1">
            <w:pPr>
              <w:pStyle w:val="tv2131"/>
              <w:spacing w:line="240" w:lineRule="auto"/>
              <w:ind w:firstLine="0"/>
              <w:jc w:val="both"/>
              <w:rPr>
                <w:bCs/>
                <w:color w:val="auto"/>
                <w:sz w:val="26"/>
                <w:szCs w:val="26"/>
              </w:rPr>
            </w:pPr>
            <w:r w:rsidRPr="000F601D">
              <w:rPr>
                <w:sz w:val="26"/>
                <w:szCs w:val="26"/>
              </w:rPr>
              <w:t>Noteikumu Nr.1106 pielikumos ir ietverti zemes</w:t>
            </w:r>
            <w:r w:rsidRPr="000F601D">
              <w:rPr>
                <w:color w:val="auto"/>
                <w:sz w:val="26"/>
                <w:szCs w:val="26"/>
              </w:rPr>
              <w:t xml:space="preserve"> izpirkuma līgumi, tādēļ lai normatīvo aktu kopumā padarītu vieglāk uztveramu</w:t>
            </w:r>
            <w:r w:rsidR="006270B1">
              <w:rPr>
                <w:bCs/>
                <w:color w:val="auto"/>
                <w:sz w:val="26"/>
                <w:szCs w:val="26"/>
              </w:rPr>
              <w:t xml:space="preserve"> vecais nosaukums</w:t>
            </w:r>
            <w:r w:rsidRPr="000F601D">
              <w:rPr>
                <w:bCs/>
                <w:color w:val="auto"/>
                <w:sz w:val="26"/>
                <w:szCs w:val="26"/>
              </w:rPr>
              <w:t xml:space="preserve"> „Latvijas Hipotēku un zemes banka” ir </w:t>
            </w:r>
            <w:r w:rsidR="006270B1">
              <w:rPr>
                <w:bCs/>
                <w:color w:val="auto"/>
                <w:sz w:val="26"/>
                <w:szCs w:val="26"/>
              </w:rPr>
              <w:t xml:space="preserve">aizstāts ar vārdu banka. Savukārt </w:t>
            </w:r>
            <w:r w:rsidR="006270B1" w:rsidRPr="000F601D">
              <w:rPr>
                <w:iCs/>
                <w:sz w:val="26"/>
                <w:szCs w:val="26"/>
              </w:rPr>
              <w:t xml:space="preserve"> </w:t>
            </w:r>
            <w:r w:rsidR="006270B1">
              <w:rPr>
                <w:iCs/>
                <w:sz w:val="26"/>
                <w:szCs w:val="26"/>
              </w:rPr>
              <w:t>Noteikumu</w:t>
            </w:r>
            <w:r w:rsidR="006270B1" w:rsidRPr="000F601D">
              <w:rPr>
                <w:iCs/>
                <w:sz w:val="26"/>
                <w:szCs w:val="26"/>
              </w:rPr>
              <w:t xml:space="preserve"> </w:t>
            </w:r>
            <w:r w:rsidR="006270B1" w:rsidRPr="000F601D">
              <w:rPr>
                <w:bCs/>
                <w:sz w:val="26"/>
                <w:szCs w:val="26"/>
              </w:rPr>
              <w:t xml:space="preserve"> Nr.1106</w:t>
            </w:r>
            <w:r w:rsidR="006270B1">
              <w:rPr>
                <w:bCs/>
                <w:color w:val="auto"/>
                <w:sz w:val="26"/>
                <w:szCs w:val="26"/>
              </w:rPr>
              <w:t xml:space="preserve"> pielikumos ir izveidota zemsvītra, kurā tiks norādīts institūcijas nosaukums, ņemot vērā, ka pilnīga reorganizācija vēl nav noslēgta, tādēļ nākotnē var mainīties tās nosaukums.</w:t>
            </w:r>
          </w:p>
        </w:tc>
      </w:tr>
      <w:tr w:rsidR="00D02409" w:rsidRPr="000F601D" w:rsidTr="004032D7">
        <w:trPr>
          <w:trHeight w:val="736"/>
        </w:trPr>
        <w:tc>
          <w:tcPr>
            <w:tcW w:w="550" w:type="dxa"/>
          </w:tcPr>
          <w:p w:rsidR="00F6571B" w:rsidRPr="000F601D" w:rsidRDefault="00F6571B" w:rsidP="00E2648C">
            <w:pPr>
              <w:pStyle w:val="naiskr"/>
              <w:spacing w:before="0" w:after="0"/>
              <w:rPr>
                <w:sz w:val="26"/>
                <w:szCs w:val="26"/>
              </w:rPr>
            </w:pPr>
            <w:r w:rsidRPr="000F601D">
              <w:rPr>
                <w:sz w:val="26"/>
                <w:szCs w:val="26"/>
              </w:rPr>
              <w:t>3.</w:t>
            </w:r>
          </w:p>
        </w:tc>
        <w:tc>
          <w:tcPr>
            <w:tcW w:w="4315" w:type="dxa"/>
          </w:tcPr>
          <w:p w:rsidR="00F6571B" w:rsidRPr="000F601D" w:rsidRDefault="00F6571B" w:rsidP="00E2648C">
            <w:pPr>
              <w:pStyle w:val="naiskr"/>
              <w:spacing w:before="0" w:after="0"/>
              <w:rPr>
                <w:sz w:val="26"/>
                <w:szCs w:val="26"/>
              </w:rPr>
            </w:pPr>
            <w:r w:rsidRPr="000F601D">
              <w:rPr>
                <w:sz w:val="26"/>
                <w:szCs w:val="26"/>
              </w:rPr>
              <w:t>Projekta izstrādē iesaistītās institūcijas</w:t>
            </w:r>
          </w:p>
        </w:tc>
        <w:tc>
          <w:tcPr>
            <w:tcW w:w="4860" w:type="dxa"/>
          </w:tcPr>
          <w:p w:rsidR="00C32071" w:rsidRPr="000F601D" w:rsidRDefault="00D03C69" w:rsidP="00E2648C">
            <w:pPr>
              <w:pStyle w:val="FootnoteText"/>
              <w:rPr>
                <w:sz w:val="26"/>
                <w:szCs w:val="26"/>
              </w:rPr>
            </w:pPr>
            <w:r w:rsidRPr="000F601D">
              <w:rPr>
                <w:sz w:val="26"/>
                <w:szCs w:val="26"/>
              </w:rPr>
              <w:t xml:space="preserve">valsts akciju sabiedrība "Latvijas Attīstības finanšu institūcija </w:t>
            </w:r>
            <w:proofErr w:type="spellStart"/>
            <w:r w:rsidRPr="000F601D">
              <w:rPr>
                <w:sz w:val="26"/>
                <w:szCs w:val="26"/>
              </w:rPr>
              <w:t>Altum</w:t>
            </w:r>
            <w:proofErr w:type="spellEnd"/>
            <w:r w:rsidRPr="000F601D">
              <w:rPr>
                <w:sz w:val="26"/>
                <w:szCs w:val="26"/>
              </w:rPr>
              <w:t>"</w:t>
            </w:r>
            <w:r w:rsidR="00C32071" w:rsidRPr="000F601D">
              <w:rPr>
                <w:sz w:val="26"/>
                <w:szCs w:val="26"/>
              </w:rPr>
              <w:t xml:space="preserve">. </w:t>
            </w:r>
          </w:p>
          <w:p w:rsidR="00C32071" w:rsidRPr="000F601D" w:rsidRDefault="00C32071" w:rsidP="00C32071">
            <w:pPr>
              <w:pStyle w:val="FootnoteText"/>
              <w:rPr>
                <w:sz w:val="26"/>
                <w:szCs w:val="26"/>
              </w:rPr>
            </w:pPr>
          </w:p>
        </w:tc>
      </w:tr>
      <w:tr w:rsidR="00D02409" w:rsidRPr="000F601D" w:rsidTr="00E2648C">
        <w:tc>
          <w:tcPr>
            <w:tcW w:w="550" w:type="dxa"/>
          </w:tcPr>
          <w:p w:rsidR="00F6571B" w:rsidRPr="000F601D" w:rsidRDefault="00F6571B" w:rsidP="00E2648C">
            <w:pPr>
              <w:pStyle w:val="naiskr"/>
              <w:spacing w:before="0" w:after="0"/>
              <w:rPr>
                <w:sz w:val="26"/>
                <w:szCs w:val="26"/>
              </w:rPr>
            </w:pPr>
            <w:r w:rsidRPr="000F601D">
              <w:rPr>
                <w:sz w:val="26"/>
                <w:szCs w:val="26"/>
              </w:rPr>
              <w:t>4.</w:t>
            </w:r>
          </w:p>
        </w:tc>
        <w:tc>
          <w:tcPr>
            <w:tcW w:w="4315" w:type="dxa"/>
          </w:tcPr>
          <w:p w:rsidR="00F6571B" w:rsidRPr="000F601D" w:rsidRDefault="00F6571B" w:rsidP="00E2648C">
            <w:pPr>
              <w:pStyle w:val="naiskr"/>
              <w:spacing w:before="0" w:after="0"/>
              <w:rPr>
                <w:sz w:val="26"/>
                <w:szCs w:val="26"/>
              </w:rPr>
            </w:pPr>
            <w:r w:rsidRPr="000F601D">
              <w:rPr>
                <w:sz w:val="26"/>
                <w:szCs w:val="26"/>
              </w:rPr>
              <w:t>Cita informācija</w:t>
            </w:r>
          </w:p>
        </w:tc>
        <w:tc>
          <w:tcPr>
            <w:tcW w:w="4860" w:type="dxa"/>
          </w:tcPr>
          <w:p w:rsidR="00F6571B" w:rsidRPr="000F601D" w:rsidRDefault="00D03C69" w:rsidP="00D03C69">
            <w:pPr>
              <w:pStyle w:val="naiskr"/>
              <w:spacing w:before="0" w:after="0"/>
              <w:jc w:val="both"/>
              <w:rPr>
                <w:sz w:val="26"/>
                <w:szCs w:val="26"/>
              </w:rPr>
            </w:pPr>
            <w:r w:rsidRPr="000F601D">
              <w:rPr>
                <w:sz w:val="26"/>
                <w:szCs w:val="26"/>
              </w:rPr>
              <w:t xml:space="preserve">Nav </w:t>
            </w:r>
            <w:r w:rsidR="003C3E06" w:rsidRPr="000F601D">
              <w:rPr>
                <w:sz w:val="26"/>
                <w:szCs w:val="26"/>
              </w:rPr>
              <w:t>attiecināms</w:t>
            </w:r>
          </w:p>
        </w:tc>
      </w:tr>
    </w:tbl>
    <w:p w:rsidR="00F55946" w:rsidRPr="000F601D" w:rsidRDefault="00F55946" w:rsidP="002377A6">
      <w:pPr>
        <w:rPr>
          <w:sz w:val="26"/>
          <w:szCs w:val="26"/>
        </w:rPr>
      </w:pPr>
    </w:p>
    <w:p w:rsidR="000F601D" w:rsidRPr="000F601D" w:rsidRDefault="000F601D" w:rsidP="002377A6">
      <w:pPr>
        <w:rPr>
          <w:sz w:val="26"/>
          <w:szCs w:val="26"/>
        </w:rPr>
      </w:pPr>
    </w:p>
    <w:tbl>
      <w:tblPr>
        <w:tblpPr w:leftFromText="180" w:rightFromText="180" w:vertAnchor="text" w:horzAnchor="margin" w:tblpXSpec="center" w:tblpY="149"/>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13"/>
        <w:gridCol w:w="4855"/>
        <w:gridCol w:w="4500"/>
      </w:tblGrid>
      <w:tr w:rsidR="00F6571B" w:rsidRPr="000F601D" w:rsidTr="003C3E06">
        <w:tc>
          <w:tcPr>
            <w:tcW w:w="9768" w:type="dxa"/>
            <w:gridSpan w:val="3"/>
            <w:vAlign w:val="center"/>
          </w:tcPr>
          <w:p w:rsidR="00F6571B" w:rsidRPr="000F601D" w:rsidRDefault="00F6571B" w:rsidP="00E2648C">
            <w:pPr>
              <w:pStyle w:val="naisnod"/>
              <w:spacing w:before="0" w:after="0"/>
              <w:rPr>
                <w:sz w:val="26"/>
                <w:szCs w:val="26"/>
              </w:rPr>
            </w:pPr>
            <w:r w:rsidRPr="000F601D">
              <w:rPr>
                <w:sz w:val="26"/>
                <w:szCs w:val="26"/>
              </w:rPr>
              <w:t>II. Tiesību akta projekta ietekme uz sabiedrību, tautsaimniecības attīstību un administratīvo slogu</w:t>
            </w:r>
          </w:p>
        </w:tc>
      </w:tr>
      <w:tr w:rsidR="00F6571B" w:rsidRPr="000F601D" w:rsidTr="003C3E06">
        <w:trPr>
          <w:trHeight w:val="467"/>
        </w:trPr>
        <w:tc>
          <w:tcPr>
            <w:tcW w:w="413" w:type="dxa"/>
          </w:tcPr>
          <w:p w:rsidR="00F6571B" w:rsidRPr="000F601D" w:rsidRDefault="00F6571B" w:rsidP="00E2648C">
            <w:pPr>
              <w:pStyle w:val="naiskr"/>
              <w:spacing w:before="0" w:after="0"/>
              <w:rPr>
                <w:sz w:val="26"/>
                <w:szCs w:val="26"/>
              </w:rPr>
            </w:pPr>
            <w:r w:rsidRPr="000F601D">
              <w:rPr>
                <w:sz w:val="26"/>
                <w:szCs w:val="26"/>
              </w:rPr>
              <w:t>1.</w:t>
            </w:r>
          </w:p>
        </w:tc>
        <w:tc>
          <w:tcPr>
            <w:tcW w:w="4855" w:type="dxa"/>
          </w:tcPr>
          <w:p w:rsidR="00F6571B" w:rsidRPr="000F601D" w:rsidRDefault="00F6571B" w:rsidP="00E2648C">
            <w:pPr>
              <w:pStyle w:val="naiskr"/>
              <w:spacing w:before="0" w:after="0"/>
              <w:rPr>
                <w:sz w:val="26"/>
                <w:szCs w:val="26"/>
              </w:rPr>
            </w:pPr>
            <w:r w:rsidRPr="000F601D">
              <w:rPr>
                <w:sz w:val="26"/>
                <w:szCs w:val="26"/>
              </w:rPr>
              <w:t xml:space="preserve">Sabiedrības </w:t>
            </w:r>
            <w:proofErr w:type="spellStart"/>
            <w:r w:rsidRPr="000F601D">
              <w:rPr>
                <w:sz w:val="26"/>
                <w:szCs w:val="26"/>
              </w:rPr>
              <w:t>mērķgrupas</w:t>
            </w:r>
            <w:proofErr w:type="spellEnd"/>
            <w:r w:rsidRPr="000F601D">
              <w:rPr>
                <w:sz w:val="26"/>
                <w:szCs w:val="26"/>
              </w:rPr>
              <w:t>, kuras tiesiskais regulējums ietekmē vai varētu ietekmēt</w:t>
            </w:r>
          </w:p>
        </w:tc>
        <w:tc>
          <w:tcPr>
            <w:tcW w:w="4500" w:type="dxa"/>
          </w:tcPr>
          <w:p w:rsidR="00F6571B" w:rsidRPr="000F601D" w:rsidRDefault="00092B14" w:rsidP="00B125E8">
            <w:pPr>
              <w:pStyle w:val="naiskr"/>
              <w:spacing w:before="120" w:after="120"/>
              <w:jc w:val="both"/>
              <w:rPr>
                <w:iCs/>
                <w:sz w:val="26"/>
                <w:szCs w:val="26"/>
              </w:rPr>
            </w:pPr>
            <w:r w:rsidRPr="000F601D">
              <w:rPr>
                <w:sz w:val="26"/>
                <w:szCs w:val="26"/>
              </w:rPr>
              <w:t>V</w:t>
            </w:r>
            <w:r w:rsidR="004032D7" w:rsidRPr="000F601D">
              <w:rPr>
                <w:sz w:val="26"/>
                <w:szCs w:val="26"/>
              </w:rPr>
              <w:t xml:space="preserve">alsts akciju sabiedrība "Latvijas Attīstības finanšu institūcija </w:t>
            </w:r>
            <w:proofErr w:type="spellStart"/>
            <w:r w:rsidR="004032D7" w:rsidRPr="000F601D">
              <w:rPr>
                <w:sz w:val="26"/>
                <w:szCs w:val="26"/>
              </w:rPr>
              <w:t>Altum</w:t>
            </w:r>
            <w:proofErr w:type="spellEnd"/>
            <w:r w:rsidR="004032D7" w:rsidRPr="000F601D">
              <w:rPr>
                <w:sz w:val="26"/>
                <w:szCs w:val="26"/>
              </w:rPr>
              <w:t xml:space="preserve">" </w:t>
            </w:r>
            <w:r w:rsidR="00B125E8" w:rsidRPr="000F601D">
              <w:rPr>
                <w:sz w:val="26"/>
                <w:szCs w:val="26"/>
              </w:rPr>
              <w:t xml:space="preserve"> nodrošinot </w:t>
            </w:r>
            <w:r w:rsidR="00B125E8" w:rsidRPr="000F601D">
              <w:rPr>
                <w:bCs/>
                <w:sz w:val="26"/>
                <w:szCs w:val="26"/>
              </w:rPr>
              <w:t>zemes izpirkuma (pirkuma) līguma noslēgšanu</w:t>
            </w:r>
            <w:r w:rsidR="00B125E8" w:rsidRPr="000F601D">
              <w:rPr>
                <w:sz w:val="26"/>
                <w:szCs w:val="26"/>
              </w:rPr>
              <w:t>.</w:t>
            </w:r>
          </w:p>
        </w:tc>
      </w:tr>
      <w:tr w:rsidR="00F6571B" w:rsidRPr="000F601D" w:rsidTr="003C3E06">
        <w:trPr>
          <w:trHeight w:val="523"/>
        </w:trPr>
        <w:tc>
          <w:tcPr>
            <w:tcW w:w="413" w:type="dxa"/>
          </w:tcPr>
          <w:p w:rsidR="00F6571B" w:rsidRPr="000F601D" w:rsidRDefault="00F6571B" w:rsidP="00E2648C">
            <w:pPr>
              <w:pStyle w:val="naiskr"/>
              <w:spacing w:before="0" w:after="0"/>
              <w:rPr>
                <w:sz w:val="26"/>
                <w:szCs w:val="26"/>
              </w:rPr>
            </w:pPr>
            <w:r w:rsidRPr="000F601D">
              <w:rPr>
                <w:sz w:val="26"/>
                <w:szCs w:val="26"/>
              </w:rPr>
              <w:t>2.</w:t>
            </w:r>
          </w:p>
        </w:tc>
        <w:tc>
          <w:tcPr>
            <w:tcW w:w="4855" w:type="dxa"/>
          </w:tcPr>
          <w:p w:rsidR="00F6571B" w:rsidRPr="000F601D" w:rsidRDefault="00F6571B" w:rsidP="00E2648C">
            <w:pPr>
              <w:pStyle w:val="naiskr"/>
              <w:spacing w:before="0" w:after="0"/>
              <w:rPr>
                <w:sz w:val="26"/>
                <w:szCs w:val="26"/>
              </w:rPr>
            </w:pPr>
            <w:r w:rsidRPr="000F601D">
              <w:rPr>
                <w:sz w:val="26"/>
                <w:szCs w:val="26"/>
              </w:rPr>
              <w:t>Tiesiskā regulējuma ietekme uz tautsaimniecību un administratīvo slogu</w:t>
            </w:r>
          </w:p>
        </w:tc>
        <w:tc>
          <w:tcPr>
            <w:tcW w:w="4500" w:type="dxa"/>
          </w:tcPr>
          <w:p w:rsidR="00F6571B" w:rsidRPr="000F601D" w:rsidRDefault="00F6571B" w:rsidP="00E2648C">
            <w:pPr>
              <w:pStyle w:val="naiskr"/>
              <w:spacing w:before="0" w:after="0"/>
              <w:jc w:val="both"/>
              <w:rPr>
                <w:sz w:val="26"/>
                <w:szCs w:val="26"/>
              </w:rPr>
            </w:pPr>
            <w:r w:rsidRPr="000F601D">
              <w:rPr>
                <w:sz w:val="26"/>
                <w:szCs w:val="26"/>
              </w:rPr>
              <w:t>Nav.</w:t>
            </w:r>
          </w:p>
        </w:tc>
      </w:tr>
      <w:tr w:rsidR="00F6571B" w:rsidRPr="000F601D" w:rsidTr="003C3E06">
        <w:trPr>
          <w:trHeight w:val="517"/>
        </w:trPr>
        <w:tc>
          <w:tcPr>
            <w:tcW w:w="413" w:type="dxa"/>
          </w:tcPr>
          <w:p w:rsidR="00F6571B" w:rsidRPr="000F601D" w:rsidRDefault="00F6571B" w:rsidP="00E2648C">
            <w:pPr>
              <w:pStyle w:val="naiskr"/>
              <w:spacing w:before="0" w:after="0"/>
              <w:rPr>
                <w:sz w:val="26"/>
                <w:szCs w:val="26"/>
              </w:rPr>
            </w:pPr>
            <w:r w:rsidRPr="000F601D">
              <w:rPr>
                <w:sz w:val="26"/>
                <w:szCs w:val="26"/>
              </w:rPr>
              <w:t>3.</w:t>
            </w:r>
          </w:p>
        </w:tc>
        <w:tc>
          <w:tcPr>
            <w:tcW w:w="4855" w:type="dxa"/>
          </w:tcPr>
          <w:p w:rsidR="00F6571B" w:rsidRPr="000F601D" w:rsidRDefault="00F6571B" w:rsidP="00E2648C">
            <w:pPr>
              <w:pStyle w:val="naiskr"/>
              <w:spacing w:before="0" w:after="0"/>
              <w:rPr>
                <w:sz w:val="26"/>
                <w:szCs w:val="26"/>
              </w:rPr>
            </w:pPr>
            <w:r w:rsidRPr="000F601D">
              <w:rPr>
                <w:sz w:val="26"/>
                <w:szCs w:val="26"/>
              </w:rPr>
              <w:t>Administratīvo izmaksu monetārs novērtējums</w:t>
            </w:r>
          </w:p>
        </w:tc>
        <w:tc>
          <w:tcPr>
            <w:tcW w:w="4500" w:type="dxa"/>
          </w:tcPr>
          <w:p w:rsidR="00F6571B" w:rsidRPr="000F601D" w:rsidRDefault="00F6571B" w:rsidP="00E2648C">
            <w:pPr>
              <w:pStyle w:val="naiskr"/>
              <w:spacing w:before="120" w:after="120"/>
              <w:rPr>
                <w:sz w:val="26"/>
                <w:szCs w:val="26"/>
              </w:rPr>
            </w:pPr>
            <w:r w:rsidRPr="000F601D">
              <w:rPr>
                <w:sz w:val="26"/>
                <w:szCs w:val="26"/>
              </w:rPr>
              <w:t>Nav.</w:t>
            </w:r>
          </w:p>
          <w:p w:rsidR="00F6571B" w:rsidRPr="000F601D" w:rsidRDefault="00F6571B" w:rsidP="00E2648C">
            <w:pPr>
              <w:pStyle w:val="naiskr"/>
              <w:spacing w:before="120" w:after="120"/>
              <w:rPr>
                <w:sz w:val="26"/>
                <w:szCs w:val="26"/>
              </w:rPr>
            </w:pPr>
          </w:p>
        </w:tc>
      </w:tr>
      <w:tr w:rsidR="00F6571B" w:rsidRPr="000F601D" w:rsidTr="003C3E06">
        <w:tc>
          <w:tcPr>
            <w:tcW w:w="413" w:type="dxa"/>
          </w:tcPr>
          <w:p w:rsidR="00F6571B" w:rsidRPr="000F601D" w:rsidRDefault="00F6571B" w:rsidP="00E2648C">
            <w:pPr>
              <w:pStyle w:val="naiskr"/>
              <w:spacing w:before="0" w:after="0"/>
              <w:rPr>
                <w:sz w:val="26"/>
                <w:szCs w:val="26"/>
              </w:rPr>
            </w:pPr>
            <w:r w:rsidRPr="000F601D">
              <w:rPr>
                <w:sz w:val="26"/>
                <w:szCs w:val="26"/>
              </w:rPr>
              <w:t>4.</w:t>
            </w:r>
          </w:p>
        </w:tc>
        <w:tc>
          <w:tcPr>
            <w:tcW w:w="4855" w:type="dxa"/>
          </w:tcPr>
          <w:p w:rsidR="00F6571B" w:rsidRPr="000F601D" w:rsidRDefault="00F6571B" w:rsidP="00E2648C">
            <w:pPr>
              <w:pStyle w:val="naiskr"/>
              <w:spacing w:before="0" w:after="0"/>
              <w:rPr>
                <w:sz w:val="26"/>
                <w:szCs w:val="26"/>
              </w:rPr>
            </w:pPr>
            <w:r w:rsidRPr="000F601D">
              <w:rPr>
                <w:sz w:val="26"/>
                <w:szCs w:val="26"/>
              </w:rPr>
              <w:t>Cita informācija</w:t>
            </w:r>
          </w:p>
        </w:tc>
        <w:tc>
          <w:tcPr>
            <w:tcW w:w="4500" w:type="dxa"/>
          </w:tcPr>
          <w:p w:rsidR="00F6571B" w:rsidRPr="000F601D" w:rsidRDefault="00C96A0D" w:rsidP="00C96A0D">
            <w:pPr>
              <w:pStyle w:val="naiskr"/>
              <w:spacing w:before="0" w:after="0"/>
              <w:ind w:hanging="13"/>
              <w:jc w:val="both"/>
              <w:rPr>
                <w:sz w:val="26"/>
                <w:szCs w:val="26"/>
              </w:rPr>
            </w:pPr>
            <w:r w:rsidRPr="000F601D">
              <w:rPr>
                <w:sz w:val="26"/>
                <w:szCs w:val="26"/>
              </w:rPr>
              <w:t>Nav.</w:t>
            </w:r>
          </w:p>
        </w:tc>
      </w:tr>
    </w:tbl>
    <w:p w:rsidR="004032D7" w:rsidRPr="000F601D" w:rsidRDefault="004032D7" w:rsidP="00414C29">
      <w:pPr>
        <w:rPr>
          <w:b/>
          <w:sz w:val="26"/>
          <w:szCs w:val="26"/>
        </w:rPr>
      </w:pPr>
    </w:p>
    <w:p w:rsidR="00F55946" w:rsidRPr="000F601D" w:rsidRDefault="00F55946" w:rsidP="00414C29">
      <w:pPr>
        <w:rPr>
          <w:b/>
          <w:sz w:val="26"/>
          <w:szCs w:val="26"/>
        </w:rPr>
      </w:pP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381"/>
        <w:gridCol w:w="4384"/>
        <w:gridCol w:w="4875"/>
      </w:tblGrid>
      <w:tr w:rsidR="00F6571B" w:rsidRPr="000F601D" w:rsidTr="007B30F9">
        <w:tc>
          <w:tcPr>
            <w:tcW w:w="9640" w:type="dxa"/>
            <w:gridSpan w:val="3"/>
            <w:tcBorders>
              <w:top w:val="single" w:sz="4" w:space="0" w:color="auto"/>
            </w:tcBorders>
          </w:tcPr>
          <w:p w:rsidR="00F6571B" w:rsidRPr="000F601D" w:rsidRDefault="00F6571B" w:rsidP="00E2648C">
            <w:pPr>
              <w:pStyle w:val="naisnod"/>
              <w:spacing w:before="0" w:after="0"/>
              <w:ind w:left="57" w:right="57"/>
              <w:rPr>
                <w:sz w:val="26"/>
                <w:szCs w:val="26"/>
              </w:rPr>
            </w:pPr>
            <w:r w:rsidRPr="000F601D">
              <w:rPr>
                <w:sz w:val="26"/>
                <w:szCs w:val="26"/>
              </w:rPr>
              <w:t>VII. Tiesību akta projekta izpildes nodrošināšana un tās ietekme uz institūcijām</w:t>
            </w:r>
          </w:p>
        </w:tc>
      </w:tr>
      <w:tr w:rsidR="00F6571B" w:rsidRPr="000F601D" w:rsidTr="007B30F9">
        <w:trPr>
          <w:trHeight w:val="427"/>
        </w:trPr>
        <w:tc>
          <w:tcPr>
            <w:tcW w:w="381" w:type="dxa"/>
          </w:tcPr>
          <w:p w:rsidR="00F6571B" w:rsidRPr="000F601D" w:rsidRDefault="00F6571B" w:rsidP="00E2648C">
            <w:pPr>
              <w:pStyle w:val="naisnod"/>
              <w:spacing w:before="0" w:after="0"/>
              <w:ind w:left="57" w:right="57"/>
              <w:jc w:val="left"/>
              <w:rPr>
                <w:b w:val="0"/>
                <w:sz w:val="26"/>
                <w:szCs w:val="26"/>
              </w:rPr>
            </w:pPr>
            <w:r w:rsidRPr="000F601D">
              <w:rPr>
                <w:b w:val="0"/>
                <w:sz w:val="26"/>
                <w:szCs w:val="26"/>
              </w:rPr>
              <w:t>1.</w:t>
            </w:r>
          </w:p>
        </w:tc>
        <w:tc>
          <w:tcPr>
            <w:tcW w:w="4384" w:type="dxa"/>
          </w:tcPr>
          <w:p w:rsidR="00F6571B" w:rsidRPr="000F601D" w:rsidRDefault="00F6571B" w:rsidP="00E2648C">
            <w:pPr>
              <w:pStyle w:val="naisf"/>
              <w:spacing w:before="0" w:after="0"/>
              <w:ind w:left="57" w:right="57" w:firstLine="0"/>
              <w:jc w:val="left"/>
              <w:rPr>
                <w:sz w:val="26"/>
                <w:szCs w:val="26"/>
              </w:rPr>
            </w:pPr>
            <w:r w:rsidRPr="000F601D">
              <w:rPr>
                <w:sz w:val="26"/>
                <w:szCs w:val="26"/>
              </w:rPr>
              <w:t xml:space="preserve">Projekta izpildē iesaistītās institūcijas </w:t>
            </w:r>
          </w:p>
        </w:tc>
        <w:tc>
          <w:tcPr>
            <w:tcW w:w="4875" w:type="dxa"/>
          </w:tcPr>
          <w:p w:rsidR="00F6571B" w:rsidRPr="000F601D" w:rsidRDefault="00B125E8" w:rsidP="00E2648C">
            <w:pPr>
              <w:pStyle w:val="naiskr"/>
              <w:tabs>
                <w:tab w:val="left" w:pos="427"/>
                <w:tab w:val="left" w:pos="2628"/>
              </w:tabs>
              <w:spacing w:before="0" w:after="0"/>
              <w:ind w:left="70"/>
              <w:jc w:val="both"/>
              <w:rPr>
                <w:sz w:val="26"/>
                <w:szCs w:val="26"/>
              </w:rPr>
            </w:pPr>
            <w:r w:rsidRPr="000F601D">
              <w:rPr>
                <w:sz w:val="26"/>
                <w:szCs w:val="26"/>
              </w:rPr>
              <w:t>V</w:t>
            </w:r>
            <w:r w:rsidR="005356C7" w:rsidRPr="000F601D">
              <w:rPr>
                <w:sz w:val="26"/>
                <w:szCs w:val="26"/>
              </w:rPr>
              <w:t xml:space="preserve">alsts akciju sabiedrība "Latvijas Attīstības finanšu institūcija </w:t>
            </w:r>
            <w:proofErr w:type="spellStart"/>
            <w:r w:rsidR="005356C7" w:rsidRPr="000F601D">
              <w:rPr>
                <w:sz w:val="26"/>
                <w:szCs w:val="26"/>
              </w:rPr>
              <w:t>Altum</w:t>
            </w:r>
            <w:proofErr w:type="spellEnd"/>
            <w:r w:rsidR="005356C7" w:rsidRPr="000F601D">
              <w:rPr>
                <w:sz w:val="26"/>
                <w:szCs w:val="26"/>
              </w:rPr>
              <w:t>"</w:t>
            </w:r>
            <w:r w:rsidR="00E37E21" w:rsidRPr="000F601D">
              <w:rPr>
                <w:sz w:val="26"/>
                <w:szCs w:val="26"/>
              </w:rPr>
              <w:t>.</w:t>
            </w:r>
          </w:p>
        </w:tc>
      </w:tr>
      <w:tr w:rsidR="00F6571B" w:rsidRPr="000F601D" w:rsidTr="007B30F9">
        <w:trPr>
          <w:trHeight w:val="463"/>
        </w:trPr>
        <w:tc>
          <w:tcPr>
            <w:tcW w:w="381" w:type="dxa"/>
          </w:tcPr>
          <w:p w:rsidR="00F6571B" w:rsidRPr="000F601D" w:rsidRDefault="00F6571B" w:rsidP="00E2648C">
            <w:pPr>
              <w:pStyle w:val="naisnod"/>
              <w:spacing w:before="0" w:after="0"/>
              <w:ind w:left="57" w:right="57"/>
              <w:jc w:val="left"/>
              <w:rPr>
                <w:b w:val="0"/>
                <w:sz w:val="26"/>
                <w:szCs w:val="26"/>
              </w:rPr>
            </w:pPr>
            <w:r w:rsidRPr="000F601D">
              <w:rPr>
                <w:b w:val="0"/>
                <w:sz w:val="26"/>
                <w:szCs w:val="26"/>
              </w:rPr>
              <w:t>2.</w:t>
            </w:r>
          </w:p>
        </w:tc>
        <w:tc>
          <w:tcPr>
            <w:tcW w:w="4384" w:type="dxa"/>
          </w:tcPr>
          <w:p w:rsidR="00F6571B" w:rsidRPr="000F601D" w:rsidRDefault="00F6571B" w:rsidP="00E2648C">
            <w:pPr>
              <w:pStyle w:val="naisf"/>
              <w:spacing w:before="0" w:after="0"/>
              <w:ind w:left="57" w:right="57" w:firstLine="0"/>
              <w:jc w:val="left"/>
              <w:rPr>
                <w:sz w:val="26"/>
                <w:szCs w:val="26"/>
              </w:rPr>
            </w:pPr>
            <w:r w:rsidRPr="000F601D">
              <w:rPr>
                <w:sz w:val="26"/>
                <w:szCs w:val="26"/>
              </w:rPr>
              <w:t xml:space="preserve">Projekta izpildes ietekme uz pārvaldes funkcijām </w:t>
            </w:r>
          </w:p>
        </w:tc>
        <w:tc>
          <w:tcPr>
            <w:tcW w:w="4875" w:type="dxa"/>
          </w:tcPr>
          <w:p w:rsidR="00F6571B" w:rsidRPr="000F601D" w:rsidRDefault="007B30F9" w:rsidP="002377A6">
            <w:pPr>
              <w:pStyle w:val="naisnod"/>
              <w:spacing w:before="0" w:after="0"/>
              <w:ind w:right="57"/>
              <w:jc w:val="both"/>
              <w:rPr>
                <w:b w:val="0"/>
                <w:iCs/>
                <w:sz w:val="26"/>
                <w:szCs w:val="26"/>
              </w:rPr>
            </w:pPr>
            <w:r w:rsidRPr="000F601D">
              <w:rPr>
                <w:b w:val="0"/>
                <w:sz w:val="26"/>
                <w:szCs w:val="26"/>
              </w:rPr>
              <w:t>Projekts šo jomu neskar</w:t>
            </w:r>
            <w:r w:rsidR="00B125E8" w:rsidRPr="000F601D">
              <w:rPr>
                <w:b w:val="0"/>
                <w:sz w:val="26"/>
                <w:szCs w:val="26"/>
              </w:rPr>
              <w:t>.</w:t>
            </w:r>
          </w:p>
        </w:tc>
      </w:tr>
      <w:tr w:rsidR="00F6571B" w:rsidRPr="000F601D" w:rsidTr="007B30F9">
        <w:trPr>
          <w:trHeight w:val="725"/>
        </w:trPr>
        <w:tc>
          <w:tcPr>
            <w:tcW w:w="381" w:type="dxa"/>
          </w:tcPr>
          <w:p w:rsidR="00F6571B" w:rsidRPr="000F601D" w:rsidRDefault="00F6571B" w:rsidP="00E2648C">
            <w:pPr>
              <w:pStyle w:val="naisnod"/>
              <w:spacing w:before="0" w:after="0"/>
              <w:ind w:left="57" w:right="57"/>
              <w:jc w:val="left"/>
              <w:rPr>
                <w:b w:val="0"/>
                <w:sz w:val="26"/>
                <w:szCs w:val="26"/>
              </w:rPr>
            </w:pPr>
            <w:r w:rsidRPr="000F601D">
              <w:rPr>
                <w:b w:val="0"/>
                <w:sz w:val="26"/>
                <w:szCs w:val="26"/>
              </w:rPr>
              <w:t>3.</w:t>
            </w:r>
          </w:p>
        </w:tc>
        <w:tc>
          <w:tcPr>
            <w:tcW w:w="4384" w:type="dxa"/>
          </w:tcPr>
          <w:p w:rsidR="00F6571B" w:rsidRPr="000F601D" w:rsidRDefault="00F6571B" w:rsidP="00E2648C">
            <w:pPr>
              <w:pStyle w:val="naisf"/>
              <w:spacing w:before="0" w:after="0"/>
              <w:ind w:left="57" w:right="57" w:firstLine="0"/>
              <w:jc w:val="left"/>
              <w:rPr>
                <w:sz w:val="26"/>
                <w:szCs w:val="26"/>
              </w:rPr>
            </w:pPr>
            <w:r w:rsidRPr="000F601D">
              <w:rPr>
                <w:sz w:val="26"/>
                <w:szCs w:val="26"/>
              </w:rPr>
              <w:t>Projekta izpildes ietekme uz pārvaldes institucionālo struktūru.</w:t>
            </w:r>
          </w:p>
          <w:p w:rsidR="00F6571B" w:rsidRPr="000F601D" w:rsidRDefault="00F6571B" w:rsidP="00E2648C">
            <w:pPr>
              <w:pStyle w:val="naisf"/>
              <w:spacing w:before="0" w:after="0"/>
              <w:ind w:left="57" w:right="57" w:firstLine="0"/>
              <w:jc w:val="left"/>
              <w:rPr>
                <w:sz w:val="26"/>
                <w:szCs w:val="26"/>
              </w:rPr>
            </w:pPr>
            <w:r w:rsidRPr="000F601D">
              <w:rPr>
                <w:sz w:val="26"/>
                <w:szCs w:val="26"/>
              </w:rPr>
              <w:t>Jaunu institūciju izveide, esošu institūciju likvidācija vai reorganizācija, to ietekme uz institūcijas cilvēkresursiem</w:t>
            </w:r>
          </w:p>
        </w:tc>
        <w:tc>
          <w:tcPr>
            <w:tcW w:w="4875" w:type="dxa"/>
          </w:tcPr>
          <w:p w:rsidR="00F6571B" w:rsidRPr="000F601D" w:rsidRDefault="007B30F9" w:rsidP="00E2648C">
            <w:pPr>
              <w:pStyle w:val="naisnod"/>
              <w:spacing w:before="0" w:after="0"/>
              <w:ind w:left="57" w:right="57"/>
              <w:jc w:val="both"/>
              <w:rPr>
                <w:b w:val="0"/>
                <w:sz w:val="26"/>
                <w:szCs w:val="26"/>
              </w:rPr>
            </w:pPr>
            <w:r w:rsidRPr="000F601D">
              <w:rPr>
                <w:b w:val="0"/>
                <w:sz w:val="26"/>
                <w:szCs w:val="26"/>
              </w:rPr>
              <w:t>Projekts šo jomu neskar</w:t>
            </w:r>
            <w:r w:rsidR="00B125E8" w:rsidRPr="000F601D">
              <w:rPr>
                <w:b w:val="0"/>
                <w:sz w:val="26"/>
                <w:szCs w:val="26"/>
              </w:rPr>
              <w:t>.</w:t>
            </w:r>
          </w:p>
        </w:tc>
      </w:tr>
      <w:tr w:rsidR="00F6571B" w:rsidRPr="000F601D" w:rsidTr="007B30F9">
        <w:trPr>
          <w:trHeight w:val="591"/>
        </w:trPr>
        <w:tc>
          <w:tcPr>
            <w:tcW w:w="381" w:type="dxa"/>
          </w:tcPr>
          <w:p w:rsidR="00F6571B" w:rsidRPr="000F601D" w:rsidRDefault="00F6571B" w:rsidP="00E2648C">
            <w:pPr>
              <w:pStyle w:val="naisnod"/>
              <w:spacing w:before="0" w:after="0"/>
              <w:ind w:left="57" w:right="57"/>
              <w:jc w:val="left"/>
              <w:rPr>
                <w:b w:val="0"/>
                <w:sz w:val="26"/>
                <w:szCs w:val="26"/>
              </w:rPr>
            </w:pPr>
            <w:r w:rsidRPr="000F601D">
              <w:rPr>
                <w:b w:val="0"/>
                <w:sz w:val="26"/>
                <w:szCs w:val="26"/>
              </w:rPr>
              <w:t>3.</w:t>
            </w:r>
          </w:p>
        </w:tc>
        <w:tc>
          <w:tcPr>
            <w:tcW w:w="4384" w:type="dxa"/>
          </w:tcPr>
          <w:p w:rsidR="00F6571B" w:rsidRPr="000F601D" w:rsidRDefault="00F6571B" w:rsidP="00E2648C">
            <w:pPr>
              <w:pStyle w:val="naisf"/>
              <w:spacing w:before="0" w:after="0"/>
              <w:ind w:left="57" w:right="57" w:firstLine="0"/>
              <w:jc w:val="left"/>
              <w:rPr>
                <w:sz w:val="26"/>
                <w:szCs w:val="26"/>
              </w:rPr>
            </w:pPr>
            <w:r w:rsidRPr="000F601D">
              <w:rPr>
                <w:sz w:val="26"/>
                <w:szCs w:val="26"/>
              </w:rPr>
              <w:t>Cita informācija</w:t>
            </w:r>
          </w:p>
        </w:tc>
        <w:tc>
          <w:tcPr>
            <w:tcW w:w="4875" w:type="dxa"/>
          </w:tcPr>
          <w:p w:rsidR="00F6571B" w:rsidRPr="000F601D" w:rsidRDefault="00F6571B" w:rsidP="00E2648C">
            <w:pPr>
              <w:pStyle w:val="naisnod"/>
              <w:spacing w:before="0" w:after="0"/>
              <w:ind w:left="57" w:right="57"/>
              <w:jc w:val="left"/>
              <w:rPr>
                <w:b w:val="0"/>
                <w:sz w:val="26"/>
                <w:szCs w:val="26"/>
                <w:highlight w:val="yellow"/>
              </w:rPr>
            </w:pPr>
            <w:r w:rsidRPr="000F601D">
              <w:rPr>
                <w:b w:val="0"/>
                <w:sz w:val="26"/>
                <w:szCs w:val="26"/>
              </w:rPr>
              <w:t>Nav.</w:t>
            </w:r>
          </w:p>
        </w:tc>
      </w:tr>
    </w:tbl>
    <w:p w:rsidR="000F601D" w:rsidRPr="000F601D" w:rsidRDefault="000F601D" w:rsidP="002377A6">
      <w:pPr>
        <w:ind w:firstLine="720"/>
        <w:rPr>
          <w:sz w:val="26"/>
          <w:szCs w:val="26"/>
        </w:rPr>
      </w:pPr>
    </w:p>
    <w:p w:rsidR="00F6571B" w:rsidRPr="000F601D" w:rsidRDefault="00E37E21" w:rsidP="002377A6">
      <w:pPr>
        <w:ind w:firstLine="720"/>
        <w:rPr>
          <w:sz w:val="26"/>
          <w:szCs w:val="26"/>
        </w:rPr>
      </w:pPr>
      <w:r w:rsidRPr="000F601D">
        <w:rPr>
          <w:sz w:val="26"/>
          <w:szCs w:val="26"/>
        </w:rPr>
        <w:t xml:space="preserve">Anotācijas </w:t>
      </w:r>
      <w:r w:rsidR="0022504C" w:rsidRPr="000F601D">
        <w:rPr>
          <w:sz w:val="26"/>
          <w:szCs w:val="26"/>
        </w:rPr>
        <w:t xml:space="preserve">III, </w:t>
      </w:r>
      <w:r w:rsidRPr="000F601D">
        <w:rPr>
          <w:sz w:val="26"/>
          <w:szCs w:val="26"/>
        </w:rPr>
        <w:t>IV, V un VI sadaļa – projekts šīs jomas neskar.</w:t>
      </w:r>
    </w:p>
    <w:p w:rsidR="00414C29" w:rsidRPr="000F601D" w:rsidRDefault="00414C29" w:rsidP="002377A6">
      <w:pPr>
        <w:ind w:firstLine="720"/>
        <w:rPr>
          <w:sz w:val="26"/>
          <w:szCs w:val="26"/>
        </w:rPr>
      </w:pPr>
    </w:p>
    <w:p w:rsidR="009A2290" w:rsidRPr="000F601D" w:rsidRDefault="009A2290" w:rsidP="002377A6">
      <w:pPr>
        <w:ind w:firstLine="720"/>
        <w:rPr>
          <w:sz w:val="26"/>
          <w:szCs w:val="26"/>
        </w:rPr>
      </w:pPr>
    </w:p>
    <w:p w:rsidR="00C94476" w:rsidRDefault="002E2A42" w:rsidP="009A2290">
      <w:pPr>
        <w:rPr>
          <w:sz w:val="26"/>
          <w:szCs w:val="26"/>
        </w:rPr>
      </w:pPr>
      <w:r>
        <w:rPr>
          <w:sz w:val="26"/>
          <w:szCs w:val="26"/>
        </w:rPr>
        <w:t>Finanšu ministra vietā</w:t>
      </w:r>
    </w:p>
    <w:p w:rsidR="00414C29" w:rsidRPr="002377A6" w:rsidRDefault="00C94476" w:rsidP="009A2290">
      <w:pPr>
        <w:rPr>
          <w:sz w:val="28"/>
          <w:szCs w:val="28"/>
        </w:rPr>
      </w:pPr>
      <w:r>
        <w:rPr>
          <w:sz w:val="26"/>
          <w:szCs w:val="26"/>
        </w:rPr>
        <w:t>satiksmes ministrs</w:t>
      </w:r>
      <w:r>
        <w:rPr>
          <w:sz w:val="26"/>
          <w:szCs w:val="26"/>
        </w:rPr>
        <w:tab/>
      </w:r>
      <w:r w:rsidR="002E2A42">
        <w:rPr>
          <w:sz w:val="26"/>
          <w:szCs w:val="26"/>
        </w:rPr>
        <w:tab/>
      </w:r>
      <w:r w:rsidR="002E2A42" w:rsidRPr="002E2A42">
        <w:rPr>
          <w:sz w:val="26"/>
          <w:szCs w:val="26"/>
        </w:rPr>
        <w:tab/>
      </w:r>
      <w:r w:rsidR="002E2A42" w:rsidRPr="002E2A42">
        <w:rPr>
          <w:sz w:val="26"/>
          <w:szCs w:val="26"/>
        </w:rPr>
        <w:tab/>
      </w:r>
      <w:r w:rsidR="002E2A42" w:rsidRPr="002E2A42">
        <w:rPr>
          <w:sz w:val="26"/>
          <w:szCs w:val="26"/>
        </w:rPr>
        <w:tab/>
      </w:r>
      <w:r w:rsidR="002E2A42" w:rsidRPr="002E2A42">
        <w:rPr>
          <w:sz w:val="26"/>
          <w:szCs w:val="26"/>
        </w:rPr>
        <w:tab/>
      </w:r>
      <w:r>
        <w:rPr>
          <w:sz w:val="26"/>
          <w:szCs w:val="26"/>
        </w:rPr>
        <w:tab/>
      </w:r>
      <w:r w:rsidR="002E2A42" w:rsidRPr="002E2A42">
        <w:rPr>
          <w:sz w:val="26"/>
          <w:szCs w:val="26"/>
        </w:rPr>
        <w:tab/>
      </w:r>
      <w:proofErr w:type="spellStart"/>
      <w:r w:rsidR="00906804">
        <w:rPr>
          <w:sz w:val="26"/>
          <w:szCs w:val="26"/>
        </w:rPr>
        <w:t>A.Matīss</w:t>
      </w:r>
      <w:proofErr w:type="spellEnd"/>
    </w:p>
    <w:p w:rsidR="00F6571B" w:rsidRDefault="00F6571B" w:rsidP="00F6571B">
      <w:pPr>
        <w:tabs>
          <w:tab w:val="left" w:pos="7938"/>
        </w:tabs>
        <w:rPr>
          <w:sz w:val="22"/>
          <w:szCs w:val="22"/>
        </w:rPr>
      </w:pPr>
    </w:p>
    <w:p w:rsidR="002E2A42" w:rsidRDefault="002E2A42" w:rsidP="00503549">
      <w:pPr>
        <w:tabs>
          <w:tab w:val="left" w:pos="7938"/>
        </w:tabs>
        <w:rPr>
          <w:sz w:val="20"/>
          <w:szCs w:val="20"/>
        </w:rPr>
      </w:pPr>
    </w:p>
    <w:p w:rsidR="002E2A42" w:rsidRDefault="002E2A42" w:rsidP="00503549">
      <w:pPr>
        <w:tabs>
          <w:tab w:val="left" w:pos="7938"/>
        </w:tabs>
        <w:rPr>
          <w:sz w:val="20"/>
          <w:szCs w:val="20"/>
        </w:rPr>
      </w:pPr>
    </w:p>
    <w:p w:rsidR="00503549" w:rsidRPr="002E2A42" w:rsidRDefault="002B7255" w:rsidP="00503549">
      <w:pPr>
        <w:tabs>
          <w:tab w:val="left" w:pos="7938"/>
        </w:tabs>
        <w:rPr>
          <w:sz w:val="20"/>
          <w:szCs w:val="20"/>
        </w:rPr>
      </w:pPr>
      <w:r>
        <w:rPr>
          <w:sz w:val="20"/>
          <w:szCs w:val="20"/>
        </w:rPr>
        <w:t>04.08.2014. 16</w:t>
      </w:r>
      <w:r w:rsidR="00503549" w:rsidRPr="002E2A42">
        <w:rPr>
          <w:sz w:val="20"/>
          <w:szCs w:val="20"/>
        </w:rPr>
        <w:t>.00</w:t>
      </w:r>
    </w:p>
    <w:p w:rsidR="00503549" w:rsidRPr="002E2A42" w:rsidRDefault="005D6791" w:rsidP="00503549">
      <w:pPr>
        <w:tabs>
          <w:tab w:val="left" w:pos="7938"/>
        </w:tabs>
        <w:rPr>
          <w:sz w:val="20"/>
          <w:szCs w:val="20"/>
        </w:rPr>
      </w:pPr>
      <w:r>
        <w:rPr>
          <w:sz w:val="20"/>
          <w:szCs w:val="20"/>
        </w:rPr>
        <w:t>602</w:t>
      </w:r>
    </w:p>
    <w:p w:rsidR="00503549" w:rsidRPr="002E2A42" w:rsidRDefault="00503549" w:rsidP="00503549">
      <w:pPr>
        <w:tabs>
          <w:tab w:val="left" w:pos="7938"/>
        </w:tabs>
        <w:rPr>
          <w:sz w:val="20"/>
          <w:szCs w:val="20"/>
        </w:rPr>
      </w:pPr>
      <w:proofErr w:type="spellStart"/>
      <w:r w:rsidRPr="002E2A42">
        <w:rPr>
          <w:sz w:val="20"/>
          <w:szCs w:val="20"/>
        </w:rPr>
        <w:t>A.Brīze</w:t>
      </w:r>
      <w:bookmarkStart w:id="1" w:name="_GoBack"/>
      <w:bookmarkEnd w:id="1"/>
      <w:proofErr w:type="spellEnd"/>
    </w:p>
    <w:p w:rsidR="00414C29" w:rsidRPr="002E2A42" w:rsidRDefault="00503549" w:rsidP="00503549">
      <w:pPr>
        <w:tabs>
          <w:tab w:val="left" w:pos="7938"/>
        </w:tabs>
        <w:rPr>
          <w:sz w:val="20"/>
          <w:szCs w:val="20"/>
        </w:rPr>
      </w:pPr>
      <w:r w:rsidRPr="002E2A42">
        <w:rPr>
          <w:sz w:val="20"/>
          <w:szCs w:val="20"/>
        </w:rPr>
        <w:t>67095441, Anete.Brize@fm.gov.lv</w:t>
      </w:r>
    </w:p>
    <w:p w:rsidR="000F4197" w:rsidRDefault="000F4197" w:rsidP="00F6571B">
      <w:pPr>
        <w:tabs>
          <w:tab w:val="left" w:pos="7938"/>
        </w:tabs>
        <w:rPr>
          <w:sz w:val="22"/>
          <w:szCs w:val="22"/>
        </w:rPr>
      </w:pPr>
    </w:p>
    <w:p w:rsidR="000F4197" w:rsidRDefault="000F4197" w:rsidP="00F6571B">
      <w:pPr>
        <w:tabs>
          <w:tab w:val="left" w:pos="7938"/>
        </w:tabs>
        <w:rPr>
          <w:sz w:val="22"/>
          <w:szCs w:val="22"/>
        </w:rPr>
      </w:pPr>
    </w:p>
    <w:p w:rsidR="000F4197" w:rsidRDefault="000F4197" w:rsidP="00F6571B">
      <w:pPr>
        <w:tabs>
          <w:tab w:val="left" w:pos="7938"/>
        </w:tabs>
        <w:rPr>
          <w:sz w:val="22"/>
          <w:szCs w:val="22"/>
        </w:rPr>
      </w:pPr>
    </w:p>
    <w:p w:rsidR="000F4197" w:rsidRDefault="000F4197" w:rsidP="00F6571B">
      <w:pPr>
        <w:tabs>
          <w:tab w:val="left" w:pos="7938"/>
        </w:tabs>
        <w:rPr>
          <w:sz w:val="22"/>
          <w:szCs w:val="22"/>
        </w:rPr>
      </w:pPr>
    </w:p>
    <w:p w:rsidR="00414C29" w:rsidRPr="0093291B" w:rsidRDefault="00414C29" w:rsidP="00F6571B">
      <w:pPr>
        <w:tabs>
          <w:tab w:val="left" w:pos="7938"/>
        </w:tabs>
        <w:rPr>
          <w:sz w:val="22"/>
          <w:szCs w:val="22"/>
        </w:rPr>
      </w:pPr>
    </w:p>
    <w:p w:rsidR="00367CBE" w:rsidRPr="00414C29" w:rsidRDefault="00552F62" w:rsidP="00414C29">
      <w:pPr>
        <w:jc w:val="both"/>
        <w:rPr>
          <w:sz w:val="20"/>
        </w:rPr>
      </w:pPr>
    </w:p>
    <w:sectPr w:rsidR="00367CBE" w:rsidRPr="00414C29" w:rsidSect="00F14FB7">
      <w:headerReference w:type="even" r:id="rId7"/>
      <w:headerReference w:type="default" r:id="rId8"/>
      <w:footerReference w:type="default" r:id="rId9"/>
      <w:footerReference w:type="first" r:id="rId10"/>
      <w:pgSz w:w="11906" w:h="16838" w:code="9"/>
      <w:pgMar w:top="567"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2F62" w:rsidRDefault="00552F62" w:rsidP="00523538">
      <w:r>
        <w:separator/>
      </w:r>
    </w:p>
  </w:endnote>
  <w:endnote w:type="continuationSeparator" w:id="0">
    <w:p w:rsidR="00552F62" w:rsidRDefault="00552F62" w:rsidP="00523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1C13" w:rsidRPr="001B34AC" w:rsidRDefault="005D6791" w:rsidP="001B34AC">
    <w:pPr>
      <w:jc w:val="both"/>
      <w:rPr>
        <w:iCs/>
        <w:sz w:val="20"/>
        <w:szCs w:val="20"/>
      </w:rPr>
    </w:pPr>
    <w:r>
      <w:rPr>
        <w:rFonts w:cs="Calibri"/>
        <w:sz w:val="20"/>
        <w:szCs w:val="20"/>
        <w:lang w:eastAsia="ar-SA"/>
      </w:rPr>
      <w:t>FManot</w:t>
    </w:r>
    <w:r w:rsidR="00227EED" w:rsidRPr="00227EED">
      <w:rPr>
        <w:rFonts w:cs="Calibri"/>
        <w:sz w:val="20"/>
        <w:szCs w:val="20"/>
        <w:lang w:eastAsia="ar-SA"/>
      </w:rPr>
      <w:t>_040814</w:t>
    </w:r>
    <w:r w:rsidR="00227EED">
      <w:rPr>
        <w:rFonts w:cs="Calibri"/>
        <w:sz w:val="20"/>
        <w:szCs w:val="20"/>
        <w:lang w:eastAsia="ar-SA"/>
      </w:rPr>
      <w:t>_1106</w:t>
    </w:r>
    <w:r w:rsidR="00227EED" w:rsidRPr="00227EED">
      <w:rPr>
        <w:rFonts w:cs="Calibri"/>
        <w:sz w:val="20"/>
        <w:szCs w:val="20"/>
        <w:lang w:eastAsia="ar-SA"/>
      </w:rPr>
      <w:t xml:space="preserve">; </w:t>
    </w:r>
    <w:r w:rsidR="00227EED">
      <w:rPr>
        <w:noProof/>
        <w:sz w:val="20"/>
        <w:szCs w:val="20"/>
        <w:lang w:eastAsia="en-US"/>
      </w:rPr>
      <w:t>N</w:t>
    </w:r>
    <w:r w:rsidR="00227EED" w:rsidRPr="00227EED">
      <w:rPr>
        <w:noProof/>
        <w:sz w:val="20"/>
        <w:szCs w:val="20"/>
        <w:lang w:eastAsia="en-US"/>
      </w:rPr>
      <w:t>oteikumu projekts</w:t>
    </w:r>
    <w:r w:rsidR="00227EED" w:rsidRPr="00227EED">
      <w:rPr>
        <w:sz w:val="20"/>
        <w:szCs w:val="20"/>
        <w:lang w:eastAsia="en-US"/>
      </w:rPr>
      <w:t xml:space="preserve"> </w:t>
    </w:r>
    <w:r w:rsidR="00227EED" w:rsidRPr="00227EED">
      <w:rPr>
        <w:iCs/>
        <w:sz w:val="20"/>
        <w:szCs w:val="20"/>
        <w:lang w:eastAsia="en-US"/>
      </w:rPr>
      <w:t>"Grozījumi  Ministru kabineta</w:t>
    </w:r>
    <w:r w:rsidR="00227EED" w:rsidRPr="00227EED">
      <w:rPr>
        <w:sz w:val="20"/>
        <w:szCs w:val="20"/>
        <w:lang w:eastAsia="en-US"/>
      </w:rPr>
      <w:t xml:space="preserve"> </w:t>
    </w:r>
    <w:r w:rsidR="00227EED" w:rsidRPr="00227EED">
      <w:rPr>
        <w:iCs/>
        <w:sz w:val="20"/>
        <w:szCs w:val="20"/>
        <w:lang w:eastAsia="en-US"/>
      </w:rPr>
      <w:t xml:space="preserve">2013.gada 15.okotbra noteikumos Nr.1106 </w:t>
    </w:r>
    <w:r w:rsidR="00227EED" w:rsidRPr="00227EED">
      <w:rPr>
        <w:bCs/>
        <w:sz w:val="20"/>
        <w:szCs w:val="20"/>
        <w:lang w:eastAsia="en-US"/>
      </w:rPr>
      <w:t>Zemes izpirkuma (pirkuma)</w:t>
    </w:r>
    <w:r w:rsidR="00227EED" w:rsidRPr="00227EED">
      <w:rPr>
        <w:iCs/>
        <w:sz w:val="20"/>
        <w:szCs w:val="20"/>
        <w:lang w:eastAsia="en-US"/>
      </w:rPr>
      <w:t xml:space="preserve"> </w:t>
    </w:r>
    <w:r w:rsidR="00227EED" w:rsidRPr="00227EED">
      <w:rPr>
        <w:bCs/>
        <w:sz w:val="20"/>
        <w:szCs w:val="20"/>
        <w:lang w:eastAsia="en-US"/>
      </w:rPr>
      <w:t>līguma noslēgšanas kārtība</w:t>
    </w:r>
    <w:r w:rsidR="00227EED" w:rsidRPr="00227EED">
      <w:rPr>
        <w:iCs/>
        <w:sz w:val="20"/>
        <w:szCs w:val="20"/>
        <w:lang w:eastAsia="en-US"/>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7EED" w:rsidRPr="00227EED" w:rsidRDefault="00227EED" w:rsidP="00227EED"/>
  <w:p w:rsidR="00227EED" w:rsidRPr="00227EED" w:rsidRDefault="00227EED" w:rsidP="00227EED">
    <w:r w:rsidRPr="00227EED">
      <w:t xml:space="preserve">    </w:t>
    </w:r>
    <w:r w:rsidRPr="00227EED">
      <w:rPr>
        <w:szCs w:val="20"/>
        <w:lang w:eastAsia="en-US"/>
      </w:rPr>
      <w:tab/>
    </w:r>
    <w:r w:rsidR="005D6791">
      <w:rPr>
        <w:rFonts w:cs="Calibri"/>
        <w:sz w:val="20"/>
        <w:szCs w:val="20"/>
        <w:lang w:eastAsia="ar-SA"/>
      </w:rPr>
      <w:t>FManot</w:t>
    </w:r>
    <w:r w:rsidRPr="00227EED">
      <w:rPr>
        <w:rFonts w:cs="Calibri"/>
        <w:sz w:val="20"/>
        <w:szCs w:val="20"/>
        <w:lang w:eastAsia="ar-SA"/>
      </w:rPr>
      <w:t>_040814</w:t>
    </w:r>
    <w:r>
      <w:rPr>
        <w:rFonts w:cs="Calibri"/>
        <w:sz w:val="20"/>
        <w:szCs w:val="20"/>
        <w:lang w:eastAsia="ar-SA"/>
      </w:rPr>
      <w:t>_1106</w:t>
    </w:r>
    <w:r w:rsidRPr="00227EED">
      <w:rPr>
        <w:rFonts w:cs="Calibri"/>
        <w:sz w:val="20"/>
        <w:szCs w:val="20"/>
        <w:lang w:eastAsia="ar-SA"/>
      </w:rPr>
      <w:t xml:space="preserve">; </w:t>
    </w:r>
    <w:r>
      <w:rPr>
        <w:noProof/>
        <w:sz w:val="20"/>
        <w:szCs w:val="20"/>
        <w:lang w:eastAsia="en-US"/>
      </w:rPr>
      <w:t>N</w:t>
    </w:r>
    <w:r w:rsidRPr="00227EED">
      <w:rPr>
        <w:noProof/>
        <w:sz w:val="20"/>
        <w:szCs w:val="20"/>
        <w:lang w:eastAsia="en-US"/>
      </w:rPr>
      <w:t>oteikumu projekts</w:t>
    </w:r>
    <w:r w:rsidRPr="00227EED">
      <w:rPr>
        <w:sz w:val="20"/>
        <w:szCs w:val="20"/>
        <w:lang w:eastAsia="en-US"/>
      </w:rPr>
      <w:t xml:space="preserve"> </w:t>
    </w:r>
    <w:r w:rsidRPr="00227EED">
      <w:rPr>
        <w:iCs/>
        <w:sz w:val="20"/>
        <w:szCs w:val="20"/>
        <w:lang w:eastAsia="en-US"/>
      </w:rPr>
      <w:t>"Grozījumi  Ministru kabineta</w:t>
    </w:r>
    <w:r w:rsidRPr="00227EED">
      <w:rPr>
        <w:sz w:val="20"/>
        <w:szCs w:val="20"/>
        <w:lang w:eastAsia="en-US"/>
      </w:rPr>
      <w:t xml:space="preserve"> </w:t>
    </w:r>
    <w:r w:rsidRPr="00227EED">
      <w:rPr>
        <w:iCs/>
        <w:sz w:val="20"/>
        <w:szCs w:val="20"/>
        <w:lang w:eastAsia="en-US"/>
      </w:rPr>
      <w:t xml:space="preserve">2013.gada 15.okotbra noteikumos Nr.1106 </w:t>
    </w:r>
    <w:r w:rsidRPr="00227EED">
      <w:rPr>
        <w:bCs/>
        <w:sz w:val="20"/>
        <w:szCs w:val="20"/>
        <w:lang w:eastAsia="en-US"/>
      </w:rPr>
      <w:t>Zemes izpirkuma (pirkuma)</w:t>
    </w:r>
    <w:r w:rsidRPr="00227EED">
      <w:rPr>
        <w:iCs/>
        <w:sz w:val="20"/>
        <w:szCs w:val="20"/>
        <w:lang w:eastAsia="en-US"/>
      </w:rPr>
      <w:t xml:space="preserve"> </w:t>
    </w:r>
    <w:r w:rsidRPr="00227EED">
      <w:rPr>
        <w:bCs/>
        <w:sz w:val="20"/>
        <w:szCs w:val="20"/>
        <w:lang w:eastAsia="en-US"/>
      </w:rPr>
      <w:t>līguma noslēgšanas kārtība</w:t>
    </w:r>
    <w:r w:rsidRPr="00227EED">
      <w:rPr>
        <w:iCs/>
        <w:sz w:val="20"/>
        <w:szCs w:val="20"/>
        <w:lang w:eastAsia="en-US"/>
      </w:rPr>
      <w:t>"</w:t>
    </w:r>
  </w:p>
  <w:p w:rsidR="002377A6" w:rsidRPr="00BA7F31" w:rsidRDefault="002377A6" w:rsidP="006D5466">
    <w:pPr>
      <w:jc w:val="both"/>
      <w:rPr>
        <w:iCs/>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2F62" w:rsidRDefault="00552F62" w:rsidP="00523538">
      <w:r>
        <w:separator/>
      </w:r>
    </w:p>
  </w:footnote>
  <w:footnote w:type="continuationSeparator" w:id="0">
    <w:p w:rsidR="00552F62" w:rsidRDefault="00552F62" w:rsidP="005235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1C13" w:rsidRDefault="00CE2ACA"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E1C13" w:rsidRDefault="00552F6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1C13" w:rsidRDefault="00CE2ACA"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D6791">
      <w:rPr>
        <w:rStyle w:val="PageNumber"/>
        <w:noProof/>
      </w:rPr>
      <w:t>3</w:t>
    </w:r>
    <w:r>
      <w:rPr>
        <w:rStyle w:val="PageNumber"/>
      </w:rPr>
      <w:fldChar w:fldCharType="end"/>
    </w:r>
  </w:p>
  <w:p w:rsidR="00DE1C13" w:rsidRDefault="00552F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405EC0"/>
    <w:multiLevelType w:val="hybridMultilevel"/>
    <w:tmpl w:val="595E00A2"/>
    <w:lvl w:ilvl="0" w:tplc="0426000D">
      <w:start w:val="1"/>
      <w:numFmt w:val="bullet"/>
      <w:lvlText w:val=""/>
      <w:lvlJc w:val="left"/>
      <w:pPr>
        <w:ind w:left="1106" w:hanging="360"/>
      </w:pPr>
      <w:rPr>
        <w:rFonts w:ascii="Wingdings" w:hAnsi="Wingdings" w:hint="default"/>
      </w:rPr>
    </w:lvl>
    <w:lvl w:ilvl="1" w:tplc="04260003" w:tentative="1">
      <w:start w:val="1"/>
      <w:numFmt w:val="bullet"/>
      <w:lvlText w:val="o"/>
      <w:lvlJc w:val="left"/>
      <w:pPr>
        <w:ind w:left="1826" w:hanging="360"/>
      </w:pPr>
      <w:rPr>
        <w:rFonts w:ascii="Courier New" w:hAnsi="Courier New" w:cs="Courier New" w:hint="default"/>
      </w:rPr>
    </w:lvl>
    <w:lvl w:ilvl="2" w:tplc="04260005" w:tentative="1">
      <w:start w:val="1"/>
      <w:numFmt w:val="bullet"/>
      <w:lvlText w:val=""/>
      <w:lvlJc w:val="left"/>
      <w:pPr>
        <w:ind w:left="2546" w:hanging="360"/>
      </w:pPr>
      <w:rPr>
        <w:rFonts w:ascii="Wingdings" w:hAnsi="Wingdings" w:hint="default"/>
      </w:rPr>
    </w:lvl>
    <w:lvl w:ilvl="3" w:tplc="04260001" w:tentative="1">
      <w:start w:val="1"/>
      <w:numFmt w:val="bullet"/>
      <w:lvlText w:val=""/>
      <w:lvlJc w:val="left"/>
      <w:pPr>
        <w:ind w:left="3266" w:hanging="360"/>
      </w:pPr>
      <w:rPr>
        <w:rFonts w:ascii="Symbol" w:hAnsi="Symbol" w:hint="default"/>
      </w:rPr>
    </w:lvl>
    <w:lvl w:ilvl="4" w:tplc="04260003" w:tentative="1">
      <w:start w:val="1"/>
      <w:numFmt w:val="bullet"/>
      <w:lvlText w:val="o"/>
      <w:lvlJc w:val="left"/>
      <w:pPr>
        <w:ind w:left="3986" w:hanging="360"/>
      </w:pPr>
      <w:rPr>
        <w:rFonts w:ascii="Courier New" w:hAnsi="Courier New" w:cs="Courier New" w:hint="default"/>
      </w:rPr>
    </w:lvl>
    <w:lvl w:ilvl="5" w:tplc="04260005" w:tentative="1">
      <w:start w:val="1"/>
      <w:numFmt w:val="bullet"/>
      <w:lvlText w:val=""/>
      <w:lvlJc w:val="left"/>
      <w:pPr>
        <w:ind w:left="4706" w:hanging="360"/>
      </w:pPr>
      <w:rPr>
        <w:rFonts w:ascii="Wingdings" w:hAnsi="Wingdings" w:hint="default"/>
      </w:rPr>
    </w:lvl>
    <w:lvl w:ilvl="6" w:tplc="04260001" w:tentative="1">
      <w:start w:val="1"/>
      <w:numFmt w:val="bullet"/>
      <w:lvlText w:val=""/>
      <w:lvlJc w:val="left"/>
      <w:pPr>
        <w:ind w:left="5426" w:hanging="360"/>
      </w:pPr>
      <w:rPr>
        <w:rFonts w:ascii="Symbol" w:hAnsi="Symbol" w:hint="default"/>
      </w:rPr>
    </w:lvl>
    <w:lvl w:ilvl="7" w:tplc="04260003" w:tentative="1">
      <w:start w:val="1"/>
      <w:numFmt w:val="bullet"/>
      <w:lvlText w:val="o"/>
      <w:lvlJc w:val="left"/>
      <w:pPr>
        <w:ind w:left="6146" w:hanging="360"/>
      </w:pPr>
      <w:rPr>
        <w:rFonts w:ascii="Courier New" w:hAnsi="Courier New" w:cs="Courier New" w:hint="default"/>
      </w:rPr>
    </w:lvl>
    <w:lvl w:ilvl="8" w:tplc="04260005" w:tentative="1">
      <w:start w:val="1"/>
      <w:numFmt w:val="bullet"/>
      <w:lvlText w:val=""/>
      <w:lvlJc w:val="left"/>
      <w:pPr>
        <w:ind w:left="6866" w:hanging="360"/>
      </w:pPr>
      <w:rPr>
        <w:rFonts w:ascii="Wingdings" w:hAnsi="Wingdings" w:hint="default"/>
      </w:rPr>
    </w:lvl>
  </w:abstractNum>
  <w:abstractNum w:abstractNumId="1">
    <w:nsid w:val="279A7F89"/>
    <w:multiLevelType w:val="hybridMultilevel"/>
    <w:tmpl w:val="04A4737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36E9364A"/>
    <w:multiLevelType w:val="hybridMultilevel"/>
    <w:tmpl w:val="7990E534"/>
    <w:lvl w:ilvl="0" w:tplc="85C2F4B6">
      <w:start w:val="1"/>
      <w:numFmt w:val="decimal"/>
      <w:lvlText w:val="%1)"/>
      <w:lvlJc w:val="left"/>
      <w:pPr>
        <w:ind w:left="386" w:hanging="360"/>
      </w:pPr>
      <w:rPr>
        <w:rFonts w:hint="default"/>
      </w:rPr>
    </w:lvl>
    <w:lvl w:ilvl="1" w:tplc="04260019" w:tentative="1">
      <w:start w:val="1"/>
      <w:numFmt w:val="lowerLetter"/>
      <w:lvlText w:val="%2."/>
      <w:lvlJc w:val="left"/>
      <w:pPr>
        <w:ind w:left="1106" w:hanging="360"/>
      </w:pPr>
    </w:lvl>
    <w:lvl w:ilvl="2" w:tplc="0426001B" w:tentative="1">
      <w:start w:val="1"/>
      <w:numFmt w:val="lowerRoman"/>
      <w:lvlText w:val="%3."/>
      <w:lvlJc w:val="right"/>
      <w:pPr>
        <w:ind w:left="1826" w:hanging="180"/>
      </w:pPr>
    </w:lvl>
    <w:lvl w:ilvl="3" w:tplc="0426000F" w:tentative="1">
      <w:start w:val="1"/>
      <w:numFmt w:val="decimal"/>
      <w:lvlText w:val="%4."/>
      <w:lvlJc w:val="left"/>
      <w:pPr>
        <w:ind w:left="2546" w:hanging="360"/>
      </w:pPr>
    </w:lvl>
    <w:lvl w:ilvl="4" w:tplc="04260019" w:tentative="1">
      <w:start w:val="1"/>
      <w:numFmt w:val="lowerLetter"/>
      <w:lvlText w:val="%5."/>
      <w:lvlJc w:val="left"/>
      <w:pPr>
        <w:ind w:left="3266" w:hanging="360"/>
      </w:pPr>
    </w:lvl>
    <w:lvl w:ilvl="5" w:tplc="0426001B" w:tentative="1">
      <w:start w:val="1"/>
      <w:numFmt w:val="lowerRoman"/>
      <w:lvlText w:val="%6."/>
      <w:lvlJc w:val="right"/>
      <w:pPr>
        <w:ind w:left="3986" w:hanging="180"/>
      </w:pPr>
    </w:lvl>
    <w:lvl w:ilvl="6" w:tplc="0426000F" w:tentative="1">
      <w:start w:val="1"/>
      <w:numFmt w:val="decimal"/>
      <w:lvlText w:val="%7."/>
      <w:lvlJc w:val="left"/>
      <w:pPr>
        <w:ind w:left="4706" w:hanging="360"/>
      </w:pPr>
    </w:lvl>
    <w:lvl w:ilvl="7" w:tplc="04260019" w:tentative="1">
      <w:start w:val="1"/>
      <w:numFmt w:val="lowerLetter"/>
      <w:lvlText w:val="%8."/>
      <w:lvlJc w:val="left"/>
      <w:pPr>
        <w:ind w:left="5426" w:hanging="360"/>
      </w:pPr>
    </w:lvl>
    <w:lvl w:ilvl="8" w:tplc="0426001B" w:tentative="1">
      <w:start w:val="1"/>
      <w:numFmt w:val="lowerRoman"/>
      <w:lvlText w:val="%9."/>
      <w:lvlJc w:val="right"/>
      <w:pPr>
        <w:ind w:left="6146" w:hanging="180"/>
      </w:pPr>
    </w:lvl>
  </w:abstractNum>
  <w:abstractNum w:abstractNumId="3">
    <w:nsid w:val="3AA223A7"/>
    <w:multiLevelType w:val="hybridMultilevel"/>
    <w:tmpl w:val="C24A284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3D7D1F58"/>
    <w:multiLevelType w:val="hybridMultilevel"/>
    <w:tmpl w:val="30045006"/>
    <w:lvl w:ilvl="0" w:tplc="0426000D">
      <w:start w:val="1"/>
      <w:numFmt w:val="bullet"/>
      <w:lvlText w:val=""/>
      <w:lvlJc w:val="left"/>
      <w:pPr>
        <w:ind w:left="1106" w:hanging="360"/>
      </w:pPr>
      <w:rPr>
        <w:rFonts w:ascii="Wingdings" w:hAnsi="Wingdings" w:hint="default"/>
      </w:rPr>
    </w:lvl>
    <w:lvl w:ilvl="1" w:tplc="04260003" w:tentative="1">
      <w:start w:val="1"/>
      <w:numFmt w:val="bullet"/>
      <w:lvlText w:val="o"/>
      <w:lvlJc w:val="left"/>
      <w:pPr>
        <w:ind w:left="1826" w:hanging="360"/>
      </w:pPr>
      <w:rPr>
        <w:rFonts w:ascii="Courier New" w:hAnsi="Courier New" w:cs="Courier New" w:hint="default"/>
      </w:rPr>
    </w:lvl>
    <w:lvl w:ilvl="2" w:tplc="04260005" w:tentative="1">
      <w:start w:val="1"/>
      <w:numFmt w:val="bullet"/>
      <w:lvlText w:val=""/>
      <w:lvlJc w:val="left"/>
      <w:pPr>
        <w:ind w:left="2546" w:hanging="360"/>
      </w:pPr>
      <w:rPr>
        <w:rFonts w:ascii="Wingdings" w:hAnsi="Wingdings" w:hint="default"/>
      </w:rPr>
    </w:lvl>
    <w:lvl w:ilvl="3" w:tplc="04260001" w:tentative="1">
      <w:start w:val="1"/>
      <w:numFmt w:val="bullet"/>
      <w:lvlText w:val=""/>
      <w:lvlJc w:val="left"/>
      <w:pPr>
        <w:ind w:left="3266" w:hanging="360"/>
      </w:pPr>
      <w:rPr>
        <w:rFonts w:ascii="Symbol" w:hAnsi="Symbol" w:hint="default"/>
      </w:rPr>
    </w:lvl>
    <w:lvl w:ilvl="4" w:tplc="04260003" w:tentative="1">
      <w:start w:val="1"/>
      <w:numFmt w:val="bullet"/>
      <w:lvlText w:val="o"/>
      <w:lvlJc w:val="left"/>
      <w:pPr>
        <w:ind w:left="3986" w:hanging="360"/>
      </w:pPr>
      <w:rPr>
        <w:rFonts w:ascii="Courier New" w:hAnsi="Courier New" w:cs="Courier New" w:hint="default"/>
      </w:rPr>
    </w:lvl>
    <w:lvl w:ilvl="5" w:tplc="04260005" w:tentative="1">
      <w:start w:val="1"/>
      <w:numFmt w:val="bullet"/>
      <w:lvlText w:val=""/>
      <w:lvlJc w:val="left"/>
      <w:pPr>
        <w:ind w:left="4706" w:hanging="360"/>
      </w:pPr>
      <w:rPr>
        <w:rFonts w:ascii="Wingdings" w:hAnsi="Wingdings" w:hint="default"/>
      </w:rPr>
    </w:lvl>
    <w:lvl w:ilvl="6" w:tplc="04260001" w:tentative="1">
      <w:start w:val="1"/>
      <w:numFmt w:val="bullet"/>
      <w:lvlText w:val=""/>
      <w:lvlJc w:val="left"/>
      <w:pPr>
        <w:ind w:left="5426" w:hanging="360"/>
      </w:pPr>
      <w:rPr>
        <w:rFonts w:ascii="Symbol" w:hAnsi="Symbol" w:hint="default"/>
      </w:rPr>
    </w:lvl>
    <w:lvl w:ilvl="7" w:tplc="04260003" w:tentative="1">
      <w:start w:val="1"/>
      <w:numFmt w:val="bullet"/>
      <w:lvlText w:val="o"/>
      <w:lvlJc w:val="left"/>
      <w:pPr>
        <w:ind w:left="6146" w:hanging="360"/>
      </w:pPr>
      <w:rPr>
        <w:rFonts w:ascii="Courier New" w:hAnsi="Courier New" w:cs="Courier New" w:hint="default"/>
      </w:rPr>
    </w:lvl>
    <w:lvl w:ilvl="8" w:tplc="04260005" w:tentative="1">
      <w:start w:val="1"/>
      <w:numFmt w:val="bullet"/>
      <w:lvlText w:val=""/>
      <w:lvlJc w:val="left"/>
      <w:pPr>
        <w:ind w:left="6866" w:hanging="360"/>
      </w:pPr>
      <w:rPr>
        <w:rFonts w:ascii="Wingdings" w:hAnsi="Wingdings" w:hint="default"/>
      </w:rPr>
    </w:lvl>
  </w:abstractNum>
  <w:abstractNum w:abstractNumId="5">
    <w:nsid w:val="4BF35B5F"/>
    <w:multiLevelType w:val="hybridMultilevel"/>
    <w:tmpl w:val="294A59BC"/>
    <w:lvl w:ilvl="0" w:tplc="04260011">
      <w:start w:val="1"/>
      <w:numFmt w:val="decimal"/>
      <w:lvlText w:val="%1)"/>
      <w:lvlJc w:val="left"/>
      <w:pPr>
        <w:ind w:left="1019" w:hanging="360"/>
      </w:pPr>
    </w:lvl>
    <w:lvl w:ilvl="1" w:tplc="04260019" w:tentative="1">
      <w:start w:val="1"/>
      <w:numFmt w:val="lowerLetter"/>
      <w:lvlText w:val="%2."/>
      <w:lvlJc w:val="left"/>
      <w:pPr>
        <w:ind w:left="1739" w:hanging="360"/>
      </w:pPr>
    </w:lvl>
    <w:lvl w:ilvl="2" w:tplc="0426001B" w:tentative="1">
      <w:start w:val="1"/>
      <w:numFmt w:val="lowerRoman"/>
      <w:lvlText w:val="%3."/>
      <w:lvlJc w:val="right"/>
      <w:pPr>
        <w:ind w:left="2459" w:hanging="180"/>
      </w:pPr>
    </w:lvl>
    <w:lvl w:ilvl="3" w:tplc="0426000F" w:tentative="1">
      <w:start w:val="1"/>
      <w:numFmt w:val="decimal"/>
      <w:lvlText w:val="%4."/>
      <w:lvlJc w:val="left"/>
      <w:pPr>
        <w:ind w:left="3179" w:hanging="360"/>
      </w:pPr>
    </w:lvl>
    <w:lvl w:ilvl="4" w:tplc="04260019" w:tentative="1">
      <w:start w:val="1"/>
      <w:numFmt w:val="lowerLetter"/>
      <w:lvlText w:val="%5."/>
      <w:lvlJc w:val="left"/>
      <w:pPr>
        <w:ind w:left="3899" w:hanging="360"/>
      </w:pPr>
    </w:lvl>
    <w:lvl w:ilvl="5" w:tplc="0426001B" w:tentative="1">
      <w:start w:val="1"/>
      <w:numFmt w:val="lowerRoman"/>
      <w:lvlText w:val="%6."/>
      <w:lvlJc w:val="right"/>
      <w:pPr>
        <w:ind w:left="4619" w:hanging="180"/>
      </w:pPr>
    </w:lvl>
    <w:lvl w:ilvl="6" w:tplc="0426000F" w:tentative="1">
      <w:start w:val="1"/>
      <w:numFmt w:val="decimal"/>
      <w:lvlText w:val="%7."/>
      <w:lvlJc w:val="left"/>
      <w:pPr>
        <w:ind w:left="5339" w:hanging="360"/>
      </w:pPr>
    </w:lvl>
    <w:lvl w:ilvl="7" w:tplc="04260019" w:tentative="1">
      <w:start w:val="1"/>
      <w:numFmt w:val="lowerLetter"/>
      <w:lvlText w:val="%8."/>
      <w:lvlJc w:val="left"/>
      <w:pPr>
        <w:ind w:left="6059" w:hanging="360"/>
      </w:pPr>
    </w:lvl>
    <w:lvl w:ilvl="8" w:tplc="0426001B" w:tentative="1">
      <w:start w:val="1"/>
      <w:numFmt w:val="lowerRoman"/>
      <w:lvlText w:val="%9."/>
      <w:lvlJc w:val="right"/>
      <w:pPr>
        <w:ind w:left="6779" w:hanging="180"/>
      </w:pPr>
    </w:lvl>
  </w:abstractNum>
  <w:abstractNum w:abstractNumId="6">
    <w:nsid w:val="5AFB24DD"/>
    <w:multiLevelType w:val="hybridMultilevel"/>
    <w:tmpl w:val="E9146AFE"/>
    <w:lvl w:ilvl="0" w:tplc="04260011">
      <w:start w:val="1"/>
      <w:numFmt w:val="decimal"/>
      <w:lvlText w:val="%1)"/>
      <w:lvlJc w:val="left"/>
      <w:pPr>
        <w:ind w:left="746" w:hanging="360"/>
      </w:pPr>
    </w:lvl>
    <w:lvl w:ilvl="1" w:tplc="04260019" w:tentative="1">
      <w:start w:val="1"/>
      <w:numFmt w:val="lowerLetter"/>
      <w:lvlText w:val="%2."/>
      <w:lvlJc w:val="left"/>
      <w:pPr>
        <w:ind w:left="1466" w:hanging="360"/>
      </w:pPr>
    </w:lvl>
    <w:lvl w:ilvl="2" w:tplc="0426001B" w:tentative="1">
      <w:start w:val="1"/>
      <w:numFmt w:val="lowerRoman"/>
      <w:lvlText w:val="%3."/>
      <w:lvlJc w:val="right"/>
      <w:pPr>
        <w:ind w:left="2186" w:hanging="180"/>
      </w:pPr>
    </w:lvl>
    <w:lvl w:ilvl="3" w:tplc="0426000F" w:tentative="1">
      <w:start w:val="1"/>
      <w:numFmt w:val="decimal"/>
      <w:lvlText w:val="%4."/>
      <w:lvlJc w:val="left"/>
      <w:pPr>
        <w:ind w:left="2906" w:hanging="360"/>
      </w:pPr>
    </w:lvl>
    <w:lvl w:ilvl="4" w:tplc="04260019" w:tentative="1">
      <w:start w:val="1"/>
      <w:numFmt w:val="lowerLetter"/>
      <w:lvlText w:val="%5."/>
      <w:lvlJc w:val="left"/>
      <w:pPr>
        <w:ind w:left="3626" w:hanging="360"/>
      </w:pPr>
    </w:lvl>
    <w:lvl w:ilvl="5" w:tplc="0426001B" w:tentative="1">
      <w:start w:val="1"/>
      <w:numFmt w:val="lowerRoman"/>
      <w:lvlText w:val="%6."/>
      <w:lvlJc w:val="right"/>
      <w:pPr>
        <w:ind w:left="4346" w:hanging="180"/>
      </w:pPr>
    </w:lvl>
    <w:lvl w:ilvl="6" w:tplc="0426000F" w:tentative="1">
      <w:start w:val="1"/>
      <w:numFmt w:val="decimal"/>
      <w:lvlText w:val="%7."/>
      <w:lvlJc w:val="left"/>
      <w:pPr>
        <w:ind w:left="5066" w:hanging="360"/>
      </w:pPr>
    </w:lvl>
    <w:lvl w:ilvl="7" w:tplc="04260019" w:tentative="1">
      <w:start w:val="1"/>
      <w:numFmt w:val="lowerLetter"/>
      <w:lvlText w:val="%8."/>
      <w:lvlJc w:val="left"/>
      <w:pPr>
        <w:ind w:left="5786" w:hanging="360"/>
      </w:pPr>
    </w:lvl>
    <w:lvl w:ilvl="8" w:tplc="0426001B" w:tentative="1">
      <w:start w:val="1"/>
      <w:numFmt w:val="lowerRoman"/>
      <w:lvlText w:val="%9."/>
      <w:lvlJc w:val="right"/>
      <w:pPr>
        <w:ind w:left="6506" w:hanging="180"/>
      </w:pPr>
    </w:lvl>
  </w:abstractNum>
  <w:abstractNum w:abstractNumId="7">
    <w:nsid w:val="664C4220"/>
    <w:multiLevelType w:val="hybridMultilevel"/>
    <w:tmpl w:val="2C2E25A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6"/>
  </w:num>
  <w:num w:numId="5">
    <w:abstractNumId w:val="7"/>
  </w:num>
  <w:num w:numId="6">
    <w:abstractNumId w:val="5"/>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71B"/>
    <w:rsid w:val="000178B6"/>
    <w:rsid w:val="000448BA"/>
    <w:rsid w:val="00092B14"/>
    <w:rsid w:val="00097338"/>
    <w:rsid w:val="000D32EA"/>
    <w:rsid w:val="000E3129"/>
    <w:rsid w:val="000F4197"/>
    <w:rsid w:val="000F601D"/>
    <w:rsid w:val="001472BF"/>
    <w:rsid w:val="00157462"/>
    <w:rsid w:val="001B34AC"/>
    <w:rsid w:val="00206F08"/>
    <w:rsid w:val="0022504C"/>
    <w:rsid w:val="00227EED"/>
    <w:rsid w:val="002377A6"/>
    <w:rsid w:val="002848C7"/>
    <w:rsid w:val="002B7255"/>
    <w:rsid w:val="002D1CF6"/>
    <w:rsid w:val="002E2A42"/>
    <w:rsid w:val="002E360D"/>
    <w:rsid w:val="00315C50"/>
    <w:rsid w:val="00350AC5"/>
    <w:rsid w:val="003624BE"/>
    <w:rsid w:val="00375B52"/>
    <w:rsid w:val="00394F41"/>
    <w:rsid w:val="003C3E06"/>
    <w:rsid w:val="003E6E7D"/>
    <w:rsid w:val="00402E90"/>
    <w:rsid w:val="004032D7"/>
    <w:rsid w:val="004123A2"/>
    <w:rsid w:val="00414C29"/>
    <w:rsid w:val="004425D1"/>
    <w:rsid w:val="004549A1"/>
    <w:rsid w:val="004F58F5"/>
    <w:rsid w:val="00503549"/>
    <w:rsid w:val="00523538"/>
    <w:rsid w:val="005356C7"/>
    <w:rsid w:val="00552F62"/>
    <w:rsid w:val="005864FF"/>
    <w:rsid w:val="005A2773"/>
    <w:rsid w:val="005B2168"/>
    <w:rsid w:val="005D6791"/>
    <w:rsid w:val="006012C5"/>
    <w:rsid w:val="006270B1"/>
    <w:rsid w:val="00634C78"/>
    <w:rsid w:val="00637996"/>
    <w:rsid w:val="00685631"/>
    <w:rsid w:val="006D1C25"/>
    <w:rsid w:val="006D5466"/>
    <w:rsid w:val="00753D59"/>
    <w:rsid w:val="007808C3"/>
    <w:rsid w:val="007A58C1"/>
    <w:rsid w:val="007B30F9"/>
    <w:rsid w:val="007E6EAD"/>
    <w:rsid w:val="00806948"/>
    <w:rsid w:val="008B6608"/>
    <w:rsid w:val="008B7645"/>
    <w:rsid w:val="008C4337"/>
    <w:rsid w:val="008F37CC"/>
    <w:rsid w:val="00906804"/>
    <w:rsid w:val="009201E1"/>
    <w:rsid w:val="009775C6"/>
    <w:rsid w:val="009807ED"/>
    <w:rsid w:val="009977B3"/>
    <w:rsid w:val="009A2290"/>
    <w:rsid w:val="009A75E0"/>
    <w:rsid w:val="009C2331"/>
    <w:rsid w:val="009C79D4"/>
    <w:rsid w:val="009D1665"/>
    <w:rsid w:val="009D766B"/>
    <w:rsid w:val="00A152AB"/>
    <w:rsid w:val="00A74DA2"/>
    <w:rsid w:val="00AA5935"/>
    <w:rsid w:val="00AB0710"/>
    <w:rsid w:val="00AD1C47"/>
    <w:rsid w:val="00B125E8"/>
    <w:rsid w:val="00B51A69"/>
    <w:rsid w:val="00BA561A"/>
    <w:rsid w:val="00BA7F31"/>
    <w:rsid w:val="00C25577"/>
    <w:rsid w:val="00C32071"/>
    <w:rsid w:val="00C42CFF"/>
    <w:rsid w:val="00C508DD"/>
    <w:rsid w:val="00C94476"/>
    <w:rsid w:val="00C96A0D"/>
    <w:rsid w:val="00CC1019"/>
    <w:rsid w:val="00CE2ACA"/>
    <w:rsid w:val="00D02409"/>
    <w:rsid w:val="00D03C69"/>
    <w:rsid w:val="00D457C5"/>
    <w:rsid w:val="00D67B05"/>
    <w:rsid w:val="00DA34B7"/>
    <w:rsid w:val="00E1099A"/>
    <w:rsid w:val="00E37E21"/>
    <w:rsid w:val="00E50BA6"/>
    <w:rsid w:val="00ED5429"/>
    <w:rsid w:val="00F14FB7"/>
    <w:rsid w:val="00F33709"/>
    <w:rsid w:val="00F42694"/>
    <w:rsid w:val="00F55946"/>
    <w:rsid w:val="00F6571B"/>
    <w:rsid w:val="00F81534"/>
    <w:rsid w:val="00FD7DA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C8A82A-693D-4203-B750-05D2A1F19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571B"/>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6571B"/>
    <w:pPr>
      <w:tabs>
        <w:tab w:val="center" w:pos="4153"/>
        <w:tab w:val="right" w:pos="8306"/>
      </w:tabs>
    </w:pPr>
  </w:style>
  <w:style w:type="character" w:customStyle="1" w:styleId="HeaderChar">
    <w:name w:val="Header Char"/>
    <w:basedOn w:val="DefaultParagraphFont"/>
    <w:link w:val="Header"/>
    <w:rsid w:val="00F6571B"/>
    <w:rPr>
      <w:rFonts w:ascii="Times New Roman" w:eastAsia="Times New Roman" w:hAnsi="Times New Roman" w:cs="Times New Roman"/>
      <w:sz w:val="24"/>
      <w:szCs w:val="24"/>
      <w:lang w:eastAsia="lv-LV"/>
    </w:rPr>
  </w:style>
  <w:style w:type="character" w:styleId="PageNumber">
    <w:name w:val="page number"/>
    <w:basedOn w:val="DefaultParagraphFont"/>
    <w:rsid w:val="00F6571B"/>
  </w:style>
  <w:style w:type="paragraph" w:customStyle="1" w:styleId="naisf">
    <w:name w:val="naisf"/>
    <w:basedOn w:val="Normal"/>
    <w:rsid w:val="00F6571B"/>
    <w:pPr>
      <w:spacing w:before="75" w:after="75"/>
      <w:ind w:firstLine="375"/>
      <w:jc w:val="both"/>
    </w:pPr>
  </w:style>
  <w:style w:type="paragraph" w:customStyle="1" w:styleId="naisnod">
    <w:name w:val="naisnod"/>
    <w:basedOn w:val="Normal"/>
    <w:rsid w:val="00F6571B"/>
    <w:pPr>
      <w:spacing w:before="150" w:after="150"/>
      <w:jc w:val="center"/>
    </w:pPr>
    <w:rPr>
      <w:b/>
      <w:bCs/>
    </w:rPr>
  </w:style>
  <w:style w:type="paragraph" w:customStyle="1" w:styleId="naiskr">
    <w:name w:val="naiskr"/>
    <w:basedOn w:val="Normal"/>
    <w:rsid w:val="00F6571B"/>
    <w:pPr>
      <w:spacing w:before="75" w:after="75"/>
    </w:pPr>
  </w:style>
  <w:style w:type="paragraph" w:styleId="FootnoteText">
    <w:name w:val="footnote text"/>
    <w:basedOn w:val="Normal"/>
    <w:link w:val="FootnoteTextChar"/>
    <w:uiPriority w:val="99"/>
    <w:rsid w:val="00F6571B"/>
    <w:rPr>
      <w:sz w:val="20"/>
      <w:szCs w:val="20"/>
    </w:rPr>
  </w:style>
  <w:style w:type="character" w:customStyle="1" w:styleId="FootnoteTextChar">
    <w:name w:val="Footnote Text Char"/>
    <w:basedOn w:val="DefaultParagraphFont"/>
    <w:link w:val="FootnoteText"/>
    <w:uiPriority w:val="99"/>
    <w:rsid w:val="00F6571B"/>
    <w:rPr>
      <w:rFonts w:ascii="Times New Roman" w:eastAsia="Times New Roman" w:hAnsi="Times New Roman" w:cs="Times New Roman"/>
      <w:sz w:val="20"/>
      <w:szCs w:val="20"/>
      <w:lang w:eastAsia="lv-LV"/>
    </w:rPr>
  </w:style>
  <w:style w:type="paragraph" w:styleId="Footer">
    <w:name w:val="footer"/>
    <w:basedOn w:val="Normal"/>
    <w:link w:val="FooterChar"/>
    <w:uiPriority w:val="99"/>
    <w:rsid w:val="00F6571B"/>
    <w:pPr>
      <w:tabs>
        <w:tab w:val="center" w:pos="4153"/>
        <w:tab w:val="right" w:pos="8306"/>
      </w:tabs>
    </w:pPr>
  </w:style>
  <w:style w:type="character" w:customStyle="1" w:styleId="FooterChar">
    <w:name w:val="Footer Char"/>
    <w:basedOn w:val="DefaultParagraphFont"/>
    <w:link w:val="Footer"/>
    <w:uiPriority w:val="99"/>
    <w:rsid w:val="00F6571B"/>
    <w:rPr>
      <w:rFonts w:ascii="Times New Roman" w:eastAsia="Times New Roman" w:hAnsi="Times New Roman" w:cs="Times New Roman"/>
      <w:sz w:val="24"/>
      <w:szCs w:val="24"/>
      <w:lang w:eastAsia="lv-LV"/>
    </w:rPr>
  </w:style>
  <w:style w:type="paragraph" w:styleId="Title">
    <w:name w:val="Title"/>
    <w:basedOn w:val="Normal"/>
    <w:link w:val="TitleChar"/>
    <w:qFormat/>
    <w:rsid w:val="00F6571B"/>
    <w:pPr>
      <w:jc w:val="center"/>
    </w:pPr>
    <w:rPr>
      <w:b/>
      <w:sz w:val="28"/>
      <w:szCs w:val="20"/>
    </w:rPr>
  </w:style>
  <w:style w:type="character" w:customStyle="1" w:styleId="TitleChar">
    <w:name w:val="Title Char"/>
    <w:basedOn w:val="DefaultParagraphFont"/>
    <w:link w:val="Title"/>
    <w:rsid w:val="00F6571B"/>
    <w:rPr>
      <w:rFonts w:ascii="Times New Roman" w:eastAsia="Times New Roman" w:hAnsi="Times New Roman" w:cs="Times New Roman"/>
      <w:b/>
      <w:sz w:val="28"/>
      <w:szCs w:val="20"/>
      <w:lang w:eastAsia="lv-LV"/>
    </w:rPr>
  </w:style>
  <w:style w:type="character" w:styleId="Hyperlink">
    <w:name w:val="Hyperlink"/>
    <w:uiPriority w:val="99"/>
    <w:rsid w:val="00F6571B"/>
    <w:rPr>
      <w:color w:val="0000FF"/>
      <w:u w:val="single"/>
    </w:rPr>
  </w:style>
  <w:style w:type="paragraph" w:styleId="ListParagraph">
    <w:name w:val="List Paragraph"/>
    <w:basedOn w:val="Normal"/>
    <w:uiPriority w:val="34"/>
    <w:qFormat/>
    <w:rsid w:val="00F6571B"/>
    <w:pPr>
      <w:spacing w:after="200" w:line="276" w:lineRule="auto"/>
      <w:ind w:left="720"/>
      <w:contextualSpacing/>
    </w:pPr>
    <w:rPr>
      <w:rFonts w:ascii="Calibri" w:eastAsia="Calibri" w:hAnsi="Calibri"/>
      <w:sz w:val="22"/>
      <w:szCs w:val="22"/>
      <w:lang w:eastAsia="en-US"/>
    </w:rPr>
  </w:style>
  <w:style w:type="character" w:styleId="CommentReference">
    <w:name w:val="annotation reference"/>
    <w:basedOn w:val="DefaultParagraphFont"/>
    <w:uiPriority w:val="99"/>
    <w:semiHidden/>
    <w:unhideWhenUsed/>
    <w:rsid w:val="00F6571B"/>
    <w:rPr>
      <w:sz w:val="16"/>
      <w:szCs w:val="16"/>
    </w:rPr>
  </w:style>
  <w:style w:type="paragraph" w:styleId="CommentText">
    <w:name w:val="annotation text"/>
    <w:basedOn w:val="Normal"/>
    <w:link w:val="CommentTextChar"/>
    <w:uiPriority w:val="99"/>
    <w:semiHidden/>
    <w:unhideWhenUsed/>
    <w:rsid w:val="00F6571B"/>
    <w:rPr>
      <w:sz w:val="20"/>
      <w:szCs w:val="20"/>
    </w:rPr>
  </w:style>
  <w:style w:type="character" w:customStyle="1" w:styleId="CommentTextChar">
    <w:name w:val="Comment Text Char"/>
    <w:basedOn w:val="DefaultParagraphFont"/>
    <w:link w:val="CommentText"/>
    <w:uiPriority w:val="99"/>
    <w:semiHidden/>
    <w:rsid w:val="00F6571B"/>
    <w:rPr>
      <w:rFonts w:ascii="Times New Roman" w:eastAsia="Times New Roman" w:hAnsi="Times New Roman" w:cs="Times New Roman"/>
      <w:sz w:val="20"/>
      <w:szCs w:val="20"/>
      <w:lang w:eastAsia="lv-LV"/>
    </w:rPr>
  </w:style>
  <w:style w:type="paragraph" w:styleId="BalloonText">
    <w:name w:val="Balloon Text"/>
    <w:basedOn w:val="Normal"/>
    <w:link w:val="BalloonTextChar"/>
    <w:uiPriority w:val="99"/>
    <w:semiHidden/>
    <w:unhideWhenUsed/>
    <w:rsid w:val="00F6571B"/>
    <w:rPr>
      <w:rFonts w:ascii="Tahoma" w:hAnsi="Tahoma" w:cs="Tahoma"/>
      <w:sz w:val="16"/>
      <w:szCs w:val="16"/>
    </w:rPr>
  </w:style>
  <w:style w:type="character" w:customStyle="1" w:styleId="BalloonTextChar">
    <w:name w:val="Balloon Text Char"/>
    <w:basedOn w:val="DefaultParagraphFont"/>
    <w:link w:val="BalloonText"/>
    <w:uiPriority w:val="99"/>
    <w:semiHidden/>
    <w:rsid w:val="00F6571B"/>
    <w:rPr>
      <w:rFonts w:ascii="Tahoma" w:eastAsia="Times New Roman" w:hAnsi="Tahoma" w:cs="Tahoma"/>
      <w:sz w:val="16"/>
      <w:szCs w:val="16"/>
      <w:lang w:eastAsia="lv-LV"/>
    </w:rPr>
  </w:style>
  <w:style w:type="paragraph" w:styleId="NormalWeb">
    <w:name w:val="Normal (Web)"/>
    <w:basedOn w:val="Normal"/>
    <w:rsid w:val="00C96A0D"/>
    <w:pPr>
      <w:spacing w:before="100" w:beforeAutospacing="1" w:after="100" w:afterAutospacing="1"/>
    </w:pPr>
    <w:rPr>
      <w:rFonts w:ascii="Arial Unicode MS" w:eastAsia="Arial Unicode MS" w:hAnsi="Arial Unicode MS" w:cs="Arial Unicode MS"/>
      <w:lang w:val="en-GB" w:eastAsia="en-US"/>
    </w:rPr>
  </w:style>
  <w:style w:type="paragraph" w:customStyle="1" w:styleId="list0020paragraph">
    <w:name w:val="list_0020paragraph"/>
    <w:basedOn w:val="Normal"/>
    <w:uiPriority w:val="99"/>
    <w:rsid w:val="00C96A0D"/>
    <w:pPr>
      <w:ind w:left="720"/>
    </w:pPr>
    <w:rPr>
      <w:rFonts w:ascii="Calibri" w:hAnsi="Calibri"/>
      <w:sz w:val="22"/>
      <w:szCs w:val="22"/>
    </w:rPr>
  </w:style>
  <w:style w:type="character" w:customStyle="1" w:styleId="list0020paragraphchar">
    <w:name w:val="list_0020paragraph__char"/>
    <w:rsid w:val="00C96A0D"/>
  </w:style>
  <w:style w:type="paragraph" w:customStyle="1" w:styleId="tv2131">
    <w:name w:val="tv2131"/>
    <w:basedOn w:val="Normal"/>
    <w:rsid w:val="00637996"/>
    <w:pPr>
      <w:spacing w:line="360" w:lineRule="auto"/>
      <w:ind w:firstLine="300"/>
    </w:pPr>
    <w:rPr>
      <w:color w:val="414142"/>
      <w:sz w:val="20"/>
      <w:szCs w:val="20"/>
    </w:rPr>
  </w:style>
  <w:style w:type="character" w:customStyle="1" w:styleId="apple-converted-space">
    <w:name w:val="apple-converted-space"/>
    <w:basedOn w:val="DefaultParagraphFont"/>
    <w:rsid w:val="00F815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338800">
      <w:bodyDiv w:val="1"/>
      <w:marLeft w:val="0"/>
      <w:marRight w:val="0"/>
      <w:marTop w:val="0"/>
      <w:marBottom w:val="0"/>
      <w:divBdr>
        <w:top w:val="none" w:sz="0" w:space="0" w:color="auto"/>
        <w:left w:val="none" w:sz="0" w:space="0" w:color="auto"/>
        <w:bottom w:val="none" w:sz="0" w:space="0" w:color="auto"/>
        <w:right w:val="none" w:sz="0" w:space="0" w:color="auto"/>
      </w:divBdr>
      <w:divsChild>
        <w:div w:id="1154296739">
          <w:marLeft w:val="0"/>
          <w:marRight w:val="0"/>
          <w:marTop w:val="0"/>
          <w:marBottom w:val="0"/>
          <w:divBdr>
            <w:top w:val="none" w:sz="0" w:space="0" w:color="auto"/>
            <w:left w:val="none" w:sz="0" w:space="0" w:color="auto"/>
            <w:bottom w:val="none" w:sz="0" w:space="0" w:color="auto"/>
            <w:right w:val="none" w:sz="0" w:space="0" w:color="auto"/>
          </w:divBdr>
          <w:divsChild>
            <w:div w:id="728041301">
              <w:marLeft w:val="0"/>
              <w:marRight w:val="0"/>
              <w:marTop w:val="0"/>
              <w:marBottom w:val="0"/>
              <w:divBdr>
                <w:top w:val="none" w:sz="0" w:space="0" w:color="auto"/>
                <w:left w:val="none" w:sz="0" w:space="0" w:color="auto"/>
                <w:bottom w:val="none" w:sz="0" w:space="0" w:color="auto"/>
                <w:right w:val="none" w:sz="0" w:space="0" w:color="auto"/>
              </w:divBdr>
              <w:divsChild>
                <w:div w:id="1120029472">
                  <w:marLeft w:val="0"/>
                  <w:marRight w:val="0"/>
                  <w:marTop w:val="0"/>
                  <w:marBottom w:val="0"/>
                  <w:divBdr>
                    <w:top w:val="none" w:sz="0" w:space="0" w:color="auto"/>
                    <w:left w:val="none" w:sz="0" w:space="0" w:color="auto"/>
                    <w:bottom w:val="none" w:sz="0" w:space="0" w:color="auto"/>
                    <w:right w:val="none" w:sz="0" w:space="0" w:color="auto"/>
                  </w:divBdr>
                  <w:divsChild>
                    <w:div w:id="1555971004">
                      <w:marLeft w:val="0"/>
                      <w:marRight w:val="0"/>
                      <w:marTop w:val="0"/>
                      <w:marBottom w:val="0"/>
                      <w:divBdr>
                        <w:top w:val="none" w:sz="0" w:space="0" w:color="auto"/>
                        <w:left w:val="none" w:sz="0" w:space="0" w:color="auto"/>
                        <w:bottom w:val="none" w:sz="0" w:space="0" w:color="auto"/>
                        <w:right w:val="none" w:sz="0" w:space="0" w:color="auto"/>
                      </w:divBdr>
                      <w:divsChild>
                        <w:div w:id="1534609494">
                          <w:marLeft w:val="0"/>
                          <w:marRight w:val="0"/>
                          <w:marTop w:val="0"/>
                          <w:marBottom w:val="0"/>
                          <w:divBdr>
                            <w:top w:val="none" w:sz="0" w:space="0" w:color="auto"/>
                            <w:left w:val="none" w:sz="0" w:space="0" w:color="auto"/>
                            <w:bottom w:val="none" w:sz="0" w:space="0" w:color="auto"/>
                            <w:right w:val="none" w:sz="0" w:space="0" w:color="auto"/>
                          </w:divBdr>
                          <w:divsChild>
                            <w:div w:id="48721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3254</Words>
  <Characters>1855</Characters>
  <Application>Microsoft Office Word</Application>
  <DocSecurity>0</DocSecurity>
  <Lines>15</Lines>
  <Paragraphs>10</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2013.gada 15.oktobra noteikumos Nr.1106 "Zemes izpirkuma (pirkuma) līguma noslēgšanas kārtība"" sākotnējās ietekmes novērtējuma ziņojums (anotācija)</vt:lpstr>
    </vt:vector>
  </TitlesOfParts>
  <Company/>
  <LinksUpToDate>false</LinksUpToDate>
  <CharactersWithSpaces>5099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2013.gada 15.oktobra noteikumos Nr.1106 "Zemes izpirkuma (pirkuma) līguma noslēgšanas kārtība"" sākotnējās ietekmes novērtējuma ziņojums (anotācija)</dc:title>
  <dc:subject>Anotācija</dc:subject>
  <dc:creator>Anete Brīze</dc:creator>
  <dc:description>67095441, Anete.Brize@fm.gov.lv</dc:description>
  <cp:lastModifiedBy>Liene Strēlniece</cp:lastModifiedBy>
  <cp:revision>13</cp:revision>
  <cp:lastPrinted>2014-08-05T10:59:00Z</cp:lastPrinted>
  <dcterms:created xsi:type="dcterms:W3CDTF">2014-07-02T11:00:00Z</dcterms:created>
  <dcterms:modified xsi:type="dcterms:W3CDTF">2014-08-06T10:34:00Z</dcterms:modified>
</cp:coreProperties>
</file>