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1B" w:rsidRDefault="00F6571B" w:rsidP="00F6571B">
      <w:pPr>
        <w:pStyle w:val="Title"/>
        <w:rPr>
          <w:szCs w:val="28"/>
        </w:rPr>
      </w:pPr>
      <w:bookmarkStart w:id="0" w:name="_GoBack"/>
      <w:bookmarkEnd w:id="0"/>
    </w:p>
    <w:p w:rsidR="004425D1" w:rsidRPr="002E360D" w:rsidRDefault="004425D1" w:rsidP="002E360D">
      <w:pPr>
        <w:jc w:val="center"/>
        <w:rPr>
          <w:b/>
          <w:sz w:val="28"/>
          <w:szCs w:val="28"/>
        </w:rPr>
      </w:pPr>
      <w:r w:rsidRPr="004425D1">
        <w:rPr>
          <w:b/>
          <w:sz w:val="28"/>
          <w:szCs w:val="20"/>
        </w:rPr>
        <w:t>Ministru kabineta noteikumu projekta „</w:t>
      </w:r>
      <w:r w:rsidR="002E360D" w:rsidRPr="00FB2317">
        <w:rPr>
          <w:b/>
          <w:sz w:val="28"/>
          <w:szCs w:val="28"/>
        </w:rPr>
        <w:t>Noteikumi par zemes izpirkuma (pirkuma) līgumu slēgšanas, šo līgumu izpildes kontroles un neizpirktās zemes nodošanu pašvaldības īpašumā uzdevuma deleģēšanu</w:t>
      </w:r>
      <w:r w:rsidRPr="004425D1">
        <w:rPr>
          <w:b/>
          <w:sz w:val="28"/>
          <w:szCs w:val="20"/>
        </w:rPr>
        <w:t>” sākotnējās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35"/>
        <w:gridCol w:w="4860"/>
      </w:tblGrid>
      <w:tr w:rsidR="00F6571B" w:rsidRPr="0093291B" w:rsidTr="009E5675">
        <w:tc>
          <w:tcPr>
            <w:tcW w:w="974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9E5675">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3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400276" w:rsidRPr="00400276" w:rsidRDefault="00400276" w:rsidP="00382F59">
            <w:pPr>
              <w:spacing w:after="120"/>
              <w:jc w:val="both"/>
              <w:rPr>
                <w:sz w:val="18"/>
                <w:szCs w:val="18"/>
              </w:rPr>
            </w:pPr>
          </w:p>
          <w:p w:rsidR="00836C22" w:rsidRPr="00836C22" w:rsidRDefault="00382F59" w:rsidP="00382F59">
            <w:pPr>
              <w:spacing w:after="120"/>
              <w:jc w:val="both"/>
              <w:rPr>
                <w:sz w:val="28"/>
                <w:szCs w:val="28"/>
              </w:rPr>
            </w:pPr>
            <w:r w:rsidRPr="00382F59">
              <w:rPr>
                <w:sz w:val="28"/>
                <w:szCs w:val="20"/>
              </w:rPr>
              <w:t>Mini</w:t>
            </w:r>
            <w:r w:rsidR="0063581B">
              <w:rPr>
                <w:sz w:val="28"/>
                <w:szCs w:val="20"/>
              </w:rPr>
              <w:t>stru kabineta noteikumu projekts</w:t>
            </w:r>
            <w:r w:rsidRPr="00382F59">
              <w:rPr>
                <w:sz w:val="28"/>
                <w:szCs w:val="20"/>
              </w:rPr>
              <w:t xml:space="preserve"> „</w:t>
            </w:r>
            <w:r w:rsidRPr="00382F59">
              <w:rPr>
                <w:sz w:val="28"/>
                <w:szCs w:val="28"/>
              </w:rPr>
              <w:t>Noteikumi par zemes izpirkuma (pirkuma) līgumu slēgšanas, šo līgumu izpildes kontroles un neizpirktās zemes nodošanu pašvaldības īpašumā uzdevuma deleģēšanu</w:t>
            </w:r>
            <w:r w:rsidRPr="00382F59">
              <w:rPr>
                <w:sz w:val="28"/>
                <w:szCs w:val="20"/>
              </w:rPr>
              <w:t>”</w:t>
            </w:r>
            <w:r>
              <w:rPr>
                <w:sz w:val="28"/>
                <w:szCs w:val="20"/>
              </w:rPr>
              <w:t xml:space="preserve"> (turpmāk – Noteikumu projekts) </w:t>
            </w:r>
            <w:r w:rsidR="000F4197" w:rsidRPr="000F4197">
              <w:rPr>
                <w:sz w:val="28"/>
                <w:szCs w:val="28"/>
              </w:rPr>
              <w:t>sagatavots saskaņā ar Ministru kabineta 2013.</w:t>
            </w:r>
            <w:r w:rsidR="00966EBC">
              <w:rPr>
                <w:sz w:val="28"/>
                <w:szCs w:val="28"/>
              </w:rPr>
              <w:t xml:space="preserve"> </w:t>
            </w:r>
            <w:r w:rsidR="000F4197" w:rsidRPr="000F4197">
              <w:rPr>
                <w:sz w:val="28"/>
                <w:szCs w:val="28"/>
              </w:rPr>
              <w:t>gada 24.</w:t>
            </w:r>
            <w:r w:rsidR="00966EBC">
              <w:rPr>
                <w:sz w:val="28"/>
                <w:szCs w:val="28"/>
              </w:rPr>
              <w:t xml:space="preserve"> </w:t>
            </w:r>
            <w:r w:rsidR="000F4197" w:rsidRPr="000F4197">
              <w:rPr>
                <w:sz w:val="28"/>
                <w:szCs w:val="28"/>
              </w:rPr>
              <w:t>septembra sēdes protokola Nr.50 153</w:t>
            </w:r>
            <w:bookmarkStart w:id="1" w:name="9"/>
            <w:r w:rsidR="000F4197" w:rsidRPr="000F4197">
              <w:rPr>
                <w:sz w:val="28"/>
                <w:szCs w:val="28"/>
              </w:rPr>
              <w:t>.§</w:t>
            </w:r>
            <w:bookmarkEnd w:id="1"/>
            <w:r w:rsidR="000F4197" w:rsidRPr="000F4197">
              <w:rPr>
                <w:sz w:val="28"/>
                <w:szCs w:val="28"/>
              </w:rPr>
              <w:t xml:space="preserve"> 3.punktu Finanšu ministrijai sadarbībā ar Tieslietu ministriju, Ekonomikas ministriju un valsts akciju sabiedrību „Latvijas Hipotēku un zemes banka” līdz 2013.gada 31.oktobrim sagatavot un iesniegt izskatīšanai Ministru kabineta sēdē grozījumus informatīvajā ziņojumā uzskaitītajos likumos saistībā ar zemes reformas nodrošināšanu un zemes izpirkuma (pirkuma) līgumu noslēgšanu un administrēšanu, un pēc attiecīgo likumprojektu apstiprināšanas Saeimā iesniegt izskatīšanai Ministru kabineta sēdē grozījumu projektus informatīvajā ziņojumā uzskaitītajos Ministru kabineta noteikumos saistībā ar zemes reformas nodrošināšanu un zemes izpirkuma (pirkuma) līgumu noslēgšanu un administrēšanu.</w:t>
            </w:r>
            <w:r>
              <w:rPr>
                <w:sz w:val="28"/>
                <w:szCs w:val="28"/>
              </w:rPr>
              <w:t xml:space="preserve"> Noteikumu projekts izdots </w:t>
            </w:r>
            <w:r>
              <w:rPr>
                <w:iCs/>
                <w:sz w:val="28"/>
                <w:szCs w:val="28"/>
              </w:rPr>
              <w:t>saskaņā</w:t>
            </w:r>
            <w:r w:rsidRPr="004E6E70">
              <w:rPr>
                <w:iCs/>
                <w:sz w:val="28"/>
                <w:szCs w:val="28"/>
              </w:rPr>
              <w:t xml:space="preserve"> ar </w:t>
            </w:r>
            <w:hyperlink r:id="rId8" w:tgtFrame="_blank" w:history="1">
              <w:r w:rsidRPr="004E6E70">
                <w:rPr>
                  <w:iCs/>
                  <w:sz w:val="28"/>
                  <w:szCs w:val="28"/>
                </w:rPr>
                <w:t>Valsts pārvaldes iekārtas likuma</w:t>
              </w:r>
            </w:hyperlink>
            <w:r>
              <w:rPr>
                <w:iCs/>
                <w:sz w:val="28"/>
                <w:szCs w:val="28"/>
              </w:rPr>
              <w:t xml:space="preserve"> </w:t>
            </w:r>
            <w:r w:rsidRPr="004E6E70">
              <w:rPr>
                <w:iCs/>
                <w:sz w:val="28"/>
                <w:szCs w:val="28"/>
              </w:rPr>
              <w:t>40.</w:t>
            </w:r>
            <w:r w:rsidR="00966EBC">
              <w:rPr>
                <w:iCs/>
                <w:sz w:val="28"/>
                <w:szCs w:val="28"/>
              </w:rPr>
              <w:t xml:space="preserve"> </w:t>
            </w:r>
            <w:r w:rsidRPr="004E6E70">
              <w:rPr>
                <w:iCs/>
                <w:sz w:val="28"/>
                <w:szCs w:val="28"/>
              </w:rPr>
              <w:t xml:space="preserve">panta otro daļu un </w:t>
            </w:r>
            <w:hyperlink r:id="rId9" w:tgtFrame="_blank" w:history="1">
              <w:r w:rsidRPr="004E6E70">
                <w:rPr>
                  <w:iCs/>
                  <w:sz w:val="28"/>
                  <w:szCs w:val="28"/>
                </w:rPr>
                <w:t>Valsts</w:t>
              </w:r>
            </w:hyperlink>
            <w:r w:rsidRPr="004E6E70">
              <w:rPr>
                <w:iCs/>
                <w:sz w:val="28"/>
                <w:szCs w:val="28"/>
              </w:rPr>
              <w:t xml:space="preserve"> un pašvaldību īpašuma privatizācijas un privatizācijas sertifikātu izmantošanas pabeigšanas likuma 3</w:t>
            </w:r>
            <w:r w:rsidRPr="00836C22">
              <w:rPr>
                <w:iCs/>
                <w:sz w:val="28"/>
                <w:szCs w:val="28"/>
              </w:rPr>
              <w:t>. panta trešās daļas 4.</w:t>
            </w:r>
            <w:r w:rsidRPr="00836C22">
              <w:rPr>
                <w:iCs/>
                <w:sz w:val="28"/>
                <w:szCs w:val="28"/>
                <w:vertAlign w:val="superscript"/>
              </w:rPr>
              <w:t>1</w:t>
            </w:r>
            <w:r w:rsidRPr="00836C22">
              <w:rPr>
                <w:iCs/>
                <w:sz w:val="28"/>
                <w:szCs w:val="28"/>
              </w:rPr>
              <w:t xml:space="preserve"> punktu, 23. panta 11.</w:t>
            </w:r>
            <w:r w:rsidRPr="00836C22">
              <w:rPr>
                <w:iCs/>
                <w:sz w:val="28"/>
                <w:szCs w:val="28"/>
                <w:vertAlign w:val="superscript"/>
              </w:rPr>
              <w:t>2</w:t>
            </w:r>
            <w:r w:rsidRPr="00836C22">
              <w:rPr>
                <w:iCs/>
                <w:sz w:val="28"/>
                <w:szCs w:val="28"/>
              </w:rPr>
              <w:t xml:space="preserve"> daļu, 24. panta 4.</w:t>
            </w:r>
            <w:r w:rsidRPr="00836C22">
              <w:rPr>
                <w:iCs/>
                <w:sz w:val="28"/>
                <w:szCs w:val="28"/>
                <w:vertAlign w:val="superscript"/>
              </w:rPr>
              <w:t>1</w:t>
            </w:r>
            <w:r w:rsidRPr="00836C22">
              <w:rPr>
                <w:iCs/>
                <w:sz w:val="28"/>
                <w:szCs w:val="28"/>
              </w:rPr>
              <w:t xml:space="preserve"> daļu</w:t>
            </w:r>
            <w:r w:rsidR="00836C22" w:rsidRPr="00836C22">
              <w:rPr>
                <w:iCs/>
                <w:sz w:val="28"/>
                <w:szCs w:val="28"/>
              </w:rPr>
              <w:t xml:space="preserve"> un </w:t>
            </w:r>
            <w:r w:rsidR="00836C22" w:rsidRPr="00836C22">
              <w:rPr>
                <w:sz w:val="28"/>
                <w:szCs w:val="28"/>
              </w:rPr>
              <w:t>4. panta sesto daļu, kurā norādīts, ka privātpersonas izdevumi tiek segti Ministru kabineta noteiktajā kārtībā no pakalpojuma</w:t>
            </w:r>
            <w:r w:rsidR="00836C22">
              <w:rPr>
                <w:sz w:val="28"/>
                <w:szCs w:val="28"/>
              </w:rPr>
              <w:t xml:space="preserve"> </w:t>
            </w:r>
            <w:r w:rsidR="00836C22" w:rsidRPr="00836C22">
              <w:rPr>
                <w:sz w:val="28"/>
                <w:szCs w:val="28"/>
              </w:rPr>
              <w:t xml:space="preserve">ieņēmumiem un rezerves fonda līdzekļiem, kas izveidots, pamatojoties uz likumu "Par </w:t>
            </w:r>
            <w:r w:rsidR="00836C22" w:rsidRPr="00836C22">
              <w:rPr>
                <w:sz w:val="28"/>
                <w:szCs w:val="28"/>
              </w:rPr>
              <w:lastRenderedPageBreak/>
              <w:t>valsts un pašvaldību īpašuma objektu privatizāciju".</w:t>
            </w:r>
          </w:p>
        </w:tc>
      </w:tr>
      <w:tr w:rsidR="00D02409" w:rsidRPr="00D02409" w:rsidTr="009E5675">
        <w:trPr>
          <w:trHeight w:val="472"/>
        </w:trPr>
        <w:tc>
          <w:tcPr>
            <w:tcW w:w="550" w:type="dxa"/>
          </w:tcPr>
          <w:p w:rsidR="00F6571B" w:rsidRPr="00D02409" w:rsidRDefault="00F6571B" w:rsidP="00E2648C">
            <w:pPr>
              <w:pStyle w:val="naiskr"/>
              <w:spacing w:before="0" w:after="0"/>
              <w:rPr>
                <w:sz w:val="28"/>
                <w:szCs w:val="28"/>
              </w:rPr>
            </w:pPr>
            <w:r w:rsidRPr="00D02409">
              <w:rPr>
                <w:sz w:val="28"/>
                <w:szCs w:val="28"/>
              </w:rPr>
              <w:lastRenderedPageBreak/>
              <w:t>2.</w:t>
            </w:r>
          </w:p>
        </w:tc>
        <w:tc>
          <w:tcPr>
            <w:tcW w:w="4335" w:type="dxa"/>
          </w:tcPr>
          <w:p w:rsidR="00F6571B" w:rsidRPr="00D02409" w:rsidRDefault="00F6571B" w:rsidP="00E2648C">
            <w:pPr>
              <w:pStyle w:val="naiskr"/>
              <w:tabs>
                <w:tab w:val="left" w:pos="170"/>
              </w:tabs>
              <w:spacing w:before="0" w:after="0"/>
              <w:rPr>
                <w:sz w:val="28"/>
                <w:szCs w:val="28"/>
              </w:rPr>
            </w:pPr>
            <w:r w:rsidRPr="00D02409">
              <w:rPr>
                <w:sz w:val="28"/>
                <w:szCs w:val="28"/>
              </w:rPr>
              <w:t xml:space="preserve">Pašreizējā situācija un problēmas, kuru risināšanai tiesību akta projekts izstrādāts, tiesiskā regulējuma mērķis un būtība </w:t>
            </w:r>
          </w:p>
          <w:p w:rsidR="00F6571B" w:rsidRPr="00D02409" w:rsidRDefault="00F6571B" w:rsidP="00E2648C">
            <w:pPr>
              <w:rPr>
                <w:sz w:val="28"/>
                <w:szCs w:val="28"/>
              </w:rPr>
            </w:pPr>
          </w:p>
          <w:p w:rsidR="00F6571B" w:rsidRPr="00D02409" w:rsidRDefault="00F6571B" w:rsidP="00E2648C">
            <w:pPr>
              <w:rPr>
                <w:sz w:val="28"/>
                <w:szCs w:val="28"/>
              </w:rPr>
            </w:pPr>
          </w:p>
          <w:p w:rsidR="000B03D9" w:rsidRDefault="000B03D9" w:rsidP="00E2648C">
            <w:pPr>
              <w:ind w:firstLine="720"/>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Pr="000B03D9" w:rsidRDefault="000B03D9" w:rsidP="000B03D9">
            <w:pPr>
              <w:rPr>
                <w:sz w:val="28"/>
                <w:szCs w:val="28"/>
              </w:rPr>
            </w:pPr>
          </w:p>
          <w:p w:rsidR="000B03D9" w:rsidRDefault="000B03D9" w:rsidP="000B03D9">
            <w:pPr>
              <w:rPr>
                <w:sz w:val="28"/>
                <w:szCs w:val="28"/>
              </w:rPr>
            </w:pPr>
          </w:p>
          <w:p w:rsidR="00F6571B" w:rsidRPr="000B03D9" w:rsidRDefault="00F6571B" w:rsidP="000B03D9">
            <w:pPr>
              <w:jc w:val="center"/>
              <w:rPr>
                <w:sz w:val="28"/>
                <w:szCs w:val="28"/>
              </w:rPr>
            </w:pPr>
          </w:p>
        </w:tc>
        <w:tc>
          <w:tcPr>
            <w:tcW w:w="4860" w:type="dxa"/>
          </w:tcPr>
          <w:p w:rsidR="000F4197" w:rsidRDefault="005A2773" w:rsidP="00637996">
            <w:pPr>
              <w:pStyle w:val="tv2131"/>
              <w:spacing w:line="240" w:lineRule="auto"/>
              <w:ind w:firstLine="0"/>
              <w:jc w:val="both"/>
              <w:rPr>
                <w:color w:val="auto"/>
                <w:sz w:val="28"/>
                <w:szCs w:val="28"/>
              </w:rPr>
            </w:pPr>
            <w:r w:rsidRPr="005A2773">
              <w:rPr>
                <w:color w:val="auto"/>
                <w:sz w:val="28"/>
                <w:szCs w:val="28"/>
              </w:rPr>
              <w:t>2014.</w:t>
            </w:r>
            <w:r w:rsidR="00966EBC">
              <w:rPr>
                <w:color w:val="auto"/>
                <w:sz w:val="28"/>
                <w:szCs w:val="28"/>
              </w:rPr>
              <w:t xml:space="preserve"> </w:t>
            </w:r>
            <w:r w:rsidRPr="005A2773">
              <w:rPr>
                <w:color w:val="auto"/>
                <w:sz w:val="28"/>
                <w:szCs w:val="28"/>
              </w:rPr>
              <w:t>gada 1.</w:t>
            </w:r>
            <w:r w:rsidR="00966EBC">
              <w:rPr>
                <w:color w:val="auto"/>
                <w:sz w:val="28"/>
                <w:szCs w:val="28"/>
              </w:rPr>
              <w:t xml:space="preserve"> </w:t>
            </w:r>
            <w:r w:rsidRPr="005A2773">
              <w:rPr>
                <w:color w:val="auto"/>
                <w:sz w:val="28"/>
                <w:szCs w:val="28"/>
              </w:rPr>
              <w:t>janvārī Valsts akciju sabiedrība „Latvijas Hipotēku un zemes banka”</w:t>
            </w:r>
            <w:r w:rsidR="008C4337">
              <w:rPr>
                <w:color w:val="auto"/>
                <w:sz w:val="28"/>
                <w:szCs w:val="28"/>
              </w:rPr>
              <w:t xml:space="preserve"> (turpmāk –</w:t>
            </w:r>
            <w:r w:rsidR="00D03C69">
              <w:rPr>
                <w:color w:val="auto"/>
                <w:sz w:val="28"/>
                <w:szCs w:val="28"/>
              </w:rPr>
              <w:t xml:space="preserve"> </w:t>
            </w:r>
            <w:r w:rsidR="008C4337">
              <w:rPr>
                <w:color w:val="auto"/>
                <w:sz w:val="28"/>
                <w:szCs w:val="28"/>
              </w:rPr>
              <w:t>Hipotēku banka), reorganizācijas ietvaros,</w:t>
            </w:r>
            <w:r w:rsidRPr="005A2773">
              <w:rPr>
                <w:color w:val="auto"/>
                <w:sz w:val="28"/>
                <w:szCs w:val="28"/>
              </w:rPr>
              <w:t xml:space="preserve"> ir atteikusies no kredītiestādes licences un manījusi nosaukumu uz valsts akciju sabiedrība "Latvijas Attīstības finanšu institūcija </w:t>
            </w:r>
            <w:proofErr w:type="spellStart"/>
            <w:r w:rsidRPr="005A2773">
              <w:rPr>
                <w:color w:val="auto"/>
                <w:sz w:val="28"/>
                <w:szCs w:val="28"/>
              </w:rPr>
              <w:t>Altum</w:t>
            </w:r>
            <w:proofErr w:type="spellEnd"/>
            <w:r w:rsidRPr="005A2773">
              <w:rPr>
                <w:color w:val="auto"/>
                <w:sz w:val="28"/>
                <w:szCs w:val="28"/>
              </w:rPr>
              <w:t>"</w:t>
            </w:r>
            <w:r w:rsidR="008C4337">
              <w:rPr>
                <w:color w:val="auto"/>
                <w:sz w:val="28"/>
                <w:szCs w:val="28"/>
              </w:rPr>
              <w:t xml:space="preserve"> (turpmāk - </w:t>
            </w:r>
            <w:r w:rsidR="008C4337" w:rsidRPr="005A2773">
              <w:rPr>
                <w:color w:val="auto"/>
                <w:sz w:val="28"/>
                <w:szCs w:val="28"/>
              </w:rPr>
              <w:t xml:space="preserve">Attīstības finanšu institūcija </w:t>
            </w:r>
            <w:proofErr w:type="spellStart"/>
            <w:r w:rsidR="008C4337" w:rsidRPr="005A2773">
              <w:rPr>
                <w:color w:val="auto"/>
                <w:sz w:val="28"/>
                <w:szCs w:val="28"/>
              </w:rPr>
              <w:t>Altum</w:t>
            </w:r>
            <w:proofErr w:type="spellEnd"/>
            <w:r w:rsidR="008C4337">
              <w:rPr>
                <w:color w:val="auto"/>
                <w:sz w:val="28"/>
                <w:szCs w:val="28"/>
              </w:rPr>
              <w:t>)</w:t>
            </w:r>
            <w:r w:rsidRPr="005A2773">
              <w:rPr>
                <w:color w:val="auto"/>
                <w:sz w:val="28"/>
                <w:szCs w:val="28"/>
              </w:rPr>
              <w:t>.</w:t>
            </w:r>
          </w:p>
          <w:p w:rsidR="00AD1C47" w:rsidRDefault="008C4337" w:rsidP="008C4337">
            <w:pPr>
              <w:pStyle w:val="tv2131"/>
              <w:spacing w:line="240" w:lineRule="auto"/>
              <w:ind w:firstLine="0"/>
              <w:jc w:val="both"/>
              <w:rPr>
                <w:color w:val="auto"/>
                <w:sz w:val="28"/>
                <w:szCs w:val="28"/>
              </w:rPr>
            </w:pPr>
            <w:r>
              <w:rPr>
                <w:color w:val="auto"/>
                <w:sz w:val="28"/>
                <w:szCs w:val="28"/>
              </w:rPr>
              <w:t xml:space="preserve">Lai </w:t>
            </w:r>
            <w:r w:rsidRPr="005A2773">
              <w:rPr>
                <w:color w:val="auto"/>
                <w:sz w:val="28"/>
                <w:szCs w:val="28"/>
              </w:rPr>
              <w:t xml:space="preserve">Attīstības finanšu institūcija </w:t>
            </w:r>
            <w:proofErr w:type="spellStart"/>
            <w:r w:rsidRPr="005A2773">
              <w:rPr>
                <w:color w:val="auto"/>
                <w:sz w:val="28"/>
                <w:szCs w:val="28"/>
              </w:rPr>
              <w:t>Altum</w:t>
            </w:r>
            <w:proofErr w:type="spellEnd"/>
            <w:r>
              <w:rPr>
                <w:color w:val="auto"/>
                <w:sz w:val="28"/>
                <w:szCs w:val="28"/>
              </w:rPr>
              <w:t xml:space="preserve"> kā Hipotēku bankas tiesību un saistību pārņēmējs turpinātu sekmīgi veikt ar</w:t>
            </w:r>
            <w:r w:rsidRPr="00D02409">
              <w:rPr>
                <w:color w:val="auto"/>
                <w:sz w:val="28"/>
                <w:szCs w:val="28"/>
              </w:rPr>
              <w:t xml:space="preserve"> </w:t>
            </w:r>
            <w:r>
              <w:rPr>
                <w:color w:val="auto"/>
                <w:sz w:val="28"/>
                <w:szCs w:val="28"/>
              </w:rPr>
              <w:t>zemes izpirkuma līgumu</w:t>
            </w:r>
            <w:r w:rsidRPr="00D02409">
              <w:rPr>
                <w:color w:val="auto"/>
                <w:sz w:val="28"/>
                <w:szCs w:val="28"/>
              </w:rPr>
              <w:t xml:space="preserve"> slēgšanu</w:t>
            </w:r>
            <w:r w:rsidR="001472BF">
              <w:rPr>
                <w:color w:val="auto"/>
                <w:sz w:val="28"/>
                <w:szCs w:val="28"/>
              </w:rPr>
              <w:t xml:space="preserve"> </w:t>
            </w:r>
            <w:r w:rsidR="00A74DA2">
              <w:rPr>
                <w:color w:val="auto"/>
                <w:sz w:val="28"/>
                <w:szCs w:val="28"/>
              </w:rPr>
              <w:t>saistītās</w:t>
            </w:r>
            <w:r>
              <w:rPr>
                <w:color w:val="auto"/>
                <w:sz w:val="28"/>
                <w:szCs w:val="28"/>
              </w:rPr>
              <w:t xml:space="preserve"> darbības š</w:t>
            </w:r>
            <w:r w:rsidR="009807ED" w:rsidRPr="00D02409">
              <w:rPr>
                <w:color w:val="auto"/>
                <w:sz w:val="28"/>
                <w:szCs w:val="28"/>
              </w:rPr>
              <w:t>.g.</w:t>
            </w:r>
            <w:r w:rsidR="00966EBC">
              <w:rPr>
                <w:color w:val="auto"/>
                <w:sz w:val="28"/>
                <w:szCs w:val="28"/>
              </w:rPr>
              <w:t xml:space="preserve"> </w:t>
            </w:r>
            <w:r w:rsidR="009807ED" w:rsidRPr="00D02409">
              <w:rPr>
                <w:color w:val="auto"/>
                <w:sz w:val="28"/>
                <w:szCs w:val="28"/>
              </w:rPr>
              <w:t>24.</w:t>
            </w:r>
            <w:r w:rsidR="00966EBC">
              <w:rPr>
                <w:color w:val="auto"/>
                <w:sz w:val="28"/>
                <w:szCs w:val="28"/>
              </w:rPr>
              <w:t xml:space="preserve"> </w:t>
            </w:r>
            <w:r w:rsidR="009807ED" w:rsidRPr="00D02409">
              <w:rPr>
                <w:color w:val="auto"/>
                <w:sz w:val="28"/>
                <w:szCs w:val="28"/>
              </w:rPr>
              <w:t xml:space="preserve">janvārī stājās spēkā likumprojekts „Grozījumi </w:t>
            </w:r>
            <w:hyperlink r:id="rId10" w:tgtFrame="_blank" w:history="1">
              <w:r w:rsidR="009807ED" w:rsidRPr="00D02409">
                <w:rPr>
                  <w:iCs/>
                  <w:color w:val="auto"/>
                  <w:sz w:val="28"/>
                  <w:szCs w:val="28"/>
                </w:rPr>
                <w:t>Valsts</w:t>
              </w:r>
            </w:hyperlink>
            <w:r w:rsidR="009807ED" w:rsidRPr="00D02409">
              <w:rPr>
                <w:iCs/>
                <w:color w:val="auto"/>
                <w:sz w:val="28"/>
                <w:szCs w:val="28"/>
              </w:rPr>
              <w:t xml:space="preserve"> un pašvaldību īpašuma privatizācijas un privatizācijas sertifikātu izmantošanas pabeigšanas likumā</w:t>
            </w:r>
            <w:r w:rsidR="009807ED" w:rsidRPr="00D02409">
              <w:rPr>
                <w:color w:val="auto"/>
                <w:sz w:val="28"/>
                <w:szCs w:val="28"/>
              </w:rPr>
              <w:t>”,</w:t>
            </w:r>
            <w:r w:rsidR="009807ED">
              <w:rPr>
                <w:color w:val="auto"/>
                <w:sz w:val="28"/>
                <w:szCs w:val="28"/>
              </w:rPr>
              <w:t xml:space="preserve"> nosakot ka:</w:t>
            </w:r>
          </w:p>
          <w:p w:rsidR="00D03C69" w:rsidRPr="004032D7" w:rsidRDefault="00966EBC" w:rsidP="004032D7">
            <w:pPr>
              <w:pStyle w:val="tv2131"/>
              <w:numPr>
                <w:ilvl w:val="0"/>
                <w:numId w:val="8"/>
              </w:numPr>
              <w:spacing w:line="240" w:lineRule="auto"/>
              <w:ind w:left="375"/>
              <w:jc w:val="both"/>
              <w:rPr>
                <w:color w:val="auto"/>
                <w:sz w:val="28"/>
                <w:szCs w:val="28"/>
              </w:rPr>
            </w:pPr>
            <w:r>
              <w:rPr>
                <w:color w:val="auto"/>
                <w:sz w:val="28"/>
                <w:szCs w:val="28"/>
              </w:rPr>
              <w:t>z</w:t>
            </w:r>
            <w:r w:rsidR="009807ED" w:rsidRPr="00D02409">
              <w:rPr>
                <w:color w:val="auto"/>
                <w:sz w:val="28"/>
                <w:szCs w:val="28"/>
              </w:rPr>
              <w:t>emes reformas pabeigšanas jomā likums nosaka Ministru kabineta tiesības noteikt personu, tai skaitā privātpersonu (turpmāk — Ministru kabineta noteikta institūcija), kura, sākot ar 2014.</w:t>
            </w:r>
            <w:r>
              <w:rPr>
                <w:color w:val="auto"/>
                <w:sz w:val="28"/>
                <w:szCs w:val="28"/>
              </w:rPr>
              <w:t xml:space="preserve"> </w:t>
            </w:r>
            <w:r w:rsidR="009807ED" w:rsidRPr="00D02409">
              <w:rPr>
                <w:color w:val="auto"/>
                <w:sz w:val="28"/>
                <w:szCs w:val="28"/>
              </w:rPr>
              <w:t>gada 1.</w:t>
            </w:r>
            <w:r>
              <w:rPr>
                <w:color w:val="auto"/>
                <w:sz w:val="28"/>
                <w:szCs w:val="28"/>
              </w:rPr>
              <w:t xml:space="preserve"> </w:t>
            </w:r>
            <w:r w:rsidR="009807ED" w:rsidRPr="00D02409">
              <w:rPr>
                <w:color w:val="auto"/>
                <w:sz w:val="28"/>
                <w:szCs w:val="28"/>
              </w:rPr>
              <w:t>martu, īsteno deleģēto valsts pārvaldes uzdevumu — zemes izpirkuma (pirkuma) līgumu slēgšanu, šo līgumu izpildes kontroli un neizpirktās zemes nodošanu pašvaldības īpašumā.</w:t>
            </w:r>
            <w:r w:rsidR="009807ED">
              <w:rPr>
                <w:color w:val="auto"/>
                <w:sz w:val="28"/>
                <w:szCs w:val="28"/>
              </w:rPr>
              <w:t xml:space="preserve"> (Likuma</w:t>
            </w:r>
            <w:r w:rsidR="009807ED" w:rsidRPr="00D02409">
              <w:rPr>
                <w:color w:val="auto"/>
                <w:sz w:val="28"/>
                <w:szCs w:val="28"/>
              </w:rPr>
              <w:t xml:space="preserve"> 3.</w:t>
            </w:r>
            <w:r>
              <w:rPr>
                <w:color w:val="auto"/>
                <w:sz w:val="28"/>
                <w:szCs w:val="28"/>
              </w:rPr>
              <w:t xml:space="preserve"> </w:t>
            </w:r>
            <w:r w:rsidR="009807ED" w:rsidRPr="00D02409">
              <w:rPr>
                <w:color w:val="auto"/>
                <w:sz w:val="28"/>
                <w:szCs w:val="28"/>
              </w:rPr>
              <w:t>panta trešās daļas 4</w:t>
            </w:r>
            <w:r>
              <w:rPr>
                <w:color w:val="auto"/>
                <w:sz w:val="28"/>
                <w:szCs w:val="28"/>
              </w:rPr>
              <w:t>.</w:t>
            </w:r>
            <w:r w:rsidR="009807ED" w:rsidRPr="00D02409">
              <w:rPr>
                <w:color w:val="auto"/>
                <w:sz w:val="28"/>
                <w:szCs w:val="28"/>
                <w:vertAlign w:val="superscript"/>
              </w:rPr>
              <w:t>1</w:t>
            </w:r>
            <w:r w:rsidR="009807ED" w:rsidRPr="00D02409">
              <w:rPr>
                <w:color w:val="auto"/>
                <w:sz w:val="28"/>
                <w:szCs w:val="28"/>
              </w:rPr>
              <w:t xml:space="preserve"> punkt</w:t>
            </w:r>
            <w:r w:rsidR="009807ED">
              <w:rPr>
                <w:color w:val="auto"/>
                <w:sz w:val="28"/>
                <w:szCs w:val="28"/>
              </w:rPr>
              <w:t>s)</w:t>
            </w:r>
            <w:r w:rsidR="00AD1C47">
              <w:rPr>
                <w:color w:val="auto"/>
                <w:sz w:val="28"/>
                <w:szCs w:val="28"/>
              </w:rPr>
              <w:t>;</w:t>
            </w:r>
          </w:p>
          <w:p w:rsidR="00AD1C47" w:rsidRDefault="00AD1C47" w:rsidP="004032D7">
            <w:pPr>
              <w:pStyle w:val="tv2131"/>
              <w:numPr>
                <w:ilvl w:val="0"/>
                <w:numId w:val="8"/>
              </w:numPr>
              <w:spacing w:line="240" w:lineRule="auto"/>
              <w:ind w:left="375"/>
              <w:jc w:val="both"/>
              <w:rPr>
                <w:color w:val="auto"/>
                <w:sz w:val="28"/>
                <w:szCs w:val="28"/>
              </w:rPr>
            </w:pPr>
            <w:r w:rsidRPr="00D02409">
              <w:rPr>
                <w:color w:val="auto"/>
                <w:sz w:val="28"/>
                <w:szCs w:val="28"/>
              </w:rPr>
              <w:t>Ministru kabinets nosaka institūciju, kura, sākot ar 2014.</w:t>
            </w:r>
            <w:r w:rsidR="00966EBC">
              <w:rPr>
                <w:color w:val="auto"/>
                <w:sz w:val="28"/>
                <w:szCs w:val="28"/>
              </w:rPr>
              <w:t xml:space="preserve"> </w:t>
            </w:r>
            <w:r w:rsidRPr="00D02409">
              <w:rPr>
                <w:color w:val="auto"/>
                <w:sz w:val="28"/>
                <w:szCs w:val="28"/>
              </w:rPr>
              <w:t>gada 1.</w:t>
            </w:r>
            <w:r w:rsidR="00966EBC">
              <w:rPr>
                <w:color w:val="auto"/>
                <w:sz w:val="28"/>
                <w:szCs w:val="28"/>
              </w:rPr>
              <w:t xml:space="preserve"> </w:t>
            </w:r>
            <w:r w:rsidRPr="00D02409">
              <w:rPr>
                <w:color w:val="auto"/>
                <w:sz w:val="28"/>
                <w:szCs w:val="28"/>
              </w:rPr>
              <w:t>martu, valsts vārdā slēdz lauku zemes izpirkuma (pirkuma) līgumus un kontrolē šo līgumu izpildi</w:t>
            </w:r>
            <w:r>
              <w:rPr>
                <w:color w:val="auto"/>
                <w:sz w:val="28"/>
                <w:szCs w:val="28"/>
              </w:rPr>
              <w:t xml:space="preserve"> (Likuma</w:t>
            </w:r>
            <w:r w:rsidRPr="00D02409">
              <w:rPr>
                <w:color w:val="auto"/>
                <w:sz w:val="28"/>
                <w:szCs w:val="28"/>
              </w:rPr>
              <w:t xml:space="preserve"> 23.</w:t>
            </w:r>
            <w:r w:rsidR="00966EBC">
              <w:rPr>
                <w:color w:val="auto"/>
                <w:sz w:val="28"/>
                <w:szCs w:val="28"/>
              </w:rPr>
              <w:t xml:space="preserve"> </w:t>
            </w:r>
            <w:r w:rsidRPr="00D02409">
              <w:rPr>
                <w:color w:val="auto"/>
                <w:sz w:val="28"/>
                <w:szCs w:val="28"/>
              </w:rPr>
              <w:t>panta 11</w:t>
            </w:r>
            <w:r w:rsidR="00966EBC">
              <w:rPr>
                <w:color w:val="auto"/>
                <w:sz w:val="28"/>
                <w:szCs w:val="28"/>
              </w:rPr>
              <w:t>.</w:t>
            </w:r>
            <w:r w:rsidRPr="00D02409">
              <w:rPr>
                <w:color w:val="auto"/>
                <w:sz w:val="28"/>
                <w:szCs w:val="28"/>
                <w:vertAlign w:val="superscript"/>
              </w:rPr>
              <w:t>2</w:t>
            </w:r>
            <w:r>
              <w:rPr>
                <w:color w:val="auto"/>
                <w:sz w:val="28"/>
                <w:szCs w:val="28"/>
              </w:rPr>
              <w:t xml:space="preserve"> daļa);</w:t>
            </w:r>
          </w:p>
          <w:p w:rsidR="00C25577" w:rsidRPr="00C25577" w:rsidRDefault="00AD1C47" w:rsidP="004032D7">
            <w:pPr>
              <w:pStyle w:val="tv2131"/>
              <w:numPr>
                <w:ilvl w:val="0"/>
                <w:numId w:val="8"/>
              </w:numPr>
              <w:spacing w:line="240" w:lineRule="auto"/>
              <w:ind w:left="375"/>
              <w:jc w:val="both"/>
              <w:rPr>
                <w:color w:val="auto"/>
                <w:sz w:val="28"/>
                <w:szCs w:val="28"/>
              </w:rPr>
            </w:pPr>
            <w:r w:rsidRPr="00AD1C47">
              <w:rPr>
                <w:color w:val="auto"/>
                <w:sz w:val="28"/>
                <w:szCs w:val="28"/>
              </w:rPr>
              <w:t>Ministru kabinets nosaka institūciju, kura, sākot ar 2014.</w:t>
            </w:r>
            <w:r w:rsidR="00966EBC">
              <w:rPr>
                <w:color w:val="auto"/>
                <w:sz w:val="28"/>
                <w:szCs w:val="28"/>
              </w:rPr>
              <w:t xml:space="preserve"> </w:t>
            </w:r>
            <w:r w:rsidRPr="00AD1C47">
              <w:rPr>
                <w:color w:val="auto"/>
                <w:sz w:val="28"/>
                <w:szCs w:val="28"/>
              </w:rPr>
              <w:t>gada 1.</w:t>
            </w:r>
            <w:r w:rsidR="00966EBC">
              <w:rPr>
                <w:color w:val="auto"/>
                <w:sz w:val="28"/>
                <w:szCs w:val="28"/>
              </w:rPr>
              <w:t xml:space="preserve"> </w:t>
            </w:r>
            <w:r w:rsidRPr="00AD1C47">
              <w:rPr>
                <w:color w:val="auto"/>
                <w:sz w:val="28"/>
                <w:szCs w:val="28"/>
              </w:rPr>
              <w:t>martu, valsts vārdā valsts vārdā slēdz pilsētu zemes izpirkuma (pirkuma) līgumus un kontrolē šo līgumu izpildi.</w:t>
            </w:r>
            <w:r w:rsidRPr="00D02409">
              <w:rPr>
                <w:color w:val="auto"/>
                <w:sz w:val="28"/>
                <w:szCs w:val="28"/>
              </w:rPr>
              <w:t xml:space="preserve"> </w:t>
            </w:r>
            <w:r>
              <w:rPr>
                <w:color w:val="auto"/>
                <w:sz w:val="28"/>
                <w:szCs w:val="28"/>
              </w:rPr>
              <w:t xml:space="preserve">(Likuma </w:t>
            </w:r>
            <w:r w:rsidRPr="00D02409">
              <w:rPr>
                <w:color w:val="auto"/>
                <w:sz w:val="28"/>
                <w:szCs w:val="28"/>
              </w:rPr>
              <w:t>24.</w:t>
            </w:r>
            <w:r w:rsidR="00966EBC">
              <w:rPr>
                <w:color w:val="auto"/>
                <w:sz w:val="28"/>
                <w:szCs w:val="28"/>
              </w:rPr>
              <w:t xml:space="preserve"> </w:t>
            </w:r>
            <w:r w:rsidRPr="00D02409">
              <w:rPr>
                <w:color w:val="auto"/>
                <w:sz w:val="28"/>
                <w:szCs w:val="28"/>
              </w:rPr>
              <w:t>panta 4</w:t>
            </w:r>
            <w:r w:rsidR="00966EBC">
              <w:rPr>
                <w:color w:val="auto"/>
                <w:sz w:val="28"/>
                <w:szCs w:val="28"/>
              </w:rPr>
              <w:t>.</w:t>
            </w:r>
            <w:r w:rsidRPr="00D02409">
              <w:rPr>
                <w:color w:val="auto"/>
                <w:sz w:val="28"/>
                <w:szCs w:val="28"/>
                <w:vertAlign w:val="superscript"/>
              </w:rPr>
              <w:t>1</w:t>
            </w:r>
            <w:r>
              <w:rPr>
                <w:color w:val="auto"/>
                <w:sz w:val="28"/>
                <w:szCs w:val="28"/>
              </w:rPr>
              <w:t xml:space="preserve"> daļa).</w:t>
            </w:r>
            <w:r w:rsidR="001472BF">
              <w:rPr>
                <w:color w:val="auto"/>
                <w:sz w:val="28"/>
                <w:szCs w:val="28"/>
              </w:rPr>
              <w:t xml:space="preserve"> </w:t>
            </w:r>
          </w:p>
          <w:p w:rsidR="00C25577" w:rsidRDefault="00C25577" w:rsidP="00C25577">
            <w:pPr>
              <w:pStyle w:val="FootnoteText"/>
              <w:spacing w:after="120"/>
              <w:ind w:right="91"/>
              <w:jc w:val="both"/>
              <w:rPr>
                <w:sz w:val="28"/>
                <w:szCs w:val="28"/>
              </w:rPr>
            </w:pPr>
            <w:r w:rsidRPr="00D02409">
              <w:rPr>
                <w:sz w:val="28"/>
                <w:szCs w:val="28"/>
              </w:rPr>
              <w:lastRenderedPageBreak/>
              <w:t>Valsts pārvaldes iekārtas likuma 40.</w:t>
            </w:r>
            <w:r w:rsidR="00966EBC">
              <w:rPr>
                <w:sz w:val="28"/>
                <w:szCs w:val="28"/>
              </w:rPr>
              <w:t xml:space="preserve"> </w:t>
            </w:r>
            <w:r w:rsidRPr="00D02409">
              <w:rPr>
                <w:sz w:val="28"/>
                <w:szCs w:val="28"/>
              </w:rPr>
              <w:t>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w:t>
            </w:r>
            <w:r w:rsidR="00966EBC">
              <w:rPr>
                <w:sz w:val="28"/>
                <w:szCs w:val="28"/>
              </w:rPr>
              <w:t xml:space="preserve"> </w:t>
            </w:r>
            <w:r w:rsidRPr="00D02409">
              <w:rPr>
                <w:sz w:val="28"/>
                <w:szCs w:val="28"/>
              </w:rPr>
              <w:t>panta otrās un trešās daļas noteikumus.</w:t>
            </w:r>
          </w:p>
          <w:p w:rsidR="001472BF" w:rsidRPr="00206F08" w:rsidRDefault="001472BF" w:rsidP="001472BF">
            <w:pPr>
              <w:jc w:val="both"/>
              <w:rPr>
                <w:sz w:val="28"/>
                <w:szCs w:val="28"/>
              </w:rPr>
            </w:pPr>
            <w:r w:rsidRPr="00D02409">
              <w:rPr>
                <w:sz w:val="28"/>
                <w:szCs w:val="28"/>
              </w:rPr>
              <w:t xml:space="preserve">Ievērojot minēto, Finanšu ministrija ir </w:t>
            </w:r>
            <w:r w:rsidR="00382F59">
              <w:rPr>
                <w:sz w:val="28"/>
                <w:szCs w:val="28"/>
              </w:rPr>
              <w:t>sagatavojusi N</w:t>
            </w:r>
            <w:r w:rsidRPr="00D02409">
              <w:rPr>
                <w:sz w:val="28"/>
                <w:szCs w:val="28"/>
              </w:rPr>
              <w:t>oteikumu projektu, kas paredz deleģēt</w:t>
            </w:r>
            <w:r w:rsidRPr="004E6E70">
              <w:rPr>
                <w:sz w:val="28"/>
                <w:szCs w:val="28"/>
              </w:rPr>
              <w:t xml:space="preserve"> </w:t>
            </w:r>
            <w:r w:rsidR="00966EBC" w:rsidRPr="005A2773">
              <w:rPr>
                <w:sz w:val="28"/>
                <w:szCs w:val="28"/>
              </w:rPr>
              <w:t xml:space="preserve"> Attīstības finanšu institūcija</w:t>
            </w:r>
            <w:r w:rsidR="00966EBC">
              <w:rPr>
                <w:sz w:val="28"/>
                <w:szCs w:val="28"/>
              </w:rPr>
              <w:t>i</w:t>
            </w:r>
            <w:r w:rsidR="00966EBC" w:rsidRPr="005A2773">
              <w:rPr>
                <w:sz w:val="28"/>
                <w:szCs w:val="28"/>
              </w:rPr>
              <w:t xml:space="preserve"> </w:t>
            </w:r>
            <w:proofErr w:type="spellStart"/>
            <w:r w:rsidR="00966EBC" w:rsidRPr="005A2773">
              <w:rPr>
                <w:sz w:val="28"/>
                <w:szCs w:val="28"/>
              </w:rPr>
              <w:t>Altum</w:t>
            </w:r>
            <w:proofErr w:type="spellEnd"/>
            <w:r w:rsidR="00966EBC" w:rsidRPr="004E6E70" w:rsidDel="00966EBC">
              <w:rPr>
                <w:sz w:val="28"/>
                <w:szCs w:val="28"/>
              </w:rPr>
              <w:t xml:space="preserve"> </w:t>
            </w:r>
            <w:r w:rsidRPr="00D02409">
              <w:rPr>
                <w:sz w:val="28"/>
                <w:szCs w:val="28"/>
              </w:rPr>
              <w:t>valsts pārvaldes uzdevumu</w:t>
            </w:r>
            <w:r>
              <w:rPr>
                <w:sz w:val="28"/>
                <w:szCs w:val="28"/>
              </w:rPr>
              <w:t xml:space="preserve"> - </w:t>
            </w:r>
            <w:r w:rsidRPr="00206F08">
              <w:rPr>
                <w:sz w:val="28"/>
                <w:szCs w:val="28"/>
              </w:rPr>
              <w:t>zemes izpirkuma (pirkuma) līgumu slēgšanu, šo līgumu izpildes kontroli un neizpirktās zemes nodošanu pašvaldības īpašumā</w:t>
            </w:r>
            <w:r w:rsidR="008F37CC" w:rsidRPr="00D02409">
              <w:rPr>
                <w:sz w:val="28"/>
                <w:szCs w:val="28"/>
              </w:rPr>
              <w:t xml:space="preserve"> </w:t>
            </w:r>
            <w:r w:rsidR="008F37CC">
              <w:rPr>
                <w:sz w:val="28"/>
                <w:szCs w:val="28"/>
              </w:rPr>
              <w:t>(turpmāk - Deleģētais valsts pārvaldes uzdevums)</w:t>
            </w:r>
            <w:r w:rsidRPr="00206F08">
              <w:rPr>
                <w:sz w:val="28"/>
                <w:szCs w:val="28"/>
              </w:rPr>
              <w:t>.</w:t>
            </w:r>
          </w:p>
          <w:p w:rsidR="001472BF" w:rsidRPr="00206F08" w:rsidRDefault="001472BF" w:rsidP="00D03C69">
            <w:pPr>
              <w:jc w:val="both"/>
              <w:rPr>
                <w:sz w:val="28"/>
                <w:szCs w:val="28"/>
              </w:rPr>
            </w:pPr>
            <w:r>
              <w:rPr>
                <w:sz w:val="28"/>
                <w:szCs w:val="28"/>
              </w:rPr>
              <w:t>Deleģējums</w:t>
            </w:r>
            <w:r w:rsidRPr="00206F08">
              <w:rPr>
                <w:sz w:val="28"/>
                <w:szCs w:val="28"/>
              </w:rPr>
              <w:t xml:space="preserve"> ietver:</w:t>
            </w:r>
          </w:p>
          <w:p w:rsidR="001472BF" w:rsidRPr="00206F08" w:rsidRDefault="001472BF" w:rsidP="00D03C69">
            <w:pPr>
              <w:pStyle w:val="ListParagraph"/>
              <w:numPr>
                <w:ilvl w:val="0"/>
                <w:numId w:val="7"/>
              </w:numPr>
              <w:spacing w:line="240" w:lineRule="auto"/>
              <w:ind w:left="375"/>
              <w:jc w:val="both"/>
              <w:rPr>
                <w:rFonts w:ascii="Times New Roman" w:hAnsi="Times New Roman"/>
                <w:sz w:val="28"/>
                <w:szCs w:val="28"/>
              </w:rPr>
            </w:pPr>
            <w:r>
              <w:rPr>
                <w:rFonts w:ascii="Times New Roman" w:hAnsi="Times New Roman"/>
                <w:sz w:val="28"/>
                <w:szCs w:val="28"/>
              </w:rPr>
              <w:t>valsts vārdā slēgt</w:t>
            </w:r>
            <w:r w:rsidRPr="00206F08">
              <w:rPr>
                <w:rFonts w:ascii="Times New Roman" w:hAnsi="Times New Roman"/>
                <w:sz w:val="28"/>
                <w:szCs w:val="28"/>
              </w:rPr>
              <w:t xml:space="preserve"> lauku zemes izpirkuma (pirkuma) līgumus un kontrolē</w:t>
            </w:r>
            <w:r>
              <w:rPr>
                <w:rFonts w:ascii="Times New Roman" w:hAnsi="Times New Roman"/>
                <w:sz w:val="28"/>
                <w:szCs w:val="28"/>
              </w:rPr>
              <w:t>t</w:t>
            </w:r>
            <w:r w:rsidRPr="00206F08">
              <w:rPr>
                <w:rFonts w:ascii="Times New Roman" w:hAnsi="Times New Roman"/>
                <w:sz w:val="28"/>
                <w:szCs w:val="28"/>
              </w:rPr>
              <w:t xml:space="preserve"> šo līgumu izpildi.</w:t>
            </w:r>
          </w:p>
          <w:p w:rsidR="004032D7" w:rsidRDefault="001472BF" w:rsidP="004032D7">
            <w:pPr>
              <w:pStyle w:val="ListParagraph"/>
              <w:numPr>
                <w:ilvl w:val="0"/>
                <w:numId w:val="7"/>
              </w:numPr>
              <w:spacing w:after="0" w:line="240" w:lineRule="auto"/>
              <w:ind w:left="375"/>
              <w:jc w:val="both"/>
              <w:rPr>
                <w:rFonts w:ascii="Times New Roman" w:hAnsi="Times New Roman"/>
                <w:sz w:val="28"/>
                <w:szCs w:val="28"/>
              </w:rPr>
            </w:pPr>
            <w:r>
              <w:rPr>
                <w:rFonts w:ascii="Times New Roman" w:hAnsi="Times New Roman"/>
                <w:sz w:val="28"/>
                <w:szCs w:val="28"/>
              </w:rPr>
              <w:t>valsts vārdā slēgt</w:t>
            </w:r>
            <w:r w:rsidRPr="00206F08">
              <w:rPr>
                <w:rFonts w:ascii="Times New Roman" w:hAnsi="Times New Roman"/>
                <w:sz w:val="28"/>
                <w:szCs w:val="28"/>
              </w:rPr>
              <w:t xml:space="preserve"> pilsētu zemes izpirkuma (pirkuma) līgumus un </w:t>
            </w:r>
            <w:r w:rsidRPr="004032D7">
              <w:rPr>
                <w:rFonts w:ascii="Times New Roman" w:hAnsi="Times New Roman"/>
                <w:sz w:val="28"/>
                <w:szCs w:val="28"/>
              </w:rPr>
              <w:t>kontrolēt šo līgumu izpildi.</w:t>
            </w:r>
          </w:p>
          <w:p w:rsidR="00C25577" w:rsidRPr="004032D7" w:rsidRDefault="00C25577" w:rsidP="004032D7">
            <w:pPr>
              <w:ind w:left="15"/>
              <w:jc w:val="both"/>
              <w:rPr>
                <w:sz w:val="28"/>
                <w:szCs w:val="28"/>
              </w:rPr>
            </w:pPr>
            <w:r w:rsidRPr="004032D7">
              <w:rPr>
                <w:sz w:val="28"/>
                <w:szCs w:val="28"/>
              </w:rPr>
              <w:t>Cita starpā jānorāda, ka saskaņā ar Valsts pārvaldes iekārtas likuma 7.</w:t>
            </w:r>
            <w:r w:rsidR="00966EBC">
              <w:rPr>
                <w:sz w:val="28"/>
                <w:szCs w:val="28"/>
              </w:rPr>
              <w:t xml:space="preserve"> </w:t>
            </w:r>
            <w:r w:rsidRPr="004032D7">
              <w:rPr>
                <w:sz w:val="28"/>
                <w:szCs w:val="28"/>
              </w:rPr>
              <w:t>panta trešo daļu padotību īsteno pakļautības vai pārraudzības formā. Savukārt atbilstoši šī panta piektajai daļai pārraudzība nozīmē augstākas iestādes vai amatpersonas tiesības pārbaudīt zemākas iestādes vai amatpersonas lēmuma tiesiskumu un atcelt prettiesisku lēmumu, kā arī prettiesiskas bezdarbības gadījumā dot rīkojumu pieņemt lēmumu.</w:t>
            </w:r>
          </w:p>
          <w:p w:rsidR="00382F59" w:rsidRPr="00D02409" w:rsidRDefault="00382F59" w:rsidP="00C25577">
            <w:pPr>
              <w:jc w:val="both"/>
              <w:rPr>
                <w:sz w:val="28"/>
                <w:szCs w:val="28"/>
              </w:rPr>
            </w:pPr>
            <w:r>
              <w:rPr>
                <w:sz w:val="28"/>
                <w:szCs w:val="28"/>
              </w:rPr>
              <w:t>Tā kā N</w:t>
            </w:r>
            <w:r w:rsidR="00C25577" w:rsidRPr="00D02409">
              <w:rPr>
                <w:sz w:val="28"/>
                <w:szCs w:val="28"/>
              </w:rPr>
              <w:t xml:space="preserve">oteikumu projektā un tam pievienotajā deleģēšanas līgumā jau šobrīd ir iestrādāti pietiekami kontroles mehānismi, lai uzraudzītu </w:t>
            </w:r>
            <w:r w:rsidR="00C25577" w:rsidRPr="005A2773">
              <w:rPr>
                <w:sz w:val="28"/>
                <w:szCs w:val="28"/>
              </w:rPr>
              <w:t xml:space="preserve">Attīstības finanšu institūcija </w:t>
            </w:r>
            <w:proofErr w:type="spellStart"/>
            <w:r w:rsidR="00C25577" w:rsidRPr="005A2773">
              <w:rPr>
                <w:sz w:val="28"/>
                <w:szCs w:val="28"/>
              </w:rPr>
              <w:t>Altum</w:t>
            </w:r>
            <w:proofErr w:type="spellEnd"/>
            <w:r w:rsidR="00C25577" w:rsidRPr="00D02409">
              <w:rPr>
                <w:sz w:val="28"/>
                <w:szCs w:val="28"/>
              </w:rPr>
              <w:t xml:space="preserve"> valsts pārvaldes </w:t>
            </w:r>
            <w:r w:rsidR="00C25577" w:rsidRPr="00D02409">
              <w:rPr>
                <w:sz w:val="28"/>
                <w:szCs w:val="28"/>
              </w:rPr>
              <w:lastRenderedPageBreak/>
              <w:t>deleģētā uzdevuma izpildē, tad Valsts pārvaldes iekārtas likumā esošā pārraudzības forma ir atbilstoša, lai kontrolētu deleģēto valsts pārvaldes uzdevumu izpildi.</w:t>
            </w:r>
          </w:p>
          <w:p w:rsidR="006748AB" w:rsidRDefault="00382F59" w:rsidP="008F37CC">
            <w:pPr>
              <w:pStyle w:val="tv2131"/>
              <w:spacing w:line="240" w:lineRule="auto"/>
              <w:ind w:firstLine="0"/>
              <w:jc w:val="both"/>
              <w:rPr>
                <w:color w:val="auto"/>
                <w:sz w:val="28"/>
                <w:szCs w:val="28"/>
              </w:rPr>
            </w:pPr>
            <w:r>
              <w:rPr>
                <w:color w:val="auto"/>
                <w:sz w:val="28"/>
                <w:szCs w:val="28"/>
              </w:rPr>
              <w:t>Tāpat N</w:t>
            </w:r>
            <w:r w:rsidR="008F37CC" w:rsidRPr="008F37CC">
              <w:rPr>
                <w:color w:val="auto"/>
                <w:sz w:val="28"/>
                <w:szCs w:val="28"/>
              </w:rPr>
              <w:t>oteikumu projekts paredz apstip</w:t>
            </w:r>
            <w:r w:rsidR="000F4197">
              <w:rPr>
                <w:color w:val="auto"/>
                <w:sz w:val="28"/>
                <w:szCs w:val="28"/>
              </w:rPr>
              <w:t xml:space="preserve">rināt līguma projektu, ko </w:t>
            </w:r>
            <w:r w:rsidR="0025009C">
              <w:rPr>
                <w:color w:val="auto"/>
                <w:sz w:val="28"/>
                <w:szCs w:val="28"/>
              </w:rPr>
              <w:t>Ekonomikas ministrija, Finanšu ministrija</w:t>
            </w:r>
            <w:r w:rsidR="008F37CC" w:rsidRPr="008F37CC">
              <w:rPr>
                <w:color w:val="auto"/>
                <w:sz w:val="28"/>
                <w:szCs w:val="28"/>
              </w:rPr>
              <w:t xml:space="preserve"> noslēgtu ar Attīstības finanšu institūcija </w:t>
            </w:r>
            <w:proofErr w:type="spellStart"/>
            <w:r w:rsidR="008F37CC" w:rsidRPr="008F37CC">
              <w:rPr>
                <w:color w:val="auto"/>
                <w:sz w:val="28"/>
                <w:szCs w:val="28"/>
              </w:rPr>
              <w:t>Altum</w:t>
            </w:r>
            <w:proofErr w:type="spellEnd"/>
            <w:r w:rsidR="008F37CC" w:rsidRPr="008F37CC">
              <w:rPr>
                <w:color w:val="auto"/>
                <w:sz w:val="28"/>
                <w:szCs w:val="28"/>
              </w:rPr>
              <w:t xml:space="preserve"> par Deleģētā valsts pārvaldes uzdevuma izpildi. </w:t>
            </w:r>
          </w:p>
          <w:p w:rsidR="00A225EF" w:rsidRDefault="006748AB" w:rsidP="008F37CC">
            <w:pPr>
              <w:pStyle w:val="tv2131"/>
              <w:spacing w:line="240" w:lineRule="auto"/>
              <w:ind w:firstLine="0"/>
              <w:jc w:val="both"/>
              <w:rPr>
                <w:color w:val="auto"/>
                <w:sz w:val="28"/>
                <w:szCs w:val="28"/>
              </w:rPr>
            </w:pPr>
            <w:r>
              <w:rPr>
                <w:color w:val="auto"/>
                <w:sz w:val="28"/>
                <w:szCs w:val="28"/>
              </w:rPr>
              <w:t>P</w:t>
            </w:r>
            <w:r w:rsidR="008F37CC" w:rsidRPr="008F37CC">
              <w:rPr>
                <w:color w:val="auto"/>
                <w:sz w:val="28"/>
                <w:szCs w:val="28"/>
              </w:rPr>
              <w:t xml:space="preserve">aredzēts pilnvarot </w:t>
            </w:r>
            <w:r w:rsidR="0025009C">
              <w:rPr>
                <w:color w:val="auto"/>
                <w:sz w:val="28"/>
                <w:szCs w:val="28"/>
              </w:rPr>
              <w:t>Ekonomikas</w:t>
            </w:r>
            <w:r>
              <w:rPr>
                <w:color w:val="auto"/>
                <w:sz w:val="28"/>
                <w:szCs w:val="28"/>
              </w:rPr>
              <w:t xml:space="preserve"> ministriju slēgt Līgumu valsts vārdā</w:t>
            </w:r>
            <w:r w:rsidR="008F37CC" w:rsidRPr="008F37CC">
              <w:rPr>
                <w:color w:val="auto"/>
                <w:sz w:val="28"/>
                <w:szCs w:val="28"/>
              </w:rPr>
              <w:t>. Līgums nosaka valsts pārvaldes uzdevuma izpildes kārtību un informācijas sniegšanu par tā izpildi, kā arī pārvaldes uzdevuma izpildes finansēšanas kārtība. Citā starpā saskaņā ar līguma noteikumiem katra puse var vienpusēji uzteikt valsts pārvaldes uzdevuma izpildi, iesniedzot raksti</w:t>
            </w:r>
            <w:r w:rsidR="006D1F78">
              <w:rPr>
                <w:color w:val="auto"/>
                <w:sz w:val="28"/>
                <w:szCs w:val="28"/>
              </w:rPr>
              <w:t>sku pieteikumu otrai pusei sešus</w:t>
            </w:r>
            <w:r w:rsidR="008F37CC" w:rsidRPr="008F37CC">
              <w:rPr>
                <w:color w:val="auto"/>
                <w:sz w:val="28"/>
                <w:szCs w:val="28"/>
              </w:rPr>
              <w:t xml:space="preserve"> mēnešus iepriekš.</w:t>
            </w:r>
            <w:r w:rsidR="006D1F78">
              <w:rPr>
                <w:color w:val="auto"/>
                <w:sz w:val="28"/>
                <w:szCs w:val="28"/>
              </w:rPr>
              <w:t xml:space="preserve"> </w:t>
            </w:r>
            <w:r w:rsidR="006D1F78" w:rsidRPr="006D1F78">
              <w:rPr>
                <w:color w:val="auto"/>
                <w:sz w:val="28"/>
                <w:szCs w:val="28"/>
              </w:rPr>
              <w:t>Šādi tiek ievērots objektīvs termiņš, kādā deleģēto valsts pārvaldes uzdevumu varētu nodot citai personai vai iestādei.</w:t>
            </w:r>
          </w:p>
          <w:p w:rsidR="009F54C6" w:rsidRDefault="00966EBC" w:rsidP="009F54C6">
            <w:pPr>
              <w:pStyle w:val="tv2131"/>
              <w:spacing w:line="240" w:lineRule="auto"/>
              <w:ind w:firstLine="0"/>
              <w:jc w:val="both"/>
              <w:rPr>
                <w:color w:val="auto"/>
                <w:sz w:val="28"/>
                <w:szCs w:val="28"/>
              </w:rPr>
            </w:pPr>
            <w:r w:rsidRPr="005A2773">
              <w:rPr>
                <w:color w:val="auto"/>
                <w:sz w:val="28"/>
                <w:szCs w:val="28"/>
              </w:rPr>
              <w:t xml:space="preserve">Attīstības finanšu institūcija </w:t>
            </w:r>
            <w:proofErr w:type="spellStart"/>
            <w:r w:rsidRPr="005A2773">
              <w:rPr>
                <w:color w:val="auto"/>
                <w:sz w:val="28"/>
                <w:szCs w:val="28"/>
              </w:rPr>
              <w:t>Altum</w:t>
            </w:r>
            <w:proofErr w:type="spellEnd"/>
            <w:r w:rsidRPr="00290EB3" w:rsidDel="00966EBC">
              <w:rPr>
                <w:color w:val="auto"/>
                <w:sz w:val="28"/>
                <w:szCs w:val="28"/>
              </w:rPr>
              <w:t xml:space="preserve"> </w:t>
            </w:r>
            <w:r w:rsidR="00556EA7" w:rsidRPr="00290EB3">
              <w:rPr>
                <w:color w:val="auto"/>
                <w:sz w:val="28"/>
                <w:szCs w:val="28"/>
              </w:rPr>
              <w:t xml:space="preserve">ir Latvijā reģistrēta valsts kapitālsabiedrība, kura zaudējusi </w:t>
            </w:r>
            <w:r w:rsidR="00556EA7" w:rsidRPr="009F54C6">
              <w:rPr>
                <w:color w:val="auto"/>
                <w:sz w:val="28"/>
                <w:szCs w:val="28"/>
              </w:rPr>
              <w:t xml:space="preserve">Latvijā reģistrētas kredītiestādes statusu. </w:t>
            </w:r>
            <w:r w:rsidR="009F54C6" w:rsidRPr="009F54C6">
              <w:rPr>
                <w:color w:val="auto"/>
                <w:sz w:val="28"/>
                <w:szCs w:val="28"/>
              </w:rPr>
              <w:t>Līgumā 7.2.</w:t>
            </w:r>
            <w:r>
              <w:rPr>
                <w:color w:val="auto"/>
                <w:sz w:val="28"/>
                <w:szCs w:val="28"/>
              </w:rPr>
              <w:t xml:space="preserve"> </w:t>
            </w:r>
            <w:r w:rsidR="009F54C6" w:rsidRPr="009F54C6">
              <w:rPr>
                <w:color w:val="auto"/>
                <w:sz w:val="28"/>
                <w:szCs w:val="28"/>
              </w:rPr>
              <w:t xml:space="preserve">apakšpunkts paredzētais nosacījums, ka „attiecībā uz informācijas sniegšanu trešajām personām par zemes izpircēju noslēgtajiem zemes izpirkuma (pirkuma) līgumiem tiek piemēroti Kredītiestāžu likuma noteikumi”, ir iekļauts zemes izpircēju interešu aizstāvībai, ņemot vērā to, ka iepriekš zemes izpirkuma (pirkuma) līgumu slēgšanu un administrēšanu veica kredītiestāde. Šajā gadījumā </w:t>
            </w:r>
            <w:r w:rsidRPr="005A2773">
              <w:rPr>
                <w:color w:val="auto"/>
                <w:sz w:val="28"/>
                <w:szCs w:val="28"/>
              </w:rPr>
              <w:t xml:space="preserve"> Attīstības finanšu institūcija </w:t>
            </w:r>
            <w:proofErr w:type="spellStart"/>
            <w:r w:rsidRPr="005A2773">
              <w:rPr>
                <w:color w:val="auto"/>
                <w:sz w:val="28"/>
                <w:szCs w:val="28"/>
              </w:rPr>
              <w:t>Altum</w:t>
            </w:r>
            <w:proofErr w:type="spellEnd"/>
            <w:r w:rsidRPr="009F54C6" w:rsidDel="00966EBC">
              <w:rPr>
                <w:color w:val="auto"/>
                <w:sz w:val="28"/>
                <w:szCs w:val="28"/>
              </w:rPr>
              <w:t xml:space="preserve"> </w:t>
            </w:r>
            <w:r w:rsidR="009F54C6" w:rsidRPr="009F54C6">
              <w:rPr>
                <w:color w:val="auto"/>
                <w:sz w:val="28"/>
                <w:szCs w:val="28"/>
              </w:rPr>
              <w:t xml:space="preserve"> piemērotu Kredītiestāžu likuma 61., 62. un 63. pantu, sniedzot informāciju trešajām personām par zemes </w:t>
            </w:r>
            <w:proofErr w:type="spellStart"/>
            <w:r w:rsidR="009F54C6" w:rsidRPr="009F54C6">
              <w:rPr>
                <w:color w:val="auto"/>
                <w:sz w:val="28"/>
                <w:szCs w:val="28"/>
              </w:rPr>
              <w:t>izpircēju</w:t>
            </w:r>
            <w:proofErr w:type="spellEnd"/>
            <w:r w:rsidR="009F54C6" w:rsidRPr="009F54C6">
              <w:rPr>
                <w:color w:val="auto"/>
                <w:sz w:val="28"/>
                <w:szCs w:val="28"/>
              </w:rPr>
              <w:t xml:space="preserve"> veiktajiem darījumiem, </w:t>
            </w:r>
            <w:r w:rsidR="009F54C6" w:rsidRPr="009F54C6">
              <w:rPr>
                <w:color w:val="auto"/>
                <w:sz w:val="28"/>
                <w:szCs w:val="28"/>
              </w:rPr>
              <w:lastRenderedPageBreak/>
              <w:t>t.sk., par zemes izpirkuma (pirkuma) līguma noslēgšanas faktu.</w:t>
            </w:r>
            <w:r w:rsidR="0051487D">
              <w:rPr>
                <w:color w:val="auto"/>
                <w:sz w:val="28"/>
                <w:szCs w:val="28"/>
              </w:rPr>
              <w:t xml:space="preserve"> </w:t>
            </w:r>
          </w:p>
          <w:p w:rsidR="00A225EF" w:rsidRPr="00A225EF" w:rsidRDefault="00966EBC" w:rsidP="00A225EF">
            <w:pPr>
              <w:jc w:val="both"/>
              <w:rPr>
                <w:sz w:val="28"/>
                <w:szCs w:val="28"/>
              </w:rPr>
            </w:pPr>
            <w:r w:rsidRPr="005A2773">
              <w:rPr>
                <w:sz w:val="28"/>
                <w:szCs w:val="28"/>
              </w:rPr>
              <w:t xml:space="preserve">Attīstības finanšu institūcija </w:t>
            </w:r>
            <w:proofErr w:type="spellStart"/>
            <w:r w:rsidRPr="005A2773">
              <w:rPr>
                <w:sz w:val="28"/>
                <w:szCs w:val="28"/>
              </w:rPr>
              <w:t>Altum</w:t>
            </w:r>
            <w:proofErr w:type="spellEnd"/>
            <w:r w:rsidRPr="00A225EF" w:rsidDel="00966EBC">
              <w:rPr>
                <w:sz w:val="28"/>
                <w:szCs w:val="28"/>
              </w:rPr>
              <w:t xml:space="preserve"> </w:t>
            </w:r>
            <w:r w:rsidR="00A225EF" w:rsidRPr="00A225EF">
              <w:rPr>
                <w:sz w:val="28"/>
                <w:szCs w:val="28"/>
              </w:rPr>
              <w:t xml:space="preserve"> provizorisko izmaksu detalizēts aprēķins par uzdevuma izpildi 2014. gadā, veicot likumā noteiktās darbības zemes reformas jomā, ir pievienots Līguma par lauku un pilsētas zemes izpirkuma (pirkuma) līguma slēgšanas, šo līgumu izpildes kontroles un neizpirktās zemes nodošanas pašvaldību īpašumā uzdevuma izpildi projekta 1. pielikumā. </w:t>
            </w:r>
          </w:p>
          <w:p w:rsidR="00A225EF" w:rsidRPr="00A225EF" w:rsidRDefault="00A225EF" w:rsidP="00A225EF">
            <w:pPr>
              <w:jc w:val="both"/>
              <w:rPr>
                <w:sz w:val="28"/>
                <w:szCs w:val="28"/>
              </w:rPr>
            </w:pPr>
            <w:r w:rsidRPr="00A225EF">
              <w:rPr>
                <w:sz w:val="28"/>
                <w:szCs w:val="28"/>
              </w:rPr>
              <w:t>Saskaņā ar līguma projekta 2.2.3. punktu pakalpojuma sniedzējs (</w:t>
            </w:r>
            <w:r w:rsidR="00966EBC" w:rsidRPr="005A2773">
              <w:rPr>
                <w:sz w:val="28"/>
                <w:szCs w:val="28"/>
              </w:rPr>
              <w:t xml:space="preserve"> Attīstības finanšu institūcija </w:t>
            </w:r>
            <w:proofErr w:type="spellStart"/>
            <w:r w:rsidR="00966EBC" w:rsidRPr="005A2773">
              <w:rPr>
                <w:sz w:val="28"/>
                <w:szCs w:val="28"/>
              </w:rPr>
              <w:t>Altum</w:t>
            </w:r>
            <w:proofErr w:type="spellEnd"/>
            <w:r w:rsidR="00966EBC" w:rsidRPr="00A225EF" w:rsidDel="00966EBC">
              <w:rPr>
                <w:sz w:val="28"/>
                <w:szCs w:val="28"/>
              </w:rPr>
              <w:t xml:space="preserve"> </w:t>
            </w:r>
            <w:r w:rsidRPr="00A225EF">
              <w:rPr>
                <w:sz w:val="28"/>
                <w:szCs w:val="28"/>
              </w:rPr>
              <w:t xml:space="preserve">) 15 dienu laikā pēc kārtējā ceturkšņa beigām iesniedz ministrijā pārskatu par valsts pārvades uzdevuma veikšanu un </w:t>
            </w:r>
            <w:r w:rsidRPr="00A225EF">
              <w:rPr>
                <w:sz w:val="28"/>
                <w:szCs w:val="28"/>
                <w:u w:val="single"/>
              </w:rPr>
              <w:t>faktisko finanšu līdzekļu izlietojumu</w:t>
            </w:r>
            <w:r w:rsidRPr="00A225EF">
              <w:rPr>
                <w:sz w:val="28"/>
                <w:szCs w:val="28"/>
              </w:rPr>
              <w:t>, ņemot vērā gūtos ieņēmumus, tādējādi nav lietderīgi veidot vēl detalizētāku provizorisko izmaksu aprēķinu, jo nepieciešamības gadījumā tas tiks sniegts ceturkšņa pārskatos.</w:t>
            </w:r>
          </w:p>
          <w:p w:rsidR="00A225EF" w:rsidRDefault="00A225EF" w:rsidP="00A225EF">
            <w:pPr>
              <w:jc w:val="both"/>
              <w:rPr>
                <w:sz w:val="28"/>
                <w:szCs w:val="28"/>
              </w:rPr>
            </w:pPr>
            <w:r w:rsidRPr="00A225EF">
              <w:rPr>
                <w:sz w:val="28"/>
                <w:szCs w:val="28"/>
              </w:rPr>
              <w:t xml:space="preserve">Neskatoties uz to, ka paredzamās izmaksas ir norādītas izdevumu tāmē, </w:t>
            </w:r>
            <w:proofErr w:type="spellStart"/>
            <w:r w:rsidRPr="00A225EF">
              <w:rPr>
                <w:sz w:val="28"/>
                <w:szCs w:val="28"/>
              </w:rPr>
              <w:t>protokollēmumā</w:t>
            </w:r>
            <w:proofErr w:type="spellEnd"/>
            <w:r w:rsidRPr="00A225EF">
              <w:rPr>
                <w:sz w:val="28"/>
                <w:szCs w:val="28"/>
              </w:rPr>
              <w:t xml:space="preserve"> ir izstrādāts punkts par izmaksu apmēru, jo tādējādi paredzamo izmaksu apmērs tiek fiksēts jau pirms līguma noslēgšanas, kas veicinās līguma noslēgšanu.</w:t>
            </w:r>
          </w:p>
          <w:p w:rsidR="00A225EF" w:rsidRPr="00A225EF" w:rsidRDefault="00A225EF" w:rsidP="00A225EF">
            <w:pPr>
              <w:jc w:val="both"/>
              <w:rPr>
                <w:sz w:val="28"/>
                <w:szCs w:val="28"/>
              </w:rPr>
            </w:pPr>
          </w:p>
          <w:p w:rsidR="00A225EF" w:rsidRPr="00A225EF" w:rsidRDefault="00A225EF" w:rsidP="00A225EF">
            <w:pPr>
              <w:jc w:val="both"/>
              <w:rPr>
                <w:sz w:val="28"/>
                <w:szCs w:val="28"/>
              </w:rPr>
            </w:pPr>
            <w:r w:rsidRPr="00A225EF">
              <w:rPr>
                <w:sz w:val="28"/>
                <w:szCs w:val="28"/>
              </w:rPr>
              <w:t xml:space="preserve">Ņemot vērā, ka </w:t>
            </w:r>
            <w:r w:rsidR="00966EBC" w:rsidRPr="005A2773">
              <w:rPr>
                <w:sz w:val="28"/>
                <w:szCs w:val="28"/>
              </w:rPr>
              <w:t xml:space="preserve"> Attīstības finanšu institūcija </w:t>
            </w:r>
            <w:proofErr w:type="spellStart"/>
            <w:r w:rsidR="00966EBC" w:rsidRPr="005A2773">
              <w:rPr>
                <w:sz w:val="28"/>
                <w:szCs w:val="28"/>
              </w:rPr>
              <w:t>Altum</w:t>
            </w:r>
            <w:proofErr w:type="spellEnd"/>
            <w:r w:rsidR="00966EBC" w:rsidRPr="00A225EF" w:rsidDel="00966EBC">
              <w:rPr>
                <w:sz w:val="28"/>
                <w:szCs w:val="28"/>
              </w:rPr>
              <w:t xml:space="preserve"> </w:t>
            </w:r>
            <w:r w:rsidRPr="00A225EF">
              <w:rPr>
                <w:sz w:val="28"/>
                <w:szCs w:val="28"/>
              </w:rPr>
              <w:t xml:space="preserve"> likumā noteiktās darbības zemes reformas jomā īsteno kopš 2014. gada 1. februāra, kad Valsts un pašvaldību īpašuma privatizācijas un privatizācijas sertifikātu izmantošanas pabeigšanas likumā stājās spēkā attiecīgie grozījumi, paredzot, ka </w:t>
            </w:r>
            <w:r w:rsidR="00966EBC" w:rsidRPr="005A2773">
              <w:rPr>
                <w:sz w:val="28"/>
                <w:szCs w:val="28"/>
              </w:rPr>
              <w:t xml:space="preserve"> Attīstības finanšu institūcija </w:t>
            </w:r>
            <w:proofErr w:type="spellStart"/>
            <w:r w:rsidR="00966EBC" w:rsidRPr="005A2773">
              <w:rPr>
                <w:sz w:val="28"/>
                <w:szCs w:val="28"/>
              </w:rPr>
              <w:t>Altum</w:t>
            </w:r>
            <w:proofErr w:type="spellEnd"/>
            <w:r w:rsidR="00966EBC" w:rsidRPr="00A225EF" w:rsidDel="00966EBC">
              <w:rPr>
                <w:sz w:val="28"/>
                <w:szCs w:val="28"/>
              </w:rPr>
              <w:t xml:space="preserve"> </w:t>
            </w:r>
            <w:r w:rsidRPr="00A225EF">
              <w:rPr>
                <w:sz w:val="28"/>
                <w:szCs w:val="28"/>
              </w:rPr>
              <w:t xml:space="preserve"> nodrošina zemes izpirkšanas (pirkšanas) procesu līdz brīdim, kad Ministru kabinets nosaka institūciju, kura pildīs šajā likumā noteikto valsts pārvaldes uzdevumu, savukārt kopš 2014. gada 1. </w:t>
            </w:r>
            <w:r w:rsidRPr="00A225EF">
              <w:rPr>
                <w:sz w:val="28"/>
                <w:szCs w:val="28"/>
              </w:rPr>
              <w:lastRenderedPageBreak/>
              <w:t xml:space="preserve">janvāra </w:t>
            </w:r>
            <w:r w:rsidR="00966EBC" w:rsidRPr="005A2773">
              <w:rPr>
                <w:sz w:val="28"/>
                <w:szCs w:val="28"/>
              </w:rPr>
              <w:t xml:space="preserve"> Attīstības finanšu institūcija </w:t>
            </w:r>
            <w:proofErr w:type="spellStart"/>
            <w:r w:rsidR="00966EBC" w:rsidRPr="005A2773">
              <w:rPr>
                <w:sz w:val="28"/>
                <w:szCs w:val="28"/>
              </w:rPr>
              <w:t>Altum</w:t>
            </w:r>
            <w:proofErr w:type="spellEnd"/>
            <w:r w:rsidR="00966EBC" w:rsidRPr="00A225EF" w:rsidDel="00966EBC">
              <w:rPr>
                <w:sz w:val="28"/>
                <w:szCs w:val="28"/>
              </w:rPr>
              <w:t xml:space="preserve"> </w:t>
            </w:r>
            <w:r w:rsidRPr="00A225EF">
              <w:rPr>
                <w:sz w:val="28"/>
                <w:szCs w:val="28"/>
              </w:rPr>
              <w:t xml:space="preserve">, kā Hipotēku bankas saistību pārņēmēja, ir turpinājusi esošo un potenciālo zemes izpircēju konsultēšanu un iesniegumu pieņemšanu un atbilžu sniegšanu, izmaksu tāme ir sastādīta par visu 2014. gadu. </w:t>
            </w:r>
          </w:p>
          <w:p w:rsidR="00A225EF" w:rsidRDefault="00A225EF" w:rsidP="00A225EF">
            <w:pPr>
              <w:jc w:val="both"/>
              <w:rPr>
                <w:sz w:val="28"/>
                <w:szCs w:val="28"/>
              </w:rPr>
            </w:pPr>
            <w:r w:rsidRPr="00A225EF">
              <w:rPr>
                <w:sz w:val="28"/>
                <w:szCs w:val="28"/>
              </w:rPr>
              <w:t xml:space="preserve">Jāņem vērā ka </w:t>
            </w:r>
            <w:r w:rsidR="00966EBC" w:rsidRPr="005A2773">
              <w:rPr>
                <w:sz w:val="28"/>
                <w:szCs w:val="28"/>
              </w:rPr>
              <w:t xml:space="preserve"> Attīstības finanšu institūcija </w:t>
            </w:r>
            <w:proofErr w:type="spellStart"/>
            <w:r w:rsidR="00966EBC" w:rsidRPr="005A2773">
              <w:rPr>
                <w:sz w:val="28"/>
                <w:szCs w:val="28"/>
              </w:rPr>
              <w:t>Altum</w:t>
            </w:r>
            <w:proofErr w:type="spellEnd"/>
            <w:r w:rsidR="00966EBC" w:rsidRPr="00A225EF" w:rsidDel="00966EBC">
              <w:rPr>
                <w:sz w:val="28"/>
                <w:szCs w:val="28"/>
              </w:rPr>
              <w:t xml:space="preserve"> </w:t>
            </w:r>
            <w:r w:rsidRPr="00A225EF">
              <w:rPr>
                <w:sz w:val="28"/>
                <w:szCs w:val="28"/>
              </w:rPr>
              <w:t xml:space="preserve"> valsts pārvaldes uzdevumu zemes reformas jomā ir pildījusi </w:t>
            </w:r>
            <w:proofErr w:type="spellStart"/>
            <w:r w:rsidRPr="00A225EF">
              <w:rPr>
                <w:i/>
                <w:iCs/>
                <w:sz w:val="28"/>
                <w:szCs w:val="28"/>
              </w:rPr>
              <w:t>de</w:t>
            </w:r>
            <w:proofErr w:type="spellEnd"/>
            <w:r w:rsidRPr="00A225EF">
              <w:rPr>
                <w:i/>
                <w:iCs/>
                <w:sz w:val="28"/>
                <w:szCs w:val="28"/>
              </w:rPr>
              <w:t xml:space="preserve"> </w:t>
            </w:r>
            <w:proofErr w:type="spellStart"/>
            <w:r w:rsidRPr="00A225EF">
              <w:rPr>
                <w:i/>
                <w:iCs/>
                <w:sz w:val="28"/>
                <w:szCs w:val="28"/>
              </w:rPr>
              <w:t>facto</w:t>
            </w:r>
            <w:proofErr w:type="spellEnd"/>
            <w:r w:rsidRPr="00A225EF">
              <w:rPr>
                <w:sz w:val="28"/>
                <w:szCs w:val="28"/>
              </w:rPr>
              <w:t xml:space="preserve"> kopš šī gada sākuma un to turpina pildīt arī šobrīd vispārējā sabiedriskā labuma sasniegšanai, un šī uzdevuma veikšana rada izmaksas. Tā kā Valsts un pašvaldību īpašuma privatizācijas un privatizācijas sertifikātu izmantošanas pabeigšanas likumā noteikts, ka izdevumi, kas saistīti ar likumā noteikto uzdevuma izpildi, tiek segti, līdz ar to </w:t>
            </w:r>
            <w:r w:rsidR="00966EBC" w:rsidRPr="005A2773">
              <w:rPr>
                <w:sz w:val="28"/>
                <w:szCs w:val="28"/>
              </w:rPr>
              <w:t xml:space="preserve"> Attīstības finanšu institūcija </w:t>
            </w:r>
            <w:proofErr w:type="spellStart"/>
            <w:r w:rsidR="00966EBC" w:rsidRPr="005A2773">
              <w:rPr>
                <w:sz w:val="28"/>
                <w:szCs w:val="28"/>
              </w:rPr>
              <w:t>Altum</w:t>
            </w:r>
            <w:proofErr w:type="spellEnd"/>
            <w:r w:rsidR="00966EBC" w:rsidRPr="00A225EF" w:rsidDel="00966EBC">
              <w:rPr>
                <w:sz w:val="28"/>
                <w:szCs w:val="28"/>
              </w:rPr>
              <w:t xml:space="preserve"> </w:t>
            </w:r>
            <w:r w:rsidRPr="00A225EF">
              <w:rPr>
                <w:sz w:val="28"/>
                <w:szCs w:val="28"/>
              </w:rPr>
              <w:t xml:space="preserve"> būtu tiesīga sagaidīt, ka tai tiek segtas tai radušās izmaksas. Arī šis ir iemesls, kādēļ </w:t>
            </w:r>
            <w:proofErr w:type="spellStart"/>
            <w:r w:rsidRPr="00A225EF">
              <w:rPr>
                <w:sz w:val="28"/>
                <w:szCs w:val="28"/>
              </w:rPr>
              <w:t>protokollēmumā</w:t>
            </w:r>
            <w:proofErr w:type="spellEnd"/>
            <w:r w:rsidRPr="00A225EF">
              <w:rPr>
                <w:sz w:val="28"/>
                <w:szCs w:val="28"/>
              </w:rPr>
              <w:t xml:space="preserve"> jāsaglabā 3. punkts. Nepieciešamības gadījumā izmaksu tāme var tikt precizēta pirms līguma parakstīšanas, nepārsniedzot </w:t>
            </w:r>
            <w:proofErr w:type="spellStart"/>
            <w:r w:rsidRPr="00A225EF">
              <w:rPr>
                <w:sz w:val="28"/>
                <w:szCs w:val="28"/>
              </w:rPr>
              <w:t>protokollēmuma</w:t>
            </w:r>
            <w:proofErr w:type="spellEnd"/>
            <w:r w:rsidRPr="00A225EF">
              <w:rPr>
                <w:sz w:val="28"/>
                <w:szCs w:val="28"/>
              </w:rPr>
              <w:t xml:space="preserve"> 3. punktā noteikto apmēru.</w:t>
            </w:r>
          </w:p>
          <w:p w:rsidR="0068023B" w:rsidRPr="00A225EF" w:rsidRDefault="0068023B" w:rsidP="005E505A">
            <w:pPr>
              <w:jc w:val="both"/>
              <w:rPr>
                <w:rFonts w:ascii="Century Gothic" w:hAnsi="Century Gothic"/>
                <w:color w:val="1F497D"/>
              </w:rPr>
            </w:pPr>
            <w:r>
              <w:rPr>
                <w:sz w:val="28"/>
                <w:szCs w:val="28"/>
              </w:rPr>
              <w:t>L</w:t>
            </w:r>
            <w:r w:rsidRPr="0068023B">
              <w:rPr>
                <w:sz w:val="28"/>
                <w:szCs w:val="28"/>
              </w:rPr>
              <w:t>ielākā daļa zemes izpirkuma (pirkuma</w:t>
            </w:r>
            <w:r>
              <w:rPr>
                <w:sz w:val="28"/>
                <w:szCs w:val="28"/>
              </w:rPr>
              <w:t>)</w:t>
            </w:r>
            <w:r w:rsidRPr="0068023B">
              <w:rPr>
                <w:sz w:val="28"/>
                <w:szCs w:val="28"/>
              </w:rPr>
              <w:t xml:space="preserve"> līgumu </w:t>
            </w:r>
            <w:r>
              <w:rPr>
                <w:sz w:val="28"/>
                <w:szCs w:val="28"/>
              </w:rPr>
              <w:t>noslēgšana saistīta ar lauku apvidus zemes izpirkšanu. Z</w:t>
            </w:r>
            <w:r w:rsidRPr="009F54C6">
              <w:rPr>
                <w:sz w:val="28"/>
                <w:szCs w:val="28"/>
              </w:rPr>
              <w:t>emes izpirkuma (pirkuma) līgum</w:t>
            </w:r>
            <w:r>
              <w:rPr>
                <w:sz w:val="28"/>
                <w:szCs w:val="28"/>
              </w:rPr>
              <w:t xml:space="preserve">us par lauku apvidus zemes izpirkšanu slēdz pamatojoties uz Valsts zemes dienesta pieņemtajiem lēmumiem par lauku apvidus zemes piešķiršanu īpašumā par samaksu. Lai nodrošinātu operatīvu </w:t>
            </w:r>
            <w:r w:rsidR="005E505A">
              <w:rPr>
                <w:sz w:val="28"/>
                <w:szCs w:val="28"/>
              </w:rPr>
              <w:t>zemes izpirkuma (pirkuma) līguma noslēgšanas procesu</w:t>
            </w:r>
            <w:r>
              <w:rPr>
                <w:sz w:val="28"/>
                <w:szCs w:val="28"/>
              </w:rPr>
              <w:t xml:space="preserve"> gadījumos, kad </w:t>
            </w:r>
            <w:r w:rsidR="00966EBC" w:rsidRPr="005A2773">
              <w:rPr>
                <w:sz w:val="28"/>
                <w:szCs w:val="28"/>
              </w:rPr>
              <w:t xml:space="preserve">Attīstības finanšu institūcija </w:t>
            </w:r>
            <w:proofErr w:type="spellStart"/>
            <w:r w:rsidR="00966EBC" w:rsidRPr="005A2773">
              <w:rPr>
                <w:sz w:val="28"/>
                <w:szCs w:val="28"/>
              </w:rPr>
              <w:t>Altum</w:t>
            </w:r>
            <w:proofErr w:type="spellEnd"/>
            <w:r w:rsidR="00966EBC">
              <w:rPr>
                <w:sz w:val="28"/>
                <w:szCs w:val="28"/>
              </w:rPr>
              <w:t xml:space="preserve"> nevar </w:t>
            </w:r>
            <w:r w:rsidR="005E505A">
              <w:rPr>
                <w:sz w:val="28"/>
                <w:szCs w:val="28"/>
              </w:rPr>
              <w:t xml:space="preserve">zemes pirkuma (izpirkuma) līgumu </w:t>
            </w:r>
            <w:r w:rsidR="00966EBC">
              <w:rPr>
                <w:sz w:val="28"/>
                <w:szCs w:val="28"/>
              </w:rPr>
              <w:t xml:space="preserve">noslēgt </w:t>
            </w:r>
            <w:r w:rsidR="005E505A">
              <w:rPr>
                <w:sz w:val="28"/>
                <w:szCs w:val="28"/>
              </w:rPr>
              <w:t>balstoties</w:t>
            </w:r>
            <w:r w:rsidR="00966EBC">
              <w:rPr>
                <w:sz w:val="28"/>
                <w:szCs w:val="28"/>
              </w:rPr>
              <w:t xml:space="preserve"> uz Valsts zemes dienesta pieņemtā lēmuma, </w:t>
            </w:r>
            <w:r w:rsidR="005E505A">
              <w:rPr>
                <w:sz w:val="28"/>
                <w:szCs w:val="28"/>
              </w:rPr>
              <w:t>N</w:t>
            </w:r>
            <w:r w:rsidR="00966EBC">
              <w:rPr>
                <w:sz w:val="28"/>
                <w:szCs w:val="28"/>
              </w:rPr>
              <w:t xml:space="preserve">oteikumu projektā </w:t>
            </w:r>
            <w:r w:rsidR="005E505A">
              <w:rPr>
                <w:sz w:val="28"/>
                <w:szCs w:val="28"/>
              </w:rPr>
              <w:t>paredzēts noteikts, ka Tieslietu ministrija, kuras pakļautībā atrodas Valsts zemes dienests, nodrošina Valsts zemes dienesta   un Attīstības finanšu institūcijas</w:t>
            </w:r>
            <w:r w:rsidR="005E505A" w:rsidRPr="005A2773">
              <w:rPr>
                <w:sz w:val="28"/>
                <w:szCs w:val="28"/>
              </w:rPr>
              <w:t xml:space="preserve"> </w:t>
            </w:r>
            <w:proofErr w:type="spellStart"/>
            <w:r w:rsidR="005E505A" w:rsidRPr="005A2773">
              <w:rPr>
                <w:sz w:val="28"/>
                <w:szCs w:val="28"/>
              </w:rPr>
              <w:t>Altum</w:t>
            </w:r>
            <w:proofErr w:type="spellEnd"/>
            <w:r w:rsidR="005E505A">
              <w:rPr>
                <w:sz w:val="28"/>
                <w:szCs w:val="28"/>
              </w:rPr>
              <w:t xml:space="preserve"> </w:t>
            </w:r>
            <w:r w:rsidR="005E505A">
              <w:rPr>
                <w:sz w:val="28"/>
                <w:szCs w:val="28"/>
              </w:rPr>
              <w:lastRenderedPageBreak/>
              <w:t>sadarbību.</w:t>
            </w:r>
            <w:r w:rsidR="007B4B61">
              <w:rPr>
                <w:sz w:val="28"/>
                <w:szCs w:val="28"/>
              </w:rPr>
              <w:t xml:space="preserve"> Tādējādi tiks nodrošināta Valsts zemes dienesta sadarbība tam noteiktās kompetences ietvaros ar </w:t>
            </w:r>
            <w:r w:rsidR="007B4B61">
              <w:t xml:space="preserve"> </w:t>
            </w:r>
            <w:r w:rsidR="007B4B61">
              <w:rPr>
                <w:sz w:val="28"/>
                <w:szCs w:val="28"/>
              </w:rPr>
              <w:t>Attīstības finanšu institūciju</w:t>
            </w:r>
            <w:r w:rsidR="007B4B61" w:rsidRPr="007B4B61">
              <w:rPr>
                <w:sz w:val="28"/>
                <w:szCs w:val="28"/>
              </w:rPr>
              <w:t xml:space="preserve"> </w:t>
            </w:r>
            <w:proofErr w:type="spellStart"/>
            <w:r w:rsidR="007B4B61" w:rsidRPr="007B4B61">
              <w:rPr>
                <w:sz w:val="28"/>
                <w:szCs w:val="28"/>
              </w:rPr>
              <w:t>Altum</w:t>
            </w:r>
            <w:proofErr w:type="spellEnd"/>
            <w:r w:rsidR="007B4B61">
              <w:rPr>
                <w:sz w:val="28"/>
                <w:szCs w:val="28"/>
              </w:rPr>
              <w:t>.</w:t>
            </w:r>
          </w:p>
        </w:tc>
      </w:tr>
      <w:tr w:rsidR="00D02409" w:rsidRPr="00D02409" w:rsidTr="009E5675">
        <w:trPr>
          <w:trHeight w:val="736"/>
        </w:trPr>
        <w:tc>
          <w:tcPr>
            <w:tcW w:w="550" w:type="dxa"/>
          </w:tcPr>
          <w:p w:rsidR="00F6571B" w:rsidRPr="00D02409" w:rsidRDefault="00F6571B" w:rsidP="00E2648C">
            <w:pPr>
              <w:pStyle w:val="naiskr"/>
              <w:spacing w:before="0" w:after="0"/>
              <w:rPr>
                <w:sz w:val="28"/>
                <w:szCs w:val="28"/>
              </w:rPr>
            </w:pPr>
            <w:r w:rsidRPr="00D02409">
              <w:rPr>
                <w:sz w:val="28"/>
                <w:szCs w:val="28"/>
              </w:rPr>
              <w:lastRenderedPageBreak/>
              <w:t>3.</w:t>
            </w:r>
          </w:p>
        </w:tc>
        <w:tc>
          <w:tcPr>
            <w:tcW w:w="4335" w:type="dxa"/>
          </w:tcPr>
          <w:p w:rsidR="00F6571B" w:rsidRPr="00D02409" w:rsidRDefault="00F6571B" w:rsidP="00E2648C">
            <w:pPr>
              <w:pStyle w:val="naiskr"/>
              <w:spacing w:before="0" w:after="0"/>
              <w:rPr>
                <w:sz w:val="28"/>
                <w:szCs w:val="28"/>
              </w:rPr>
            </w:pPr>
            <w:r w:rsidRPr="00D02409">
              <w:rPr>
                <w:sz w:val="28"/>
                <w:szCs w:val="28"/>
              </w:rPr>
              <w:t>Projekta izstrādē iesaistītās institūcijas</w:t>
            </w:r>
          </w:p>
        </w:tc>
        <w:tc>
          <w:tcPr>
            <w:tcW w:w="4860" w:type="dxa"/>
          </w:tcPr>
          <w:p w:rsidR="00F6571B" w:rsidRPr="00D02409" w:rsidRDefault="00D03C69" w:rsidP="00E2648C">
            <w:pPr>
              <w:pStyle w:val="FootnoteText"/>
              <w:rPr>
                <w:sz w:val="28"/>
                <w:szCs w:val="28"/>
              </w:rPr>
            </w:pPr>
            <w:r w:rsidRPr="005A2773">
              <w:rPr>
                <w:sz w:val="28"/>
                <w:szCs w:val="28"/>
              </w:rPr>
              <w:t xml:space="preserve">valsts akciju sabiedrība "Latvijas Attīstības finanšu institūcija </w:t>
            </w:r>
            <w:proofErr w:type="spellStart"/>
            <w:r w:rsidRPr="005A2773">
              <w:rPr>
                <w:sz w:val="28"/>
                <w:szCs w:val="28"/>
              </w:rPr>
              <w:t>Altum</w:t>
            </w:r>
            <w:proofErr w:type="spellEnd"/>
            <w:r w:rsidRPr="005A2773">
              <w:rPr>
                <w:sz w:val="28"/>
                <w:szCs w:val="28"/>
              </w:rPr>
              <w:t>"</w:t>
            </w:r>
          </w:p>
        </w:tc>
      </w:tr>
      <w:tr w:rsidR="00D02409" w:rsidRPr="00D02409" w:rsidTr="009E5675">
        <w:tc>
          <w:tcPr>
            <w:tcW w:w="550" w:type="dxa"/>
          </w:tcPr>
          <w:p w:rsidR="00F6571B" w:rsidRPr="00D02409" w:rsidRDefault="00F6571B" w:rsidP="00E2648C">
            <w:pPr>
              <w:pStyle w:val="naiskr"/>
              <w:spacing w:before="0" w:after="0"/>
              <w:rPr>
                <w:sz w:val="28"/>
                <w:szCs w:val="28"/>
              </w:rPr>
            </w:pPr>
            <w:r w:rsidRPr="00D02409">
              <w:rPr>
                <w:sz w:val="28"/>
                <w:szCs w:val="28"/>
              </w:rPr>
              <w:t>4.</w:t>
            </w:r>
          </w:p>
        </w:tc>
        <w:tc>
          <w:tcPr>
            <w:tcW w:w="4335" w:type="dxa"/>
          </w:tcPr>
          <w:p w:rsidR="00F6571B" w:rsidRPr="00D02409" w:rsidRDefault="00F6571B" w:rsidP="00E2648C">
            <w:pPr>
              <w:pStyle w:val="naiskr"/>
              <w:spacing w:before="0" w:after="0"/>
              <w:rPr>
                <w:sz w:val="28"/>
                <w:szCs w:val="28"/>
              </w:rPr>
            </w:pPr>
            <w:r w:rsidRPr="00D02409">
              <w:rPr>
                <w:sz w:val="28"/>
                <w:szCs w:val="28"/>
              </w:rPr>
              <w:t>Cita informācija</w:t>
            </w:r>
          </w:p>
        </w:tc>
        <w:tc>
          <w:tcPr>
            <w:tcW w:w="4860" w:type="dxa"/>
          </w:tcPr>
          <w:p w:rsidR="00F6571B" w:rsidRPr="00D02409" w:rsidRDefault="00D03C69" w:rsidP="00D03C69">
            <w:pPr>
              <w:pStyle w:val="naiskr"/>
              <w:spacing w:before="0" w:after="0"/>
              <w:jc w:val="both"/>
              <w:rPr>
                <w:sz w:val="28"/>
                <w:szCs w:val="28"/>
              </w:rPr>
            </w:pPr>
            <w:r>
              <w:rPr>
                <w:sz w:val="28"/>
                <w:szCs w:val="28"/>
              </w:rPr>
              <w:t xml:space="preserve">Nav </w:t>
            </w:r>
            <w:r w:rsidR="003C3E06">
              <w:rPr>
                <w:sz w:val="28"/>
                <w:szCs w:val="28"/>
              </w:rPr>
              <w:t>attiecināms</w:t>
            </w:r>
          </w:p>
        </w:tc>
      </w:tr>
    </w:tbl>
    <w:p w:rsidR="002377A6" w:rsidRPr="002377A6" w:rsidRDefault="002377A6" w:rsidP="002377A6"/>
    <w:p w:rsidR="009A2290" w:rsidRDefault="009A2290"/>
    <w:p w:rsidR="009A2290" w:rsidRDefault="009A2290"/>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5131"/>
        <w:gridCol w:w="4083"/>
      </w:tblGrid>
      <w:tr w:rsidR="00A44CE5" w:rsidRPr="0093291B" w:rsidTr="00A44CE5">
        <w:tc>
          <w:tcPr>
            <w:tcW w:w="9782" w:type="dxa"/>
            <w:gridSpan w:val="3"/>
            <w:vAlign w:val="center"/>
          </w:tcPr>
          <w:p w:rsidR="00A44CE5" w:rsidRPr="0093291B" w:rsidRDefault="00A44CE5" w:rsidP="00A44CE5">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A44CE5" w:rsidRPr="0093291B" w:rsidTr="00A44CE5">
        <w:trPr>
          <w:trHeight w:val="467"/>
        </w:trPr>
        <w:tc>
          <w:tcPr>
            <w:tcW w:w="568" w:type="dxa"/>
          </w:tcPr>
          <w:p w:rsidR="00A44CE5" w:rsidRPr="0093291B" w:rsidRDefault="00A44CE5" w:rsidP="00A44CE5">
            <w:pPr>
              <w:pStyle w:val="naiskr"/>
              <w:spacing w:before="0" w:after="0"/>
              <w:rPr>
                <w:sz w:val="28"/>
                <w:szCs w:val="28"/>
              </w:rPr>
            </w:pPr>
            <w:r w:rsidRPr="0093291B">
              <w:rPr>
                <w:sz w:val="28"/>
                <w:szCs w:val="28"/>
              </w:rPr>
              <w:t>1.</w:t>
            </w:r>
          </w:p>
        </w:tc>
        <w:tc>
          <w:tcPr>
            <w:tcW w:w="5131" w:type="dxa"/>
          </w:tcPr>
          <w:p w:rsidR="00A44CE5" w:rsidRPr="0093291B" w:rsidRDefault="00A44CE5" w:rsidP="00A44CE5">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083" w:type="dxa"/>
          </w:tcPr>
          <w:p w:rsidR="00A44CE5" w:rsidRPr="0093291B" w:rsidRDefault="00A44CE5" w:rsidP="00A44CE5">
            <w:pPr>
              <w:pStyle w:val="naiskr"/>
              <w:spacing w:before="120" w:after="120"/>
              <w:jc w:val="both"/>
              <w:rPr>
                <w:iCs/>
                <w:sz w:val="28"/>
                <w:szCs w:val="28"/>
              </w:rPr>
            </w:pPr>
            <w:r>
              <w:rPr>
                <w:sz w:val="28"/>
                <w:szCs w:val="28"/>
              </w:rPr>
              <w:t>V</w:t>
            </w:r>
            <w:r w:rsidRPr="005A2773">
              <w:rPr>
                <w:sz w:val="28"/>
                <w:szCs w:val="28"/>
              </w:rPr>
              <w:t xml:space="preserve">alsts akciju sabiedrība "Latvijas Attīstības finanšu institūcija </w:t>
            </w:r>
            <w:proofErr w:type="spellStart"/>
            <w:r w:rsidRPr="005A2773">
              <w:rPr>
                <w:sz w:val="28"/>
                <w:szCs w:val="28"/>
              </w:rPr>
              <w:t>Altum</w:t>
            </w:r>
            <w:proofErr w:type="spellEnd"/>
            <w:r w:rsidRPr="005A2773">
              <w:rPr>
                <w:sz w:val="28"/>
                <w:szCs w:val="28"/>
              </w:rPr>
              <w:t>"</w:t>
            </w:r>
            <w:r>
              <w:rPr>
                <w:sz w:val="28"/>
                <w:szCs w:val="28"/>
              </w:rPr>
              <w:t xml:space="preserve"> veicot </w:t>
            </w:r>
            <w:r w:rsidRPr="00206F08">
              <w:rPr>
                <w:sz w:val="28"/>
                <w:szCs w:val="28"/>
              </w:rPr>
              <w:t>zemes izpirkuma (pirkuma) līgumu slēgšanu, šo līgumu izpildes kontroli un neizpirktās zemes nodošanu pašvaldības īpašumā</w:t>
            </w:r>
          </w:p>
        </w:tc>
      </w:tr>
      <w:tr w:rsidR="00A44CE5" w:rsidRPr="0093291B" w:rsidTr="00A44CE5">
        <w:trPr>
          <w:trHeight w:val="523"/>
        </w:trPr>
        <w:tc>
          <w:tcPr>
            <w:tcW w:w="568" w:type="dxa"/>
          </w:tcPr>
          <w:p w:rsidR="00A44CE5" w:rsidRPr="0093291B" w:rsidRDefault="00A44CE5" w:rsidP="00A44CE5">
            <w:pPr>
              <w:pStyle w:val="naiskr"/>
              <w:spacing w:before="0" w:after="0"/>
              <w:rPr>
                <w:sz w:val="28"/>
                <w:szCs w:val="28"/>
              </w:rPr>
            </w:pPr>
            <w:r w:rsidRPr="0093291B">
              <w:rPr>
                <w:sz w:val="28"/>
                <w:szCs w:val="28"/>
              </w:rPr>
              <w:t>2.</w:t>
            </w:r>
          </w:p>
        </w:tc>
        <w:tc>
          <w:tcPr>
            <w:tcW w:w="5131" w:type="dxa"/>
          </w:tcPr>
          <w:p w:rsidR="00A44CE5" w:rsidRPr="0093291B" w:rsidRDefault="00A44CE5" w:rsidP="00A44CE5">
            <w:pPr>
              <w:pStyle w:val="naiskr"/>
              <w:spacing w:before="0" w:after="0"/>
              <w:rPr>
                <w:sz w:val="28"/>
                <w:szCs w:val="28"/>
              </w:rPr>
            </w:pPr>
            <w:r w:rsidRPr="0093291B">
              <w:rPr>
                <w:sz w:val="28"/>
                <w:szCs w:val="28"/>
              </w:rPr>
              <w:t>Tiesiskā regulējuma ietekme uz tautsaimniecību un administratīvo slogu</w:t>
            </w:r>
          </w:p>
        </w:tc>
        <w:tc>
          <w:tcPr>
            <w:tcW w:w="4083" w:type="dxa"/>
          </w:tcPr>
          <w:p w:rsidR="00A44CE5" w:rsidRPr="0093291B" w:rsidRDefault="00A44CE5" w:rsidP="00A44CE5">
            <w:pPr>
              <w:pStyle w:val="naiskr"/>
              <w:spacing w:before="0" w:after="0"/>
              <w:jc w:val="both"/>
              <w:rPr>
                <w:sz w:val="28"/>
                <w:szCs w:val="28"/>
              </w:rPr>
            </w:pPr>
            <w:r w:rsidRPr="0093291B">
              <w:rPr>
                <w:sz w:val="28"/>
                <w:szCs w:val="28"/>
              </w:rPr>
              <w:t>Nav.</w:t>
            </w:r>
          </w:p>
        </w:tc>
      </w:tr>
      <w:tr w:rsidR="00A44CE5" w:rsidRPr="0093291B" w:rsidTr="00A44CE5">
        <w:trPr>
          <w:trHeight w:val="517"/>
        </w:trPr>
        <w:tc>
          <w:tcPr>
            <w:tcW w:w="568" w:type="dxa"/>
          </w:tcPr>
          <w:p w:rsidR="00A44CE5" w:rsidRPr="0093291B" w:rsidRDefault="00A44CE5" w:rsidP="00A44CE5">
            <w:pPr>
              <w:pStyle w:val="naiskr"/>
              <w:spacing w:before="0" w:after="0"/>
              <w:rPr>
                <w:sz w:val="28"/>
                <w:szCs w:val="28"/>
              </w:rPr>
            </w:pPr>
            <w:r w:rsidRPr="0093291B">
              <w:rPr>
                <w:sz w:val="28"/>
                <w:szCs w:val="28"/>
              </w:rPr>
              <w:t>3.</w:t>
            </w:r>
          </w:p>
        </w:tc>
        <w:tc>
          <w:tcPr>
            <w:tcW w:w="5131" w:type="dxa"/>
          </w:tcPr>
          <w:p w:rsidR="00A44CE5" w:rsidRPr="0093291B" w:rsidRDefault="00A44CE5" w:rsidP="00A44CE5">
            <w:pPr>
              <w:pStyle w:val="naiskr"/>
              <w:spacing w:before="0" w:after="0"/>
              <w:rPr>
                <w:sz w:val="28"/>
                <w:szCs w:val="28"/>
              </w:rPr>
            </w:pPr>
            <w:r w:rsidRPr="0093291B">
              <w:rPr>
                <w:sz w:val="28"/>
                <w:szCs w:val="28"/>
              </w:rPr>
              <w:t>Administratīvo izmaksu monetārs novērtējums</w:t>
            </w:r>
          </w:p>
        </w:tc>
        <w:tc>
          <w:tcPr>
            <w:tcW w:w="4083" w:type="dxa"/>
          </w:tcPr>
          <w:p w:rsidR="00A44CE5" w:rsidRPr="0093291B" w:rsidRDefault="00A44CE5" w:rsidP="00A44CE5">
            <w:pPr>
              <w:pStyle w:val="naiskr"/>
              <w:spacing w:before="120" w:after="120"/>
              <w:rPr>
                <w:sz w:val="28"/>
                <w:szCs w:val="28"/>
              </w:rPr>
            </w:pPr>
            <w:r w:rsidRPr="0093291B">
              <w:rPr>
                <w:sz w:val="28"/>
                <w:szCs w:val="28"/>
              </w:rPr>
              <w:t>Nav.</w:t>
            </w:r>
          </w:p>
          <w:p w:rsidR="00A44CE5" w:rsidRPr="0093291B" w:rsidRDefault="00A44CE5" w:rsidP="00A44CE5">
            <w:pPr>
              <w:pStyle w:val="naiskr"/>
              <w:spacing w:before="120" w:after="120"/>
              <w:rPr>
                <w:sz w:val="28"/>
                <w:szCs w:val="28"/>
              </w:rPr>
            </w:pPr>
          </w:p>
        </w:tc>
      </w:tr>
      <w:tr w:rsidR="00A44CE5" w:rsidRPr="0093291B" w:rsidTr="00A44CE5">
        <w:tc>
          <w:tcPr>
            <w:tcW w:w="568" w:type="dxa"/>
          </w:tcPr>
          <w:p w:rsidR="00A44CE5" w:rsidRPr="0093291B" w:rsidRDefault="00A44CE5" w:rsidP="00A44CE5">
            <w:pPr>
              <w:pStyle w:val="naiskr"/>
              <w:spacing w:before="0" w:after="0"/>
              <w:rPr>
                <w:sz w:val="28"/>
                <w:szCs w:val="28"/>
              </w:rPr>
            </w:pPr>
            <w:r w:rsidRPr="0093291B">
              <w:rPr>
                <w:sz w:val="28"/>
                <w:szCs w:val="28"/>
              </w:rPr>
              <w:t>4.</w:t>
            </w:r>
          </w:p>
        </w:tc>
        <w:tc>
          <w:tcPr>
            <w:tcW w:w="5131" w:type="dxa"/>
          </w:tcPr>
          <w:p w:rsidR="00A44CE5" w:rsidRPr="0093291B" w:rsidRDefault="00A44CE5" w:rsidP="00A44CE5">
            <w:pPr>
              <w:pStyle w:val="naiskr"/>
              <w:spacing w:before="0" w:after="0"/>
              <w:rPr>
                <w:sz w:val="28"/>
                <w:szCs w:val="28"/>
              </w:rPr>
            </w:pPr>
            <w:r w:rsidRPr="0093291B">
              <w:rPr>
                <w:sz w:val="28"/>
                <w:szCs w:val="28"/>
              </w:rPr>
              <w:t>Cita informācija</w:t>
            </w:r>
          </w:p>
        </w:tc>
        <w:tc>
          <w:tcPr>
            <w:tcW w:w="4083" w:type="dxa"/>
          </w:tcPr>
          <w:p w:rsidR="00A44CE5" w:rsidRPr="0093291B" w:rsidRDefault="00A44CE5" w:rsidP="00A44CE5">
            <w:pPr>
              <w:pStyle w:val="naiskr"/>
              <w:spacing w:before="0" w:after="0"/>
              <w:ind w:hanging="13"/>
              <w:jc w:val="both"/>
              <w:rPr>
                <w:sz w:val="28"/>
                <w:szCs w:val="28"/>
              </w:rPr>
            </w:pPr>
            <w:r w:rsidRPr="00C96A0D">
              <w:rPr>
                <w:sz w:val="28"/>
                <w:szCs w:val="28"/>
              </w:rPr>
              <w:t>Nav.</w:t>
            </w:r>
          </w:p>
        </w:tc>
      </w:tr>
    </w:tbl>
    <w:p w:rsidR="00A44CE5" w:rsidRDefault="00A44CE5"/>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462"/>
        <w:gridCol w:w="1587"/>
        <w:gridCol w:w="1357"/>
        <w:gridCol w:w="1701"/>
        <w:gridCol w:w="1706"/>
      </w:tblGrid>
      <w:tr w:rsidR="00E37E21" w:rsidRPr="00E37E21" w:rsidTr="003C3E06">
        <w:trPr>
          <w:trHeight w:val="361"/>
          <w:jc w:val="center"/>
        </w:trPr>
        <w:tc>
          <w:tcPr>
            <w:tcW w:w="9781" w:type="dxa"/>
            <w:gridSpan w:val="6"/>
            <w:vAlign w:val="center"/>
          </w:tcPr>
          <w:p w:rsidR="00E37E21" w:rsidRPr="00E37E21" w:rsidRDefault="00E37E21" w:rsidP="003C3E06">
            <w:pPr>
              <w:pStyle w:val="naisnod"/>
              <w:spacing w:before="0" w:after="0"/>
              <w:rPr>
                <w:b w:val="0"/>
                <w:i/>
                <w:sz w:val="28"/>
                <w:szCs w:val="28"/>
              </w:rPr>
            </w:pPr>
            <w:r w:rsidRPr="00E37E21">
              <w:rPr>
                <w:sz w:val="28"/>
                <w:szCs w:val="28"/>
              </w:rPr>
              <w:br w:type="page"/>
              <w:t>III. Tiesību akta projekta ietekme uz valsts budžetu un pašvaldību budžetiem</w:t>
            </w:r>
          </w:p>
        </w:tc>
      </w:tr>
      <w:tr w:rsidR="00E37E21" w:rsidRPr="00E37E21" w:rsidTr="003C3E06">
        <w:trPr>
          <w:jc w:val="center"/>
        </w:trPr>
        <w:tc>
          <w:tcPr>
            <w:tcW w:w="1968" w:type="dxa"/>
            <w:vMerge w:val="restart"/>
            <w:vAlign w:val="center"/>
          </w:tcPr>
          <w:p w:rsidR="00E37E21" w:rsidRPr="009A2290" w:rsidRDefault="00E37E21" w:rsidP="00E2648C">
            <w:pPr>
              <w:pStyle w:val="naisf"/>
              <w:spacing w:before="0" w:after="0"/>
              <w:jc w:val="center"/>
              <w:rPr>
                <w:b/>
                <w:sz w:val="26"/>
                <w:szCs w:val="26"/>
              </w:rPr>
            </w:pPr>
            <w:r w:rsidRPr="009A2290">
              <w:rPr>
                <w:b/>
                <w:sz w:val="26"/>
                <w:szCs w:val="26"/>
              </w:rPr>
              <w:t>Rādītāji</w:t>
            </w:r>
          </w:p>
        </w:tc>
        <w:tc>
          <w:tcPr>
            <w:tcW w:w="3049" w:type="dxa"/>
            <w:gridSpan w:val="2"/>
            <w:vMerge w:val="restart"/>
            <w:vAlign w:val="center"/>
          </w:tcPr>
          <w:p w:rsidR="00E37E21" w:rsidRPr="009A2290" w:rsidRDefault="00E37E21" w:rsidP="00E2648C">
            <w:pPr>
              <w:pStyle w:val="naisf"/>
              <w:spacing w:before="0" w:after="0"/>
              <w:jc w:val="center"/>
              <w:rPr>
                <w:b/>
                <w:sz w:val="26"/>
                <w:szCs w:val="26"/>
              </w:rPr>
            </w:pPr>
            <w:r w:rsidRPr="009A2290">
              <w:rPr>
                <w:b/>
                <w:sz w:val="26"/>
                <w:szCs w:val="26"/>
              </w:rPr>
              <w:t>2014.gads</w:t>
            </w:r>
          </w:p>
        </w:tc>
        <w:tc>
          <w:tcPr>
            <w:tcW w:w="4764" w:type="dxa"/>
            <w:gridSpan w:val="3"/>
            <w:vAlign w:val="center"/>
          </w:tcPr>
          <w:p w:rsidR="00E37E21" w:rsidRPr="009A2290" w:rsidRDefault="00E37E21" w:rsidP="00E2648C">
            <w:pPr>
              <w:pStyle w:val="naisf"/>
              <w:spacing w:before="0" w:after="0"/>
              <w:jc w:val="center"/>
              <w:rPr>
                <w:b/>
                <w:i/>
                <w:sz w:val="26"/>
                <w:szCs w:val="26"/>
              </w:rPr>
            </w:pPr>
            <w:r w:rsidRPr="009A2290">
              <w:rPr>
                <w:sz w:val="26"/>
                <w:szCs w:val="26"/>
              </w:rPr>
              <w:t>Turpmākie trīs gadi (euro)</w:t>
            </w:r>
          </w:p>
        </w:tc>
      </w:tr>
      <w:tr w:rsidR="00E37E21" w:rsidRPr="00E37E21" w:rsidTr="009A2290">
        <w:trPr>
          <w:jc w:val="center"/>
        </w:trPr>
        <w:tc>
          <w:tcPr>
            <w:tcW w:w="1968" w:type="dxa"/>
            <w:vMerge/>
            <w:vAlign w:val="center"/>
          </w:tcPr>
          <w:p w:rsidR="00E37E21" w:rsidRPr="009A2290" w:rsidRDefault="00E37E21" w:rsidP="00E2648C">
            <w:pPr>
              <w:pStyle w:val="naisf"/>
              <w:spacing w:before="0" w:after="0"/>
              <w:jc w:val="center"/>
              <w:rPr>
                <w:b/>
                <w:i/>
                <w:sz w:val="26"/>
                <w:szCs w:val="26"/>
              </w:rPr>
            </w:pPr>
          </w:p>
        </w:tc>
        <w:tc>
          <w:tcPr>
            <w:tcW w:w="3049" w:type="dxa"/>
            <w:gridSpan w:val="2"/>
            <w:vMerge/>
            <w:vAlign w:val="center"/>
          </w:tcPr>
          <w:p w:rsidR="00E37E21" w:rsidRPr="009A2290" w:rsidRDefault="00E37E21" w:rsidP="00E2648C">
            <w:pPr>
              <w:pStyle w:val="naisf"/>
              <w:spacing w:before="0" w:after="0"/>
              <w:jc w:val="center"/>
              <w:rPr>
                <w:b/>
                <w:i/>
                <w:sz w:val="26"/>
                <w:szCs w:val="26"/>
              </w:rPr>
            </w:pPr>
          </w:p>
        </w:tc>
        <w:tc>
          <w:tcPr>
            <w:tcW w:w="1357" w:type="dxa"/>
            <w:vAlign w:val="center"/>
          </w:tcPr>
          <w:p w:rsidR="00E37E21" w:rsidRPr="009A2290" w:rsidRDefault="00E37E21" w:rsidP="009A2290">
            <w:pPr>
              <w:pStyle w:val="naisf"/>
              <w:spacing w:before="0" w:after="0"/>
              <w:ind w:firstLine="0"/>
              <w:jc w:val="center"/>
              <w:rPr>
                <w:b/>
                <w:i/>
                <w:sz w:val="26"/>
                <w:szCs w:val="26"/>
              </w:rPr>
            </w:pPr>
            <w:r w:rsidRPr="009A2290">
              <w:rPr>
                <w:b/>
                <w:bCs/>
                <w:sz w:val="26"/>
                <w:szCs w:val="26"/>
              </w:rPr>
              <w:t>2015.gads</w:t>
            </w:r>
          </w:p>
        </w:tc>
        <w:tc>
          <w:tcPr>
            <w:tcW w:w="1701" w:type="dxa"/>
            <w:vAlign w:val="center"/>
          </w:tcPr>
          <w:p w:rsidR="00E37E21" w:rsidRPr="009A2290" w:rsidRDefault="00E37E21" w:rsidP="009A2290">
            <w:pPr>
              <w:pStyle w:val="naisf"/>
              <w:spacing w:before="0" w:after="0"/>
              <w:ind w:firstLine="0"/>
              <w:jc w:val="center"/>
              <w:rPr>
                <w:b/>
                <w:i/>
                <w:sz w:val="26"/>
                <w:szCs w:val="26"/>
              </w:rPr>
            </w:pPr>
            <w:r w:rsidRPr="009A2290">
              <w:rPr>
                <w:b/>
                <w:bCs/>
                <w:sz w:val="26"/>
                <w:szCs w:val="26"/>
              </w:rPr>
              <w:t>2016.gads</w:t>
            </w:r>
          </w:p>
        </w:tc>
        <w:tc>
          <w:tcPr>
            <w:tcW w:w="1706" w:type="dxa"/>
            <w:vAlign w:val="center"/>
          </w:tcPr>
          <w:p w:rsidR="00E37E21" w:rsidRPr="009A2290" w:rsidRDefault="00E37E21" w:rsidP="00E2648C">
            <w:pPr>
              <w:pStyle w:val="naisf"/>
              <w:spacing w:before="0" w:after="0"/>
              <w:jc w:val="center"/>
              <w:rPr>
                <w:b/>
                <w:i/>
                <w:sz w:val="26"/>
                <w:szCs w:val="26"/>
              </w:rPr>
            </w:pPr>
            <w:r w:rsidRPr="009A2290">
              <w:rPr>
                <w:b/>
                <w:bCs/>
                <w:sz w:val="26"/>
                <w:szCs w:val="26"/>
              </w:rPr>
              <w:t>2017.gads</w:t>
            </w:r>
          </w:p>
        </w:tc>
      </w:tr>
      <w:tr w:rsidR="00E37E21" w:rsidRPr="00E37E21" w:rsidTr="009A2290">
        <w:trPr>
          <w:jc w:val="center"/>
        </w:trPr>
        <w:tc>
          <w:tcPr>
            <w:tcW w:w="1968" w:type="dxa"/>
            <w:vMerge/>
            <w:vAlign w:val="center"/>
          </w:tcPr>
          <w:p w:rsidR="00E37E21" w:rsidRPr="009A2290" w:rsidRDefault="00E37E21" w:rsidP="00E2648C">
            <w:pPr>
              <w:pStyle w:val="naisf"/>
              <w:spacing w:before="0" w:after="0"/>
              <w:jc w:val="center"/>
              <w:rPr>
                <w:b/>
                <w:i/>
                <w:sz w:val="26"/>
                <w:szCs w:val="26"/>
              </w:rPr>
            </w:pPr>
          </w:p>
        </w:tc>
        <w:tc>
          <w:tcPr>
            <w:tcW w:w="1462" w:type="dxa"/>
            <w:vAlign w:val="center"/>
          </w:tcPr>
          <w:p w:rsidR="00E37E21" w:rsidRPr="009A2290" w:rsidRDefault="00E37E21" w:rsidP="00E2648C">
            <w:pPr>
              <w:pStyle w:val="naisf"/>
              <w:spacing w:before="0" w:after="0"/>
              <w:jc w:val="center"/>
              <w:rPr>
                <w:b/>
                <w:i/>
                <w:sz w:val="26"/>
                <w:szCs w:val="26"/>
              </w:rPr>
            </w:pPr>
            <w:r w:rsidRPr="009A2290">
              <w:rPr>
                <w:sz w:val="26"/>
                <w:szCs w:val="26"/>
              </w:rPr>
              <w:t>saskaņā ar valsts budžetu kārtējam gadam</w:t>
            </w:r>
          </w:p>
        </w:tc>
        <w:tc>
          <w:tcPr>
            <w:tcW w:w="1587"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kārtējā gadā, salīdzinot ar budžetu kārtējam gadam</w:t>
            </w:r>
          </w:p>
        </w:tc>
        <w:tc>
          <w:tcPr>
            <w:tcW w:w="1357" w:type="dxa"/>
            <w:vAlign w:val="center"/>
          </w:tcPr>
          <w:p w:rsidR="00E37E21" w:rsidRPr="009A2290" w:rsidRDefault="00E37E21" w:rsidP="009A2290">
            <w:pPr>
              <w:pStyle w:val="naisf"/>
              <w:spacing w:before="0" w:after="0"/>
              <w:ind w:firstLine="0"/>
              <w:jc w:val="center"/>
              <w:rPr>
                <w:b/>
                <w:i/>
                <w:sz w:val="26"/>
                <w:szCs w:val="26"/>
              </w:rPr>
            </w:pPr>
            <w:r w:rsidRPr="009A2290">
              <w:rPr>
                <w:sz w:val="26"/>
                <w:szCs w:val="26"/>
              </w:rPr>
              <w:t>izmaiņas, salīdzinot ar kārtējo (n) gadu</w:t>
            </w:r>
          </w:p>
        </w:tc>
        <w:tc>
          <w:tcPr>
            <w:tcW w:w="1701"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salīdzinot ar kārtējo (n) gadu</w:t>
            </w:r>
          </w:p>
        </w:tc>
        <w:tc>
          <w:tcPr>
            <w:tcW w:w="1706"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salīdzinot ar kārtējo (n) gadu</w:t>
            </w:r>
          </w:p>
        </w:tc>
      </w:tr>
      <w:tr w:rsidR="00E37E21" w:rsidRPr="00E37E21" w:rsidTr="009A2290">
        <w:trPr>
          <w:jc w:val="center"/>
        </w:trPr>
        <w:tc>
          <w:tcPr>
            <w:tcW w:w="1968" w:type="dxa"/>
            <w:vAlign w:val="center"/>
          </w:tcPr>
          <w:p w:rsidR="00E37E21" w:rsidRPr="00E37E21" w:rsidRDefault="00E37E21" w:rsidP="00E2648C">
            <w:pPr>
              <w:pStyle w:val="naisf"/>
              <w:spacing w:before="0" w:after="0"/>
              <w:jc w:val="center"/>
              <w:rPr>
                <w:bCs/>
                <w:sz w:val="28"/>
                <w:szCs w:val="28"/>
              </w:rPr>
            </w:pPr>
            <w:r w:rsidRPr="00E37E21">
              <w:rPr>
                <w:bCs/>
                <w:sz w:val="28"/>
                <w:szCs w:val="28"/>
              </w:rPr>
              <w:t>1</w:t>
            </w:r>
          </w:p>
        </w:tc>
        <w:tc>
          <w:tcPr>
            <w:tcW w:w="1462" w:type="dxa"/>
            <w:vAlign w:val="center"/>
          </w:tcPr>
          <w:p w:rsidR="00E37E21" w:rsidRPr="00E37E21" w:rsidRDefault="00E37E21" w:rsidP="00E2648C">
            <w:pPr>
              <w:pStyle w:val="naisf"/>
              <w:spacing w:before="0" w:after="0"/>
              <w:jc w:val="center"/>
              <w:rPr>
                <w:bCs/>
                <w:sz w:val="28"/>
                <w:szCs w:val="28"/>
              </w:rPr>
            </w:pPr>
            <w:r w:rsidRPr="00E37E21">
              <w:rPr>
                <w:bCs/>
                <w:sz w:val="28"/>
                <w:szCs w:val="28"/>
              </w:rPr>
              <w:t>2</w:t>
            </w:r>
          </w:p>
        </w:tc>
        <w:tc>
          <w:tcPr>
            <w:tcW w:w="1587" w:type="dxa"/>
            <w:vAlign w:val="center"/>
          </w:tcPr>
          <w:p w:rsidR="00E37E21" w:rsidRPr="00E37E21" w:rsidRDefault="00E37E21" w:rsidP="00E2648C">
            <w:pPr>
              <w:pStyle w:val="naisf"/>
              <w:spacing w:before="0" w:after="0"/>
              <w:jc w:val="center"/>
              <w:rPr>
                <w:bCs/>
                <w:sz w:val="28"/>
                <w:szCs w:val="28"/>
              </w:rPr>
            </w:pPr>
            <w:r w:rsidRPr="00E37E21">
              <w:rPr>
                <w:bCs/>
                <w:sz w:val="28"/>
                <w:szCs w:val="28"/>
              </w:rPr>
              <w:t>3</w:t>
            </w:r>
          </w:p>
        </w:tc>
        <w:tc>
          <w:tcPr>
            <w:tcW w:w="1357" w:type="dxa"/>
            <w:vAlign w:val="center"/>
          </w:tcPr>
          <w:p w:rsidR="00E37E21" w:rsidRPr="00E37E21" w:rsidRDefault="00E37E21" w:rsidP="00E2648C">
            <w:pPr>
              <w:pStyle w:val="naisf"/>
              <w:spacing w:before="0" w:after="0"/>
              <w:jc w:val="center"/>
              <w:rPr>
                <w:bCs/>
                <w:sz w:val="28"/>
                <w:szCs w:val="28"/>
              </w:rPr>
            </w:pPr>
            <w:r w:rsidRPr="00E37E21">
              <w:rPr>
                <w:bCs/>
                <w:sz w:val="28"/>
                <w:szCs w:val="28"/>
              </w:rPr>
              <w:t>4</w:t>
            </w:r>
          </w:p>
        </w:tc>
        <w:tc>
          <w:tcPr>
            <w:tcW w:w="1701" w:type="dxa"/>
            <w:vAlign w:val="center"/>
          </w:tcPr>
          <w:p w:rsidR="00E37E21" w:rsidRPr="00E37E21" w:rsidRDefault="00E37E21" w:rsidP="00E2648C">
            <w:pPr>
              <w:pStyle w:val="naisf"/>
              <w:spacing w:before="0" w:after="0"/>
              <w:jc w:val="center"/>
              <w:rPr>
                <w:bCs/>
                <w:sz w:val="28"/>
                <w:szCs w:val="28"/>
              </w:rPr>
            </w:pPr>
            <w:r w:rsidRPr="00E37E21">
              <w:rPr>
                <w:bCs/>
                <w:sz w:val="28"/>
                <w:szCs w:val="28"/>
              </w:rPr>
              <w:t>5</w:t>
            </w:r>
          </w:p>
        </w:tc>
        <w:tc>
          <w:tcPr>
            <w:tcW w:w="1706" w:type="dxa"/>
            <w:vAlign w:val="center"/>
          </w:tcPr>
          <w:p w:rsidR="00E37E21" w:rsidRPr="00E37E21" w:rsidRDefault="00E37E21" w:rsidP="00E2648C">
            <w:pPr>
              <w:pStyle w:val="naisf"/>
              <w:spacing w:before="0" w:after="0"/>
              <w:jc w:val="center"/>
              <w:rPr>
                <w:bCs/>
                <w:sz w:val="28"/>
                <w:szCs w:val="28"/>
              </w:rPr>
            </w:pPr>
            <w:r w:rsidRPr="00E37E21">
              <w:rPr>
                <w:bCs/>
                <w:sz w:val="28"/>
                <w:szCs w:val="28"/>
              </w:rPr>
              <w:t>6</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 Budžeta ieņēmumi: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 xml:space="preserve">1.1. valsts pamatbudžets, tai skaitā ieņēmumi no maksas pakalpojumiem </w:t>
            </w:r>
            <w:r w:rsidRPr="00E37E21">
              <w:rPr>
                <w:sz w:val="28"/>
                <w:szCs w:val="28"/>
              </w:rPr>
              <w:lastRenderedPageBreak/>
              <w:t>un citi pašu ieņēmumi</w:t>
            </w:r>
          </w:p>
        </w:tc>
        <w:tc>
          <w:tcPr>
            <w:tcW w:w="1462" w:type="dxa"/>
          </w:tcPr>
          <w:p w:rsidR="00E37E21" w:rsidRPr="00E37E21" w:rsidRDefault="00E37E21" w:rsidP="00E2648C">
            <w:pPr>
              <w:pStyle w:val="naisf"/>
              <w:spacing w:before="0" w:after="0"/>
              <w:rPr>
                <w:sz w:val="28"/>
                <w:szCs w:val="28"/>
              </w:rPr>
            </w:pPr>
            <w:r w:rsidRPr="00E37E21">
              <w:rPr>
                <w:sz w:val="28"/>
                <w:szCs w:val="28"/>
              </w:rPr>
              <w:lastRenderedPageBreak/>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lastRenderedPageBreak/>
              <w:t>1.2. valsts speciālais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1.3. pašvaldību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 Budžeta izdevumi: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2.1. valsts pamatbudžets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2.2. valsts speciālais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2.3. pašvaldību budžets </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 Finansiālā ietekme:</w:t>
            </w:r>
          </w:p>
        </w:tc>
        <w:tc>
          <w:tcPr>
            <w:tcW w:w="1462" w:type="dxa"/>
            <w:shd w:val="clear" w:color="auto" w:fill="auto"/>
            <w:vAlign w:val="center"/>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3.1. valsts pamatbudžets</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3.2. speciālais budžets</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3.3. pašvaldību budžets </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val="restart"/>
          </w:tcPr>
          <w:p w:rsidR="00E37E21" w:rsidRPr="00E37E21" w:rsidRDefault="00E37E21" w:rsidP="00E2648C">
            <w:pPr>
              <w:rPr>
                <w:sz w:val="28"/>
                <w:szCs w:val="28"/>
              </w:rPr>
            </w:pPr>
            <w:r w:rsidRPr="00E37E21">
              <w:rPr>
                <w:sz w:val="28"/>
                <w:szCs w:val="28"/>
              </w:rPr>
              <w:t>4. Finanšu līdzekļi papildu izdevumu finansēšanai (kompensējošu izdevumu samazinājumu norāda ar "+" zīmi)</w:t>
            </w:r>
          </w:p>
        </w:tc>
        <w:tc>
          <w:tcPr>
            <w:tcW w:w="1462" w:type="dxa"/>
            <w:vMerge w:val="restart"/>
          </w:tcPr>
          <w:p w:rsidR="00E37E21" w:rsidRPr="00E37E21" w:rsidRDefault="00E37E21" w:rsidP="00E2648C">
            <w:pPr>
              <w:pStyle w:val="naisf"/>
              <w:spacing w:before="0" w:after="0"/>
              <w:jc w:val="center"/>
              <w:rPr>
                <w:i/>
                <w:sz w:val="28"/>
                <w:szCs w:val="28"/>
              </w:rPr>
            </w:pPr>
            <w:r w:rsidRPr="00E37E21">
              <w:rPr>
                <w:sz w:val="28"/>
                <w:szCs w:val="28"/>
              </w:rPr>
              <w:t>X</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tcPr>
          <w:p w:rsidR="00E37E21" w:rsidRPr="00E37E21" w:rsidRDefault="00E37E21" w:rsidP="00E2648C">
            <w:pPr>
              <w:rPr>
                <w:sz w:val="28"/>
                <w:szCs w:val="28"/>
              </w:rPr>
            </w:pPr>
          </w:p>
        </w:tc>
        <w:tc>
          <w:tcPr>
            <w:tcW w:w="1462" w:type="dxa"/>
            <w:vMerge/>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tcPr>
          <w:p w:rsidR="00E37E21" w:rsidRPr="00E37E21" w:rsidRDefault="00E37E21" w:rsidP="00E2648C">
            <w:pPr>
              <w:rPr>
                <w:sz w:val="28"/>
                <w:szCs w:val="28"/>
              </w:rPr>
            </w:pPr>
          </w:p>
        </w:tc>
        <w:tc>
          <w:tcPr>
            <w:tcW w:w="1462" w:type="dxa"/>
            <w:vMerge/>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5. Precizēta finansiālā ietekme:</w:t>
            </w:r>
          </w:p>
        </w:tc>
        <w:tc>
          <w:tcPr>
            <w:tcW w:w="1462" w:type="dxa"/>
            <w:vMerge w:val="restart"/>
          </w:tcPr>
          <w:p w:rsidR="00E37E21" w:rsidRPr="00E37E21" w:rsidRDefault="00E37E21" w:rsidP="00E2648C">
            <w:pPr>
              <w:pStyle w:val="naisf"/>
              <w:spacing w:before="0" w:after="0"/>
              <w:jc w:val="center"/>
              <w:rPr>
                <w:i/>
                <w:sz w:val="28"/>
                <w:szCs w:val="28"/>
              </w:rPr>
            </w:pPr>
            <w:r w:rsidRPr="00E37E21">
              <w:rPr>
                <w:sz w:val="28"/>
                <w:szCs w:val="28"/>
              </w:rPr>
              <w:t>X</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5.1. valsts pamatbudžets</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5.2. speciālais budžets</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5.3. pašvaldību budžets </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lastRenderedPageBreak/>
              <w:t>6. Detalizēts ieņēmumu un izdevumu aprēķins (ja nepie</w:t>
            </w:r>
            <w:r w:rsidRPr="00E37E21">
              <w:rPr>
                <w:sz w:val="28"/>
                <w:szCs w:val="28"/>
              </w:rPr>
              <w:softHyphen/>
              <w:t>ciešams, detalizētu ieņēmumu un izdevumu aprēķinu var pie</w:t>
            </w:r>
            <w:r w:rsidRPr="00E37E21">
              <w:rPr>
                <w:sz w:val="28"/>
                <w:szCs w:val="28"/>
              </w:rPr>
              <w:softHyphen/>
              <w:t>vienot anotācijas pielikumā):</w:t>
            </w:r>
          </w:p>
        </w:tc>
        <w:tc>
          <w:tcPr>
            <w:tcW w:w="7813" w:type="dxa"/>
            <w:gridSpan w:val="5"/>
            <w:vAlign w:val="center"/>
          </w:tcPr>
          <w:p w:rsidR="00E37E21" w:rsidRPr="00E37E21" w:rsidRDefault="00E37E21" w:rsidP="00E2648C">
            <w:pPr>
              <w:pStyle w:val="naisf"/>
              <w:spacing w:before="0" w:after="0"/>
              <w:rPr>
                <w:sz w:val="28"/>
                <w:szCs w:val="28"/>
              </w:rPr>
            </w:pP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6.1. detalizēts ieņēmumu aprēķins</w:t>
            </w:r>
          </w:p>
        </w:tc>
        <w:tc>
          <w:tcPr>
            <w:tcW w:w="7813" w:type="dxa"/>
            <w:gridSpan w:val="5"/>
          </w:tcPr>
          <w:p w:rsidR="00E37E21" w:rsidRPr="00E37E21" w:rsidRDefault="00E37E21" w:rsidP="00E2648C">
            <w:pPr>
              <w:pStyle w:val="naisf"/>
              <w:spacing w:before="0" w:after="0"/>
              <w:rPr>
                <w:sz w:val="28"/>
                <w:szCs w:val="28"/>
              </w:rPr>
            </w:pP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6.2. detalizēts izdevumu aprēķins</w:t>
            </w:r>
          </w:p>
        </w:tc>
        <w:tc>
          <w:tcPr>
            <w:tcW w:w="7813" w:type="dxa"/>
            <w:gridSpan w:val="5"/>
          </w:tcPr>
          <w:p w:rsidR="00E37E21" w:rsidRPr="00E37E21" w:rsidRDefault="00E37E21" w:rsidP="00E2648C">
            <w:pPr>
              <w:pStyle w:val="naisf"/>
              <w:spacing w:before="0" w:after="0"/>
              <w:rPr>
                <w:sz w:val="28"/>
                <w:szCs w:val="28"/>
              </w:rPr>
            </w:pPr>
          </w:p>
        </w:tc>
      </w:tr>
      <w:tr w:rsidR="00E37E21" w:rsidRPr="00E37E21" w:rsidTr="003C3E06">
        <w:trPr>
          <w:trHeight w:val="556"/>
          <w:jc w:val="center"/>
        </w:trPr>
        <w:tc>
          <w:tcPr>
            <w:tcW w:w="1968" w:type="dxa"/>
          </w:tcPr>
          <w:p w:rsidR="00E37E21" w:rsidRPr="00E37E21" w:rsidRDefault="00E37E21" w:rsidP="00E2648C">
            <w:pPr>
              <w:rPr>
                <w:sz w:val="28"/>
                <w:szCs w:val="28"/>
              </w:rPr>
            </w:pPr>
            <w:r w:rsidRPr="00E37E21">
              <w:rPr>
                <w:sz w:val="28"/>
                <w:szCs w:val="28"/>
              </w:rPr>
              <w:t>7. Cita informācija</w:t>
            </w:r>
          </w:p>
        </w:tc>
        <w:tc>
          <w:tcPr>
            <w:tcW w:w="7813" w:type="dxa"/>
            <w:gridSpan w:val="5"/>
          </w:tcPr>
          <w:p w:rsidR="00E37E21" w:rsidRPr="00E37E21" w:rsidRDefault="004032D7" w:rsidP="0025009C">
            <w:pPr>
              <w:pStyle w:val="naisf"/>
              <w:tabs>
                <w:tab w:val="left" w:pos="4644"/>
              </w:tabs>
              <w:spacing w:before="0" w:after="0"/>
              <w:ind w:firstLine="0"/>
              <w:rPr>
                <w:b/>
                <w:i/>
                <w:sz w:val="28"/>
                <w:szCs w:val="28"/>
              </w:rPr>
            </w:pPr>
            <w:r>
              <w:rPr>
                <w:sz w:val="28"/>
                <w:szCs w:val="28"/>
              </w:rPr>
              <w:t>V</w:t>
            </w:r>
            <w:r w:rsidRPr="005A2773">
              <w:rPr>
                <w:sz w:val="28"/>
                <w:szCs w:val="28"/>
              </w:rPr>
              <w:t xml:space="preserve">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 xml:space="preserve"> izdevumi par valsts pārvaldes uzdevuma izpildi tiek saskaņoti ar </w:t>
            </w:r>
            <w:r w:rsidR="0025009C">
              <w:rPr>
                <w:sz w:val="28"/>
                <w:szCs w:val="28"/>
              </w:rPr>
              <w:t>Ekonomikas</w:t>
            </w:r>
            <w:r w:rsidR="00E37E21">
              <w:rPr>
                <w:sz w:val="28"/>
                <w:szCs w:val="28"/>
              </w:rPr>
              <w:t xml:space="preserve"> ministriju</w:t>
            </w:r>
            <w:r w:rsidR="0025009C">
              <w:rPr>
                <w:sz w:val="28"/>
                <w:szCs w:val="28"/>
              </w:rPr>
              <w:t xml:space="preserve"> un Finanšu ministriju</w:t>
            </w:r>
            <w:r w:rsidR="00E37E21">
              <w:rPr>
                <w:sz w:val="28"/>
                <w:szCs w:val="28"/>
              </w:rPr>
              <w:t xml:space="preserve"> atbilstoši valsts pārvaldes uzdevuma izpildes līgumā noteiktai kārtībai</w:t>
            </w:r>
            <w:r w:rsidR="00E37E21" w:rsidRPr="00751805">
              <w:rPr>
                <w:sz w:val="28"/>
                <w:szCs w:val="28"/>
              </w:rPr>
              <w:t>.</w:t>
            </w:r>
            <w:r w:rsidR="00E37E21">
              <w:rPr>
                <w:sz w:val="28"/>
                <w:szCs w:val="28"/>
              </w:rPr>
              <w:t xml:space="preserve"> Saskaņotie </w:t>
            </w:r>
            <w:r w:rsidRPr="005A2773">
              <w:rPr>
                <w:sz w:val="28"/>
                <w:szCs w:val="28"/>
              </w:rPr>
              <w:t xml:space="preserve">valsts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 xml:space="preserve"> i</w:t>
            </w:r>
            <w:r w:rsidR="00E37E21" w:rsidRPr="00DE0BDF">
              <w:rPr>
                <w:sz w:val="28"/>
                <w:szCs w:val="28"/>
              </w:rPr>
              <w:t xml:space="preserve">zdevumi tiek segti no rezerves fonda līdzekļiem, kas izveidots, pamatojoties uz likumu </w:t>
            </w:r>
            <w:r w:rsidR="00E37E21" w:rsidRPr="00414C29">
              <w:rPr>
                <w:sz w:val="28"/>
                <w:szCs w:val="28"/>
              </w:rPr>
              <w:t>“Par valsts un pašvaldību īpašuma objektu privatizāciju”.</w:t>
            </w:r>
          </w:p>
        </w:tc>
      </w:tr>
    </w:tbl>
    <w:p w:rsidR="004032D7" w:rsidRPr="0093291B" w:rsidRDefault="004032D7" w:rsidP="00414C29">
      <w:pPr>
        <w:rPr>
          <w:b/>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4384"/>
        <w:gridCol w:w="5017"/>
      </w:tblGrid>
      <w:tr w:rsidR="00F6571B" w:rsidRPr="0093291B" w:rsidTr="00414C29">
        <w:tc>
          <w:tcPr>
            <w:tcW w:w="9782" w:type="dxa"/>
            <w:gridSpan w:val="3"/>
            <w:tcBorders>
              <w:top w:val="single" w:sz="4" w:space="0" w:color="auto"/>
            </w:tcBorders>
          </w:tcPr>
          <w:p w:rsidR="00F6571B" w:rsidRPr="0093291B" w:rsidRDefault="00F6571B" w:rsidP="00E2648C">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F6571B" w:rsidRPr="0093291B" w:rsidTr="00414C29">
        <w:trPr>
          <w:trHeight w:val="427"/>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1.</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017" w:type="dxa"/>
          </w:tcPr>
          <w:p w:rsidR="00F6571B" w:rsidRPr="00F14FB7" w:rsidRDefault="0025009C" w:rsidP="00E2648C">
            <w:pPr>
              <w:pStyle w:val="naiskr"/>
              <w:tabs>
                <w:tab w:val="left" w:pos="427"/>
                <w:tab w:val="left" w:pos="2628"/>
              </w:tabs>
              <w:spacing w:before="0" w:after="0"/>
              <w:ind w:left="70"/>
              <w:jc w:val="both"/>
              <w:rPr>
                <w:sz w:val="28"/>
                <w:szCs w:val="28"/>
              </w:rPr>
            </w:pPr>
            <w:r>
              <w:rPr>
                <w:sz w:val="28"/>
                <w:szCs w:val="28"/>
              </w:rPr>
              <w:t>Ekonomikas</w:t>
            </w:r>
            <w:r w:rsidR="00E37E21" w:rsidRPr="00E43A24">
              <w:rPr>
                <w:sz w:val="28"/>
                <w:szCs w:val="28"/>
              </w:rPr>
              <w:t xml:space="preserve"> ministrija,</w:t>
            </w:r>
            <w:r>
              <w:rPr>
                <w:sz w:val="28"/>
                <w:szCs w:val="28"/>
              </w:rPr>
              <w:t xml:space="preserve"> Finanšu ministrija</w:t>
            </w:r>
            <w:r w:rsidR="00E37E21" w:rsidRPr="00E43A24">
              <w:rPr>
                <w:sz w:val="28"/>
                <w:szCs w:val="28"/>
              </w:rPr>
              <w:t xml:space="preserve"> </w:t>
            </w:r>
            <w:r w:rsidR="005356C7">
              <w:rPr>
                <w:sz w:val="28"/>
                <w:szCs w:val="28"/>
              </w:rPr>
              <w:t>v</w:t>
            </w:r>
            <w:r w:rsidR="005356C7" w:rsidRPr="005A2773">
              <w:rPr>
                <w:sz w:val="28"/>
                <w:szCs w:val="28"/>
              </w:rPr>
              <w:t xml:space="preserve">alsts akciju sabiedrība "Latvijas Attīstības finanšu institūcija </w:t>
            </w:r>
            <w:proofErr w:type="spellStart"/>
            <w:r w:rsidR="005356C7" w:rsidRPr="005A2773">
              <w:rPr>
                <w:sz w:val="28"/>
                <w:szCs w:val="28"/>
              </w:rPr>
              <w:t>Altum</w:t>
            </w:r>
            <w:proofErr w:type="spellEnd"/>
            <w:r w:rsidR="005356C7" w:rsidRPr="005A2773">
              <w:rPr>
                <w:sz w:val="28"/>
                <w:szCs w:val="28"/>
              </w:rPr>
              <w:t>"</w:t>
            </w:r>
            <w:r w:rsidR="00E37E21">
              <w:rPr>
                <w:sz w:val="28"/>
                <w:szCs w:val="28"/>
              </w:rPr>
              <w:t>.</w:t>
            </w:r>
          </w:p>
        </w:tc>
      </w:tr>
      <w:tr w:rsidR="00F6571B" w:rsidRPr="0093291B" w:rsidTr="00414C29">
        <w:trPr>
          <w:trHeight w:val="463"/>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2.</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017" w:type="dxa"/>
          </w:tcPr>
          <w:p w:rsidR="00092B14" w:rsidRDefault="00AA5935" w:rsidP="00092B14">
            <w:pPr>
              <w:pStyle w:val="naisnod"/>
              <w:spacing w:before="0" w:after="0"/>
              <w:ind w:left="57" w:right="57"/>
              <w:jc w:val="both"/>
              <w:rPr>
                <w:b w:val="0"/>
                <w:sz w:val="28"/>
                <w:szCs w:val="28"/>
              </w:rPr>
            </w:pPr>
            <w:r>
              <w:rPr>
                <w:b w:val="0"/>
                <w:sz w:val="28"/>
                <w:szCs w:val="28"/>
              </w:rPr>
              <w:t>Projekta izpildes ietekme ir attiecināma uz</w:t>
            </w:r>
            <w:r w:rsidR="00E37E21" w:rsidRPr="00E37E21">
              <w:rPr>
                <w:b w:val="0"/>
                <w:sz w:val="28"/>
                <w:szCs w:val="28"/>
              </w:rPr>
              <w:t xml:space="preserve"> </w:t>
            </w:r>
            <w:r w:rsidR="00092B14">
              <w:rPr>
                <w:b w:val="0"/>
                <w:sz w:val="28"/>
                <w:szCs w:val="28"/>
              </w:rPr>
              <w:t xml:space="preserve">Attīstības finanšu institūciju </w:t>
            </w:r>
            <w:proofErr w:type="spellStart"/>
            <w:r w:rsidR="00092B14">
              <w:rPr>
                <w:b w:val="0"/>
                <w:sz w:val="28"/>
                <w:szCs w:val="28"/>
              </w:rPr>
              <w:t>Altum</w:t>
            </w:r>
            <w:proofErr w:type="spellEnd"/>
            <w:r w:rsidR="00092B14">
              <w:rPr>
                <w:b w:val="0"/>
                <w:sz w:val="28"/>
                <w:szCs w:val="28"/>
              </w:rPr>
              <w:t>, bet ņemot vērā to, ka līdz</w:t>
            </w:r>
            <w:r>
              <w:rPr>
                <w:b w:val="0"/>
                <w:sz w:val="28"/>
                <w:szCs w:val="28"/>
              </w:rPr>
              <w:t xml:space="preserve"> reorganizācijai</w:t>
            </w:r>
            <w:r w:rsidR="005B2168">
              <w:rPr>
                <w:b w:val="0"/>
                <w:sz w:val="28"/>
                <w:szCs w:val="28"/>
              </w:rPr>
              <w:t xml:space="preserve"> Hipot</w:t>
            </w:r>
            <w:r>
              <w:rPr>
                <w:b w:val="0"/>
                <w:sz w:val="28"/>
                <w:szCs w:val="28"/>
              </w:rPr>
              <w:t>ēku banka</w:t>
            </w:r>
            <w:r w:rsidR="005B2168">
              <w:rPr>
                <w:b w:val="0"/>
                <w:sz w:val="28"/>
                <w:szCs w:val="28"/>
              </w:rPr>
              <w:t xml:space="preserve"> </w:t>
            </w:r>
            <w:r>
              <w:rPr>
                <w:b w:val="0"/>
                <w:sz w:val="28"/>
                <w:szCs w:val="28"/>
              </w:rPr>
              <w:t xml:space="preserve">veica </w:t>
            </w:r>
            <w:r w:rsidRPr="00AA5935">
              <w:rPr>
                <w:b w:val="0"/>
                <w:sz w:val="28"/>
                <w:szCs w:val="28"/>
              </w:rPr>
              <w:t>Deleģēto valsts pārvaldes uzdevumu</w:t>
            </w:r>
            <w:r>
              <w:rPr>
                <w:b w:val="0"/>
                <w:sz w:val="28"/>
                <w:szCs w:val="28"/>
              </w:rPr>
              <w:t>, tad tā būtiski neietekmēs līdzšinējās funkcijas un uzdevumus.</w:t>
            </w:r>
          </w:p>
          <w:p w:rsidR="00F6571B" w:rsidRPr="0093291B" w:rsidRDefault="00E37E21" w:rsidP="0025009C">
            <w:pPr>
              <w:pStyle w:val="naisnod"/>
              <w:spacing w:before="0" w:after="0"/>
              <w:ind w:right="57"/>
              <w:jc w:val="both"/>
              <w:rPr>
                <w:b w:val="0"/>
                <w:iCs/>
                <w:sz w:val="28"/>
                <w:szCs w:val="28"/>
              </w:rPr>
            </w:pPr>
            <w:r w:rsidRPr="00E37E21">
              <w:rPr>
                <w:b w:val="0"/>
                <w:sz w:val="28"/>
                <w:szCs w:val="28"/>
              </w:rPr>
              <w:t>Tāpat projekt</w:t>
            </w:r>
            <w:r w:rsidR="002377A6">
              <w:rPr>
                <w:b w:val="0"/>
                <w:sz w:val="28"/>
                <w:szCs w:val="28"/>
              </w:rPr>
              <w:t xml:space="preserve">a izpilde ietekmē arī </w:t>
            </w:r>
            <w:r w:rsidR="0025009C">
              <w:rPr>
                <w:b w:val="0"/>
                <w:sz w:val="28"/>
                <w:szCs w:val="28"/>
              </w:rPr>
              <w:t>Ekonomikas</w:t>
            </w:r>
            <w:r w:rsidR="002377A6">
              <w:rPr>
                <w:b w:val="0"/>
                <w:sz w:val="28"/>
                <w:szCs w:val="28"/>
              </w:rPr>
              <w:t xml:space="preserve"> </w:t>
            </w:r>
            <w:r w:rsidRPr="00E37E21">
              <w:rPr>
                <w:b w:val="0"/>
                <w:sz w:val="28"/>
                <w:szCs w:val="28"/>
              </w:rPr>
              <w:t xml:space="preserve"> ministrijas funkcijas un uzdevumus, jo Ekonomikas ministrijai būs jāveic uzraudzība par </w:t>
            </w:r>
            <w:r>
              <w:rPr>
                <w:b w:val="0"/>
                <w:sz w:val="28"/>
                <w:szCs w:val="28"/>
              </w:rPr>
              <w:t>Privatizācijas aģentūras</w:t>
            </w:r>
            <w:r w:rsidRPr="00E37E21">
              <w:rPr>
                <w:b w:val="0"/>
                <w:sz w:val="28"/>
                <w:szCs w:val="28"/>
              </w:rPr>
              <w:t xml:space="preserve"> darbību valsts pārvaldes deleģētā </w:t>
            </w:r>
            <w:r w:rsidRPr="00E37E21">
              <w:rPr>
                <w:b w:val="0"/>
                <w:sz w:val="28"/>
                <w:szCs w:val="28"/>
              </w:rPr>
              <w:lastRenderedPageBreak/>
              <w:t>uzdevuma izpildē (funkcionālā pārraudzība).</w:t>
            </w:r>
          </w:p>
        </w:tc>
      </w:tr>
      <w:tr w:rsidR="00F6571B" w:rsidRPr="0093291B" w:rsidTr="00414C29">
        <w:trPr>
          <w:trHeight w:val="725"/>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lastRenderedPageBreak/>
              <w:t>3.</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Projekta izpildes ietekme uz pārvaldes institucionālo struktūru.</w:t>
            </w:r>
          </w:p>
          <w:p w:rsidR="00F6571B" w:rsidRPr="0093291B" w:rsidRDefault="00F6571B" w:rsidP="00E2648C">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017" w:type="dxa"/>
          </w:tcPr>
          <w:p w:rsidR="00F6571B" w:rsidRPr="0093291B" w:rsidRDefault="00F6571B" w:rsidP="00E2648C">
            <w:pPr>
              <w:pStyle w:val="naisnod"/>
              <w:spacing w:before="0" w:after="0"/>
              <w:ind w:left="57" w:right="57"/>
              <w:jc w:val="both"/>
              <w:rPr>
                <w:b w:val="0"/>
                <w:sz w:val="28"/>
                <w:szCs w:val="28"/>
              </w:rPr>
            </w:pPr>
            <w:r w:rsidRPr="0093291B">
              <w:rPr>
                <w:b w:val="0"/>
                <w:sz w:val="28"/>
                <w:szCs w:val="28"/>
              </w:rPr>
              <w:t>Projekts šo jomu neskar.</w:t>
            </w:r>
          </w:p>
        </w:tc>
      </w:tr>
      <w:tr w:rsidR="00F6571B" w:rsidRPr="0093291B" w:rsidTr="00414C29">
        <w:trPr>
          <w:trHeight w:val="591"/>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3.</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Cita informācija</w:t>
            </w:r>
          </w:p>
        </w:tc>
        <w:tc>
          <w:tcPr>
            <w:tcW w:w="5017" w:type="dxa"/>
          </w:tcPr>
          <w:p w:rsidR="00F6571B" w:rsidRPr="0093291B" w:rsidRDefault="00F6571B" w:rsidP="00E2648C">
            <w:pPr>
              <w:pStyle w:val="naisnod"/>
              <w:spacing w:before="0" w:after="0"/>
              <w:ind w:left="57" w:right="57"/>
              <w:jc w:val="left"/>
              <w:rPr>
                <w:b w:val="0"/>
                <w:sz w:val="28"/>
                <w:szCs w:val="28"/>
                <w:highlight w:val="yellow"/>
              </w:rPr>
            </w:pPr>
            <w:r w:rsidRPr="0093291B">
              <w:rPr>
                <w:b w:val="0"/>
                <w:sz w:val="28"/>
                <w:szCs w:val="28"/>
              </w:rPr>
              <w:t>Nav.</w:t>
            </w:r>
          </w:p>
        </w:tc>
      </w:tr>
    </w:tbl>
    <w:p w:rsidR="00F6571B" w:rsidRDefault="00E37E21" w:rsidP="002377A6">
      <w:pPr>
        <w:ind w:firstLine="720"/>
        <w:rPr>
          <w:sz w:val="28"/>
          <w:szCs w:val="28"/>
        </w:rPr>
      </w:pPr>
      <w:r w:rsidRPr="002377A6">
        <w:rPr>
          <w:sz w:val="28"/>
          <w:szCs w:val="28"/>
        </w:rPr>
        <w:t>Anotācijas IV, V un VI sadaļa – projekts šīs jomas neskar.</w:t>
      </w:r>
    </w:p>
    <w:p w:rsidR="00414C29" w:rsidRDefault="00414C29" w:rsidP="002377A6">
      <w:pPr>
        <w:ind w:firstLine="720"/>
        <w:rPr>
          <w:sz w:val="28"/>
          <w:szCs w:val="28"/>
        </w:rPr>
      </w:pPr>
    </w:p>
    <w:p w:rsidR="009A2290" w:rsidRDefault="009A2290" w:rsidP="002377A6">
      <w:pPr>
        <w:ind w:firstLine="720"/>
        <w:rPr>
          <w:sz w:val="28"/>
          <w:szCs w:val="28"/>
        </w:rPr>
      </w:pPr>
    </w:p>
    <w:p w:rsidR="00414C29" w:rsidRPr="0088519B" w:rsidRDefault="00A7576B" w:rsidP="00A7576B">
      <w:pPr>
        <w:ind w:firstLine="300"/>
        <w:jc w:val="both"/>
        <w:rPr>
          <w:sz w:val="28"/>
          <w:szCs w:val="28"/>
        </w:rPr>
      </w:pPr>
      <w:r>
        <w:rPr>
          <w:sz w:val="28"/>
          <w:szCs w:val="28"/>
        </w:rPr>
        <w:t xml:space="preserve">Finanšu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A.Vilks</w:t>
      </w:r>
      <w:proofErr w:type="spellEnd"/>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414C29" w:rsidRPr="0093291B" w:rsidRDefault="00414C29" w:rsidP="00F6571B">
      <w:pPr>
        <w:tabs>
          <w:tab w:val="left" w:pos="7938"/>
        </w:tabs>
        <w:rPr>
          <w:sz w:val="22"/>
          <w:szCs w:val="22"/>
        </w:rPr>
      </w:pPr>
    </w:p>
    <w:p w:rsidR="00414C29" w:rsidRDefault="000B03D9" w:rsidP="00414C29">
      <w:pPr>
        <w:jc w:val="both"/>
        <w:rPr>
          <w:sz w:val="20"/>
        </w:rPr>
      </w:pPr>
      <w:r>
        <w:rPr>
          <w:sz w:val="20"/>
        </w:rPr>
        <w:t>28</w:t>
      </w:r>
      <w:r w:rsidR="0025009C">
        <w:rPr>
          <w:sz w:val="20"/>
        </w:rPr>
        <w:t>.04</w:t>
      </w:r>
      <w:r w:rsidR="000F4197">
        <w:rPr>
          <w:sz w:val="20"/>
        </w:rPr>
        <w:t>.2014. 12</w:t>
      </w:r>
      <w:r w:rsidR="00414C29">
        <w:rPr>
          <w:sz w:val="20"/>
        </w:rPr>
        <w:t>:15</w:t>
      </w:r>
    </w:p>
    <w:p w:rsidR="00414C29" w:rsidRDefault="00A7576B" w:rsidP="00414C29">
      <w:pPr>
        <w:rPr>
          <w:sz w:val="20"/>
        </w:rPr>
      </w:pPr>
      <w:r>
        <w:rPr>
          <w:sz w:val="20"/>
        </w:rPr>
        <w:t>1827</w:t>
      </w:r>
    </w:p>
    <w:p w:rsidR="00414C29" w:rsidRDefault="00414C29" w:rsidP="00414C29">
      <w:pPr>
        <w:jc w:val="both"/>
        <w:rPr>
          <w:sz w:val="20"/>
        </w:rPr>
      </w:pPr>
      <w:r>
        <w:rPr>
          <w:sz w:val="20"/>
        </w:rPr>
        <w:t>M.Stepiņš</w:t>
      </w:r>
    </w:p>
    <w:p w:rsidR="00367CBE" w:rsidRPr="00414C29" w:rsidRDefault="00414C29" w:rsidP="00414C29">
      <w:pPr>
        <w:jc w:val="both"/>
        <w:rPr>
          <w:sz w:val="20"/>
        </w:rPr>
      </w:pPr>
      <w:r>
        <w:rPr>
          <w:sz w:val="20"/>
        </w:rPr>
        <w:t>67095490 maris.stepins@fm.gov.lv</w:t>
      </w:r>
    </w:p>
    <w:sectPr w:rsidR="00367CBE" w:rsidRPr="00414C29" w:rsidSect="00F14FB7">
      <w:headerReference w:type="even" r:id="rId11"/>
      <w:headerReference w:type="default" r:id="rId12"/>
      <w:footerReference w:type="default" r:id="rId13"/>
      <w:footerReference w:type="first" r:id="rId14"/>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3F" w:rsidRDefault="006F013F" w:rsidP="00523538">
      <w:r>
        <w:separator/>
      </w:r>
    </w:p>
  </w:endnote>
  <w:endnote w:type="continuationSeparator" w:id="0">
    <w:p w:rsidR="006F013F" w:rsidRDefault="006F013F"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0B03D9" w:rsidRDefault="000B03D9" w:rsidP="000B03D9">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A7576B">
      <w:rPr>
        <w:noProof/>
        <w:sz w:val="20"/>
        <w:szCs w:val="20"/>
      </w:rPr>
      <w:t>FManot_280414_uzdevuma_deleg_preciz</w:t>
    </w:r>
    <w:r>
      <w:rPr>
        <w:sz w:val="20"/>
        <w:szCs w:val="20"/>
      </w:rPr>
      <w:fldChar w:fldCharType="end"/>
    </w:r>
    <w:r>
      <w:rPr>
        <w:sz w:val="20"/>
        <w:szCs w:val="20"/>
      </w:rPr>
      <w:t xml:space="preserve">; </w:t>
    </w:r>
    <w:r w:rsidRPr="002377A6">
      <w:rPr>
        <w:sz w:val="20"/>
        <w:szCs w:val="20"/>
      </w:rPr>
      <w:t>Ministru kabineta noteikumu projekta „Noteikumi par zemes izpirkuma (pirkuma) līgumu slēgšanas, šo līgumu izpildes kontroles un neizpirktās zemes nodošanu pašvaldības īpašumā uzdevuma deleģēšanu”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A6" w:rsidRPr="002377A6" w:rsidRDefault="00425C09" w:rsidP="003868C7">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A7576B">
      <w:rPr>
        <w:noProof/>
        <w:sz w:val="20"/>
        <w:szCs w:val="20"/>
      </w:rPr>
      <w:t>FManot_280414_uzdevuma_deleg_preciz</w:t>
    </w:r>
    <w:r>
      <w:rPr>
        <w:sz w:val="20"/>
        <w:szCs w:val="20"/>
      </w:rPr>
      <w:fldChar w:fldCharType="end"/>
    </w:r>
    <w:r w:rsidR="002377A6">
      <w:rPr>
        <w:sz w:val="20"/>
        <w:szCs w:val="20"/>
      </w:rPr>
      <w:t xml:space="preserve">; </w:t>
    </w:r>
    <w:r w:rsidR="002377A6" w:rsidRPr="002377A6">
      <w:rPr>
        <w:sz w:val="20"/>
        <w:szCs w:val="20"/>
      </w:rPr>
      <w:t>Ministru kabineta noteikumu projekta „Noteikumi par zemes izpirkuma (pirkuma) līgumu slēgšanas, šo līgumu izpildes kontroles un neizpirktās zemes nodošanu pašvaldības īpašumā uzdevuma deleģēšanu”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3F" w:rsidRDefault="006F013F" w:rsidP="00523538">
      <w:r>
        <w:separator/>
      </w:r>
    </w:p>
  </w:footnote>
  <w:footnote w:type="continuationSeparator" w:id="0">
    <w:p w:rsidR="006F013F" w:rsidRDefault="006F013F"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6F0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6CB">
      <w:rPr>
        <w:rStyle w:val="PageNumber"/>
        <w:noProof/>
      </w:rPr>
      <w:t>10</w:t>
    </w:r>
    <w:r>
      <w:rPr>
        <w:rStyle w:val="PageNumber"/>
      </w:rPr>
      <w:fldChar w:fldCharType="end"/>
    </w:r>
  </w:p>
  <w:p w:rsidR="00DE1C13" w:rsidRDefault="006F0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279A7F89"/>
    <w:multiLevelType w:val="hybridMultilevel"/>
    <w:tmpl w:val="04A47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
    <w:nsid w:val="3AA223A7"/>
    <w:multiLevelType w:val="hybridMultilevel"/>
    <w:tmpl w:val="C24A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nsid w:val="4BF35B5F"/>
    <w:multiLevelType w:val="hybridMultilevel"/>
    <w:tmpl w:val="294A59BC"/>
    <w:lvl w:ilvl="0" w:tplc="04260011">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664C4220"/>
    <w:multiLevelType w:val="hybridMultilevel"/>
    <w:tmpl w:val="2C2E2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78B6"/>
    <w:rsid w:val="000448BA"/>
    <w:rsid w:val="00092B14"/>
    <w:rsid w:val="00097338"/>
    <w:rsid w:val="000B03D9"/>
    <w:rsid w:val="000D32EA"/>
    <w:rsid w:val="000F4197"/>
    <w:rsid w:val="001472BF"/>
    <w:rsid w:val="00166EC5"/>
    <w:rsid w:val="00206F08"/>
    <w:rsid w:val="002377A6"/>
    <w:rsid w:val="0025009C"/>
    <w:rsid w:val="00290EB3"/>
    <w:rsid w:val="002D1CF6"/>
    <w:rsid w:val="002E360D"/>
    <w:rsid w:val="00315C50"/>
    <w:rsid w:val="003624BE"/>
    <w:rsid w:val="00382F59"/>
    <w:rsid w:val="003C3E06"/>
    <w:rsid w:val="00400276"/>
    <w:rsid w:val="00402E90"/>
    <w:rsid w:val="004032D7"/>
    <w:rsid w:val="004123A2"/>
    <w:rsid w:val="00414C29"/>
    <w:rsid w:val="00425C09"/>
    <w:rsid w:val="004425D1"/>
    <w:rsid w:val="004549A1"/>
    <w:rsid w:val="0051487D"/>
    <w:rsid w:val="00523538"/>
    <w:rsid w:val="00525DCA"/>
    <w:rsid w:val="005356C7"/>
    <w:rsid w:val="00556EA7"/>
    <w:rsid w:val="005864FF"/>
    <w:rsid w:val="005A2773"/>
    <w:rsid w:val="005B2168"/>
    <w:rsid w:val="005E505A"/>
    <w:rsid w:val="00606A27"/>
    <w:rsid w:val="00634C78"/>
    <w:rsid w:val="0063581B"/>
    <w:rsid w:val="00637996"/>
    <w:rsid w:val="006748AB"/>
    <w:rsid w:val="0068023B"/>
    <w:rsid w:val="006D1C25"/>
    <w:rsid w:val="006D1F78"/>
    <w:rsid w:val="006F013F"/>
    <w:rsid w:val="007B4B61"/>
    <w:rsid w:val="00806948"/>
    <w:rsid w:val="00836C22"/>
    <w:rsid w:val="0088519B"/>
    <w:rsid w:val="008B6608"/>
    <w:rsid w:val="008C4337"/>
    <w:rsid w:val="008F37CC"/>
    <w:rsid w:val="00966EBC"/>
    <w:rsid w:val="009807ED"/>
    <w:rsid w:val="009977B3"/>
    <w:rsid w:val="009A2290"/>
    <w:rsid w:val="009C2331"/>
    <w:rsid w:val="009C79D4"/>
    <w:rsid w:val="009E5675"/>
    <w:rsid w:val="009F54C6"/>
    <w:rsid w:val="00A152AB"/>
    <w:rsid w:val="00A225EF"/>
    <w:rsid w:val="00A44CE5"/>
    <w:rsid w:val="00A74DA2"/>
    <w:rsid w:val="00A7576B"/>
    <w:rsid w:val="00AA5935"/>
    <w:rsid w:val="00AB0710"/>
    <w:rsid w:val="00AB591B"/>
    <w:rsid w:val="00AD1C47"/>
    <w:rsid w:val="00AE4420"/>
    <w:rsid w:val="00B34916"/>
    <w:rsid w:val="00B51A69"/>
    <w:rsid w:val="00B85AF3"/>
    <w:rsid w:val="00BA561A"/>
    <w:rsid w:val="00BC7098"/>
    <w:rsid w:val="00C25577"/>
    <w:rsid w:val="00C346CB"/>
    <w:rsid w:val="00C42CFF"/>
    <w:rsid w:val="00C508DD"/>
    <w:rsid w:val="00C96A0D"/>
    <w:rsid w:val="00CE2ACA"/>
    <w:rsid w:val="00CE385D"/>
    <w:rsid w:val="00D02409"/>
    <w:rsid w:val="00D03C69"/>
    <w:rsid w:val="00DA34B7"/>
    <w:rsid w:val="00DD63D2"/>
    <w:rsid w:val="00E1099A"/>
    <w:rsid w:val="00E37E21"/>
    <w:rsid w:val="00E81338"/>
    <w:rsid w:val="00ED5429"/>
    <w:rsid w:val="00F14FB7"/>
    <w:rsid w:val="00F42694"/>
    <w:rsid w:val="00F6571B"/>
    <w:rsid w:val="00F86620"/>
    <w:rsid w:val="00FA1C1A"/>
    <w:rsid w:val="00FD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883A-2F94-4847-987E-73E82645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customStyle="1" w:styleId="tv2131">
    <w:name w:val="tv2131"/>
    <w:basedOn w:val="Normal"/>
    <w:rsid w:val="0063799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8800">
      <w:bodyDiv w:val="1"/>
      <w:marLeft w:val="0"/>
      <w:marRight w:val="0"/>
      <w:marTop w:val="0"/>
      <w:marBottom w:val="0"/>
      <w:divBdr>
        <w:top w:val="none" w:sz="0" w:space="0" w:color="auto"/>
        <w:left w:val="none" w:sz="0" w:space="0" w:color="auto"/>
        <w:bottom w:val="none" w:sz="0" w:space="0" w:color="auto"/>
        <w:right w:val="none" w:sz="0" w:space="0" w:color="auto"/>
      </w:divBdr>
      <w:divsChild>
        <w:div w:id="1154296739">
          <w:marLeft w:val="0"/>
          <w:marRight w:val="0"/>
          <w:marTop w:val="0"/>
          <w:marBottom w:val="0"/>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120029472">
                  <w:marLeft w:val="0"/>
                  <w:marRight w:val="0"/>
                  <w:marTop w:val="0"/>
                  <w:marBottom w:val="0"/>
                  <w:divBdr>
                    <w:top w:val="none" w:sz="0" w:space="0" w:color="auto"/>
                    <w:left w:val="none" w:sz="0" w:space="0" w:color="auto"/>
                    <w:bottom w:val="none" w:sz="0" w:space="0" w:color="auto"/>
                    <w:right w:val="none" w:sz="0" w:space="0" w:color="auto"/>
                  </w:divBdr>
                  <w:divsChild>
                    <w:div w:id="1555971004">
                      <w:marLeft w:val="0"/>
                      <w:marRight w:val="0"/>
                      <w:marTop w:val="0"/>
                      <w:marBottom w:val="0"/>
                      <w:divBdr>
                        <w:top w:val="none" w:sz="0" w:space="0" w:color="auto"/>
                        <w:left w:val="none" w:sz="0" w:space="0" w:color="auto"/>
                        <w:bottom w:val="none" w:sz="0" w:space="0" w:color="auto"/>
                        <w:right w:val="none" w:sz="0" w:space="0" w:color="auto"/>
                      </w:divBdr>
                      <w:divsChild>
                        <w:div w:id="1534609494">
                          <w:marLeft w:val="0"/>
                          <w:marRight w:val="0"/>
                          <w:marTop w:val="0"/>
                          <w:marBottom w:val="0"/>
                          <w:divBdr>
                            <w:top w:val="none" w:sz="0" w:space="0" w:color="auto"/>
                            <w:left w:val="none" w:sz="0" w:space="0" w:color="auto"/>
                            <w:bottom w:val="none" w:sz="0" w:space="0" w:color="auto"/>
                            <w:right w:val="none" w:sz="0" w:space="0" w:color="auto"/>
                          </w:divBdr>
                          <w:divsChild>
                            <w:div w:id="48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5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34503" TargetMode="External"/><Relationship Id="rId4" Type="http://schemas.openxmlformats.org/officeDocument/2006/relationships/settings" Target="settings.xml"/><Relationship Id="rId9" Type="http://schemas.openxmlformats.org/officeDocument/2006/relationships/hyperlink" Target="http://likumi.lv/doc.php?id=3450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D2CD-B4CD-4648-88D4-B83066B5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9042</Words>
  <Characters>5154</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zemes izpirkuma (pirkuma) līgumu slēgšanas, šo līgumu izpildes kontroles un neizpirktās zemes nodošanu pašvaldības īpašumā uzdevuma deleģēšanu” sākotnējās ietekmes novērtējuma ziņojums (anotācija)</vt:lpstr>
      <vt:lpstr>Ministru kabineta noteikumu projekta „Noteikumi par zemes izpirkuma (pirkuma) līgumu slēgšanas, šo līgumu izpildes kontroles un neizpirktās zemes nodošanu pašvaldības īpašumā uzdevuma deleģēšanu” sākotnējās ietekmes novērtējuma ziņojums (anotācija)</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zemes izpirkuma (pirkuma) līgumu slēgšanas, šo līgumu izpildes kontroles un neizpirktās zemes nodošanu pašvaldības īpašumā uzdevuma deleģēšanu” sākotnējās ietekmes novērtējuma ziņojums (anotācija)</dc:title>
  <dc:subject>anotācija</dc:subject>
  <dc:creator>maris.stepins@fm.gov.lv</dc:creator>
  <dc:description>M.Stepiņš
67095490 maris.stepins@fm.gov.lv</dc:description>
  <cp:lastModifiedBy>Lagzdiņa Lelde</cp:lastModifiedBy>
  <cp:revision>6</cp:revision>
  <cp:lastPrinted>2014-04-28T10:17:00Z</cp:lastPrinted>
  <dcterms:created xsi:type="dcterms:W3CDTF">2014-04-28T08:32:00Z</dcterms:created>
  <dcterms:modified xsi:type="dcterms:W3CDTF">2014-04-28T13:35:00Z</dcterms:modified>
</cp:coreProperties>
</file>