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66" w:rsidRPr="00B369BB" w:rsidRDefault="00F11D66" w:rsidP="00F11D66">
      <w:pPr>
        <w:jc w:val="right"/>
      </w:pPr>
      <w:r w:rsidRPr="00B369BB">
        <w:t>3.pielikums</w:t>
      </w:r>
    </w:p>
    <w:p w:rsidR="00F11D66" w:rsidRPr="00B369BB" w:rsidRDefault="00F11D66" w:rsidP="00F11D66">
      <w:pPr>
        <w:jc w:val="right"/>
      </w:pPr>
      <w:r w:rsidRPr="00B369BB">
        <w:t>Ministru kabineta</w:t>
      </w:r>
    </w:p>
    <w:p w:rsidR="00F11D66" w:rsidRPr="00B369BB" w:rsidRDefault="00F11D66" w:rsidP="00F11D66">
      <w:pPr>
        <w:jc w:val="right"/>
      </w:pPr>
      <w:r w:rsidRPr="00B369BB">
        <w:t xml:space="preserve">2014.gada ___._________ noteikumiem </w:t>
      </w:r>
      <w:proofErr w:type="spellStart"/>
      <w:r w:rsidRPr="00B369BB">
        <w:t>Nr</w:t>
      </w:r>
      <w:proofErr w:type="spellEnd"/>
      <w:r w:rsidRPr="00B369BB">
        <w:t>.___</w:t>
      </w:r>
    </w:p>
    <w:p w:rsidR="00F11D66" w:rsidRPr="00B369BB" w:rsidRDefault="00F11D66" w:rsidP="00F11D66">
      <w:pPr>
        <w:jc w:val="both"/>
      </w:pPr>
    </w:p>
    <w:p w:rsidR="00F11D66" w:rsidRPr="00B369BB" w:rsidRDefault="00F11D66" w:rsidP="00F11D66">
      <w:pPr>
        <w:jc w:val="center"/>
        <w:rPr>
          <w:b/>
        </w:rPr>
      </w:pPr>
      <w:r w:rsidRPr="00B369BB">
        <w:rPr>
          <w:b/>
        </w:rPr>
        <w:t>APLIECINĀJUMS</w:t>
      </w:r>
    </w:p>
    <w:p w:rsidR="00F11D66" w:rsidRPr="00B369BB" w:rsidRDefault="00F11D66" w:rsidP="00F11D66">
      <w:pPr>
        <w:jc w:val="both"/>
      </w:pPr>
    </w:p>
    <w:p w:rsidR="00F11D66" w:rsidRPr="00B369BB" w:rsidRDefault="00F11D66" w:rsidP="00F11D66">
      <w:pPr>
        <w:jc w:val="center"/>
        <w:rPr>
          <w:i/>
        </w:rPr>
      </w:pPr>
      <w:r w:rsidRPr="00B369BB">
        <w:rPr>
          <w:i/>
        </w:rPr>
        <w:t>[Dokumenta sagatavošanas vieta]</w:t>
      </w:r>
    </w:p>
    <w:p w:rsidR="00F11D66" w:rsidRPr="00B369BB" w:rsidRDefault="00F11D66" w:rsidP="00F11D66">
      <w:pPr>
        <w:jc w:val="both"/>
      </w:pPr>
    </w:p>
    <w:p w:rsidR="00F11D66" w:rsidRPr="00B369BB" w:rsidRDefault="00F11D66" w:rsidP="00F11D66">
      <w:pPr>
        <w:tabs>
          <w:tab w:val="right" w:pos="9071"/>
        </w:tabs>
        <w:jc w:val="both"/>
        <w:rPr>
          <w:i/>
        </w:rPr>
      </w:pPr>
      <w:r w:rsidRPr="00B369BB">
        <w:rPr>
          <w:i/>
        </w:rPr>
        <w:t>[Dokumenta sagatavošanas datums]</w:t>
      </w:r>
      <w:r w:rsidRPr="00B369BB">
        <w:rPr>
          <w:i/>
        </w:rPr>
        <w:tab/>
        <w:t>[Dokumenta numurs]</w:t>
      </w:r>
    </w:p>
    <w:p w:rsidR="00F11D66" w:rsidRPr="00B369BB" w:rsidRDefault="00F11D66" w:rsidP="00F11D66">
      <w:pPr>
        <w:jc w:val="both"/>
      </w:pPr>
    </w:p>
    <w:p w:rsidR="00F11D66" w:rsidRPr="00B369BB" w:rsidRDefault="00F11D66" w:rsidP="00F11D66">
      <w:pPr>
        <w:ind w:firstLine="567"/>
        <w:jc w:val="both"/>
      </w:pPr>
      <w:r w:rsidRPr="00B369BB">
        <w:t xml:space="preserve">Ar šo </w:t>
      </w:r>
      <w:r w:rsidRPr="00B369BB">
        <w:rPr>
          <w:i/>
        </w:rPr>
        <w:t>[galvojuma pretendenta nosaukums]</w:t>
      </w:r>
      <w:r w:rsidRPr="00B369BB">
        <w:t xml:space="preserve"> vārdā apliecinu, ka pretendents nav nonācis finanšu grūtībās.</w:t>
      </w:r>
    </w:p>
    <w:p w:rsidR="00F11D66" w:rsidRPr="00B369BB" w:rsidRDefault="00F11D66" w:rsidP="00F11D66">
      <w:pPr>
        <w:jc w:val="both"/>
      </w:pPr>
      <w:r w:rsidRPr="00B369BB">
        <w:t>Pretendents ir grūtībās nonācis saimnieciskās darbības veicējs, ja tam:</w:t>
      </w:r>
    </w:p>
    <w:p w:rsidR="00F11D66" w:rsidRPr="00B369BB" w:rsidRDefault="00F11D66" w:rsidP="00F11D66">
      <w:pPr>
        <w:jc w:val="both"/>
      </w:pPr>
      <w:r w:rsidRPr="00B369BB">
        <w:t xml:space="preserve">1. </w:t>
      </w:r>
      <w:r w:rsidRPr="00B369BB">
        <w:rPr>
          <w:bCs/>
        </w:rPr>
        <w:t>ar tiesas nolēmumu ir pasludināts maksātnespējas process vai ar tiesas nolēmumu tiek īstenots tiesiskās aizsardzības process, vai ar tiesas nolēmumu tiek īstenots ārpustiesas tiesiskās aizsardzības process, tam uzsākta bankrota procedūra, piemērota sanācija vai mierizlīgums vai tā saimnieciskā darbība ir izbeigta, vai</w:t>
      </w:r>
      <w:r w:rsidRPr="00B369BB">
        <w:t>;</w:t>
      </w:r>
    </w:p>
    <w:p w:rsidR="00F11D66" w:rsidRPr="00B369BB" w:rsidRDefault="00F11D66" w:rsidP="00F11D66">
      <w:pPr>
        <w:jc w:val="both"/>
      </w:pPr>
      <w:r w:rsidRPr="00B369BB">
        <w:t xml:space="preserve">2. dienā, kad iesniegts pieteikums par dalību pasākumā, zaudējumi pārsniedz pusi no pamatkapitāla un pēdējo 12 (divpadsmit) mēnešu laikā – ceturtdaļu no pamatkapitāla un konstatējamas 4.punktā minētās pazīmes, vai; </w:t>
      </w:r>
    </w:p>
    <w:p w:rsidR="00F11D66" w:rsidRPr="00B369BB" w:rsidRDefault="00F11D66" w:rsidP="00F11D66">
      <w:pPr>
        <w:jc w:val="both"/>
      </w:pPr>
      <w:r w:rsidRPr="00B369BB">
        <w:t>3. saskaņā ar pēdējo 2 (divu) noslēgto finanšu gadu pārskatiem un pēdējo pieejamo operatīvo pārskatu dienā, kad iesniegts pieteikums par dalību pasākumā, ir novērojamas grūtībās nonākuša saimnieciskās darbības veicēja pazīmes – zaudējumu pieaugums, apgrozījuma samazināšanās, naudas plūsmas samazināšanās, parādu pieaugums, procentu maksājumu celšanās, gatavās produkcijas krājumu pieaugums, zems likviditātes koeficients, krītoša vai nulles aktīvu vērtība un konstatējamas 4.punktā minētās pazīmes;</w:t>
      </w:r>
    </w:p>
    <w:p w:rsidR="00F11D66" w:rsidRPr="00B369BB" w:rsidRDefault="00F11D66" w:rsidP="00F11D66">
      <w:pPr>
        <w:jc w:val="both"/>
      </w:pPr>
      <w:r w:rsidRPr="00B369BB">
        <w:t xml:space="preserve">4. nav iespēju nosegt zaudējumus no saviem līdzekļiem vai ar līdzekļiem, ko tas spēj iegūt no saviem biedriem, akcionāriem, dalībniekiem vai kreditoriem, un tas nespēj apturēt zaudējumus, kuri bez valsts iestāžu ārējās iejaukšanās </w:t>
      </w:r>
      <w:proofErr w:type="spellStart"/>
      <w:r w:rsidRPr="00B369BB">
        <w:t>īstermiņā</w:t>
      </w:r>
      <w:proofErr w:type="spellEnd"/>
      <w:r w:rsidRPr="00B369BB">
        <w:t xml:space="preserve"> vai vidējā termiņā izraisīs saimnieciskās darbības veicēja nespēju turpināt darbību).</w:t>
      </w:r>
    </w:p>
    <w:p w:rsidR="00F11D66" w:rsidRPr="00B369BB" w:rsidRDefault="00F11D66" w:rsidP="00F11D66">
      <w:pPr>
        <w:jc w:val="both"/>
      </w:pPr>
    </w:p>
    <w:p w:rsidR="0045308F" w:rsidRPr="00B369BB" w:rsidRDefault="0045308F" w:rsidP="00F11D66">
      <w:pPr>
        <w:jc w:val="both"/>
      </w:pPr>
    </w:p>
    <w:p w:rsidR="00F11D66" w:rsidRPr="00B369BB" w:rsidRDefault="00F11D66" w:rsidP="00F11D66">
      <w:pPr>
        <w:tabs>
          <w:tab w:val="right" w:pos="9071"/>
        </w:tabs>
        <w:jc w:val="both"/>
        <w:rPr>
          <w:i/>
        </w:rPr>
      </w:pPr>
      <w:r w:rsidRPr="00B369BB">
        <w:rPr>
          <w:i/>
        </w:rPr>
        <w:t>[dokumenta parakstītāja amats]</w:t>
      </w:r>
      <w:r w:rsidRPr="00B369BB">
        <w:rPr>
          <w:i/>
        </w:rPr>
        <w:tab/>
        <w:t>[V.Uzvārds]</w:t>
      </w:r>
    </w:p>
    <w:p w:rsidR="00F11D66" w:rsidRPr="00B369BB" w:rsidRDefault="00F11D66" w:rsidP="00F11D66">
      <w:pPr>
        <w:jc w:val="both"/>
      </w:pPr>
    </w:p>
    <w:p w:rsidR="0045308F" w:rsidRPr="00B369BB" w:rsidRDefault="0045308F" w:rsidP="00F11D66">
      <w:pPr>
        <w:jc w:val="both"/>
      </w:pPr>
    </w:p>
    <w:p w:rsidR="00F11D66" w:rsidRPr="00B369BB" w:rsidRDefault="00F11D66" w:rsidP="00F11D66">
      <w:pPr>
        <w:jc w:val="both"/>
        <w:rPr>
          <w:i/>
        </w:rPr>
      </w:pPr>
      <w:r w:rsidRPr="00B369BB">
        <w:rPr>
          <w:i/>
        </w:rPr>
        <w:t>[Dokumenta sagatavotājs</w:t>
      </w:r>
    </w:p>
    <w:p w:rsidR="00F11D66" w:rsidRPr="00B369BB" w:rsidRDefault="00F11D66" w:rsidP="00F11D66">
      <w:pPr>
        <w:jc w:val="both"/>
        <w:rPr>
          <w:i/>
        </w:rPr>
      </w:pPr>
      <w:r w:rsidRPr="00B369BB">
        <w:rPr>
          <w:i/>
        </w:rPr>
        <w:t>Telefona numurs</w:t>
      </w:r>
    </w:p>
    <w:p w:rsidR="00133433" w:rsidRPr="00B369BB" w:rsidRDefault="00F11D66" w:rsidP="00F11D66">
      <w:pPr>
        <w:rPr>
          <w:i/>
        </w:rPr>
      </w:pPr>
      <w:r w:rsidRPr="00B369BB">
        <w:rPr>
          <w:i/>
        </w:rPr>
        <w:t>e-pasta adrese]</w:t>
      </w:r>
    </w:p>
    <w:p w:rsidR="0045308F" w:rsidRPr="00B369BB" w:rsidRDefault="0045308F" w:rsidP="0045308F">
      <w:pPr>
        <w:pStyle w:val="naisf"/>
        <w:tabs>
          <w:tab w:val="right" w:pos="9071"/>
        </w:tabs>
        <w:spacing w:before="120" w:after="0"/>
        <w:rPr>
          <w:lang w:val="lv-LV"/>
        </w:rPr>
      </w:pPr>
    </w:p>
    <w:p w:rsidR="00553105" w:rsidRPr="00B369BB" w:rsidRDefault="00553105" w:rsidP="0045308F">
      <w:pPr>
        <w:pStyle w:val="naisf"/>
        <w:tabs>
          <w:tab w:val="right" w:pos="9071"/>
        </w:tabs>
        <w:spacing w:before="120" w:after="0"/>
        <w:rPr>
          <w:lang w:val="lv-LV"/>
        </w:rPr>
      </w:pPr>
      <w:r w:rsidRPr="00B369BB">
        <w:rPr>
          <w:lang w:val="lv-LV"/>
        </w:rPr>
        <w:t>Finanšu ministra vietā –</w:t>
      </w:r>
    </w:p>
    <w:p w:rsidR="00B369BB" w:rsidRPr="009C46AD" w:rsidRDefault="00B369BB" w:rsidP="0045308F">
      <w:pPr>
        <w:pStyle w:val="naisf"/>
        <w:tabs>
          <w:tab w:val="right" w:pos="9071"/>
        </w:tabs>
        <w:spacing w:before="120" w:after="0"/>
        <w:rPr>
          <w:lang w:val="lv-LV"/>
        </w:rPr>
      </w:pPr>
      <w:r w:rsidRPr="00B369BB">
        <w:rPr>
          <w:lang w:val="lv-LV"/>
        </w:rPr>
        <w:t>s</w:t>
      </w:r>
      <w:r w:rsidR="00553105" w:rsidRPr="00B369BB">
        <w:rPr>
          <w:lang w:val="lv-LV"/>
        </w:rPr>
        <w:t>atiksmes ministrs</w:t>
      </w:r>
      <w:r w:rsidR="0045308F" w:rsidRPr="00B369BB">
        <w:rPr>
          <w:lang w:val="lv-LV"/>
        </w:rPr>
        <w:tab/>
      </w:r>
      <w:r w:rsidR="00553105" w:rsidRPr="00B369BB">
        <w:rPr>
          <w:lang w:val="lv-LV"/>
        </w:rPr>
        <w:t>A.Matīss</w:t>
      </w:r>
      <w:bookmarkStart w:id="0" w:name="_GoBack"/>
      <w:bookmarkEnd w:id="0"/>
    </w:p>
    <w:p w:rsidR="00B369BB" w:rsidRDefault="00B369BB" w:rsidP="00B369BB">
      <w:pPr>
        <w:pStyle w:val="NormalWeb"/>
        <w:spacing w:before="0" w:beforeAutospacing="0" w:after="0" w:afterAutospacing="0"/>
        <w:rPr>
          <w:sz w:val="20"/>
          <w:szCs w:val="20"/>
          <w:lang w:val="lv-LV"/>
        </w:rPr>
      </w:pPr>
      <w:r>
        <w:rPr>
          <w:sz w:val="20"/>
          <w:szCs w:val="20"/>
          <w:lang w:val="lv-LV"/>
        </w:rPr>
        <w:t>04.07.2014 14:24</w:t>
      </w:r>
    </w:p>
    <w:p w:rsidR="00B369BB" w:rsidRPr="00B369BB" w:rsidRDefault="00B369BB" w:rsidP="00B369BB">
      <w:pPr>
        <w:pStyle w:val="NormalWeb"/>
        <w:spacing w:before="0" w:beforeAutospacing="0" w:after="0" w:afterAutospacing="0"/>
        <w:rPr>
          <w:sz w:val="20"/>
          <w:szCs w:val="20"/>
          <w:lang w:val="lv-LV"/>
        </w:rPr>
      </w:pPr>
      <w:r>
        <w:rPr>
          <w:sz w:val="20"/>
          <w:szCs w:val="20"/>
          <w:lang w:val="lv-LV"/>
        </w:rPr>
        <w:t>232</w:t>
      </w:r>
    </w:p>
    <w:p w:rsidR="00B369BB" w:rsidRPr="00B369BB" w:rsidRDefault="00B369BB" w:rsidP="00B369BB">
      <w:pPr>
        <w:pStyle w:val="NormalWeb"/>
        <w:spacing w:before="0" w:beforeAutospacing="0" w:after="0" w:afterAutospacing="0"/>
        <w:rPr>
          <w:sz w:val="20"/>
          <w:szCs w:val="20"/>
          <w:lang w:val="lv-LV"/>
        </w:rPr>
      </w:pPr>
      <w:r w:rsidRPr="00B369BB">
        <w:rPr>
          <w:sz w:val="20"/>
          <w:szCs w:val="20"/>
          <w:lang w:val="lv-LV"/>
        </w:rPr>
        <w:t>Bobrovska</w:t>
      </w:r>
    </w:p>
    <w:p w:rsidR="00B369BB" w:rsidRPr="00B369BB" w:rsidRDefault="00B369BB" w:rsidP="00B369BB">
      <w:pPr>
        <w:jc w:val="both"/>
        <w:rPr>
          <w:sz w:val="20"/>
          <w:szCs w:val="20"/>
        </w:rPr>
      </w:pPr>
      <w:r w:rsidRPr="00B369BB">
        <w:rPr>
          <w:sz w:val="20"/>
          <w:szCs w:val="20"/>
        </w:rPr>
        <w:t xml:space="preserve">67094229, </w:t>
      </w:r>
    </w:p>
    <w:p w:rsidR="00B369BB" w:rsidRPr="00B369BB" w:rsidRDefault="00B369BB" w:rsidP="009C46AD">
      <w:pPr>
        <w:jc w:val="both"/>
        <w:rPr>
          <w:sz w:val="20"/>
          <w:szCs w:val="20"/>
        </w:rPr>
      </w:pPr>
      <w:r w:rsidRPr="00B369BB">
        <w:rPr>
          <w:sz w:val="20"/>
          <w:szCs w:val="20"/>
        </w:rPr>
        <w:t>Indra.Bobrovska@kase.gov.lv</w:t>
      </w:r>
    </w:p>
    <w:sectPr w:rsidR="00B369BB" w:rsidRPr="00B369BB" w:rsidSect="00F11D66">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66" w:rsidRDefault="00F11D66" w:rsidP="00F11D66">
      <w:r>
        <w:separator/>
      </w:r>
    </w:p>
  </w:endnote>
  <w:endnote w:type="continuationSeparator" w:id="0">
    <w:p w:rsidR="00F11D66" w:rsidRDefault="00F11D66" w:rsidP="00F1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66" w:rsidRPr="00230A35" w:rsidRDefault="00230A35" w:rsidP="00230A35">
    <w:pPr>
      <w:pStyle w:val="Footer"/>
    </w:pPr>
    <w:r>
      <w:rPr>
        <w:sz w:val="20"/>
        <w:szCs w:val="20"/>
      </w:rPr>
      <w:fldChar w:fldCharType="begin"/>
    </w:r>
    <w:r>
      <w:rPr>
        <w:sz w:val="20"/>
        <w:szCs w:val="20"/>
      </w:rPr>
      <w:instrText xml:space="preserve"> FILENAME   \* MERGEFORMAT </w:instrText>
    </w:r>
    <w:r>
      <w:rPr>
        <w:sz w:val="20"/>
        <w:szCs w:val="20"/>
      </w:rPr>
      <w:fldChar w:fldCharType="separate"/>
    </w:r>
    <w:r w:rsidR="009C46AD">
      <w:rPr>
        <w:noProof/>
        <w:sz w:val="20"/>
        <w:szCs w:val="20"/>
      </w:rPr>
      <w:t>FMpiel3_02062014_galvojumi.docx</w:t>
    </w:r>
    <w:r>
      <w:rPr>
        <w:sz w:val="20"/>
        <w:szCs w:val="20"/>
      </w:rPr>
      <w:fldChar w:fldCharType="end"/>
    </w:r>
    <w:r>
      <w:rPr>
        <w:sz w:val="20"/>
        <w:szCs w:val="20"/>
      </w:rPr>
      <w:t xml:space="preserve">; </w:t>
    </w:r>
    <w:r w:rsidRPr="0065187E">
      <w:rPr>
        <w:sz w:val="20"/>
        <w:szCs w:val="20"/>
      </w:rPr>
      <w:t>Mini</w:t>
    </w:r>
    <w:r>
      <w:rPr>
        <w:sz w:val="20"/>
        <w:szCs w:val="20"/>
      </w:rPr>
      <w:t>stru kabineta noteikumu projekta</w:t>
    </w:r>
    <w:r w:rsidRPr="0065187E">
      <w:rPr>
        <w:sz w:val="20"/>
        <w:szCs w:val="20"/>
      </w:rPr>
      <w:t xml:space="preserve"> „Kārtība, kādā gadskārtējā valsts budžeta likumprojektā iekļauj pieprasījumus valsts vārdā sniedzamajiem galvojumiem, un veic galvojumu sniegšanu un uzraudzību”</w:t>
    </w:r>
    <w:r>
      <w:rPr>
        <w:sz w:val="20"/>
        <w:szCs w:val="20"/>
      </w:rPr>
      <w:t xml:space="preserve"> 3.pielikums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66" w:rsidRDefault="00F11D66" w:rsidP="00F11D66">
      <w:r>
        <w:separator/>
      </w:r>
    </w:p>
  </w:footnote>
  <w:footnote w:type="continuationSeparator" w:id="0">
    <w:p w:rsidR="00F11D66" w:rsidRDefault="00F11D66" w:rsidP="00F11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66"/>
    <w:rsid w:val="00133433"/>
    <w:rsid w:val="00230A35"/>
    <w:rsid w:val="002D3229"/>
    <w:rsid w:val="002E39F1"/>
    <w:rsid w:val="0045308F"/>
    <w:rsid w:val="005147B2"/>
    <w:rsid w:val="00531D2D"/>
    <w:rsid w:val="00553105"/>
    <w:rsid w:val="006B60D6"/>
    <w:rsid w:val="009C46AD"/>
    <w:rsid w:val="00A70214"/>
    <w:rsid w:val="00B369BB"/>
    <w:rsid w:val="00F11D6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6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D66"/>
    <w:pPr>
      <w:tabs>
        <w:tab w:val="center" w:pos="4153"/>
        <w:tab w:val="right" w:pos="8306"/>
      </w:tabs>
    </w:pPr>
  </w:style>
  <w:style w:type="character" w:customStyle="1" w:styleId="HeaderChar">
    <w:name w:val="Header Char"/>
    <w:basedOn w:val="DefaultParagraphFont"/>
    <w:link w:val="Header"/>
    <w:uiPriority w:val="99"/>
    <w:rsid w:val="00F11D6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11D66"/>
    <w:pPr>
      <w:tabs>
        <w:tab w:val="center" w:pos="4153"/>
        <w:tab w:val="right" w:pos="8306"/>
      </w:tabs>
    </w:pPr>
  </w:style>
  <w:style w:type="character" w:customStyle="1" w:styleId="FooterChar">
    <w:name w:val="Footer Char"/>
    <w:basedOn w:val="DefaultParagraphFont"/>
    <w:link w:val="Footer"/>
    <w:uiPriority w:val="99"/>
    <w:rsid w:val="00F11D66"/>
    <w:rPr>
      <w:rFonts w:ascii="Times New Roman" w:eastAsia="Times New Roman" w:hAnsi="Times New Roman" w:cs="Times New Roman"/>
      <w:sz w:val="24"/>
      <w:szCs w:val="24"/>
      <w:lang w:eastAsia="en-US"/>
    </w:rPr>
  </w:style>
  <w:style w:type="paragraph" w:styleId="NormalWeb">
    <w:name w:val="Normal (Web)"/>
    <w:basedOn w:val="Normal"/>
    <w:uiPriority w:val="99"/>
    <w:semiHidden/>
    <w:rsid w:val="0045308F"/>
    <w:pPr>
      <w:spacing w:before="100" w:beforeAutospacing="1" w:after="100" w:afterAutospacing="1"/>
    </w:pPr>
    <w:rPr>
      <w:lang w:val="en-GB"/>
    </w:rPr>
  </w:style>
  <w:style w:type="paragraph" w:customStyle="1" w:styleId="naisf">
    <w:name w:val="naisf"/>
    <w:basedOn w:val="Normal"/>
    <w:rsid w:val="0045308F"/>
    <w:pPr>
      <w:spacing w:before="100" w:beforeAutospacing="1" w:after="100" w:afterAutospacing="1"/>
      <w:jc w:val="both"/>
    </w:pPr>
    <w:rPr>
      <w:lang w:val="en-GB"/>
    </w:rPr>
  </w:style>
  <w:style w:type="paragraph" w:styleId="EnvelopeReturn">
    <w:name w:val="envelope return"/>
    <w:basedOn w:val="Normal"/>
    <w:unhideWhenUsed/>
    <w:rsid w:val="0045308F"/>
    <w:pPr>
      <w:keepLines/>
      <w:widowControl w:val="0"/>
      <w:spacing w:before="600"/>
    </w:pPr>
    <w:rPr>
      <w:sz w:val="26"/>
      <w:szCs w:val="20"/>
      <w:lang w:val="en-AU"/>
    </w:rPr>
  </w:style>
  <w:style w:type="character" w:styleId="Hyperlink">
    <w:name w:val="Hyperlink"/>
    <w:basedOn w:val="DefaultParagraphFont"/>
    <w:uiPriority w:val="99"/>
    <w:unhideWhenUsed/>
    <w:rsid w:val="0045308F"/>
    <w:rPr>
      <w:color w:val="0000FF" w:themeColor="hyperlink"/>
      <w:u w:val="single"/>
    </w:rPr>
  </w:style>
  <w:style w:type="paragraph" w:styleId="BalloonText">
    <w:name w:val="Balloon Text"/>
    <w:basedOn w:val="Normal"/>
    <w:link w:val="BalloonTextChar"/>
    <w:uiPriority w:val="99"/>
    <w:semiHidden/>
    <w:unhideWhenUsed/>
    <w:rsid w:val="00553105"/>
    <w:rPr>
      <w:rFonts w:ascii="Tahoma" w:hAnsi="Tahoma" w:cs="Tahoma"/>
      <w:sz w:val="16"/>
      <w:szCs w:val="16"/>
    </w:rPr>
  </w:style>
  <w:style w:type="character" w:customStyle="1" w:styleId="BalloonTextChar">
    <w:name w:val="Balloon Text Char"/>
    <w:basedOn w:val="DefaultParagraphFont"/>
    <w:link w:val="BalloonText"/>
    <w:uiPriority w:val="99"/>
    <w:semiHidden/>
    <w:rsid w:val="0055310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6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D66"/>
    <w:pPr>
      <w:tabs>
        <w:tab w:val="center" w:pos="4153"/>
        <w:tab w:val="right" w:pos="8306"/>
      </w:tabs>
    </w:pPr>
  </w:style>
  <w:style w:type="character" w:customStyle="1" w:styleId="HeaderChar">
    <w:name w:val="Header Char"/>
    <w:basedOn w:val="DefaultParagraphFont"/>
    <w:link w:val="Header"/>
    <w:uiPriority w:val="99"/>
    <w:rsid w:val="00F11D6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11D66"/>
    <w:pPr>
      <w:tabs>
        <w:tab w:val="center" w:pos="4153"/>
        <w:tab w:val="right" w:pos="8306"/>
      </w:tabs>
    </w:pPr>
  </w:style>
  <w:style w:type="character" w:customStyle="1" w:styleId="FooterChar">
    <w:name w:val="Footer Char"/>
    <w:basedOn w:val="DefaultParagraphFont"/>
    <w:link w:val="Footer"/>
    <w:uiPriority w:val="99"/>
    <w:rsid w:val="00F11D66"/>
    <w:rPr>
      <w:rFonts w:ascii="Times New Roman" w:eastAsia="Times New Roman" w:hAnsi="Times New Roman" w:cs="Times New Roman"/>
      <w:sz w:val="24"/>
      <w:szCs w:val="24"/>
      <w:lang w:eastAsia="en-US"/>
    </w:rPr>
  </w:style>
  <w:style w:type="paragraph" w:styleId="NormalWeb">
    <w:name w:val="Normal (Web)"/>
    <w:basedOn w:val="Normal"/>
    <w:uiPriority w:val="99"/>
    <w:semiHidden/>
    <w:rsid w:val="0045308F"/>
    <w:pPr>
      <w:spacing w:before="100" w:beforeAutospacing="1" w:after="100" w:afterAutospacing="1"/>
    </w:pPr>
    <w:rPr>
      <w:lang w:val="en-GB"/>
    </w:rPr>
  </w:style>
  <w:style w:type="paragraph" w:customStyle="1" w:styleId="naisf">
    <w:name w:val="naisf"/>
    <w:basedOn w:val="Normal"/>
    <w:rsid w:val="0045308F"/>
    <w:pPr>
      <w:spacing w:before="100" w:beforeAutospacing="1" w:after="100" w:afterAutospacing="1"/>
      <w:jc w:val="both"/>
    </w:pPr>
    <w:rPr>
      <w:lang w:val="en-GB"/>
    </w:rPr>
  </w:style>
  <w:style w:type="paragraph" w:styleId="EnvelopeReturn">
    <w:name w:val="envelope return"/>
    <w:basedOn w:val="Normal"/>
    <w:unhideWhenUsed/>
    <w:rsid w:val="0045308F"/>
    <w:pPr>
      <w:keepLines/>
      <w:widowControl w:val="0"/>
      <w:spacing w:before="600"/>
    </w:pPr>
    <w:rPr>
      <w:sz w:val="26"/>
      <w:szCs w:val="20"/>
      <w:lang w:val="en-AU"/>
    </w:rPr>
  </w:style>
  <w:style w:type="character" w:styleId="Hyperlink">
    <w:name w:val="Hyperlink"/>
    <w:basedOn w:val="DefaultParagraphFont"/>
    <w:uiPriority w:val="99"/>
    <w:unhideWhenUsed/>
    <w:rsid w:val="0045308F"/>
    <w:rPr>
      <w:color w:val="0000FF" w:themeColor="hyperlink"/>
      <w:u w:val="single"/>
    </w:rPr>
  </w:style>
  <w:style w:type="paragraph" w:styleId="BalloonText">
    <w:name w:val="Balloon Text"/>
    <w:basedOn w:val="Normal"/>
    <w:link w:val="BalloonTextChar"/>
    <w:uiPriority w:val="99"/>
    <w:semiHidden/>
    <w:unhideWhenUsed/>
    <w:rsid w:val="00553105"/>
    <w:rPr>
      <w:rFonts w:ascii="Tahoma" w:hAnsi="Tahoma" w:cs="Tahoma"/>
      <w:sz w:val="16"/>
      <w:szCs w:val="16"/>
    </w:rPr>
  </w:style>
  <w:style w:type="character" w:customStyle="1" w:styleId="BalloonTextChar">
    <w:name w:val="Balloon Text Char"/>
    <w:basedOn w:val="DefaultParagraphFont"/>
    <w:link w:val="BalloonText"/>
    <w:uiPriority w:val="99"/>
    <w:semiHidden/>
    <w:rsid w:val="0055310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1704</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Kārtība, kādā gadskārtējā valsts budžeta likumprojektā iekļauj pieprasījumus valsts vārdā sniedzamajiem galvojumiem un veic galvojumu sniegšanu un uzraudzību</vt:lpstr>
    </vt:vector>
  </TitlesOfParts>
  <Company>Valsts kase</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gadskārtējā valsts budžeta likumprojektā iekļauj pieprasījumus valsts vārdā sniedzamajiem galvojumiem un veic galvojumu sniegšanu un uzraudzību</dc:title>
  <dc:subject>Noteikumu projekta pielikums Nr.3</dc:subject>
  <dc:creator>Valsts kases Finansēšanas departamenta vec. eksperte Indra Bobrovska</dc:creator>
  <cp:keywords/>
  <dc:description>Indra Bobrovska 67094229 Indra.Bobrovska@kase.gov.lv</dc:description>
  <cp:lastModifiedBy>Indra Bobrovska</cp:lastModifiedBy>
  <cp:revision>5</cp:revision>
  <cp:lastPrinted>2014-07-04T11:38:00Z</cp:lastPrinted>
  <dcterms:created xsi:type="dcterms:W3CDTF">2014-06-19T06:34:00Z</dcterms:created>
  <dcterms:modified xsi:type="dcterms:W3CDTF">2014-07-04T11:39:00Z</dcterms:modified>
  <cp:category>pielikums</cp:category>
</cp:coreProperties>
</file>