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3E" w:rsidRPr="00351B3B" w:rsidRDefault="0019233E" w:rsidP="0019233E">
      <w:pPr>
        <w:pStyle w:val="naislab"/>
        <w:spacing w:before="0" w:after="0"/>
        <w:jc w:val="center"/>
        <w:outlineLvl w:val="0"/>
        <w:rPr>
          <w:b/>
          <w:bCs/>
        </w:rPr>
      </w:pPr>
      <w:r w:rsidRPr="00351B3B">
        <w:rPr>
          <w:b/>
          <w:bCs/>
        </w:rPr>
        <w:t xml:space="preserve">Ministru kabineta rīkojuma projekta „Grozījums Ministru kabineta 2011.gada 27.jūlija rīkojumā Nr.347 </w:t>
      </w:r>
      <w:r w:rsidR="00313739" w:rsidRPr="00351B3B">
        <w:rPr>
          <w:b/>
          <w:bCs/>
        </w:rPr>
        <w:t>„</w:t>
      </w:r>
      <w:r w:rsidRPr="00351B3B">
        <w:rPr>
          <w:b/>
          <w:bCs/>
        </w:rPr>
        <w:t xml:space="preserve">Par informācijas sistēmas darbības koncepcijas aprakstu </w:t>
      </w:r>
      <w:r w:rsidR="00313739" w:rsidRPr="00351B3B">
        <w:rPr>
          <w:b/>
          <w:bCs/>
        </w:rPr>
        <w:t>„</w:t>
      </w:r>
      <w:r w:rsidRPr="00351B3B">
        <w:rPr>
          <w:b/>
          <w:bCs/>
        </w:rPr>
        <w:t>Pasu sistēmas un Vienotās migrācijas informācijas sistēmas attīstība elektronisko identifikācijas karšu un elektronisko uzturēšanās atļauju (karšu) izsniegšanai</w:t>
      </w:r>
      <w:r w:rsidR="00313739" w:rsidRPr="00351B3B">
        <w:rPr>
          <w:b/>
          <w:bCs/>
        </w:rPr>
        <w:t>””</w:t>
      </w:r>
      <w:r w:rsidRPr="00351B3B">
        <w:rPr>
          <w:b/>
          <w:bCs/>
        </w:rPr>
        <w:t xml:space="preserve"> sākotnējās ietekmes novērtējuma </w:t>
      </w:r>
      <w:smartTag w:uri="schemas-tilde-lv/tildestengine" w:element="veidnes">
        <w:smartTagPr>
          <w:attr w:name="text" w:val="ziņojums"/>
          <w:attr w:name="baseform" w:val="ziņojums"/>
          <w:attr w:name="id" w:val="-1"/>
        </w:smartTagPr>
        <w:r w:rsidRPr="00351B3B">
          <w:rPr>
            <w:b/>
            <w:bCs/>
          </w:rPr>
          <w:t>ziņojums</w:t>
        </w:r>
      </w:smartTag>
      <w:r w:rsidRPr="00351B3B">
        <w:rPr>
          <w:b/>
          <w:bCs/>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849"/>
        <w:gridCol w:w="5871"/>
      </w:tblGrid>
      <w:tr w:rsidR="00F50741" w:rsidRPr="00351B3B"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b/>
                <w:bCs/>
                <w:sz w:val="24"/>
                <w:szCs w:val="24"/>
                <w:lang w:eastAsia="lv-LV"/>
              </w:rPr>
            </w:pPr>
            <w:r w:rsidRPr="00351B3B">
              <w:rPr>
                <w:rFonts w:ascii="Times New Roman" w:eastAsia="Times New Roman" w:hAnsi="Times New Roman" w:cs="Times New Roman"/>
                <w:b/>
                <w:bCs/>
                <w:sz w:val="24"/>
                <w:szCs w:val="24"/>
                <w:lang w:eastAsia="lv-LV"/>
              </w:rPr>
              <w:t>I. Tiesību akta projekta izstrādes nepieciešamība</w:t>
            </w:r>
          </w:p>
        </w:tc>
      </w:tr>
      <w:tr w:rsidR="00F50741" w:rsidRPr="00351B3B"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351B3B" w:rsidRDefault="00F50741" w:rsidP="00EC3625">
            <w:pPr>
              <w:spacing w:after="0"/>
              <w:rPr>
                <w:rFonts w:ascii="Times New Roman" w:eastAsia="Times New Roman" w:hAnsi="Times New Roman" w:cs="Times New Roman"/>
                <w:lang w:eastAsia="lv-LV"/>
              </w:rPr>
            </w:pPr>
            <w:r w:rsidRPr="00351B3B">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351B3B" w:rsidRDefault="00F50741"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351B3B" w:rsidRDefault="0064637A" w:rsidP="00015EA6">
            <w:pPr>
              <w:spacing w:after="0"/>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Ministru kabineta 2011.gada 27.jūlija rīkojuma Nr.347 „Par informācijas sistēmas darbības koncepcijas aprakstu „Pasu sistēmas un Vienotās migrācijas informācijas sistēmas attīstība elektronisko identifikācijas karšu un elektronisko uzturēšanās atļauju (karšu) izsniegšana” 6.punkts, kā arī nepieciešamība precizēt </w:t>
            </w:r>
            <w:r w:rsidR="000F67DF" w:rsidRPr="00351B3B">
              <w:rPr>
                <w:rFonts w:ascii="Times New Roman" w:eastAsia="Times New Roman" w:hAnsi="Times New Roman" w:cs="Times New Roman"/>
                <w:sz w:val="24"/>
                <w:szCs w:val="24"/>
                <w:lang w:eastAsia="lv-LV"/>
              </w:rPr>
              <w:t>pasākumam „</w:t>
            </w:r>
            <w:r w:rsidRPr="00351B3B">
              <w:rPr>
                <w:rFonts w:ascii="Times New Roman" w:eastAsia="Times New Roman" w:hAnsi="Times New Roman" w:cs="Times New Roman"/>
                <w:sz w:val="24"/>
                <w:szCs w:val="24"/>
                <w:lang w:eastAsia="lv-LV"/>
              </w:rPr>
              <w:t>Eiropas Savienības prasībām atbilstošu pasu, elektronisko identifikācijas karšu un uzturēšanās atļauju izsniegšana</w:t>
            </w:r>
            <w:r w:rsidR="00116EB3" w:rsidRPr="00351B3B">
              <w:rPr>
                <w:rFonts w:ascii="Times New Roman" w:eastAsia="Times New Roman" w:hAnsi="Times New Roman" w:cs="Times New Roman"/>
                <w:sz w:val="24"/>
                <w:szCs w:val="24"/>
                <w:lang w:eastAsia="lv-LV"/>
              </w:rPr>
              <w:t>i</w:t>
            </w:r>
            <w:r w:rsidRPr="00351B3B">
              <w:rPr>
                <w:rFonts w:ascii="Times New Roman" w:eastAsia="Times New Roman" w:hAnsi="Times New Roman" w:cs="Times New Roman"/>
                <w:sz w:val="24"/>
                <w:szCs w:val="24"/>
                <w:lang w:eastAsia="lv-LV"/>
              </w:rPr>
              <w:t>”</w:t>
            </w:r>
            <w:r w:rsidR="00116EB3" w:rsidRPr="00351B3B">
              <w:rPr>
                <w:rFonts w:ascii="Times New Roman" w:eastAsia="Times New Roman" w:hAnsi="Times New Roman" w:cs="Times New Roman"/>
                <w:sz w:val="24"/>
                <w:szCs w:val="24"/>
                <w:lang w:eastAsia="lv-LV"/>
              </w:rPr>
              <w:t>”</w:t>
            </w:r>
            <w:r w:rsidRPr="00351B3B">
              <w:rPr>
                <w:rFonts w:ascii="Times New Roman" w:eastAsia="Times New Roman" w:hAnsi="Times New Roman" w:cs="Times New Roman"/>
                <w:sz w:val="24"/>
                <w:szCs w:val="24"/>
                <w:lang w:eastAsia="lv-LV"/>
              </w:rPr>
              <w:t xml:space="preserve"> 2014.gadam</w:t>
            </w:r>
            <w:r w:rsidR="00E33220" w:rsidRPr="00351B3B">
              <w:rPr>
                <w:rFonts w:ascii="Times New Roman" w:eastAsia="Times New Roman" w:hAnsi="Times New Roman" w:cs="Times New Roman"/>
                <w:sz w:val="24"/>
                <w:szCs w:val="24"/>
                <w:lang w:eastAsia="lv-LV"/>
              </w:rPr>
              <w:t>, 2015.gadam un 2016.</w:t>
            </w:r>
            <w:r w:rsidRPr="00351B3B">
              <w:rPr>
                <w:rFonts w:ascii="Times New Roman" w:eastAsia="Times New Roman" w:hAnsi="Times New Roman" w:cs="Times New Roman"/>
                <w:sz w:val="24"/>
                <w:szCs w:val="24"/>
                <w:lang w:eastAsia="lv-LV"/>
              </w:rPr>
              <w:t>gad</w:t>
            </w:r>
            <w:r w:rsidR="00E33220" w:rsidRPr="00351B3B">
              <w:rPr>
                <w:rFonts w:ascii="Times New Roman" w:eastAsia="Times New Roman" w:hAnsi="Times New Roman" w:cs="Times New Roman"/>
                <w:sz w:val="24"/>
                <w:szCs w:val="24"/>
                <w:lang w:eastAsia="lv-LV"/>
              </w:rPr>
              <w:t>a</w:t>
            </w:r>
            <w:r w:rsidRPr="00351B3B">
              <w:rPr>
                <w:rFonts w:ascii="Times New Roman" w:eastAsia="Times New Roman" w:hAnsi="Times New Roman" w:cs="Times New Roman"/>
                <w:sz w:val="24"/>
                <w:szCs w:val="24"/>
                <w:lang w:eastAsia="lv-LV"/>
              </w:rPr>
              <w:t>m paredzētā finansējuma sadalījumu starp budžeta izdevumu kodiem</w:t>
            </w:r>
            <w:r w:rsidR="00015EA6" w:rsidRPr="00351B3B">
              <w:rPr>
                <w:rFonts w:ascii="Times New Roman" w:eastAsia="Times New Roman" w:hAnsi="Times New Roman" w:cs="Times New Roman"/>
                <w:sz w:val="24"/>
                <w:szCs w:val="24"/>
                <w:lang w:eastAsia="lv-LV"/>
              </w:rPr>
              <w:t xml:space="preserve"> un budžeta apakšprogrammām</w:t>
            </w:r>
            <w:r w:rsidRPr="00351B3B">
              <w:rPr>
                <w:rFonts w:ascii="Times New Roman" w:eastAsia="Times New Roman" w:hAnsi="Times New Roman" w:cs="Times New Roman"/>
                <w:sz w:val="24"/>
                <w:szCs w:val="24"/>
                <w:lang w:eastAsia="lv-LV"/>
              </w:rPr>
              <w:t>.</w:t>
            </w:r>
          </w:p>
        </w:tc>
      </w:tr>
      <w:tr w:rsidR="00F50741" w:rsidRPr="00351B3B"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351B3B" w:rsidRDefault="00F50741" w:rsidP="00EC3625">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351B3B" w:rsidRDefault="00F50741"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Saskaņā ar Ministru kabineta 2011.gada 27.jūlija rīkojuma Nr.347 „Par informācijas sistēmas darbības koncepcijas aprakstu „Pasu sistēmas un Vienotās migrācijas informācijas sistēmas attīstība elektronisko identifikācijas karšu un elektronisko uzturēšanās atļauju (karšu) izsniegšana” (turpmāk – Rīkojums) 6.punktu Iekšlietu ministrijai dots uzdevums, ņemot vērā faktiskos pasu un personas apliecību izsniegšanas apjomus, kā arī citus ieņēmumu un izdevumu apmēru ietekmējošus faktorus, ja nepieciešams, precizēt Rīkojuma 8. un 9.punktā minēto izdevumu un ieņēmumu apmēru.</w:t>
            </w:r>
          </w:p>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Plānojot budžeta finansējumu personu apliecinošu dokumentu izsniegšanas </w:t>
            </w:r>
            <w:proofErr w:type="gramStart"/>
            <w:r w:rsidRPr="00351B3B">
              <w:rPr>
                <w:rFonts w:ascii="Times New Roman" w:eastAsia="Times New Roman" w:hAnsi="Times New Roman" w:cs="Times New Roman"/>
                <w:sz w:val="24"/>
                <w:szCs w:val="24"/>
                <w:lang w:eastAsia="lv-LV"/>
              </w:rPr>
              <w:t>darba vietas</w:t>
            </w:r>
            <w:proofErr w:type="gramEnd"/>
            <w:r w:rsidRPr="00351B3B">
              <w:rPr>
                <w:rFonts w:ascii="Times New Roman" w:eastAsia="Times New Roman" w:hAnsi="Times New Roman" w:cs="Times New Roman"/>
                <w:sz w:val="24"/>
                <w:szCs w:val="24"/>
                <w:lang w:eastAsia="lv-LV"/>
              </w:rPr>
              <w:t xml:space="preserve"> aprīkojuma nomaiņai, tika paredzēts aprīkojuma nomaiņu veikt vairākos posmos, katru gadu iegādājoties daļu no nepieciešamā aprīkojuma. Ņemot vērā, ka Microsoft Windows XP operētājsistēmas tehniskais atbalsts netika pagarināts un pārtraukts 2014.gada aprīlī, nepieciešams paātrināt iepriekš plānoto pakāpenisko aprīkojuma, tajā skaitā datortehnikas nomaiņu, to pilnībā pabeidzot 2014.gada laikā, lai samazinātu informācijas tehnoloģiju drošības riskus, ko rada neatbalstītas operētājsistēmas izmantošana, kam netiek piedāvāti ražotāja drošības ielāpi un jauninājumi.</w:t>
            </w:r>
          </w:p>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Plānojot budžeta finansējumu pasu </w:t>
            </w:r>
            <w:proofErr w:type="spellStart"/>
            <w:r w:rsidRPr="00351B3B">
              <w:rPr>
                <w:rFonts w:ascii="Times New Roman" w:eastAsia="Times New Roman" w:hAnsi="Times New Roman" w:cs="Times New Roman"/>
                <w:sz w:val="24"/>
                <w:szCs w:val="24"/>
                <w:lang w:eastAsia="lv-LV"/>
              </w:rPr>
              <w:t>personalizācijas</w:t>
            </w:r>
            <w:proofErr w:type="spellEnd"/>
            <w:r w:rsidRPr="00351B3B">
              <w:rPr>
                <w:rFonts w:ascii="Times New Roman" w:eastAsia="Times New Roman" w:hAnsi="Times New Roman" w:cs="Times New Roman"/>
                <w:sz w:val="24"/>
                <w:szCs w:val="24"/>
                <w:lang w:eastAsia="lv-LV"/>
              </w:rPr>
              <w:t xml:space="preserve"> aprīkojuma nomaiņai, tika paredzēts aprīkojuma nomaiņu veikt pakāpeniski vairākos posmos, katru gadu iegādājoties daļu no nepieciešamā aprīkojuma. Ņemot vērā, ka ar 2015.gada 5.janvāri plānots uzsākt jaunā parauga pasu </w:t>
            </w:r>
            <w:proofErr w:type="spellStart"/>
            <w:r w:rsidRPr="00351B3B">
              <w:rPr>
                <w:rFonts w:ascii="Times New Roman" w:eastAsia="Times New Roman" w:hAnsi="Times New Roman" w:cs="Times New Roman"/>
                <w:sz w:val="24"/>
                <w:szCs w:val="24"/>
                <w:lang w:eastAsia="lv-LV"/>
              </w:rPr>
              <w:lastRenderedPageBreak/>
              <w:t>personalizāciju</w:t>
            </w:r>
            <w:proofErr w:type="spellEnd"/>
            <w:r w:rsidRPr="00351B3B">
              <w:rPr>
                <w:rFonts w:ascii="Times New Roman" w:eastAsia="Times New Roman" w:hAnsi="Times New Roman" w:cs="Times New Roman"/>
                <w:sz w:val="24"/>
                <w:szCs w:val="24"/>
                <w:lang w:eastAsia="lv-LV"/>
              </w:rPr>
              <w:t xml:space="preserve">, ir lietderīgi pilnībā pabeigt pasu </w:t>
            </w:r>
            <w:proofErr w:type="spellStart"/>
            <w:r w:rsidRPr="00351B3B">
              <w:rPr>
                <w:rFonts w:ascii="Times New Roman" w:eastAsia="Times New Roman" w:hAnsi="Times New Roman" w:cs="Times New Roman"/>
                <w:sz w:val="24"/>
                <w:szCs w:val="24"/>
                <w:lang w:eastAsia="lv-LV"/>
              </w:rPr>
              <w:t>personalizācijas</w:t>
            </w:r>
            <w:proofErr w:type="spellEnd"/>
            <w:r w:rsidRPr="00351B3B">
              <w:rPr>
                <w:rFonts w:ascii="Times New Roman" w:eastAsia="Times New Roman" w:hAnsi="Times New Roman" w:cs="Times New Roman"/>
                <w:sz w:val="24"/>
                <w:szCs w:val="24"/>
                <w:lang w:eastAsia="lv-LV"/>
              </w:rPr>
              <w:t xml:space="preserve"> aprīkojuma nomaiņu līdz 2014.gada beigām, jo, veicot detalizētu izpēti, tika secināts, ka šim mērķim pielāgot šobrīd izmantojamo pasu </w:t>
            </w:r>
            <w:proofErr w:type="spellStart"/>
            <w:r w:rsidRPr="00351B3B">
              <w:rPr>
                <w:rFonts w:ascii="Times New Roman" w:eastAsia="Times New Roman" w:hAnsi="Times New Roman" w:cs="Times New Roman"/>
                <w:sz w:val="24"/>
                <w:szCs w:val="24"/>
                <w:lang w:eastAsia="lv-LV"/>
              </w:rPr>
              <w:t>personalizācijas</w:t>
            </w:r>
            <w:proofErr w:type="spellEnd"/>
            <w:r w:rsidRPr="00351B3B">
              <w:rPr>
                <w:rFonts w:ascii="Times New Roman" w:eastAsia="Times New Roman" w:hAnsi="Times New Roman" w:cs="Times New Roman"/>
                <w:sz w:val="24"/>
                <w:szCs w:val="24"/>
                <w:lang w:eastAsia="lv-LV"/>
              </w:rPr>
              <w:t xml:space="preserve"> aparatūru un programmatūru, kā arī nodrošināt tās uzturēšanu līdz jauna aprīkojuma iegādei, ir finansiāli neefektīvāk.</w:t>
            </w:r>
          </w:p>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Plānojot budžeta finansējumu Personu apliecinošu dokumentu informācijas sistēmas (turpmāk – PADIS) programmatūras uzturēšanai, netika paredzēts, ka, turpinot programmatūras attīstību, daļa no veiktajiem papildinājumiem būs kapitalizējami, tāpēc viss atbilstošais finansējums ir kla</w:t>
            </w:r>
            <w:r w:rsidR="00177324" w:rsidRPr="00351B3B">
              <w:rPr>
                <w:rFonts w:ascii="Times New Roman" w:eastAsia="Times New Roman" w:hAnsi="Times New Roman" w:cs="Times New Roman"/>
                <w:sz w:val="24"/>
                <w:szCs w:val="24"/>
                <w:lang w:eastAsia="lv-LV"/>
              </w:rPr>
              <w:t xml:space="preserve">sificēts budžeta izdevumu kodā </w:t>
            </w:r>
            <w:r w:rsidRPr="00351B3B">
              <w:rPr>
                <w:rFonts w:ascii="Times New Roman" w:eastAsia="Times New Roman" w:hAnsi="Times New Roman" w:cs="Times New Roman"/>
                <w:sz w:val="24"/>
                <w:szCs w:val="24"/>
                <w:lang w:eastAsia="lv-LV"/>
              </w:rPr>
              <w:t>2250 (Informācijas tehnoloģiju pakalpojumi).</w:t>
            </w:r>
          </w:p>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Ievērojot iepriekš minēto, n</w:t>
            </w:r>
            <w:r w:rsidR="000B70E3" w:rsidRPr="00351B3B">
              <w:rPr>
                <w:rFonts w:ascii="Times New Roman" w:eastAsia="Times New Roman" w:hAnsi="Times New Roman" w:cs="Times New Roman"/>
                <w:sz w:val="24"/>
                <w:szCs w:val="24"/>
                <w:lang w:eastAsia="lv-LV"/>
              </w:rPr>
              <w:t>epieciešams precizēt pasākumam „</w:t>
            </w:r>
            <w:r w:rsidRPr="00351B3B">
              <w:rPr>
                <w:rFonts w:ascii="Times New Roman" w:eastAsia="Times New Roman" w:hAnsi="Times New Roman" w:cs="Times New Roman"/>
                <w:sz w:val="24"/>
                <w:szCs w:val="24"/>
                <w:lang w:eastAsia="lv-LV"/>
              </w:rPr>
              <w:t xml:space="preserve">Eiropas Savienības prasībām atbilstošu pasu, elektronisko identifikācijas karšu un uzturēšanās atļauju izsniegšana” 2014.gadam paredzētā finansējuma sadalījumu starp budžeta izdevumu kodiem, palielinot pamatkapitāla veidošanai paredzēto finansējumu par 722 330 </w:t>
            </w:r>
            <w:proofErr w:type="spellStart"/>
            <w:r w:rsidR="00874D8E" w:rsidRPr="00351B3B">
              <w:rPr>
                <w:rFonts w:ascii="Times New Roman" w:eastAsia="Times New Roman" w:hAnsi="Times New Roman" w:cs="Times New Roman"/>
                <w:i/>
                <w:sz w:val="24"/>
                <w:szCs w:val="24"/>
                <w:lang w:eastAsia="lv-LV"/>
              </w:rPr>
              <w:t>euro</w:t>
            </w:r>
            <w:proofErr w:type="spellEnd"/>
            <w:r w:rsidRPr="00351B3B">
              <w:rPr>
                <w:rFonts w:ascii="Times New Roman" w:eastAsia="Times New Roman" w:hAnsi="Times New Roman" w:cs="Times New Roman"/>
                <w:sz w:val="24"/>
                <w:szCs w:val="24"/>
                <w:lang w:eastAsia="lv-LV"/>
              </w:rPr>
              <w:t xml:space="preserve">, vienlaikus samazinot precēm un pakalpojumiem paredzēto finansējumu par 722 330 </w:t>
            </w:r>
            <w:proofErr w:type="spellStart"/>
            <w:r w:rsidR="00874D8E" w:rsidRPr="00351B3B">
              <w:rPr>
                <w:rFonts w:ascii="Times New Roman" w:eastAsia="Times New Roman" w:hAnsi="Times New Roman" w:cs="Times New Roman"/>
                <w:i/>
                <w:sz w:val="24"/>
                <w:szCs w:val="24"/>
                <w:lang w:eastAsia="lv-LV"/>
              </w:rPr>
              <w:t>euro</w:t>
            </w:r>
            <w:proofErr w:type="spellEnd"/>
            <w:r w:rsidRPr="00351B3B">
              <w:rPr>
                <w:rFonts w:ascii="Times New Roman" w:eastAsia="Times New Roman" w:hAnsi="Times New Roman" w:cs="Times New Roman"/>
                <w:sz w:val="24"/>
                <w:szCs w:val="24"/>
                <w:lang w:eastAsia="lv-LV"/>
              </w:rPr>
              <w:t>. Precēm un pakalpojumiem 2014.gadam paredzēto finansējumu ir iespējams samazināt, jo, samazinoties izsniegto personu apliecinošu dokumentu skaitam, ir nepieciešams iegādāties mazāk pasu un personas apliecību sagatavju nekā iepriekš plānots, kā arī jaunā parauga pasu sagatavēm ir zemāka cena.</w:t>
            </w:r>
          </w:p>
          <w:p w:rsidR="0064637A"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Atbilstoši aktualizētajām prognozēm par personu apliecinošu dokumentu izsniegšanai iegādājamo pasu un personas apliecību sagatavju skaitu un cenām 2015. un 2016.gadam, ir nepieciešams precizēt Rīkojumā paredzēto finansējuma sadalījumu (pa sagatavju veidiem un budžeta izdevumu kodiem).</w:t>
            </w:r>
          </w:p>
          <w:p w:rsidR="00D26FBE" w:rsidRPr="00351B3B" w:rsidRDefault="0064637A" w:rsidP="0064637A">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Ņemot vērā Iekšlietu ministrijā notiekošo informācijas un komunikāciju tehnoloģiju (turpmāk – IKT) uzturēšanas centralizāciju, kas paredz pakāpenisku IKT atbalsta funkciju nodošanu Iekšlietu ministrijas Informācijas centram, nepieciešams veikt budžeta apakšprogrammā 11.01.00 "Pilsonības un migrācijas lietu pārvalde" 2014., 2015. un 2016.gadam paredzētā finansējuma kārtējiem izdevumiem 60 862 </w:t>
            </w:r>
            <w:proofErr w:type="spellStart"/>
            <w:r w:rsidR="00874D8E" w:rsidRPr="00351B3B">
              <w:rPr>
                <w:rFonts w:ascii="Times New Roman" w:eastAsia="Times New Roman" w:hAnsi="Times New Roman" w:cs="Times New Roman"/>
                <w:i/>
                <w:sz w:val="24"/>
                <w:szCs w:val="24"/>
                <w:lang w:eastAsia="lv-LV"/>
              </w:rPr>
              <w:t>euro</w:t>
            </w:r>
            <w:proofErr w:type="spellEnd"/>
            <w:r w:rsidR="008C55FA" w:rsidRPr="00351B3B">
              <w:rPr>
                <w:rFonts w:ascii="Times New Roman" w:eastAsia="Times New Roman" w:hAnsi="Times New Roman" w:cs="Times New Roman"/>
                <w:sz w:val="24"/>
                <w:szCs w:val="24"/>
                <w:lang w:eastAsia="lv-LV"/>
              </w:rPr>
              <w:t xml:space="preserve"> </w:t>
            </w:r>
            <w:r w:rsidRPr="00351B3B">
              <w:rPr>
                <w:rFonts w:ascii="Times New Roman" w:eastAsia="Times New Roman" w:hAnsi="Times New Roman" w:cs="Times New Roman"/>
                <w:sz w:val="24"/>
                <w:szCs w:val="24"/>
                <w:lang w:eastAsia="lv-LV"/>
              </w:rPr>
              <w:t>apmērā pārdali budžeta apakšprogrammai 02.03.00 "Vienotās sakaru un informācijas sistēmas uzturēšana un vadība" PADIS datu bāzu vadības sistēmas licenču uzturēšanai.</w:t>
            </w:r>
          </w:p>
          <w:p w:rsidR="006931F8" w:rsidRPr="00351B3B" w:rsidRDefault="00D26FBE" w:rsidP="00D26FBE">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lastRenderedPageBreak/>
              <w:t>Ieņēmumu apmēra izmaiņas 2015. un 2016.gadā netiek prognozētas, līdz ar to nav nepieciešams precizēt Rīkojuma 9.punktu.</w:t>
            </w:r>
          </w:p>
        </w:tc>
      </w:tr>
      <w:tr w:rsidR="00F50741" w:rsidRPr="00351B3B"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351B3B" w:rsidRDefault="00F50741" w:rsidP="00EC3625">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351B3B" w:rsidRDefault="00F50741"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F50741" w:rsidRPr="00351B3B" w:rsidRDefault="009B1BC5" w:rsidP="00FD37D8">
            <w:pPr>
              <w:spacing w:after="0"/>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Iekšlietu ministrija, </w:t>
            </w:r>
            <w:r w:rsidR="0064637A" w:rsidRPr="00351B3B">
              <w:rPr>
                <w:rFonts w:ascii="Times New Roman" w:eastAsia="Times New Roman" w:hAnsi="Times New Roman" w:cs="Times New Roman"/>
                <w:sz w:val="24"/>
                <w:szCs w:val="24"/>
                <w:lang w:eastAsia="lv-LV"/>
              </w:rPr>
              <w:t>Pilsonības un migrācijas lietu pārvalde</w:t>
            </w:r>
          </w:p>
        </w:tc>
      </w:tr>
      <w:tr w:rsidR="00F50741" w:rsidRPr="00351B3B"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351B3B" w:rsidRDefault="00F50741" w:rsidP="00EC3625">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351B3B" w:rsidRDefault="00F50741"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351B3B" w:rsidRDefault="00207436" w:rsidP="00207436">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Nav</w:t>
            </w:r>
          </w:p>
        </w:tc>
      </w:tr>
    </w:tbl>
    <w:p w:rsidR="00F50741" w:rsidRPr="00351B3B" w:rsidRDefault="00F50741" w:rsidP="00F50741">
      <w:pPr>
        <w:spacing w:after="0"/>
        <w:ind w:firstLine="30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w:t>
      </w:r>
    </w:p>
    <w:p w:rsidR="00F50741" w:rsidRPr="00351B3B" w:rsidRDefault="00F50741" w:rsidP="00F50741">
      <w:pPr>
        <w:spacing w:after="0"/>
        <w:ind w:firstLine="30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70"/>
        <w:gridCol w:w="1342"/>
        <w:gridCol w:w="1263"/>
        <w:gridCol w:w="1374"/>
        <w:gridCol w:w="1311"/>
        <w:gridCol w:w="1561"/>
      </w:tblGrid>
      <w:tr w:rsidR="00F50741" w:rsidRPr="00351B3B" w:rsidTr="00F50741">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III. Tiesību akta projekta ietekme uz valsts budžetu un pašvaldību budžetiem</w:t>
            </w:r>
          </w:p>
        </w:tc>
      </w:tr>
      <w:tr w:rsidR="00F50741" w:rsidRPr="00351B3B" w:rsidTr="007060BA">
        <w:trPr>
          <w:tblCellSpacing w:w="15" w:type="dxa"/>
          <w:jc w:val="center"/>
        </w:trPr>
        <w:tc>
          <w:tcPr>
            <w:tcW w:w="1278" w:type="pct"/>
            <w:vMerge w:val="restar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Rādītāji</w:t>
            </w:r>
          </w:p>
        </w:tc>
        <w:tc>
          <w:tcPr>
            <w:tcW w:w="139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0741" w:rsidRPr="00351B3B" w:rsidRDefault="004E10B9"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2014.</w:t>
            </w:r>
          </w:p>
        </w:tc>
        <w:tc>
          <w:tcPr>
            <w:tcW w:w="2260" w:type="pct"/>
            <w:gridSpan w:val="3"/>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Turpmākie trīs gadi (</w:t>
            </w:r>
            <w:proofErr w:type="spellStart"/>
            <w:r w:rsidRPr="00351B3B">
              <w:rPr>
                <w:rFonts w:ascii="Times New Roman" w:eastAsia="Times New Roman" w:hAnsi="Times New Roman" w:cs="Times New Roman"/>
                <w:i/>
                <w:sz w:val="24"/>
                <w:szCs w:val="24"/>
                <w:lang w:eastAsia="lv-LV"/>
              </w:rPr>
              <w:t>euro</w:t>
            </w:r>
            <w:proofErr w:type="spellEnd"/>
            <w:r w:rsidRPr="00351B3B">
              <w:rPr>
                <w:rFonts w:ascii="Times New Roman" w:eastAsia="Times New Roman" w:hAnsi="Times New Roman" w:cs="Times New Roman"/>
                <w:sz w:val="24"/>
                <w:szCs w:val="24"/>
                <w:lang w:eastAsia="lv-LV"/>
              </w:rPr>
              <w:t>)</w:t>
            </w:r>
          </w:p>
        </w:tc>
      </w:tr>
      <w:tr w:rsidR="007060BA" w:rsidRPr="00351B3B" w:rsidTr="007060B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4E10B9"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2015.</w:t>
            </w:r>
          </w:p>
        </w:tc>
        <w:tc>
          <w:tcPr>
            <w:tcW w:w="70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4E10B9"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2016.</w:t>
            </w:r>
          </w:p>
        </w:tc>
        <w:tc>
          <w:tcPr>
            <w:tcW w:w="78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4E10B9"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2017.</w:t>
            </w:r>
          </w:p>
        </w:tc>
      </w:tr>
      <w:tr w:rsidR="007060BA" w:rsidRPr="00351B3B" w:rsidTr="007060B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rPr>
                <w:rFonts w:ascii="Times New Roman" w:eastAsia="Times New Roman" w:hAnsi="Times New Roman" w:cs="Times New Roman"/>
                <w:sz w:val="24"/>
                <w:szCs w:val="24"/>
                <w:lang w:eastAsia="lv-LV"/>
              </w:rPr>
            </w:pPr>
          </w:p>
        </w:tc>
        <w:tc>
          <w:tcPr>
            <w:tcW w:w="721"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7060BA">
            <w:pPr>
              <w:spacing w:after="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saskaņā ar valsts budžetu kārtējam gadam</w:t>
            </w:r>
          </w:p>
        </w:tc>
        <w:tc>
          <w:tcPr>
            <w:tcW w:w="660"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7060BA">
            <w:pPr>
              <w:spacing w:after="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izmaiņas kārtējā gadā, salīdzinot ar valsts budžetu kārtējam gadam</w:t>
            </w:r>
          </w:p>
        </w:tc>
        <w:tc>
          <w:tcPr>
            <w:tcW w:w="739"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7060BA">
            <w:pPr>
              <w:spacing w:after="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izmaiņas, salīdzinot ar kārtējo </w:t>
            </w:r>
            <w:r w:rsidR="008C55FA" w:rsidRPr="00351B3B">
              <w:rPr>
                <w:rFonts w:ascii="Times New Roman" w:eastAsia="Times New Roman" w:hAnsi="Times New Roman" w:cs="Times New Roman"/>
                <w:sz w:val="24"/>
                <w:szCs w:val="24"/>
                <w:lang w:eastAsia="lv-LV"/>
              </w:rPr>
              <w:t>2014.</w:t>
            </w:r>
            <w:r w:rsidRPr="00351B3B">
              <w:rPr>
                <w:rFonts w:ascii="Times New Roman" w:eastAsia="Times New Roman" w:hAnsi="Times New Roman" w:cs="Times New Roman"/>
                <w:sz w:val="24"/>
                <w:szCs w:val="24"/>
                <w:lang w:eastAsia="lv-LV"/>
              </w:rPr>
              <w:t xml:space="preserve"> gadu</w:t>
            </w:r>
          </w:p>
        </w:tc>
        <w:tc>
          <w:tcPr>
            <w:tcW w:w="70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7060BA">
            <w:pPr>
              <w:spacing w:after="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izmaiņas, salīdzinot ar kārtējo </w:t>
            </w:r>
            <w:r w:rsidR="008C55FA" w:rsidRPr="00351B3B">
              <w:rPr>
                <w:rFonts w:ascii="Times New Roman" w:eastAsia="Times New Roman" w:hAnsi="Times New Roman" w:cs="Times New Roman"/>
                <w:sz w:val="24"/>
                <w:szCs w:val="24"/>
                <w:lang w:eastAsia="lv-LV"/>
              </w:rPr>
              <w:t>2014.</w:t>
            </w:r>
            <w:r w:rsidRPr="00351B3B">
              <w:rPr>
                <w:rFonts w:ascii="Times New Roman" w:eastAsia="Times New Roman" w:hAnsi="Times New Roman" w:cs="Times New Roman"/>
                <w:sz w:val="24"/>
                <w:szCs w:val="24"/>
                <w:lang w:eastAsia="lv-LV"/>
              </w:rPr>
              <w:t xml:space="preserve"> gadu</w:t>
            </w:r>
          </w:p>
        </w:tc>
        <w:tc>
          <w:tcPr>
            <w:tcW w:w="78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7060BA">
            <w:pPr>
              <w:spacing w:after="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izmaiņas, salīdzinot ar kārtējo </w:t>
            </w:r>
            <w:r w:rsidR="008C55FA" w:rsidRPr="00351B3B">
              <w:rPr>
                <w:rFonts w:ascii="Times New Roman" w:eastAsia="Times New Roman" w:hAnsi="Times New Roman" w:cs="Times New Roman"/>
                <w:sz w:val="24"/>
                <w:szCs w:val="24"/>
                <w:lang w:eastAsia="lv-LV"/>
              </w:rPr>
              <w:t>2014.</w:t>
            </w:r>
            <w:r w:rsidRPr="00351B3B">
              <w:rPr>
                <w:rFonts w:ascii="Times New Roman" w:eastAsia="Times New Roman" w:hAnsi="Times New Roman" w:cs="Times New Roman"/>
                <w:sz w:val="24"/>
                <w:szCs w:val="24"/>
                <w:lang w:eastAsia="lv-LV"/>
              </w:rPr>
              <w:t xml:space="preserve"> gadu</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1</w:t>
            </w:r>
          </w:p>
        </w:tc>
        <w:tc>
          <w:tcPr>
            <w:tcW w:w="721"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2</w:t>
            </w:r>
          </w:p>
        </w:tc>
        <w:tc>
          <w:tcPr>
            <w:tcW w:w="660"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3</w:t>
            </w:r>
          </w:p>
        </w:tc>
        <w:tc>
          <w:tcPr>
            <w:tcW w:w="739"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4</w:t>
            </w:r>
          </w:p>
        </w:tc>
        <w:tc>
          <w:tcPr>
            <w:tcW w:w="70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5</w:t>
            </w:r>
          </w:p>
        </w:tc>
        <w:tc>
          <w:tcPr>
            <w:tcW w:w="784" w:type="pct"/>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sz w:val="18"/>
                <w:szCs w:val="18"/>
                <w:lang w:eastAsia="lv-LV"/>
              </w:rPr>
            </w:pPr>
            <w:r w:rsidRPr="00351B3B">
              <w:rPr>
                <w:rFonts w:ascii="Times New Roman" w:eastAsia="Times New Roman" w:hAnsi="Times New Roman" w:cs="Times New Roman"/>
                <w:sz w:val="18"/>
                <w:szCs w:val="18"/>
                <w:lang w:eastAsia="lv-LV"/>
              </w:rPr>
              <w:t>6</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1. Budžeta ieņēmumi:</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1.1. valsts pamatbudžets, tai skaitā ieņēmumi no maksas pakalpojumiem un citi pašu ieņēmumi</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1.2. valsts speciālais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1.3. pašvaldību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 Budžeta izdevumi:</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2.1. valsts pamatbudžets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2.2. valsts speciālais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2.3. pašvaldību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3. Finansiālā ietekme:</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lastRenderedPageBreak/>
              <w:t>3.1. valsts pamatbudžets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3.2. speciālais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3.3. pašvaldību budžets</w:t>
            </w:r>
          </w:p>
        </w:tc>
        <w:tc>
          <w:tcPr>
            <w:tcW w:w="721"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vMerge w:val="restar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21" w:type="pct"/>
            <w:vMerge w:val="restar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5. Precizēta finansiālā ietekme:</w:t>
            </w:r>
          </w:p>
        </w:tc>
        <w:tc>
          <w:tcPr>
            <w:tcW w:w="721" w:type="pct"/>
            <w:vMerge w:val="restar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ind w:firstLine="300"/>
              <w:jc w:val="center"/>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5.1. valsts pamatbudžets</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5.2. speciālais budžets</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7060BA"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5.3. pašvaldību budžets</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39"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0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c>
          <w:tcPr>
            <w:tcW w:w="784" w:type="pct"/>
            <w:tcBorders>
              <w:top w:val="outset" w:sz="6" w:space="0" w:color="auto"/>
              <w:left w:val="outset" w:sz="6" w:space="0" w:color="auto"/>
              <w:bottom w:val="outset" w:sz="6" w:space="0" w:color="auto"/>
              <w:right w:val="outset" w:sz="6" w:space="0" w:color="auto"/>
            </w:tcBorders>
            <w:hideMark/>
          </w:tcPr>
          <w:p w:rsidR="003E0E70" w:rsidRPr="00351B3B" w:rsidRDefault="003E0E70" w:rsidP="00DE6EAC">
            <w:pPr>
              <w:pStyle w:val="naisf"/>
              <w:snapToGrid w:val="0"/>
              <w:spacing w:before="0" w:after="0"/>
              <w:jc w:val="center"/>
            </w:pPr>
            <w:r w:rsidRPr="00351B3B">
              <w:t>0</w:t>
            </w:r>
          </w:p>
        </w:tc>
      </w:tr>
      <w:tr w:rsidR="003E0E70"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7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0A69AC" w:rsidRPr="00351B3B" w:rsidRDefault="003E0E70" w:rsidP="000A69AC">
            <w:pPr>
              <w:spacing w:after="0"/>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w:t>
            </w:r>
            <w:r w:rsidR="000A69AC" w:rsidRPr="00351B3B">
              <w:rPr>
                <w:rFonts w:ascii="Times New Roman" w:eastAsia="Times New Roman" w:hAnsi="Times New Roman" w:cs="Times New Roman"/>
                <w:sz w:val="24"/>
                <w:szCs w:val="24"/>
                <w:lang w:eastAsia="lv-LV"/>
              </w:rPr>
              <w:t xml:space="preserve">Lai nodrošinātu pasākuma „Pasu sistēmas un Vienotās migrācijas informācijas sistēmas attīstība elektronisko identifikācijas karšu un elektronisko uzturēšanās atļauju (karšu) izsniegšana” īstenošanu, nepieciešams </w:t>
            </w:r>
            <w:r w:rsidR="000A69AC" w:rsidRPr="00351B3B">
              <w:rPr>
                <w:rFonts w:ascii="Times New Roman" w:hAnsi="Times New Roman" w:cs="Times New Roman"/>
                <w:sz w:val="24"/>
                <w:szCs w:val="24"/>
              </w:rPr>
              <w:t>veikt izdevumu pārdali starp budžeta apakšprogrammām un izdevumu ekonomiskās klasifikācijas kodiem Iekšlietu ministrijai likumā “Par valsts budžetu 2014.gadam” un likumā “Par vidēja termiņa budžeta ietvaru 2014., 2015.un 2016.gadam” piešķirto finanšu līdzekļu ietvaros.</w:t>
            </w:r>
          </w:p>
          <w:p w:rsidR="000A69AC" w:rsidRPr="00351B3B" w:rsidRDefault="000A69AC" w:rsidP="000A69AC">
            <w:pPr>
              <w:pStyle w:val="naislab"/>
              <w:spacing w:before="0" w:after="0"/>
              <w:outlineLvl w:val="0"/>
            </w:pPr>
          </w:p>
          <w:p w:rsidR="003E0E70" w:rsidRPr="00351B3B" w:rsidRDefault="006428B7" w:rsidP="006C3B34">
            <w:pPr>
              <w:pStyle w:val="naisf"/>
              <w:spacing w:before="0" w:after="120"/>
              <w:ind w:right="6"/>
              <w:jc w:val="both"/>
              <w:rPr>
                <w:szCs w:val="24"/>
              </w:rPr>
            </w:pPr>
            <w:r w:rsidRPr="00351B3B">
              <w:t>Informācija par p</w:t>
            </w:r>
            <w:r w:rsidR="000A69AC" w:rsidRPr="00351B3B">
              <w:t xml:space="preserve">ersonu apliecinošo dokumentu izsniegšanas procesa </w:t>
            </w:r>
            <w:r w:rsidRPr="00351B3B">
              <w:t>nodrošināšanai nepieciešamo</w:t>
            </w:r>
            <w:r w:rsidR="000A69AC" w:rsidRPr="00351B3B">
              <w:t xml:space="preserve"> izdevumu aprēķin</w:t>
            </w:r>
            <w:r w:rsidR="00C3508D" w:rsidRPr="00351B3B">
              <w:t>u</w:t>
            </w:r>
            <w:r w:rsidR="000A69AC" w:rsidRPr="00351B3B">
              <w:t xml:space="preserve"> 1.pielikumā un </w:t>
            </w:r>
            <w:r w:rsidRPr="00351B3B">
              <w:t>par izdevumu pārdali</w:t>
            </w:r>
            <w:r w:rsidR="000A69AC" w:rsidRPr="00351B3B">
              <w:t xml:space="preserve"> starp budžeta apakšprogrammām un izdevumu ekonomiskās klasifikācijas kodiem Iekšlietu ministrijai likumā </w:t>
            </w:r>
            <w:r w:rsidR="00C3508D" w:rsidRPr="00351B3B">
              <w:t>„</w:t>
            </w:r>
            <w:r w:rsidR="000A69AC" w:rsidRPr="00351B3B">
              <w:t xml:space="preserve">Par valsts budžetu 2014.gadam” un likumā </w:t>
            </w:r>
            <w:r w:rsidR="00C3508D" w:rsidRPr="00351B3B">
              <w:t>„</w:t>
            </w:r>
            <w:r w:rsidR="000A69AC" w:rsidRPr="00351B3B">
              <w:t>Par vidēja termiņa budžeta ietvaru 2014., 2015.</w:t>
            </w:r>
            <w:r w:rsidR="00E146AB" w:rsidRPr="00351B3B">
              <w:t xml:space="preserve"> </w:t>
            </w:r>
            <w:r w:rsidR="000A69AC" w:rsidRPr="00351B3B">
              <w:t>un 2016.gadam”</w:t>
            </w:r>
            <w:r w:rsidRPr="00351B3B">
              <w:t xml:space="preserve"> 2.pielikumā.</w:t>
            </w:r>
          </w:p>
        </w:tc>
      </w:tr>
      <w:tr w:rsidR="003E0E70"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r>
      <w:tr w:rsidR="003E0E70" w:rsidRPr="00351B3B" w:rsidTr="007060BA">
        <w:trPr>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E0E70" w:rsidRPr="00351B3B" w:rsidRDefault="003E0E70" w:rsidP="00F50741">
            <w:pPr>
              <w:spacing w:after="0"/>
              <w:rPr>
                <w:rFonts w:ascii="Times New Roman" w:eastAsia="Times New Roman" w:hAnsi="Times New Roman" w:cs="Times New Roman"/>
                <w:sz w:val="24"/>
                <w:szCs w:val="24"/>
                <w:lang w:eastAsia="lv-LV"/>
              </w:rPr>
            </w:pPr>
          </w:p>
        </w:tc>
      </w:tr>
      <w:tr w:rsidR="003E0E70" w:rsidRPr="00351B3B" w:rsidTr="007060BA">
        <w:trPr>
          <w:trHeight w:val="555"/>
          <w:tblCellSpacing w:w="15" w:type="dxa"/>
          <w:jc w:val="center"/>
        </w:trPr>
        <w:tc>
          <w:tcPr>
            <w:tcW w:w="1278" w:type="pct"/>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7. Cita informācija</w:t>
            </w:r>
          </w:p>
        </w:tc>
        <w:tc>
          <w:tcPr>
            <w:tcW w:w="3674" w:type="pct"/>
            <w:gridSpan w:val="5"/>
            <w:tcBorders>
              <w:top w:val="outset" w:sz="6" w:space="0" w:color="auto"/>
              <w:left w:val="outset" w:sz="6" w:space="0" w:color="auto"/>
              <w:bottom w:val="outset" w:sz="6" w:space="0" w:color="auto"/>
              <w:right w:val="outset" w:sz="6" w:space="0" w:color="auto"/>
            </w:tcBorders>
            <w:hideMark/>
          </w:tcPr>
          <w:p w:rsidR="003E0E70" w:rsidRPr="00351B3B" w:rsidRDefault="003E0E70" w:rsidP="00F50741">
            <w:pPr>
              <w:spacing w:after="0"/>
              <w:ind w:firstLine="30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Nav</w:t>
            </w:r>
          </w:p>
        </w:tc>
      </w:tr>
    </w:tbl>
    <w:p w:rsidR="00F50741" w:rsidRPr="00351B3B" w:rsidRDefault="00F50741" w:rsidP="00F50741">
      <w:pPr>
        <w:spacing w:after="0"/>
        <w:ind w:firstLine="30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F50741" w:rsidRPr="00351B3B"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351B3B" w:rsidRDefault="00F50741" w:rsidP="00F50741">
            <w:pPr>
              <w:spacing w:after="0"/>
              <w:ind w:firstLine="300"/>
              <w:jc w:val="center"/>
              <w:rPr>
                <w:rFonts w:ascii="Times New Roman" w:eastAsia="Times New Roman" w:hAnsi="Times New Roman" w:cs="Times New Roman"/>
                <w:b/>
                <w:bCs/>
                <w:sz w:val="24"/>
                <w:szCs w:val="24"/>
                <w:lang w:eastAsia="lv-LV"/>
              </w:rPr>
            </w:pPr>
            <w:r w:rsidRPr="00351B3B">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351B3B"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8B6287" w:rsidRPr="00351B3B" w:rsidRDefault="008B6287" w:rsidP="00DE6EAC">
            <w:pPr>
              <w:ind w:left="57" w:right="57"/>
              <w:jc w:val="both"/>
              <w:rPr>
                <w:sz w:val="28"/>
              </w:rPr>
            </w:pPr>
            <w:r w:rsidRPr="00351B3B">
              <w:rPr>
                <w:rFonts w:ascii="Times New Roman" w:eastAsia="Times New Roman" w:hAnsi="Times New Roman" w:cs="Times New Roman"/>
                <w:sz w:val="24"/>
                <w:szCs w:val="24"/>
                <w:lang w:eastAsia="lv-LV"/>
              </w:rPr>
              <w:t>Pilsonības un migrācijas lietu pārvalde</w:t>
            </w:r>
          </w:p>
        </w:tc>
      </w:tr>
      <w:tr w:rsidR="008B6287" w:rsidRPr="00351B3B"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Projekta izpildes ietekme uz pārvaldes funkcijām un institucionālo struktūru. </w:t>
            </w:r>
          </w:p>
          <w:p w:rsidR="008B6287" w:rsidRPr="00351B3B" w:rsidRDefault="008B6287" w:rsidP="008B6287">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8B6287" w:rsidRPr="00351B3B" w:rsidRDefault="008B6287" w:rsidP="00DE6EAC">
            <w:pPr>
              <w:ind w:right="57"/>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Pilsonības un migrācijas lietu pārvalde veiks savas funkcijas, kas noteiktas normatīvajos aktos.</w:t>
            </w:r>
          </w:p>
          <w:p w:rsidR="008B6287" w:rsidRPr="00351B3B" w:rsidRDefault="008B6287" w:rsidP="00DE6EAC">
            <w:pPr>
              <w:ind w:right="57"/>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Saistībā ar Rīkojuma projekta izpildi nav plānots radīt jaunas valsts pārvaldes institūcijas, likvidēt esošās valsts pārvaldes institūcijas, vai reorganizēt esošās valsts pārvaldes institūcijas.</w:t>
            </w:r>
          </w:p>
        </w:tc>
      </w:tr>
      <w:tr w:rsidR="008B6287" w:rsidRPr="00351B3B"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8B6287" w:rsidRPr="00351B3B" w:rsidRDefault="008B6287" w:rsidP="00F50741">
            <w:pPr>
              <w:spacing w:after="0"/>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8B6287" w:rsidRPr="00351B3B" w:rsidRDefault="008B6287" w:rsidP="00DE6EAC">
            <w:pPr>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351B3B">
              <w:rPr>
                <w:rFonts w:ascii="Times New Roman" w:eastAsia="Times New Roman" w:hAnsi="Times New Roman" w:cs="Times New Roman"/>
                <w:sz w:val="24"/>
                <w:szCs w:val="24"/>
                <w:lang w:eastAsia="lv-LV"/>
              </w:rPr>
              <w:t>www.vestnesis.lv</w:t>
            </w:r>
            <w:proofErr w:type="spellEnd"/>
            <w:r w:rsidRPr="00351B3B">
              <w:rPr>
                <w:rFonts w:ascii="Times New Roman" w:eastAsia="Times New Roman" w:hAnsi="Times New Roman" w:cs="Times New Roman"/>
                <w:sz w:val="24"/>
                <w:szCs w:val="24"/>
                <w:lang w:eastAsia="lv-LV"/>
              </w:rPr>
              <w:t>.</w:t>
            </w:r>
          </w:p>
        </w:tc>
      </w:tr>
    </w:tbl>
    <w:p w:rsidR="00AE4348" w:rsidRPr="00351B3B" w:rsidRDefault="00AE4348" w:rsidP="00AE4348">
      <w:pPr>
        <w:pStyle w:val="naisf"/>
        <w:tabs>
          <w:tab w:val="left" w:pos="6710"/>
        </w:tabs>
        <w:spacing w:before="0" w:after="120"/>
        <w:rPr>
          <w:szCs w:val="24"/>
        </w:rPr>
      </w:pPr>
      <w:r w:rsidRPr="00351B3B">
        <w:rPr>
          <w:szCs w:val="24"/>
        </w:rPr>
        <w:t xml:space="preserve">Anotācijas </w:t>
      </w:r>
      <w:r w:rsidR="00163CCE" w:rsidRPr="00351B3B">
        <w:rPr>
          <w:szCs w:val="24"/>
        </w:rPr>
        <w:t xml:space="preserve">II, </w:t>
      </w:r>
      <w:r w:rsidRPr="00351B3B">
        <w:rPr>
          <w:szCs w:val="24"/>
        </w:rPr>
        <w:t>IV, V un VI</w:t>
      </w:r>
      <w:r w:rsidR="00DA3726" w:rsidRPr="00351B3B">
        <w:rPr>
          <w:szCs w:val="24"/>
        </w:rPr>
        <w:t xml:space="preserve"> sadaļa</w:t>
      </w:r>
      <w:r w:rsidRPr="00351B3B">
        <w:rPr>
          <w:szCs w:val="24"/>
        </w:rPr>
        <w:t xml:space="preserve"> – projekts šīs jomas neskar.</w:t>
      </w:r>
    </w:p>
    <w:p w:rsidR="00DA3726" w:rsidRPr="00351B3B" w:rsidRDefault="00DA3726" w:rsidP="00DA3726">
      <w:pPr>
        <w:tabs>
          <w:tab w:val="left" w:pos="6521"/>
        </w:tabs>
        <w:jc w:val="both"/>
        <w:rPr>
          <w:rFonts w:ascii="Times New Roman" w:eastAsia="Times New Roman" w:hAnsi="Times New Roman" w:cs="Times New Roman"/>
          <w:sz w:val="28"/>
          <w:szCs w:val="28"/>
          <w:lang w:eastAsia="lv-LV"/>
        </w:rPr>
      </w:pPr>
    </w:p>
    <w:p w:rsidR="00DA3726" w:rsidRPr="00351B3B" w:rsidRDefault="00DA3726" w:rsidP="00DA3726">
      <w:pPr>
        <w:tabs>
          <w:tab w:val="left" w:pos="6521"/>
        </w:tabs>
        <w:jc w:val="both"/>
        <w:rPr>
          <w:rFonts w:ascii="Times New Roman" w:eastAsia="Times New Roman" w:hAnsi="Times New Roman" w:cs="Times New Roman"/>
          <w:sz w:val="24"/>
          <w:szCs w:val="24"/>
          <w:lang w:eastAsia="lv-LV"/>
        </w:rPr>
      </w:pPr>
      <w:r w:rsidRPr="00351B3B">
        <w:rPr>
          <w:rFonts w:ascii="Times New Roman" w:eastAsia="Times New Roman" w:hAnsi="Times New Roman" w:cs="Times New Roman"/>
          <w:sz w:val="24"/>
          <w:szCs w:val="24"/>
          <w:lang w:eastAsia="lv-LV"/>
        </w:rPr>
        <w:t>Iekšlietu ministrs</w:t>
      </w:r>
      <w:r w:rsidRPr="00351B3B">
        <w:rPr>
          <w:rFonts w:ascii="Times New Roman" w:eastAsia="Times New Roman" w:hAnsi="Times New Roman" w:cs="Times New Roman"/>
          <w:sz w:val="24"/>
          <w:szCs w:val="24"/>
          <w:lang w:eastAsia="lv-LV"/>
        </w:rPr>
        <w:tab/>
        <w:t>R.</w:t>
      </w:r>
      <w:r w:rsidR="003F28FE">
        <w:rPr>
          <w:rFonts w:ascii="Times New Roman" w:eastAsia="Times New Roman" w:hAnsi="Times New Roman" w:cs="Times New Roman"/>
          <w:sz w:val="24"/>
          <w:szCs w:val="24"/>
          <w:lang w:eastAsia="lv-LV"/>
        </w:rPr>
        <w:t xml:space="preserve"> </w:t>
      </w:r>
      <w:r w:rsidRPr="00351B3B">
        <w:rPr>
          <w:rFonts w:ascii="Times New Roman" w:eastAsia="Times New Roman" w:hAnsi="Times New Roman" w:cs="Times New Roman"/>
          <w:sz w:val="24"/>
          <w:szCs w:val="24"/>
          <w:lang w:eastAsia="lv-LV"/>
        </w:rPr>
        <w:t>Kozlovskis</w:t>
      </w:r>
    </w:p>
    <w:p w:rsidR="00DA3726" w:rsidRPr="00351B3B" w:rsidRDefault="00DA3726" w:rsidP="00DA3726">
      <w:pPr>
        <w:pStyle w:val="naisf"/>
        <w:rPr>
          <w:szCs w:val="24"/>
        </w:rPr>
      </w:pPr>
    </w:p>
    <w:p w:rsidR="00DA3726" w:rsidRPr="00351B3B" w:rsidRDefault="003F28FE" w:rsidP="00DA3726">
      <w:pPr>
        <w:pStyle w:val="naisf"/>
        <w:rPr>
          <w:szCs w:val="24"/>
        </w:rPr>
      </w:pPr>
      <w:r>
        <w:rPr>
          <w:szCs w:val="24"/>
        </w:rPr>
        <w:t>Vīza: valsts sekretāra pienākumu izpildītāja</w:t>
      </w:r>
      <w:r w:rsidR="00DA3726" w:rsidRPr="00351B3B">
        <w:rPr>
          <w:szCs w:val="24"/>
        </w:rPr>
        <w:tab/>
      </w:r>
      <w:r w:rsidR="00DA3726" w:rsidRPr="00351B3B">
        <w:rPr>
          <w:szCs w:val="24"/>
        </w:rPr>
        <w:tab/>
      </w:r>
      <w:r w:rsidR="009C6554" w:rsidRPr="00351B3B">
        <w:rPr>
          <w:szCs w:val="24"/>
        </w:rPr>
        <w:tab/>
      </w:r>
      <w:r w:rsidR="009C6554" w:rsidRPr="00351B3B">
        <w:rPr>
          <w:szCs w:val="24"/>
        </w:rPr>
        <w:tab/>
      </w:r>
      <w:r>
        <w:rPr>
          <w:szCs w:val="24"/>
        </w:rPr>
        <w:t xml:space="preserve">I. </w:t>
      </w:r>
      <w:proofErr w:type="spellStart"/>
      <w:r>
        <w:rPr>
          <w:szCs w:val="24"/>
        </w:rPr>
        <w:t>Aire</w:t>
      </w:r>
      <w:proofErr w:type="spellEnd"/>
    </w:p>
    <w:p w:rsidR="00DA3726" w:rsidRPr="00351B3B" w:rsidRDefault="00DA3726" w:rsidP="00DA3726">
      <w:pPr>
        <w:pStyle w:val="BodyText"/>
        <w:spacing w:after="0"/>
        <w:rPr>
          <w:sz w:val="20"/>
        </w:rPr>
      </w:pPr>
    </w:p>
    <w:p w:rsidR="00DA3726" w:rsidRPr="00351B3B" w:rsidRDefault="00DA3726" w:rsidP="00DA3726">
      <w:pPr>
        <w:pStyle w:val="BodyText"/>
        <w:spacing w:after="0"/>
        <w:rPr>
          <w:sz w:val="20"/>
        </w:rPr>
      </w:pPr>
    </w:p>
    <w:p w:rsidR="006634A9" w:rsidRPr="00351B3B" w:rsidRDefault="006634A9" w:rsidP="00DA3726">
      <w:pPr>
        <w:pStyle w:val="BodyText"/>
        <w:spacing w:after="0"/>
        <w:rPr>
          <w:sz w:val="20"/>
        </w:rPr>
      </w:pPr>
    </w:p>
    <w:p w:rsidR="006634A9" w:rsidRPr="00351B3B" w:rsidRDefault="006634A9" w:rsidP="00DA3726">
      <w:pPr>
        <w:pStyle w:val="BodyText"/>
        <w:spacing w:after="0"/>
        <w:rPr>
          <w:sz w:val="20"/>
        </w:rPr>
      </w:pPr>
    </w:p>
    <w:p w:rsidR="001C08B5" w:rsidRPr="00351B3B" w:rsidRDefault="00DC7044" w:rsidP="001C08B5">
      <w:pPr>
        <w:pStyle w:val="naisf"/>
        <w:spacing w:before="0" w:after="0"/>
        <w:rPr>
          <w:sz w:val="20"/>
        </w:rPr>
      </w:pPr>
      <w:r w:rsidRPr="00351B3B">
        <w:rPr>
          <w:sz w:val="20"/>
          <w:lang w:val="ru-RU"/>
        </w:rPr>
        <w:fldChar w:fldCharType="begin"/>
      </w:r>
      <w:r w:rsidR="001C08B5" w:rsidRPr="00351B3B">
        <w:rPr>
          <w:sz w:val="20"/>
          <w:lang w:val="ru-RU"/>
        </w:rPr>
        <w:instrText xml:space="preserve"> TIME \@ "dd.MM.yyyy H:mm" </w:instrText>
      </w:r>
      <w:r w:rsidRPr="00351B3B">
        <w:rPr>
          <w:sz w:val="20"/>
          <w:lang w:val="ru-RU"/>
        </w:rPr>
        <w:fldChar w:fldCharType="separate"/>
      </w:r>
      <w:r w:rsidR="00170778">
        <w:rPr>
          <w:noProof/>
          <w:sz w:val="20"/>
          <w:lang w:val="ru-RU"/>
        </w:rPr>
        <w:t>02.10.2014 9:05</w:t>
      </w:r>
      <w:r w:rsidRPr="00351B3B">
        <w:rPr>
          <w:sz w:val="20"/>
          <w:lang w:val="ru-RU"/>
        </w:rPr>
        <w:fldChar w:fldCharType="end"/>
      </w:r>
    </w:p>
    <w:p w:rsidR="00DA3726" w:rsidRPr="003F28FE" w:rsidRDefault="003F28FE" w:rsidP="001C08B5">
      <w:pPr>
        <w:pStyle w:val="BodyText"/>
        <w:spacing w:after="0"/>
        <w:rPr>
          <w:noProof/>
          <w:sz w:val="20"/>
          <w:szCs w:val="20"/>
          <w:lang w:val="ru-RU"/>
        </w:rPr>
      </w:pPr>
      <w:r w:rsidRPr="003F28FE">
        <w:rPr>
          <w:noProof/>
          <w:sz w:val="20"/>
          <w:szCs w:val="20"/>
          <w:lang w:val="ru-RU"/>
        </w:rPr>
        <w:t>1086</w:t>
      </w:r>
    </w:p>
    <w:p w:rsidR="00DA3726" w:rsidRPr="00351B3B" w:rsidRDefault="00DA3726" w:rsidP="00DA3726">
      <w:pPr>
        <w:pStyle w:val="HTMLPreformatted"/>
        <w:jc w:val="both"/>
        <w:rPr>
          <w:rFonts w:ascii="Times New Roman" w:hAnsi="Times New Roman" w:cs="Times New Roman"/>
          <w:lang w:val="de-DE" w:eastAsia="en-US"/>
        </w:rPr>
      </w:pPr>
      <w:r w:rsidRPr="00351B3B">
        <w:rPr>
          <w:rFonts w:ascii="Times New Roman" w:hAnsi="Times New Roman" w:cs="Times New Roman"/>
          <w:lang w:val="de-DE" w:eastAsia="en-US"/>
        </w:rPr>
        <w:t>Treiguts, 67219556</w:t>
      </w:r>
    </w:p>
    <w:p w:rsidR="00DA3726" w:rsidRPr="00351B3B" w:rsidRDefault="00DA3726" w:rsidP="00DA3726">
      <w:pPr>
        <w:spacing w:after="0"/>
        <w:jc w:val="both"/>
        <w:rPr>
          <w:rFonts w:ascii="Times New Roman" w:eastAsia="Times New Roman" w:hAnsi="Times New Roman" w:cs="Times New Roman"/>
          <w:sz w:val="20"/>
          <w:szCs w:val="20"/>
          <w:lang w:val="de-DE"/>
        </w:rPr>
      </w:pPr>
      <w:r w:rsidRPr="00351B3B">
        <w:rPr>
          <w:rFonts w:ascii="Times New Roman" w:eastAsia="Times New Roman" w:hAnsi="Times New Roman" w:cs="Times New Roman"/>
          <w:sz w:val="20"/>
          <w:szCs w:val="20"/>
          <w:lang w:val="de-DE"/>
        </w:rPr>
        <w:t>inguss.treiguts@pmlp.gov.lv</w:t>
      </w:r>
    </w:p>
    <w:p w:rsidR="00DA3726" w:rsidRPr="00351B3B" w:rsidRDefault="00DA3726" w:rsidP="00DA3726">
      <w:pPr>
        <w:spacing w:after="0"/>
        <w:rPr>
          <w:b/>
        </w:rPr>
      </w:pPr>
    </w:p>
    <w:p w:rsidR="00DA3726" w:rsidRPr="00351B3B" w:rsidRDefault="00DA3726" w:rsidP="00DA3726">
      <w:pPr>
        <w:spacing w:after="0"/>
        <w:rPr>
          <w:rFonts w:ascii="Times New Roman" w:eastAsia="Times New Roman" w:hAnsi="Times New Roman" w:cs="Times New Roman"/>
          <w:sz w:val="20"/>
          <w:szCs w:val="20"/>
          <w:lang w:val="de-DE"/>
        </w:rPr>
      </w:pPr>
      <w:r w:rsidRPr="00351B3B">
        <w:rPr>
          <w:rFonts w:ascii="Times New Roman" w:eastAsia="Times New Roman" w:hAnsi="Times New Roman" w:cs="Times New Roman"/>
          <w:sz w:val="20"/>
          <w:szCs w:val="20"/>
          <w:lang w:val="de-DE"/>
        </w:rPr>
        <w:t>Brīvniece</w:t>
      </w:r>
      <w:r w:rsidR="009C6554" w:rsidRPr="00351B3B">
        <w:rPr>
          <w:rFonts w:ascii="Times New Roman" w:eastAsia="Times New Roman" w:hAnsi="Times New Roman" w:cs="Times New Roman"/>
          <w:sz w:val="20"/>
          <w:szCs w:val="20"/>
          <w:lang w:val="de-DE"/>
        </w:rPr>
        <w:t>, 67219453</w:t>
      </w:r>
    </w:p>
    <w:p w:rsidR="00DA3726" w:rsidRPr="00351B3B" w:rsidRDefault="00DA3726" w:rsidP="00DA3726">
      <w:pPr>
        <w:spacing w:after="0"/>
        <w:rPr>
          <w:rFonts w:ascii="Times New Roman" w:eastAsia="Times New Roman" w:hAnsi="Times New Roman" w:cs="Times New Roman"/>
          <w:sz w:val="20"/>
          <w:szCs w:val="20"/>
          <w:lang w:val="de-DE"/>
        </w:rPr>
      </w:pPr>
      <w:r w:rsidRPr="00351B3B">
        <w:rPr>
          <w:rFonts w:ascii="Times New Roman" w:eastAsia="Times New Roman" w:hAnsi="Times New Roman" w:cs="Times New Roman"/>
          <w:sz w:val="20"/>
          <w:szCs w:val="20"/>
          <w:lang w:val="de-DE"/>
        </w:rPr>
        <w:t>ramona.brivniece@pmlp.gov.lv</w:t>
      </w:r>
    </w:p>
    <w:p w:rsidR="00E146AB" w:rsidRPr="00351B3B" w:rsidRDefault="00E146AB" w:rsidP="00DA3726">
      <w:pPr>
        <w:spacing w:after="0"/>
        <w:rPr>
          <w:rFonts w:ascii="Times New Roman" w:eastAsia="Times New Roman" w:hAnsi="Times New Roman" w:cs="Times New Roman"/>
          <w:sz w:val="20"/>
          <w:szCs w:val="20"/>
          <w:lang w:val="de-DE"/>
        </w:rPr>
      </w:pPr>
    </w:p>
    <w:p w:rsidR="00E146AB" w:rsidRPr="00351B3B" w:rsidRDefault="00E146AB" w:rsidP="00E146AB">
      <w:pPr>
        <w:tabs>
          <w:tab w:val="left" w:pos="3630"/>
        </w:tabs>
        <w:spacing w:after="0"/>
        <w:rPr>
          <w:rFonts w:ascii="Times New Roman" w:eastAsia="Times New Roman" w:hAnsi="Times New Roman" w:cs="Times New Roman"/>
          <w:sz w:val="20"/>
          <w:szCs w:val="20"/>
          <w:lang w:val="de-DE"/>
        </w:rPr>
      </w:pPr>
      <w:r w:rsidRPr="00351B3B">
        <w:rPr>
          <w:rFonts w:ascii="Times New Roman" w:eastAsia="Times New Roman" w:hAnsi="Times New Roman" w:cs="Times New Roman"/>
          <w:sz w:val="20"/>
          <w:szCs w:val="20"/>
          <w:lang w:val="de-DE"/>
        </w:rPr>
        <w:t>Valtere, 67829786</w:t>
      </w:r>
    </w:p>
    <w:p w:rsidR="00854269" w:rsidRPr="00351B3B" w:rsidRDefault="00E146AB" w:rsidP="00E146AB">
      <w:pPr>
        <w:spacing w:after="0"/>
        <w:rPr>
          <w:rFonts w:ascii="Times New Roman" w:eastAsia="Times New Roman" w:hAnsi="Times New Roman" w:cs="Times New Roman"/>
          <w:sz w:val="20"/>
          <w:szCs w:val="20"/>
          <w:lang w:val="de-DE"/>
        </w:rPr>
      </w:pPr>
      <w:r w:rsidRPr="00351B3B">
        <w:rPr>
          <w:rFonts w:ascii="Times New Roman" w:eastAsia="Times New Roman" w:hAnsi="Times New Roman" w:cs="Times New Roman"/>
          <w:sz w:val="20"/>
          <w:szCs w:val="20"/>
          <w:lang w:val="de-DE"/>
        </w:rPr>
        <w:t>astra.valtere@pmlp.gov.lv</w:t>
      </w:r>
      <w:bookmarkStart w:id="0" w:name="_GoBack"/>
      <w:bookmarkEnd w:id="0"/>
    </w:p>
    <w:sectPr w:rsidR="00854269" w:rsidRPr="00351B3B" w:rsidSect="000A69A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38" w:rsidRDefault="004F7038" w:rsidP="00CE3E2E">
      <w:pPr>
        <w:spacing w:after="0"/>
      </w:pPr>
      <w:r>
        <w:separator/>
      </w:r>
    </w:p>
  </w:endnote>
  <w:endnote w:type="continuationSeparator" w:id="0">
    <w:p w:rsidR="004F7038" w:rsidRDefault="004F7038" w:rsidP="00CE3E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8B" w:rsidRPr="00E9638B" w:rsidRDefault="00E9638B" w:rsidP="00E9638B">
    <w:pPr>
      <w:jc w:val="both"/>
      <w:rPr>
        <w:rFonts w:ascii="Times New Roman" w:hAnsi="Times New Roman" w:cs="Times New Roman"/>
        <w:b/>
        <w:szCs w:val="28"/>
      </w:rPr>
    </w:pPr>
    <w:r w:rsidRPr="00E9638B">
      <w:rPr>
        <w:rFonts w:ascii="Times New Roman" w:hAnsi="Times New Roman" w:cs="Times New Roman"/>
        <w:sz w:val="20"/>
        <w:szCs w:val="20"/>
      </w:rPr>
      <w:t>IEMAnot_</w:t>
    </w:r>
    <w:r w:rsidR="003F28FE">
      <w:rPr>
        <w:rFonts w:ascii="Times New Roman" w:hAnsi="Times New Roman" w:cs="Times New Roman"/>
        <w:sz w:val="20"/>
        <w:szCs w:val="20"/>
      </w:rPr>
      <w:t>0210</w:t>
    </w:r>
    <w:r>
      <w:rPr>
        <w:rFonts w:ascii="Times New Roman" w:hAnsi="Times New Roman" w:cs="Times New Roman"/>
        <w:sz w:val="20"/>
        <w:szCs w:val="20"/>
      </w:rPr>
      <w:t>14</w:t>
    </w:r>
    <w:r w:rsidRPr="00E9638B">
      <w:rPr>
        <w:rFonts w:ascii="Times New Roman" w:hAnsi="Times New Roman" w:cs="Times New Roman"/>
        <w:sz w:val="20"/>
        <w:szCs w:val="20"/>
      </w:rPr>
      <w:t>_</w:t>
    </w:r>
    <w:r>
      <w:rPr>
        <w:rFonts w:ascii="Times New Roman" w:hAnsi="Times New Roman" w:cs="Times New Roman"/>
        <w:sz w:val="20"/>
        <w:szCs w:val="20"/>
      </w:rPr>
      <w:t>347</w:t>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Grozījums</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sidRPr="00E9638B">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E9638B" w:rsidRDefault="00E9638B">
    <w:pPr>
      <w:pStyle w:val="Footer"/>
    </w:pPr>
  </w:p>
  <w:p w:rsidR="00E9638B" w:rsidRDefault="00E96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EE" w:rsidRPr="00E9638B" w:rsidRDefault="00FA6BEE" w:rsidP="00FA6BEE">
    <w:pPr>
      <w:jc w:val="both"/>
      <w:rPr>
        <w:rFonts w:ascii="Times New Roman" w:hAnsi="Times New Roman" w:cs="Times New Roman"/>
        <w:b/>
        <w:szCs w:val="28"/>
      </w:rPr>
    </w:pPr>
    <w:r w:rsidRPr="00E9638B">
      <w:rPr>
        <w:rFonts w:ascii="Times New Roman" w:hAnsi="Times New Roman" w:cs="Times New Roman"/>
        <w:sz w:val="20"/>
        <w:szCs w:val="20"/>
      </w:rPr>
      <w:t>IEMAnot_</w:t>
    </w:r>
    <w:r w:rsidR="003F28FE">
      <w:rPr>
        <w:rFonts w:ascii="Times New Roman" w:hAnsi="Times New Roman" w:cs="Times New Roman"/>
        <w:sz w:val="20"/>
        <w:szCs w:val="20"/>
      </w:rPr>
      <w:t>0210</w:t>
    </w:r>
    <w:r>
      <w:rPr>
        <w:rFonts w:ascii="Times New Roman" w:hAnsi="Times New Roman" w:cs="Times New Roman"/>
        <w:sz w:val="20"/>
        <w:szCs w:val="20"/>
      </w:rPr>
      <w:t>14</w:t>
    </w:r>
    <w:r w:rsidRPr="00E9638B">
      <w:rPr>
        <w:rFonts w:ascii="Times New Roman" w:hAnsi="Times New Roman" w:cs="Times New Roman"/>
        <w:sz w:val="20"/>
        <w:szCs w:val="20"/>
      </w:rPr>
      <w:t>_</w:t>
    </w:r>
    <w:r>
      <w:rPr>
        <w:rFonts w:ascii="Times New Roman" w:hAnsi="Times New Roman" w:cs="Times New Roman"/>
        <w:sz w:val="20"/>
        <w:szCs w:val="20"/>
      </w:rPr>
      <w:t>347</w:t>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Grozījums</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sidRPr="00E9638B">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FA6BEE" w:rsidRDefault="00FA6BEE">
    <w:pPr>
      <w:pStyle w:val="Footer"/>
    </w:pPr>
  </w:p>
  <w:p w:rsidR="00FA6BEE" w:rsidRDefault="00FA6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38" w:rsidRDefault="004F7038" w:rsidP="00CE3E2E">
      <w:pPr>
        <w:spacing w:after="0"/>
      </w:pPr>
      <w:r>
        <w:separator/>
      </w:r>
    </w:p>
  </w:footnote>
  <w:footnote w:type="continuationSeparator" w:id="0">
    <w:p w:rsidR="004F7038" w:rsidRDefault="004F7038" w:rsidP="00CE3E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0001"/>
      <w:docPartObj>
        <w:docPartGallery w:val="Page Numbers (Top of Page)"/>
        <w:docPartUnique/>
      </w:docPartObj>
    </w:sdtPr>
    <w:sdtEndPr>
      <w:rPr>
        <w:rFonts w:ascii="Times New Roman" w:hAnsi="Times New Roman" w:cs="Times New Roman"/>
        <w:sz w:val="20"/>
        <w:szCs w:val="20"/>
      </w:rPr>
    </w:sdtEndPr>
    <w:sdtContent>
      <w:p w:rsidR="001E03BD" w:rsidRDefault="00DC7044">
        <w:pPr>
          <w:pStyle w:val="Header"/>
          <w:jc w:val="center"/>
        </w:pPr>
        <w:r w:rsidRPr="00CE3E2E">
          <w:rPr>
            <w:rFonts w:ascii="Times New Roman" w:hAnsi="Times New Roman" w:cs="Times New Roman"/>
            <w:sz w:val="20"/>
            <w:szCs w:val="20"/>
          </w:rPr>
          <w:fldChar w:fldCharType="begin"/>
        </w:r>
        <w:r w:rsidR="001E03BD"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170778">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rsidR="001E03BD" w:rsidRDefault="001E0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50741"/>
    <w:rsid w:val="00006D1C"/>
    <w:rsid w:val="000115F5"/>
    <w:rsid w:val="00015EA6"/>
    <w:rsid w:val="00022093"/>
    <w:rsid w:val="00023F72"/>
    <w:rsid w:val="000301ED"/>
    <w:rsid w:val="000411C0"/>
    <w:rsid w:val="00060BC7"/>
    <w:rsid w:val="00067883"/>
    <w:rsid w:val="000808C1"/>
    <w:rsid w:val="000856E3"/>
    <w:rsid w:val="000A69AC"/>
    <w:rsid w:val="000B30A8"/>
    <w:rsid w:val="000B5285"/>
    <w:rsid w:val="000B70E3"/>
    <w:rsid w:val="000F029B"/>
    <w:rsid w:val="000F67DF"/>
    <w:rsid w:val="00116EB3"/>
    <w:rsid w:val="00151421"/>
    <w:rsid w:val="00155EE8"/>
    <w:rsid w:val="00163CCE"/>
    <w:rsid w:val="001657E9"/>
    <w:rsid w:val="00170778"/>
    <w:rsid w:val="001744C5"/>
    <w:rsid w:val="00175EC7"/>
    <w:rsid w:val="00177324"/>
    <w:rsid w:val="0018065F"/>
    <w:rsid w:val="0019233E"/>
    <w:rsid w:val="001A5962"/>
    <w:rsid w:val="001B638A"/>
    <w:rsid w:val="001B7300"/>
    <w:rsid w:val="001C08B5"/>
    <w:rsid w:val="001C0E05"/>
    <w:rsid w:val="001E03BD"/>
    <w:rsid w:val="001F34E8"/>
    <w:rsid w:val="001F57A8"/>
    <w:rsid w:val="001F59F8"/>
    <w:rsid w:val="00207436"/>
    <w:rsid w:val="0022623D"/>
    <w:rsid w:val="002277DE"/>
    <w:rsid w:val="00232E0C"/>
    <w:rsid w:val="00291BC6"/>
    <w:rsid w:val="0029441C"/>
    <w:rsid w:val="002A0DBF"/>
    <w:rsid w:val="002A4727"/>
    <w:rsid w:val="002B6979"/>
    <w:rsid w:val="002C3356"/>
    <w:rsid w:val="002E463E"/>
    <w:rsid w:val="002F7890"/>
    <w:rsid w:val="00313739"/>
    <w:rsid w:val="00322552"/>
    <w:rsid w:val="00325561"/>
    <w:rsid w:val="00346955"/>
    <w:rsid w:val="00351B3B"/>
    <w:rsid w:val="00356070"/>
    <w:rsid w:val="00394F03"/>
    <w:rsid w:val="003E0E70"/>
    <w:rsid w:val="003F28FE"/>
    <w:rsid w:val="003F470A"/>
    <w:rsid w:val="00405918"/>
    <w:rsid w:val="004252C6"/>
    <w:rsid w:val="00447ABF"/>
    <w:rsid w:val="00473692"/>
    <w:rsid w:val="004879FB"/>
    <w:rsid w:val="004904DF"/>
    <w:rsid w:val="004D764F"/>
    <w:rsid w:val="004E10B9"/>
    <w:rsid w:val="004E2CBA"/>
    <w:rsid w:val="004F7038"/>
    <w:rsid w:val="00525932"/>
    <w:rsid w:val="005359A6"/>
    <w:rsid w:val="00541161"/>
    <w:rsid w:val="005B34E6"/>
    <w:rsid w:val="005B526A"/>
    <w:rsid w:val="005D1244"/>
    <w:rsid w:val="005D4E3F"/>
    <w:rsid w:val="005F077E"/>
    <w:rsid w:val="0062033C"/>
    <w:rsid w:val="00633FE3"/>
    <w:rsid w:val="00634AF6"/>
    <w:rsid w:val="00641D06"/>
    <w:rsid w:val="006428B7"/>
    <w:rsid w:val="0064637A"/>
    <w:rsid w:val="006618DE"/>
    <w:rsid w:val="006634A9"/>
    <w:rsid w:val="00686AB6"/>
    <w:rsid w:val="006931F8"/>
    <w:rsid w:val="006A0061"/>
    <w:rsid w:val="006B1495"/>
    <w:rsid w:val="006B55DA"/>
    <w:rsid w:val="006C3B34"/>
    <w:rsid w:val="006C4C5B"/>
    <w:rsid w:val="006D2D0C"/>
    <w:rsid w:val="006D327E"/>
    <w:rsid w:val="006F118E"/>
    <w:rsid w:val="006F4DD5"/>
    <w:rsid w:val="00704E54"/>
    <w:rsid w:val="007060BA"/>
    <w:rsid w:val="007335A2"/>
    <w:rsid w:val="00736894"/>
    <w:rsid w:val="007704B0"/>
    <w:rsid w:val="007D6C7C"/>
    <w:rsid w:val="007F39EF"/>
    <w:rsid w:val="00810EE9"/>
    <w:rsid w:val="00813A0E"/>
    <w:rsid w:val="0081523D"/>
    <w:rsid w:val="00816FBE"/>
    <w:rsid w:val="00821DFF"/>
    <w:rsid w:val="00834F44"/>
    <w:rsid w:val="008471C5"/>
    <w:rsid w:val="00854269"/>
    <w:rsid w:val="008556F9"/>
    <w:rsid w:val="00861530"/>
    <w:rsid w:val="00874D8E"/>
    <w:rsid w:val="00876052"/>
    <w:rsid w:val="00884993"/>
    <w:rsid w:val="008A51C1"/>
    <w:rsid w:val="008B184E"/>
    <w:rsid w:val="008B4588"/>
    <w:rsid w:val="008B6287"/>
    <w:rsid w:val="008C55FA"/>
    <w:rsid w:val="008D3882"/>
    <w:rsid w:val="008D7F0D"/>
    <w:rsid w:val="008E0C7D"/>
    <w:rsid w:val="008F0DAF"/>
    <w:rsid w:val="0091403C"/>
    <w:rsid w:val="00916D11"/>
    <w:rsid w:val="00920361"/>
    <w:rsid w:val="00922B56"/>
    <w:rsid w:val="00933E87"/>
    <w:rsid w:val="0094300D"/>
    <w:rsid w:val="009A60AA"/>
    <w:rsid w:val="009B1BC5"/>
    <w:rsid w:val="009B33F9"/>
    <w:rsid w:val="009C2423"/>
    <w:rsid w:val="009C6554"/>
    <w:rsid w:val="009F1D41"/>
    <w:rsid w:val="009F5159"/>
    <w:rsid w:val="00A12E3C"/>
    <w:rsid w:val="00A3228B"/>
    <w:rsid w:val="00A35FAC"/>
    <w:rsid w:val="00A42A0A"/>
    <w:rsid w:val="00A73E86"/>
    <w:rsid w:val="00A874CE"/>
    <w:rsid w:val="00A92E79"/>
    <w:rsid w:val="00AB20B0"/>
    <w:rsid w:val="00AB3FDA"/>
    <w:rsid w:val="00AE4348"/>
    <w:rsid w:val="00B00F18"/>
    <w:rsid w:val="00B036AF"/>
    <w:rsid w:val="00B068D3"/>
    <w:rsid w:val="00B155BE"/>
    <w:rsid w:val="00B37B3D"/>
    <w:rsid w:val="00B40074"/>
    <w:rsid w:val="00B4436D"/>
    <w:rsid w:val="00B4439A"/>
    <w:rsid w:val="00B46358"/>
    <w:rsid w:val="00B60766"/>
    <w:rsid w:val="00B70B51"/>
    <w:rsid w:val="00BB5C24"/>
    <w:rsid w:val="00BD10BE"/>
    <w:rsid w:val="00BD1639"/>
    <w:rsid w:val="00C003FB"/>
    <w:rsid w:val="00C00685"/>
    <w:rsid w:val="00C01F08"/>
    <w:rsid w:val="00C3508D"/>
    <w:rsid w:val="00C5264E"/>
    <w:rsid w:val="00C71ADE"/>
    <w:rsid w:val="00CA151D"/>
    <w:rsid w:val="00CC7737"/>
    <w:rsid w:val="00CD4A79"/>
    <w:rsid w:val="00CE3E2E"/>
    <w:rsid w:val="00D01AAE"/>
    <w:rsid w:val="00D10645"/>
    <w:rsid w:val="00D265EC"/>
    <w:rsid w:val="00D26FBE"/>
    <w:rsid w:val="00D31554"/>
    <w:rsid w:val="00D45596"/>
    <w:rsid w:val="00D91EBA"/>
    <w:rsid w:val="00D93D10"/>
    <w:rsid w:val="00D976A9"/>
    <w:rsid w:val="00DA3726"/>
    <w:rsid w:val="00DA4CF0"/>
    <w:rsid w:val="00DB536F"/>
    <w:rsid w:val="00DC7044"/>
    <w:rsid w:val="00DF6FA9"/>
    <w:rsid w:val="00E04EB1"/>
    <w:rsid w:val="00E146AB"/>
    <w:rsid w:val="00E15561"/>
    <w:rsid w:val="00E167FA"/>
    <w:rsid w:val="00E22418"/>
    <w:rsid w:val="00E33220"/>
    <w:rsid w:val="00E443E7"/>
    <w:rsid w:val="00E44EE3"/>
    <w:rsid w:val="00E7611B"/>
    <w:rsid w:val="00E90D46"/>
    <w:rsid w:val="00E9638B"/>
    <w:rsid w:val="00EA274D"/>
    <w:rsid w:val="00EC3625"/>
    <w:rsid w:val="00ED0232"/>
    <w:rsid w:val="00EE5C93"/>
    <w:rsid w:val="00F45127"/>
    <w:rsid w:val="00F50741"/>
    <w:rsid w:val="00F52DD8"/>
    <w:rsid w:val="00F64599"/>
    <w:rsid w:val="00F6464A"/>
    <w:rsid w:val="00F6513D"/>
    <w:rsid w:val="00F758DC"/>
    <w:rsid w:val="00F86723"/>
    <w:rsid w:val="00F91BB8"/>
    <w:rsid w:val="00F963C7"/>
    <w:rsid w:val="00FA28B5"/>
    <w:rsid w:val="00FA6BEE"/>
    <w:rsid w:val="00FB5266"/>
    <w:rsid w:val="00FD37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character" w:styleId="Hyperlink">
    <w:name w:val="Hyperlink"/>
    <w:basedOn w:val="DefaultParagraphFont"/>
    <w:uiPriority w:val="99"/>
    <w:unhideWhenUsed/>
    <w:rsid w:val="00E146AB"/>
    <w:rPr>
      <w:color w:val="0000FF" w:themeColor="hyperlink"/>
      <w:u w:val="single"/>
    </w:rPr>
  </w:style>
  <w:style w:type="character" w:styleId="CommentReference">
    <w:name w:val="annotation reference"/>
    <w:uiPriority w:val="99"/>
    <w:semiHidden/>
    <w:unhideWhenUsed/>
    <w:rsid w:val="001C08B5"/>
    <w:rPr>
      <w:sz w:val="16"/>
      <w:szCs w:val="16"/>
    </w:rPr>
  </w:style>
</w:styles>
</file>

<file path=word/webSettings.xml><?xml version="1.0" encoding="utf-8"?>
<w:webSettings xmlns:r="http://schemas.openxmlformats.org/officeDocument/2006/relationships" xmlns:w="http://schemas.openxmlformats.org/wordprocessingml/2006/main">
  <w:divs>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089C-0805-4585-B07E-70FA1FC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1099</Words>
  <Characters>7584</Characters>
  <Application>Microsoft Office Word</Application>
  <DocSecurity>0</DocSecurity>
  <Lines>379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projekts „Grozījums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dc:subject>
  <dc:creator>Astra Valtere</dc:creator>
  <cp:keywords/>
  <dc:description/>
  <cp:lastModifiedBy>AstraV</cp:lastModifiedBy>
  <cp:revision>16</cp:revision>
  <cp:lastPrinted>2014-10-02T06:05:00Z</cp:lastPrinted>
  <dcterms:created xsi:type="dcterms:W3CDTF">2014-09-04T10:25:00Z</dcterms:created>
  <dcterms:modified xsi:type="dcterms:W3CDTF">2014-10-02T06:06:00Z</dcterms:modified>
</cp:coreProperties>
</file>