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1C" w:rsidRPr="000F5EDB" w:rsidRDefault="00E53494" w:rsidP="006F293E">
      <w:pPr>
        <w:pStyle w:val="NormalWeb"/>
        <w:spacing w:before="0" w:beforeAutospacing="0" w:after="0" w:afterAutospacing="0"/>
        <w:jc w:val="center"/>
        <w:rPr>
          <w:sz w:val="28"/>
          <w:szCs w:val="28"/>
        </w:rPr>
      </w:pPr>
      <w:r w:rsidRPr="000F5EDB">
        <w:rPr>
          <w:b/>
          <w:bCs/>
          <w:sz w:val="28"/>
          <w:szCs w:val="28"/>
        </w:rPr>
        <w:t>Rīkojuma</w:t>
      </w:r>
      <w:r w:rsidR="005128C9" w:rsidRPr="000F5EDB">
        <w:rPr>
          <w:b/>
          <w:bCs/>
          <w:sz w:val="28"/>
          <w:szCs w:val="28"/>
        </w:rPr>
        <w:t xml:space="preserve"> projekta „</w:t>
      </w:r>
      <w:r w:rsidRPr="000F5EDB">
        <w:rPr>
          <w:b/>
          <w:sz w:val="28"/>
          <w:szCs w:val="28"/>
        </w:rPr>
        <w:t>Par finanšu līdzekļu piešķiršanu no valsts budžeta programmas „Līdzekļi neparedzētiem gadījumiem”</w:t>
      </w:r>
      <w:r w:rsidR="005128C9" w:rsidRPr="000F5EDB">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005128C9" w:rsidRPr="000F5EDB">
          <w:rPr>
            <w:b/>
            <w:bCs/>
            <w:sz w:val="28"/>
            <w:szCs w:val="28"/>
          </w:rPr>
          <w:t>ziņojums</w:t>
        </w:r>
      </w:smartTag>
      <w:r w:rsidR="005128C9" w:rsidRPr="000F5EDB">
        <w:rPr>
          <w:b/>
          <w:bCs/>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0F5EDB" w:rsidTr="000D2380">
        <w:trPr>
          <w:trHeight w:val="419"/>
        </w:trPr>
        <w:tc>
          <w:tcPr>
            <w:tcW w:w="5000" w:type="pct"/>
            <w:gridSpan w:val="3"/>
            <w:vAlign w:val="center"/>
          </w:tcPr>
          <w:p w:rsidR="007F6B1C" w:rsidRPr="000F5EDB" w:rsidRDefault="007F6B1C" w:rsidP="000D2380">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rsidTr="000D2380">
        <w:trPr>
          <w:trHeight w:val="415"/>
        </w:trPr>
        <w:tc>
          <w:tcPr>
            <w:tcW w:w="227" w:type="pct"/>
          </w:tcPr>
          <w:p w:rsidR="007F6B1C" w:rsidRPr="000F5EDB" w:rsidRDefault="007F6B1C" w:rsidP="000D2380">
            <w:pPr>
              <w:pStyle w:val="naiskr"/>
              <w:spacing w:before="0" w:beforeAutospacing="0" w:after="0" w:afterAutospacing="0"/>
              <w:ind w:left="57" w:right="57"/>
              <w:jc w:val="center"/>
            </w:pPr>
            <w:r w:rsidRPr="000F5EDB">
              <w:t>1.</w:t>
            </w:r>
          </w:p>
        </w:tc>
        <w:tc>
          <w:tcPr>
            <w:tcW w:w="1565" w:type="pct"/>
          </w:tcPr>
          <w:p w:rsidR="007F6B1C" w:rsidRPr="000F5EDB" w:rsidRDefault="007F6B1C" w:rsidP="000D2380">
            <w:pPr>
              <w:pStyle w:val="naiskr"/>
              <w:spacing w:before="0" w:beforeAutospacing="0" w:after="0" w:afterAutospacing="0"/>
              <w:ind w:left="57" w:right="57"/>
            </w:pPr>
            <w:r w:rsidRPr="000F5EDB">
              <w:t>Pamatojums</w:t>
            </w:r>
          </w:p>
        </w:tc>
        <w:tc>
          <w:tcPr>
            <w:tcW w:w="3207" w:type="pct"/>
          </w:tcPr>
          <w:p w:rsidR="00CF707C" w:rsidRDefault="00BE3027" w:rsidP="00096ACC">
            <w:pPr>
              <w:pStyle w:val="Heading3"/>
              <w:shd w:val="clear" w:color="auto" w:fill="FFFFFF"/>
              <w:spacing w:before="0" w:beforeAutospacing="0" w:after="0" w:afterAutospacing="0"/>
              <w:ind w:right="57"/>
              <w:jc w:val="both"/>
              <w:rPr>
                <w:b w:val="0"/>
                <w:sz w:val="24"/>
                <w:szCs w:val="24"/>
              </w:rPr>
            </w:pPr>
            <w:r>
              <w:rPr>
                <w:b w:val="0"/>
                <w:sz w:val="24"/>
                <w:szCs w:val="24"/>
              </w:rPr>
              <w:t xml:space="preserve">1. </w:t>
            </w:r>
            <w:r w:rsidR="00CF707C">
              <w:rPr>
                <w:b w:val="0"/>
                <w:sz w:val="24"/>
                <w:szCs w:val="24"/>
              </w:rPr>
              <w:t>L</w:t>
            </w:r>
            <w:r w:rsidR="00CF707C" w:rsidRPr="00CF707C">
              <w:rPr>
                <w:b w:val="0"/>
                <w:sz w:val="24"/>
                <w:szCs w:val="24"/>
              </w:rPr>
              <w:t>ikum</w:t>
            </w:r>
            <w:r>
              <w:rPr>
                <w:b w:val="0"/>
                <w:sz w:val="24"/>
                <w:szCs w:val="24"/>
              </w:rPr>
              <w:t>a</w:t>
            </w:r>
            <w:r w:rsidR="00CF707C" w:rsidRPr="00CF707C">
              <w:rPr>
                <w:b w:val="0"/>
                <w:sz w:val="24"/>
                <w:szCs w:val="24"/>
              </w:rPr>
              <w:t xml:space="preserve"> „Grozījumi Valsts un pašvaldību institūciju amatpersonu un darbinieku atlīdzības likumā</w:t>
            </w:r>
            <w:r w:rsidR="00CF707C">
              <w:rPr>
                <w:b w:val="0"/>
                <w:sz w:val="24"/>
                <w:szCs w:val="24"/>
              </w:rPr>
              <w:t>”</w:t>
            </w:r>
            <w:r w:rsidR="00F62295">
              <w:rPr>
                <w:b w:val="0"/>
                <w:sz w:val="24"/>
                <w:szCs w:val="24"/>
              </w:rPr>
              <w:t xml:space="preserve">19.panta </w:t>
            </w:r>
            <w:r w:rsidR="00F62295" w:rsidRPr="001240D5">
              <w:rPr>
                <w:b w:val="0"/>
                <w:sz w:val="24"/>
                <w:szCs w:val="24"/>
              </w:rPr>
              <w:t>2</w:t>
            </w:r>
            <w:r w:rsidR="00F62295" w:rsidRPr="001240D5">
              <w:rPr>
                <w:b w:val="0"/>
                <w:sz w:val="24"/>
                <w:szCs w:val="24"/>
                <w:vertAlign w:val="superscript"/>
              </w:rPr>
              <w:t>1</w:t>
            </w:r>
            <w:r w:rsidR="00F62295">
              <w:rPr>
                <w:b w:val="0"/>
                <w:sz w:val="24"/>
                <w:szCs w:val="24"/>
              </w:rPr>
              <w:t xml:space="preserve">un </w:t>
            </w:r>
            <w:r w:rsidR="00F62295" w:rsidRPr="001240D5">
              <w:rPr>
                <w:b w:val="0"/>
                <w:sz w:val="24"/>
                <w:szCs w:val="24"/>
              </w:rPr>
              <w:t>2</w:t>
            </w:r>
            <w:r w:rsidR="00F62295" w:rsidRPr="001240D5">
              <w:rPr>
                <w:b w:val="0"/>
                <w:sz w:val="24"/>
                <w:szCs w:val="24"/>
                <w:vertAlign w:val="superscript"/>
              </w:rPr>
              <w:t>4</w:t>
            </w:r>
            <w:r w:rsidR="00F62295">
              <w:rPr>
                <w:b w:val="0"/>
                <w:sz w:val="24"/>
                <w:szCs w:val="24"/>
              </w:rPr>
              <w:t>daļa, 39.panta otrā daļa, Pārejas noteikumu</w:t>
            </w:r>
            <w:r w:rsidR="00230741">
              <w:rPr>
                <w:b w:val="0"/>
                <w:sz w:val="24"/>
                <w:szCs w:val="24"/>
              </w:rPr>
              <w:t xml:space="preserve"> 25., 26., 27. un 28.punkts</w:t>
            </w:r>
            <w:r w:rsidR="006D5B51">
              <w:rPr>
                <w:b w:val="0"/>
                <w:sz w:val="24"/>
                <w:szCs w:val="24"/>
              </w:rPr>
              <w:t xml:space="preserve"> </w:t>
            </w:r>
            <w:r w:rsidR="00CF707C">
              <w:rPr>
                <w:b w:val="0"/>
                <w:sz w:val="24"/>
                <w:szCs w:val="24"/>
              </w:rPr>
              <w:t>(</w:t>
            </w:r>
            <w:r w:rsidR="00CF707C" w:rsidRPr="00CF707C">
              <w:rPr>
                <w:b w:val="0"/>
                <w:sz w:val="24"/>
                <w:szCs w:val="24"/>
              </w:rPr>
              <w:t>pieņemt</w:t>
            </w:r>
            <w:r w:rsidR="00CF707C">
              <w:rPr>
                <w:b w:val="0"/>
                <w:sz w:val="24"/>
                <w:szCs w:val="24"/>
              </w:rPr>
              <w:t xml:space="preserve">s Saeimā </w:t>
            </w:r>
            <w:r w:rsidR="00CF707C" w:rsidRPr="00CF707C">
              <w:rPr>
                <w:b w:val="0"/>
                <w:sz w:val="24"/>
                <w:szCs w:val="24"/>
              </w:rPr>
              <w:t>2013.gada 19.decembrī</w:t>
            </w:r>
            <w:r w:rsidR="00CF707C">
              <w:rPr>
                <w:b w:val="0"/>
                <w:sz w:val="24"/>
                <w:szCs w:val="24"/>
              </w:rPr>
              <w:t>).</w:t>
            </w:r>
          </w:p>
          <w:p w:rsidR="00CF707C" w:rsidRDefault="00BE3027" w:rsidP="00096ACC">
            <w:pPr>
              <w:pStyle w:val="Heading3"/>
              <w:shd w:val="clear" w:color="auto" w:fill="FFFFFF"/>
              <w:spacing w:before="0" w:beforeAutospacing="0" w:after="0" w:afterAutospacing="0"/>
              <w:ind w:right="57"/>
              <w:jc w:val="both"/>
              <w:rPr>
                <w:b w:val="0"/>
                <w:sz w:val="24"/>
                <w:szCs w:val="24"/>
              </w:rPr>
            </w:pPr>
            <w:r>
              <w:rPr>
                <w:b w:val="0"/>
                <w:sz w:val="24"/>
                <w:szCs w:val="24"/>
              </w:rPr>
              <w:t>2.</w:t>
            </w:r>
            <w:r w:rsidR="00CF707C" w:rsidRPr="00CF707C">
              <w:rPr>
                <w:b w:val="0"/>
                <w:sz w:val="24"/>
                <w:szCs w:val="24"/>
              </w:rPr>
              <w:t>Ministru kabineta</w:t>
            </w:r>
            <w:r w:rsidR="006D5B51">
              <w:rPr>
                <w:b w:val="0"/>
                <w:sz w:val="24"/>
                <w:szCs w:val="24"/>
              </w:rPr>
              <w:t xml:space="preserve"> </w:t>
            </w:r>
            <w:r w:rsidR="00CF707C" w:rsidRPr="00CF707C">
              <w:rPr>
                <w:b w:val="0"/>
                <w:sz w:val="24"/>
                <w:szCs w:val="24"/>
              </w:rPr>
              <w:t xml:space="preserve"> </w:t>
            </w:r>
            <w:r w:rsidR="00FE4EF0" w:rsidRPr="00FE4EF0">
              <w:rPr>
                <w:b w:val="0"/>
                <w:sz w:val="24"/>
                <w:szCs w:val="24"/>
              </w:rPr>
              <w:t>2014.gada 11.februāra noteikum</w:t>
            </w:r>
            <w:r w:rsidR="007B64C4">
              <w:rPr>
                <w:b w:val="0"/>
                <w:sz w:val="24"/>
                <w:szCs w:val="24"/>
              </w:rPr>
              <w:t>u</w:t>
            </w:r>
            <w:r w:rsidR="00FE4EF0" w:rsidRPr="00FE4EF0">
              <w:rPr>
                <w:b w:val="0"/>
                <w:sz w:val="24"/>
                <w:szCs w:val="24"/>
              </w:rPr>
              <w:t xml:space="preserve"> Nr.87</w:t>
            </w:r>
            <w:r w:rsidR="00CF707C" w:rsidRPr="00CF707C">
              <w:rPr>
                <w:b w:val="0"/>
                <w:sz w:val="24"/>
                <w:szCs w:val="24"/>
              </w:rPr>
              <w:t xml:space="preserve"> „Grozījumi Ministru kabineta 2010.gada 21.jūnija noteikumos Nr.569 „Kārtība, kādā Iekšlietu ministrijas sistēmas iestāžu un Ieslodzījuma vietu pārvaldes amatpersona ar speciālo dienesta pakāpi saņem apmaksātus veselības aprūpes pakalpojumus””</w:t>
            </w:r>
            <w:r w:rsidR="007B64C4">
              <w:rPr>
                <w:b w:val="0"/>
                <w:sz w:val="24"/>
                <w:szCs w:val="24"/>
              </w:rPr>
              <w:t xml:space="preserve"> prasību izpildes nodrošināšana</w:t>
            </w:r>
            <w:r w:rsidR="00CF707C">
              <w:rPr>
                <w:b w:val="0"/>
                <w:sz w:val="24"/>
                <w:szCs w:val="24"/>
              </w:rPr>
              <w:t>.</w:t>
            </w:r>
          </w:p>
          <w:p w:rsidR="00096ACC" w:rsidRPr="00CF707C" w:rsidRDefault="00FE4EF0" w:rsidP="007B64C4">
            <w:pPr>
              <w:pStyle w:val="Heading3"/>
              <w:shd w:val="clear" w:color="auto" w:fill="FFFFFF"/>
              <w:spacing w:before="0" w:beforeAutospacing="0" w:after="0" w:afterAutospacing="0"/>
              <w:ind w:right="57"/>
              <w:jc w:val="both"/>
              <w:rPr>
                <w:b w:val="0"/>
                <w:sz w:val="24"/>
                <w:szCs w:val="24"/>
              </w:rPr>
            </w:pPr>
            <w:r>
              <w:rPr>
                <w:b w:val="0"/>
                <w:sz w:val="24"/>
                <w:szCs w:val="24"/>
              </w:rPr>
              <w:t>3.</w:t>
            </w:r>
            <w:r w:rsidR="00CF707C" w:rsidRPr="00CF707C">
              <w:rPr>
                <w:b w:val="0"/>
                <w:sz w:val="24"/>
                <w:szCs w:val="24"/>
              </w:rPr>
              <w:t xml:space="preserve">Ministru kabineta </w:t>
            </w:r>
            <w:r w:rsidR="006D5B51" w:rsidRPr="00FE4EF0">
              <w:rPr>
                <w:b w:val="0"/>
                <w:sz w:val="24"/>
                <w:szCs w:val="24"/>
              </w:rPr>
              <w:t>2014.gada 11.februāra noteikum</w:t>
            </w:r>
            <w:r w:rsidR="007B64C4">
              <w:rPr>
                <w:b w:val="0"/>
                <w:sz w:val="24"/>
                <w:szCs w:val="24"/>
              </w:rPr>
              <w:t>u</w:t>
            </w:r>
            <w:r w:rsidR="006D5B51" w:rsidRPr="00FE4EF0">
              <w:rPr>
                <w:b w:val="0"/>
                <w:sz w:val="24"/>
                <w:szCs w:val="24"/>
              </w:rPr>
              <w:t xml:space="preserve"> Nr.</w:t>
            </w:r>
            <w:r w:rsidR="00503555">
              <w:rPr>
                <w:b w:val="0"/>
                <w:sz w:val="24"/>
                <w:szCs w:val="24"/>
              </w:rPr>
              <w:t>93</w:t>
            </w:r>
            <w:r w:rsidR="00503555" w:rsidRPr="00CF707C">
              <w:rPr>
                <w:b w:val="0"/>
                <w:sz w:val="24"/>
                <w:szCs w:val="24"/>
              </w:rPr>
              <w:t xml:space="preserve"> </w:t>
            </w:r>
            <w:r w:rsidR="00CF707C" w:rsidRPr="00CF707C">
              <w:rPr>
                <w:b w:val="0"/>
                <w:sz w:val="24"/>
                <w:szCs w:val="24"/>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7B64C4">
              <w:rPr>
                <w:b w:val="0"/>
                <w:sz w:val="24"/>
                <w:szCs w:val="24"/>
              </w:rPr>
              <w:t xml:space="preserve"> prasību izpildes nodrošināšana.</w:t>
            </w:r>
          </w:p>
        </w:tc>
      </w:tr>
      <w:tr w:rsidR="000F5EDB" w:rsidRPr="00F841AE" w:rsidTr="000D2380">
        <w:trPr>
          <w:trHeight w:val="472"/>
        </w:trPr>
        <w:tc>
          <w:tcPr>
            <w:tcW w:w="227" w:type="pct"/>
          </w:tcPr>
          <w:p w:rsidR="007F6B1C" w:rsidRPr="000F5EDB" w:rsidRDefault="007F6B1C" w:rsidP="000D2380">
            <w:pPr>
              <w:pStyle w:val="naiskr"/>
              <w:spacing w:before="0" w:beforeAutospacing="0" w:after="0" w:afterAutospacing="0"/>
              <w:ind w:left="57" w:right="57"/>
              <w:jc w:val="center"/>
            </w:pPr>
            <w:r w:rsidRPr="000F5EDB">
              <w:t>2.</w:t>
            </w:r>
          </w:p>
        </w:tc>
        <w:tc>
          <w:tcPr>
            <w:tcW w:w="1565" w:type="pct"/>
          </w:tcPr>
          <w:p w:rsidR="007F6B1C" w:rsidRPr="000F5EDB" w:rsidRDefault="007F6B1C" w:rsidP="000D2380">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tc>
        <w:tc>
          <w:tcPr>
            <w:tcW w:w="3207" w:type="pct"/>
          </w:tcPr>
          <w:p w:rsidR="00FA66F6" w:rsidRDefault="00156B92" w:rsidP="00584A28">
            <w:pPr>
              <w:pStyle w:val="Heading3"/>
              <w:shd w:val="clear" w:color="auto" w:fill="FFFFFF"/>
              <w:spacing w:before="0" w:beforeAutospacing="0" w:after="0" w:afterAutospacing="0"/>
              <w:ind w:right="57"/>
              <w:jc w:val="both"/>
              <w:rPr>
                <w:b w:val="0"/>
                <w:sz w:val="24"/>
                <w:szCs w:val="24"/>
              </w:rPr>
            </w:pPr>
            <w:r w:rsidRPr="00CF707C">
              <w:rPr>
                <w:b w:val="0"/>
                <w:sz w:val="24"/>
                <w:szCs w:val="24"/>
              </w:rPr>
              <w:t xml:space="preserve">2013.gada 19.decembrī </w:t>
            </w:r>
            <w:r w:rsidR="00373337">
              <w:rPr>
                <w:b w:val="0"/>
                <w:sz w:val="24"/>
                <w:szCs w:val="24"/>
              </w:rPr>
              <w:t xml:space="preserve">Saeima </w:t>
            </w:r>
            <w:r w:rsidRPr="00CF707C">
              <w:rPr>
                <w:b w:val="0"/>
                <w:sz w:val="24"/>
                <w:szCs w:val="24"/>
              </w:rPr>
              <w:t>pieņ</w:t>
            </w:r>
            <w:r w:rsidR="00373337">
              <w:rPr>
                <w:b w:val="0"/>
                <w:sz w:val="24"/>
                <w:szCs w:val="24"/>
              </w:rPr>
              <w:t>ē</w:t>
            </w:r>
            <w:r w:rsidRPr="00CF707C">
              <w:rPr>
                <w:b w:val="0"/>
                <w:sz w:val="24"/>
                <w:szCs w:val="24"/>
              </w:rPr>
              <w:t>m</w:t>
            </w:r>
            <w:r w:rsidR="00373337">
              <w:rPr>
                <w:b w:val="0"/>
                <w:sz w:val="24"/>
                <w:szCs w:val="24"/>
              </w:rPr>
              <w:t>a</w:t>
            </w:r>
            <w:r w:rsidRPr="00CF707C">
              <w:rPr>
                <w:b w:val="0"/>
                <w:sz w:val="24"/>
                <w:szCs w:val="24"/>
              </w:rPr>
              <w:t xml:space="preserve"> likumu „Grozījumi Valsts un pašvaldību institūciju amatpersonu un darbinieku atlīdzības likumā”</w:t>
            </w:r>
            <w:r w:rsidR="00373337">
              <w:rPr>
                <w:b w:val="0"/>
                <w:sz w:val="24"/>
                <w:szCs w:val="24"/>
              </w:rPr>
              <w:t>, kas paredz būtiski uzlabot un pilnveidot</w:t>
            </w:r>
            <w:r w:rsidR="00F6405A">
              <w:rPr>
                <w:b w:val="0"/>
                <w:sz w:val="24"/>
                <w:szCs w:val="24"/>
              </w:rPr>
              <w:t xml:space="preserve"> </w:t>
            </w:r>
            <w:r w:rsidR="00373337" w:rsidRPr="00584A28">
              <w:rPr>
                <w:b w:val="0"/>
                <w:sz w:val="24"/>
                <w:szCs w:val="24"/>
              </w:rPr>
              <w:t xml:space="preserve">Iekšlietu ministrijas sistēmas iestāžu un Ieslodzījuma vietu pārvaldes amatpersonu ar speciālajām dienesta pakāpēm (turpmāk – amatpersona) veselības aprūpes sistēmu un sociālo garantiju sistēmu, gan palielinot jau iepriekš paredzēto kompensējamo veselības aprūpes izdevumu un pabalstu apmēru, gan nosakot jaunus apmaksājamo vai kompensējamo veselības aprūpes pakalpojumu veidus, tajā skaitā bijušajām amatpersonām, kuras atvaļinātas no dienesta sakarā ar noteiktajām prasībām neatbilstošu veselības stāvokli, gan ieviešot jaunus pabalstu veidus ar nolūku nodrošināt sociālo pakalpojumu grozu, kas līdzvērtīgs veselības, dzīvības un nelaimes gadījumu apdrošināšanai, </w:t>
            </w:r>
            <w:r w:rsidR="00436B92" w:rsidRPr="00584A28">
              <w:rPr>
                <w:b w:val="0"/>
                <w:sz w:val="24"/>
                <w:szCs w:val="24"/>
              </w:rPr>
              <w:t xml:space="preserve">bet ar mazākiem valsts budžeta izdevumiem. </w:t>
            </w:r>
            <w:r w:rsidR="001240D5">
              <w:rPr>
                <w:b w:val="0"/>
                <w:sz w:val="24"/>
                <w:szCs w:val="24"/>
              </w:rPr>
              <w:t xml:space="preserve">Ar 2014.gada 1.janvāri paredzēti šādi </w:t>
            </w:r>
            <w:r w:rsidR="001240D5" w:rsidRPr="003D511A">
              <w:rPr>
                <w:b w:val="0"/>
                <w:i/>
                <w:sz w:val="24"/>
                <w:szCs w:val="24"/>
              </w:rPr>
              <w:t>jauni pabalstu veidi</w:t>
            </w:r>
            <w:r w:rsidR="001240D5">
              <w:rPr>
                <w:b w:val="0"/>
                <w:sz w:val="24"/>
                <w:szCs w:val="24"/>
              </w:rPr>
              <w:t xml:space="preserve"> s</w:t>
            </w:r>
            <w:r w:rsidR="00EB0184">
              <w:rPr>
                <w:b w:val="0"/>
                <w:sz w:val="24"/>
                <w:szCs w:val="24"/>
              </w:rPr>
              <w:t xml:space="preserve">askaņā ar </w:t>
            </w:r>
            <w:r w:rsidR="00EB0184" w:rsidRPr="00CF707C">
              <w:rPr>
                <w:b w:val="0"/>
                <w:sz w:val="24"/>
                <w:szCs w:val="24"/>
              </w:rPr>
              <w:t>Valsts un pašvaldību institūciju amatpersonu un darbinieku atlīdzības likum</w:t>
            </w:r>
            <w:r w:rsidR="00EB0184">
              <w:rPr>
                <w:b w:val="0"/>
                <w:sz w:val="24"/>
                <w:szCs w:val="24"/>
              </w:rPr>
              <w:t>a</w:t>
            </w:r>
            <w:r w:rsidR="001240D5">
              <w:rPr>
                <w:b w:val="0"/>
                <w:sz w:val="24"/>
                <w:szCs w:val="24"/>
              </w:rPr>
              <w:t xml:space="preserve"> 19.panta</w:t>
            </w:r>
            <w:r w:rsidR="00FA66F6">
              <w:rPr>
                <w:b w:val="0"/>
                <w:sz w:val="24"/>
                <w:szCs w:val="24"/>
              </w:rPr>
              <w:t>:</w:t>
            </w:r>
          </w:p>
          <w:p w:rsidR="00EB0184" w:rsidRPr="001240D5" w:rsidRDefault="001240D5" w:rsidP="00584A28">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Pr="001240D5">
              <w:rPr>
                <w:b w:val="0"/>
                <w:sz w:val="24"/>
                <w:szCs w:val="24"/>
              </w:rPr>
              <w:t>2</w:t>
            </w:r>
            <w:r w:rsidRPr="001240D5">
              <w:rPr>
                <w:b w:val="0"/>
                <w:sz w:val="24"/>
                <w:szCs w:val="24"/>
                <w:vertAlign w:val="superscript"/>
              </w:rPr>
              <w:t>1</w:t>
            </w:r>
            <w:r>
              <w:rPr>
                <w:b w:val="0"/>
                <w:sz w:val="24"/>
                <w:szCs w:val="24"/>
              </w:rPr>
              <w:t xml:space="preserve">daļu – amatpersonas </w:t>
            </w:r>
            <w:r w:rsidRPr="001240D5">
              <w:rPr>
                <w:b w:val="0"/>
                <w:sz w:val="24"/>
                <w:szCs w:val="24"/>
              </w:rPr>
              <w:t xml:space="preserve">nāves gadījumā tās laulātais un lejupējie, bet, ja lejupējo nav, tad tuvākās pakāpes augšupējie radinieki papildus šā panta pirmajā daļā noteiktajam pabalstam saņem vienreizēju pabalstu 12 mēnešalgu apmērā, bet ne mazāku kā 10 000 </w:t>
            </w:r>
            <w:proofErr w:type="spellStart"/>
            <w:r w:rsidRPr="001240D5">
              <w:rPr>
                <w:b w:val="0"/>
                <w:i/>
                <w:sz w:val="24"/>
                <w:szCs w:val="24"/>
              </w:rPr>
              <w:t>euro</w:t>
            </w:r>
            <w:proofErr w:type="spellEnd"/>
            <w:r w:rsidR="001220EE">
              <w:rPr>
                <w:b w:val="0"/>
                <w:i/>
                <w:sz w:val="24"/>
                <w:szCs w:val="24"/>
              </w:rPr>
              <w:t xml:space="preserve"> </w:t>
            </w:r>
            <w:r>
              <w:rPr>
                <w:b w:val="0"/>
                <w:sz w:val="24"/>
                <w:szCs w:val="24"/>
              </w:rPr>
              <w:t>(prognozētais gadījumu skaits, ņemot vērā 2011.-2013.gada statistiku –</w:t>
            </w:r>
            <w:r w:rsidR="003C197A">
              <w:rPr>
                <w:b w:val="0"/>
                <w:sz w:val="24"/>
                <w:szCs w:val="24"/>
              </w:rPr>
              <w:t>8</w:t>
            </w:r>
            <w:r>
              <w:rPr>
                <w:b w:val="0"/>
                <w:sz w:val="24"/>
                <w:szCs w:val="24"/>
              </w:rPr>
              <w:t xml:space="preserve">); </w:t>
            </w:r>
          </w:p>
          <w:p w:rsidR="00EB0184" w:rsidRDefault="001240D5" w:rsidP="00584A28">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Pr="001240D5">
              <w:rPr>
                <w:b w:val="0"/>
                <w:sz w:val="24"/>
                <w:szCs w:val="24"/>
              </w:rPr>
              <w:t>2</w:t>
            </w:r>
            <w:r w:rsidRPr="001240D5">
              <w:rPr>
                <w:b w:val="0"/>
                <w:sz w:val="24"/>
                <w:szCs w:val="24"/>
                <w:vertAlign w:val="superscript"/>
              </w:rPr>
              <w:t>4</w:t>
            </w:r>
            <w:r>
              <w:rPr>
                <w:b w:val="0"/>
                <w:sz w:val="24"/>
                <w:szCs w:val="24"/>
              </w:rPr>
              <w:t xml:space="preserve">daļu – amatpersona saņem </w:t>
            </w:r>
            <w:r w:rsidRPr="001240D5">
              <w:rPr>
                <w:b w:val="0"/>
                <w:sz w:val="24"/>
                <w:szCs w:val="24"/>
              </w:rPr>
              <w:t>vienreizēju pabalstu 50 procentu apmērā no šā panta 2.</w:t>
            </w:r>
            <w:r w:rsidRPr="001240D5">
              <w:rPr>
                <w:b w:val="0"/>
                <w:sz w:val="24"/>
                <w:szCs w:val="24"/>
                <w:vertAlign w:val="superscript"/>
              </w:rPr>
              <w:t>2</w:t>
            </w:r>
            <w:r w:rsidRPr="001240D5">
              <w:rPr>
                <w:b w:val="0"/>
                <w:sz w:val="24"/>
                <w:szCs w:val="24"/>
              </w:rPr>
              <w:t xml:space="preserve"> vai 2.</w:t>
            </w:r>
            <w:r w:rsidRPr="001240D5">
              <w:rPr>
                <w:b w:val="0"/>
                <w:sz w:val="24"/>
                <w:szCs w:val="24"/>
                <w:vertAlign w:val="superscript"/>
              </w:rPr>
              <w:t>3</w:t>
            </w:r>
            <w:r w:rsidRPr="001240D5">
              <w:rPr>
                <w:b w:val="0"/>
                <w:sz w:val="24"/>
                <w:szCs w:val="24"/>
              </w:rPr>
              <w:t xml:space="preserve"> daļā noteiktā </w:t>
            </w:r>
            <w:r w:rsidRPr="001240D5">
              <w:rPr>
                <w:b w:val="0"/>
                <w:sz w:val="24"/>
                <w:szCs w:val="24"/>
              </w:rPr>
              <w:lastRenderedPageBreak/>
              <w:t xml:space="preserve">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w:t>
            </w:r>
            <w:r w:rsidR="003D511A">
              <w:rPr>
                <w:b w:val="0"/>
                <w:sz w:val="24"/>
                <w:szCs w:val="24"/>
              </w:rPr>
              <w:t>(</w:t>
            </w:r>
            <w:r w:rsidRPr="001240D5">
              <w:rPr>
                <w:b w:val="0"/>
                <w:sz w:val="24"/>
                <w:szCs w:val="24"/>
              </w:rPr>
              <w:t>ja pārejošā darba (dienesta) nespēja ilgst vairāk par sešām dienām</w:t>
            </w:r>
            <w:r w:rsidR="003D511A">
              <w:rPr>
                <w:b w:val="0"/>
                <w:sz w:val="24"/>
                <w:szCs w:val="24"/>
              </w:rPr>
              <w:t>)</w:t>
            </w:r>
            <w:r w:rsidRPr="001240D5">
              <w:rPr>
                <w:b w:val="0"/>
                <w:sz w:val="24"/>
                <w:szCs w:val="24"/>
              </w:rPr>
              <w:t xml:space="preserve"> veselības bojājumu</w:t>
            </w:r>
            <w:r w:rsidR="003D511A">
              <w:rPr>
                <w:b w:val="0"/>
                <w:sz w:val="24"/>
                <w:szCs w:val="24"/>
              </w:rPr>
              <w:t xml:space="preserve"> (prognozētais gadījumu skaits, ņemot vērā 2011.-2013.gada statistiku –</w:t>
            </w:r>
            <w:r w:rsidR="003C197A">
              <w:rPr>
                <w:b w:val="0"/>
                <w:sz w:val="24"/>
                <w:szCs w:val="24"/>
              </w:rPr>
              <w:t>197</w:t>
            </w:r>
            <w:r w:rsidR="003D511A">
              <w:rPr>
                <w:b w:val="0"/>
                <w:sz w:val="24"/>
                <w:szCs w:val="24"/>
              </w:rPr>
              <w:t>)</w:t>
            </w:r>
            <w:r w:rsidRPr="001240D5">
              <w:rPr>
                <w:b w:val="0"/>
                <w:sz w:val="24"/>
                <w:szCs w:val="24"/>
              </w:rPr>
              <w:t xml:space="preserve">. </w:t>
            </w:r>
          </w:p>
          <w:p w:rsidR="003D511A" w:rsidRDefault="003D511A" w:rsidP="00584A28">
            <w:pPr>
              <w:pStyle w:val="Heading3"/>
              <w:shd w:val="clear" w:color="auto" w:fill="FFFFFF"/>
              <w:spacing w:before="0" w:beforeAutospacing="0" w:after="0" w:afterAutospacing="0"/>
              <w:ind w:right="57"/>
              <w:jc w:val="both"/>
              <w:rPr>
                <w:b w:val="0"/>
                <w:sz w:val="24"/>
                <w:szCs w:val="24"/>
              </w:rPr>
            </w:pPr>
            <w:r>
              <w:rPr>
                <w:b w:val="0"/>
                <w:sz w:val="24"/>
                <w:szCs w:val="24"/>
              </w:rPr>
              <w:t xml:space="preserve">Ar 2014.gada 1.janvāri paredzēti </w:t>
            </w:r>
            <w:r w:rsidRPr="003D511A">
              <w:rPr>
                <w:b w:val="0"/>
                <w:i/>
                <w:sz w:val="24"/>
                <w:szCs w:val="24"/>
              </w:rPr>
              <w:t xml:space="preserve">jauni </w:t>
            </w:r>
            <w:r>
              <w:rPr>
                <w:b w:val="0"/>
                <w:i/>
                <w:sz w:val="24"/>
                <w:szCs w:val="24"/>
              </w:rPr>
              <w:t xml:space="preserve">apmaksātas veselības aprūpes pakalpojumu </w:t>
            </w:r>
            <w:r w:rsidRPr="003D511A">
              <w:rPr>
                <w:b w:val="0"/>
                <w:i/>
                <w:sz w:val="24"/>
                <w:szCs w:val="24"/>
              </w:rPr>
              <w:t>veidi</w:t>
            </w:r>
            <w:r>
              <w:rPr>
                <w:b w:val="0"/>
                <w:sz w:val="24"/>
                <w:szCs w:val="24"/>
              </w:rPr>
              <w:t xml:space="preserve"> saskaņā ar: </w:t>
            </w:r>
          </w:p>
          <w:p w:rsidR="00731279" w:rsidRDefault="003D511A" w:rsidP="00731279">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Pr="00CF707C">
              <w:rPr>
                <w:b w:val="0"/>
                <w:sz w:val="24"/>
                <w:szCs w:val="24"/>
              </w:rPr>
              <w:t>Valsts un pašvaldību institūciju amatpersonu un darbinieku atlīdzības likum</w:t>
            </w:r>
            <w:r>
              <w:rPr>
                <w:b w:val="0"/>
                <w:sz w:val="24"/>
                <w:szCs w:val="24"/>
              </w:rPr>
              <w:t xml:space="preserve">a </w:t>
            </w:r>
            <w:r w:rsidRPr="00CF707C">
              <w:rPr>
                <w:b w:val="0"/>
                <w:sz w:val="24"/>
                <w:szCs w:val="24"/>
              </w:rPr>
              <w:t>Pārejas noteikum</w:t>
            </w:r>
            <w:r>
              <w:rPr>
                <w:b w:val="0"/>
                <w:sz w:val="24"/>
                <w:szCs w:val="24"/>
              </w:rPr>
              <w:t>u</w:t>
            </w:r>
            <w:r w:rsidRPr="00CF707C">
              <w:rPr>
                <w:b w:val="0"/>
                <w:sz w:val="24"/>
                <w:szCs w:val="24"/>
              </w:rPr>
              <w:t xml:space="preserve"> 26.punktu, kas </w:t>
            </w:r>
            <w:r>
              <w:rPr>
                <w:b w:val="0"/>
                <w:sz w:val="24"/>
                <w:szCs w:val="24"/>
              </w:rPr>
              <w:t xml:space="preserve">nosaka, </w:t>
            </w:r>
            <w:r w:rsidRPr="00CF707C">
              <w:rPr>
                <w:b w:val="0"/>
                <w:sz w:val="24"/>
                <w:szCs w:val="24"/>
              </w:rPr>
              <w:t xml:space="preserve">ka Ministru kabinets attiecībā amatpersonām atbilstoši valsts budžetā pieejamiem līdzekļiem iekļauj ārstniecības personas nozīmētus medikamentus un zobārstniecības un zobu higiēnas pakalpojumus apmaksājamo veselības aprūpes pakalpojumu apjomā un paaugstina apmaksājamo veselības pakalpojumu limitus, tādējādi nodrošinot, ka apmaksātās veselības aprūpes pakalpojumu apjoms nav mazāks par šā likuma </w:t>
            </w:r>
            <w:hyperlink r:id="rId8" w:anchor="p37" w:history="1">
              <w:r w:rsidRPr="00CF707C">
                <w:rPr>
                  <w:b w:val="0"/>
                  <w:sz w:val="24"/>
                  <w:szCs w:val="24"/>
                </w:rPr>
                <w:t>37.panta</w:t>
              </w:r>
            </w:hyperlink>
            <w:r w:rsidRPr="00CF707C">
              <w:rPr>
                <w:b w:val="0"/>
                <w:sz w:val="24"/>
                <w:szCs w:val="24"/>
              </w:rPr>
              <w:t xml:space="preserve"> otrās daļas pirmajā teikumā minētās veselības apdrošināšanas polises parasti garantēto pakalpojumu klāstu un apmaksājamo apmēru līdzīgos apdrošināšanas gadījumos</w:t>
            </w:r>
            <w:r w:rsidR="00731279">
              <w:rPr>
                <w:b w:val="0"/>
                <w:sz w:val="24"/>
                <w:szCs w:val="24"/>
              </w:rPr>
              <w:t xml:space="preserve"> (regulē </w:t>
            </w:r>
            <w:r w:rsidR="00731279" w:rsidRPr="00CF707C">
              <w:rPr>
                <w:b w:val="0"/>
                <w:sz w:val="24"/>
                <w:szCs w:val="24"/>
              </w:rPr>
              <w:t>Ministru kabineta</w:t>
            </w:r>
            <w:r w:rsidR="001220EE">
              <w:rPr>
                <w:b w:val="0"/>
                <w:sz w:val="24"/>
                <w:szCs w:val="24"/>
              </w:rPr>
              <w:t xml:space="preserve"> </w:t>
            </w:r>
            <w:r w:rsidR="009B24CA">
              <w:rPr>
                <w:b w:val="0"/>
                <w:sz w:val="24"/>
                <w:szCs w:val="24"/>
              </w:rPr>
              <w:t xml:space="preserve">2014.gada 11.februāra </w:t>
            </w:r>
            <w:r w:rsidR="00731279" w:rsidRPr="00CF707C">
              <w:rPr>
                <w:b w:val="0"/>
                <w:sz w:val="24"/>
                <w:szCs w:val="24"/>
              </w:rPr>
              <w:t>noteikum</w:t>
            </w:r>
            <w:r w:rsidR="009B24CA">
              <w:rPr>
                <w:b w:val="0"/>
                <w:sz w:val="24"/>
                <w:szCs w:val="24"/>
              </w:rPr>
              <w:t>i Nr.87</w:t>
            </w:r>
            <w:r w:rsidR="00731279" w:rsidRPr="00CF707C">
              <w:rPr>
                <w:b w:val="0"/>
                <w:sz w:val="24"/>
                <w:szCs w:val="24"/>
              </w:rPr>
              <w:t xml:space="preserve"> „Grozījumi Ministru kabineta 2010.gada </w:t>
            </w:r>
            <w:r w:rsidR="001220EE">
              <w:rPr>
                <w:b w:val="0"/>
                <w:sz w:val="24"/>
                <w:szCs w:val="24"/>
              </w:rPr>
              <w:t xml:space="preserve"> </w:t>
            </w:r>
            <w:r w:rsidR="00731279" w:rsidRPr="00CF707C">
              <w:rPr>
                <w:b w:val="0"/>
                <w:sz w:val="24"/>
                <w:szCs w:val="24"/>
              </w:rPr>
              <w:t>21.jūnija noteikumos Nr.569 „Kārtība, kādā Iekšlietu ministrijas sistēmas iestāžu un Ieslodzījuma vietu pārvaldes amatpersona ar speciālo dienesta pakāpi saņem apmaksātus veselības aprūpes pakalpojumus””</w:t>
            </w:r>
            <w:r w:rsidR="00731279">
              <w:rPr>
                <w:b w:val="0"/>
                <w:sz w:val="24"/>
                <w:szCs w:val="24"/>
              </w:rPr>
              <w:t>);</w:t>
            </w:r>
          </w:p>
          <w:p w:rsidR="003C197A" w:rsidRPr="00CF707C" w:rsidRDefault="003C197A" w:rsidP="003D511A">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Pr="00CF707C">
              <w:rPr>
                <w:b w:val="0"/>
                <w:sz w:val="24"/>
                <w:szCs w:val="24"/>
              </w:rPr>
              <w:t>Valsts un pašvaldību institūciju amatpersonu un darbinieku atlīdzības likum</w:t>
            </w:r>
            <w:r>
              <w:rPr>
                <w:b w:val="0"/>
                <w:sz w:val="24"/>
                <w:szCs w:val="24"/>
              </w:rPr>
              <w:t>a 39.panta otro daļu, kas nosaka, ka</w:t>
            </w:r>
            <w:r w:rsidR="00F6405A">
              <w:rPr>
                <w:b w:val="0"/>
                <w:sz w:val="24"/>
                <w:szCs w:val="24"/>
              </w:rPr>
              <w:t xml:space="preserve"> </w:t>
            </w:r>
            <w:r w:rsidR="00A36A71" w:rsidRPr="00A36A71">
              <w:rPr>
                <w:b w:val="0"/>
                <w:sz w:val="24"/>
                <w:szCs w:val="24"/>
              </w:rPr>
              <w:t>atvaļinātajām Iekšlietu ministrijas sistēmas iestāžu un Ieslodzījuma vietu pārvaldes amatpersonām ar speciālajām dienesta pakāpēm ir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 Apmaksātās veselības aprūpes saņemšanas nosacījumus atvaļinātajām Iekšlietu ministrijas sistēmas iestāžu un Ieslodzījuma vietu pārvaldes amatpersonām ar speciālajām dienesta pakāpēm, apmaksājamo veselības pakalpojumu veidus un apmaksas kārtību, kā arī veselības aprūpes pakalpojumus un izdevumus, kuri netiek apmaksāti, nosaka Ministru kabinets</w:t>
            </w:r>
            <w:r w:rsidR="00F6405A">
              <w:rPr>
                <w:b w:val="0"/>
                <w:sz w:val="24"/>
                <w:szCs w:val="24"/>
              </w:rPr>
              <w:t xml:space="preserve"> </w:t>
            </w:r>
            <w:r w:rsidR="00731279">
              <w:rPr>
                <w:b w:val="0"/>
                <w:sz w:val="24"/>
                <w:szCs w:val="24"/>
              </w:rPr>
              <w:t xml:space="preserve">(regulē </w:t>
            </w:r>
            <w:r w:rsidR="00731279" w:rsidRPr="00CF707C">
              <w:rPr>
                <w:b w:val="0"/>
                <w:sz w:val="24"/>
                <w:szCs w:val="24"/>
              </w:rPr>
              <w:t xml:space="preserve">Ministru kabineta </w:t>
            </w:r>
            <w:r w:rsidR="001220EE">
              <w:rPr>
                <w:b w:val="0"/>
                <w:sz w:val="24"/>
                <w:szCs w:val="24"/>
              </w:rPr>
              <w:t xml:space="preserve">2014.gada 11.februāra </w:t>
            </w:r>
            <w:r w:rsidR="00731279" w:rsidRPr="00CF707C">
              <w:rPr>
                <w:b w:val="0"/>
                <w:sz w:val="24"/>
                <w:szCs w:val="24"/>
              </w:rPr>
              <w:t>noteikum</w:t>
            </w:r>
            <w:r w:rsidR="001220EE">
              <w:rPr>
                <w:b w:val="0"/>
                <w:sz w:val="24"/>
                <w:szCs w:val="24"/>
              </w:rPr>
              <w:t>i Nr.93</w:t>
            </w:r>
            <w:r w:rsidR="00731279" w:rsidRPr="00CF707C">
              <w:rPr>
                <w:b w:val="0"/>
                <w:sz w:val="24"/>
                <w:szCs w:val="24"/>
              </w:rPr>
              <w:t xml:space="preserve"> „Kārtība, kādā Iekšlietu ministrijas sistēmas iestāžu un Ieslodzījuma vietu pārvaldes amatpersona ar speciālo </w:t>
            </w:r>
            <w:r w:rsidR="00731279" w:rsidRPr="00CF707C">
              <w:rPr>
                <w:b w:val="0"/>
                <w:sz w:val="24"/>
                <w:szCs w:val="24"/>
              </w:rPr>
              <w:lastRenderedPageBreak/>
              <w:t>dienesta pakāpi, kura atvaļināta no dienesta sakarā ar noteiktajām prasībām neatbilstošu veselības stāvokli, saņem apmaksātus veselības aprūpes pakalpojumus”</w:t>
            </w:r>
            <w:r w:rsidR="00A566F7">
              <w:rPr>
                <w:b w:val="0"/>
                <w:sz w:val="24"/>
                <w:szCs w:val="24"/>
              </w:rPr>
              <w:t>)</w:t>
            </w:r>
            <w:r w:rsidR="00A36A71" w:rsidRPr="00A36A71">
              <w:rPr>
                <w:b w:val="0"/>
                <w:sz w:val="24"/>
                <w:szCs w:val="24"/>
              </w:rPr>
              <w:t>.</w:t>
            </w:r>
          </w:p>
          <w:p w:rsidR="00373337" w:rsidRDefault="00AF0E63" w:rsidP="00CF707C">
            <w:pPr>
              <w:pStyle w:val="Heading3"/>
              <w:shd w:val="clear" w:color="auto" w:fill="FFFFFF"/>
              <w:spacing w:before="0" w:beforeAutospacing="0" w:after="0" w:afterAutospacing="0"/>
              <w:ind w:right="57"/>
              <w:jc w:val="both"/>
              <w:rPr>
                <w:b w:val="0"/>
                <w:sz w:val="24"/>
                <w:szCs w:val="24"/>
              </w:rPr>
            </w:pPr>
            <w:r>
              <w:rPr>
                <w:b w:val="0"/>
                <w:sz w:val="24"/>
                <w:szCs w:val="24"/>
              </w:rPr>
              <w:t xml:space="preserve">  Sakarā ar to </w:t>
            </w:r>
            <w:r w:rsidR="00436B92" w:rsidRPr="00584A28">
              <w:rPr>
                <w:b w:val="0"/>
                <w:sz w:val="24"/>
                <w:szCs w:val="24"/>
              </w:rPr>
              <w:t>būtiski pieaugs ar veselības aprūpes un pabalstu izmaksas administrēšanu saistītais darba apjoms Iekšlietu ministrijas veselības un sporta centram</w:t>
            </w:r>
            <w:r w:rsidR="00584A28">
              <w:rPr>
                <w:b w:val="0"/>
                <w:sz w:val="24"/>
                <w:szCs w:val="24"/>
              </w:rPr>
              <w:t xml:space="preserve"> (turpmāk – Centrs)</w:t>
            </w:r>
            <w:r w:rsidR="00436B92" w:rsidRPr="00584A28">
              <w:rPr>
                <w:b w:val="0"/>
                <w:sz w:val="24"/>
                <w:szCs w:val="24"/>
              </w:rPr>
              <w:t>, kas veic maksājumus par veselības aprūpes pakalpojumiem Iekšlietu ministrijas sistēmas iestāžu un Ieslodzījuma vietu pārvaldes amatpersonām, kā arī pabalstu izmaksu Iekšlietu ministrijas sistēmas iestāžu amatpersonām.</w:t>
            </w:r>
            <w:r w:rsidR="00F6405A">
              <w:rPr>
                <w:b w:val="0"/>
                <w:sz w:val="24"/>
                <w:szCs w:val="24"/>
              </w:rPr>
              <w:t xml:space="preserve"> </w:t>
            </w:r>
            <w:r w:rsidR="00584A28">
              <w:rPr>
                <w:b w:val="0"/>
                <w:sz w:val="24"/>
                <w:szCs w:val="24"/>
              </w:rPr>
              <w:t xml:space="preserve">Izvērtējot pašreizējo un prognozēto darba apjomu, nepieciešama 3 </w:t>
            </w:r>
            <w:r w:rsidR="005F147F" w:rsidRPr="00584A28">
              <w:rPr>
                <w:b w:val="0"/>
                <w:sz w:val="24"/>
                <w:szCs w:val="24"/>
              </w:rPr>
              <w:t>jaunu amata vietu izveidošanu –</w:t>
            </w:r>
            <w:r w:rsidR="00584A28">
              <w:rPr>
                <w:b w:val="0"/>
                <w:sz w:val="24"/>
                <w:szCs w:val="24"/>
              </w:rPr>
              <w:t xml:space="preserve">1 </w:t>
            </w:r>
            <w:r w:rsidR="005F147F" w:rsidRPr="00584A28">
              <w:rPr>
                <w:b w:val="0"/>
                <w:sz w:val="24"/>
                <w:szCs w:val="24"/>
              </w:rPr>
              <w:t xml:space="preserve">ārsta eksperta amata vieta un </w:t>
            </w:r>
            <w:r w:rsidR="00584A28">
              <w:rPr>
                <w:b w:val="0"/>
                <w:sz w:val="24"/>
                <w:szCs w:val="24"/>
              </w:rPr>
              <w:t xml:space="preserve">2 </w:t>
            </w:r>
            <w:r w:rsidR="005F147F" w:rsidRPr="00584A28">
              <w:rPr>
                <w:b w:val="0"/>
                <w:sz w:val="24"/>
                <w:szCs w:val="24"/>
              </w:rPr>
              <w:t>vecākā referenta amata viet</w:t>
            </w:r>
            <w:r w:rsidR="002B0525">
              <w:rPr>
                <w:b w:val="0"/>
                <w:sz w:val="24"/>
                <w:szCs w:val="24"/>
              </w:rPr>
              <w:t>as</w:t>
            </w:r>
            <w:r w:rsidR="00722701">
              <w:rPr>
                <w:b w:val="0"/>
                <w:sz w:val="24"/>
                <w:szCs w:val="24"/>
              </w:rPr>
              <w:t>, sākot ar 2014.gada 1.aprīli</w:t>
            </w:r>
            <w:r w:rsidR="005F147F" w:rsidRPr="00584A28">
              <w:rPr>
                <w:b w:val="0"/>
                <w:sz w:val="24"/>
                <w:szCs w:val="24"/>
              </w:rPr>
              <w:t xml:space="preserve">. Minētās amata vietas nepieciešamas, lai </w:t>
            </w:r>
            <w:r w:rsidR="00584A28">
              <w:rPr>
                <w:b w:val="0"/>
                <w:sz w:val="24"/>
                <w:szCs w:val="24"/>
              </w:rPr>
              <w:t>C</w:t>
            </w:r>
            <w:r w:rsidR="005F147F" w:rsidRPr="00584A28">
              <w:rPr>
                <w:b w:val="0"/>
                <w:sz w:val="24"/>
                <w:szCs w:val="24"/>
              </w:rPr>
              <w:t>entrs spētu apstrādāt iesniegtos dokumentus par veselības aprūpes pakalpojumu apmaksu</w:t>
            </w:r>
            <w:r w:rsidR="00584A28">
              <w:rPr>
                <w:b w:val="0"/>
                <w:sz w:val="24"/>
                <w:szCs w:val="24"/>
              </w:rPr>
              <w:t>, kā arī ar jauna veida pabalstu izmaksu saistītos dokumentus</w:t>
            </w:r>
            <w:r w:rsidR="005F147F" w:rsidRPr="00584A28">
              <w:rPr>
                <w:b w:val="0"/>
                <w:sz w:val="24"/>
                <w:szCs w:val="24"/>
              </w:rPr>
              <w:t xml:space="preserve">. Šobrīd vidēji gadā tiek saņemti 3500 amatpersonu iesniegumi veselības aprūpes izdevumu kompensēšanai, kurus apstrādā </w:t>
            </w:r>
            <w:r w:rsidR="00584A28">
              <w:rPr>
                <w:b w:val="0"/>
                <w:sz w:val="24"/>
                <w:szCs w:val="24"/>
              </w:rPr>
              <w:t xml:space="preserve">1 </w:t>
            </w:r>
            <w:r w:rsidR="005F147F" w:rsidRPr="00584A28">
              <w:rPr>
                <w:b w:val="0"/>
                <w:sz w:val="24"/>
                <w:szCs w:val="24"/>
              </w:rPr>
              <w:t xml:space="preserve">ārsts–eksperts (pārbauda iesniegto dokumentu atbilstību normatīvo aktu prasībām) un </w:t>
            </w:r>
            <w:r w:rsidR="00584A28">
              <w:rPr>
                <w:b w:val="0"/>
                <w:sz w:val="24"/>
                <w:szCs w:val="24"/>
              </w:rPr>
              <w:t xml:space="preserve">1 </w:t>
            </w:r>
            <w:r w:rsidR="005F147F" w:rsidRPr="00584A28">
              <w:rPr>
                <w:b w:val="0"/>
                <w:sz w:val="24"/>
                <w:szCs w:val="24"/>
              </w:rPr>
              <w:t>vecākais referents (</w:t>
            </w:r>
            <w:r w:rsidR="00584A28">
              <w:rPr>
                <w:b w:val="0"/>
                <w:sz w:val="24"/>
                <w:szCs w:val="24"/>
              </w:rPr>
              <w:t>ie</w:t>
            </w:r>
            <w:r w:rsidR="005F147F" w:rsidRPr="00584A28">
              <w:rPr>
                <w:b w:val="0"/>
                <w:sz w:val="24"/>
                <w:szCs w:val="24"/>
              </w:rPr>
              <w:t xml:space="preserve">vada iesniegtos dokumentus veselības aprūpes pakalpojumu uzskaites un kontroles datorprogrammā). Vienlaikus minētie darbinieki apstrādā arī no ārstniecības iestādēm saņemtos rēķinus par amatpersonām sniegtajiem veselības aprūpes pakalpojumiem. </w:t>
            </w:r>
            <w:r w:rsidR="00584A28">
              <w:rPr>
                <w:b w:val="0"/>
                <w:sz w:val="24"/>
                <w:szCs w:val="24"/>
              </w:rPr>
              <w:t>A</w:t>
            </w:r>
            <w:r w:rsidR="005F147F" w:rsidRPr="00584A28">
              <w:rPr>
                <w:b w:val="0"/>
                <w:sz w:val="24"/>
                <w:szCs w:val="24"/>
              </w:rPr>
              <w:t xml:space="preserve">r apmaksājamo veselības aprūpes pakalpojumu klāsta palielināšanu </w:t>
            </w:r>
            <w:r w:rsidR="00584A28">
              <w:rPr>
                <w:b w:val="0"/>
                <w:sz w:val="24"/>
                <w:szCs w:val="24"/>
              </w:rPr>
              <w:t xml:space="preserve">saistīto </w:t>
            </w:r>
            <w:r w:rsidR="005F147F" w:rsidRPr="00584A28">
              <w:rPr>
                <w:b w:val="0"/>
                <w:sz w:val="24"/>
                <w:szCs w:val="24"/>
              </w:rPr>
              <w:t xml:space="preserve">kompensāciju </w:t>
            </w:r>
            <w:r w:rsidR="00584A28">
              <w:rPr>
                <w:b w:val="0"/>
                <w:sz w:val="24"/>
                <w:szCs w:val="24"/>
              </w:rPr>
              <w:t xml:space="preserve">izmaksas gadījumu </w:t>
            </w:r>
            <w:r w:rsidR="005F147F" w:rsidRPr="00584A28">
              <w:rPr>
                <w:b w:val="0"/>
                <w:sz w:val="24"/>
                <w:szCs w:val="24"/>
              </w:rPr>
              <w:t>skait</w:t>
            </w:r>
            <w:r w:rsidR="00584A28">
              <w:rPr>
                <w:b w:val="0"/>
                <w:sz w:val="24"/>
                <w:szCs w:val="24"/>
              </w:rPr>
              <w:t xml:space="preserve">s varētu </w:t>
            </w:r>
            <w:r w:rsidR="005F147F" w:rsidRPr="00584A28">
              <w:rPr>
                <w:b w:val="0"/>
                <w:sz w:val="24"/>
                <w:szCs w:val="24"/>
              </w:rPr>
              <w:t>pieaug</w:t>
            </w:r>
            <w:r w:rsidR="00584A28">
              <w:rPr>
                <w:b w:val="0"/>
                <w:sz w:val="24"/>
                <w:szCs w:val="24"/>
              </w:rPr>
              <w:t>t</w:t>
            </w:r>
            <w:r w:rsidR="00F6405A">
              <w:rPr>
                <w:b w:val="0"/>
                <w:sz w:val="24"/>
                <w:szCs w:val="24"/>
              </w:rPr>
              <w:t xml:space="preserve"> </w:t>
            </w:r>
            <w:r>
              <w:rPr>
                <w:b w:val="0"/>
                <w:sz w:val="24"/>
                <w:szCs w:val="24"/>
              </w:rPr>
              <w:t xml:space="preserve">vismaz </w:t>
            </w:r>
            <w:r w:rsidR="005F147F" w:rsidRPr="00584A28">
              <w:rPr>
                <w:b w:val="0"/>
                <w:sz w:val="24"/>
                <w:szCs w:val="24"/>
              </w:rPr>
              <w:t xml:space="preserve">par 18 000 </w:t>
            </w:r>
            <w:r w:rsidR="00584A28">
              <w:rPr>
                <w:b w:val="0"/>
                <w:sz w:val="24"/>
                <w:szCs w:val="24"/>
              </w:rPr>
              <w:t xml:space="preserve">vienībām </w:t>
            </w:r>
            <w:r w:rsidR="005F147F" w:rsidRPr="00584A28">
              <w:rPr>
                <w:b w:val="0"/>
                <w:sz w:val="24"/>
                <w:szCs w:val="24"/>
              </w:rPr>
              <w:t>gadā</w:t>
            </w:r>
            <w:r w:rsidR="00584A28">
              <w:rPr>
                <w:b w:val="0"/>
                <w:sz w:val="24"/>
                <w:szCs w:val="24"/>
              </w:rPr>
              <w:t>.</w:t>
            </w:r>
            <w:r w:rsidR="005F147F" w:rsidRPr="00584A28">
              <w:rPr>
                <w:b w:val="0"/>
                <w:sz w:val="24"/>
                <w:szCs w:val="24"/>
              </w:rPr>
              <w:t xml:space="preserve"> Vienlaikus nepieciešams veikt izmaiņas</w:t>
            </w:r>
            <w:r w:rsidR="00584A28">
              <w:rPr>
                <w:b w:val="0"/>
                <w:sz w:val="24"/>
                <w:szCs w:val="24"/>
              </w:rPr>
              <w:t xml:space="preserve"> arī</w:t>
            </w:r>
            <w:r w:rsidR="00F6405A">
              <w:rPr>
                <w:b w:val="0"/>
                <w:sz w:val="24"/>
                <w:szCs w:val="24"/>
              </w:rPr>
              <w:t xml:space="preserve"> </w:t>
            </w:r>
            <w:r w:rsidR="00584A28">
              <w:rPr>
                <w:b w:val="0"/>
                <w:sz w:val="24"/>
                <w:szCs w:val="24"/>
              </w:rPr>
              <w:t>C</w:t>
            </w:r>
            <w:r w:rsidR="005F147F" w:rsidRPr="00584A28">
              <w:rPr>
                <w:b w:val="0"/>
                <w:sz w:val="24"/>
                <w:szCs w:val="24"/>
              </w:rPr>
              <w:t>entra veselības aprūpes pakalpojumu uzskaites un kontroles datorprogrammā, pielāgojot to jaunajam apmaksājamo veselības aprūpes pakalpojumu</w:t>
            </w:r>
            <w:r w:rsidR="00584A28">
              <w:rPr>
                <w:b w:val="0"/>
                <w:sz w:val="24"/>
                <w:szCs w:val="24"/>
              </w:rPr>
              <w:t xml:space="preserve"> un izmaksājamo pabalstu</w:t>
            </w:r>
            <w:r w:rsidR="005F147F" w:rsidRPr="00584A28">
              <w:rPr>
                <w:b w:val="0"/>
                <w:sz w:val="24"/>
                <w:szCs w:val="24"/>
              </w:rPr>
              <w:t xml:space="preserve"> klāstam.</w:t>
            </w:r>
            <w:r>
              <w:rPr>
                <w:b w:val="0"/>
                <w:sz w:val="24"/>
                <w:szCs w:val="24"/>
              </w:rPr>
              <w:t xml:space="preserve"> Tāpat nepieciešams aprīkot 3 darba vietas ar datortehniku, biroja precēm, inventāru, kā arī segt papildu sakaru pakalpojumu izdevumus.</w:t>
            </w:r>
          </w:p>
          <w:p w:rsidR="00082DC3" w:rsidRPr="000F5EDB" w:rsidRDefault="007D3F9D" w:rsidP="007D3F9D">
            <w:pPr>
              <w:pStyle w:val="Heading3"/>
              <w:shd w:val="clear" w:color="auto" w:fill="FFFFFF"/>
              <w:spacing w:before="0" w:beforeAutospacing="0" w:after="0" w:afterAutospacing="0"/>
              <w:ind w:right="57"/>
              <w:jc w:val="both"/>
              <w:rPr>
                <w:b w:val="0"/>
                <w:sz w:val="24"/>
                <w:szCs w:val="24"/>
              </w:rPr>
            </w:pPr>
            <w:r>
              <w:rPr>
                <w:b w:val="0"/>
                <w:sz w:val="24"/>
                <w:szCs w:val="24"/>
              </w:rPr>
              <w:t>Detalizēts skaidrojums par veselības aprūpes pakalpojumu klāsta izmaiņām atspoguļots iepriekš minēto Ministru kabineta noteikumu projektu anotācijās.</w:t>
            </w:r>
          </w:p>
        </w:tc>
      </w:tr>
      <w:tr w:rsidR="000F5EDB" w:rsidRPr="000F5EDB" w:rsidTr="000D2380">
        <w:trPr>
          <w:trHeight w:val="476"/>
        </w:trPr>
        <w:tc>
          <w:tcPr>
            <w:tcW w:w="227" w:type="pct"/>
          </w:tcPr>
          <w:p w:rsidR="007F6B1C" w:rsidRPr="000F5EDB" w:rsidRDefault="007F6B1C" w:rsidP="000D2380">
            <w:pPr>
              <w:pStyle w:val="naiskr"/>
              <w:spacing w:before="0" w:beforeAutospacing="0" w:after="0" w:afterAutospacing="0"/>
              <w:ind w:left="57" w:right="57"/>
              <w:jc w:val="center"/>
            </w:pPr>
            <w:r w:rsidRPr="000F5EDB">
              <w:lastRenderedPageBreak/>
              <w:t>3.</w:t>
            </w:r>
          </w:p>
        </w:tc>
        <w:tc>
          <w:tcPr>
            <w:tcW w:w="1565" w:type="pct"/>
          </w:tcPr>
          <w:p w:rsidR="007F6B1C" w:rsidRPr="000F5EDB" w:rsidRDefault="007F6B1C" w:rsidP="000D2380">
            <w:pPr>
              <w:pStyle w:val="naiskr"/>
              <w:spacing w:before="0" w:beforeAutospacing="0" w:after="0" w:afterAutospacing="0"/>
              <w:ind w:left="57" w:right="57"/>
            </w:pPr>
            <w:r w:rsidRPr="000F5EDB">
              <w:t>Projekta izstrādē iesaistītās institūcijas</w:t>
            </w:r>
          </w:p>
        </w:tc>
        <w:tc>
          <w:tcPr>
            <w:tcW w:w="3207" w:type="pct"/>
          </w:tcPr>
          <w:p w:rsidR="007F6B1C" w:rsidRPr="000F5EDB" w:rsidRDefault="003C2F8A" w:rsidP="00AF6FD6">
            <w:pPr>
              <w:spacing w:after="0" w:line="240" w:lineRule="auto"/>
              <w:ind w:left="57" w:right="57"/>
              <w:rPr>
                <w:rFonts w:ascii="Times New Roman" w:hAnsi="Times New Roman" w:cs="Times New Roman"/>
                <w:b/>
                <w:sz w:val="24"/>
                <w:szCs w:val="24"/>
              </w:rPr>
            </w:pPr>
            <w:r w:rsidRPr="000F5EDB">
              <w:rPr>
                <w:rFonts w:ascii="Times New Roman" w:hAnsi="Times New Roman" w:cs="Times New Roman"/>
                <w:sz w:val="24"/>
                <w:szCs w:val="24"/>
              </w:rPr>
              <w:t xml:space="preserve">Iekšlietu ministrija, </w:t>
            </w:r>
            <w:r w:rsidR="00AF6FD6">
              <w:rPr>
                <w:rFonts w:ascii="Times New Roman" w:hAnsi="Times New Roman" w:cs="Times New Roman"/>
                <w:sz w:val="24"/>
                <w:szCs w:val="24"/>
              </w:rPr>
              <w:t>Iekšlietu ministrijas Veselības un sporta centrs.</w:t>
            </w:r>
          </w:p>
        </w:tc>
      </w:tr>
      <w:tr w:rsidR="000F5EDB" w:rsidRPr="000F5EDB" w:rsidTr="000D2380">
        <w:tc>
          <w:tcPr>
            <w:tcW w:w="227" w:type="pct"/>
          </w:tcPr>
          <w:p w:rsidR="007F6B1C" w:rsidRPr="000F5EDB" w:rsidRDefault="007F6B1C" w:rsidP="000D2380">
            <w:pPr>
              <w:pStyle w:val="naiskr"/>
              <w:spacing w:before="0" w:beforeAutospacing="0" w:after="0" w:afterAutospacing="0"/>
              <w:ind w:left="57" w:right="57"/>
              <w:jc w:val="center"/>
            </w:pPr>
            <w:r w:rsidRPr="000F5EDB">
              <w:t>4.</w:t>
            </w:r>
          </w:p>
        </w:tc>
        <w:tc>
          <w:tcPr>
            <w:tcW w:w="1565" w:type="pct"/>
          </w:tcPr>
          <w:p w:rsidR="007F6B1C" w:rsidRPr="000F5EDB" w:rsidRDefault="007F6B1C" w:rsidP="000D2380">
            <w:pPr>
              <w:pStyle w:val="naiskr"/>
              <w:spacing w:before="0" w:beforeAutospacing="0" w:after="0" w:afterAutospacing="0"/>
              <w:ind w:left="57" w:right="57"/>
            </w:pPr>
            <w:r w:rsidRPr="000F5EDB">
              <w:t>Cita informācija</w:t>
            </w:r>
          </w:p>
        </w:tc>
        <w:tc>
          <w:tcPr>
            <w:tcW w:w="3207" w:type="pct"/>
          </w:tcPr>
          <w:p w:rsidR="007F6B1C" w:rsidRPr="000F5EDB" w:rsidRDefault="00096ACC" w:rsidP="000D2380">
            <w:pPr>
              <w:pStyle w:val="naiskr"/>
              <w:spacing w:before="0" w:beforeAutospacing="0" w:after="0" w:afterAutospacing="0"/>
              <w:ind w:left="57" w:right="57"/>
            </w:pPr>
            <w:r w:rsidRPr="000F5EDB">
              <w:t>Nav</w:t>
            </w:r>
            <w:r w:rsidR="003C2F8A" w:rsidRPr="000F5EDB">
              <w:t>.</w:t>
            </w:r>
          </w:p>
        </w:tc>
      </w:tr>
    </w:tbl>
    <w:p w:rsidR="007F6B1C" w:rsidRPr="000F5EDB" w:rsidRDefault="007F6B1C" w:rsidP="007F6B1C">
      <w:pPr>
        <w:spacing w:after="0" w:line="240" w:lineRule="auto"/>
        <w:rPr>
          <w:rFonts w:ascii="Times New Roman" w:hAnsi="Times New Roman" w:cs="Times New Roman"/>
          <w:sz w:val="24"/>
          <w:szCs w:val="24"/>
        </w:rPr>
      </w:pPr>
    </w:p>
    <w:p w:rsidR="007F6B1C" w:rsidRPr="000F5EDB" w:rsidRDefault="007F6B1C" w:rsidP="007F6B1C">
      <w:pPr>
        <w:spacing w:after="0" w:line="240" w:lineRule="auto"/>
        <w:rPr>
          <w:rFonts w:ascii="Times New Roman" w:hAnsi="Times New Roman" w:cs="Times New Roman"/>
          <w:sz w:val="24"/>
          <w:szCs w:val="24"/>
        </w:rPr>
      </w:pPr>
    </w:p>
    <w:tbl>
      <w:tblPr>
        <w:tblW w:w="9257"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287"/>
        <w:gridCol w:w="1150"/>
        <w:gridCol w:w="1195"/>
        <w:gridCol w:w="1150"/>
      </w:tblGrid>
      <w:tr w:rsidR="000F5EDB" w:rsidRPr="000F5EDB" w:rsidTr="005128C9">
        <w:trPr>
          <w:trHeight w:val="361"/>
          <w:jc w:val="center"/>
        </w:trPr>
        <w:tc>
          <w:tcPr>
            <w:tcW w:w="9257" w:type="dxa"/>
            <w:gridSpan w:val="6"/>
            <w:vAlign w:val="center"/>
          </w:tcPr>
          <w:p w:rsidR="007F6B1C" w:rsidRPr="000F5EDB" w:rsidRDefault="007F6B1C" w:rsidP="000D2380">
            <w:pPr>
              <w:pStyle w:val="naisnod"/>
              <w:spacing w:before="0" w:beforeAutospacing="0" w:after="0" w:afterAutospacing="0"/>
              <w:jc w:val="center"/>
              <w:rPr>
                <w:b/>
                <w:i/>
              </w:rPr>
            </w:pPr>
            <w:r w:rsidRPr="000F5EDB">
              <w:br w:type="page"/>
            </w:r>
            <w:r w:rsidRPr="000F5EDB">
              <w:rPr>
                <w:b/>
              </w:rPr>
              <w:t>III. Tiesību akta projekta ietekme uz valsts budžetu un pašvaldību budžetiem</w:t>
            </w:r>
          </w:p>
        </w:tc>
      </w:tr>
      <w:tr w:rsidR="000F5EDB" w:rsidRPr="000F5EDB" w:rsidTr="005128C9">
        <w:trPr>
          <w:jc w:val="center"/>
        </w:trPr>
        <w:tc>
          <w:tcPr>
            <w:tcW w:w="3199" w:type="dxa"/>
            <w:vMerge w:val="restart"/>
            <w:vAlign w:val="center"/>
          </w:tcPr>
          <w:p w:rsidR="007F6B1C" w:rsidRPr="000F5EDB" w:rsidRDefault="007F6B1C" w:rsidP="000D2380">
            <w:pPr>
              <w:pStyle w:val="naisf"/>
              <w:spacing w:before="0" w:beforeAutospacing="0" w:after="0" w:afterAutospacing="0"/>
              <w:jc w:val="center"/>
              <w:rPr>
                <w:b/>
              </w:rPr>
            </w:pPr>
            <w:r w:rsidRPr="000F5EDB">
              <w:rPr>
                <w:b/>
              </w:rPr>
              <w:t>Rādītāji</w:t>
            </w:r>
          </w:p>
        </w:tc>
        <w:tc>
          <w:tcPr>
            <w:tcW w:w="2563" w:type="dxa"/>
            <w:gridSpan w:val="2"/>
            <w:vMerge w:val="restart"/>
            <w:vAlign w:val="center"/>
          </w:tcPr>
          <w:p w:rsidR="007F6B1C" w:rsidRPr="000F5EDB" w:rsidRDefault="00974374" w:rsidP="000D2380">
            <w:pPr>
              <w:pStyle w:val="naisf"/>
              <w:spacing w:before="0" w:beforeAutospacing="0" w:after="0" w:afterAutospacing="0"/>
              <w:jc w:val="center"/>
              <w:rPr>
                <w:b/>
              </w:rPr>
            </w:pPr>
            <w:r w:rsidRPr="000F5EDB">
              <w:rPr>
                <w:b/>
              </w:rPr>
              <w:t>2014</w:t>
            </w:r>
          </w:p>
        </w:tc>
        <w:tc>
          <w:tcPr>
            <w:tcW w:w="3495" w:type="dxa"/>
            <w:gridSpan w:val="3"/>
            <w:vAlign w:val="center"/>
          </w:tcPr>
          <w:p w:rsidR="007F6B1C" w:rsidRPr="000F5EDB" w:rsidRDefault="00E7737A" w:rsidP="000D2380">
            <w:pPr>
              <w:pStyle w:val="naisf"/>
              <w:spacing w:before="0" w:beforeAutospacing="0" w:after="0" w:afterAutospacing="0"/>
              <w:jc w:val="center"/>
              <w:rPr>
                <w:b/>
                <w:i/>
              </w:rPr>
            </w:pPr>
            <w:r w:rsidRPr="000F5EDB">
              <w:t>Turpmākie trīs gadi (</w:t>
            </w:r>
            <w:proofErr w:type="spellStart"/>
            <w:r w:rsidRPr="000F5EDB">
              <w:rPr>
                <w:i/>
              </w:rPr>
              <w:t>euro</w:t>
            </w:r>
            <w:proofErr w:type="spellEnd"/>
            <w:r w:rsidR="007F6B1C" w:rsidRPr="000F5EDB">
              <w:t>)</w:t>
            </w:r>
          </w:p>
        </w:tc>
      </w:tr>
      <w:tr w:rsidR="000F5EDB" w:rsidRPr="000F5EDB" w:rsidTr="005128C9">
        <w:trPr>
          <w:jc w:val="center"/>
        </w:trPr>
        <w:tc>
          <w:tcPr>
            <w:tcW w:w="3199" w:type="dxa"/>
            <w:vMerge/>
            <w:vAlign w:val="center"/>
          </w:tcPr>
          <w:p w:rsidR="007F6B1C" w:rsidRPr="000F5EDB" w:rsidRDefault="007F6B1C" w:rsidP="000D2380">
            <w:pPr>
              <w:pStyle w:val="naisf"/>
              <w:spacing w:before="0" w:beforeAutospacing="0" w:after="0" w:afterAutospacing="0"/>
              <w:jc w:val="center"/>
              <w:rPr>
                <w:b/>
                <w:i/>
              </w:rPr>
            </w:pPr>
          </w:p>
        </w:tc>
        <w:tc>
          <w:tcPr>
            <w:tcW w:w="2563" w:type="dxa"/>
            <w:gridSpan w:val="2"/>
            <w:vMerge/>
            <w:vAlign w:val="center"/>
          </w:tcPr>
          <w:p w:rsidR="007F6B1C" w:rsidRPr="000F5EDB" w:rsidRDefault="007F6B1C" w:rsidP="000D2380">
            <w:pPr>
              <w:pStyle w:val="naisf"/>
              <w:spacing w:before="0" w:beforeAutospacing="0" w:after="0" w:afterAutospacing="0"/>
              <w:jc w:val="center"/>
              <w:rPr>
                <w:b/>
                <w:i/>
              </w:rPr>
            </w:pPr>
          </w:p>
        </w:tc>
        <w:tc>
          <w:tcPr>
            <w:tcW w:w="1150" w:type="dxa"/>
            <w:vAlign w:val="center"/>
          </w:tcPr>
          <w:p w:rsidR="007F6B1C" w:rsidRPr="000F5EDB" w:rsidRDefault="00974374" w:rsidP="000D2380">
            <w:pPr>
              <w:pStyle w:val="naisf"/>
              <w:spacing w:before="0" w:beforeAutospacing="0" w:after="0" w:afterAutospacing="0"/>
              <w:jc w:val="center"/>
              <w:rPr>
                <w:b/>
                <w:i/>
              </w:rPr>
            </w:pPr>
            <w:r w:rsidRPr="000F5EDB">
              <w:rPr>
                <w:b/>
                <w:bCs/>
              </w:rPr>
              <w:t>2015</w:t>
            </w:r>
          </w:p>
        </w:tc>
        <w:tc>
          <w:tcPr>
            <w:tcW w:w="1195" w:type="dxa"/>
            <w:vAlign w:val="center"/>
          </w:tcPr>
          <w:p w:rsidR="007F6B1C" w:rsidRPr="000F5EDB" w:rsidRDefault="00974374" w:rsidP="000D2380">
            <w:pPr>
              <w:pStyle w:val="naisf"/>
              <w:spacing w:before="0" w:beforeAutospacing="0" w:after="0" w:afterAutospacing="0"/>
              <w:jc w:val="center"/>
              <w:rPr>
                <w:b/>
                <w:i/>
              </w:rPr>
            </w:pPr>
            <w:r w:rsidRPr="000F5EDB">
              <w:rPr>
                <w:b/>
                <w:bCs/>
              </w:rPr>
              <w:t>2016</w:t>
            </w:r>
          </w:p>
        </w:tc>
        <w:tc>
          <w:tcPr>
            <w:tcW w:w="1150" w:type="dxa"/>
            <w:vAlign w:val="center"/>
          </w:tcPr>
          <w:p w:rsidR="007F6B1C" w:rsidRPr="000F5EDB" w:rsidRDefault="00974374" w:rsidP="000D2380">
            <w:pPr>
              <w:pStyle w:val="naisf"/>
              <w:spacing w:before="0" w:beforeAutospacing="0" w:after="0" w:afterAutospacing="0"/>
              <w:jc w:val="center"/>
              <w:rPr>
                <w:b/>
                <w:i/>
              </w:rPr>
            </w:pPr>
            <w:r w:rsidRPr="000F5EDB">
              <w:rPr>
                <w:b/>
                <w:bCs/>
              </w:rPr>
              <w:t>2017</w:t>
            </w:r>
          </w:p>
        </w:tc>
      </w:tr>
      <w:tr w:rsidR="000F5EDB" w:rsidRPr="000F5EDB" w:rsidTr="005128C9">
        <w:trPr>
          <w:jc w:val="center"/>
        </w:trPr>
        <w:tc>
          <w:tcPr>
            <w:tcW w:w="3199" w:type="dxa"/>
            <w:vMerge/>
            <w:vAlign w:val="center"/>
          </w:tcPr>
          <w:p w:rsidR="007F6B1C" w:rsidRPr="000F5EDB" w:rsidRDefault="007F6B1C" w:rsidP="000D2380">
            <w:pPr>
              <w:pStyle w:val="naisf"/>
              <w:spacing w:before="0" w:beforeAutospacing="0" w:after="0" w:afterAutospacing="0"/>
              <w:jc w:val="center"/>
              <w:rPr>
                <w:b/>
                <w:i/>
              </w:rPr>
            </w:pPr>
          </w:p>
        </w:tc>
        <w:tc>
          <w:tcPr>
            <w:tcW w:w="1276" w:type="dxa"/>
            <w:vAlign w:val="center"/>
          </w:tcPr>
          <w:p w:rsidR="007F6B1C" w:rsidRPr="000F5EDB" w:rsidRDefault="007F6B1C" w:rsidP="000D2380">
            <w:pPr>
              <w:pStyle w:val="naisf"/>
              <w:spacing w:before="0" w:beforeAutospacing="0" w:after="0" w:afterAutospacing="0"/>
              <w:jc w:val="center"/>
              <w:rPr>
                <w:b/>
                <w:i/>
              </w:rPr>
            </w:pPr>
            <w:r w:rsidRPr="000F5EDB">
              <w:t xml:space="preserve">saskaņā ar valsts budžetu kārtējam </w:t>
            </w:r>
            <w:r w:rsidRPr="000F5EDB">
              <w:lastRenderedPageBreak/>
              <w:t>gadam</w:t>
            </w:r>
          </w:p>
        </w:tc>
        <w:tc>
          <w:tcPr>
            <w:tcW w:w="1287" w:type="dxa"/>
            <w:vAlign w:val="center"/>
          </w:tcPr>
          <w:p w:rsidR="007F6B1C" w:rsidRPr="000F5EDB" w:rsidRDefault="007F6B1C" w:rsidP="000D2380">
            <w:pPr>
              <w:pStyle w:val="naisf"/>
              <w:spacing w:before="0" w:beforeAutospacing="0" w:after="0" w:afterAutospacing="0"/>
              <w:jc w:val="center"/>
              <w:rPr>
                <w:b/>
                <w:i/>
              </w:rPr>
            </w:pPr>
            <w:r w:rsidRPr="000F5EDB">
              <w:lastRenderedPageBreak/>
              <w:t xml:space="preserve">izmaiņas kārtējā gadā, salīdzinot </w:t>
            </w:r>
            <w:r w:rsidRPr="000F5EDB">
              <w:lastRenderedPageBreak/>
              <w:t>ar budžetu kārtējam gadam</w:t>
            </w:r>
          </w:p>
        </w:tc>
        <w:tc>
          <w:tcPr>
            <w:tcW w:w="1150" w:type="dxa"/>
            <w:vAlign w:val="center"/>
          </w:tcPr>
          <w:p w:rsidR="007F6B1C" w:rsidRPr="000F5EDB" w:rsidRDefault="007F6B1C" w:rsidP="000D2380">
            <w:pPr>
              <w:pStyle w:val="naisf"/>
              <w:spacing w:before="0" w:beforeAutospacing="0" w:after="0" w:afterAutospacing="0"/>
              <w:jc w:val="center"/>
              <w:rPr>
                <w:b/>
                <w:i/>
              </w:rPr>
            </w:pPr>
            <w:r w:rsidRPr="000F5EDB">
              <w:lastRenderedPageBreak/>
              <w:t>izmaiņas, salīdzinot ar kārtējo (n) gadu</w:t>
            </w:r>
          </w:p>
        </w:tc>
        <w:tc>
          <w:tcPr>
            <w:tcW w:w="1195" w:type="dxa"/>
            <w:vAlign w:val="center"/>
          </w:tcPr>
          <w:p w:rsidR="007F6B1C" w:rsidRPr="000F5EDB" w:rsidRDefault="007F6B1C" w:rsidP="000D2380">
            <w:pPr>
              <w:pStyle w:val="naisf"/>
              <w:spacing w:before="0" w:beforeAutospacing="0" w:after="0" w:afterAutospacing="0"/>
              <w:jc w:val="center"/>
              <w:rPr>
                <w:b/>
                <w:i/>
              </w:rPr>
            </w:pPr>
            <w:r w:rsidRPr="000F5EDB">
              <w:t>izmaiņas, salīdzinot ar kārtējo (n) gadu</w:t>
            </w:r>
          </w:p>
        </w:tc>
        <w:tc>
          <w:tcPr>
            <w:tcW w:w="1150" w:type="dxa"/>
            <w:vAlign w:val="center"/>
          </w:tcPr>
          <w:p w:rsidR="007F6B1C" w:rsidRPr="000F5EDB" w:rsidRDefault="007F6B1C" w:rsidP="000D2380">
            <w:pPr>
              <w:pStyle w:val="naisf"/>
              <w:spacing w:before="0" w:beforeAutospacing="0" w:after="0" w:afterAutospacing="0"/>
              <w:jc w:val="center"/>
              <w:rPr>
                <w:b/>
                <w:i/>
              </w:rPr>
            </w:pPr>
            <w:r w:rsidRPr="000F5EDB">
              <w:t>izmaiņas, salīdzinot ar kārtējo (n) gadu</w:t>
            </w:r>
          </w:p>
        </w:tc>
      </w:tr>
      <w:tr w:rsidR="000F5EDB" w:rsidRPr="000F5EDB" w:rsidTr="005128C9">
        <w:trPr>
          <w:jc w:val="center"/>
        </w:trPr>
        <w:tc>
          <w:tcPr>
            <w:tcW w:w="3199" w:type="dxa"/>
            <w:vAlign w:val="center"/>
          </w:tcPr>
          <w:p w:rsidR="007F6B1C" w:rsidRPr="000F5EDB" w:rsidRDefault="007F6B1C" w:rsidP="000D2380">
            <w:pPr>
              <w:pStyle w:val="naisf"/>
              <w:spacing w:before="0" w:beforeAutospacing="0" w:after="0" w:afterAutospacing="0"/>
              <w:jc w:val="center"/>
              <w:rPr>
                <w:bCs/>
              </w:rPr>
            </w:pPr>
            <w:r w:rsidRPr="000F5EDB">
              <w:rPr>
                <w:bCs/>
              </w:rPr>
              <w:lastRenderedPageBreak/>
              <w:t>1</w:t>
            </w:r>
          </w:p>
        </w:tc>
        <w:tc>
          <w:tcPr>
            <w:tcW w:w="1276" w:type="dxa"/>
            <w:vAlign w:val="center"/>
          </w:tcPr>
          <w:p w:rsidR="007F6B1C" w:rsidRPr="000F5EDB" w:rsidRDefault="007F6B1C" w:rsidP="000D2380">
            <w:pPr>
              <w:pStyle w:val="naisf"/>
              <w:spacing w:before="0" w:beforeAutospacing="0" w:after="0" w:afterAutospacing="0"/>
              <w:jc w:val="center"/>
              <w:rPr>
                <w:bCs/>
              </w:rPr>
            </w:pPr>
            <w:r w:rsidRPr="000F5EDB">
              <w:rPr>
                <w:bCs/>
              </w:rPr>
              <w:t>2</w:t>
            </w:r>
          </w:p>
        </w:tc>
        <w:tc>
          <w:tcPr>
            <w:tcW w:w="1287" w:type="dxa"/>
            <w:vAlign w:val="center"/>
          </w:tcPr>
          <w:p w:rsidR="007F6B1C" w:rsidRPr="000F5EDB" w:rsidRDefault="007F6B1C" w:rsidP="000D2380">
            <w:pPr>
              <w:pStyle w:val="naisf"/>
              <w:spacing w:before="0" w:beforeAutospacing="0" w:after="0" w:afterAutospacing="0"/>
              <w:jc w:val="center"/>
              <w:rPr>
                <w:bCs/>
              </w:rPr>
            </w:pPr>
            <w:r w:rsidRPr="000F5EDB">
              <w:rPr>
                <w:bCs/>
              </w:rPr>
              <w:t>3</w:t>
            </w:r>
          </w:p>
        </w:tc>
        <w:tc>
          <w:tcPr>
            <w:tcW w:w="1150" w:type="dxa"/>
            <w:vAlign w:val="center"/>
          </w:tcPr>
          <w:p w:rsidR="007F6B1C" w:rsidRPr="000F5EDB" w:rsidRDefault="007F6B1C" w:rsidP="000D2380">
            <w:pPr>
              <w:pStyle w:val="naisf"/>
              <w:spacing w:before="0" w:beforeAutospacing="0" w:after="0" w:afterAutospacing="0"/>
              <w:jc w:val="center"/>
              <w:rPr>
                <w:bCs/>
              </w:rPr>
            </w:pPr>
            <w:r w:rsidRPr="000F5EDB">
              <w:rPr>
                <w:bCs/>
              </w:rPr>
              <w:t>4</w:t>
            </w:r>
          </w:p>
        </w:tc>
        <w:tc>
          <w:tcPr>
            <w:tcW w:w="1195" w:type="dxa"/>
            <w:vAlign w:val="center"/>
          </w:tcPr>
          <w:p w:rsidR="007F6B1C" w:rsidRPr="000F5EDB" w:rsidRDefault="007F6B1C" w:rsidP="000D2380">
            <w:pPr>
              <w:pStyle w:val="naisf"/>
              <w:spacing w:before="0" w:beforeAutospacing="0" w:after="0" w:afterAutospacing="0"/>
              <w:jc w:val="center"/>
              <w:rPr>
                <w:bCs/>
              </w:rPr>
            </w:pPr>
            <w:r w:rsidRPr="000F5EDB">
              <w:rPr>
                <w:bCs/>
              </w:rPr>
              <w:t>5</w:t>
            </w:r>
          </w:p>
        </w:tc>
        <w:tc>
          <w:tcPr>
            <w:tcW w:w="1150" w:type="dxa"/>
            <w:vAlign w:val="center"/>
          </w:tcPr>
          <w:p w:rsidR="007F6B1C" w:rsidRPr="000F5EDB" w:rsidRDefault="007F6B1C" w:rsidP="000D2380">
            <w:pPr>
              <w:pStyle w:val="naisf"/>
              <w:spacing w:before="0" w:beforeAutospacing="0" w:after="0" w:afterAutospacing="0"/>
              <w:jc w:val="center"/>
              <w:rPr>
                <w:bCs/>
              </w:rPr>
            </w:pPr>
            <w:r w:rsidRPr="000F5EDB">
              <w:rPr>
                <w:bCs/>
              </w:rPr>
              <w:t>6</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 Budžeta ieņēmumi:</w:t>
            </w:r>
          </w:p>
        </w:tc>
        <w:tc>
          <w:tcPr>
            <w:tcW w:w="1276" w:type="dxa"/>
          </w:tcPr>
          <w:p w:rsidR="007F6B1C" w:rsidRPr="000F5EDB" w:rsidRDefault="00E9092E" w:rsidP="00E7737A">
            <w:pPr>
              <w:pStyle w:val="naisf"/>
              <w:spacing w:before="0" w:beforeAutospacing="0" w:after="0" w:afterAutospacing="0"/>
              <w:jc w:val="center"/>
            </w:pPr>
            <w:r>
              <w:t>12 184 406</w:t>
            </w:r>
          </w:p>
        </w:tc>
        <w:tc>
          <w:tcPr>
            <w:tcW w:w="1287" w:type="dxa"/>
          </w:tcPr>
          <w:p w:rsidR="007F6B1C" w:rsidRPr="000F5EDB" w:rsidRDefault="001F3CC6"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1.1. valsts pamatbudžets, tai skaitā ieņēmumi no maksas pakalpojumiem un citi pašu ieņēmumi</w:t>
            </w:r>
          </w:p>
        </w:tc>
        <w:tc>
          <w:tcPr>
            <w:tcW w:w="1276" w:type="dxa"/>
          </w:tcPr>
          <w:p w:rsidR="007F6B1C" w:rsidRPr="000F5EDB" w:rsidRDefault="00E9092E" w:rsidP="00E7737A">
            <w:pPr>
              <w:pStyle w:val="naisf"/>
              <w:spacing w:before="0" w:beforeAutospacing="0" w:after="0" w:afterAutospacing="0"/>
              <w:jc w:val="center"/>
            </w:pPr>
            <w:r>
              <w:t>12 184 406</w:t>
            </w:r>
          </w:p>
        </w:tc>
        <w:tc>
          <w:tcPr>
            <w:tcW w:w="1287" w:type="dxa"/>
          </w:tcPr>
          <w:p w:rsidR="007F6B1C" w:rsidRPr="000F5EDB" w:rsidRDefault="001F3CC6"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1.2. valsts speciālais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pStyle w:val="naisf"/>
              <w:spacing w:before="0" w:beforeAutospacing="0" w:after="0" w:afterAutospacing="0"/>
              <w:rPr>
                <w:i/>
              </w:rPr>
            </w:pPr>
            <w:r w:rsidRPr="000F5EDB">
              <w:t>1.3. pašvaldību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 Budžeta izdevumi:</w:t>
            </w:r>
          </w:p>
        </w:tc>
        <w:tc>
          <w:tcPr>
            <w:tcW w:w="1276" w:type="dxa"/>
          </w:tcPr>
          <w:p w:rsidR="001F3CC6" w:rsidRPr="000F5EDB" w:rsidRDefault="00E9092E" w:rsidP="00E7737A">
            <w:pPr>
              <w:pStyle w:val="naisf"/>
              <w:spacing w:before="0" w:beforeAutospacing="0" w:after="0" w:afterAutospacing="0"/>
              <w:jc w:val="center"/>
            </w:pPr>
            <w:r>
              <w:t>12 184 406</w:t>
            </w:r>
          </w:p>
        </w:tc>
        <w:tc>
          <w:tcPr>
            <w:tcW w:w="1287" w:type="dxa"/>
          </w:tcPr>
          <w:p w:rsidR="001F3CC6" w:rsidRPr="000F5EDB" w:rsidRDefault="00722701" w:rsidP="00C25C6B">
            <w:pPr>
              <w:pStyle w:val="naisf"/>
              <w:spacing w:before="0" w:beforeAutospacing="0" w:after="0" w:afterAutospacing="0"/>
              <w:jc w:val="center"/>
            </w:pPr>
            <w:r>
              <w:t>47 136</w:t>
            </w:r>
          </w:p>
        </w:tc>
        <w:tc>
          <w:tcPr>
            <w:tcW w:w="1150" w:type="dxa"/>
          </w:tcPr>
          <w:p w:rsidR="001F3CC6" w:rsidRPr="000F5EDB" w:rsidRDefault="00722701" w:rsidP="00E7737A">
            <w:pPr>
              <w:pStyle w:val="naisf"/>
              <w:spacing w:before="0" w:beforeAutospacing="0" w:after="0" w:afterAutospacing="0"/>
              <w:jc w:val="center"/>
            </w:pPr>
            <w:r>
              <w:t>54 646</w:t>
            </w:r>
          </w:p>
        </w:tc>
        <w:tc>
          <w:tcPr>
            <w:tcW w:w="1195" w:type="dxa"/>
          </w:tcPr>
          <w:p w:rsidR="001F3CC6" w:rsidRPr="000F5EDB" w:rsidRDefault="00722701" w:rsidP="00E7737A">
            <w:pPr>
              <w:pStyle w:val="naisf"/>
              <w:spacing w:before="0" w:beforeAutospacing="0" w:after="0" w:afterAutospacing="0"/>
              <w:jc w:val="center"/>
            </w:pPr>
            <w:r>
              <w:t>54 646</w:t>
            </w:r>
          </w:p>
        </w:tc>
        <w:tc>
          <w:tcPr>
            <w:tcW w:w="1150" w:type="dxa"/>
          </w:tcPr>
          <w:p w:rsidR="001F3CC6" w:rsidRPr="000F5EDB" w:rsidRDefault="00722701" w:rsidP="00E7737A">
            <w:pPr>
              <w:pStyle w:val="naisf"/>
              <w:spacing w:before="0" w:beforeAutospacing="0" w:after="0" w:afterAutospacing="0"/>
              <w:jc w:val="center"/>
            </w:pPr>
            <w:r>
              <w:t>54 646</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2.1. valsts pamatbudžets</w:t>
            </w:r>
          </w:p>
        </w:tc>
        <w:tc>
          <w:tcPr>
            <w:tcW w:w="1276" w:type="dxa"/>
          </w:tcPr>
          <w:p w:rsidR="001F3CC6" w:rsidRPr="000F5EDB" w:rsidRDefault="00E9092E" w:rsidP="00E7737A">
            <w:pPr>
              <w:pStyle w:val="naisf"/>
              <w:spacing w:before="0" w:beforeAutospacing="0" w:after="0" w:afterAutospacing="0"/>
              <w:jc w:val="center"/>
            </w:pPr>
            <w:r>
              <w:t>12 184 406</w:t>
            </w:r>
          </w:p>
        </w:tc>
        <w:tc>
          <w:tcPr>
            <w:tcW w:w="1287" w:type="dxa"/>
          </w:tcPr>
          <w:p w:rsidR="001F3CC6" w:rsidRPr="000F5EDB" w:rsidRDefault="00722701" w:rsidP="00C25C6B">
            <w:pPr>
              <w:pStyle w:val="naisf"/>
              <w:spacing w:before="0" w:beforeAutospacing="0" w:after="0" w:afterAutospacing="0"/>
              <w:jc w:val="center"/>
            </w:pPr>
            <w:r>
              <w:t>47 136</w:t>
            </w:r>
          </w:p>
        </w:tc>
        <w:tc>
          <w:tcPr>
            <w:tcW w:w="1150" w:type="dxa"/>
          </w:tcPr>
          <w:p w:rsidR="001F3CC6" w:rsidRPr="000F5EDB" w:rsidRDefault="00722701" w:rsidP="00E7737A">
            <w:pPr>
              <w:pStyle w:val="naisf"/>
              <w:spacing w:before="0" w:beforeAutospacing="0" w:after="0" w:afterAutospacing="0"/>
              <w:jc w:val="center"/>
            </w:pPr>
            <w:r>
              <w:t>54 646</w:t>
            </w:r>
          </w:p>
        </w:tc>
        <w:tc>
          <w:tcPr>
            <w:tcW w:w="1195" w:type="dxa"/>
          </w:tcPr>
          <w:p w:rsidR="001F3CC6" w:rsidRPr="000F5EDB" w:rsidRDefault="00722701" w:rsidP="00E7737A">
            <w:pPr>
              <w:pStyle w:val="naisf"/>
              <w:spacing w:before="0" w:beforeAutospacing="0" w:after="0" w:afterAutospacing="0"/>
              <w:jc w:val="center"/>
            </w:pPr>
            <w:r>
              <w:t>54 646</w:t>
            </w:r>
          </w:p>
        </w:tc>
        <w:tc>
          <w:tcPr>
            <w:tcW w:w="1150" w:type="dxa"/>
          </w:tcPr>
          <w:p w:rsidR="001F3CC6" w:rsidRPr="000F5EDB" w:rsidRDefault="00722701" w:rsidP="00E7737A">
            <w:pPr>
              <w:pStyle w:val="naisf"/>
              <w:spacing w:before="0" w:beforeAutospacing="0" w:after="0" w:afterAutospacing="0"/>
              <w:jc w:val="center"/>
            </w:pPr>
            <w:r>
              <w:t>54 646</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2.2. valsts speciālais budžets</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722701"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2.3. pašvaldību budžets </w:t>
            </w:r>
          </w:p>
        </w:tc>
        <w:tc>
          <w:tcPr>
            <w:tcW w:w="1276" w:type="dxa"/>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722701"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 Finansiālā ietekme:</w:t>
            </w:r>
          </w:p>
        </w:tc>
        <w:tc>
          <w:tcPr>
            <w:tcW w:w="1276" w:type="dxa"/>
            <w:shd w:val="clear" w:color="auto" w:fill="auto"/>
            <w:vAlign w:val="center"/>
          </w:tcPr>
          <w:p w:rsidR="001F3CC6" w:rsidRPr="000F5EDB" w:rsidRDefault="001F3CC6" w:rsidP="00E7737A">
            <w:pPr>
              <w:pStyle w:val="naisf"/>
              <w:spacing w:before="0" w:beforeAutospacing="0" w:after="0" w:afterAutospacing="0"/>
              <w:jc w:val="center"/>
            </w:pPr>
            <w:r w:rsidRPr="000F5EDB">
              <w:t>0</w:t>
            </w:r>
          </w:p>
        </w:tc>
        <w:tc>
          <w:tcPr>
            <w:tcW w:w="1287" w:type="dxa"/>
          </w:tcPr>
          <w:p w:rsidR="001F3CC6" w:rsidRPr="00245A2A" w:rsidRDefault="00722701" w:rsidP="00245A2A">
            <w:pPr>
              <w:spacing w:after="0" w:line="240" w:lineRule="auto"/>
              <w:rPr>
                <w:rFonts w:ascii="Times New Roman" w:hAnsi="Times New Roman" w:cs="Times New Roman"/>
                <w:sz w:val="24"/>
                <w:szCs w:val="24"/>
              </w:rPr>
            </w:pPr>
            <w:r w:rsidRPr="00245A2A">
              <w:rPr>
                <w:rFonts w:ascii="Times New Roman" w:hAnsi="Times New Roman" w:cs="Times New Roman"/>
                <w:sz w:val="24"/>
                <w:szCs w:val="24"/>
              </w:rPr>
              <w:t>- 47 136</w:t>
            </w:r>
          </w:p>
        </w:tc>
        <w:tc>
          <w:tcPr>
            <w:tcW w:w="1150" w:type="dxa"/>
          </w:tcPr>
          <w:p w:rsidR="001F3CC6" w:rsidRPr="00245A2A" w:rsidRDefault="00722701" w:rsidP="00245A2A">
            <w:pPr>
              <w:spacing w:after="0" w:line="240" w:lineRule="auto"/>
              <w:rPr>
                <w:rFonts w:ascii="Times New Roman" w:hAnsi="Times New Roman" w:cs="Times New Roman"/>
                <w:sz w:val="24"/>
                <w:szCs w:val="24"/>
              </w:rPr>
            </w:pPr>
            <w:r w:rsidRPr="00245A2A">
              <w:rPr>
                <w:rFonts w:ascii="Times New Roman" w:hAnsi="Times New Roman" w:cs="Times New Roman"/>
                <w:sz w:val="24"/>
                <w:szCs w:val="24"/>
              </w:rPr>
              <w:t>- 54 646</w:t>
            </w:r>
          </w:p>
        </w:tc>
        <w:tc>
          <w:tcPr>
            <w:tcW w:w="1195" w:type="dxa"/>
          </w:tcPr>
          <w:p w:rsidR="001F3CC6" w:rsidRPr="00245A2A" w:rsidRDefault="00722701" w:rsidP="00245A2A">
            <w:pPr>
              <w:spacing w:after="0" w:line="240" w:lineRule="auto"/>
              <w:rPr>
                <w:rFonts w:ascii="Times New Roman" w:hAnsi="Times New Roman" w:cs="Times New Roman"/>
                <w:sz w:val="24"/>
                <w:szCs w:val="24"/>
              </w:rPr>
            </w:pPr>
            <w:r w:rsidRPr="00245A2A">
              <w:rPr>
                <w:rFonts w:ascii="Times New Roman" w:hAnsi="Times New Roman" w:cs="Times New Roman"/>
                <w:sz w:val="24"/>
                <w:szCs w:val="24"/>
              </w:rPr>
              <w:t>- 54 646</w:t>
            </w:r>
          </w:p>
        </w:tc>
        <w:tc>
          <w:tcPr>
            <w:tcW w:w="1150" w:type="dxa"/>
          </w:tcPr>
          <w:p w:rsidR="001F3CC6" w:rsidRPr="00245A2A" w:rsidRDefault="00722701" w:rsidP="00245A2A">
            <w:pPr>
              <w:spacing w:after="0" w:line="240" w:lineRule="auto"/>
              <w:rPr>
                <w:rFonts w:ascii="Times New Roman" w:hAnsi="Times New Roman" w:cs="Times New Roman"/>
                <w:sz w:val="24"/>
                <w:szCs w:val="24"/>
              </w:rPr>
            </w:pPr>
            <w:r w:rsidRPr="00245A2A">
              <w:rPr>
                <w:rFonts w:ascii="Times New Roman" w:hAnsi="Times New Roman" w:cs="Times New Roman"/>
                <w:sz w:val="24"/>
                <w:szCs w:val="24"/>
              </w:rPr>
              <w:t>- 54 646</w:t>
            </w:r>
          </w:p>
        </w:tc>
      </w:tr>
      <w:tr w:rsidR="000F5EDB" w:rsidRPr="000F5EDB" w:rsidTr="005128C9">
        <w:trPr>
          <w:jc w:val="center"/>
        </w:trPr>
        <w:tc>
          <w:tcPr>
            <w:tcW w:w="3199" w:type="dxa"/>
          </w:tcPr>
          <w:p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3.1. valsts pamatbudžets</w:t>
            </w:r>
          </w:p>
        </w:tc>
        <w:tc>
          <w:tcPr>
            <w:tcW w:w="1276" w:type="dxa"/>
            <w:shd w:val="clear" w:color="auto" w:fill="auto"/>
          </w:tcPr>
          <w:p w:rsidR="001F3CC6" w:rsidRPr="000F5EDB" w:rsidRDefault="001F3CC6" w:rsidP="00E7737A">
            <w:pPr>
              <w:pStyle w:val="naisf"/>
              <w:spacing w:before="0" w:beforeAutospacing="0" w:after="0" w:afterAutospacing="0"/>
              <w:jc w:val="center"/>
            </w:pPr>
            <w:r w:rsidRPr="000F5EDB">
              <w:t>0</w:t>
            </w:r>
          </w:p>
        </w:tc>
        <w:tc>
          <w:tcPr>
            <w:tcW w:w="1287" w:type="dxa"/>
          </w:tcPr>
          <w:p w:rsidR="001F3CC6" w:rsidRPr="00245A2A" w:rsidRDefault="00722701" w:rsidP="00245A2A">
            <w:pPr>
              <w:spacing w:after="0" w:line="240" w:lineRule="auto"/>
              <w:rPr>
                <w:rFonts w:ascii="Times New Roman" w:hAnsi="Times New Roman" w:cs="Times New Roman"/>
                <w:sz w:val="24"/>
                <w:szCs w:val="24"/>
              </w:rPr>
            </w:pPr>
            <w:r w:rsidRPr="00245A2A">
              <w:rPr>
                <w:rFonts w:ascii="Times New Roman" w:hAnsi="Times New Roman" w:cs="Times New Roman"/>
                <w:sz w:val="24"/>
                <w:szCs w:val="24"/>
              </w:rPr>
              <w:t>- 47 136</w:t>
            </w:r>
          </w:p>
        </w:tc>
        <w:tc>
          <w:tcPr>
            <w:tcW w:w="1150" w:type="dxa"/>
          </w:tcPr>
          <w:p w:rsidR="001F3CC6" w:rsidRPr="00245A2A" w:rsidRDefault="00722701" w:rsidP="00245A2A">
            <w:pPr>
              <w:spacing w:after="0" w:line="240" w:lineRule="auto"/>
              <w:rPr>
                <w:rFonts w:ascii="Times New Roman" w:hAnsi="Times New Roman" w:cs="Times New Roman"/>
                <w:sz w:val="24"/>
                <w:szCs w:val="24"/>
              </w:rPr>
            </w:pPr>
            <w:r w:rsidRPr="00245A2A">
              <w:rPr>
                <w:rFonts w:ascii="Times New Roman" w:hAnsi="Times New Roman" w:cs="Times New Roman"/>
                <w:sz w:val="24"/>
                <w:szCs w:val="24"/>
              </w:rPr>
              <w:t>54 646</w:t>
            </w:r>
          </w:p>
        </w:tc>
        <w:tc>
          <w:tcPr>
            <w:tcW w:w="1195" w:type="dxa"/>
          </w:tcPr>
          <w:p w:rsidR="001F3CC6" w:rsidRPr="00245A2A" w:rsidRDefault="00722701" w:rsidP="00245A2A">
            <w:pPr>
              <w:spacing w:after="0" w:line="240" w:lineRule="auto"/>
              <w:rPr>
                <w:rFonts w:ascii="Times New Roman" w:hAnsi="Times New Roman" w:cs="Times New Roman"/>
                <w:sz w:val="24"/>
                <w:szCs w:val="24"/>
              </w:rPr>
            </w:pPr>
            <w:r w:rsidRPr="00245A2A">
              <w:rPr>
                <w:rFonts w:ascii="Times New Roman" w:hAnsi="Times New Roman" w:cs="Times New Roman"/>
                <w:sz w:val="24"/>
                <w:szCs w:val="24"/>
              </w:rPr>
              <w:t>- 54 646</w:t>
            </w:r>
          </w:p>
        </w:tc>
        <w:tc>
          <w:tcPr>
            <w:tcW w:w="1150" w:type="dxa"/>
          </w:tcPr>
          <w:p w:rsidR="001F3CC6" w:rsidRPr="00245A2A" w:rsidRDefault="00722701" w:rsidP="00245A2A">
            <w:pPr>
              <w:spacing w:after="0" w:line="240" w:lineRule="auto"/>
              <w:rPr>
                <w:rFonts w:ascii="Times New Roman" w:hAnsi="Times New Roman" w:cs="Times New Roman"/>
                <w:sz w:val="24"/>
                <w:szCs w:val="24"/>
              </w:rPr>
            </w:pPr>
            <w:r w:rsidRPr="00245A2A">
              <w:rPr>
                <w:rFonts w:ascii="Times New Roman" w:hAnsi="Times New Roman" w:cs="Times New Roman"/>
                <w:sz w:val="24"/>
                <w:szCs w:val="24"/>
              </w:rPr>
              <w:t>- 54 646</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3.2. speciālais budžets</w:t>
            </w:r>
          </w:p>
        </w:tc>
        <w:tc>
          <w:tcPr>
            <w:tcW w:w="1276" w:type="dxa"/>
            <w:shd w:val="clear" w:color="auto" w:fill="auto"/>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722701"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3.3. pašvaldību budžets </w:t>
            </w:r>
          </w:p>
        </w:tc>
        <w:tc>
          <w:tcPr>
            <w:tcW w:w="1276" w:type="dxa"/>
            <w:shd w:val="clear" w:color="auto" w:fill="auto"/>
          </w:tcPr>
          <w:p w:rsidR="007F6B1C" w:rsidRPr="000F5EDB" w:rsidRDefault="00E7737A" w:rsidP="00E7737A">
            <w:pPr>
              <w:pStyle w:val="naisf"/>
              <w:spacing w:before="0" w:beforeAutospacing="0" w:after="0" w:afterAutospacing="0"/>
              <w:jc w:val="center"/>
            </w:pPr>
            <w:r w:rsidRPr="000F5EDB">
              <w:t>0</w:t>
            </w:r>
          </w:p>
        </w:tc>
        <w:tc>
          <w:tcPr>
            <w:tcW w:w="1287" w:type="dxa"/>
          </w:tcPr>
          <w:p w:rsidR="007F6B1C" w:rsidRPr="000F5EDB" w:rsidRDefault="00722701" w:rsidP="00E7737A">
            <w:pPr>
              <w:pStyle w:val="naisf"/>
              <w:spacing w:before="0" w:beforeAutospacing="0" w:after="0" w:afterAutospacing="0"/>
              <w:jc w:val="center"/>
            </w:pPr>
            <w:r>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val="restart"/>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rsidR="007F6B1C" w:rsidRPr="000F5EDB" w:rsidRDefault="007F6B1C" w:rsidP="000D2380">
            <w:pPr>
              <w:pStyle w:val="naisf"/>
              <w:spacing w:before="0" w:beforeAutospacing="0" w:after="0" w:afterAutospacing="0"/>
              <w:jc w:val="center"/>
              <w:rPr>
                <w:i/>
              </w:rPr>
            </w:pPr>
            <w:r w:rsidRPr="000F5EDB">
              <w:t>X</w:t>
            </w:r>
          </w:p>
        </w:tc>
        <w:tc>
          <w:tcPr>
            <w:tcW w:w="1287" w:type="dxa"/>
          </w:tcPr>
          <w:p w:rsidR="007F6B1C" w:rsidRPr="000F5EDB" w:rsidRDefault="00722701" w:rsidP="00E7737A">
            <w:pPr>
              <w:pStyle w:val="naisf"/>
              <w:spacing w:before="0" w:beforeAutospacing="0" w:after="0" w:afterAutospacing="0"/>
              <w:jc w:val="center"/>
            </w:pPr>
            <w:r>
              <w:t>47 136</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tcPr>
          <w:p w:rsidR="007F6B1C" w:rsidRPr="000F5EDB" w:rsidRDefault="007F6B1C" w:rsidP="000D2380">
            <w:pPr>
              <w:spacing w:after="0" w:line="240" w:lineRule="auto"/>
              <w:rPr>
                <w:rFonts w:ascii="Times New Roman" w:hAnsi="Times New Roman" w:cs="Times New Roman"/>
                <w:sz w:val="24"/>
                <w:szCs w:val="24"/>
              </w:rPr>
            </w:pPr>
          </w:p>
        </w:tc>
        <w:tc>
          <w:tcPr>
            <w:tcW w:w="1276" w:type="dxa"/>
            <w:vMerge/>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7F6B1C" w:rsidP="00E7737A">
            <w:pPr>
              <w:pStyle w:val="naisf"/>
              <w:spacing w:before="0" w:beforeAutospacing="0" w:after="0" w:afterAutospacing="0"/>
              <w:jc w:val="center"/>
            </w:pP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vMerge/>
          </w:tcPr>
          <w:p w:rsidR="007F6B1C" w:rsidRPr="000F5EDB" w:rsidRDefault="007F6B1C" w:rsidP="000D2380">
            <w:pPr>
              <w:spacing w:after="0" w:line="240" w:lineRule="auto"/>
              <w:rPr>
                <w:rFonts w:ascii="Times New Roman" w:hAnsi="Times New Roman" w:cs="Times New Roman"/>
                <w:sz w:val="24"/>
                <w:szCs w:val="24"/>
              </w:rPr>
            </w:pPr>
          </w:p>
        </w:tc>
        <w:tc>
          <w:tcPr>
            <w:tcW w:w="1276" w:type="dxa"/>
            <w:vMerge/>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7F6B1C" w:rsidP="00E7737A">
            <w:pPr>
              <w:pStyle w:val="naisf"/>
              <w:spacing w:before="0" w:beforeAutospacing="0" w:after="0" w:afterAutospacing="0"/>
              <w:jc w:val="center"/>
            </w:pP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 Precizēta finansiālā ietekme:</w:t>
            </w:r>
          </w:p>
        </w:tc>
        <w:tc>
          <w:tcPr>
            <w:tcW w:w="1276" w:type="dxa"/>
            <w:vMerge w:val="restart"/>
          </w:tcPr>
          <w:p w:rsidR="007F6B1C" w:rsidRPr="000F5EDB" w:rsidRDefault="007F6B1C" w:rsidP="000D2380">
            <w:pPr>
              <w:pStyle w:val="naisf"/>
              <w:spacing w:before="0" w:beforeAutospacing="0" w:after="0" w:afterAutospacing="0"/>
              <w:jc w:val="center"/>
              <w:rPr>
                <w:i/>
              </w:rPr>
            </w:pPr>
            <w:r w:rsidRPr="000F5EDB">
              <w:t>X</w:t>
            </w: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722701" w:rsidP="00E7737A">
            <w:pPr>
              <w:pStyle w:val="naisf"/>
              <w:spacing w:before="0" w:beforeAutospacing="0" w:after="0" w:afterAutospacing="0"/>
              <w:jc w:val="center"/>
            </w:pPr>
            <w:r>
              <w:t>- 54 646</w:t>
            </w:r>
          </w:p>
        </w:tc>
        <w:tc>
          <w:tcPr>
            <w:tcW w:w="1195" w:type="dxa"/>
          </w:tcPr>
          <w:p w:rsidR="007F6B1C" w:rsidRPr="000F5EDB" w:rsidRDefault="00722701" w:rsidP="00E7737A">
            <w:pPr>
              <w:pStyle w:val="naisf"/>
              <w:spacing w:before="0" w:beforeAutospacing="0" w:after="0" w:afterAutospacing="0"/>
              <w:jc w:val="center"/>
            </w:pPr>
            <w:r>
              <w:t>- 54 646</w:t>
            </w:r>
          </w:p>
        </w:tc>
        <w:tc>
          <w:tcPr>
            <w:tcW w:w="1150" w:type="dxa"/>
          </w:tcPr>
          <w:p w:rsidR="007F6B1C" w:rsidRPr="000F5EDB" w:rsidRDefault="00722701" w:rsidP="00E7737A">
            <w:pPr>
              <w:pStyle w:val="naisf"/>
              <w:spacing w:before="0" w:beforeAutospacing="0" w:after="0" w:afterAutospacing="0"/>
              <w:jc w:val="center"/>
            </w:pPr>
            <w:r>
              <w:t>- 54 646</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5.1. valsts pamatbudžets</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5.2. speciālais budžets</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5.3. pašvaldību budžets </w:t>
            </w:r>
          </w:p>
        </w:tc>
        <w:tc>
          <w:tcPr>
            <w:tcW w:w="1276" w:type="dxa"/>
            <w:vMerge/>
            <w:vAlign w:val="center"/>
          </w:tcPr>
          <w:p w:rsidR="007F6B1C" w:rsidRPr="000F5EDB" w:rsidRDefault="007F6B1C" w:rsidP="000D2380">
            <w:pPr>
              <w:pStyle w:val="naisf"/>
              <w:spacing w:before="0" w:beforeAutospacing="0" w:after="0" w:afterAutospacing="0"/>
              <w:jc w:val="center"/>
              <w:rPr>
                <w:i/>
              </w:rPr>
            </w:pPr>
          </w:p>
        </w:tc>
        <w:tc>
          <w:tcPr>
            <w:tcW w:w="1287"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c>
          <w:tcPr>
            <w:tcW w:w="1195" w:type="dxa"/>
          </w:tcPr>
          <w:p w:rsidR="007F6B1C" w:rsidRPr="000F5EDB" w:rsidRDefault="00E7737A" w:rsidP="00E7737A">
            <w:pPr>
              <w:pStyle w:val="naisf"/>
              <w:spacing w:before="0" w:beforeAutospacing="0" w:after="0" w:afterAutospacing="0"/>
              <w:jc w:val="center"/>
            </w:pPr>
            <w:r w:rsidRPr="000F5EDB">
              <w:t>0</w:t>
            </w:r>
          </w:p>
        </w:tc>
        <w:tc>
          <w:tcPr>
            <w:tcW w:w="1150" w:type="dxa"/>
          </w:tcPr>
          <w:p w:rsidR="007F6B1C" w:rsidRPr="000F5EDB" w:rsidRDefault="00E7737A" w:rsidP="00E7737A">
            <w:pPr>
              <w:pStyle w:val="naisf"/>
              <w:spacing w:before="0" w:beforeAutospacing="0" w:after="0" w:afterAutospacing="0"/>
              <w:jc w:val="center"/>
            </w:pPr>
            <w:r w:rsidRPr="000F5EDB">
              <w:t>0</w:t>
            </w:r>
          </w:p>
        </w:tc>
      </w:tr>
      <w:tr w:rsidR="000F5EDB" w:rsidRPr="000F5EDB" w:rsidTr="000852C4">
        <w:trPr>
          <w:trHeight w:val="1571"/>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 Detalizēts ieņēmumu un izdevumu aprēķins (ja nepie</w:t>
            </w:r>
            <w:r w:rsidRPr="000F5EDB">
              <w:rPr>
                <w:rFonts w:ascii="Times New Roman" w:hAnsi="Times New Roman" w:cs="Times New Roman"/>
                <w:sz w:val="24"/>
                <w:szCs w:val="24"/>
              </w:rPr>
              <w:softHyphen/>
              <w:t>ciešams, detalizētu ieņēmumu un izdevumu aprēķinu var pie</w:t>
            </w:r>
            <w:r w:rsidRPr="000F5EDB">
              <w:rPr>
                <w:rFonts w:ascii="Times New Roman" w:hAnsi="Times New Roman" w:cs="Times New Roman"/>
                <w:sz w:val="24"/>
                <w:szCs w:val="24"/>
              </w:rPr>
              <w:softHyphen/>
              <w:t>vienot anotācijas pielikumā):</w:t>
            </w:r>
          </w:p>
        </w:tc>
        <w:tc>
          <w:tcPr>
            <w:tcW w:w="6058" w:type="dxa"/>
            <w:gridSpan w:val="5"/>
            <w:vMerge w:val="restart"/>
            <w:vAlign w:val="center"/>
          </w:tcPr>
          <w:p w:rsidR="003200D4" w:rsidRDefault="003200D4" w:rsidP="00722701">
            <w:pPr>
              <w:spacing w:after="0" w:line="240" w:lineRule="auto"/>
              <w:rPr>
                <w:rFonts w:ascii="Times New Roman" w:hAnsi="Times New Roman" w:cs="Times New Roman"/>
                <w:sz w:val="24"/>
                <w:szCs w:val="24"/>
              </w:rPr>
            </w:pPr>
          </w:p>
          <w:p w:rsidR="00156B92" w:rsidRDefault="00156B92" w:rsidP="00722701">
            <w:pPr>
              <w:spacing w:after="0" w:line="240" w:lineRule="auto"/>
              <w:rPr>
                <w:rFonts w:ascii="Times New Roman" w:hAnsi="Times New Roman" w:cs="Times New Roman"/>
                <w:sz w:val="24"/>
                <w:szCs w:val="24"/>
              </w:rPr>
            </w:pPr>
            <w:r w:rsidRPr="00722701">
              <w:rPr>
                <w:rFonts w:ascii="Times New Roman" w:hAnsi="Times New Roman" w:cs="Times New Roman"/>
                <w:sz w:val="24"/>
                <w:szCs w:val="24"/>
              </w:rPr>
              <w:t>Detalizēts izdevumu aprēķins</w:t>
            </w:r>
            <w:r w:rsidR="00722701">
              <w:rPr>
                <w:rFonts w:ascii="Times New Roman" w:hAnsi="Times New Roman" w:cs="Times New Roman"/>
                <w:sz w:val="24"/>
                <w:szCs w:val="24"/>
              </w:rPr>
              <w:t xml:space="preserve"> – anotācijas pielikumā.</w:t>
            </w:r>
          </w:p>
          <w:p w:rsidR="003200D4" w:rsidRDefault="003200D4" w:rsidP="00722701">
            <w:pPr>
              <w:spacing w:after="0" w:line="240" w:lineRule="auto"/>
              <w:rPr>
                <w:rFonts w:ascii="Times New Roman" w:hAnsi="Times New Roman" w:cs="Times New Roman"/>
                <w:b/>
                <w:sz w:val="24"/>
                <w:szCs w:val="24"/>
                <w:u w:val="single"/>
              </w:rPr>
            </w:pPr>
            <w:r w:rsidRPr="003200D4">
              <w:rPr>
                <w:rFonts w:ascii="Times New Roman" w:hAnsi="Times New Roman" w:cs="Times New Roman"/>
                <w:b/>
                <w:sz w:val="24"/>
                <w:szCs w:val="24"/>
                <w:u w:val="single"/>
              </w:rPr>
              <w:t>Iekšlietu ministrija</w:t>
            </w:r>
            <w:r>
              <w:rPr>
                <w:rFonts w:ascii="Times New Roman" w:hAnsi="Times New Roman" w:cs="Times New Roman"/>
                <w:b/>
                <w:sz w:val="24"/>
                <w:szCs w:val="24"/>
                <w:u w:val="single"/>
              </w:rPr>
              <w:t xml:space="preserve"> – kopā </w:t>
            </w:r>
          </w:p>
          <w:p w:rsidR="003200D4" w:rsidRPr="003200D4" w:rsidRDefault="003200D4" w:rsidP="00722701">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2014.gadā – 47 136 </w:t>
            </w:r>
            <w:proofErr w:type="spellStart"/>
            <w:r w:rsidRPr="003200D4">
              <w:rPr>
                <w:rFonts w:ascii="Times New Roman" w:hAnsi="Times New Roman" w:cs="Times New Roman"/>
                <w:b/>
                <w:i/>
                <w:sz w:val="24"/>
                <w:szCs w:val="24"/>
              </w:rPr>
              <w:t>euro</w:t>
            </w:r>
            <w:proofErr w:type="spellEnd"/>
          </w:p>
          <w:p w:rsidR="003200D4" w:rsidRDefault="003200D4" w:rsidP="00722701">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2015.gadā un turpmāk katru gadu – 54 646 </w:t>
            </w:r>
            <w:proofErr w:type="spellStart"/>
            <w:r w:rsidRPr="003200D4">
              <w:rPr>
                <w:rFonts w:ascii="Times New Roman" w:hAnsi="Times New Roman" w:cs="Times New Roman"/>
                <w:b/>
                <w:i/>
                <w:sz w:val="24"/>
                <w:szCs w:val="24"/>
              </w:rPr>
              <w:t>euro</w:t>
            </w:r>
            <w:proofErr w:type="spellEnd"/>
          </w:p>
          <w:p w:rsidR="003200D4" w:rsidRPr="003200D4" w:rsidRDefault="003200D4" w:rsidP="00722701">
            <w:pPr>
              <w:spacing w:after="0" w:line="240" w:lineRule="auto"/>
              <w:rPr>
                <w:rFonts w:ascii="Times New Roman" w:hAnsi="Times New Roman" w:cs="Times New Roman"/>
                <w:sz w:val="24"/>
                <w:szCs w:val="24"/>
              </w:rPr>
            </w:pPr>
            <w:r>
              <w:rPr>
                <w:rFonts w:ascii="Times New Roman" w:hAnsi="Times New Roman" w:cs="Times New Roman"/>
                <w:sz w:val="24"/>
                <w:szCs w:val="24"/>
              </w:rPr>
              <w:t>no tā:</w:t>
            </w:r>
          </w:p>
          <w:p w:rsidR="00156B92" w:rsidRPr="003200D4" w:rsidRDefault="008B054B" w:rsidP="0072270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156B92" w:rsidRPr="003200D4">
              <w:rPr>
                <w:rFonts w:ascii="Times New Roman" w:hAnsi="Times New Roman" w:cs="Times New Roman"/>
                <w:b/>
                <w:sz w:val="24"/>
                <w:szCs w:val="24"/>
                <w:u w:val="single"/>
              </w:rPr>
              <w:t>budžeta apakšprogramma 38.05.00 „Veselības aprūpe un fiziskā sagatavotība”</w:t>
            </w:r>
            <w:r>
              <w:rPr>
                <w:rFonts w:ascii="Times New Roman" w:hAnsi="Times New Roman" w:cs="Times New Roman"/>
                <w:b/>
                <w:sz w:val="24"/>
                <w:szCs w:val="24"/>
                <w:u w:val="single"/>
              </w:rPr>
              <w:t xml:space="preserve"> (Iekšlietu ministrijas veselības un sporta centrs)</w:t>
            </w:r>
          </w:p>
          <w:p w:rsidR="003200D4" w:rsidRDefault="003200D4" w:rsidP="00722701">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2014.gadā – 41 709 </w:t>
            </w:r>
            <w:proofErr w:type="spellStart"/>
            <w:r w:rsidRPr="003200D4">
              <w:rPr>
                <w:rFonts w:ascii="Times New Roman" w:hAnsi="Times New Roman" w:cs="Times New Roman"/>
                <w:b/>
                <w:i/>
                <w:sz w:val="24"/>
                <w:szCs w:val="24"/>
              </w:rPr>
              <w:t>euro</w:t>
            </w:r>
            <w:proofErr w:type="spellEnd"/>
          </w:p>
          <w:p w:rsidR="003200D4" w:rsidRDefault="003200D4" w:rsidP="0072270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Atlīdzība(1000. IKK) – 40 628 </w:t>
            </w:r>
            <w:proofErr w:type="spellStart"/>
            <w:r w:rsidRPr="003200D4">
              <w:rPr>
                <w:rFonts w:ascii="Times New Roman" w:hAnsi="Times New Roman" w:cs="Times New Roman"/>
                <w:i/>
                <w:sz w:val="24"/>
                <w:szCs w:val="24"/>
              </w:rPr>
              <w:t>euro</w:t>
            </w:r>
            <w:proofErr w:type="spellEnd"/>
          </w:p>
          <w:p w:rsidR="003200D4" w:rsidRPr="003200D4" w:rsidRDefault="003200D4" w:rsidP="007227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Atalgojums (1100. IKK) –31 558 </w:t>
            </w:r>
            <w:proofErr w:type="spellStart"/>
            <w:r w:rsidRPr="003200D4">
              <w:rPr>
                <w:rFonts w:ascii="Times New Roman" w:hAnsi="Times New Roman" w:cs="Times New Roman"/>
                <w:i/>
                <w:sz w:val="24"/>
                <w:szCs w:val="24"/>
              </w:rPr>
              <w:t>euro</w:t>
            </w:r>
            <w:proofErr w:type="spellEnd"/>
          </w:p>
          <w:p w:rsidR="008B054B" w:rsidRDefault="008B054B" w:rsidP="008B054B">
            <w:pPr>
              <w:spacing w:after="0" w:line="240" w:lineRule="auto"/>
              <w:rPr>
                <w:rFonts w:ascii="Times New Roman" w:hAnsi="Times New Roman" w:cs="Times New Roman"/>
                <w:i/>
                <w:sz w:val="24"/>
                <w:szCs w:val="24"/>
              </w:rPr>
            </w:pPr>
            <w:r w:rsidRPr="008B054B">
              <w:rPr>
                <w:rFonts w:ascii="Times New Roman" w:hAnsi="Times New Roman" w:cs="Times New Roman"/>
                <w:sz w:val="24"/>
                <w:szCs w:val="24"/>
              </w:rPr>
              <w:t>Preces un pakalpojumi</w:t>
            </w:r>
            <w:r>
              <w:rPr>
                <w:rFonts w:ascii="Times New Roman" w:hAnsi="Times New Roman" w:cs="Times New Roman"/>
                <w:sz w:val="24"/>
                <w:szCs w:val="24"/>
              </w:rPr>
              <w:t xml:space="preserve">(2000. IKK) – 1081 </w:t>
            </w:r>
            <w:proofErr w:type="spellStart"/>
            <w:r w:rsidRPr="003200D4">
              <w:rPr>
                <w:rFonts w:ascii="Times New Roman" w:hAnsi="Times New Roman" w:cs="Times New Roman"/>
                <w:i/>
                <w:sz w:val="24"/>
                <w:szCs w:val="24"/>
              </w:rPr>
              <w:t>euro</w:t>
            </w:r>
            <w:proofErr w:type="spellEnd"/>
          </w:p>
          <w:p w:rsidR="008B054B" w:rsidRDefault="008B054B" w:rsidP="008B054B">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2015.gadā un turpmāk katru gadu – 54 543 </w:t>
            </w:r>
            <w:proofErr w:type="spellStart"/>
            <w:r w:rsidRPr="003200D4">
              <w:rPr>
                <w:rFonts w:ascii="Times New Roman" w:hAnsi="Times New Roman" w:cs="Times New Roman"/>
                <w:b/>
                <w:i/>
                <w:sz w:val="24"/>
                <w:szCs w:val="24"/>
              </w:rPr>
              <w:t>euro</w:t>
            </w:r>
            <w:proofErr w:type="spellEnd"/>
          </w:p>
          <w:p w:rsidR="008B054B" w:rsidRDefault="008B054B" w:rsidP="008B054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Atlīdzība(1000. IKK) –54 168 </w:t>
            </w:r>
            <w:proofErr w:type="spellStart"/>
            <w:r w:rsidRPr="003200D4">
              <w:rPr>
                <w:rFonts w:ascii="Times New Roman" w:hAnsi="Times New Roman" w:cs="Times New Roman"/>
                <w:i/>
                <w:sz w:val="24"/>
                <w:szCs w:val="24"/>
              </w:rPr>
              <w:t>euro</w:t>
            </w:r>
            <w:proofErr w:type="spellEnd"/>
          </w:p>
          <w:p w:rsidR="008B054B" w:rsidRPr="003200D4" w:rsidRDefault="008B054B" w:rsidP="008B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Atalgojums (1100. IKK) – 42 076 </w:t>
            </w:r>
            <w:proofErr w:type="spellStart"/>
            <w:r w:rsidRPr="003200D4">
              <w:rPr>
                <w:rFonts w:ascii="Times New Roman" w:hAnsi="Times New Roman" w:cs="Times New Roman"/>
                <w:i/>
                <w:sz w:val="24"/>
                <w:szCs w:val="24"/>
              </w:rPr>
              <w:t>euro</w:t>
            </w:r>
            <w:proofErr w:type="spellEnd"/>
          </w:p>
          <w:p w:rsidR="008B054B" w:rsidRPr="008B054B" w:rsidRDefault="008B054B" w:rsidP="008B054B">
            <w:pPr>
              <w:spacing w:after="0" w:line="240" w:lineRule="auto"/>
              <w:rPr>
                <w:rFonts w:ascii="Times New Roman" w:hAnsi="Times New Roman" w:cs="Times New Roman"/>
                <w:sz w:val="24"/>
                <w:szCs w:val="24"/>
              </w:rPr>
            </w:pPr>
            <w:r w:rsidRPr="008B054B">
              <w:rPr>
                <w:rFonts w:ascii="Times New Roman" w:hAnsi="Times New Roman" w:cs="Times New Roman"/>
                <w:sz w:val="24"/>
                <w:szCs w:val="24"/>
              </w:rPr>
              <w:t>Preces un pakalpojumi</w:t>
            </w:r>
            <w:r>
              <w:rPr>
                <w:rFonts w:ascii="Times New Roman" w:hAnsi="Times New Roman" w:cs="Times New Roman"/>
                <w:sz w:val="24"/>
                <w:szCs w:val="24"/>
              </w:rPr>
              <w:t xml:space="preserve">(2000. IKK) –375 </w:t>
            </w:r>
            <w:proofErr w:type="spellStart"/>
            <w:r w:rsidRPr="003200D4">
              <w:rPr>
                <w:rFonts w:ascii="Times New Roman" w:hAnsi="Times New Roman" w:cs="Times New Roman"/>
                <w:i/>
                <w:sz w:val="24"/>
                <w:szCs w:val="24"/>
              </w:rPr>
              <w:t>euro</w:t>
            </w:r>
            <w:proofErr w:type="spellEnd"/>
          </w:p>
          <w:p w:rsidR="008B054B" w:rsidRDefault="008B054B" w:rsidP="008B054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Pr="003200D4">
              <w:rPr>
                <w:rFonts w:ascii="Times New Roman" w:hAnsi="Times New Roman" w:cs="Times New Roman"/>
                <w:b/>
                <w:sz w:val="24"/>
                <w:szCs w:val="24"/>
                <w:u w:val="single"/>
              </w:rPr>
              <w:t>budžeta apakšprogramma</w:t>
            </w:r>
            <w:r>
              <w:rPr>
                <w:rFonts w:ascii="Times New Roman" w:hAnsi="Times New Roman" w:cs="Times New Roman"/>
                <w:b/>
                <w:sz w:val="24"/>
                <w:szCs w:val="24"/>
                <w:u w:val="single"/>
              </w:rPr>
              <w:t xml:space="preserve"> 02</w:t>
            </w:r>
            <w:r w:rsidRPr="003200D4">
              <w:rPr>
                <w:rFonts w:ascii="Times New Roman" w:hAnsi="Times New Roman" w:cs="Times New Roman"/>
                <w:b/>
                <w:sz w:val="24"/>
                <w:szCs w:val="24"/>
                <w:u w:val="single"/>
              </w:rPr>
              <w:t>.0</w:t>
            </w:r>
            <w:r>
              <w:rPr>
                <w:rFonts w:ascii="Times New Roman" w:hAnsi="Times New Roman" w:cs="Times New Roman"/>
                <w:b/>
                <w:sz w:val="24"/>
                <w:szCs w:val="24"/>
                <w:u w:val="single"/>
              </w:rPr>
              <w:t>3</w:t>
            </w:r>
            <w:r w:rsidRPr="003200D4">
              <w:rPr>
                <w:rFonts w:ascii="Times New Roman" w:hAnsi="Times New Roman" w:cs="Times New Roman"/>
                <w:b/>
                <w:sz w:val="24"/>
                <w:szCs w:val="24"/>
                <w:u w:val="single"/>
              </w:rPr>
              <w:t>.00</w:t>
            </w:r>
            <w:r>
              <w:rPr>
                <w:rFonts w:ascii="Times New Roman" w:hAnsi="Times New Roman" w:cs="Times New Roman"/>
                <w:b/>
                <w:sz w:val="24"/>
                <w:szCs w:val="24"/>
                <w:u w:val="single"/>
              </w:rPr>
              <w:t xml:space="preserve"> „Vienotās sakaru un informācijas sistēmas uzturēšana un vadība”</w:t>
            </w:r>
          </w:p>
          <w:p w:rsidR="008B054B" w:rsidRDefault="008B054B" w:rsidP="008B054B">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 xml:space="preserve">2014.gadā – 5427 </w:t>
            </w:r>
            <w:proofErr w:type="spellStart"/>
            <w:r w:rsidRPr="003200D4">
              <w:rPr>
                <w:rFonts w:ascii="Times New Roman" w:hAnsi="Times New Roman" w:cs="Times New Roman"/>
                <w:b/>
                <w:i/>
                <w:sz w:val="24"/>
                <w:szCs w:val="24"/>
              </w:rPr>
              <w:t>euro</w:t>
            </w:r>
            <w:proofErr w:type="spellEnd"/>
          </w:p>
          <w:p w:rsidR="008B054B" w:rsidRDefault="008B054B" w:rsidP="008B054B">
            <w:pPr>
              <w:spacing w:after="0" w:line="240" w:lineRule="auto"/>
              <w:rPr>
                <w:rFonts w:ascii="Times New Roman" w:hAnsi="Times New Roman" w:cs="Times New Roman"/>
                <w:i/>
                <w:sz w:val="24"/>
                <w:szCs w:val="24"/>
              </w:rPr>
            </w:pPr>
            <w:r w:rsidRPr="008B054B">
              <w:rPr>
                <w:rFonts w:ascii="Times New Roman" w:hAnsi="Times New Roman" w:cs="Times New Roman"/>
                <w:sz w:val="24"/>
                <w:szCs w:val="24"/>
              </w:rPr>
              <w:t>Preces un pakalpojumi</w:t>
            </w:r>
            <w:r>
              <w:rPr>
                <w:rFonts w:ascii="Times New Roman" w:hAnsi="Times New Roman" w:cs="Times New Roman"/>
                <w:sz w:val="24"/>
                <w:szCs w:val="24"/>
              </w:rPr>
              <w:t xml:space="preserve">(2000. IKK) – 1317 </w:t>
            </w:r>
            <w:proofErr w:type="spellStart"/>
            <w:r w:rsidRPr="003200D4">
              <w:rPr>
                <w:rFonts w:ascii="Times New Roman" w:hAnsi="Times New Roman" w:cs="Times New Roman"/>
                <w:i/>
                <w:sz w:val="24"/>
                <w:szCs w:val="24"/>
              </w:rPr>
              <w:t>euro</w:t>
            </w:r>
            <w:proofErr w:type="spellEnd"/>
          </w:p>
          <w:p w:rsidR="008B054B" w:rsidRPr="008B054B" w:rsidRDefault="008B054B" w:rsidP="008B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Pamatkapitāla veidošana (5000.IKK) – 4110 </w:t>
            </w:r>
            <w:proofErr w:type="spellStart"/>
            <w:r w:rsidRPr="008B054B">
              <w:rPr>
                <w:rFonts w:ascii="Times New Roman" w:hAnsi="Times New Roman" w:cs="Times New Roman"/>
                <w:i/>
                <w:sz w:val="24"/>
                <w:szCs w:val="24"/>
              </w:rPr>
              <w:t>euro</w:t>
            </w:r>
            <w:proofErr w:type="spellEnd"/>
          </w:p>
          <w:p w:rsidR="008B054B" w:rsidRDefault="008B054B" w:rsidP="008B054B">
            <w:pPr>
              <w:spacing w:after="0" w:line="240" w:lineRule="auto"/>
              <w:rPr>
                <w:rFonts w:ascii="Times New Roman" w:hAnsi="Times New Roman" w:cs="Times New Roman"/>
                <w:b/>
                <w:i/>
                <w:sz w:val="24"/>
                <w:szCs w:val="24"/>
              </w:rPr>
            </w:pPr>
            <w:r>
              <w:rPr>
                <w:rFonts w:ascii="Times New Roman" w:hAnsi="Times New Roman" w:cs="Times New Roman"/>
                <w:b/>
                <w:sz w:val="24"/>
                <w:szCs w:val="24"/>
              </w:rPr>
              <w:t>2015.gadā un turpmāk katru gadu –</w:t>
            </w:r>
            <w:r w:rsidR="00FD723F">
              <w:rPr>
                <w:rFonts w:ascii="Times New Roman" w:hAnsi="Times New Roman" w:cs="Times New Roman"/>
                <w:b/>
                <w:sz w:val="24"/>
                <w:szCs w:val="24"/>
              </w:rPr>
              <w:t xml:space="preserve">103 </w:t>
            </w:r>
            <w:proofErr w:type="spellStart"/>
            <w:r w:rsidRPr="003200D4">
              <w:rPr>
                <w:rFonts w:ascii="Times New Roman" w:hAnsi="Times New Roman" w:cs="Times New Roman"/>
                <w:b/>
                <w:i/>
                <w:sz w:val="24"/>
                <w:szCs w:val="24"/>
              </w:rPr>
              <w:t>euro</w:t>
            </w:r>
            <w:proofErr w:type="spellEnd"/>
          </w:p>
          <w:p w:rsidR="008B054B" w:rsidRPr="008B054B" w:rsidRDefault="008B054B" w:rsidP="00354570">
            <w:pPr>
              <w:spacing w:after="0" w:line="240" w:lineRule="auto"/>
              <w:rPr>
                <w:b/>
              </w:rPr>
            </w:pPr>
            <w:r w:rsidRPr="008B054B">
              <w:rPr>
                <w:rFonts w:ascii="Times New Roman" w:hAnsi="Times New Roman" w:cs="Times New Roman"/>
                <w:sz w:val="24"/>
                <w:szCs w:val="24"/>
              </w:rPr>
              <w:t>Preces un pakalpojumi</w:t>
            </w:r>
            <w:r>
              <w:rPr>
                <w:rFonts w:ascii="Times New Roman" w:hAnsi="Times New Roman" w:cs="Times New Roman"/>
                <w:sz w:val="24"/>
                <w:szCs w:val="24"/>
              </w:rPr>
              <w:t>(2000. IKK) –</w:t>
            </w:r>
            <w:r w:rsidR="00FD723F">
              <w:rPr>
                <w:rFonts w:ascii="Times New Roman" w:hAnsi="Times New Roman" w:cs="Times New Roman"/>
                <w:sz w:val="24"/>
                <w:szCs w:val="24"/>
              </w:rPr>
              <w:t xml:space="preserve">103 </w:t>
            </w:r>
            <w:proofErr w:type="spellStart"/>
            <w:r w:rsidRPr="003200D4">
              <w:rPr>
                <w:rFonts w:ascii="Times New Roman" w:hAnsi="Times New Roman" w:cs="Times New Roman"/>
                <w:i/>
                <w:sz w:val="24"/>
                <w:szCs w:val="24"/>
              </w:rPr>
              <w:t>euro</w:t>
            </w:r>
            <w:proofErr w:type="spellEnd"/>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6.1. detalizēts ieņēmumu aprēķins</w:t>
            </w:r>
          </w:p>
        </w:tc>
        <w:tc>
          <w:tcPr>
            <w:tcW w:w="6058" w:type="dxa"/>
            <w:gridSpan w:val="5"/>
            <w:vMerge/>
          </w:tcPr>
          <w:p w:rsidR="007F6B1C" w:rsidRPr="000F5EDB" w:rsidRDefault="007F6B1C" w:rsidP="000D2380">
            <w:pPr>
              <w:pStyle w:val="naisf"/>
              <w:spacing w:before="0" w:beforeAutospacing="0" w:after="0" w:afterAutospacing="0"/>
              <w:rPr>
                <w:b/>
                <w:i/>
              </w:rPr>
            </w:pPr>
          </w:p>
        </w:tc>
      </w:tr>
      <w:tr w:rsidR="000F5EDB" w:rsidRPr="000F5EDB" w:rsidTr="005128C9">
        <w:trPr>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6.2. detalizēts izdevumu aprēķins</w:t>
            </w:r>
          </w:p>
        </w:tc>
        <w:tc>
          <w:tcPr>
            <w:tcW w:w="6058" w:type="dxa"/>
            <w:gridSpan w:val="5"/>
            <w:vMerge/>
          </w:tcPr>
          <w:p w:rsidR="007F6B1C" w:rsidRPr="000F5EDB" w:rsidRDefault="007F6B1C" w:rsidP="000D2380">
            <w:pPr>
              <w:pStyle w:val="naisf"/>
              <w:spacing w:before="0" w:beforeAutospacing="0" w:after="0" w:afterAutospacing="0"/>
              <w:rPr>
                <w:b/>
                <w:i/>
              </w:rPr>
            </w:pPr>
          </w:p>
        </w:tc>
      </w:tr>
      <w:tr w:rsidR="000F5EDB" w:rsidRPr="000F5EDB" w:rsidTr="005128C9">
        <w:trPr>
          <w:trHeight w:val="556"/>
          <w:jc w:val="center"/>
        </w:trPr>
        <w:tc>
          <w:tcPr>
            <w:tcW w:w="3199" w:type="dxa"/>
          </w:tcPr>
          <w:p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lastRenderedPageBreak/>
              <w:t>7. Cita informācija</w:t>
            </w:r>
          </w:p>
        </w:tc>
        <w:tc>
          <w:tcPr>
            <w:tcW w:w="6058" w:type="dxa"/>
            <w:gridSpan w:val="5"/>
          </w:tcPr>
          <w:p w:rsidR="007F6B1C" w:rsidRPr="000F5EDB" w:rsidRDefault="00156B92" w:rsidP="00F569CA">
            <w:pPr>
              <w:spacing w:after="0" w:line="240" w:lineRule="auto"/>
              <w:jc w:val="both"/>
            </w:pPr>
            <w:r w:rsidRPr="00E307F8">
              <w:rPr>
                <w:rFonts w:ascii="Times New Roman" w:hAnsi="Times New Roman" w:cs="Times New Roman"/>
                <w:sz w:val="24"/>
                <w:szCs w:val="24"/>
              </w:rPr>
              <w:t xml:space="preserve">Valsts un pašvaldību institūciju amatpersonu un darbinieku atlīdzības likuma Pārejas noteikumu 28.punkts nosaka, ka „lai no 2014.gada 1.janvāra nodrošinātu šā likuma </w:t>
            </w:r>
            <w:hyperlink r:id="rId9" w:anchor="p39" w:history="1">
              <w:r w:rsidRPr="00E307F8">
                <w:rPr>
                  <w:rFonts w:ascii="Times New Roman" w:hAnsi="Times New Roman" w:cs="Times New Roman"/>
                  <w:sz w:val="24"/>
                  <w:szCs w:val="24"/>
                </w:rPr>
                <w:t>39.panta</w:t>
              </w:r>
            </w:hyperlink>
            <w:r w:rsidRPr="00E307F8">
              <w:rPr>
                <w:rFonts w:ascii="Times New Roman" w:hAnsi="Times New Roman" w:cs="Times New Roman"/>
                <w:sz w:val="24"/>
                <w:szCs w:val="24"/>
              </w:rPr>
              <w:t xml:space="preserve"> otrajā daļā un pārejas noteikumu </w:t>
            </w:r>
            <w:hyperlink r:id="rId10" w:anchor="pn26" w:history="1">
              <w:r w:rsidRPr="00E307F8">
                <w:rPr>
                  <w:rFonts w:ascii="Times New Roman" w:hAnsi="Times New Roman" w:cs="Times New Roman"/>
                  <w:sz w:val="24"/>
                  <w:szCs w:val="24"/>
                </w:rPr>
                <w:t>26.punktā</w:t>
              </w:r>
            </w:hyperlink>
            <w:r w:rsidRPr="00E307F8">
              <w:rPr>
                <w:rFonts w:ascii="Times New Roman" w:hAnsi="Times New Roman" w:cs="Times New Roman"/>
                <w:sz w:val="24"/>
                <w:szCs w:val="24"/>
              </w:rPr>
              <w:t xml:space="preserve"> minēto noteikumu izpildi, nepieciešamie papildu izdevumi tiek segti no valsts budžeta 74.resora „Gadskārtējā valsts budžeta izpildes procesā pārdalāmais finansējums” programmas 02.00.00 „Līdzekļi neparedzētiem gadījumiem”.  2015. gadam un turpmākajiem gadiem nepieciešamais papildu finansējums paredzams Iekšlietu ministrijas bāzes izdevumos. </w:t>
            </w:r>
            <w:r w:rsidR="00FB7D9C">
              <w:rPr>
                <w:rFonts w:ascii="Times New Roman" w:hAnsi="Times New Roman" w:cs="Times New Roman"/>
                <w:sz w:val="24"/>
                <w:szCs w:val="24"/>
              </w:rPr>
              <w:t xml:space="preserve">Rīkojuma projekts paredz uzdot </w:t>
            </w:r>
            <w:r w:rsidR="00FB7D9C" w:rsidRPr="00FB7D9C">
              <w:rPr>
                <w:rFonts w:ascii="Times New Roman" w:hAnsi="Times New Roman" w:cs="Times New Roman"/>
                <w:sz w:val="24"/>
                <w:szCs w:val="24"/>
              </w:rPr>
              <w:t xml:space="preserve">Finanšu ministrijai, sagatavojot likumprojektu „Par vidēja termiņa budžeta ietvaru 2015., 2016. un 2017. gadam” un likumprojektu „Par valsts budžetu 2015. gadam”, palielināt Iekšlietu ministrijas bāzes izdevumus 2015. gadam un turpmākajiem gadiem par 54 646 </w:t>
            </w:r>
            <w:proofErr w:type="spellStart"/>
            <w:r w:rsidR="00FB7D9C" w:rsidRPr="00FB7D9C">
              <w:rPr>
                <w:rFonts w:ascii="Times New Roman" w:hAnsi="Times New Roman" w:cs="Times New Roman"/>
                <w:i/>
                <w:sz w:val="24"/>
                <w:szCs w:val="24"/>
              </w:rPr>
              <w:t>euro</w:t>
            </w:r>
            <w:proofErr w:type="spellEnd"/>
            <w:r w:rsidR="00B3221A">
              <w:rPr>
                <w:rFonts w:ascii="Times New Roman" w:hAnsi="Times New Roman" w:cs="Times New Roman"/>
                <w:i/>
                <w:sz w:val="24"/>
                <w:szCs w:val="24"/>
              </w:rPr>
              <w:t xml:space="preserve"> </w:t>
            </w:r>
            <w:r w:rsidR="00FB7D9C" w:rsidRPr="00FB7D9C">
              <w:rPr>
                <w:rFonts w:ascii="Times New Roman" w:hAnsi="Times New Roman" w:cs="Times New Roman"/>
                <w:sz w:val="24"/>
                <w:szCs w:val="24"/>
              </w:rPr>
              <w:t>katru gadu, lai nodrošinātu</w:t>
            </w:r>
            <w:r w:rsidR="00FB7D9C">
              <w:rPr>
                <w:rFonts w:ascii="Times New Roman" w:hAnsi="Times New Roman" w:cs="Times New Roman"/>
                <w:sz w:val="24"/>
                <w:szCs w:val="24"/>
              </w:rPr>
              <w:t xml:space="preserve"> triju </w:t>
            </w:r>
            <w:r w:rsidR="00FB7D9C" w:rsidRPr="00FB7D9C">
              <w:rPr>
                <w:rFonts w:ascii="Times New Roman" w:hAnsi="Times New Roman" w:cs="Times New Roman"/>
                <w:sz w:val="24"/>
                <w:szCs w:val="24"/>
              </w:rPr>
              <w:t>amata vietu uzturēšanas izdevumu segšanu</w:t>
            </w:r>
            <w:r w:rsidR="00FB7D9C">
              <w:rPr>
                <w:rFonts w:ascii="Times New Roman" w:hAnsi="Times New Roman" w:cs="Times New Roman"/>
                <w:sz w:val="24"/>
                <w:szCs w:val="24"/>
              </w:rPr>
              <w:t>.</w:t>
            </w:r>
          </w:p>
        </w:tc>
      </w:tr>
    </w:tbl>
    <w:p w:rsidR="007F6B1C" w:rsidRPr="000F5EDB" w:rsidRDefault="007F6B1C" w:rsidP="007F6B1C">
      <w:pPr>
        <w:spacing w:after="0" w:line="240" w:lineRule="auto"/>
        <w:rPr>
          <w:rFonts w:ascii="Times New Roman" w:hAnsi="Times New Roman" w:cs="Times New Roman"/>
          <w:sz w:val="24"/>
          <w:szCs w:val="24"/>
        </w:rPr>
      </w:pPr>
    </w:p>
    <w:tbl>
      <w:tblPr>
        <w:tblW w:w="9296"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0F5EDB" w:rsidRPr="000F5EDB" w:rsidTr="005128C9">
        <w:trPr>
          <w:trHeight w:val="381"/>
          <w:jc w:val="center"/>
        </w:trPr>
        <w:tc>
          <w:tcPr>
            <w:tcW w:w="9296" w:type="dxa"/>
            <w:gridSpan w:val="3"/>
            <w:vAlign w:val="center"/>
          </w:tcPr>
          <w:p w:rsidR="007F6B1C" w:rsidRPr="000F5EDB" w:rsidRDefault="007F6B1C" w:rsidP="000D2380">
            <w:pPr>
              <w:pStyle w:val="naisnod"/>
              <w:spacing w:before="0" w:beforeAutospacing="0" w:after="0" w:afterAutospacing="0"/>
              <w:ind w:left="57" w:right="57"/>
              <w:jc w:val="center"/>
            </w:pPr>
            <w:r w:rsidRPr="000F5EDB">
              <w:rPr>
                <w:b/>
              </w:rPr>
              <w:t>VII. Tiesību akta projekta izpildes nodrošināšana un tās ietekme uz institūcijām</w:t>
            </w:r>
          </w:p>
        </w:tc>
      </w:tr>
      <w:tr w:rsidR="000F5EDB" w:rsidRPr="000F5EDB" w:rsidTr="005128C9">
        <w:trPr>
          <w:trHeight w:val="427"/>
          <w:jc w:val="center"/>
        </w:trPr>
        <w:tc>
          <w:tcPr>
            <w:tcW w:w="437" w:type="dxa"/>
          </w:tcPr>
          <w:p w:rsidR="007F6B1C" w:rsidRPr="000F5EDB" w:rsidRDefault="007F6B1C" w:rsidP="000D2380">
            <w:pPr>
              <w:pStyle w:val="naisnod"/>
              <w:spacing w:before="0" w:beforeAutospacing="0" w:after="0" w:afterAutospacing="0"/>
              <w:ind w:left="57" w:right="57"/>
              <w:jc w:val="both"/>
            </w:pPr>
            <w:r w:rsidRPr="000F5EDB">
              <w:t>1.</w:t>
            </w:r>
          </w:p>
        </w:tc>
        <w:tc>
          <w:tcPr>
            <w:tcW w:w="3615" w:type="dxa"/>
          </w:tcPr>
          <w:p w:rsidR="007F6B1C" w:rsidRPr="000F5EDB" w:rsidRDefault="007F6B1C" w:rsidP="000D2380">
            <w:pPr>
              <w:pStyle w:val="naisf"/>
              <w:spacing w:before="0" w:beforeAutospacing="0" w:after="0" w:afterAutospacing="0"/>
              <w:ind w:left="57" w:right="57"/>
            </w:pPr>
            <w:r w:rsidRPr="000F5EDB">
              <w:t>Projekta izpildē iesaistītās institūcijas</w:t>
            </w:r>
          </w:p>
        </w:tc>
        <w:tc>
          <w:tcPr>
            <w:tcW w:w="5244" w:type="dxa"/>
          </w:tcPr>
          <w:p w:rsidR="007F6B1C" w:rsidRPr="000F5EDB" w:rsidRDefault="00AF6FD6" w:rsidP="00AF6FD6">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lang w:eastAsia="lv-LV"/>
              </w:rPr>
              <w:t>Iekšlietu ministrijas veselības un sporta centrs.</w:t>
            </w:r>
          </w:p>
        </w:tc>
      </w:tr>
      <w:tr w:rsidR="000F5EDB" w:rsidRPr="000F5EDB" w:rsidTr="005128C9">
        <w:trPr>
          <w:trHeight w:val="463"/>
          <w:jc w:val="center"/>
        </w:trPr>
        <w:tc>
          <w:tcPr>
            <w:tcW w:w="437" w:type="dxa"/>
          </w:tcPr>
          <w:p w:rsidR="007F6B1C" w:rsidRPr="000F5EDB" w:rsidRDefault="007F6B1C" w:rsidP="000D2380">
            <w:pPr>
              <w:pStyle w:val="naisnod"/>
              <w:spacing w:before="0" w:beforeAutospacing="0" w:after="0" w:afterAutospacing="0"/>
              <w:ind w:left="57" w:right="57"/>
              <w:jc w:val="both"/>
            </w:pPr>
            <w:r w:rsidRPr="000F5EDB">
              <w:t>2.</w:t>
            </w:r>
          </w:p>
        </w:tc>
        <w:tc>
          <w:tcPr>
            <w:tcW w:w="3615" w:type="dxa"/>
          </w:tcPr>
          <w:p w:rsidR="007F6B1C" w:rsidRPr="000F5EDB" w:rsidRDefault="007F6B1C" w:rsidP="000D2380">
            <w:pPr>
              <w:pStyle w:val="naisf"/>
              <w:spacing w:before="0" w:beforeAutospacing="0" w:after="0" w:afterAutospacing="0"/>
              <w:ind w:left="57" w:right="57"/>
            </w:pPr>
            <w:r w:rsidRPr="000F5EDB">
              <w:t>Projekta izpildes ietekme uz pār</w:t>
            </w:r>
            <w:r w:rsidRPr="000F5EDB">
              <w:softHyphen/>
              <w:t>valdes funkcijām un institucionālo struktūru.</w:t>
            </w:r>
          </w:p>
          <w:p w:rsidR="007F6B1C" w:rsidRPr="000F5EDB" w:rsidRDefault="007F6B1C" w:rsidP="000D2380">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5244" w:type="dxa"/>
          </w:tcPr>
          <w:p w:rsidR="007F6B1C" w:rsidRPr="000F5EDB" w:rsidRDefault="00E53494" w:rsidP="000D2380">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rsidR="007F6B1C" w:rsidRPr="000F5EDB" w:rsidRDefault="007F6B1C" w:rsidP="000D2380">
            <w:pPr>
              <w:shd w:val="clear" w:color="auto" w:fill="FFFFFF"/>
              <w:spacing w:after="0" w:line="240" w:lineRule="auto"/>
              <w:jc w:val="both"/>
              <w:rPr>
                <w:rFonts w:ascii="Times New Roman" w:hAnsi="Times New Roman" w:cs="Times New Roman"/>
                <w:sz w:val="24"/>
                <w:szCs w:val="24"/>
                <w:lang w:eastAsia="lv-LV"/>
              </w:rPr>
            </w:pPr>
          </w:p>
        </w:tc>
      </w:tr>
      <w:tr w:rsidR="000F5EDB" w:rsidRPr="000F5EDB"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0F5EDB" w:rsidRDefault="007F6B1C" w:rsidP="000D2380">
            <w:pPr>
              <w:pStyle w:val="naisnod"/>
              <w:spacing w:before="0" w:beforeAutospacing="0" w:after="0" w:afterAutospacing="0"/>
              <w:ind w:left="57" w:right="57"/>
              <w:jc w:val="both"/>
            </w:pPr>
            <w:r w:rsidRPr="000F5EDB">
              <w:t>3.</w:t>
            </w:r>
          </w:p>
        </w:tc>
        <w:tc>
          <w:tcPr>
            <w:tcW w:w="3615" w:type="dxa"/>
            <w:tcBorders>
              <w:top w:val="single" w:sz="4" w:space="0" w:color="auto"/>
              <w:left w:val="single" w:sz="4" w:space="0" w:color="auto"/>
              <w:bottom w:val="single" w:sz="4" w:space="0" w:color="auto"/>
              <w:right w:val="single" w:sz="4" w:space="0" w:color="auto"/>
            </w:tcBorders>
          </w:tcPr>
          <w:p w:rsidR="007F6B1C" w:rsidRPr="000F5EDB" w:rsidRDefault="007F6B1C" w:rsidP="000D2380">
            <w:pPr>
              <w:pStyle w:val="naisf"/>
              <w:spacing w:before="0" w:beforeAutospacing="0" w:after="0" w:afterAutospacing="0"/>
              <w:ind w:left="57" w:right="57"/>
            </w:pPr>
            <w:r w:rsidRPr="000F5EDB">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0F5EDB" w:rsidRDefault="00E53494" w:rsidP="000D2380">
            <w:pPr>
              <w:spacing w:after="0" w:line="240" w:lineRule="auto"/>
              <w:ind w:left="57" w:right="57"/>
              <w:jc w:val="both"/>
              <w:rPr>
                <w:rFonts w:ascii="Times New Roman" w:hAnsi="Times New Roman" w:cs="Times New Roman"/>
                <w:sz w:val="24"/>
                <w:szCs w:val="24"/>
                <w:lang w:eastAsia="lv-LV"/>
              </w:rPr>
            </w:pPr>
            <w:r w:rsidRPr="000F5EDB">
              <w:rPr>
                <w:rFonts w:ascii="Times New Roman" w:hAnsi="Times New Roman" w:cs="Times New Roman"/>
                <w:sz w:val="24"/>
                <w:szCs w:val="24"/>
              </w:rPr>
              <w:t>Nav.</w:t>
            </w:r>
          </w:p>
        </w:tc>
      </w:tr>
    </w:tbl>
    <w:p w:rsidR="005128C9" w:rsidRPr="000F5EDB" w:rsidRDefault="005128C9" w:rsidP="005128C9">
      <w:pPr>
        <w:pStyle w:val="naisf"/>
        <w:spacing w:before="0" w:beforeAutospacing="0" w:after="0" w:afterAutospacing="0"/>
      </w:pPr>
      <w:r w:rsidRPr="000F5EDB">
        <w:t xml:space="preserve">Anotācijas II, IV, V, </w:t>
      </w:r>
      <w:r w:rsidRPr="000F5EDB">
        <w:rPr>
          <w:bCs/>
        </w:rPr>
        <w:t xml:space="preserve">VI </w:t>
      </w:r>
      <w:r w:rsidRPr="000F5EDB">
        <w:t>sadaļa – projekts šīs jomas neskar.</w:t>
      </w:r>
    </w:p>
    <w:p w:rsidR="005128C9" w:rsidRPr="000F5EDB" w:rsidRDefault="005128C9" w:rsidP="005128C9">
      <w:pPr>
        <w:spacing w:after="0" w:line="240" w:lineRule="auto"/>
        <w:ind w:left="283" w:firstLine="437"/>
        <w:rPr>
          <w:rFonts w:ascii="Times New Roman" w:hAnsi="Times New Roman" w:cs="Times New Roman"/>
          <w:sz w:val="28"/>
          <w:szCs w:val="28"/>
        </w:rPr>
      </w:pPr>
    </w:p>
    <w:p w:rsidR="00A67847" w:rsidRP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Iekšlietu ministra pienākumu izpildītājs,</w:t>
      </w:r>
    </w:p>
    <w:p w:rsidR="00A67847" w:rsidRP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ekonomikas ministrs</w:t>
      </w:r>
      <w:r w:rsidRPr="00A67847">
        <w:rPr>
          <w:rFonts w:ascii="Times New Roman" w:hAnsi="Times New Roman" w:cs="Times New Roman"/>
          <w:sz w:val="28"/>
          <w:szCs w:val="28"/>
        </w:rPr>
        <w:tab/>
      </w:r>
      <w:r w:rsidRPr="00A67847">
        <w:rPr>
          <w:rFonts w:ascii="Times New Roman" w:hAnsi="Times New Roman" w:cs="Times New Roman"/>
          <w:sz w:val="28"/>
          <w:szCs w:val="28"/>
        </w:rPr>
        <w:tab/>
      </w:r>
      <w:r w:rsidRPr="00A67847">
        <w:rPr>
          <w:rFonts w:ascii="Times New Roman" w:hAnsi="Times New Roman" w:cs="Times New Roman"/>
          <w:sz w:val="28"/>
          <w:szCs w:val="28"/>
        </w:rPr>
        <w:tab/>
      </w:r>
      <w:r w:rsidRPr="00A67847">
        <w:rPr>
          <w:rFonts w:ascii="Times New Roman" w:hAnsi="Times New Roman" w:cs="Times New Roman"/>
          <w:sz w:val="28"/>
          <w:szCs w:val="28"/>
        </w:rPr>
        <w:tab/>
      </w:r>
      <w:r w:rsidRPr="00A67847">
        <w:rPr>
          <w:rFonts w:ascii="Times New Roman" w:hAnsi="Times New Roman" w:cs="Times New Roman"/>
          <w:sz w:val="28"/>
          <w:szCs w:val="28"/>
        </w:rPr>
        <w:tab/>
      </w:r>
      <w:r w:rsidRPr="00A67847">
        <w:rPr>
          <w:rFonts w:ascii="Times New Roman" w:hAnsi="Times New Roman" w:cs="Times New Roman"/>
          <w:sz w:val="28"/>
          <w:szCs w:val="28"/>
        </w:rPr>
        <w:tab/>
      </w:r>
      <w:r w:rsidRPr="00A67847">
        <w:rPr>
          <w:rFonts w:ascii="Times New Roman" w:hAnsi="Times New Roman" w:cs="Times New Roman"/>
          <w:sz w:val="28"/>
          <w:szCs w:val="28"/>
        </w:rPr>
        <w:tab/>
      </w:r>
      <w:proofErr w:type="spellStart"/>
      <w:r w:rsidRPr="00A67847">
        <w:rPr>
          <w:rFonts w:ascii="Times New Roman" w:hAnsi="Times New Roman" w:cs="Times New Roman"/>
          <w:sz w:val="28"/>
          <w:szCs w:val="28"/>
        </w:rPr>
        <w:t>V.Dombrovskis</w:t>
      </w:r>
      <w:proofErr w:type="spellEnd"/>
    </w:p>
    <w:p w:rsidR="00A67847" w:rsidRPr="00A67847" w:rsidRDefault="00A67847" w:rsidP="00A67847">
      <w:pPr>
        <w:spacing w:after="0" w:line="240" w:lineRule="auto"/>
        <w:rPr>
          <w:rFonts w:ascii="Times New Roman" w:hAnsi="Times New Roman" w:cs="Times New Roman"/>
          <w:sz w:val="28"/>
          <w:szCs w:val="28"/>
        </w:rPr>
      </w:pPr>
    </w:p>
    <w:p w:rsidR="00A67847" w:rsidRP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 xml:space="preserve">Vīza: Valsts </w:t>
      </w:r>
      <w:r w:rsidR="00325D4B">
        <w:rPr>
          <w:rFonts w:ascii="Times New Roman" w:hAnsi="Times New Roman" w:cs="Times New Roman"/>
          <w:sz w:val="28"/>
          <w:szCs w:val="28"/>
        </w:rPr>
        <w:t>sekretāre</w:t>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t>I.Pētersone</w:t>
      </w:r>
      <w:r w:rsidR="00325D4B">
        <w:rPr>
          <w:rFonts w:ascii="Times New Roman" w:hAnsi="Times New Roman" w:cs="Times New Roman"/>
          <w:sz w:val="28"/>
          <w:szCs w:val="28"/>
        </w:rPr>
        <w:sym w:font="Symbol" w:char="F02D"/>
      </w:r>
      <w:proofErr w:type="spellStart"/>
      <w:r w:rsidR="00325D4B">
        <w:rPr>
          <w:rFonts w:ascii="Times New Roman" w:hAnsi="Times New Roman" w:cs="Times New Roman"/>
          <w:sz w:val="28"/>
          <w:szCs w:val="28"/>
        </w:rPr>
        <w:t>Godmane</w:t>
      </w:r>
      <w:proofErr w:type="spellEnd"/>
    </w:p>
    <w:p w:rsidR="00AF709E" w:rsidRDefault="00AF709E" w:rsidP="008A74AC">
      <w:pPr>
        <w:pStyle w:val="naisf"/>
        <w:spacing w:before="0" w:beforeAutospacing="0" w:after="0" w:afterAutospacing="0"/>
        <w:ind w:left="57" w:right="57"/>
      </w:pPr>
    </w:p>
    <w:p w:rsidR="00AF709E" w:rsidRDefault="00AF709E" w:rsidP="008A74AC">
      <w:pPr>
        <w:pStyle w:val="naisf"/>
        <w:spacing w:before="0" w:beforeAutospacing="0" w:after="0" w:afterAutospacing="0"/>
        <w:ind w:left="57" w:right="57"/>
      </w:pPr>
      <w:bookmarkStart w:id="4" w:name="_GoBack"/>
      <w:bookmarkEnd w:id="4"/>
    </w:p>
    <w:p w:rsidR="00AF709E" w:rsidRDefault="00AF709E" w:rsidP="008A74AC">
      <w:pPr>
        <w:pStyle w:val="naisf"/>
        <w:spacing w:before="0" w:beforeAutospacing="0" w:after="0" w:afterAutospacing="0"/>
        <w:ind w:left="57" w:right="57"/>
      </w:pPr>
    </w:p>
    <w:p w:rsidR="00AF709E" w:rsidRPr="008A74AC" w:rsidRDefault="00AF709E" w:rsidP="008A74AC">
      <w:pPr>
        <w:pStyle w:val="naisf"/>
        <w:spacing w:before="0" w:beforeAutospacing="0" w:after="0" w:afterAutospacing="0"/>
        <w:ind w:left="57" w:right="57"/>
      </w:pPr>
    </w:p>
    <w:p w:rsidR="005128C9" w:rsidRPr="000F5EDB" w:rsidRDefault="00EC0E20" w:rsidP="005128C9">
      <w:pPr>
        <w:pStyle w:val="naisf"/>
        <w:spacing w:before="0" w:beforeAutospacing="0" w:after="0" w:afterAutospacing="0"/>
        <w:rPr>
          <w:sz w:val="20"/>
          <w:szCs w:val="20"/>
        </w:rPr>
      </w:pPr>
      <w:r w:rsidRPr="000F5EDB">
        <w:rPr>
          <w:sz w:val="20"/>
          <w:szCs w:val="20"/>
        </w:rPr>
        <w:fldChar w:fldCharType="begin"/>
      </w:r>
      <w:r w:rsidR="005128C9" w:rsidRPr="000F5EDB">
        <w:rPr>
          <w:sz w:val="20"/>
          <w:szCs w:val="20"/>
          <w:lang w:val="ru-RU"/>
        </w:rPr>
        <w:instrText xml:space="preserve"> TIME \@ "dd.MM.yyyy H:mm" </w:instrText>
      </w:r>
      <w:r w:rsidRPr="000F5EDB">
        <w:rPr>
          <w:sz w:val="20"/>
          <w:szCs w:val="20"/>
        </w:rPr>
        <w:fldChar w:fldCharType="separate"/>
      </w:r>
      <w:r w:rsidR="00335A12">
        <w:rPr>
          <w:noProof/>
          <w:sz w:val="20"/>
          <w:szCs w:val="20"/>
          <w:lang w:val="ru-RU"/>
        </w:rPr>
        <w:t>04.03.2014 11:49</w:t>
      </w:r>
      <w:r w:rsidRPr="000F5EDB">
        <w:rPr>
          <w:sz w:val="20"/>
          <w:szCs w:val="20"/>
        </w:rPr>
        <w:fldChar w:fldCharType="end"/>
      </w:r>
    </w:p>
    <w:p w:rsidR="005128C9" w:rsidRPr="000F5EDB" w:rsidRDefault="00B834D1" w:rsidP="005128C9">
      <w:pPr>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001209DA" w:rsidRPr="001209DA">
        <w:rPr>
          <w:rFonts w:ascii="Times New Roman" w:hAnsi="Times New Roman" w:cs="Times New Roman"/>
          <w:noProof/>
          <w:sz w:val="20"/>
          <w:szCs w:val="20"/>
        </w:rPr>
        <w:t>1542</w:t>
      </w:r>
      <w:r>
        <w:rPr>
          <w:rFonts w:ascii="Times New Roman" w:hAnsi="Times New Roman" w:cs="Times New Roman"/>
          <w:noProof/>
          <w:sz w:val="20"/>
          <w:szCs w:val="20"/>
        </w:rPr>
        <w:fldChar w:fldCharType="end"/>
      </w:r>
    </w:p>
    <w:p w:rsidR="00AF6FD6" w:rsidRDefault="00AF6FD6" w:rsidP="00A3364E">
      <w:pPr>
        <w:pStyle w:val="naisf"/>
        <w:spacing w:before="0" w:beforeAutospacing="0" w:after="0" w:afterAutospacing="0"/>
        <w:rPr>
          <w:noProof/>
          <w:sz w:val="20"/>
          <w:szCs w:val="20"/>
          <w:lang w:val="en-US"/>
        </w:rPr>
      </w:pPr>
      <w:r>
        <w:rPr>
          <w:noProof/>
          <w:sz w:val="20"/>
          <w:szCs w:val="20"/>
          <w:lang w:val="en-US"/>
        </w:rPr>
        <w:t>A.Strode</w:t>
      </w:r>
    </w:p>
    <w:p w:rsidR="007F6B1C" w:rsidRPr="000F5EDB" w:rsidRDefault="00A3364E" w:rsidP="00DF66DD">
      <w:pPr>
        <w:pStyle w:val="naisf"/>
        <w:spacing w:before="0" w:beforeAutospacing="0" w:after="0" w:afterAutospacing="0"/>
      </w:pPr>
      <w:r w:rsidRPr="000F5EDB">
        <w:rPr>
          <w:noProof/>
          <w:sz w:val="20"/>
          <w:szCs w:val="20"/>
          <w:lang w:val="en-US"/>
        </w:rPr>
        <w:t>6721960</w:t>
      </w:r>
      <w:r w:rsidR="00AF6FD6">
        <w:rPr>
          <w:noProof/>
          <w:sz w:val="20"/>
          <w:szCs w:val="20"/>
          <w:lang w:val="en-US"/>
        </w:rPr>
        <w:t xml:space="preserve">2, </w:t>
      </w:r>
      <w:hyperlink r:id="rId11" w:history="1">
        <w:r w:rsidR="00AF6FD6" w:rsidRPr="00FB128B">
          <w:rPr>
            <w:rStyle w:val="Hyperlink"/>
            <w:noProof/>
            <w:sz w:val="20"/>
            <w:szCs w:val="20"/>
            <w:lang w:val="en-US"/>
          </w:rPr>
          <w:t>alda.strode@iem.gov.lv</w:t>
        </w:r>
      </w:hyperlink>
    </w:p>
    <w:sectPr w:rsidR="007F6B1C" w:rsidRPr="000F5EDB" w:rsidSect="00855CB7">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D1" w:rsidRDefault="00B834D1" w:rsidP="00A61504">
      <w:pPr>
        <w:spacing w:after="0" w:line="240" w:lineRule="auto"/>
      </w:pPr>
      <w:r>
        <w:separator/>
      </w:r>
    </w:p>
  </w:endnote>
  <w:endnote w:type="continuationSeparator" w:id="0">
    <w:p w:rsidR="00B834D1" w:rsidRDefault="00B834D1"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F" w:rsidRPr="00BA6CFF" w:rsidRDefault="00EC0E20" w:rsidP="00BA6CFF">
    <w:pPr>
      <w:pStyle w:val="NormalWeb"/>
      <w:spacing w:before="0" w:beforeAutospacing="0" w:after="0" w:afterAutospacing="0"/>
      <w:jc w:val="both"/>
      <w:rPr>
        <w:noProof/>
        <w:sz w:val="18"/>
        <w:szCs w:val="18"/>
      </w:rPr>
    </w:pPr>
    <w:r w:rsidRPr="008B5BA6">
      <w:rPr>
        <w:sz w:val="18"/>
        <w:szCs w:val="18"/>
      </w:rPr>
      <w:fldChar w:fldCharType="begin"/>
    </w:r>
    <w:r w:rsidR="00A61504" w:rsidRPr="008B5BA6">
      <w:rPr>
        <w:sz w:val="18"/>
        <w:szCs w:val="18"/>
      </w:rPr>
      <w:instrText xml:space="preserve"> FILENAME </w:instrText>
    </w:r>
    <w:r w:rsidRPr="008B5BA6">
      <w:rPr>
        <w:sz w:val="18"/>
        <w:szCs w:val="18"/>
      </w:rPr>
      <w:fldChar w:fldCharType="separate"/>
    </w:r>
    <w:r w:rsidR="00335A12">
      <w:rPr>
        <w:noProof/>
        <w:sz w:val="18"/>
        <w:szCs w:val="18"/>
      </w:rPr>
      <w:t>IEMAnot_040314_adm</w:t>
    </w:r>
    <w:r w:rsidRPr="008B5BA6">
      <w:rPr>
        <w:sz w:val="18"/>
        <w:szCs w:val="18"/>
      </w:rPr>
      <w:fldChar w:fldCharType="end"/>
    </w:r>
    <w:r w:rsidR="00A61504" w:rsidRPr="008B5BA6">
      <w:rPr>
        <w:sz w:val="18"/>
        <w:szCs w:val="18"/>
      </w:rPr>
      <w:t xml:space="preserve">; </w:t>
    </w:r>
    <w:r w:rsidR="00BA6CFF" w:rsidRPr="00BA6CFF">
      <w:rPr>
        <w:noProof/>
        <w:sz w:val="18"/>
        <w:szCs w:val="18"/>
      </w:rPr>
      <w:t xml:space="preserve">Rīkojuma projekta „Par finanšu līdzekļu piešķiršanu no valsts budžeta programmas „Līdzekļi neparedzētiem gadījumiem”” sākotnējās ietekmes novērtējuma </w:t>
    </w:r>
    <w:smartTag w:uri="schemas-tilde-lv/tildestengine" w:element="veidnes">
      <w:smartTagPr>
        <w:attr w:name="id" w:val="-1"/>
        <w:attr w:name="baseform" w:val="ziņojums"/>
        <w:attr w:name="text" w:val="ziņojums"/>
      </w:smartTagPr>
      <w:r w:rsidR="00BA6CFF" w:rsidRPr="00BA6CFF">
        <w:rPr>
          <w:noProof/>
          <w:sz w:val="18"/>
          <w:szCs w:val="18"/>
        </w:rPr>
        <w:t>ziņojums</w:t>
      </w:r>
    </w:smartTag>
    <w:r w:rsidR="00BA6CFF" w:rsidRPr="00BA6CFF">
      <w:rPr>
        <w:noProof/>
        <w:sz w:val="18"/>
        <w:szCs w:val="18"/>
      </w:rPr>
      <w:t xml:space="preserve"> (anotācija)</w:t>
    </w:r>
  </w:p>
  <w:p w:rsidR="00A61504" w:rsidRPr="00A61504" w:rsidRDefault="00A61504" w:rsidP="00A61504">
    <w:pPr>
      <w:pStyle w:val="NormalWeb"/>
      <w:spacing w:before="0" w:beforeAutospacing="0" w:after="0" w:afterAutospacing="0"/>
      <w:jc w:val="both"/>
      <w:rPr>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F" w:rsidRPr="00BA6CFF" w:rsidRDefault="00EC0E20" w:rsidP="00BA6CFF">
    <w:pPr>
      <w:pStyle w:val="NormalWeb"/>
      <w:spacing w:before="0" w:beforeAutospacing="0" w:after="0" w:afterAutospacing="0"/>
      <w:jc w:val="both"/>
      <w:rPr>
        <w:noProof/>
        <w:sz w:val="18"/>
        <w:szCs w:val="18"/>
      </w:rPr>
    </w:pPr>
    <w:r w:rsidRPr="008B5BA6">
      <w:rPr>
        <w:sz w:val="18"/>
        <w:szCs w:val="18"/>
      </w:rPr>
      <w:fldChar w:fldCharType="begin"/>
    </w:r>
    <w:r w:rsidR="003E708D" w:rsidRPr="008B5BA6">
      <w:rPr>
        <w:sz w:val="18"/>
        <w:szCs w:val="18"/>
      </w:rPr>
      <w:instrText xml:space="preserve"> FILENAME </w:instrText>
    </w:r>
    <w:r w:rsidRPr="008B5BA6">
      <w:rPr>
        <w:sz w:val="18"/>
        <w:szCs w:val="18"/>
      </w:rPr>
      <w:fldChar w:fldCharType="separate"/>
    </w:r>
    <w:r w:rsidR="00335A12">
      <w:rPr>
        <w:noProof/>
        <w:sz w:val="18"/>
        <w:szCs w:val="18"/>
      </w:rPr>
      <w:t>IEMAnot_040314_adm</w:t>
    </w:r>
    <w:r w:rsidRPr="008B5BA6">
      <w:rPr>
        <w:sz w:val="18"/>
        <w:szCs w:val="18"/>
      </w:rPr>
      <w:fldChar w:fldCharType="end"/>
    </w:r>
    <w:r w:rsidR="003E708D" w:rsidRPr="008B5BA6">
      <w:rPr>
        <w:sz w:val="18"/>
        <w:szCs w:val="18"/>
      </w:rPr>
      <w:t xml:space="preserve">; </w:t>
    </w:r>
    <w:r w:rsidR="00BA6CFF" w:rsidRPr="00BA6CFF">
      <w:rPr>
        <w:noProof/>
        <w:sz w:val="18"/>
        <w:szCs w:val="18"/>
      </w:rPr>
      <w:t xml:space="preserve">Rīkojuma projekta „Par finanšu līdzekļu piešķiršanu no valsts budžeta programmas „Līdzekļi neparedzētiem gadījumiem”” sākotnējās ietekmes novērtējuma </w:t>
    </w:r>
    <w:smartTag w:uri="schemas-tilde-lv/tildestengine" w:element="veidnes">
      <w:smartTagPr>
        <w:attr w:name="id" w:val="-1"/>
        <w:attr w:name="baseform" w:val="ziņojums"/>
        <w:attr w:name="text" w:val="ziņojums"/>
      </w:smartTagPr>
      <w:r w:rsidR="00BA6CFF" w:rsidRPr="00BA6CFF">
        <w:rPr>
          <w:noProof/>
          <w:sz w:val="18"/>
          <w:szCs w:val="18"/>
        </w:rPr>
        <w:t>ziņojums</w:t>
      </w:r>
    </w:smartTag>
    <w:r w:rsidR="00BA6CFF" w:rsidRPr="00BA6CFF">
      <w:rPr>
        <w:noProof/>
        <w:sz w:val="18"/>
        <w:szCs w:val="18"/>
      </w:rPr>
      <w:t xml:space="preserve"> (anotācija)</w:t>
    </w:r>
  </w:p>
  <w:p w:rsidR="003E708D" w:rsidRDefault="003E708D" w:rsidP="00BA6CFF">
    <w:pPr>
      <w:pStyle w:val="NormalWeb"/>
      <w:spacing w:before="0" w:beforeAutospacing="0" w:after="0" w:afterAutospacing="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D1" w:rsidRDefault="00B834D1" w:rsidP="00A61504">
      <w:pPr>
        <w:spacing w:after="0" w:line="240" w:lineRule="auto"/>
      </w:pPr>
      <w:r>
        <w:separator/>
      </w:r>
    </w:p>
  </w:footnote>
  <w:footnote w:type="continuationSeparator" w:id="0">
    <w:p w:rsidR="00B834D1" w:rsidRDefault="00B834D1"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55CB7" w:rsidRPr="00855CB7" w:rsidRDefault="00EC0E20">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00855CB7"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1209DA">
          <w:rPr>
            <w:rFonts w:ascii="Times New Roman" w:hAnsi="Times New Roman" w:cs="Times New Roman"/>
            <w:noProof/>
            <w:sz w:val="20"/>
            <w:szCs w:val="20"/>
          </w:rPr>
          <w:t>5</w:t>
        </w:r>
        <w:r w:rsidRPr="00855CB7">
          <w:rPr>
            <w:rFonts w:ascii="Times New Roman" w:hAnsi="Times New Roman" w:cs="Times New Roman"/>
            <w:noProof/>
            <w:sz w:val="20"/>
            <w:szCs w:val="20"/>
          </w:rPr>
          <w:fldChar w:fldCharType="end"/>
        </w:r>
      </w:p>
    </w:sdtContent>
  </w:sdt>
  <w:p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16AB4"/>
    <w:rsid w:val="00041784"/>
    <w:rsid w:val="00082DC3"/>
    <w:rsid w:val="000852C4"/>
    <w:rsid w:val="00096ACC"/>
    <w:rsid w:val="000A0997"/>
    <w:rsid w:val="000E63B9"/>
    <w:rsid w:val="000F5EDB"/>
    <w:rsid w:val="001209DA"/>
    <w:rsid w:val="001220EE"/>
    <w:rsid w:val="001240D5"/>
    <w:rsid w:val="00156B92"/>
    <w:rsid w:val="00180D09"/>
    <w:rsid w:val="001822D6"/>
    <w:rsid w:val="001A0E71"/>
    <w:rsid w:val="001B04E2"/>
    <w:rsid w:val="001F3CC6"/>
    <w:rsid w:val="00206EB2"/>
    <w:rsid w:val="00224BF5"/>
    <w:rsid w:val="00230741"/>
    <w:rsid w:val="002402A6"/>
    <w:rsid w:val="00245A2A"/>
    <w:rsid w:val="002462D0"/>
    <w:rsid w:val="00270810"/>
    <w:rsid w:val="002B0525"/>
    <w:rsid w:val="002F5DBA"/>
    <w:rsid w:val="003200D4"/>
    <w:rsid w:val="00325D4B"/>
    <w:rsid w:val="00335A12"/>
    <w:rsid w:val="00354570"/>
    <w:rsid w:val="00373337"/>
    <w:rsid w:val="003B7958"/>
    <w:rsid w:val="003C197A"/>
    <w:rsid w:val="003C2F8A"/>
    <w:rsid w:val="003D06C8"/>
    <w:rsid w:val="003D511A"/>
    <w:rsid w:val="003E708D"/>
    <w:rsid w:val="00436B92"/>
    <w:rsid w:val="00437605"/>
    <w:rsid w:val="00443B51"/>
    <w:rsid w:val="00503555"/>
    <w:rsid w:val="005128C9"/>
    <w:rsid w:val="00532841"/>
    <w:rsid w:val="005328A6"/>
    <w:rsid w:val="00546D87"/>
    <w:rsid w:val="00577823"/>
    <w:rsid w:val="00577B1B"/>
    <w:rsid w:val="00584A28"/>
    <w:rsid w:val="00585ADC"/>
    <w:rsid w:val="005A23F1"/>
    <w:rsid w:val="005C463B"/>
    <w:rsid w:val="005F147F"/>
    <w:rsid w:val="00605782"/>
    <w:rsid w:val="0066329A"/>
    <w:rsid w:val="006661D5"/>
    <w:rsid w:val="00682C86"/>
    <w:rsid w:val="006879ED"/>
    <w:rsid w:val="00690AE4"/>
    <w:rsid w:val="006B4385"/>
    <w:rsid w:val="006D5B51"/>
    <w:rsid w:val="006F293E"/>
    <w:rsid w:val="00722701"/>
    <w:rsid w:val="00731279"/>
    <w:rsid w:val="00737EE0"/>
    <w:rsid w:val="0078619B"/>
    <w:rsid w:val="007B64C4"/>
    <w:rsid w:val="007D3F9D"/>
    <w:rsid w:val="007F6B1C"/>
    <w:rsid w:val="00855CB7"/>
    <w:rsid w:val="00855DBD"/>
    <w:rsid w:val="008761BB"/>
    <w:rsid w:val="00892E48"/>
    <w:rsid w:val="008A74AC"/>
    <w:rsid w:val="008B054B"/>
    <w:rsid w:val="008C285E"/>
    <w:rsid w:val="008D69F2"/>
    <w:rsid w:val="008E35AE"/>
    <w:rsid w:val="0093413E"/>
    <w:rsid w:val="0095358D"/>
    <w:rsid w:val="00974374"/>
    <w:rsid w:val="009B24CA"/>
    <w:rsid w:val="009B4769"/>
    <w:rsid w:val="009E0EA3"/>
    <w:rsid w:val="00A3364E"/>
    <w:rsid w:val="00A36A71"/>
    <w:rsid w:val="00A5227C"/>
    <w:rsid w:val="00A566F7"/>
    <w:rsid w:val="00A61504"/>
    <w:rsid w:val="00A62D4E"/>
    <w:rsid w:val="00A67847"/>
    <w:rsid w:val="00A77665"/>
    <w:rsid w:val="00A85A6B"/>
    <w:rsid w:val="00AD1C43"/>
    <w:rsid w:val="00AF0E63"/>
    <w:rsid w:val="00AF6FD6"/>
    <w:rsid w:val="00AF709E"/>
    <w:rsid w:val="00AF792F"/>
    <w:rsid w:val="00B26B50"/>
    <w:rsid w:val="00B3221A"/>
    <w:rsid w:val="00B4568A"/>
    <w:rsid w:val="00B834D1"/>
    <w:rsid w:val="00BA6CFF"/>
    <w:rsid w:val="00BD7652"/>
    <w:rsid w:val="00BE3027"/>
    <w:rsid w:val="00C12B7A"/>
    <w:rsid w:val="00C40A99"/>
    <w:rsid w:val="00C85076"/>
    <w:rsid w:val="00C9130D"/>
    <w:rsid w:val="00CD6B8D"/>
    <w:rsid w:val="00CF707C"/>
    <w:rsid w:val="00D5794E"/>
    <w:rsid w:val="00D62AE2"/>
    <w:rsid w:val="00DE1A2B"/>
    <w:rsid w:val="00DE1E3E"/>
    <w:rsid w:val="00DF66DD"/>
    <w:rsid w:val="00E307F8"/>
    <w:rsid w:val="00E35508"/>
    <w:rsid w:val="00E53494"/>
    <w:rsid w:val="00E7737A"/>
    <w:rsid w:val="00E9092E"/>
    <w:rsid w:val="00EB0184"/>
    <w:rsid w:val="00EC0E20"/>
    <w:rsid w:val="00EE74BD"/>
    <w:rsid w:val="00F47DF8"/>
    <w:rsid w:val="00F569CA"/>
    <w:rsid w:val="00F62295"/>
    <w:rsid w:val="00F6405A"/>
    <w:rsid w:val="00F670AE"/>
    <w:rsid w:val="00F775EA"/>
    <w:rsid w:val="00F841AE"/>
    <w:rsid w:val="00FA66F6"/>
    <w:rsid w:val="00FB7D9C"/>
    <w:rsid w:val="00FC5C3B"/>
    <w:rsid w:val="00FD723F"/>
    <w:rsid w:val="00FE4E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27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da.strode@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202273" TargetMode="External"/><Relationship Id="rId4" Type="http://schemas.openxmlformats.org/officeDocument/2006/relationships/settings" Target="settings.xml"/><Relationship Id="rId9" Type="http://schemas.openxmlformats.org/officeDocument/2006/relationships/hyperlink" Target="http://likumi.lv/doc.php?id=20227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1595</Words>
  <Characters>10580</Characters>
  <Application>Microsoft Office Word</Application>
  <DocSecurity>0</DocSecurity>
  <Lines>440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Ieva Potjomkina</cp:lastModifiedBy>
  <cp:revision>7</cp:revision>
  <cp:lastPrinted>2014-03-04T09:49:00Z</cp:lastPrinted>
  <dcterms:created xsi:type="dcterms:W3CDTF">2014-03-03T07:53:00Z</dcterms:created>
  <dcterms:modified xsi:type="dcterms:W3CDTF">2014-03-04T09:49:00Z</dcterms:modified>
</cp:coreProperties>
</file>