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4C" w:rsidRPr="007E6EE5" w:rsidRDefault="00A3354C" w:rsidP="001A594A">
      <w:pPr>
        <w:jc w:val="center"/>
        <w:rPr>
          <w:b/>
          <w:sz w:val="28"/>
          <w:szCs w:val="28"/>
        </w:rPr>
      </w:pPr>
      <w:r w:rsidRPr="007E6EE5">
        <w:rPr>
          <w:b/>
          <w:sz w:val="28"/>
          <w:szCs w:val="28"/>
        </w:rPr>
        <w:t>Ministru kabineta noteikumu projekta</w:t>
      </w:r>
    </w:p>
    <w:p w:rsidR="00A3354C" w:rsidRPr="007E6EE5" w:rsidRDefault="00D17527" w:rsidP="00A3354C">
      <w:pPr>
        <w:jc w:val="center"/>
        <w:rPr>
          <w:b/>
          <w:bCs/>
          <w:sz w:val="28"/>
          <w:szCs w:val="28"/>
        </w:rPr>
      </w:pPr>
      <w:r w:rsidRPr="007E6EE5">
        <w:rPr>
          <w:b/>
          <w:sz w:val="28"/>
          <w:szCs w:val="28"/>
        </w:rPr>
        <w:t>„Grozījumi</w:t>
      </w:r>
      <w:r w:rsidR="00A3354C" w:rsidRPr="007E6EE5">
        <w:rPr>
          <w:b/>
          <w:sz w:val="28"/>
          <w:szCs w:val="28"/>
        </w:rPr>
        <w:t xml:space="preserve"> Ministru kabineta 2009.gada 14.jūlija noteikumos Nr.775  "</w:t>
      </w:r>
      <w:r w:rsidR="00A3354C" w:rsidRPr="007E6EE5">
        <w:rPr>
          <w:b/>
          <w:bCs/>
          <w:sz w:val="28"/>
          <w:szCs w:val="28"/>
        </w:rPr>
        <w:t>Vispārējās un profesionālās izglītības programmu licencēšanas kārtība</w:t>
      </w:r>
      <w:r w:rsidR="00A3354C" w:rsidRPr="007E6EE5">
        <w:rPr>
          <w:b/>
          <w:sz w:val="28"/>
          <w:szCs w:val="28"/>
        </w:rPr>
        <w:t>”</w:t>
      </w:r>
      <w:r w:rsidR="00A3354C" w:rsidRPr="007E6EE5">
        <w:rPr>
          <w:b/>
          <w:bCs/>
          <w:sz w:val="28"/>
          <w:szCs w:val="28"/>
        </w:rPr>
        <w:t>” sākotnējās ietekmes novērtējuma ziņojums</w:t>
      </w:r>
      <w:r w:rsidR="00A3354C" w:rsidRPr="007E6EE5">
        <w:rPr>
          <w:b/>
          <w:sz w:val="28"/>
          <w:szCs w:val="28"/>
        </w:rPr>
        <w:t xml:space="preserve"> </w:t>
      </w:r>
      <w:r w:rsidR="00A3354C" w:rsidRPr="007E6EE5">
        <w:rPr>
          <w:b/>
          <w:bCs/>
          <w:sz w:val="28"/>
          <w:szCs w:val="28"/>
        </w:rPr>
        <w:t>(anotācija)</w:t>
      </w:r>
    </w:p>
    <w:p w:rsidR="00A3354C" w:rsidRPr="007E6EE5" w:rsidRDefault="00A3354C" w:rsidP="00A3354C">
      <w:pPr>
        <w:pStyle w:val="naisc"/>
        <w:spacing w:before="0" w:after="0"/>
        <w:jc w:val="left"/>
        <w:rPr>
          <w:b/>
          <w:bCs/>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2976"/>
        <w:gridCol w:w="5684"/>
      </w:tblGrid>
      <w:tr w:rsidR="007E6EE5" w:rsidRPr="007E6EE5" w:rsidTr="006E78FD">
        <w:trPr>
          <w:trHeight w:val="53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A3354C" w:rsidRPr="007E6EE5" w:rsidRDefault="00A3354C" w:rsidP="006E78FD">
            <w:pPr>
              <w:spacing w:before="100" w:beforeAutospacing="1" w:after="100" w:afterAutospacing="1"/>
              <w:jc w:val="center"/>
              <w:rPr>
                <w:sz w:val="28"/>
                <w:szCs w:val="28"/>
              </w:rPr>
            </w:pPr>
            <w:bookmarkStart w:id="0" w:name="OLE_LINK3"/>
            <w:bookmarkStart w:id="1" w:name="OLE_LINK1"/>
            <w:bookmarkStart w:id="2" w:name="OLE_LINK2"/>
            <w:bookmarkStart w:id="3" w:name="OLE_LINK4"/>
            <w:r w:rsidRPr="007E6EE5">
              <w:rPr>
                <w:b/>
                <w:bCs/>
                <w:sz w:val="28"/>
                <w:szCs w:val="28"/>
              </w:rPr>
              <w:t>I. Tiesību akta projekta izstrādes nepieciešamība</w:t>
            </w:r>
          </w:p>
        </w:tc>
      </w:tr>
      <w:tr w:rsidR="007E6EE5" w:rsidRPr="007E6EE5" w:rsidTr="00B810BF">
        <w:trPr>
          <w:trHeight w:val="1328"/>
          <w:tblCellSpacing w:w="0" w:type="dxa"/>
        </w:trPr>
        <w:tc>
          <w:tcPr>
            <w:tcW w:w="441" w:type="dxa"/>
            <w:tcBorders>
              <w:top w:val="outset" w:sz="6" w:space="0" w:color="auto"/>
              <w:left w:val="outset" w:sz="6" w:space="0" w:color="auto"/>
              <w:bottom w:val="outset" w:sz="6" w:space="0" w:color="auto"/>
              <w:right w:val="outset" w:sz="6" w:space="0" w:color="auto"/>
            </w:tcBorders>
          </w:tcPr>
          <w:p w:rsidR="00A3354C" w:rsidRPr="007E6EE5" w:rsidRDefault="00A3354C" w:rsidP="006E78FD">
            <w:pPr>
              <w:spacing w:before="100" w:beforeAutospacing="1" w:after="100" w:afterAutospacing="1"/>
              <w:rPr>
                <w:sz w:val="28"/>
                <w:szCs w:val="28"/>
              </w:rPr>
            </w:pPr>
            <w:r w:rsidRPr="007E6EE5">
              <w:rPr>
                <w:sz w:val="28"/>
                <w:szCs w:val="28"/>
              </w:rPr>
              <w:t> 1.</w:t>
            </w:r>
          </w:p>
        </w:tc>
        <w:tc>
          <w:tcPr>
            <w:tcW w:w="2976" w:type="dxa"/>
            <w:tcBorders>
              <w:top w:val="outset" w:sz="6" w:space="0" w:color="auto"/>
              <w:left w:val="outset" w:sz="6" w:space="0" w:color="auto"/>
              <w:bottom w:val="outset" w:sz="6" w:space="0" w:color="auto"/>
              <w:right w:val="outset" w:sz="6" w:space="0" w:color="auto"/>
            </w:tcBorders>
          </w:tcPr>
          <w:p w:rsidR="00A3354C" w:rsidRPr="007E6EE5" w:rsidRDefault="00A3354C" w:rsidP="006E78FD">
            <w:pPr>
              <w:spacing w:before="100" w:beforeAutospacing="1" w:after="100" w:afterAutospacing="1"/>
              <w:rPr>
                <w:sz w:val="28"/>
                <w:szCs w:val="28"/>
              </w:rPr>
            </w:pPr>
            <w:r w:rsidRPr="007E6EE5">
              <w:rPr>
                <w:sz w:val="28"/>
                <w:szCs w:val="28"/>
              </w:rPr>
              <w:t> Pamatojums</w:t>
            </w:r>
          </w:p>
        </w:tc>
        <w:tc>
          <w:tcPr>
            <w:tcW w:w="5684" w:type="dxa"/>
            <w:tcBorders>
              <w:top w:val="outset" w:sz="6" w:space="0" w:color="auto"/>
              <w:left w:val="outset" w:sz="6" w:space="0" w:color="auto"/>
              <w:bottom w:val="outset" w:sz="6" w:space="0" w:color="auto"/>
              <w:right w:val="outset" w:sz="6" w:space="0" w:color="auto"/>
            </w:tcBorders>
            <w:vAlign w:val="center"/>
          </w:tcPr>
          <w:p w:rsidR="00A3354C" w:rsidRPr="007E6EE5" w:rsidRDefault="00880F30" w:rsidP="00B810BF">
            <w:pPr>
              <w:ind w:right="140"/>
              <w:jc w:val="both"/>
              <w:rPr>
                <w:sz w:val="28"/>
                <w:szCs w:val="28"/>
              </w:rPr>
            </w:pPr>
            <w:r w:rsidRPr="007E6EE5">
              <w:rPr>
                <w:sz w:val="28"/>
                <w:szCs w:val="28"/>
              </w:rPr>
              <w:t>Atbilstoši likumprojekta „Apsardzes</w:t>
            </w:r>
            <w:r w:rsidR="00A841E7">
              <w:rPr>
                <w:sz w:val="28"/>
                <w:szCs w:val="28"/>
              </w:rPr>
              <w:t xml:space="preserve"> darbības likums” (Saeimas reģ.</w:t>
            </w:r>
            <w:bookmarkStart w:id="4" w:name="_GoBack"/>
            <w:bookmarkEnd w:id="4"/>
            <w:r w:rsidRPr="007E6EE5">
              <w:rPr>
                <w:sz w:val="28"/>
                <w:szCs w:val="28"/>
              </w:rPr>
              <w:t>Nr.740/Lp</w:t>
            </w:r>
            <w:r w:rsidR="00700F69">
              <w:rPr>
                <w:sz w:val="28"/>
                <w:szCs w:val="28"/>
              </w:rPr>
              <w:t>11) (turpmāk – likumprojekts) 18</w:t>
            </w:r>
            <w:r w:rsidRPr="007E6EE5">
              <w:rPr>
                <w:sz w:val="28"/>
                <w:szCs w:val="28"/>
              </w:rPr>
              <w:t>.panta trešajai daļai (2.lasījumā pieņemtajā redakcijā), Izglītības likuma aktuālās redakcijas 1.panta 11.punktam un saskaņā ar Ministru kabineta 2012.gada 31.jūlija noteikumos Nr.533 „Noteikumi par valsts pirmsskolas izglītības vadlīnijām”, Ministru kabineta 2013.gada 6.augusta noteikumos Nr.530 „Noteikumi par valsts pamatizglītības standartu, pamatizglītības mācību priekšmetu standartiem un pamatizglītības programmu paraugiem”, Ministru kabineta 2013.gada 21.maija noteikumos Nr.281 „Noteikumi par valsts vispārējās vidējās izglītības standartu, mācību priekšmetu standartiem un izglītības programmu paraugiem” noteikto regulējumu ir mainīta vispārējās un profesionālās izglītības programmas licencēšana, nosakot, ka licenci izglītības programmas īstenošanai var saņemt ne tikai izglītības iestāde, bet arī citas Izglītības likumā noteiktas institūcijas, kā arī paredzot, ka turpmāk Ministru kabinets noteiks izglītības programmu paraugus, līdz ar to ir nepieciešams grozīt Ministru kabineta 2009.gada 14.jūlija noteikumus Nr.775 „Vispārējās un profesionālās izglītības programmu licencēšanas kārtība” (turpmāk – MK noteikumi Nr.775).</w:t>
            </w:r>
          </w:p>
        </w:tc>
      </w:tr>
      <w:tr w:rsidR="007E6EE5" w:rsidRPr="007E6EE5" w:rsidTr="006E78FD">
        <w:trPr>
          <w:trHeight w:val="472"/>
          <w:tblCellSpacing w:w="0" w:type="dxa"/>
        </w:trPr>
        <w:tc>
          <w:tcPr>
            <w:tcW w:w="441" w:type="dxa"/>
            <w:tcBorders>
              <w:top w:val="outset" w:sz="6" w:space="0" w:color="auto"/>
              <w:left w:val="outset" w:sz="6" w:space="0" w:color="auto"/>
              <w:bottom w:val="outset" w:sz="6" w:space="0" w:color="auto"/>
              <w:right w:val="outset" w:sz="6" w:space="0" w:color="auto"/>
            </w:tcBorders>
          </w:tcPr>
          <w:p w:rsidR="00A3354C" w:rsidRPr="007E6EE5" w:rsidRDefault="00A3354C" w:rsidP="006E78FD">
            <w:pPr>
              <w:spacing w:before="100" w:beforeAutospacing="1" w:after="100" w:afterAutospacing="1"/>
              <w:rPr>
                <w:sz w:val="28"/>
                <w:szCs w:val="28"/>
              </w:rPr>
            </w:pPr>
            <w:r w:rsidRPr="007E6EE5">
              <w:rPr>
                <w:sz w:val="28"/>
                <w:szCs w:val="28"/>
              </w:rPr>
              <w:t> 2.</w:t>
            </w:r>
          </w:p>
        </w:tc>
        <w:tc>
          <w:tcPr>
            <w:tcW w:w="2976" w:type="dxa"/>
            <w:tcBorders>
              <w:top w:val="outset" w:sz="6" w:space="0" w:color="auto"/>
              <w:left w:val="outset" w:sz="6" w:space="0" w:color="auto"/>
              <w:bottom w:val="outset" w:sz="6" w:space="0" w:color="auto"/>
              <w:right w:val="outset" w:sz="6" w:space="0" w:color="auto"/>
            </w:tcBorders>
          </w:tcPr>
          <w:p w:rsidR="00A3354C" w:rsidRPr="007E6EE5" w:rsidRDefault="00A3354C" w:rsidP="006E78FD">
            <w:pPr>
              <w:spacing w:before="100" w:beforeAutospacing="1" w:after="100" w:afterAutospacing="1"/>
              <w:rPr>
                <w:sz w:val="28"/>
                <w:szCs w:val="28"/>
              </w:rPr>
            </w:pPr>
            <w:r w:rsidRPr="007E6EE5">
              <w:rPr>
                <w:sz w:val="28"/>
                <w:szCs w:val="28"/>
              </w:rPr>
              <w:t> Pašreizējā situācija un problēmas</w:t>
            </w:r>
          </w:p>
        </w:tc>
        <w:tc>
          <w:tcPr>
            <w:tcW w:w="5684" w:type="dxa"/>
            <w:tcBorders>
              <w:top w:val="outset" w:sz="6" w:space="0" w:color="auto"/>
              <w:left w:val="outset" w:sz="6" w:space="0" w:color="auto"/>
              <w:bottom w:val="outset" w:sz="6" w:space="0" w:color="auto"/>
              <w:right w:val="outset" w:sz="6" w:space="0" w:color="auto"/>
            </w:tcBorders>
          </w:tcPr>
          <w:p w:rsidR="005B6202" w:rsidRPr="00422141" w:rsidRDefault="005343B8" w:rsidP="005B6202">
            <w:pPr>
              <w:jc w:val="both"/>
              <w:rPr>
                <w:sz w:val="28"/>
                <w:szCs w:val="28"/>
              </w:rPr>
            </w:pPr>
            <w:r w:rsidRPr="007E6EE5">
              <w:rPr>
                <w:sz w:val="28"/>
                <w:szCs w:val="28"/>
              </w:rPr>
              <w:t xml:space="preserve">1) </w:t>
            </w:r>
            <w:r w:rsidR="005B6202" w:rsidRPr="007E6EE5">
              <w:rPr>
                <w:sz w:val="28"/>
                <w:szCs w:val="28"/>
              </w:rPr>
              <w:t xml:space="preserve">Šobrīd MK noteikumu Nr.775. 2.punktā ir noteikts, ka saņemt licenci izglītības programmas īstenošanai var tikai izglītības iestāde, </w:t>
            </w:r>
            <w:r w:rsidR="005B6202" w:rsidRPr="00422141">
              <w:rPr>
                <w:sz w:val="28"/>
                <w:szCs w:val="28"/>
              </w:rPr>
              <w:t>iesniedz</w:t>
            </w:r>
            <w:r w:rsidR="005B6202">
              <w:rPr>
                <w:sz w:val="28"/>
                <w:szCs w:val="28"/>
              </w:rPr>
              <w:t>ot</w:t>
            </w:r>
            <w:r w:rsidR="005B6202" w:rsidRPr="00422141">
              <w:rPr>
                <w:sz w:val="28"/>
                <w:szCs w:val="28"/>
              </w:rPr>
              <w:t xml:space="preserve"> Izglītības kvalitātes valst</w:t>
            </w:r>
            <w:r w:rsidR="005B6202">
              <w:rPr>
                <w:sz w:val="28"/>
                <w:szCs w:val="28"/>
              </w:rPr>
              <w:t xml:space="preserve">s dienestā </w:t>
            </w:r>
            <w:r w:rsidR="005B6202" w:rsidRPr="00422141">
              <w:rPr>
                <w:sz w:val="28"/>
                <w:szCs w:val="28"/>
              </w:rPr>
              <w:t>iesniegumu vispārējās izglītības prog</w:t>
            </w:r>
            <w:r w:rsidR="005B6202">
              <w:rPr>
                <w:sz w:val="28"/>
                <w:szCs w:val="28"/>
              </w:rPr>
              <w:t xml:space="preserve">rammu īstenošanai </w:t>
            </w:r>
            <w:r w:rsidR="005B6202" w:rsidRPr="00422141">
              <w:rPr>
                <w:sz w:val="28"/>
                <w:szCs w:val="28"/>
              </w:rPr>
              <w:t>vai profesionālās izglītības pro</w:t>
            </w:r>
            <w:r w:rsidR="005B6202">
              <w:rPr>
                <w:sz w:val="28"/>
                <w:szCs w:val="28"/>
              </w:rPr>
              <w:t>grammu īstenošanai</w:t>
            </w:r>
            <w:r w:rsidR="005B6202" w:rsidRPr="00422141">
              <w:rPr>
                <w:sz w:val="28"/>
                <w:szCs w:val="28"/>
              </w:rPr>
              <w:t>.</w:t>
            </w:r>
            <w:r w:rsidR="005B6202">
              <w:rPr>
                <w:sz w:val="28"/>
                <w:szCs w:val="28"/>
              </w:rPr>
              <w:t xml:space="preserve"> S</w:t>
            </w:r>
            <w:r w:rsidR="005B6202" w:rsidRPr="007E6EE5">
              <w:rPr>
                <w:sz w:val="28"/>
                <w:szCs w:val="28"/>
              </w:rPr>
              <w:t xml:space="preserve">avukārt Izglītības likuma 1.panta 11.punktā un 36.panta pirmajā daļā </w:t>
            </w:r>
            <w:r w:rsidR="005B6202">
              <w:rPr>
                <w:sz w:val="28"/>
                <w:szCs w:val="28"/>
              </w:rPr>
              <w:t>ir paredzētas</w:t>
            </w:r>
            <w:r w:rsidR="005B6202" w:rsidRPr="007E6EE5">
              <w:rPr>
                <w:sz w:val="28"/>
                <w:szCs w:val="28"/>
              </w:rPr>
              <w:t xml:space="preserve"> tiesības </w:t>
            </w:r>
            <w:r w:rsidR="005B6202">
              <w:rPr>
                <w:sz w:val="28"/>
                <w:szCs w:val="28"/>
              </w:rPr>
              <w:t xml:space="preserve">īstenot </w:t>
            </w:r>
            <w:r w:rsidR="005B6202">
              <w:rPr>
                <w:sz w:val="28"/>
                <w:szCs w:val="28"/>
              </w:rPr>
              <w:lastRenderedPageBreak/>
              <w:t xml:space="preserve">izglītības programmas </w:t>
            </w:r>
            <w:r w:rsidR="005B6202" w:rsidRPr="007E6EE5">
              <w:rPr>
                <w:sz w:val="28"/>
                <w:szCs w:val="28"/>
              </w:rPr>
              <w:t>arī c</w:t>
            </w:r>
            <w:r w:rsidR="004E42EA">
              <w:rPr>
                <w:sz w:val="28"/>
                <w:szCs w:val="28"/>
              </w:rPr>
              <w:t>itām Izglītības likumā noteikt</w:t>
            </w:r>
            <w:r w:rsidR="005B6202" w:rsidRPr="007E6EE5">
              <w:rPr>
                <w:sz w:val="28"/>
                <w:szCs w:val="28"/>
              </w:rPr>
              <w:t>ām institūcijām</w:t>
            </w:r>
            <w:r w:rsidR="005B6202">
              <w:rPr>
                <w:sz w:val="28"/>
                <w:szCs w:val="28"/>
              </w:rPr>
              <w:t xml:space="preserve"> (biedrībai, nodibinājumam, amatu meistaru darbnīcai, studijai</w:t>
            </w:r>
            <w:r w:rsidR="005B6202" w:rsidRPr="00422141">
              <w:rPr>
                <w:sz w:val="28"/>
                <w:szCs w:val="28"/>
              </w:rPr>
              <w:t xml:space="preserve"> vai</w:t>
            </w:r>
            <w:r w:rsidR="005B6202">
              <w:rPr>
                <w:sz w:val="28"/>
                <w:szCs w:val="28"/>
              </w:rPr>
              <w:t xml:space="preserve"> Nacionālo bruņoto spēku vienībai). Pamatojoties uz minēto, </w:t>
            </w:r>
            <w:r w:rsidR="005B6202" w:rsidRPr="007E6EE5">
              <w:rPr>
                <w:sz w:val="28"/>
                <w:szCs w:val="28"/>
              </w:rPr>
              <w:t>nepieciešams MK noteikumu Nr.775 2.punktu papildināt ar vārdiem „vai cita Izglītības likumā noteikta institūcija” (turpmāk – izglītības iestāde).</w:t>
            </w:r>
          </w:p>
          <w:p w:rsidR="005B6202" w:rsidRPr="00573F42" w:rsidRDefault="005343B8" w:rsidP="005B6202">
            <w:pPr>
              <w:jc w:val="both"/>
              <w:rPr>
                <w:sz w:val="28"/>
                <w:szCs w:val="28"/>
              </w:rPr>
            </w:pPr>
            <w:r w:rsidRPr="007E6EE5">
              <w:rPr>
                <w:sz w:val="28"/>
                <w:szCs w:val="28"/>
              </w:rPr>
              <w:t xml:space="preserve">2) </w:t>
            </w:r>
            <w:r w:rsidR="005B6202" w:rsidRPr="007E6EE5">
              <w:rPr>
                <w:sz w:val="28"/>
                <w:szCs w:val="28"/>
              </w:rPr>
              <w:t xml:space="preserve">Atbilstoši Izglītības likuma 14.panta 19.punktam </w:t>
            </w:r>
            <w:r w:rsidR="00211094">
              <w:rPr>
                <w:sz w:val="28"/>
                <w:szCs w:val="28"/>
              </w:rPr>
              <w:t>Ministru kabinets</w:t>
            </w:r>
            <w:r w:rsidR="005B6202">
              <w:rPr>
                <w:sz w:val="28"/>
                <w:szCs w:val="28"/>
              </w:rPr>
              <w:t xml:space="preserve"> </w:t>
            </w:r>
            <w:r w:rsidR="005B6202" w:rsidRPr="00573F42">
              <w:rPr>
                <w:sz w:val="28"/>
                <w:szCs w:val="28"/>
              </w:rPr>
              <w:t>nosaka valsts izglītības standartus, kuros ietverti šo standartu prasībām atbilstoši izglītības programmu paraugi, izņemot profesionālās izglītības programmu paraugus un akadēmiskā</w:t>
            </w:r>
            <w:r w:rsidR="005B6202">
              <w:rPr>
                <w:sz w:val="28"/>
                <w:szCs w:val="28"/>
              </w:rPr>
              <w:t xml:space="preserve">s izglītības programmu paraugus. Savukārt, atbilstoši MK noteikumu Nr.775 4.punktam un 1.pielikuma daļas „Piezīmes” 1.punktam </w:t>
            </w:r>
            <w:r w:rsidR="005B6202" w:rsidRPr="00573F42">
              <w:rPr>
                <w:sz w:val="28"/>
                <w:szCs w:val="28"/>
              </w:rPr>
              <w:t>izglītības programmu, kas izstrādāta atbilstoši Izglītī</w:t>
            </w:r>
            <w:r w:rsidR="005B6202">
              <w:rPr>
                <w:sz w:val="28"/>
                <w:szCs w:val="28"/>
              </w:rPr>
              <w:t xml:space="preserve">bas likumā noteiktajām prasībām </w:t>
            </w:r>
            <w:r w:rsidR="005B6202" w:rsidRPr="00573F42">
              <w:rPr>
                <w:sz w:val="28"/>
                <w:szCs w:val="28"/>
              </w:rPr>
              <w:t>nepievieno, ja izglītības iestāde iesniegumā norāda, ka īstenos Izglītības un zinātnes ministrijas izstrādātajam programmas paraugam atbilstošu vispārējās izglītības programmu.</w:t>
            </w:r>
            <w:r w:rsidR="005B6202">
              <w:rPr>
                <w:sz w:val="28"/>
                <w:szCs w:val="28"/>
              </w:rPr>
              <w:t xml:space="preserve"> No minētā izriet, ka nepieciešams aizstāt Izglītības un zinātnes ministrijas kompetenci izstrādāt</w:t>
            </w:r>
            <w:r w:rsidR="005B6202" w:rsidRPr="00573F42">
              <w:rPr>
                <w:sz w:val="28"/>
                <w:szCs w:val="28"/>
              </w:rPr>
              <w:t xml:space="preserve"> </w:t>
            </w:r>
            <w:r w:rsidR="005B6202">
              <w:rPr>
                <w:sz w:val="28"/>
                <w:szCs w:val="28"/>
              </w:rPr>
              <w:t>izglītības programmas paraugus ar Ministru kabineta kompetenci</w:t>
            </w:r>
            <w:r w:rsidR="004C4034">
              <w:rPr>
                <w:sz w:val="28"/>
                <w:szCs w:val="28"/>
              </w:rPr>
              <w:t xml:space="preserve"> dotajā jautājumā</w:t>
            </w:r>
            <w:r w:rsidR="005B6202">
              <w:rPr>
                <w:sz w:val="28"/>
                <w:szCs w:val="28"/>
              </w:rPr>
              <w:t xml:space="preserve">, aizstājot </w:t>
            </w:r>
            <w:r w:rsidR="005B6202" w:rsidRPr="007E6EE5">
              <w:rPr>
                <w:sz w:val="28"/>
                <w:szCs w:val="28"/>
              </w:rPr>
              <w:t>MK noteikumu Nr.775 4.punktā un 1.pielikuma d</w:t>
            </w:r>
            <w:r w:rsidR="005B6202">
              <w:rPr>
                <w:sz w:val="28"/>
                <w:szCs w:val="28"/>
              </w:rPr>
              <w:t xml:space="preserve">aļā „Piezīmes” 1.punktā </w:t>
            </w:r>
            <w:r w:rsidR="005B6202" w:rsidRPr="007E6EE5">
              <w:rPr>
                <w:sz w:val="28"/>
                <w:szCs w:val="28"/>
              </w:rPr>
              <w:t>vārdus „Izglītības un zinātnes ministrijas izstrādātajam” ar vārdiem „normatīvajos aktos noteiktajam”.</w:t>
            </w:r>
          </w:p>
          <w:p w:rsidR="005343B8" w:rsidRPr="007E6EE5" w:rsidRDefault="005343B8" w:rsidP="005343B8">
            <w:pPr>
              <w:tabs>
                <w:tab w:val="left" w:pos="720"/>
                <w:tab w:val="left" w:pos="1843"/>
                <w:tab w:val="left" w:pos="6946"/>
              </w:tabs>
              <w:jc w:val="both"/>
              <w:rPr>
                <w:sz w:val="28"/>
                <w:szCs w:val="28"/>
              </w:rPr>
            </w:pPr>
            <w:r w:rsidRPr="007E6EE5">
              <w:rPr>
                <w:sz w:val="28"/>
                <w:szCs w:val="28"/>
              </w:rPr>
              <w:t>3) MK noteikumu Nr.775 5.punktā ir noteiktas profesionālās izglītības programmas, kuras licencējamas, ja ir saņemts kompetentās institūcijas saskaņojums. Ņemot vērā, ka MK noteikumu Nr.775 5.punktā noteiktais uzskaitījums neaptver visu profesionālās izglītības programmu loku (piemēram, profesionālās izglītības programmas</w:t>
            </w:r>
            <w:r w:rsidR="00D20DED" w:rsidRPr="007E6EE5">
              <w:rPr>
                <w:sz w:val="28"/>
                <w:szCs w:val="28"/>
              </w:rPr>
              <w:t xml:space="preserve"> civilās aviācijas drošības jomā</w:t>
            </w:r>
            <w:r w:rsidRPr="007E6EE5">
              <w:rPr>
                <w:sz w:val="28"/>
                <w:szCs w:val="28"/>
              </w:rPr>
              <w:t>, sabiedrības veselības jomā), tad tas ir papildināms, vienlaikus nosakot kompetentās institūcijas, kas sniedz attiecīgos saskaņojumus (piemēram,</w:t>
            </w:r>
            <w:r w:rsidR="00D20DED" w:rsidRPr="007E6EE5">
              <w:rPr>
                <w:sz w:val="28"/>
                <w:szCs w:val="28"/>
              </w:rPr>
              <w:t xml:space="preserve"> civilās aviācijas drošības </w:t>
            </w:r>
            <w:r w:rsidRPr="007E6EE5">
              <w:rPr>
                <w:sz w:val="28"/>
                <w:szCs w:val="28"/>
              </w:rPr>
              <w:t xml:space="preserve">jomā – valsts aģentūra „Civilās aviācijas aģentūra”, </w:t>
            </w:r>
            <w:r w:rsidRPr="007E6EE5">
              <w:rPr>
                <w:sz w:val="28"/>
                <w:szCs w:val="28"/>
              </w:rPr>
              <w:lastRenderedPageBreak/>
              <w:t>sabiedrības veselības jomā – Veselības ministrija).</w:t>
            </w:r>
          </w:p>
          <w:p w:rsidR="005343B8" w:rsidRPr="007E6EE5" w:rsidRDefault="008F0C9C" w:rsidP="005343B8">
            <w:pPr>
              <w:tabs>
                <w:tab w:val="left" w:pos="720"/>
                <w:tab w:val="left" w:pos="1843"/>
                <w:tab w:val="left" w:pos="6946"/>
              </w:tabs>
              <w:jc w:val="both"/>
              <w:rPr>
                <w:spacing w:val="-2"/>
                <w:sz w:val="28"/>
                <w:szCs w:val="28"/>
              </w:rPr>
            </w:pPr>
            <w:r w:rsidRPr="007E6EE5">
              <w:rPr>
                <w:sz w:val="28"/>
                <w:szCs w:val="28"/>
              </w:rPr>
              <w:t xml:space="preserve">4) </w:t>
            </w:r>
            <w:r w:rsidR="005343B8" w:rsidRPr="007E6EE5">
              <w:rPr>
                <w:sz w:val="28"/>
                <w:szCs w:val="28"/>
              </w:rPr>
              <w:t xml:space="preserve">Atbilstoši likumprojekta 1.pantam apsardzes darbinieks ir fiziska persona, kas saņēmusi apsardzes sertifikātu un veic apsardzes darbību. Likumprojekta 18.panta pirmā daļa nosaka, ka </w:t>
            </w:r>
            <w:r w:rsidR="005343B8" w:rsidRPr="007E6EE5">
              <w:rPr>
                <w:i/>
                <w:sz w:val="28"/>
                <w:szCs w:val="28"/>
              </w:rPr>
              <w:t>euro</w:t>
            </w:r>
            <w:r w:rsidR="005343B8" w:rsidRPr="007E6EE5">
              <w:rPr>
                <w:sz w:val="28"/>
                <w:szCs w:val="28"/>
              </w:rPr>
              <w:t xml:space="preserve"> skaidras naudas pārrobežu autopārvadājumus</w:t>
            </w:r>
            <w:r w:rsidR="005343B8" w:rsidRPr="007E6EE5">
              <w:rPr>
                <w:b/>
                <w:sz w:val="28"/>
                <w:szCs w:val="28"/>
              </w:rPr>
              <w:t xml:space="preserve"> </w:t>
            </w:r>
            <w:r w:rsidR="005343B8" w:rsidRPr="007E6EE5">
              <w:rPr>
                <w:sz w:val="28"/>
                <w:szCs w:val="28"/>
              </w:rPr>
              <w:t xml:space="preserve">var veikt apsardzes darbinieks, kas atbilst Eiropas Parlamenta un Padomes 2011.gada 16.novembra regulas Nr.1214/2011 par </w:t>
            </w:r>
            <w:r w:rsidR="005343B8" w:rsidRPr="007E6EE5">
              <w:rPr>
                <w:i/>
                <w:sz w:val="28"/>
                <w:szCs w:val="28"/>
              </w:rPr>
              <w:t>euro</w:t>
            </w:r>
            <w:r w:rsidR="005343B8" w:rsidRPr="007E6EE5">
              <w:rPr>
                <w:sz w:val="28"/>
                <w:szCs w:val="28"/>
              </w:rPr>
              <w:t xml:space="preserve"> skaidras naudas profesionāliem pārrobežu autopārvadājumiem starp eurozonas dalībvalstīm (turpmāk – regula Nr.1214/2011) 5.panta prasībām.</w:t>
            </w:r>
            <w:r w:rsidR="005343B8" w:rsidRPr="007E6EE5">
              <w:rPr>
                <w:spacing w:val="-2"/>
                <w:sz w:val="28"/>
                <w:szCs w:val="28"/>
              </w:rPr>
              <w:t xml:space="preserve"> Atbilstoši likump</w:t>
            </w:r>
            <w:r w:rsidR="005343B8" w:rsidRPr="007E6EE5">
              <w:rPr>
                <w:sz w:val="28"/>
                <w:szCs w:val="28"/>
              </w:rPr>
              <w:t>rojekta 18.panta otrajai un trešajai daļai pārrobežu skaidras naudas pārvadājumu apsardzes darbinieka sākotnējo apmācību saskaņā ar regulas Nr.1214/2011 5.panta 1.punkta c) apakšpunkta prasībām organizē juridiska persona, kura atbilstoši profesionālās izglītības programmu licencēšanas kārtību regulējošiem normatīvajiem aktiem, ir saņēmusi licenci, kas ļauj īstenot profesionālās izglītības programmu pārrobežu skaidras naudas pārvadājumu apsardzes darbinieka apmācībai, un rakstiski saskaņojusi mācību programmu ar Valsts policiju. Ministru kabineta noteikumu Nr.775 5.1.apakšpunkts nosaka, ka ar Valsts policiju ir saskaņojamas tās profesionālās izglītības programmas, pēc kuru apguves un kvalifikācijas pārbaudījuma nokārtošanas tiek izsniegts Apsardzes darbības likumā noteiktais apsardzes sertifikāts. Ņemot vērā to, ka par pārro</w:t>
            </w:r>
            <w:r w:rsidR="004E42EA">
              <w:rPr>
                <w:sz w:val="28"/>
                <w:szCs w:val="28"/>
              </w:rPr>
              <w:t>bežu skaidras naudas pārvadājumiem</w:t>
            </w:r>
            <w:r w:rsidR="005343B8" w:rsidRPr="007E6EE5">
              <w:rPr>
                <w:sz w:val="28"/>
                <w:szCs w:val="28"/>
              </w:rPr>
              <w:t xml:space="preserve"> apsardzes darbiniekam pēc sākotnējās apmācības apgūšanas un pārbaudījuma kārtošanas vairs neizsniegs apsardzes sertifikātu, jo tāds jau būs viņa rīcībā, bet </w:t>
            </w:r>
            <w:r w:rsidR="005343B8" w:rsidRPr="007E6EE5">
              <w:rPr>
                <w:spacing w:val="-2"/>
                <w:sz w:val="28"/>
                <w:szCs w:val="28"/>
              </w:rPr>
              <w:t xml:space="preserve">apsardzes komersants izsniegs apsardzes darbiniekam nodarbinātā apliecību, tajā norādot, ka apsardzes darbiniekam atļauts veikt </w:t>
            </w:r>
            <w:r w:rsidR="005343B8" w:rsidRPr="007E6EE5">
              <w:rPr>
                <w:i/>
                <w:spacing w:val="-2"/>
                <w:sz w:val="28"/>
                <w:szCs w:val="28"/>
              </w:rPr>
              <w:t xml:space="preserve">euro </w:t>
            </w:r>
            <w:r w:rsidR="005343B8" w:rsidRPr="007E6EE5">
              <w:rPr>
                <w:spacing w:val="-2"/>
                <w:sz w:val="28"/>
                <w:szCs w:val="28"/>
              </w:rPr>
              <w:t>skaidras naudas pārrobežu autopārvadājumus</w:t>
            </w:r>
            <w:r w:rsidR="005343B8" w:rsidRPr="007E6EE5">
              <w:rPr>
                <w:b/>
                <w:spacing w:val="-2"/>
                <w:sz w:val="28"/>
                <w:szCs w:val="28"/>
              </w:rPr>
              <w:t xml:space="preserve"> </w:t>
            </w:r>
            <w:r w:rsidR="005343B8" w:rsidRPr="007E6EE5">
              <w:rPr>
                <w:spacing w:val="-2"/>
                <w:sz w:val="28"/>
                <w:szCs w:val="28"/>
              </w:rPr>
              <w:t xml:space="preserve">saskaņā ar regulas Nr.1214/2011 prasībām, </w:t>
            </w:r>
            <w:r w:rsidR="005343B8" w:rsidRPr="007E6EE5">
              <w:rPr>
                <w:sz w:val="28"/>
                <w:szCs w:val="28"/>
              </w:rPr>
              <w:t>līdz ar to nepieciešams attiecīgi precizēt Ministru kabineta noteikumu Nr.775 5.1.apakšpunktu.</w:t>
            </w:r>
          </w:p>
          <w:p w:rsidR="005343B8" w:rsidRPr="007E6EE5" w:rsidRDefault="008F0C9C" w:rsidP="005343B8">
            <w:pPr>
              <w:tabs>
                <w:tab w:val="left" w:pos="720"/>
                <w:tab w:val="left" w:pos="1843"/>
                <w:tab w:val="left" w:pos="6946"/>
              </w:tabs>
              <w:jc w:val="both"/>
              <w:rPr>
                <w:sz w:val="28"/>
                <w:szCs w:val="28"/>
              </w:rPr>
            </w:pPr>
            <w:r w:rsidRPr="007E6EE5">
              <w:rPr>
                <w:sz w:val="28"/>
                <w:szCs w:val="28"/>
              </w:rPr>
              <w:lastRenderedPageBreak/>
              <w:t>5</w:t>
            </w:r>
            <w:r w:rsidR="005343B8" w:rsidRPr="007E6EE5">
              <w:rPr>
                <w:sz w:val="28"/>
                <w:szCs w:val="28"/>
              </w:rPr>
              <w:t>) Nepieciešams MK Noteikumu Nr.775 1.pielikuma daļu „Piezīmes” papildināt ar 3.punktu, norādot, „ja izglītības iestāde vispārējās izglītības programmas īstenošanai izvēlas kādu no noteiktajiem izglītības programmu paraugiem, tad pievieno izglītības programmas īstenošanas plānu.” Tādejādi izglītības programmas licencēšanas procesā ir iespēja pārliecināties, ka izglītības iestāde, iesniedzot izglītības programmu licencēšanai, ir ievērojusi arējos normatīvajos aktos noteikto, iekļaujot valsts izglītības standartos noteiktos obligātos mācību priekšmetus, kā arī plāno īstenot izglītības programmu atbilstoši tās mērķiem un uzdevumiem.</w:t>
            </w:r>
          </w:p>
        </w:tc>
      </w:tr>
      <w:tr w:rsidR="007E6EE5" w:rsidRPr="007E6EE5" w:rsidTr="006E78FD">
        <w:trPr>
          <w:trHeight w:val="688"/>
          <w:tblCellSpacing w:w="0" w:type="dxa"/>
        </w:trPr>
        <w:tc>
          <w:tcPr>
            <w:tcW w:w="441" w:type="dxa"/>
            <w:tcBorders>
              <w:top w:val="outset" w:sz="6" w:space="0" w:color="auto"/>
              <w:left w:val="outset" w:sz="6" w:space="0" w:color="auto"/>
              <w:bottom w:val="outset" w:sz="6" w:space="0" w:color="auto"/>
              <w:right w:val="outset" w:sz="6" w:space="0" w:color="auto"/>
            </w:tcBorders>
          </w:tcPr>
          <w:p w:rsidR="00A3354C" w:rsidRPr="007E6EE5" w:rsidRDefault="00A3354C" w:rsidP="006E78FD">
            <w:pPr>
              <w:spacing w:before="100" w:beforeAutospacing="1" w:after="100" w:afterAutospacing="1"/>
              <w:rPr>
                <w:sz w:val="28"/>
                <w:szCs w:val="28"/>
              </w:rPr>
            </w:pPr>
            <w:r w:rsidRPr="007E6EE5">
              <w:rPr>
                <w:sz w:val="28"/>
                <w:szCs w:val="28"/>
              </w:rPr>
              <w:lastRenderedPageBreak/>
              <w:t> 3.</w:t>
            </w:r>
          </w:p>
        </w:tc>
        <w:tc>
          <w:tcPr>
            <w:tcW w:w="2976" w:type="dxa"/>
            <w:tcBorders>
              <w:top w:val="outset" w:sz="6" w:space="0" w:color="auto"/>
              <w:left w:val="outset" w:sz="6" w:space="0" w:color="auto"/>
              <w:bottom w:val="outset" w:sz="6" w:space="0" w:color="auto"/>
              <w:right w:val="outset" w:sz="6" w:space="0" w:color="auto"/>
            </w:tcBorders>
          </w:tcPr>
          <w:p w:rsidR="00A3354C" w:rsidRPr="007E6EE5" w:rsidRDefault="00A3354C" w:rsidP="006E78FD">
            <w:pPr>
              <w:spacing w:before="100" w:beforeAutospacing="1" w:after="100" w:afterAutospacing="1"/>
              <w:rPr>
                <w:sz w:val="28"/>
                <w:szCs w:val="28"/>
              </w:rPr>
            </w:pPr>
            <w:r w:rsidRPr="007E6EE5">
              <w:rPr>
                <w:sz w:val="28"/>
                <w:szCs w:val="28"/>
              </w:rPr>
              <w:t> Saistītie politikas ietekmes novērtējumi un pētījumi</w:t>
            </w:r>
          </w:p>
        </w:tc>
        <w:tc>
          <w:tcPr>
            <w:tcW w:w="5684" w:type="dxa"/>
            <w:tcBorders>
              <w:top w:val="outset" w:sz="6" w:space="0" w:color="auto"/>
              <w:left w:val="outset" w:sz="6" w:space="0" w:color="auto"/>
              <w:bottom w:val="outset" w:sz="6" w:space="0" w:color="auto"/>
              <w:right w:val="outset" w:sz="6" w:space="0" w:color="auto"/>
            </w:tcBorders>
          </w:tcPr>
          <w:p w:rsidR="00A3354C" w:rsidRPr="007E6EE5" w:rsidRDefault="00A3354C" w:rsidP="006E78FD">
            <w:pPr>
              <w:ind w:right="57"/>
              <w:rPr>
                <w:sz w:val="28"/>
                <w:szCs w:val="28"/>
              </w:rPr>
            </w:pPr>
            <w:r w:rsidRPr="007E6EE5">
              <w:rPr>
                <w:sz w:val="28"/>
                <w:szCs w:val="28"/>
              </w:rPr>
              <w:t>Projekts šo jomu neskar.</w:t>
            </w:r>
          </w:p>
        </w:tc>
      </w:tr>
      <w:tr w:rsidR="007E6EE5" w:rsidRPr="007E6EE5" w:rsidTr="006E78FD">
        <w:trPr>
          <w:trHeight w:val="384"/>
          <w:tblCellSpacing w:w="0" w:type="dxa"/>
        </w:trPr>
        <w:tc>
          <w:tcPr>
            <w:tcW w:w="441" w:type="dxa"/>
            <w:tcBorders>
              <w:top w:val="outset" w:sz="6" w:space="0" w:color="auto"/>
              <w:left w:val="outset" w:sz="6" w:space="0" w:color="auto"/>
              <w:bottom w:val="outset" w:sz="6" w:space="0" w:color="auto"/>
              <w:right w:val="outset" w:sz="6" w:space="0" w:color="auto"/>
            </w:tcBorders>
          </w:tcPr>
          <w:p w:rsidR="00A3354C" w:rsidRPr="007E6EE5" w:rsidRDefault="00A3354C" w:rsidP="006E78FD">
            <w:pPr>
              <w:spacing w:before="100" w:beforeAutospacing="1" w:after="100" w:afterAutospacing="1"/>
              <w:rPr>
                <w:sz w:val="28"/>
                <w:szCs w:val="28"/>
              </w:rPr>
            </w:pPr>
            <w:r w:rsidRPr="007E6EE5">
              <w:rPr>
                <w:sz w:val="28"/>
                <w:szCs w:val="28"/>
              </w:rPr>
              <w:t> 4.</w:t>
            </w:r>
          </w:p>
        </w:tc>
        <w:tc>
          <w:tcPr>
            <w:tcW w:w="2976" w:type="dxa"/>
            <w:tcBorders>
              <w:top w:val="outset" w:sz="6" w:space="0" w:color="auto"/>
              <w:left w:val="outset" w:sz="6" w:space="0" w:color="auto"/>
              <w:bottom w:val="outset" w:sz="6" w:space="0" w:color="auto"/>
              <w:right w:val="outset" w:sz="6" w:space="0" w:color="auto"/>
            </w:tcBorders>
          </w:tcPr>
          <w:p w:rsidR="00A3354C" w:rsidRPr="007E6EE5" w:rsidRDefault="00A3354C" w:rsidP="006E78FD">
            <w:pPr>
              <w:spacing w:before="100" w:beforeAutospacing="1" w:after="100" w:afterAutospacing="1"/>
              <w:rPr>
                <w:sz w:val="28"/>
                <w:szCs w:val="28"/>
              </w:rPr>
            </w:pPr>
            <w:r w:rsidRPr="007E6EE5">
              <w:rPr>
                <w:sz w:val="28"/>
                <w:szCs w:val="28"/>
              </w:rPr>
              <w:t> Tiesiskā regulējuma mērķis un būtība</w:t>
            </w:r>
          </w:p>
        </w:tc>
        <w:tc>
          <w:tcPr>
            <w:tcW w:w="5684" w:type="dxa"/>
            <w:tcBorders>
              <w:top w:val="outset" w:sz="6" w:space="0" w:color="auto"/>
              <w:left w:val="outset" w:sz="6" w:space="0" w:color="auto"/>
              <w:bottom w:val="outset" w:sz="6" w:space="0" w:color="auto"/>
              <w:right w:val="outset" w:sz="6" w:space="0" w:color="auto"/>
            </w:tcBorders>
          </w:tcPr>
          <w:p w:rsidR="00211094" w:rsidRDefault="00211094" w:rsidP="00211094">
            <w:pPr>
              <w:pStyle w:val="naisf"/>
              <w:ind w:right="140" w:firstLine="0"/>
              <w:rPr>
                <w:sz w:val="28"/>
                <w:szCs w:val="28"/>
              </w:rPr>
            </w:pPr>
            <w:r>
              <w:rPr>
                <w:sz w:val="28"/>
                <w:szCs w:val="28"/>
              </w:rPr>
              <w:t>1)</w:t>
            </w:r>
            <w:r w:rsidR="004C4034">
              <w:rPr>
                <w:sz w:val="28"/>
                <w:szCs w:val="28"/>
              </w:rPr>
              <w:t xml:space="preserve"> </w:t>
            </w:r>
            <w:r>
              <w:rPr>
                <w:sz w:val="28"/>
                <w:szCs w:val="28"/>
              </w:rPr>
              <w:t>Atbilstoši Izglītības likuma 1.panta 11.punktā</w:t>
            </w:r>
            <w:r w:rsidRPr="007E6EE5">
              <w:rPr>
                <w:sz w:val="28"/>
                <w:szCs w:val="28"/>
              </w:rPr>
              <w:t xml:space="preserve"> un 36.panta </w:t>
            </w:r>
            <w:r>
              <w:rPr>
                <w:sz w:val="28"/>
                <w:szCs w:val="28"/>
              </w:rPr>
              <w:t>pirmajā daļā paredzētajai kārtībai, licenci</w:t>
            </w:r>
            <w:r w:rsidRPr="006700FA">
              <w:rPr>
                <w:sz w:val="28"/>
                <w:szCs w:val="28"/>
              </w:rPr>
              <w:t xml:space="preserve"> </w:t>
            </w:r>
            <w:r w:rsidRPr="00422141">
              <w:rPr>
                <w:sz w:val="28"/>
                <w:szCs w:val="28"/>
              </w:rPr>
              <w:t>izglītības prog</w:t>
            </w:r>
            <w:r>
              <w:rPr>
                <w:sz w:val="28"/>
                <w:szCs w:val="28"/>
              </w:rPr>
              <w:t>rammu īstenošanai var saņemt ne tikai izglītības iestāde, bet arī citas Izglītības likumā noteiktās institūcijas (biedrības, nodibinājumi, amatu meistaru darbnīcas, studijas</w:t>
            </w:r>
            <w:r w:rsidRPr="00422141">
              <w:rPr>
                <w:sz w:val="28"/>
                <w:szCs w:val="28"/>
              </w:rPr>
              <w:t xml:space="preserve"> vai</w:t>
            </w:r>
            <w:r>
              <w:rPr>
                <w:sz w:val="28"/>
                <w:szCs w:val="28"/>
              </w:rPr>
              <w:t xml:space="preserve"> Nacionālo bruņoto spēku vienības). Līdz ar to ir nepieciešams paplašināt </w:t>
            </w:r>
            <w:r w:rsidRPr="007E6EE5">
              <w:rPr>
                <w:sz w:val="28"/>
                <w:szCs w:val="28"/>
              </w:rPr>
              <w:t xml:space="preserve">MK noteikumu Nr.775. 2.punktā </w:t>
            </w:r>
            <w:r>
              <w:rPr>
                <w:sz w:val="28"/>
                <w:szCs w:val="28"/>
              </w:rPr>
              <w:t>paredzētās tiesības tikai izglītības iestādēm</w:t>
            </w:r>
            <w:r w:rsidRPr="007E6EE5">
              <w:rPr>
                <w:sz w:val="28"/>
                <w:szCs w:val="28"/>
              </w:rPr>
              <w:t xml:space="preserve"> saņemt licenci izglītības p</w:t>
            </w:r>
            <w:r>
              <w:rPr>
                <w:sz w:val="28"/>
                <w:szCs w:val="28"/>
              </w:rPr>
              <w:t>rogrammu īstenošanai.</w:t>
            </w:r>
          </w:p>
          <w:p w:rsidR="004C4034" w:rsidRDefault="00211094" w:rsidP="004C4034">
            <w:pPr>
              <w:pStyle w:val="naisf"/>
              <w:ind w:right="140" w:firstLine="0"/>
              <w:rPr>
                <w:sz w:val="28"/>
                <w:szCs w:val="28"/>
              </w:rPr>
            </w:pPr>
            <w:r>
              <w:rPr>
                <w:sz w:val="28"/>
                <w:szCs w:val="28"/>
              </w:rPr>
              <w:t>2)</w:t>
            </w:r>
            <w:r w:rsidR="004C4034" w:rsidRPr="007E6EE5">
              <w:rPr>
                <w:sz w:val="28"/>
                <w:szCs w:val="28"/>
              </w:rPr>
              <w:t xml:space="preserve"> Atbilstoši Izglī</w:t>
            </w:r>
            <w:r w:rsidR="004C4034">
              <w:rPr>
                <w:sz w:val="28"/>
                <w:szCs w:val="28"/>
              </w:rPr>
              <w:t>tības likuma 14.panta 19.punktam</w:t>
            </w:r>
            <w:r w:rsidR="004C4034" w:rsidRPr="007E6EE5">
              <w:rPr>
                <w:sz w:val="28"/>
                <w:szCs w:val="28"/>
              </w:rPr>
              <w:t xml:space="preserve"> </w:t>
            </w:r>
            <w:r w:rsidR="004C4034">
              <w:rPr>
                <w:sz w:val="28"/>
                <w:szCs w:val="28"/>
              </w:rPr>
              <w:t xml:space="preserve">Ministru kabinets </w:t>
            </w:r>
            <w:r w:rsidR="004C4034" w:rsidRPr="00573F42">
              <w:rPr>
                <w:sz w:val="28"/>
                <w:szCs w:val="28"/>
              </w:rPr>
              <w:t>nosaka valsts izglītības standartus, kuros ietverti šo standartu prasībām atbilstoši izglītības programmu paraugi</w:t>
            </w:r>
            <w:r w:rsidR="004C4034">
              <w:rPr>
                <w:sz w:val="28"/>
                <w:szCs w:val="28"/>
              </w:rPr>
              <w:t xml:space="preserve">. Savukārt MK noteikumu Nr.775 4.punktā </w:t>
            </w:r>
            <w:r w:rsidR="004C4034" w:rsidRPr="007E6EE5">
              <w:rPr>
                <w:sz w:val="28"/>
                <w:szCs w:val="28"/>
              </w:rPr>
              <w:t>un 1.pielikuma d</w:t>
            </w:r>
            <w:r w:rsidR="004C4034">
              <w:rPr>
                <w:sz w:val="28"/>
                <w:szCs w:val="28"/>
              </w:rPr>
              <w:t xml:space="preserve">aļā „Piezīmes” 1.punktā ir paredzēta tikai Izglītības un zinātnes ministrijas kompetence šo jautājumu risināšanā. No turienes izriet nepieciešamība novērst pretrunu starp normatīvajiem aktiem, attiecinot uz Ministru kabineta kompetenci tiesības noteikt valsts izglītības standartus, kuros ir ietverti šo standartu prasībām atbilstoši izglītības </w:t>
            </w:r>
            <w:r w:rsidR="004C4034">
              <w:rPr>
                <w:sz w:val="28"/>
                <w:szCs w:val="28"/>
              </w:rPr>
              <w:lastRenderedPageBreak/>
              <w:t>programmu paraugi.</w:t>
            </w:r>
          </w:p>
          <w:p w:rsidR="000444A2" w:rsidRDefault="000444A2" w:rsidP="000444A2">
            <w:pPr>
              <w:pStyle w:val="naisf"/>
              <w:ind w:right="140" w:firstLine="0"/>
              <w:rPr>
                <w:sz w:val="28"/>
                <w:szCs w:val="28"/>
              </w:rPr>
            </w:pPr>
            <w:r>
              <w:rPr>
                <w:sz w:val="28"/>
                <w:szCs w:val="28"/>
              </w:rPr>
              <w:t>3) Sakarā ar profesionālās izglītības programmu plašu diapazonu, ir nepieciešams paplašināt to subjektu loku, kuras</w:t>
            </w:r>
            <w:r w:rsidRPr="001521E2">
              <w:rPr>
                <w:sz w:val="28"/>
                <w:szCs w:val="28"/>
              </w:rPr>
              <w:t xml:space="preserve"> </w:t>
            </w:r>
            <w:r>
              <w:rPr>
                <w:sz w:val="28"/>
                <w:szCs w:val="28"/>
              </w:rPr>
              <w:t>gatavo atzinumus tādu izglītības programmu saskaņošanai saskaņā ar MK noteikumu Nr.775 5.punktu.</w:t>
            </w:r>
          </w:p>
          <w:p w:rsidR="00F77B22" w:rsidRDefault="00F77B22" w:rsidP="00F77B22">
            <w:pPr>
              <w:pStyle w:val="naisf"/>
              <w:ind w:right="140" w:firstLine="0"/>
              <w:rPr>
                <w:sz w:val="28"/>
                <w:szCs w:val="28"/>
              </w:rPr>
            </w:pPr>
            <w:r>
              <w:rPr>
                <w:sz w:val="28"/>
                <w:szCs w:val="28"/>
              </w:rPr>
              <w:t xml:space="preserve">4) </w:t>
            </w:r>
            <w:r w:rsidRPr="007E6EE5">
              <w:rPr>
                <w:sz w:val="28"/>
                <w:szCs w:val="28"/>
              </w:rPr>
              <w:t>Ministru kabineta noteikumu Nr.775 5.1.apakšpunkts nosaka, ka ar Valsts policiju ir saskaņojamas tās profesionālās izglītības programmas, pēc kuru apguves un kvalifikācijas pārbaudījuma nokārtošanas tiek izsniegts Apsardzes darbības likumā noteiktais apsardzes sertifikāts.</w:t>
            </w:r>
            <w:r>
              <w:rPr>
                <w:sz w:val="28"/>
                <w:szCs w:val="28"/>
              </w:rPr>
              <w:t xml:space="preserve"> Lai iegūtu tiesības nodarboties ar pārrobežu skaidras naudas pārvadājumiem apsardzes darbiniekam ir nepieciešams iziet papildu apmācības, kuru sekmīgas apgūšanas rezultātā </w:t>
            </w:r>
            <w:r w:rsidRPr="007E6EE5">
              <w:rPr>
                <w:sz w:val="28"/>
                <w:szCs w:val="28"/>
              </w:rPr>
              <w:t>apsardzes darbiniek</w:t>
            </w:r>
            <w:r>
              <w:rPr>
                <w:sz w:val="28"/>
                <w:szCs w:val="28"/>
              </w:rPr>
              <w:t>am</w:t>
            </w:r>
            <w:r w:rsidRPr="007E6EE5">
              <w:rPr>
                <w:sz w:val="28"/>
                <w:szCs w:val="28"/>
              </w:rPr>
              <w:t xml:space="preserve"> vairs neizsniegs apsardzes sertifikā</w:t>
            </w:r>
            <w:r>
              <w:rPr>
                <w:sz w:val="28"/>
                <w:szCs w:val="28"/>
              </w:rPr>
              <w:t xml:space="preserve">tu, jo tāds jau būs viņa rīcībā. Lai paredzētu arī tādas situācijas, kad apsardzes sertifikāts netiek izdots, bet profesionālās apmācības </w:t>
            </w:r>
            <w:r w:rsidR="00806162">
              <w:rPr>
                <w:sz w:val="28"/>
                <w:szCs w:val="28"/>
              </w:rPr>
              <w:t xml:space="preserve">tiek organizētas un </w:t>
            </w:r>
            <w:r>
              <w:rPr>
                <w:sz w:val="28"/>
                <w:szCs w:val="28"/>
              </w:rPr>
              <w:t xml:space="preserve">notiek </w:t>
            </w:r>
            <w:r w:rsidR="00806162">
              <w:rPr>
                <w:sz w:val="28"/>
                <w:szCs w:val="28"/>
              </w:rPr>
              <w:t xml:space="preserve">tieši </w:t>
            </w:r>
            <w:r>
              <w:rPr>
                <w:sz w:val="28"/>
                <w:szCs w:val="28"/>
              </w:rPr>
              <w:t>apsardzes darbības jomā, ir nepieciešams</w:t>
            </w:r>
            <w:r w:rsidRPr="007E6EE5">
              <w:rPr>
                <w:sz w:val="28"/>
                <w:szCs w:val="28"/>
              </w:rPr>
              <w:t xml:space="preserve"> precizēt Ministru kabineta n</w:t>
            </w:r>
            <w:r>
              <w:rPr>
                <w:sz w:val="28"/>
                <w:szCs w:val="28"/>
              </w:rPr>
              <w:t>oteikumu Nr.775 5.1.apakšpunktu, paplašinot tā saturu.</w:t>
            </w:r>
          </w:p>
          <w:p w:rsidR="00A3354C" w:rsidRPr="007E6EE5" w:rsidRDefault="00F77B22" w:rsidP="00F77B22">
            <w:pPr>
              <w:pStyle w:val="naisf"/>
              <w:ind w:right="140" w:firstLine="0"/>
              <w:rPr>
                <w:sz w:val="28"/>
                <w:szCs w:val="28"/>
              </w:rPr>
            </w:pPr>
            <w:r>
              <w:rPr>
                <w:sz w:val="28"/>
                <w:szCs w:val="28"/>
              </w:rPr>
              <w:t>5) J</w:t>
            </w:r>
            <w:r w:rsidRPr="007E6EE5">
              <w:rPr>
                <w:sz w:val="28"/>
                <w:szCs w:val="28"/>
              </w:rPr>
              <w:t xml:space="preserve">a </w:t>
            </w:r>
            <w:r>
              <w:rPr>
                <w:sz w:val="28"/>
                <w:szCs w:val="28"/>
              </w:rPr>
              <w:t>Izglītības likumā noteiktā iestāde</w:t>
            </w:r>
            <w:r w:rsidRPr="007E6EE5">
              <w:rPr>
                <w:sz w:val="28"/>
                <w:szCs w:val="28"/>
              </w:rPr>
              <w:t xml:space="preserve"> vispārējās izglītības pro</w:t>
            </w:r>
            <w:r>
              <w:rPr>
                <w:sz w:val="28"/>
                <w:szCs w:val="28"/>
              </w:rPr>
              <w:t>grammas īstenošanai izvēlas</w:t>
            </w:r>
            <w:r w:rsidRPr="007E6EE5">
              <w:rPr>
                <w:sz w:val="28"/>
                <w:szCs w:val="28"/>
              </w:rPr>
              <w:t xml:space="preserve"> </w:t>
            </w:r>
            <w:r>
              <w:rPr>
                <w:sz w:val="28"/>
                <w:szCs w:val="28"/>
              </w:rPr>
              <w:t>vienu no Ministru kabineta</w:t>
            </w:r>
            <w:r w:rsidRPr="007E6EE5">
              <w:rPr>
                <w:sz w:val="28"/>
                <w:szCs w:val="28"/>
              </w:rPr>
              <w:t xml:space="preserve"> n</w:t>
            </w:r>
            <w:r>
              <w:rPr>
                <w:sz w:val="28"/>
                <w:szCs w:val="28"/>
              </w:rPr>
              <w:t>oteiktajām izglītības programmām</w:t>
            </w:r>
            <w:r w:rsidR="00806162">
              <w:rPr>
                <w:sz w:val="28"/>
                <w:szCs w:val="28"/>
              </w:rPr>
              <w:t>, tad</w:t>
            </w:r>
            <w:r>
              <w:rPr>
                <w:sz w:val="28"/>
                <w:szCs w:val="28"/>
              </w:rPr>
              <w:t xml:space="preserve"> </w:t>
            </w:r>
            <w:r w:rsidRPr="007E6EE5">
              <w:rPr>
                <w:sz w:val="28"/>
                <w:szCs w:val="28"/>
              </w:rPr>
              <w:t xml:space="preserve">izglītības programmas licencēšanas procesā </w:t>
            </w:r>
            <w:r>
              <w:rPr>
                <w:sz w:val="28"/>
                <w:szCs w:val="28"/>
              </w:rPr>
              <w:t xml:space="preserve">būtu iespēja </w:t>
            </w:r>
            <w:r w:rsidRPr="007E6EE5">
              <w:rPr>
                <w:sz w:val="28"/>
                <w:szCs w:val="28"/>
              </w:rPr>
              <w:t xml:space="preserve">pārliecināties, </w:t>
            </w:r>
            <w:r>
              <w:rPr>
                <w:sz w:val="28"/>
                <w:szCs w:val="28"/>
              </w:rPr>
              <w:t xml:space="preserve">ka </w:t>
            </w:r>
            <w:r w:rsidRPr="007E6EE5">
              <w:rPr>
                <w:sz w:val="28"/>
                <w:szCs w:val="28"/>
              </w:rPr>
              <w:t>iesniedzot izglītības progr</w:t>
            </w:r>
            <w:r>
              <w:rPr>
                <w:sz w:val="28"/>
                <w:szCs w:val="28"/>
              </w:rPr>
              <w:t xml:space="preserve">ammu licencēšanai, ir ievēroti ārējie normatīvie akti, </w:t>
            </w:r>
            <w:r w:rsidRPr="007E6EE5">
              <w:rPr>
                <w:sz w:val="28"/>
                <w:szCs w:val="28"/>
              </w:rPr>
              <w:t xml:space="preserve">iekļaujot valsts izglītības standartos noteiktos obligātos mācību priekšmetus, kā arī </w:t>
            </w:r>
            <w:r>
              <w:rPr>
                <w:sz w:val="28"/>
                <w:szCs w:val="28"/>
              </w:rPr>
              <w:t xml:space="preserve">ir </w:t>
            </w:r>
            <w:r w:rsidRPr="007E6EE5">
              <w:rPr>
                <w:sz w:val="28"/>
                <w:szCs w:val="28"/>
              </w:rPr>
              <w:t>plāno</w:t>
            </w:r>
            <w:r>
              <w:rPr>
                <w:sz w:val="28"/>
                <w:szCs w:val="28"/>
              </w:rPr>
              <w:t>ts realizēt</w:t>
            </w:r>
            <w:r w:rsidRPr="007E6EE5">
              <w:rPr>
                <w:sz w:val="28"/>
                <w:szCs w:val="28"/>
              </w:rPr>
              <w:t xml:space="preserve"> izglītības programmu atbilstoši tās mērķiem un uzdevumiem.</w:t>
            </w:r>
          </w:p>
        </w:tc>
      </w:tr>
      <w:tr w:rsidR="007E6EE5" w:rsidRPr="007E6EE5" w:rsidTr="006E78FD">
        <w:trPr>
          <w:trHeight w:val="476"/>
          <w:tblCellSpacing w:w="0" w:type="dxa"/>
        </w:trPr>
        <w:tc>
          <w:tcPr>
            <w:tcW w:w="441" w:type="dxa"/>
            <w:tcBorders>
              <w:top w:val="outset" w:sz="6" w:space="0" w:color="auto"/>
              <w:left w:val="outset" w:sz="6" w:space="0" w:color="auto"/>
              <w:bottom w:val="outset" w:sz="6" w:space="0" w:color="auto"/>
              <w:right w:val="outset" w:sz="6" w:space="0" w:color="auto"/>
            </w:tcBorders>
          </w:tcPr>
          <w:p w:rsidR="00A3354C" w:rsidRPr="007E6EE5" w:rsidRDefault="00A3354C" w:rsidP="006E78FD">
            <w:pPr>
              <w:spacing w:before="100" w:beforeAutospacing="1" w:after="100" w:afterAutospacing="1"/>
              <w:rPr>
                <w:sz w:val="28"/>
                <w:szCs w:val="28"/>
              </w:rPr>
            </w:pPr>
            <w:r w:rsidRPr="007E6EE5">
              <w:rPr>
                <w:sz w:val="28"/>
                <w:szCs w:val="28"/>
              </w:rPr>
              <w:lastRenderedPageBreak/>
              <w:t> 5.</w:t>
            </w:r>
          </w:p>
        </w:tc>
        <w:tc>
          <w:tcPr>
            <w:tcW w:w="2976" w:type="dxa"/>
            <w:tcBorders>
              <w:top w:val="outset" w:sz="6" w:space="0" w:color="auto"/>
              <w:left w:val="outset" w:sz="6" w:space="0" w:color="auto"/>
              <w:bottom w:val="outset" w:sz="6" w:space="0" w:color="auto"/>
              <w:right w:val="outset" w:sz="6" w:space="0" w:color="auto"/>
            </w:tcBorders>
          </w:tcPr>
          <w:p w:rsidR="00A3354C" w:rsidRPr="007E6EE5" w:rsidRDefault="00A3354C" w:rsidP="006E78FD">
            <w:pPr>
              <w:spacing w:before="100" w:beforeAutospacing="1" w:after="100" w:afterAutospacing="1"/>
              <w:rPr>
                <w:sz w:val="28"/>
                <w:szCs w:val="28"/>
              </w:rPr>
            </w:pPr>
            <w:r w:rsidRPr="007E6EE5">
              <w:rPr>
                <w:sz w:val="28"/>
                <w:szCs w:val="28"/>
              </w:rPr>
              <w:t> Projekta izstrādē iesaistītās institūcijas</w:t>
            </w:r>
          </w:p>
        </w:tc>
        <w:tc>
          <w:tcPr>
            <w:tcW w:w="5684" w:type="dxa"/>
            <w:tcBorders>
              <w:top w:val="outset" w:sz="6" w:space="0" w:color="auto"/>
              <w:left w:val="outset" w:sz="6" w:space="0" w:color="auto"/>
              <w:bottom w:val="outset" w:sz="6" w:space="0" w:color="auto"/>
              <w:right w:val="outset" w:sz="6" w:space="0" w:color="auto"/>
            </w:tcBorders>
          </w:tcPr>
          <w:p w:rsidR="00A3354C" w:rsidRPr="007E6EE5" w:rsidRDefault="004E33EE" w:rsidP="009B4624">
            <w:pPr>
              <w:ind w:right="140"/>
              <w:jc w:val="both"/>
              <w:rPr>
                <w:sz w:val="28"/>
                <w:szCs w:val="28"/>
              </w:rPr>
            </w:pPr>
            <w:r>
              <w:rPr>
                <w:sz w:val="28"/>
                <w:szCs w:val="28"/>
              </w:rPr>
              <w:t>Projekts šo jomu neskar.</w:t>
            </w:r>
          </w:p>
        </w:tc>
      </w:tr>
      <w:tr w:rsidR="007E6EE5" w:rsidRPr="007E6EE5" w:rsidTr="005312F9">
        <w:trPr>
          <w:trHeight w:val="405"/>
          <w:tblCellSpacing w:w="0" w:type="dxa"/>
        </w:trPr>
        <w:tc>
          <w:tcPr>
            <w:tcW w:w="441" w:type="dxa"/>
            <w:tcBorders>
              <w:top w:val="outset" w:sz="6" w:space="0" w:color="auto"/>
              <w:left w:val="outset" w:sz="6" w:space="0" w:color="auto"/>
              <w:bottom w:val="outset" w:sz="6" w:space="0" w:color="auto"/>
              <w:right w:val="outset" w:sz="6" w:space="0" w:color="auto"/>
            </w:tcBorders>
          </w:tcPr>
          <w:p w:rsidR="00A3354C" w:rsidRPr="007E6EE5" w:rsidRDefault="00A3354C" w:rsidP="006E78FD">
            <w:pPr>
              <w:spacing w:before="100" w:beforeAutospacing="1" w:after="100" w:afterAutospacing="1"/>
              <w:rPr>
                <w:sz w:val="28"/>
                <w:szCs w:val="28"/>
              </w:rPr>
            </w:pPr>
            <w:r w:rsidRPr="007E6EE5">
              <w:rPr>
                <w:sz w:val="28"/>
                <w:szCs w:val="28"/>
              </w:rPr>
              <w:t> 6.</w:t>
            </w:r>
          </w:p>
        </w:tc>
        <w:tc>
          <w:tcPr>
            <w:tcW w:w="2976" w:type="dxa"/>
            <w:tcBorders>
              <w:top w:val="outset" w:sz="6" w:space="0" w:color="auto"/>
              <w:left w:val="outset" w:sz="6" w:space="0" w:color="auto"/>
              <w:bottom w:val="outset" w:sz="6" w:space="0" w:color="auto"/>
              <w:right w:val="outset" w:sz="6" w:space="0" w:color="auto"/>
            </w:tcBorders>
          </w:tcPr>
          <w:p w:rsidR="00A3354C" w:rsidRPr="007E6EE5" w:rsidRDefault="00A3354C" w:rsidP="006E78FD">
            <w:pPr>
              <w:spacing w:before="100" w:beforeAutospacing="1" w:after="100" w:afterAutospacing="1"/>
              <w:rPr>
                <w:sz w:val="28"/>
                <w:szCs w:val="28"/>
              </w:rPr>
            </w:pPr>
            <w:r w:rsidRPr="007E6EE5">
              <w:rPr>
                <w:sz w:val="28"/>
                <w:szCs w:val="28"/>
              </w:rPr>
              <w:t> Iemesli, kādēļ netika nodrošināta sabiedrības līdzdalība</w:t>
            </w:r>
          </w:p>
        </w:tc>
        <w:tc>
          <w:tcPr>
            <w:tcW w:w="5684" w:type="dxa"/>
            <w:tcBorders>
              <w:top w:val="outset" w:sz="6" w:space="0" w:color="auto"/>
              <w:left w:val="outset" w:sz="6" w:space="0" w:color="auto"/>
              <w:bottom w:val="outset" w:sz="6" w:space="0" w:color="auto"/>
              <w:right w:val="outset" w:sz="6" w:space="0" w:color="auto"/>
            </w:tcBorders>
          </w:tcPr>
          <w:p w:rsidR="00A3354C" w:rsidRPr="007E6EE5" w:rsidRDefault="00433CBC" w:rsidP="009B4624">
            <w:pPr>
              <w:ind w:right="140"/>
              <w:jc w:val="both"/>
              <w:rPr>
                <w:sz w:val="28"/>
                <w:szCs w:val="28"/>
              </w:rPr>
            </w:pPr>
            <w:r w:rsidRPr="007E6EE5">
              <w:rPr>
                <w:sz w:val="28"/>
                <w:szCs w:val="28"/>
              </w:rPr>
              <w:t xml:space="preserve">Sabiedrības iesaistīšana nebija lietderīga, jo noteikumu projekts paredz izdarīt grozījumus, kas papildina vai precizē MK noteikumos Nr.775 noteikto regulējumu, skar </w:t>
            </w:r>
            <w:r w:rsidR="004E33EE">
              <w:rPr>
                <w:sz w:val="28"/>
                <w:szCs w:val="28"/>
              </w:rPr>
              <w:t xml:space="preserve">Izglītības </w:t>
            </w:r>
            <w:r w:rsidRPr="007E6EE5">
              <w:rPr>
                <w:sz w:val="28"/>
                <w:szCs w:val="28"/>
              </w:rPr>
              <w:t xml:space="preserve">kvalitātes </w:t>
            </w:r>
            <w:r w:rsidR="004E33EE">
              <w:rPr>
                <w:sz w:val="28"/>
                <w:szCs w:val="28"/>
              </w:rPr>
              <w:t xml:space="preserve">valsts </w:t>
            </w:r>
            <w:r w:rsidRPr="007E6EE5">
              <w:rPr>
                <w:sz w:val="28"/>
                <w:szCs w:val="28"/>
              </w:rPr>
              <w:t xml:space="preserve">dienesta darbību un tā </w:t>
            </w:r>
            <w:r w:rsidRPr="007E6EE5">
              <w:rPr>
                <w:sz w:val="28"/>
                <w:szCs w:val="28"/>
              </w:rPr>
              <w:lastRenderedPageBreak/>
              <w:t>organizāciju izglītības programmu licencēšanā, kā arī ir vērstas uz izglītības vides sakārtošanu.</w:t>
            </w:r>
          </w:p>
        </w:tc>
      </w:tr>
      <w:tr w:rsidR="007E6EE5" w:rsidRPr="007E6EE5" w:rsidTr="006E78FD">
        <w:trPr>
          <w:trHeight w:val="506"/>
          <w:tblCellSpacing w:w="0" w:type="dxa"/>
        </w:trPr>
        <w:tc>
          <w:tcPr>
            <w:tcW w:w="441" w:type="dxa"/>
            <w:tcBorders>
              <w:top w:val="outset" w:sz="6" w:space="0" w:color="auto"/>
              <w:left w:val="outset" w:sz="6" w:space="0" w:color="auto"/>
              <w:bottom w:val="outset" w:sz="6" w:space="0" w:color="auto"/>
              <w:right w:val="outset" w:sz="6" w:space="0" w:color="auto"/>
            </w:tcBorders>
          </w:tcPr>
          <w:p w:rsidR="00A3354C" w:rsidRPr="007E6EE5" w:rsidRDefault="00A3354C" w:rsidP="006E78FD">
            <w:pPr>
              <w:spacing w:before="100" w:beforeAutospacing="1" w:after="100" w:afterAutospacing="1"/>
              <w:rPr>
                <w:sz w:val="28"/>
                <w:szCs w:val="28"/>
              </w:rPr>
            </w:pPr>
            <w:r w:rsidRPr="007E6EE5">
              <w:rPr>
                <w:sz w:val="28"/>
                <w:szCs w:val="28"/>
              </w:rPr>
              <w:lastRenderedPageBreak/>
              <w:t> 7.</w:t>
            </w:r>
          </w:p>
        </w:tc>
        <w:tc>
          <w:tcPr>
            <w:tcW w:w="2976" w:type="dxa"/>
            <w:tcBorders>
              <w:top w:val="outset" w:sz="6" w:space="0" w:color="auto"/>
              <w:left w:val="outset" w:sz="6" w:space="0" w:color="auto"/>
              <w:bottom w:val="outset" w:sz="6" w:space="0" w:color="auto"/>
              <w:right w:val="outset" w:sz="6" w:space="0" w:color="auto"/>
            </w:tcBorders>
          </w:tcPr>
          <w:p w:rsidR="00A3354C" w:rsidRPr="007E6EE5" w:rsidRDefault="00A3354C" w:rsidP="006E78FD">
            <w:pPr>
              <w:spacing w:before="100" w:beforeAutospacing="1" w:after="100" w:afterAutospacing="1"/>
              <w:rPr>
                <w:sz w:val="28"/>
                <w:szCs w:val="28"/>
              </w:rPr>
            </w:pPr>
            <w:r w:rsidRPr="007E6EE5">
              <w:rPr>
                <w:sz w:val="28"/>
                <w:szCs w:val="28"/>
              </w:rPr>
              <w:t> Cita informācija</w:t>
            </w:r>
          </w:p>
        </w:tc>
        <w:tc>
          <w:tcPr>
            <w:tcW w:w="5684" w:type="dxa"/>
            <w:tcBorders>
              <w:top w:val="outset" w:sz="6" w:space="0" w:color="auto"/>
              <w:left w:val="outset" w:sz="6" w:space="0" w:color="auto"/>
              <w:bottom w:val="outset" w:sz="6" w:space="0" w:color="auto"/>
              <w:right w:val="outset" w:sz="6" w:space="0" w:color="auto"/>
            </w:tcBorders>
          </w:tcPr>
          <w:p w:rsidR="00A3354C" w:rsidRPr="007E6EE5" w:rsidRDefault="00433CBC" w:rsidP="006E78FD">
            <w:pPr>
              <w:jc w:val="both"/>
              <w:rPr>
                <w:sz w:val="28"/>
                <w:szCs w:val="28"/>
              </w:rPr>
            </w:pPr>
            <w:r w:rsidRPr="007E6EE5">
              <w:rPr>
                <w:sz w:val="28"/>
                <w:szCs w:val="28"/>
              </w:rPr>
              <w:t>Nav</w:t>
            </w:r>
          </w:p>
        </w:tc>
      </w:tr>
    </w:tbl>
    <w:p w:rsidR="00A3354C" w:rsidRPr="007E6EE5" w:rsidRDefault="00A3354C" w:rsidP="00A3354C">
      <w:pPr>
        <w:ind w:right="-49"/>
        <w:rPr>
          <w:sz w:val="28"/>
          <w:szCs w:val="28"/>
        </w:rPr>
      </w:pPr>
    </w:p>
    <w:tbl>
      <w:tblPr>
        <w:tblW w:w="0" w:type="auto"/>
        <w:tblCellSpacing w:w="0" w:type="dxa"/>
        <w:tblCellMar>
          <w:left w:w="0" w:type="dxa"/>
          <w:right w:w="0" w:type="dxa"/>
        </w:tblCellMar>
        <w:tblLook w:val="04A0" w:firstRow="1" w:lastRow="0" w:firstColumn="1" w:lastColumn="0" w:noHBand="0" w:noVBand="1"/>
      </w:tblPr>
      <w:tblGrid>
        <w:gridCol w:w="9071"/>
      </w:tblGrid>
      <w:tr w:rsidR="007E6EE5" w:rsidRPr="007E6EE5" w:rsidTr="006E78FD">
        <w:trPr>
          <w:tblCellSpacing w:w="0" w:type="dxa"/>
        </w:trPr>
        <w:tc>
          <w:tcPr>
            <w:tcW w:w="9101" w:type="dxa"/>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
              <w:gridCol w:w="2875"/>
              <w:gridCol w:w="5661"/>
            </w:tblGrid>
            <w:tr w:rsidR="007E6EE5" w:rsidRPr="007E6EE5" w:rsidTr="0014580A">
              <w:trPr>
                <w:trHeight w:val="467"/>
                <w:tblCellSpacing w:w="0" w:type="dxa"/>
              </w:trPr>
              <w:tc>
                <w:tcPr>
                  <w:tcW w:w="9055" w:type="dxa"/>
                  <w:gridSpan w:val="3"/>
                  <w:tcBorders>
                    <w:top w:val="outset" w:sz="6" w:space="0" w:color="auto"/>
                    <w:left w:val="outset" w:sz="6" w:space="0" w:color="auto"/>
                    <w:bottom w:val="outset" w:sz="6" w:space="0" w:color="auto"/>
                    <w:right w:val="outset" w:sz="6" w:space="0" w:color="auto"/>
                  </w:tcBorders>
                  <w:vAlign w:val="center"/>
                </w:tcPr>
                <w:p w:rsidR="00A3354C" w:rsidRPr="007E6EE5" w:rsidRDefault="00A3354C" w:rsidP="006E78FD">
                  <w:pPr>
                    <w:pStyle w:val="naisnod"/>
                    <w:jc w:val="center"/>
                    <w:rPr>
                      <w:b/>
                      <w:sz w:val="28"/>
                      <w:szCs w:val="28"/>
                    </w:rPr>
                  </w:pPr>
                  <w:r w:rsidRPr="007E6EE5">
                    <w:rPr>
                      <w:b/>
                      <w:sz w:val="28"/>
                      <w:szCs w:val="28"/>
                    </w:rPr>
                    <w:t>II. Tiesību akta projekta ietekme uz sabiedrību</w:t>
                  </w:r>
                </w:p>
              </w:tc>
            </w:tr>
            <w:tr w:rsidR="007E6EE5" w:rsidRPr="007E6EE5" w:rsidTr="0014580A">
              <w:trPr>
                <w:trHeight w:val="708"/>
                <w:tblCellSpacing w:w="0" w:type="dxa"/>
              </w:trPr>
              <w:tc>
                <w:tcPr>
                  <w:tcW w:w="519" w:type="dxa"/>
                  <w:tcBorders>
                    <w:top w:val="outset" w:sz="6" w:space="0" w:color="auto"/>
                    <w:left w:val="outset" w:sz="6" w:space="0" w:color="auto"/>
                    <w:bottom w:val="outset" w:sz="6" w:space="0" w:color="auto"/>
                    <w:right w:val="outset" w:sz="6" w:space="0" w:color="auto"/>
                  </w:tcBorders>
                </w:tcPr>
                <w:p w:rsidR="0014580A" w:rsidRPr="007E6EE5" w:rsidRDefault="0014580A" w:rsidP="006E78FD">
                  <w:pPr>
                    <w:pStyle w:val="naiskr"/>
                    <w:rPr>
                      <w:sz w:val="28"/>
                      <w:szCs w:val="28"/>
                    </w:rPr>
                  </w:pPr>
                  <w:r w:rsidRPr="007E6EE5">
                    <w:rPr>
                      <w:sz w:val="28"/>
                      <w:szCs w:val="28"/>
                    </w:rPr>
                    <w:t> 1.</w:t>
                  </w:r>
                </w:p>
              </w:tc>
              <w:tc>
                <w:tcPr>
                  <w:tcW w:w="2875" w:type="dxa"/>
                  <w:tcBorders>
                    <w:top w:val="outset" w:sz="6" w:space="0" w:color="auto"/>
                    <w:left w:val="outset" w:sz="6" w:space="0" w:color="auto"/>
                    <w:bottom w:val="outset" w:sz="6" w:space="0" w:color="auto"/>
                    <w:right w:val="outset" w:sz="6" w:space="0" w:color="auto"/>
                  </w:tcBorders>
                </w:tcPr>
                <w:p w:rsidR="0014580A" w:rsidRPr="007E6EE5" w:rsidRDefault="0014580A" w:rsidP="006E78FD">
                  <w:pPr>
                    <w:pStyle w:val="naiskr"/>
                    <w:rPr>
                      <w:sz w:val="28"/>
                      <w:szCs w:val="28"/>
                    </w:rPr>
                  </w:pPr>
                  <w:r w:rsidRPr="007E6EE5">
                    <w:rPr>
                      <w:sz w:val="28"/>
                      <w:szCs w:val="28"/>
                    </w:rPr>
                    <w:t> Sabiedrības mērķgrupa</w:t>
                  </w:r>
                </w:p>
              </w:tc>
              <w:tc>
                <w:tcPr>
                  <w:tcW w:w="5661" w:type="dxa"/>
                  <w:tcBorders>
                    <w:top w:val="outset" w:sz="6" w:space="0" w:color="auto"/>
                    <w:left w:val="outset" w:sz="6" w:space="0" w:color="auto"/>
                    <w:bottom w:val="outset" w:sz="6" w:space="0" w:color="auto"/>
                    <w:right w:val="outset" w:sz="6" w:space="0" w:color="auto"/>
                  </w:tcBorders>
                </w:tcPr>
                <w:p w:rsidR="0014580A" w:rsidRPr="007E6EE5" w:rsidRDefault="000830B8" w:rsidP="003921B5">
                  <w:pPr>
                    <w:pStyle w:val="naiskr"/>
                    <w:spacing w:before="0" w:beforeAutospacing="0" w:after="0" w:afterAutospacing="0"/>
                    <w:ind w:right="57"/>
                    <w:jc w:val="both"/>
                    <w:rPr>
                      <w:sz w:val="28"/>
                      <w:szCs w:val="28"/>
                    </w:rPr>
                  </w:pPr>
                  <w:r w:rsidRPr="007E6EE5">
                    <w:rPr>
                      <w:sz w:val="28"/>
                      <w:szCs w:val="28"/>
                    </w:rPr>
                    <w:t>Izglītības iestāžu reģistrā reģistrētas izglītības iestādes (izņemot interešu izglītības, pieaugušo neformālās izglītības un augstākās izglītības iestādes), kuru pamatuzdevums ir Izglītības kvalitātes valsts dienesta licencēto izglītības programmu īstenošana un citas Izglītības likumā noteiktas institūcijas (piemēram, Nacionālo bruņoto spēku vienības).</w:t>
                  </w:r>
                </w:p>
              </w:tc>
            </w:tr>
            <w:tr w:rsidR="007E6EE5" w:rsidRPr="007E6EE5" w:rsidTr="0014580A">
              <w:trPr>
                <w:trHeight w:val="523"/>
                <w:tblCellSpacing w:w="0" w:type="dxa"/>
              </w:trPr>
              <w:tc>
                <w:tcPr>
                  <w:tcW w:w="519" w:type="dxa"/>
                  <w:tcBorders>
                    <w:top w:val="outset" w:sz="6" w:space="0" w:color="auto"/>
                    <w:left w:val="outset" w:sz="6" w:space="0" w:color="auto"/>
                    <w:bottom w:val="outset" w:sz="6" w:space="0" w:color="auto"/>
                    <w:right w:val="outset" w:sz="6" w:space="0" w:color="auto"/>
                  </w:tcBorders>
                </w:tcPr>
                <w:p w:rsidR="0014580A" w:rsidRPr="007E6EE5" w:rsidRDefault="0014580A" w:rsidP="006E78FD">
                  <w:pPr>
                    <w:pStyle w:val="naiskr"/>
                    <w:rPr>
                      <w:sz w:val="28"/>
                      <w:szCs w:val="28"/>
                    </w:rPr>
                  </w:pPr>
                  <w:r w:rsidRPr="007E6EE5">
                    <w:rPr>
                      <w:sz w:val="28"/>
                      <w:szCs w:val="28"/>
                    </w:rPr>
                    <w:t> 2.</w:t>
                  </w:r>
                </w:p>
              </w:tc>
              <w:tc>
                <w:tcPr>
                  <w:tcW w:w="2875" w:type="dxa"/>
                  <w:tcBorders>
                    <w:top w:val="outset" w:sz="6" w:space="0" w:color="auto"/>
                    <w:left w:val="outset" w:sz="6" w:space="0" w:color="auto"/>
                    <w:bottom w:val="outset" w:sz="6" w:space="0" w:color="auto"/>
                    <w:right w:val="outset" w:sz="6" w:space="0" w:color="auto"/>
                  </w:tcBorders>
                </w:tcPr>
                <w:p w:rsidR="0014580A" w:rsidRPr="007E6EE5" w:rsidRDefault="00BB55A8" w:rsidP="006E78FD">
                  <w:pPr>
                    <w:pStyle w:val="naiskr"/>
                    <w:rPr>
                      <w:sz w:val="28"/>
                      <w:szCs w:val="28"/>
                    </w:rPr>
                  </w:pPr>
                  <w:r w:rsidRPr="007E6EE5">
                    <w:rPr>
                      <w:sz w:val="28"/>
                      <w:szCs w:val="28"/>
                    </w:rPr>
                    <w:t> Citas sabiedrības grupas (</w:t>
                  </w:r>
                  <w:r w:rsidR="0014580A" w:rsidRPr="007E6EE5">
                    <w:rPr>
                      <w:sz w:val="28"/>
                      <w:szCs w:val="28"/>
                    </w:rPr>
                    <w:t>mērķgrupas), kuras tiesiskais re</w:t>
                  </w:r>
                  <w:r w:rsidRPr="007E6EE5">
                    <w:rPr>
                      <w:sz w:val="28"/>
                      <w:szCs w:val="28"/>
                    </w:rPr>
                    <w:t xml:space="preserve">gulējums arī ietekmē vai varētu </w:t>
                  </w:r>
                  <w:r w:rsidR="0014580A" w:rsidRPr="007E6EE5">
                    <w:rPr>
                      <w:sz w:val="28"/>
                      <w:szCs w:val="28"/>
                    </w:rPr>
                    <w:t>ietekmēt</w:t>
                  </w:r>
                </w:p>
              </w:tc>
              <w:tc>
                <w:tcPr>
                  <w:tcW w:w="5661" w:type="dxa"/>
                  <w:tcBorders>
                    <w:top w:val="outset" w:sz="6" w:space="0" w:color="auto"/>
                    <w:left w:val="outset" w:sz="6" w:space="0" w:color="auto"/>
                    <w:bottom w:val="outset" w:sz="6" w:space="0" w:color="auto"/>
                    <w:right w:val="outset" w:sz="6" w:space="0" w:color="auto"/>
                  </w:tcBorders>
                </w:tcPr>
                <w:p w:rsidR="0014580A" w:rsidRPr="007E6EE5" w:rsidRDefault="0014580A" w:rsidP="006E78FD">
                  <w:pPr>
                    <w:pStyle w:val="naiskr"/>
                    <w:spacing w:before="0" w:beforeAutospacing="0" w:after="0" w:afterAutospacing="0"/>
                    <w:ind w:right="57"/>
                    <w:rPr>
                      <w:sz w:val="28"/>
                      <w:szCs w:val="28"/>
                    </w:rPr>
                  </w:pPr>
                  <w:r w:rsidRPr="007E6EE5">
                    <w:rPr>
                      <w:sz w:val="28"/>
                      <w:szCs w:val="28"/>
                    </w:rPr>
                    <w:t>Projekts šo jomu neskar.</w:t>
                  </w:r>
                </w:p>
              </w:tc>
            </w:tr>
            <w:tr w:rsidR="007E6EE5" w:rsidRPr="007E6EE5" w:rsidTr="0014580A">
              <w:trPr>
                <w:trHeight w:val="517"/>
                <w:tblCellSpacing w:w="0" w:type="dxa"/>
              </w:trPr>
              <w:tc>
                <w:tcPr>
                  <w:tcW w:w="519" w:type="dxa"/>
                  <w:tcBorders>
                    <w:top w:val="outset" w:sz="6" w:space="0" w:color="auto"/>
                    <w:left w:val="outset" w:sz="6" w:space="0" w:color="auto"/>
                    <w:bottom w:val="outset" w:sz="6" w:space="0" w:color="auto"/>
                    <w:right w:val="outset" w:sz="6" w:space="0" w:color="auto"/>
                  </w:tcBorders>
                </w:tcPr>
                <w:p w:rsidR="0014580A" w:rsidRPr="007E6EE5" w:rsidRDefault="0014580A" w:rsidP="006E78FD">
                  <w:pPr>
                    <w:pStyle w:val="naiskr"/>
                    <w:rPr>
                      <w:sz w:val="28"/>
                      <w:szCs w:val="28"/>
                    </w:rPr>
                  </w:pPr>
                  <w:r w:rsidRPr="007E6EE5">
                    <w:rPr>
                      <w:sz w:val="28"/>
                      <w:szCs w:val="28"/>
                    </w:rPr>
                    <w:t> 3.</w:t>
                  </w:r>
                </w:p>
              </w:tc>
              <w:tc>
                <w:tcPr>
                  <w:tcW w:w="2875" w:type="dxa"/>
                  <w:tcBorders>
                    <w:top w:val="outset" w:sz="6" w:space="0" w:color="auto"/>
                    <w:left w:val="outset" w:sz="6" w:space="0" w:color="auto"/>
                    <w:bottom w:val="outset" w:sz="6" w:space="0" w:color="auto"/>
                    <w:right w:val="outset" w:sz="6" w:space="0" w:color="auto"/>
                  </w:tcBorders>
                </w:tcPr>
                <w:p w:rsidR="0014580A" w:rsidRPr="007E6EE5" w:rsidRDefault="0014580A" w:rsidP="006E78FD">
                  <w:pPr>
                    <w:pStyle w:val="naiskr"/>
                    <w:rPr>
                      <w:sz w:val="28"/>
                      <w:szCs w:val="28"/>
                    </w:rPr>
                  </w:pPr>
                  <w:r w:rsidRPr="007E6EE5">
                    <w:rPr>
                      <w:sz w:val="28"/>
                      <w:szCs w:val="28"/>
                    </w:rPr>
                    <w:t> Tiesiskā regulējuma finansiālā ietekme</w:t>
                  </w:r>
                </w:p>
              </w:tc>
              <w:tc>
                <w:tcPr>
                  <w:tcW w:w="5661" w:type="dxa"/>
                  <w:tcBorders>
                    <w:top w:val="outset" w:sz="6" w:space="0" w:color="auto"/>
                    <w:left w:val="outset" w:sz="6" w:space="0" w:color="auto"/>
                    <w:bottom w:val="outset" w:sz="6" w:space="0" w:color="auto"/>
                    <w:right w:val="outset" w:sz="6" w:space="0" w:color="auto"/>
                  </w:tcBorders>
                </w:tcPr>
                <w:p w:rsidR="0014580A" w:rsidRPr="007E6EE5" w:rsidRDefault="0014580A" w:rsidP="006E78FD">
                  <w:pPr>
                    <w:pStyle w:val="naiskr"/>
                    <w:spacing w:before="0" w:beforeAutospacing="0" w:after="0" w:afterAutospacing="0"/>
                    <w:ind w:right="57"/>
                    <w:jc w:val="both"/>
                    <w:rPr>
                      <w:sz w:val="28"/>
                      <w:szCs w:val="28"/>
                    </w:rPr>
                  </w:pPr>
                  <w:r w:rsidRPr="007E6EE5">
                    <w:rPr>
                      <w:sz w:val="28"/>
                      <w:szCs w:val="28"/>
                    </w:rPr>
                    <w:t>Projekts šo jomu neskar.</w:t>
                  </w:r>
                </w:p>
              </w:tc>
            </w:tr>
            <w:tr w:rsidR="007E6EE5" w:rsidRPr="007E6EE5" w:rsidTr="0014580A">
              <w:trPr>
                <w:trHeight w:val="517"/>
                <w:tblCellSpacing w:w="0" w:type="dxa"/>
              </w:trPr>
              <w:tc>
                <w:tcPr>
                  <w:tcW w:w="519" w:type="dxa"/>
                  <w:tcBorders>
                    <w:top w:val="outset" w:sz="6" w:space="0" w:color="auto"/>
                    <w:left w:val="outset" w:sz="6" w:space="0" w:color="auto"/>
                    <w:bottom w:val="outset" w:sz="6" w:space="0" w:color="auto"/>
                    <w:right w:val="outset" w:sz="6" w:space="0" w:color="auto"/>
                  </w:tcBorders>
                </w:tcPr>
                <w:p w:rsidR="0014580A" w:rsidRPr="007E6EE5" w:rsidRDefault="0014580A" w:rsidP="006E78FD">
                  <w:pPr>
                    <w:pStyle w:val="naiskr"/>
                    <w:rPr>
                      <w:sz w:val="28"/>
                      <w:szCs w:val="28"/>
                    </w:rPr>
                  </w:pPr>
                  <w:r w:rsidRPr="007E6EE5">
                    <w:rPr>
                      <w:sz w:val="28"/>
                      <w:szCs w:val="28"/>
                    </w:rPr>
                    <w:t> 4.</w:t>
                  </w:r>
                </w:p>
              </w:tc>
              <w:tc>
                <w:tcPr>
                  <w:tcW w:w="2875" w:type="dxa"/>
                  <w:tcBorders>
                    <w:top w:val="outset" w:sz="6" w:space="0" w:color="auto"/>
                    <w:left w:val="outset" w:sz="6" w:space="0" w:color="auto"/>
                    <w:bottom w:val="outset" w:sz="6" w:space="0" w:color="auto"/>
                    <w:right w:val="outset" w:sz="6" w:space="0" w:color="auto"/>
                  </w:tcBorders>
                </w:tcPr>
                <w:p w:rsidR="0014580A" w:rsidRPr="007E6EE5" w:rsidRDefault="0014580A" w:rsidP="006E78FD">
                  <w:pPr>
                    <w:pStyle w:val="naiskr"/>
                    <w:rPr>
                      <w:sz w:val="28"/>
                      <w:szCs w:val="28"/>
                    </w:rPr>
                  </w:pPr>
                  <w:r w:rsidRPr="007E6EE5">
                    <w:rPr>
                      <w:sz w:val="28"/>
                      <w:szCs w:val="28"/>
                    </w:rPr>
                    <w:t> Tiesiskā regulējuma nefinansiālā ietekme</w:t>
                  </w:r>
                </w:p>
              </w:tc>
              <w:tc>
                <w:tcPr>
                  <w:tcW w:w="5661" w:type="dxa"/>
                  <w:tcBorders>
                    <w:top w:val="outset" w:sz="6" w:space="0" w:color="auto"/>
                    <w:left w:val="outset" w:sz="6" w:space="0" w:color="auto"/>
                    <w:bottom w:val="outset" w:sz="6" w:space="0" w:color="auto"/>
                    <w:right w:val="outset" w:sz="6" w:space="0" w:color="auto"/>
                  </w:tcBorders>
                </w:tcPr>
                <w:p w:rsidR="0014580A" w:rsidRPr="007E6EE5" w:rsidRDefault="00B50342" w:rsidP="00B229D3">
                  <w:pPr>
                    <w:pStyle w:val="naiskr"/>
                    <w:spacing w:before="0" w:beforeAutospacing="0" w:after="0" w:afterAutospacing="0"/>
                    <w:ind w:right="57"/>
                    <w:jc w:val="both"/>
                    <w:rPr>
                      <w:sz w:val="28"/>
                      <w:szCs w:val="28"/>
                    </w:rPr>
                  </w:pPr>
                  <w:r w:rsidRPr="007E6EE5">
                    <w:rPr>
                      <w:sz w:val="28"/>
                      <w:szCs w:val="28"/>
                    </w:rPr>
                    <w:t>Tiešas finansiālas izmaksas (nodokļi, nodevas, sodi, maksas pakalpojumi) nav paredzētas, taču noteikumu projekts veicinās izglītības vides sakārtošanu.</w:t>
                  </w:r>
                </w:p>
              </w:tc>
            </w:tr>
            <w:tr w:rsidR="007E6EE5" w:rsidRPr="007E6EE5" w:rsidTr="0014580A">
              <w:trPr>
                <w:trHeight w:val="531"/>
                <w:tblCellSpacing w:w="0" w:type="dxa"/>
              </w:trPr>
              <w:tc>
                <w:tcPr>
                  <w:tcW w:w="519" w:type="dxa"/>
                  <w:tcBorders>
                    <w:top w:val="outset" w:sz="6" w:space="0" w:color="auto"/>
                    <w:left w:val="outset" w:sz="6" w:space="0" w:color="auto"/>
                    <w:bottom w:val="outset" w:sz="6" w:space="0" w:color="auto"/>
                    <w:right w:val="outset" w:sz="6" w:space="0" w:color="auto"/>
                  </w:tcBorders>
                </w:tcPr>
                <w:p w:rsidR="0014580A" w:rsidRPr="007E6EE5" w:rsidRDefault="0014580A" w:rsidP="006E78FD">
                  <w:pPr>
                    <w:pStyle w:val="naiskr"/>
                    <w:rPr>
                      <w:sz w:val="28"/>
                      <w:szCs w:val="28"/>
                    </w:rPr>
                  </w:pPr>
                  <w:r w:rsidRPr="007E6EE5">
                    <w:rPr>
                      <w:sz w:val="28"/>
                      <w:szCs w:val="28"/>
                    </w:rPr>
                    <w:t> 5.</w:t>
                  </w:r>
                </w:p>
              </w:tc>
              <w:tc>
                <w:tcPr>
                  <w:tcW w:w="2875" w:type="dxa"/>
                  <w:tcBorders>
                    <w:top w:val="outset" w:sz="6" w:space="0" w:color="auto"/>
                    <w:left w:val="outset" w:sz="6" w:space="0" w:color="auto"/>
                    <w:bottom w:val="outset" w:sz="6" w:space="0" w:color="auto"/>
                    <w:right w:val="outset" w:sz="6" w:space="0" w:color="auto"/>
                  </w:tcBorders>
                </w:tcPr>
                <w:p w:rsidR="0014580A" w:rsidRPr="007E6EE5" w:rsidRDefault="0014580A" w:rsidP="006E78FD">
                  <w:pPr>
                    <w:pStyle w:val="naiskr"/>
                    <w:rPr>
                      <w:sz w:val="28"/>
                      <w:szCs w:val="28"/>
                    </w:rPr>
                  </w:pPr>
                  <w:r w:rsidRPr="007E6EE5">
                    <w:rPr>
                      <w:sz w:val="28"/>
                      <w:szCs w:val="28"/>
                    </w:rPr>
                    <w:t> Administratīvās procedūras raksturojums</w:t>
                  </w:r>
                </w:p>
              </w:tc>
              <w:tc>
                <w:tcPr>
                  <w:tcW w:w="5661" w:type="dxa"/>
                  <w:tcBorders>
                    <w:top w:val="outset" w:sz="6" w:space="0" w:color="auto"/>
                    <w:left w:val="outset" w:sz="6" w:space="0" w:color="auto"/>
                    <w:bottom w:val="outset" w:sz="6" w:space="0" w:color="auto"/>
                    <w:right w:val="outset" w:sz="6" w:space="0" w:color="auto"/>
                  </w:tcBorders>
                </w:tcPr>
                <w:p w:rsidR="0014580A" w:rsidRPr="007E6EE5" w:rsidRDefault="00961DE1" w:rsidP="003921B5">
                  <w:pPr>
                    <w:pStyle w:val="naiskr"/>
                    <w:spacing w:before="0" w:beforeAutospacing="0" w:after="0" w:afterAutospacing="0"/>
                    <w:ind w:right="57"/>
                    <w:jc w:val="both"/>
                    <w:rPr>
                      <w:sz w:val="28"/>
                      <w:szCs w:val="28"/>
                    </w:rPr>
                  </w:pPr>
                  <w:r>
                    <w:rPr>
                      <w:sz w:val="28"/>
                      <w:szCs w:val="28"/>
                    </w:rPr>
                    <w:t>Noteikumu projektā paredzētais tiesiskais regulējums nemaina pašreiz spēkā esošo administratīvo procedūru.</w:t>
                  </w:r>
                </w:p>
              </w:tc>
            </w:tr>
            <w:tr w:rsidR="007E6EE5" w:rsidRPr="007E6EE5" w:rsidTr="0014580A">
              <w:trPr>
                <w:trHeight w:val="357"/>
                <w:tblCellSpacing w:w="0" w:type="dxa"/>
              </w:trPr>
              <w:tc>
                <w:tcPr>
                  <w:tcW w:w="519" w:type="dxa"/>
                  <w:tcBorders>
                    <w:top w:val="outset" w:sz="6" w:space="0" w:color="auto"/>
                    <w:left w:val="outset" w:sz="6" w:space="0" w:color="auto"/>
                    <w:bottom w:val="outset" w:sz="6" w:space="0" w:color="auto"/>
                    <w:right w:val="outset" w:sz="6" w:space="0" w:color="auto"/>
                  </w:tcBorders>
                </w:tcPr>
                <w:p w:rsidR="0014580A" w:rsidRPr="007E6EE5" w:rsidRDefault="0014580A" w:rsidP="006E78FD">
                  <w:pPr>
                    <w:pStyle w:val="naiskr"/>
                    <w:rPr>
                      <w:sz w:val="28"/>
                      <w:szCs w:val="28"/>
                    </w:rPr>
                  </w:pPr>
                  <w:r w:rsidRPr="007E6EE5">
                    <w:rPr>
                      <w:sz w:val="28"/>
                      <w:szCs w:val="28"/>
                    </w:rPr>
                    <w:t> 6.</w:t>
                  </w:r>
                </w:p>
              </w:tc>
              <w:tc>
                <w:tcPr>
                  <w:tcW w:w="2875" w:type="dxa"/>
                  <w:tcBorders>
                    <w:top w:val="outset" w:sz="6" w:space="0" w:color="auto"/>
                    <w:left w:val="outset" w:sz="6" w:space="0" w:color="auto"/>
                    <w:bottom w:val="outset" w:sz="6" w:space="0" w:color="auto"/>
                    <w:right w:val="outset" w:sz="6" w:space="0" w:color="auto"/>
                  </w:tcBorders>
                </w:tcPr>
                <w:p w:rsidR="0014580A" w:rsidRPr="007E6EE5" w:rsidRDefault="0014580A" w:rsidP="006E78FD">
                  <w:pPr>
                    <w:pStyle w:val="naiskr"/>
                    <w:rPr>
                      <w:sz w:val="28"/>
                      <w:szCs w:val="28"/>
                    </w:rPr>
                  </w:pPr>
                  <w:r w:rsidRPr="007E6EE5">
                    <w:rPr>
                      <w:sz w:val="28"/>
                      <w:szCs w:val="28"/>
                    </w:rPr>
                    <w:t> Administratīvo izmaksu monetārs novērtējums</w:t>
                  </w:r>
                </w:p>
              </w:tc>
              <w:tc>
                <w:tcPr>
                  <w:tcW w:w="5661" w:type="dxa"/>
                  <w:tcBorders>
                    <w:top w:val="outset" w:sz="6" w:space="0" w:color="auto"/>
                    <w:left w:val="outset" w:sz="6" w:space="0" w:color="auto"/>
                    <w:bottom w:val="outset" w:sz="6" w:space="0" w:color="auto"/>
                    <w:right w:val="outset" w:sz="6" w:space="0" w:color="auto"/>
                  </w:tcBorders>
                </w:tcPr>
                <w:p w:rsidR="0014580A" w:rsidRPr="007E6EE5" w:rsidRDefault="0014580A" w:rsidP="006E78FD">
                  <w:pPr>
                    <w:pStyle w:val="naiskr"/>
                    <w:spacing w:before="0" w:beforeAutospacing="0" w:after="0" w:afterAutospacing="0"/>
                    <w:ind w:right="57"/>
                    <w:jc w:val="both"/>
                    <w:rPr>
                      <w:sz w:val="28"/>
                      <w:szCs w:val="28"/>
                    </w:rPr>
                  </w:pPr>
                  <w:r w:rsidRPr="007E6EE5">
                    <w:rPr>
                      <w:sz w:val="28"/>
                      <w:szCs w:val="28"/>
                    </w:rPr>
                    <w:t>Projekts šo jomu neskar.</w:t>
                  </w:r>
                </w:p>
              </w:tc>
            </w:tr>
            <w:tr w:rsidR="007E6EE5" w:rsidRPr="007E6EE5" w:rsidTr="0014580A">
              <w:trPr>
                <w:trHeight w:val="436"/>
                <w:tblCellSpacing w:w="0" w:type="dxa"/>
              </w:trPr>
              <w:tc>
                <w:tcPr>
                  <w:tcW w:w="519" w:type="dxa"/>
                  <w:tcBorders>
                    <w:top w:val="outset" w:sz="6" w:space="0" w:color="auto"/>
                    <w:left w:val="outset" w:sz="6" w:space="0" w:color="auto"/>
                    <w:bottom w:val="outset" w:sz="6" w:space="0" w:color="auto"/>
                    <w:right w:val="outset" w:sz="6" w:space="0" w:color="auto"/>
                  </w:tcBorders>
                </w:tcPr>
                <w:p w:rsidR="0014580A" w:rsidRPr="007E6EE5" w:rsidRDefault="0014580A" w:rsidP="006E78FD">
                  <w:pPr>
                    <w:pStyle w:val="naiskr"/>
                    <w:rPr>
                      <w:sz w:val="28"/>
                      <w:szCs w:val="28"/>
                    </w:rPr>
                  </w:pPr>
                  <w:r w:rsidRPr="007E6EE5">
                    <w:rPr>
                      <w:sz w:val="28"/>
                      <w:szCs w:val="28"/>
                    </w:rPr>
                    <w:t> 7.</w:t>
                  </w:r>
                </w:p>
              </w:tc>
              <w:tc>
                <w:tcPr>
                  <w:tcW w:w="2875" w:type="dxa"/>
                  <w:tcBorders>
                    <w:top w:val="outset" w:sz="6" w:space="0" w:color="auto"/>
                    <w:left w:val="outset" w:sz="6" w:space="0" w:color="auto"/>
                    <w:bottom w:val="outset" w:sz="6" w:space="0" w:color="auto"/>
                    <w:right w:val="outset" w:sz="6" w:space="0" w:color="auto"/>
                  </w:tcBorders>
                </w:tcPr>
                <w:p w:rsidR="0014580A" w:rsidRPr="007E6EE5" w:rsidRDefault="0014580A" w:rsidP="006E78FD">
                  <w:pPr>
                    <w:pStyle w:val="naiskr"/>
                    <w:rPr>
                      <w:sz w:val="28"/>
                      <w:szCs w:val="28"/>
                    </w:rPr>
                  </w:pPr>
                  <w:r w:rsidRPr="007E6EE5">
                    <w:rPr>
                      <w:sz w:val="28"/>
                      <w:szCs w:val="28"/>
                    </w:rPr>
                    <w:t> Cita informācija</w:t>
                  </w:r>
                </w:p>
              </w:tc>
              <w:tc>
                <w:tcPr>
                  <w:tcW w:w="5661" w:type="dxa"/>
                  <w:tcBorders>
                    <w:top w:val="outset" w:sz="6" w:space="0" w:color="auto"/>
                    <w:left w:val="outset" w:sz="6" w:space="0" w:color="auto"/>
                    <w:bottom w:val="outset" w:sz="6" w:space="0" w:color="auto"/>
                    <w:right w:val="outset" w:sz="6" w:space="0" w:color="auto"/>
                  </w:tcBorders>
                </w:tcPr>
                <w:p w:rsidR="0014580A" w:rsidRPr="007E6EE5" w:rsidRDefault="00961DE1" w:rsidP="00B229D3">
                  <w:pPr>
                    <w:pStyle w:val="naiskr"/>
                    <w:spacing w:before="0" w:beforeAutospacing="0" w:after="0" w:afterAutospacing="0"/>
                    <w:ind w:right="57"/>
                    <w:jc w:val="both"/>
                    <w:rPr>
                      <w:sz w:val="28"/>
                      <w:szCs w:val="28"/>
                    </w:rPr>
                  </w:pPr>
                  <w:r>
                    <w:rPr>
                      <w:sz w:val="28"/>
                      <w:szCs w:val="28"/>
                    </w:rPr>
                    <w:t>Nav.</w:t>
                  </w:r>
                </w:p>
              </w:tc>
            </w:tr>
          </w:tbl>
          <w:p w:rsidR="00A3354C" w:rsidRPr="007E6EE5" w:rsidRDefault="00A3354C" w:rsidP="006E78FD">
            <w:pPr>
              <w:rPr>
                <w:sz w:val="28"/>
                <w:szCs w:val="28"/>
              </w:rPr>
            </w:pPr>
          </w:p>
        </w:tc>
      </w:tr>
    </w:tbl>
    <w:p w:rsidR="00A3354C" w:rsidRPr="007E6EE5" w:rsidRDefault="00A3354C" w:rsidP="00A3354C">
      <w:pPr>
        <w:jc w:val="both"/>
        <w:rPr>
          <w:sz w:val="28"/>
          <w:szCs w:val="28"/>
        </w:rPr>
      </w:pPr>
      <w:r w:rsidRPr="007E6EE5">
        <w:rPr>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8"/>
        <w:gridCol w:w="3062"/>
        <w:gridCol w:w="5541"/>
      </w:tblGrid>
      <w:tr w:rsidR="007E6EE5" w:rsidRPr="007E6EE5" w:rsidTr="006E78FD">
        <w:trPr>
          <w:trHeight w:val="415"/>
          <w:tblCellSpacing w:w="0" w:type="dxa"/>
        </w:trPr>
        <w:tc>
          <w:tcPr>
            <w:tcW w:w="5000" w:type="pct"/>
            <w:gridSpan w:val="3"/>
            <w:tcBorders>
              <w:top w:val="outset" w:sz="6" w:space="0" w:color="auto"/>
              <w:left w:val="inset" w:sz="6" w:space="0" w:color="auto"/>
              <w:bottom w:val="outset" w:sz="6" w:space="0" w:color="auto"/>
            </w:tcBorders>
            <w:vAlign w:val="center"/>
          </w:tcPr>
          <w:p w:rsidR="00A3354C" w:rsidRPr="007E6EE5" w:rsidRDefault="00A3354C" w:rsidP="006E78FD">
            <w:pPr>
              <w:pStyle w:val="naisnod"/>
              <w:jc w:val="center"/>
              <w:rPr>
                <w:b/>
                <w:sz w:val="28"/>
                <w:szCs w:val="28"/>
              </w:rPr>
            </w:pPr>
            <w:r w:rsidRPr="007E6EE5">
              <w:rPr>
                <w:b/>
                <w:sz w:val="28"/>
                <w:szCs w:val="28"/>
              </w:rPr>
              <w:t>IV. Tiesību akta projekta ietekme uz spēkā esošo tiesību normu sistēmu</w:t>
            </w:r>
          </w:p>
        </w:tc>
      </w:tr>
      <w:tr w:rsidR="007E6EE5" w:rsidRPr="007E6EE5" w:rsidTr="00BB55A8">
        <w:trPr>
          <w:trHeight w:val="405"/>
          <w:tblCellSpacing w:w="0" w:type="dxa"/>
        </w:trPr>
        <w:tc>
          <w:tcPr>
            <w:tcW w:w="274" w:type="pct"/>
            <w:tcBorders>
              <w:top w:val="outset" w:sz="6" w:space="0" w:color="auto"/>
              <w:left w:val="inset" w:sz="6" w:space="0" w:color="auto"/>
              <w:bottom w:val="outset" w:sz="6" w:space="0" w:color="auto"/>
              <w:right w:val="outset" w:sz="6" w:space="0" w:color="auto"/>
            </w:tcBorders>
          </w:tcPr>
          <w:p w:rsidR="00BB55A8" w:rsidRPr="007E6EE5" w:rsidRDefault="00BB55A8" w:rsidP="006E78FD">
            <w:pPr>
              <w:pStyle w:val="naiskr"/>
              <w:rPr>
                <w:sz w:val="28"/>
                <w:szCs w:val="28"/>
              </w:rPr>
            </w:pPr>
            <w:r w:rsidRPr="007E6EE5">
              <w:rPr>
                <w:sz w:val="28"/>
                <w:szCs w:val="28"/>
              </w:rPr>
              <w:t>1.</w:t>
            </w:r>
          </w:p>
        </w:tc>
        <w:tc>
          <w:tcPr>
            <w:tcW w:w="1682" w:type="pct"/>
            <w:tcBorders>
              <w:top w:val="outset" w:sz="6" w:space="0" w:color="auto"/>
              <w:left w:val="outset" w:sz="6" w:space="0" w:color="auto"/>
              <w:bottom w:val="outset" w:sz="6" w:space="0" w:color="auto"/>
              <w:right w:val="outset" w:sz="6" w:space="0" w:color="auto"/>
            </w:tcBorders>
          </w:tcPr>
          <w:p w:rsidR="00BB55A8" w:rsidRPr="007E6EE5" w:rsidRDefault="00BB55A8" w:rsidP="006E78FD">
            <w:pPr>
              <w:pStyle w:val="naiskr"/>
              <w:rPr>
                <w:sz w:val="28"/>
                <w:szCs w:val="28"/>
              </w:rPr>
            </w:pPr>
            <w:r w:rsidRPr="007E6EE5">
              <w:rPr>
                <w:sz w:val="28"/>
                <w:szCs w:val="28"/>
              </w:rPr>
              <w:t> Nepieciešamie saistītie tiesību aktu projekti</w:t>
            </w:r>
          </w:p>
        </w:tc>
        <w:tc>
          <w:tcPr>
            <w:tcW w:w="3044" w:type="pct"/>
            <w:tcBorders>
              <w:top w:val="outset" w:sz="6" w:space="0" w:color="auto"/>
              <w:left w:val="outset" w:sz="6" w:space="0" w:color="auto"/>
              <w:bottom w:val="outset" w:sz="6" w:space="0" w:color="auto"/>
            </w:tcBorders>
          </w:tcPr>
          <w:p w:rsidR="00BB55A8" w:rsidRPr="007E6EE5" w:rsidRDefault="00E543F4" w:rsidP="003921B5">
            <w:pPr>
              <w:ind w:right="140"/>
              <w:contextualSpacing/>
              <w:jc w:val="both"/>
              <w:outlineLvl w:val="3"/>
              <w:rPr>
                <w:rFonts w:ascii="Verdana" w:hAnsi="Verdana"/>
                <w:b/>
                <w:bCs/>
                <w:sz w:val="28"/>
                <w:szCs w:val="28"/>
              </w:rPr>
            </w:pPr>
            <w:r w:rsidRPr="007E6EE5">
              <w:rPr>
                <w:sz w:val="28"/>
                <w:szCs w:val="28"/>
              </w:rPr>
              <w:t>Ar p</w:t>
            </w:r>
            <w:r w:rsidR="00BB55A8" w:rsidRPr="007E6EE5">
              <w:rPr>
                <w:sz w:val="28"/>
                <w:szCs w:val="28"/>
              </w:rPr>
              <w:t xml:space="preserve">rojektu </w:t>
            </w:r>
            <w:r w:rsidRPr="007E6EE5">
              <w:rPr>
                <w:sz w:val="28"/>
                <w:szCs w:val="28"/>
              </w:rPr>
              <w:t>saistīts tiesību akts:</w:t>
            </w:r>
            <w:r w:rsidR="007911A2" w:rsidRPr="007E6EE5">
              <w:rPr>
                <w:sz w:val="28"/>
                <w:szCs w:val="28"/>
              </w:rPr>
              <w:t xml:space="preserve"> </w:t>
            </w:r>
            <w:r w:rsidR="002B2552" w:rsidRPr="007E6EE5">
              <w:rPr>
                <w:sz w:val="28"/>
                <w:szCs w:val="28"/>
              </w:rPr>
              <w:t>likum</w:t>
            </w:r>
            <w:r w:rsidR="007911A2" w:rsidRPr="007E6EE5">
              <w:rPr>
                <w:sz w:val="28"/>
                <w:szCs w:val="28"/>
              </w:rPr>
              <w:t xml:space="preserve">projekts </w:t>
            </w:r>
            <w:r w:rsidR="00BB55A8" w:rsidRPr="007E6EE5">
              <w:rPr>
                <w:sz w:val="28"/>
                <w:szCs w:val="28"/>
              </w:rPr>
              <w:t>„</w:t>
            </w:r>
            <w:r w:rsidR="002B2552" w:rsidRPr="007E6EE5">
              <w:rPr>
                <w:sz w:val="28"/>
                <w:szCs w:val="28"/>
              </w:rPr>
              <w:t>Apsardzes darbības likums</w:t>
            </w:r>
            <w:r w:rsidR="00BB55A8" w:rsidRPr="007E6EE5">
              <w:rPr>
                <w:sz w:val="28"/>
                <w:szCs w:val="28"/>
              </w:rPr>
              <w:t xml:space="preserve">” </w:t>
            </w:r>
            <w:r w:rsidRPr="007E6EE5">
              <w:rPr>
                <w:sz w:val="28"/>
                <w:szCs w:val="28"/>
              </w:rPr>
              <w:t>(</w:t>
            </w:r>
            <w:r w:rsidR="003921B5" w:rsidRPr="007E6EE5">
              <w:rPr>
                <w:sz w:val="28"/>
                <w:szCs w:val="28"/>
              </w:rPr>
              <w:t xml:space="preserve">Saeimas </w:t>
            </w:r>
            <w:r w:rsidRPr="007E6EE5">
              <w:rPr>
                <w:sz w:val="28"/>
                <w:szCs w:val="28"/>
              </w:rPr>
              <w:t>reģ. Nr.740/Lp11)</w:t>
            </w:r>
            <w:r w:rsidR="00BB55A8" w:rsidRPr="007E6EE5">
              <w:rPr>
                <w:sz w:val="28"/>
                <w:szCs w:val="28"/>
              </w:rPr>
              <w:t xml:space="preserve">. </w:t>
            </w:r>
          </w:p>
        </w:tc>
      </w:tr>
      <w:tr w:rsidR="007E6EE5" w:rsidRPr="007E6EE5" w:rsidTr="00BB55A8">
        <w:trPr>
          <w:trHeight w:val="450"/>
          <w:tblCellSpacing w:w="0" w:type="dxa"/>
        </w:trPr>
        <w:tc>
          <w:tcPr>
            <w:tcW w:w="274" w:type="pct"/>
            <w:tcBorders>
              <w:top w:val="outset" w:sz="6" w:space="0" w:color="auto"/>
              <w:left w:val="inset" w:sz="6" w:space="0" w:color="auto"/>
              <w:bottom w:val="outset" w:sz="6" w:space="0" w:color="auto"/>
              <w:right w:val="outset" w:sz="6" w:space="0" w:color="auto"/>
            </w:tcBorders>
          </w:tcPr>
          <w:p w:rsidR="00A3354C" w:rsidRPr="007E6EE5" w:rsidRDefault="00A3354C" w:rsidP="006E78FD">
            <w:pPr>
              <w:pStyle w:val="naiskr"/>
              <w:rPr>
                <w:sz w:val="28"/>
                <w:szCs w:val="28"/>
              </w:rPr>
            </w:pPr>
            <w:r w:rsidRPr="007E6EE5">
              <w:rPr>
                <w:sz w:val="28"/>
                <w:szCs w:val="28"/>
              </w:rPr>
              <w:t> 2.</w:t>
            </w:r>
          </w:p>
        </w:tc>
        <w:tc>
          <w:tcPr>
            <w:tcW w:w="1682" w:type="pct"/>
            <w:tcBorders>
              <w:top w:val="outset" w:sz="6" w:space="0" w:color="auto"/>
              <w:left w:val="outset" w:sz="6" w:space="0" w:color="auto"/>
              <w:bottom w:val="outset" w:sz="6" w:space="0" w:color="auto"/>
              <w:right w:val="outset" w:sz="6" w:space="0" w:color="auto"/>
            </w:tcBorders>
          </w:tcPr>
          <w:p w:rsidR="00A3354C" w:rsidRPr="007E6EE5" w:rsidRDefault="00A3354C" w:rsidP="006E78FD">
            <w:pPr>
              <w:pStyle w:val="naiskr"/>
              <w:rPr>
                <w:sz w:val="28"/>
                <w:szCs w:val="28"/>
              </w:rPr>
            </w:pPr>
            <w:r w:rsidRPr="007E6EE5">
              <w:rPr>
                <w:sz w:val="28"/>
                <w:szCs w:val="28"/>
              </w:rPr>
              <w:t> Cita informācija</w:t>
            </w:r>
          </w:p>
        </w:tc>
        <w:tc>
          <w:tcPr>
            <w:tcW w:w="3044" w:type="pct"/>
            <w:tcBorders>
              <w:top w:val="outset" w:sz="6" w:space="0" w:color="auto"/>
              <w:left w:val="outset" w:sz="6" w:space="0" w:color="auto"/>
              <w:bottom w:val="outset" w:sz="6" w:space="0" w:color="auto"/>
            </w:tcBorders>
          </w:tcPr>
          <w:p w:rsidR="00A3354C" w:rsidRPr="007E6EE5" w:rsidRDefault="002B2552" w:rsidP="003921B5">
            <w:pPr>
              <w:ind w:right="142"/>
              <w:jc w:val="both"/>
              <w:rPr>
                <w:sz w:val="28"/>
                <w:szCs w:val="28"/>
              </w:rPr>
            </w:pPr>
            <w:r w:rsidRPr="007E6EE5">
              <w:rPr>
                <w:sz w:val="28"/>
                <w:szCs w:val="28"/>
              </w:rPr>
              <w:t>Nav</w:t>
            </w:r>
            <w:r w:rsidR="00984A50">
              <w:rPr>
                <w:sz w:val="28"/>
                <w:szCs w:val="28"/>
              </w:rPr>
              <w:t>.</w:t>
            </w:r>
          </w:p>
        </w:tc>
      </w:tr>
    </w:tbl>
    <w:p w:rsidR="00A3354C" w:rsidRPr="007E6EE5" w:rsidRDefault="00A3354C" w:rsidP="00A3354C">
      <w:pPr>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8"/>
        <w:gridCol w:w="3062"/>
        <w:gridCol w:w="5541"/>
      </w:tblGrid>
      <w:tr w:rsidR="007E6EE5" w:rsidRPr="007E6EE5" w:rsidTr="00CF5EEF">
        <w:trPr>
          <w:trHeight w:val="415"/>
          <w:tblCellSpacing w:w="0" w:type="dxa"/>
        </w:trPr>
        <w:tc>
          <w:tcPr>
            <w:tcW w:w="5000" w:type="pct"/>
            <w:gridSpan w:val="3"/>
            <w:tcBorders>
              <w:top w:val="outset" w:sz="6" w:space="0" w:color="auto"/>
              <w:left w:val="inset" w:sz="6" w:space="0" w:color="auto"/>
              <w:bottom w:val="outset" w:sz="6" w:space="0" w:color="auto"/>
            </w:tcBorders>
            <w:vAlign w:val="center"/>
          </w:tcPr>
          <w:p w:rsidR="00181651" w:rsidRPr="007E6EE5" w:rsidRDefault="00181651" w:rsidP="00CF5EEF">
            <w:pPr>
              <w:pStyle w:val="naisnod"/>
              <w:jc w:val="center"/>
              <w:rPr>
                <w:b/>
                <w:sz w:val="28"/>
                <w:szCs w:val="28"/>
              </w:rPr>
            </w:pPr>
            <w:r w:rsidRPr="007E6EE5">
              <w:rPr>
                <w:b/>
                <w:sz w:val="28"/>
                <w:szCs w:val="28"/>
              </w:rPr>
              <w:t>VI. Sabiedrības līdzdalība un šīs līdzdalības rezultāti</w:t>
            </w:r>
          </w:p>
        </w:tc>
      </w:tr>
      <w:tr w:rsidR="007E6EE5" w:rsidRPr="007E6EE5" w:rsidTr="00CF5EEF">
        <w:trPr>
          <w:trHeight w:val="405"/>
          <w:tblCellSpacing w:w="0" w:type="dxa"/>
        </w:trPr>
        <w:tc>
          <w:tcPr>
            <w:tcW w:w="274" w:type="pct"/>
            <w:tcBorders>
              <w:top w:val="outset" w:sz="6" w:space="0" w:color="auto"/>
              <w:left w:val="inset" w:sz="6" w:space="0" w:color="auto"/>
              <w:bottom w:val="outset" w:sz="6" w:space="0" w:color="auto"/>
              <w:right w:val="outset" w:sz="6" w:space="0" w:color="auto"/>
            </w:tcBorders>
          </w:tcPr>
          <w:p w:rsidR="00181651" w:rsidRPr="007E6EE5" w:rsidRDefault="00181651" w:rsidP="00CF5EEF">
            <w:pPr>
              <w:pStyle w:val="naiskr"/>
              <w:rPr>
                <w:sz w:val="28"/>
                <w:szCs w:val="28"/>
              </w:rPr>
            </w:pPr>
            <w:r w:rsidRPr="007E6EE5">
              <w:rPr>
                <w:sz w:val="28"/>
                <w:szCs w:val="28"/>
              </w:rPr>
              <w:t>1.</w:t>
            </w:r>
          </w:p>
        </w:tc>
        <w:tc>
          <w:tcPr>
            <w:tcW w:w="1682" w:type="pct"/>
            <w:tcBorders>
              <w:top w:val="outset" w:sz="6" w:space="0" w:color="auto"/>
              <w:left w:val="outset" w:sz="6" w:space="0" w:color="auto"/>
              <w:bottom w:val="outset" w:sz="6" w:space="0" w:color="auto"/>
              <w:right w:val="outset" w:sz="6" w:space="0" w:color="auto"/>
            </w:tcBorders>
          </w:tcPr>
          <w:p w:rsidR="00181651" w:rsidRPr="007E6EE5" w:rsidRDefault="00181651" w:rsidP="00CF5EEF">
            <w:pPr>
              <w:pStyle w:val="naiskr"/>
              <w:rPr>
                <w:sz w:val="28"/>
                <w:szCs w:val="28"/>
              </w:rPr>
            </w:pPr>
            <w:r w:rsidRPr="007E6EE5">
              <w:rPr>
                <w:sz w:val="28"/>
                <w:szCs w:val="28"/>
              </w:rPr>
              <w:t xml:space="preserve"> Sabiedrības informēšana </w:t>
            </w:r>
            <w:r w:rsidRPr="007E6EE5">
              <w:rPr>
                <w:sz w:val="28"/>
                <w:szCs w:val="28"/>
              </w:rPr>
              <w:lastRenderedPageBreak/>
              <w:t>par projekta izstrādes uzsākšanu</w:t>
            </w:r>
          </w:p>
        </w:tc>
        <w:tc>
          <w:tcPr>
            <w:tcW w:w="3044" w:type="pct"/>
            <w:tcBorders>
              <w:top w:val="outset" w:sz="6" w:space="0" w:color="auto"/>
              <w:left w:val="outset" w:sz="6" w:space="0" w:color="auto"/>
              <w:bottom w:val="outset" w:sz="6" w:space="0" w:color="auto"/>
            </w:tcBorders>
          </w:tcPr>
          <w:p w:rsidR="00181651" w:rsidRPr="007E6EE5" w:rsidRDefault="00B50342" w:rsidP="003921B5">
            <w:pPr>
              <w:ind w:right="140"/>
              <w:contextualSpacing/>
              <w:jc w:val="both"/>
              <w:outlineLvl w:val="3"/>
              <w:rPr>
                <w:rFonts w:ascii="Verdana" w:hAnsi="Verdana"/>
                <w:b/>
                <w:bCs/>
                <w:sz w:val="28"/>
                <w:szCs w:val="28"/>
              </w:rPr>
            </w:pPr>
            <w:r w:rsidRPr="007E6EE5">
              <w:rPr>
                <w:sz w:val="28"/>
                <w:szCs w:val="28"/>
              </w:rPr>
              <w:lastRenderedPageBreak/>
              <w:t>Projekts šo jomu neskar.</w:t>
            </w:r>
          </w:p>
        </w:tc>
      </w:tr>
      <w:tr w:rsidR="007E6EE5" w:rsidRPr="007E6EE5" w:rsidTr="00CF5EEF">
        <w:trPr>
          <w:trHeight w:val="450"/>
          <w:tblCellSpacing w:w="0" w:type="dxa"/>
        </w:trPr>
        <w:tc>
          <w:tcPr>
            <w:tcW w:w="274" w:type="pct"/>
            <w:tcBorders>
              <w:top w:val="outset" w:sz="6" w:space="0" w:color="auto"/>
              <w:left w:val="inset" w:sz="6" w:space="0" w:color="auto"/>
              <w:bottom w:val="outset" w:sz="6" w:space="0" w:color="auto"/>
              <w:right w:val="outset" w:sz="6" w:space="0" w:color="auto"/>
            </w:tcBorders>
          </w:tcPr>
          <w:p w:rsidR="00181651" w:rsidRPr="007E6EE5" w:rsidRDefault="00181651" w:rsidP="00CF5EEF">
            <w:pPr>
              <w:pStyle w:val="naiskr"/>
              <w:rPr>
                <w:sz w:val="28"/>
                <w:szCs w:val="28"/>
              </w:rPr>
            </w:pPr>
            <w:r w:rsidRPr="007E6EE5">
              <w:rPr>
                <w:sz w:val="28"/>
                <w:szCs w:val="28"/>
              </w:rPr>
              <w:lastRenderedPageBreak/>
              <w:t> 2.</w:t>
            </w:r>
          </w:p>
        </w:tc>
        <w:tc>
          <w:tcPr>
            <w:tcW w:w="1682" w:type="pct"/>
            <w:tcBorders>
              <w:top w:val="outset" w:sz="6" w:space="0" w:color="auto"/>
              <w:left w:val="outset" w:sz="6" w:space="0" w:color="auto"/>
              <w:bottom w:val="outset" w:sz="6" w:space="0" w:color="auto"/>
              <w:right w:val="outset" w:sz="6" w:space="0" w:color="auto"/>
            </w:tcBorders>
          </w:tcPr>
          <w:p w:rsidR="00181651" w:rsidRPr="007E6EE5" w:rsidRDefault="00181651" w:rsidP="00CF5EEF">
            <w:pPr>
              <w:pStyle w:val="naiskr"/>
              <w:rPr>
                <w:sz w:val="28"/>
                <w:szCs w:val="28"/>
              </w:rPr>
            </w:pPr>
            <w:r w:rsidRPr="007E6EE5">
              <w:rPr>
                <w:sz w:val="28"/>
                <w:szCs w:val="28"/>
              </w:rPr>
              <w:t> Sabiedrības līdzdalība projekta izstrādē</w:t>
            </w:r>
          </w:p>
        </w:tc>
        <w:tc>
          <w:tcPr>
            <w:tcW w:w="3044" w:type="pct"/>
            <w:tcBorders>
              <w:top w:val="outset" w:sz="6" w:space="0" w:color="auto"/>
              <w:left w:val="outset" w:sz="6" w:space="0" w:color="auto"/>
              <w:bottom w:val="outset" w:sz="6" w:space="0" w:color="auto"/>
            </w:tcBorders>
          </w:tcPr>
          <w:p w:rsidR="00181651" w:rsidRPr="007E6EE5" w:rsidRDefault="004130D8" w:rsidP="003921B5">
            <w:pPr>
              <w:ind w:right="142"/>
              <w:jc w:val="both"/>
              <w:rPr>
                <w:sz w:val="28"/>
                <w:szCs w:val="28"/>
              </w:rPr>
            </w:pPr>
            <w:r w:rsidRPr="007E6EE5">
              <w:rPr>
                <w:sz w:val="28"/>
                <w:szCs w:val="28"/>
              </w:rPr>
              <w:t>Projekts šo jomu neskar.</w:t>
            </w:r>
          </w:p>
        </w:tc>
      </w:tr>
      <w:tr w:rsidR="007E6EE5" w:rsidRPr="007E6EE5" w:rsidTr="00CF5EEF">
        <w:trPr>
          <w:trHeight w:val="450"/>
          <w:tblCellSpacing w:w="0" w:type="dxa"/>
        </w:trPr>
        <w:tc>
          <w:tcPr>
            <w:tcW w:w="274" w:type="pct"/>
            <w:tcBorders>
              <w:top w:val="outset" w:sz="6" w:space="0" w:color="auto"/>
              <w:left w:val="inset" w:sz="6" w:space="0" w:color="auto"/>
              <w:bottom w:val="outset" w:sz="6" w:space="0" w:color="auto"/>
              <w:right w:val="outset" w:sz="6" w:space="0" w:color="auto"/>
            </w:tcBorders>
          </w:tcPr>
          <w:p w:rsidR="00181651" w:rsidRPr="007E6EE5" w:rsidRDefault="00181651" w:rsidP="00181651">
            <w:pPr>
              <w:pStyle w:val="naiskr"/>
              <w:jc w:val="center"/>
              <w:rPr>
                <w:sz w:val="28"/>
                <w:szCs w:val="28"/>
              </w:rPr>
            </w:pPr>
            <w:r w:rsidRPr="007E6EE5">
              <w:rPr>
                <w:sz w:val="28"/>
                <w:szCs w:val="28"/>
              </w:rPr>
              <w:t>3.</w:t>
            </w:r>
          </w:p>
        </w:tc>
        <w:tc>
          <w:tcPr>
            <w:tcW w:w="1682" w:type="pct"/>
            <w:tcBorders>
              <w:top w:val="outset" w:sz="6" w:space="0" w:color="auto"/>
              <w:left w:val="outset" w:sz="6" w:space="0" w:color="auto"/>
              <w:bottom w:val="outset" w:sz="6" w:space="0" w:color="auto"/>
              <w:right w:val="outset" w:sz="6" w:space="0" w:color="auto"/>
            </w:tcBorders>
          </w:tcPr>
          <w:p w:rsidR="00181651" w:rsidRPr="007E6EE5" w:rsidRDefault="00181651" w:rsidP="00CF5EEF">
            <w:pPr>
              <w:pStyle w:val="naiskr"/>
              <w:rPr>
                <w:sz w:val="28"/>
                <w:szCs w:val="28"/>
              </w:rPr>
            </w:pPr>
            <w:r w:rsidRPr="007E6EE5">
              <w:rPr>
                <w:sz w:val="28"/>
                <w:szCs w:val="28"/>
              </w:rPr>
              <w:t xml:space="preserve"> Sabiedrības līdzdalības rezultāti</w:t>
            </w:r>
          </w:p>
        </w:tc>
        <w:tc>
          <w:tcPr>
            <w:tcW w:w="3044" w:type="pct"/>
            <w:tcBorders>
              <w:top w:val="outset" w:sz="6" w:space="0" w:color="auto"/>
              <w:left w:val="outset" w:sz="6" w:space="0" w:color="auto"/>
              <w:bottom w:val="outset" w:sz="6" w:space="0" w:color="auto"/>
            </w:tcBorders>
          </w:tcPr>
          <w:p w:rsidR="00181651" w:rsidRPr="007E6EE5" w:rsidRDefault="004130D8" w:rsidP="003921B5">
            <w:pPr>
              <w:ind w:right="142"/>
              <w:jc w:val="both"/>
              <w:rPr>
                <w:sz w:val="28"/>
                <w:szCs w:val="28"/>
              </w:rPr>
            </w:pPr>
            <w:r w:rsidRPr="007E6EE5">
              <w:rPr>
                <w:sz w:val="28"/>
                <w:szCs w:val="28"/>
              </w:rPr>
              <w:t>Projekts šo jomu neskar.</w:t>
            </w:r>
          </w:p>
        </w:tc>
      </w:tr>
      <w:tr w:rsidR="007E6EE5" w:rsidRPr="007E6EE5" w:rsidTr="00CF5EEF">
        <w:trPr>
          <w:trHeight w:val="450"/>
          <w:tblCellSpacing w:w="0" w:type="dxa"/>
        </w:trPr>
        <w:tc>
          <w:tcPr>
            <w:tcW w:w="274" w:type="pct"/>
            <w:tcBorders>
              <w:top w:val="outset" w:sz="6" w:space="0" w:color="auto"/>
              <w:left w:val="inset" w:sz="6" w:space="0" w:color="auto"/>
              <w:bottom w:val="outset" w:sz="6" w:space="0" w:color="auto"/>
              <w:right w:val="outset" w:sz="6" w:space="0" w:color="auto"/>
            </w:tcBorders>
          </w:tcPr>
          <w:p w:rsidR="00181651" w:rsidRPr="007E6EE5" w:rsidRDefault="00181651" w:rsidP="00181651">
            <w:pPr>
              <w:pStyle w:val="naiskr"/>
              <w:jc w:val="center"/>
              <w:rPr>
                <w:sz w:val="28"/>
                <w:szCs w:val="28"/>
              </w:rPr>
            </w:pPr>
            <w:r w:rsidRPr="007E6EE5">
              <w:rPr>
                <w:sz w:val="28"/>
                <w:szCs w:val="28"/>
              </w:rPr>
              <w:t>4.</w:t>
            </w:r>
          </w:p>
        </w:tc>
        <w:tc>
          <w:tcPr>
            <w:tcW w:w="1682" w:type="pct"/>
            <w:tcBorders>
              <w:top w:val="outset" w:sz="6" w:space="0" w:color="auto"/>
              <w:left w:val="outset" w:sz="6" w:space="0" w:color="auto"/>
              <w:bottom w:val="outset" w:sz="6" w:space="0" w:color="auto"/>
              <w:right w:val="outset" w:sz="6" w:space="0" w:color="auto"/>
            </w:tcBorders>
          </w:tcPr>
          <w:p w:rsidR="00181651" w:rsidRPr="007E6EE5" w:rsidRDefault="00181651" w:rsidP="00CF5EEF">
            <w:pPr>
              <w:pStyle w:val="naiskr"/>
              <w:rPr>
                <w:sz w:val="28"/>
                <w:szCs w:val="28"/>
              </w:rPr>
            </w:pPr>
            <w:r w:rsidRPr="007E6EE5">
              <w:rPr>
                <w:sz w:val="28"/>
                <w:szCs w:val="28"/>
              </w:rPr>
              <w:t xml:space="preserve"> Saeimas un ekspertu līdzdalība</w:t>
            </w:r>
          </w:p>
        </w:tc>
        <w:tc>
          <w:tcPr>
            <w:tcW w:w="3044" w:type="pct"/>
            <w:tcBorders>
              <w:top w:val="outset" w:sz="6" w:space="0" w:color="auto"/>
              <w:left w:val="outset" w:sz="6" w:space="0" w:color="auto"/>
              <w:bottom w:val="outset" w:sz="6" w:space="0" w:color="auto"/>
            </w:tcBorders>
          </w:tcPr>
          <w:p w:rsidR="00181651" w:rsidRPr="007E6EE5" w:rsidRDefault="00DD0B9B" w:rsidP="003921B5">
            <w:pPr>
              <w:ind w:right="142"/>
              <w:jc w:val="both"/>
              <w:rPr>
                <w:sz w:val="28"/>
                <w:szCs w:val="28"/>
              </w:rPr>
            </w:pPr>
            <w:r w:rsidRPr="007E6EE5">
              <w:rPr>
                <w:sz w:val="28"/>
                <w:szCs w:val="28"/>
              </w:rPr>
              <w:t>Projekts šo jomu neskar</w:t>
            </w:r>
            <w:r w:rsidR="00B53961" w:rsidRPr="007E6EE5">
              <w:rPr>
                <w:sz w:val="28"/>
                <w:szCs w:val="28"/>
              </w:rPr>
              <w:t>.</w:t>
            </w:r>
          </w:p>
        </w:tc>
      </w:tr>
      <w:tr w:rsidR="007E6EE5" w:rsidRPr="007E6EE5" w:rsidTr="00CF5EEF">
        <w:trPr>
          <w:trHeight w:val="450"/>
          <w:tblCellSpacing w:w="0" w:type="dxa"/>
        </w:trPr>
        <w:tc>
          <w:tcPr>
            <w:tcW w:w="274" w:type="pct"/>
            <w:tcBorders>
              <w:top w:val="outset" w:sz="6" w:space="0" w:color="auto"/>
              <w:left w:val="inset" w:sz="6" w:space="0" w:color="auto"/>
              <w:bottom w:val="outset" w:sz="6" w:space="0" w:color="auto"/>
              <w:right w:val="outset" w:sz="6" w:space="0" w:color="auto"/>
            </w:tcBorders>
          </w:tcPr>
          <w:p w:rsidR="00181651" w:rsidRPr="007E6EE5" w:rsidRDefault="00181651" w:rsidP="00181651">
            <w:pPr>
              <w:pStyle w:val="naiskr"/>
              <w:jc w:val="center"/>
              <w:rPr>
                <w:sz w:val="28"/>
                <w:szCs w:val="28"/>
              </w:rPr>
            </w:pPr>
            <w:r w:rsidRPr="007E6EE5">
              <w:rPr>
                <w:sz w:val="28"/>
                <w:szCs w:val="28"/>
              </w:rPr>
              <w:t>5.</w:t>
            </w:r>
          </w:p>
        </w:tc>
        <w:tc>
          <w:tcPr>
            <w:tcW w:w="1682" w:type="pct"/>
            <w:tcBorders>
              <w:top w:val="outset" w:sz="6" w:space="0" w:color="auto"/>
              <w:left w:val="outset" w:sz="6" w:space="0" w:color="auto"/>
              <w:bottom w:val="outset" w:sz="6" w:space="0" w:color="auto"/>
              <w:right w:val="outset" w:sz="6" w:space="0" w:color="auto"/>
            </w:tcBorders>
          </w:tcPr>
          <w:p w:rsidR="00181651" w:rsidRPr="007E6EE5" w:rsidRDefault="00181651" w:rsidP="00CF5EEF">
            <w:pPr>
              <w:pStyle w:val="naiskr"/>
              <w:rPr>
                <w:sz w:val="28"/>
                <w:szCs w:val="28"/>
              </w:rPr>
            </w:pPr>
            <w:r w:rsidRPr="007E6EE5">
              <w:rPr>
                <w:sz w:val="28"/>
                <w:szCs w:val="28"/>
              </w:rPr>
              <w:t xml:space="preserve"> Cita informācija</w:t>
            </w:r>
          </w:p>
        </w:tc>
        <w:tc>
          <w:tcPr>
            <w:tcW w:w="3044" w:type="pct"/>
            <w:tcBorders>
              <w:top w:val="outset" w:sz="6" w:space="0" w:color="auto"/>
              <w:left w:val="outset" w:sz="6" w:space="0" w:color="auto"/>
              <w:bottom w:val="outset" w:sz="6" w:space="0" w:color="auto"/>
            </w:tcBorders>
          </w:tcPr>
          <w:p w:rsidR="00181651" w:rsidRPr="007E6EE5" w:rsidRDefault="00961DE1" w:rsidP="003921B5">
            <w:pPr>
              <w:ind w:right="142"/>
              <w:jc w:val="both"/>
              <w:rPr>
                <w:sz w:val="28"/>
                <w:szCs w:val="28"/>
              </w:rPr>
            </w:pPr>
            <w:r>
              <w:rPr>
                <w:sz w:val="28"/>
                <w:szCs w:val="28"/>
              </w:rPr>
              <w:t>Nav.</w:t>
            </w:r>
          </w:p>
        </w:tc>
      </w:tr>
    </w:tbl>
    <w:p w:rsidR="00E543F4" w:rsidRPr="007E6EE5" w:rsidRDefault="00E543F4" w:rsidP="00A3354C">
      <w:pPr>
        <w:rPr>
          <w:sz w:val="28"/>
          <w:szCs w:val="28"/>
        </w:rPr>
      </w:pPr>
    </w:p>
    <w:tbl>
      <w:tblPr>
        <w:tblW w:w="91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
        <w:gridCol w:w="3048"/>
        <w:gridCol w:w="5576"/>
      </w:tblGrid>
      <w:tr w:rsidR="007E6EE5" w:rsidRPr="007E6EE5" w:rsidTr="006E78FD">
        <w:trPr>
          <w:tblCellSpacing w:w="0" w:type="dxa"/>
        </w:trPr>
        <w:tc>
          <w:tcPr>
            <w:tcW w:w="9135" w:type="dxa"/>
            <w:gridSpan w:val="3"/>
            <w:tcBorders>
              <w:top w:val="outset" w:sz="6" w:space="0" w:color="auto"/>
              <w:left w:val="outset" w:sz="6" w:space="0" w:color="auto"/>
              <w:bottom w:val="outset" w:sz="6" w:space="0" w:color="auto"/>
              <w:right w:val="outset" w:sz="6" w:space="0" w:color="auto"/>
            </w:tcBorders>
            <w:vAlign w:val="center"/>
          </w:tcPr>
          <w:p w:rsidR="00A3354C" w:rsidRPr="007E6EE5" w:rsidRDefault="00A3354C" w:rsidP="006E78FD">
            <w:pPr>
              <w:jc w:val="center"/>
              <w:rPr>
                <w:sz w:val="28"/>
                <w:szCs w:val="28"/>
              </w:rPr>
            </w:pPr>
            <w:r w:rsidRPr="007E6EE5">
              <w:rPr>
                <w:b/>
                <w:bCs/>
                <w:sz w:val="28"/>
                <w:szCs w:val="28"/>
              </w:rPr>
              <w:t>VII. Tiesību akta projekta izpildes nodrošināšana un tās ietekme uz institūcijām</w:t>
            </w:r>
          </w:p>
        </w:tc>
      </w:tr>
      <w:tr w:rsidR="007E6EE5" w:rsidRPr="007E6EE5" w:rsidTr="006E78FD">
        <w:trPr>
          <w:trHeight w:val="427"/>
          <w:tblCellSpacing w:w="0" w:type="dxa"/>
        </w:trPr>
        <w:tc>
          <w:tcPr>
            <w:tcW w:w="511" w:type="dxa"/>
            <w:tcBorders>
              <w:top w:val="outset" w:sz="6" w:space="0" w:color="auto"/>
              <w:left w:val="outset" w:sz="6" w:space="0" w:color="auto"/>
              <w:bottom w:val="outset" w:sz="6" w:space="0" w:color="auto"/>
              <w:right w:val="outset" w:sz="6" w:space="0" w:color="auto"/>
            </w:tcBorders>
          </w:tcPr>
          <w:p w:rsidR="00A3354C" w:rsidRPr="007E6EE5" w:rsidRDefault="00A3354C" w:rsidP="006E78FD">
            <w:pPr>
              <w:rPr>
                <w:sz w:val="28"/>
                <w:szCs w:val="28"/>
              </w:rPr>
            </w:pPr>
            <w:r w:rsidRPr="007E6EE5">
              <w:rPr>
                <w:sz w:val="28"/>
                <w:szCs w:val="28"/>
              </w:rPr>
              <w:t> 1.</w:t>
            </w:r>
          </w:p>
        </w:tc>
        <w:tc>
          <w:tcPr>
            <w:tcW w:w="3048" w:type="dxa"/>
            <w:tcBorders>
              <w:top w:val="outset" w:sz="6" w:space="0" w:color="auto"/>
              <w:left w:val="outset" w:sz="6" w:space="0" w:color="auto"/>
              <w:bottom w:val="outset" w:sz="6" w:space="0" w:color="auto"/>
              <w:right w:val="outset" w:sz="6" w:space="0" w:color="auto"/>
            </w:tcBorders>
          </w:tcPr>
          <w:p w:rsidR="00A3354C" w:rsidRPr="00984A50" w:rsidRDefault="00A3354C" w:rsidP="006E78FD">
            <w:pPr>
              <w:rPr>
                <w:sz w:val="28"/>
                <w:szCs w:val="28"/>
              </w:rPr>
            </w:pPr>
            <w:r w:rsidRPr="00984A50">
              <w:rPr>
                <w:sz w:val="28"/>
                <w:szCs w:val="28"/>
              </w:rPr>
              <w:t> Projekta izpildē iesaistītās institūcijas</w:t>
            </w:r>
          </w:p>
        </w:tc>
        <w:tc>
          <w:tcPr>
            <w:tcW w:w="5576" w:type="dxa"/>
            <w:tcBorders>
              <w:top w:val="outset" w:sz="6" w:space="0" w:color="auto"/>
              <w:left w:val="outset" w:sz="6" w:space="0" w:color="auto"/>
              <w:bottom w:val="outset" w:sz="6" w:space="0" w:color="auto"/>
              <w:right w:val="outset" w:sz="6" w:space="0" w:color="auto"/>
            </w:tcBorders>
            <w:vAlign w:val="center"/>
          </w:tcPr>
          <w:p w:rsidR="00A3354C" w:rsidRPr="00984A50" w:rsidRDefault="004130D8" w:rsidP="00984A50">
            <w:pPr>
              <w:ind w:right="57"/>
              <w:jc w:val="both"/>
              <w:rPr>
                <w:sz w:val="28"/>
                <w:szCs w:val="28"/>
              </w:rPr>
            </w:pPr>
            <w:r w:rsidRPr="00984A50">
              <w:rPr>
                <w:sz w:val="28"/>
                <w:szCs w:val="28"/>
              </w:rPr>
              <w:t xml:space="preserve">Noteikumu projekta izpildi nodrošinās Izglītības kvalitātes valsts </w:t>
            </w:r>
            <w:r w:rsidR="00984A50" w:rsidRPr="00984A50">
              <w:rPr>
                <w:sz w:val="28"/>
                <w:szCs w:val="28"/>
              </w:rPr>
              <w:t>dienests un Valsts policija.</w:t>
            </w:r>
            <w:r w:rsidRPr="00984A50">
              <w:rPr>
                <w:sz w:val="28"/>
                <w:szCs w:val="28"/>
              </w:rPr>
              <w:t xml:space="preserve"> </w:t>
            </w:r>
          </w:p>
        </w:tc>
      </w:tr>
      <w:tr w:rsidR="007E6EE5" w:rsidRPr="007E6EE5" w:rsidTr="006E78FD">
        <w:trPr>
          <w:trHeight w:val="463"/>
          <w:tblCellSpacing w:w="0" w:type="dxa"/>
        </w:trPr>
        <w:tc>
          <w:tcPr>
            <w:tcW w:w="511" w:type="dxa"/>
            <w:tcBorders>
              <w:top w:val="outset" w:sz="6" w:space="0" w:color="auto"/>
              <w:left w:val="outset" w:sz="6" w:space="0" w:color="auto"/>
              <w:bottom w:val="outset" w:sz="6" w:space="0" w:color="auto"/>
              <w:right w:val="outset" w:sz="6" w:space="0" w:color="auto"/>
            </w:tcBorders>
          </w:tcPr>
          <w:p w:rsidR="00A3354C" w:rsidRPr="007E6EE5" w:rsidRDefault="00A3354C" w:rsidP="006E78FD">
            <w:pPr>
              <w:rPr>
                <w:sz w:val="28"/>
                <w:szCs w:val="28"/>
              </w:rPr>
            </w:pPr>
            <w:r w:rsidRPr="007E6EE5">
              <w:rPr>
                <w:sz w:val="28"/>
                <w:szCs w:val="28"/>
              </w:rPr>
              <w:t> 2.</w:t>
            </w:r>
          </w:p>
        </w:tc>
        <w:tc>
          <w:tcPr>
            <w:tcW w:w="3048" w:type="dxa"/>
            <w:tcBorders>
              <w:top w:val="outset" w:sz="6" w:space="0" w:color="auto"/>
              <w:left w:val="outset" w:sz="6" w:space="0" w:color="auto"/>
              <w:bottom w:val="outset" w:sz="6" w:space="0" w:color="auto"/>
              <w:right w:val="outset" w:sz="6" w:space="0" w:color="auto"/>
            </w:tcBorders>
          </w:tcPr>
          <w:p w:rsidR="00A3354C" w:rsidRPr="007E6EE5" w:rsidRDefault="00A3354C" w:rsidP="006E78FD">
            <w:pPr>
              <w:rPr>
                <w:sz w:val="28"/>
                <w:szCs w:val="28"/>
              </w:rPr>
            </w:pPr>
            <w:r w:rsidRPr="007E6EE5">
              <w:rPr>
                <w:sz w:val="28"/>
                <w:szCs w:val="28"/>
              </w:rPr>
              <w:t> Projekta izpildes ietekme uz pārvaldes funkcijām</w:t>
            </w:r>
          </w:p>
        </w:tc>
        <w:tc>
          <w:tcPr>
            <w:tcW w:w="5576" w:type="dxa"/>
            <w:tcBorders>
              <w:top w:val="outset" w:sz="6" w:space="0" w:color="auto"/>
              <w:left w:val="outset" w:sz="6" w:space="0" w:color="auto"/>
              <w:bottom w:val="outset" w:sz="6" w:space="0" w:color="auto"/>
              <w:right w:val="outset" w:sz="6" w:space="0" w:color="auto"/>
            </w:tcBorders>
          </w:tcPr>
          <w:p w:rsidR="00A3354C" w:rsidRPr="007E6EE5" w:rsidRDefault="00262C36" w:rsidP="003921B5">
            <w:pPr>
              <w:pStyle w:val="naiskr"/>
              <w:spacing w:before="0" w:beforeAutospacing="0" w:after="0" w:afterAutospacing="0"/>
              <w:ind w:right="174"/>
              <w:jc w:val="both"/>
              <w:rPr>
                <w:sz w:val="28"/>
                <w:szCs w:val="28"/>
              </w:rPr>
            </w:pPr>
            <w:r w:rsidRPr="007E6EE5">
              <w:rPr>
                <w:sz w:val="28"/>
                <w:szCs w:val="28"/>
              </w:rPr>
              <w:t>Saistībā ar noteikumu projekta izpildi iesaistīto institūciju funkcijas netiek paplašinātas vai sašaurinātas.</w:t>
            </w:r>
          </w:p>
        </w:tc>
      </w:tr>
      <w:tr w:rsidR="007E6EE5" w:rsidRPr="007E6EE5" w:rsidTr="006E78FD">
        <w:trPr>
          <w:trHeight w:val="725"/>
          <w:tblCellSpacing w:w="0" w:type="dxa"/>
        </w:trPr>
        <w:tc>
          <w:tcPr>
            <w:tcW w:w="511" w:type="dxa"/>
            <w:tcBorders>
              <w:top w:val="outset" w:sz="6" w:space="0" w:color="auto"/>
              <w:left w:val="outset" w:sz="6" w:space="0" w:color="auto"/>
              <w:bottom w:val="outset" w:sz="6" w:space="0" w:color="auto"/>
              <w:right w:val="outset" w:sz="6" w:space="0" w:color="auto"/>
            </w:tcBorders>
          </w:tcPr>
          <w:p w:rsidR="00A3354C" w:rsidRPr="007E6EE5" w:rsidRDefault="00A3354C" w:rsidP="006E78FD">
            <w:pPr>
              <w:rPr>
                <w:sz w:val="28"/>
                <w:szCs w:val="28"/>
              </w:rPr>
            </w:pPr>
            <w:r w:rsidRPr="007E6EE5">
              <w:rPr>
                <w:sz w:val="28"/>
                <w:szCs w:val="28"/>
              </w:rPr>
              <w:t> 3.</w:t>
            </w:r>
          </w:p>
        </w:tc>
        <w:tc>
          <w:tcPr>
            <w:tcW w:w="3048" w:type="dxa"/>
            <w:tcBorders>
              <w:top w:val="outset" w:sz="6" w:space="0" w:color="auto"/>
              <w:left w:val="outset" w:sz="6" w:space="0" w:color="auto"/>
              <w:bottom w:val="outset" w:sz="6" w:space="0" w:color="auto"/>
              <w:right w:val="outset" w:sz="6" w:space="0" w:color="auto"/>
            </w:tcBorders>
          </w:tcPr>
          <w:p w:rsidR="00A3354C" w:rsidRPr="007E6EE5" w:rsidRDefault="00A3354C" w:rsidP="006E78FD">
            <w:pPr>
              <w:rPr>
                <w:sz w:val="28"/>
                <w:szCs w:val="28"/>
              </w:rPr>
            </w:pPr>
            <w:r w:rsidRPr="007E6EE5">
              <w:rPr>
                <w:sz w:val="28"/>
                <w:szCs w:val="28"/>
              </w:rPr>
              <w:t> Projekta izpildes ietekme uz pārvaldes institucionālo struktūru.</w:t>
            </w:r>
          </w:p>
          <w:p w:rsidR="00A3354C" w:rsidRPr="007E6EE5" w:rsidRDefault="00A3354C" w:rsidP="006E78FD">
            <w:pPr>
              <w:rPr>
                <w:sz w:val="28"/>
                <w:szCs w:val="28"/>
              </w:rPr>
            </w:pPr>
            <w:r w:rsidRPr="007E6EE5">
              <w:rPr>
                <w:sz w:val="28"/>
                <w:szCs w:val="28"/>
              </w:rPr>
              <w:t>Jaunu institūciju izveide</w:t>
            </w:r>
          </w:p>
        </w:tc>
        <w:tc>
          <w:tcPr>
            <w:tcW w:w="5576" w:type="dxa"/>
            <w:tcBorders>
              <w:top w:val="outset" w:sz="6" w:space="0" w:color="auto"/>
              <w:left w:val="outset" w:sz="6" w:space="0" w:color="auto"/>
              <w:bottom w:val="outset" w:sz="6" w:space="0" w:color="auto"/>
              <w:right w:val="outset" w:sz="6" w:space="0" w:color="auto"/>
            </w:tcBorders>
          </w:tcPr>
          <w:p w:rsidR="00A3354C" w:rsidRPr="007E6EE5" w:rsidRDefault="00262C36" w:rsidP="00262C36">
            <w:pPr>
              <w:ind w:right="57"/>
              <w:jc w:val="both"/>
              <w:rPr>
                <w:sz w:val="28"/>
                <w:szCs w:val="28"/>
              </w:rPr>
            </w:pPr>
            <w:r w:rsidRPr="007E6EE5">
              <w:rPr>
                <w:sz w:val="28"/>
                <w:szCs w:val="28"/>
              </w:rPr>
              <w:t>Saistībā ar noteikumu projekta izpildi nav nepieciešams veidot jaunas institūcijas.</w:t>
            </w:r>
          </w:p>
        </w:tc>
      </w:tr>
      <w:tr w:rsidR="007E6EE5" w:rsidRPr="007E6EE5" w:rsidTr="006E78FD">
        <w:trPr>
          <w:trHeight w:val="780"/>
          <w:tblCellSpacing w:w="0" w:type="dxa"/>
        </w:trPr>
        <w:tc>
          <w:tcPr>
            <w:tcW w:w="511" w:type="dxa"/>
            <w:tcBorders>
              <w:top w:val="outset" w:sz="6" w:space="0" w:color="auto"/>
              <w:left w:val="outset" w:sz="6" w:space="0" w:color="auto"/>
              <w:bottom w:val="outset" w:sz="6" w:space="0" w:color="auto"/>
              <w:right w:val="outset" w:sz="6" w:space="0" w:color="auto"/>
            </w:tcBorders>
          </w:tcPr>
          <w:p w:rsidR="00A3354C" w:rsidRPr="007E6EE5" w:rsidRDefault="00A3354C" w:rsidP="006E78FD">
            <w:pPr>
              <w:rPr>
                <w:sz w:val="28"/>
                <w:szCs w:val="28"/>
              </w:rPr>
            </w:pPr>
            <w:r w:rsidRPr="007E6EE5">
              <w:rPr>
                <w:sz w:val="28"/>
                <w:szCs w:val="28"/>
              </w:rPr>
              <w:t> 4.</w:t>
            </w:r>
          </w:p>
        </w:tc>
        <w:tc>
          <w:tcPr>
            <w:tcW w:w="3048" w:type="dxa"/>
            <w:tcBorders>
              <w:top w:val="outset" w:sz="6" w:space="0" w:color="auto"/>
              <w:left w:val="outset" w:sz="6" w:space="0" w:color="auto"/>
              <w:bottom w:val="outset" w:sz="6" w:space="0" w:color="auto"/>
              <w:right w:val="outset" w:sz="6" w:space="0" w:color="auto"/>
            </w:tcBorders>
          </w:tcPr>
          <w:p w:rsidR="00A3354C" w:rsidRPr="007E6EE5" w:rsidRDefault="00A3354C" w:rsidP="006E78FD">
            <w:pPr>
              <w:rPr>
                <w:sz w:val="28"/>
                <w:szCs w:val="28"/>
              </w:rPr>
            </w:pPr>
            <w:r w:rsidRPr="007E6EE5">
              <w:rPr>
                <w:sz w:val="28"/>
                <w:szCs w:val="28"/>
              </w:rPr>
              <w:t> Projekta izpildes ietekme uz pārvaldes institucionālo struktūru.</w:t>
            </w:r>
          </w:p>
          <w:p w:rsidR="00A3354C" w:rsidRPr="007E6EE5" w:rsidRDefault="00A3354C" w:rsidP="006E78FD">
            <w:pPr>
              <w:rPr>
                <w:sz w:val="28"/>
                <w:szCs w:val="28"/>
              </w:rPr>
            </w:pPr>
            <w:r w:rsidRPr="007E6EE5">
              <w:rPr>
                <w:sz w:val="28"/>
                <w:szCs w:val="28"/>
              </w:rPr>
              <w:t>Esošu institūciju likvidācija</w:t>
            </w:r>
          </w:p>
        </w:tc>
        <w:tc>
          <w:tcPr>
            <w:tcW w:w="5576" w:type="dxa"/>
            <w:tcBorders>
              <w:top w:val="outset" w:sz="6" w:space="0" w:color="auto"/>
              <w:left w:val="outset" w:sz="6" w:space="0" w:color="auto"/>
              <w:bottom w:val="outset" w:sz="6" w:space="0" w:color="auto"/>
              <w:right w:val="outset" w:sz="6" w:space="0" w:color="auto"/>
            </w:tcBorders>
          </w:tcPr>
          <w:p w:rsidR="00A3354C" w:rsidRPr="007E6EE5" w:rsidRDefault="00262C36" w:rsidP="00262C36">
            <w:pPr>
              <w:ind w:right="57"/>
              <w:jc w:val="both"/>
              <w:rPr>
                <w:sz w:val="28"/>
                <w:szCs w:val="28"/>
              </w:rPr>
            </w:pPr>
            <w:r w:rsidRPr="007E6EE5">
              <w:rPr>
                <w:sz w:val="28"/>
                <w:szCs w:val="28"/>
              </w:rPr>
              <w:t>Saistībā ar noteikumu projekta izpildi nav plānots likvidēt esošu institūciju.</w:t>
            </w:r>
          </w:p>
        </w:tc>
      </w:tr>
      <w:tr w:rsidR="007E6EE5" w:rsidRPr="007E6EE5" w:rsidTr="006E78FD">
        <w:trPr>
          <w:trHeight w:val="703"/>
          <w:tblCellSpacing w:w="0" w:type="dxa"/>
        </w:trPr>
        <w:tc>
          <w:tcPr>
            <w:tcW w:w="511" w:type="dxa"/>
            <w:tcBorders>
              <w:top w:val="outset" w:sz="6" w:space="0" w:color="auto"/>
              <w:left w:val="outset" w:sz="6" w:space="0" w:color="auto"/>
              <w:bottom w:val="outset" w:sz="6" w:space="0" w:color="auto"/>
              <w:right w:val="outset" w:sz="6" w:space="0" w:color="auto"/>
            </w:tcBorders>
          </w:tcPr>
          <w:p w:rsidR="00A3354C" w:rsidRPr="007E6EE5" w:rsidRDefault="00A3354C" w:rsidP="006E78FD">
            <w:pPr>
              <w:rPr>
                <w:sz w:val="28"/>
                <w:szCs w:val="28"/>
              </w:rPr>
            </w:pPr>
            <w:r w:rsidRPr="007E6EE5">
              <w:rPr>
                <w:sz w:val="28"/>
                <w:szCs w:val="28"/>
              </w:rPr>
              <w:t> 5.</w:t>
            </w:r>
          </w:p>
        </w:tc>
        <w:tc>
          <w:tcPr>
            <w:tcW w:w="3048" w:type="dxa"/>
            <w:tcBorders>
              <w:top w:val="outset" w:sz="6" w:space="0" w:color="auto"/>
              <w:left w:val="outset" w:sz="6" w:space="0" w:color="auto"/>
              <w:bottom w:val="outset" w:sz="6" w:space="0" w:color="auto"/>
              <w:right w:val="outset" w:sz="6" w:space="0" w:color="auto"/>
            </w:tcBorders>
          </w:tcPr>
          <w:p w:rsidR="00A3354C" w:rsidRPr="007E6EE5" w:rsidRDefault="00A3354C" w:rsidP="006E78FD">
            <w:pPr>
              <w:rPr>
                <w:sz w:val="28"/>
                <w:szCs w:val="28"/>
              </w:rPr>
            </w:pPr>
            <w:r w:rsidRPr="007E6EE5">
              <w:rPr>
                <w:sz w:val="28"/>
                <w:szCs w:val="28"/>
              </w:rPr>
              <w:t> Projekta izpildes ietekme uz pārvaldes institucionālo struktūru.</w:t>
            </w:r>
          </w:p>
          <w:p w:rsidR="00A3354C" w:rsidRPr="007E6EE5" w:rsidRDefault="00A3354C" w:rsidP="006E78FD">
            <w:pPr>
              <w:rPr>
                <w:sz w:val="28"/>
                <w:szCs w:val="28"/>
              </w:rPr>
            </w:pPr>
            <w:r w:rsidRPr="007E6EE5">
              <w:rPr>
                <w:sz w:val="28"/>
                <w:szCs w:val="28"/>
              </w:rPr>
              <w:t>Esošu institūciju reorganizācija</w:t>
            </w:r>
          </w:p>
        </w:tc>
        <w:tc>
          <w:tcPr>
            <w:tcW w:w="5576" w:type="dxa"/>
            <w:tcBorders>
              <w:top w:val="outset" w:sz="6" w:space="0" w:color="auto"/>
              <w:left w:val="outset" w:sz="6" w:space="0" w:color="auto"/>
              <w:bottom w:val="outset" w:sz="6" w:space="0" w:color="auto"/>
              <w:right w:val="outset" w:sz="6" w:space="0" w:color="auto"/>
            </w:tcBorders>
          </w:tcPr>
          <w:p w:rsidR="00A3354C" w:rsidRPr="007E6EE5" w:rsidRDefault="00262C36" w:rsidP="00262C36">
            <w:pPr>
              <w:ind w:right="57"/>
              <w:jc w:val="both"/>
              <w:rPr>
                <w:sz w:val="28"/>
                <w:szCs w:val="28"/>
              </w:rPr>
            </w:pPr>
            <w:r w:rsidRPr="007E6EE5">
              <w:rPr>
                <w:sz w:val="28"/>
                <w:szCs w:val="28"/>
              </w:rPr>
              <w:t>Saistībā ar noteikumu projekta izpildi nav plānots reorganizēt esošu institūciju.</w:t>
            </w:r>
          </w:p>
        </w:tc>
      </w:tr>
      <w:tr w:rsidR="007E6EE5" w:rsidRPr="007E6EE5" w:rsidTr="006E78FD">
        <w:trPr>
          <w:trHeight w:val="476"/>
          <w:tblCellSpacing w:w="0" w:type="dxa"/>
        </w:trPr>
        <w:tc>
          <w:tcPr>
            <w:tcW w:w="511" w:type="dxa"/>
            <w:tcBorders>
              <w:top w:val="outset" w:sz="6" w:space="0" w:color="auto"/>
              <w:left w:val="outset" w:sz="6" w:space="0" w:color="auto"/>
              <w:bottom w:val="outset" w:sz="6" w:space="0" w:color="auto"/>
              <w:right w:val="outset" w:sz="6" w:space="0" w:color="auto"/>
            </w:tcBorders>
          </w:tcPr>
          <w:p w:rsidR="00A3354C" w:rsidRPr="007E6EE5" w:rsidRDefault="00A3354C" w:rsidP="006E78FD">
            <w:pPr>
              <w:rPr>
                <w:sz w:val="28"/>
                <w:szCs w:val="28"/>
              </w:rPr>
            </w:pPr>
            <w:r w:rsidRPr="007E6EE5">
              <w:rPr>
                <w:sz w:val="28"/>
                <w:szCs w:val="28"/>
              </w:rPr>
              <w:t> 6.</w:t>
            </w:r>
          </w:p>
        </w:tc>
        <w:tc>
          <w:tcPr>
            <w:tcW w:w="3048" w:type="dxa"/>
            <w:tcBorders>
              <w:top w:val="outset" w:sz="6" w:space="0" w:color="auto"/>
              <w:left w:val="outset" w:sz="6" w:space="0" w:color="auto"/>
              <w:bottom w:val="outset" w:sz="6" w:space="0" w:color="auto"/>
              <w:right w:val="outset" w:sz="6" w:space="0" w:color="auto"/>
            </w:tcBorders>
          </w:tcPr>
          <w:p w:rsidR="00A3354C" w:rsidRPr="007E6EE5" w:rsidRDefault="00A3354C" w:rsidP="006E78FD">
            <w:pPr>
              <w:rPr>
                <w:sz w:val="28"/>
                <w:szCs w:val="28"/>
              </w:rPr>
            </w:pPr>
            <w:r w:rsidRPr="007E6EE5">
              <w:rPr>
                <w:sz w:val="28"/>
                <w:szCs w:val="28"/>
              </w:rPr>
              <w:t> Cita informācija</w:t>
            </w:r>
          </w:p>
        </w:tc>
        <w:tc>
          <w:tcPr>
            <w:tcW w:w="5576" w:type="dxa"/>
            <w:tcBorders>
              <w:top w:val="outset" w:sz="6" w:space="0" w:color="auto"/>
              <w:left w:val="outset" w:sz="6" w:space="0" w:color="auto"/>
              <w:bottom w:val="outset" w:sz="6" w:space="0" w:color="auto"/>
              <w:right w:val="outset" w:sz="6" w:space="0" w:color="auto"/>
            </w:tcBorders>
          </w:tcPr>
          <w:p w:rsidR="00A3354C" w:rsidRPr="007E6EE5" w:rsidRDefault="00A3354C" w:rsidP="006E78FD">
            <w:pPr>
              <w:ind w:right="57"/>
              <w:rPr>
                <w:sz w:val="28"/>
                <w:szCs w:val="28"/>
              </w:rPr>
            </w:pPr>
            <w:r w:rsidRPr="007E6EE5">
              <w:rPr>
                <w:sz w:val="28"/>
                <w:szCs w:val="28"/>
              </w:rPr>
              <w:t>Nav</w:t>
            </w:r>
            <w:r w:rsidR="00984A50">
              <w:rPr>
                <w:sz w:val="28"/>
                <w:szCs w:val="28"/>
              </w:rPr>
              <w:t>.</w:t>
            </w:r>
          </w:p>
        </w:tc>
      </w:tr>
    </w:tbl>
    <w:bookmarkEnd w:id="0"/>
    <w:bookmarkEnd w:id="1"/>
    <w:bookmarkEnd w:id="2"/>
    <w:bookmarkEnd w:id="3"/>
    <w:p w:rsidR="00B879E1" w:rsidRPr="007E6EE5" w:rsidRDefault="00B879E1" w:rsidP="00B879E1">
      <w:pPr>
        <w:jc w:val="both"/>
        <w:rPr>
          <w:i/>
          <w:sz w:val="28"/>
          <w:szCs w:val="28"/>
        </w:rPr>
      </w:pPr>
      <w:r w:rsidRPr="007E6EE5">
        <w:rPr>
          <w:i/>
          <w:sz w:val="28"/>
          <w:szCs w:val="28"/>
        </w:rPr>
        <w:t xml:space="preserve">Anotācijas </w:t>
      </w:r>
      <w:r w:rsidR="005950BE" w:rsidRPr="007E6EE5">
        <w:rPr>
          <w:i/>
          <w:sz w:val="28"/>
          <w:szCs w:val="28"/>
        </w:rPr>
        <w:t>III</w:t>
      </w:r>
      <w:r w:rsidRPr="007E6EE5">
        <w:rPr>
          <w:i/>
          <w:sz w:val="28"/>
          <w:szCs w:val="28"/>
        </w:rPr>
        <w:t xml:space="preserve"> </w:t>
      </w:r>
      <w:r w:rsidR="005950BE" w:rsidRPr="007E6EE5">
        <w:rPr>
          <w:i/>
          <w:sz w:val="28"/>
          <w:szCs w:val="28"/>
        </w:rPr>
        <w:t>un V</w:t>
      </w:r>
      <w:r w:rsidRPr="007E6EE5">
        <w:rPr>
          <w:i/>
          <w:sz w:val="28"/>
          <w:szCs w:val="28"/>
        </w:rPr>
        <w:t xml:space="preserve"> sadaļa – projekts šīs jomas neskar.</w:t>
      </w:r>
    </w:p>
    <w:p w:rsidR="00A3354C" w:rsidRPr="007E6EE5" w:rsidRDefault="00A3354C" w:rsidP="00A3354C">
      <w:pPr>
        <w:jc w:val="both"/>
        <w:rPr>
          <w:sz w:val="28"/>
          <w:szCs w:val="28"/>
        </w:rPr>
      </w:pPr>
    </w:p>
    <w:p w:rsidR="002E38D6" w:rsidRPr="007E6EE5" w:rsidRDefault="002E38D6" w:rsidP="002E38D6">
      <w:pPr>
        <w:ind w:firstLine="720"/>
        <w:jc w:val="both"/>
        <w:rPr>
          <w:sz w:val="28"/>
          <w:szCs w:val="28"/>
          <w:lang w:val="de-DE"/>
        </w:rPr>
      </w:pPr>
      <w:r w:rsidRPr="007E6EE5">
        <w:rPr>
          <w:sz w:val="28"/>
          <w:szCs w:val="28"/>
          <w:lang w:val="de-DE"/>
        </w:rPr>
        <w:t>Iekšlietu ministrs</w:t>
      </w:r>
      <w:r w:rsidRPr="007E6EE5">
        <w:rPr>
          <w:sz w:val="28"/>
          <w:szCs w:val="28"/>
          <w:lang w:val="de-DE"/>
        </w:rPr>
        <w:tab/>
      </w:r>
      <w:r w:rsidRPr="007E6EE5">
        <w:rPr>
          <w:sz w:val="28"/>
          <w:szCs w:val="28"/>
          <w:lang w:val="de-DE"/>
        </w:rPr>
        <w:tab/>
      </w:r>
      <w:r w:rsidRPr="007E6EE5">
        <w:rPr>
          <w:sz w:val="28"/>
          <w:szCs w:val="28"/>
          <w:lang w:val="de-DE"/>
        </w:rPr>
        <w:tab/>
      </w:r>
      <w:r w:rsidRPr="007E6EE5">
        <w:rPr>
          <w:sz w:val="28"/>
          <w:szCs w:val="28"/>
          <w:lang w:val="de-DE"/>
        </w:rPr>
        <w:tab/>
      </w:r>
      <w:r w:rsidRPr="007E6EE5">
        <w:rPr>
          <w:sz w:val="28"/>
          <w:szCs w:val="28"/>
          <w:lang w:val="de-DE"/>
        </w:rPr>
        <w:tab/>
        <w:t>R. Kozlovskis</w:t>
      </w:r>
    </w:p>
    <w:p w:rsidR="002E38D6" w:rsidRPr="007E6EE5" w:rsidRDefault="002E38D6" w:rsidP="002E38D6">
      <w:pPr>
        <w:pStyle w:val="naisf"/>
        <w:rPr>
          <w:sz w:val="28"/>
          <w:szCs w:val="28"/>
        </w:rPr>
      </w:pPr>
      <w:r w:rsidRPr="007E6EE5">
        <w:rPr>
          <w:sz w:val="28"/>
          <w:szCs w:val="28"/>
        </w:rPr>
        <w:tab/>
      </w:r>
    </w:p>
    <w:p w:rsidR="002E38D6" w:rsidRPr="007E6EE5" w:rsidRDefault="002E38D6" w:rsidP="002E38D6">
      <w:pPr>
        <w:pStyle w:val="naisf"/>
        <w:ind w:left="720" w:firstLine="0"/>
        <w:rPr>
          <w:sz w:val="28"/>
          <w:szCs w:val="28"/>
        </w:rPr>
      </w:pPr>
      <w:r w:rsidRPr="007E6EE5">
        <w:rPr>
          <w:sz w:val="28"/>
          <w:szCs w:val="28"/>
        </w:rPr>
        <w:t>Vīza: valsts sekretāre</w:t>
      </w:r>
      <w:r w:rsidRPr="007E6EE5">
        <w:rPr>
          <w:sz w:val="28"/>
          <w:szCs w:val="28"/>
        </w:rPr>
        <w:tab/>
      </w:r>
      <w:r w:rsidRPr="007E6EE5">
        <w:rPr>
          <w:sz w:val="28"/>
          <w:szCs w:val="28"/>
        </w:rPr>
        <w:tab/>
      </w:r>
      <w:r w:rsidRPr="007E6EE5">
        <w:rPr>
          <w:sz w:val="28"/>
          <w:szCs w:val="28"/>
        </w:rPr>
        <w:tab/>
      </w:r>
      <w:r w:rsidRPr="007E6EE5">
        <w:rPr>
          <w:sz w:val="28"/>
          <w:szCs w:val="28"/>
        </w:rPr>
        <w:tab/>
        <w:t>I.Pētersone-Godmane</w:t>
      </w:r>
    </w:p>
    <w:p w:rsidR="00F46B33" w:rsidRDefault="00F46B33" w:rsidP="00A3354C">
      <w:pPr>
        <w:rPr>
          <w:sz w:val="20"/>
          <w:szCs w:val="20"/>
        </w:rPr>
      </w:pPr>
    </w:p>
    <w:p w:rsidR="00A3354C" w:rsidRPr="007E6EE5" w:rsidRDefault="00984A50" w:rsidP="00A3354C">
      <w:pPr>
        <w:rPr>
          <w:sz w:val="20"/>
          <w:szCs w:val="20"/>
        </w:rPr>
      </w:pPr>
      <w:r>
        <w:rPr>
          <w:sz w:val="20"/>
          <w:szCs w:val="20"/>
        </w:rPr>
        <w:t>12</w:t>
      </w:r>
      <w:r w:rsidR="008A54DA" w:rsidRPr="007E6EE5">
        <w:rPr>
          <w:sz w:val="20"/>
          <w:szCs w:val="20"/>
        </w:rPr>
        <w:t>.02</w:t>
      </w:r>
      <w:r w:rsidR="007911A2" w:rsidRPr="007E6EE5">
        <w:rPr>
          <w:sz w:val="20"/>
          <w:szCs w:val="20"/>
        </w:rPr>
        <w:t>.</w:t>
      </w:r>
      <w:r w:rsidR="00D646A8" w:rsidRPr="007E6EE5">
        <w:rPr>
          <w:sz w:val="20"/>
          <w:szCs w:val="20"/>
        </w:rPr>
        <w:t>2014</w:t>
      </w:r>
      <w:r w:rsidR="00A3354C" w:rsidRPr="007E6EE5">
        <w:rPr>
          <w:sz w:val="20"/>
          <w:szCs w:val="20"/>
        </w:rPr>
        <w:t>.</w:t>
      </w:r>
      <w:r>
        <w:rPr>
          <w:sz w:val="20"/>
          <w:szCs w:val="20"/>
        </w:rPr>
        <w:t xml:space="preserve"> 16:09</w:t>
      </w:r>
    </w:p>
    <w:p w:rsidR="00A3354C" w:rsidRPr="007E6EE5" w:rsidRDefault="00E1675F" w:rsidP="00A3354C">
      <w:pPr>
        <w:rPr>
          <w:sz w:val="20"/>
          <w:szCs w:val="20"/>
        </w:rPr>
      </w:pPr>
      <w:r>
        <w:rPr>
          <w:sz w:val="20"/>
          <w:szCs w:val="20"/>
        </w:rPr>
        <w:t>14</w:t>
      </w:r>
      <w:r w:rsidR="00984A50">
        <w:rPr>
          <w:sz w:val="20"/>
          <w:szCs w:val="20"/>
        </w:rPr>
        <w:t>5</w:t>
      </w:r>
      <w:r>
        <w:rPr>
          <w:sz w:val="20"/>
          <w:szCs w:val="20"/>
        </w:rPr>
        <w:t>4</w:t>
      </w:r>
    </w:p>
    <w:p w:rsidR="00800EB8" w:rsidRPr="007E6EE5" w:rsidRDefault="002E38D6" w:rsidP="00800EB8">
      <w:pPr>
        <w:rPr>
          <w:sz w:val="20"/>
          <w:szCs w:val="20"/>
        </w:rPr>
      </w:pPr>
      <w:r w:rsidRPr="007E6EE5">
        <w:rPr>
          <w:sz w:val="20"/>
          <w:szCs w:val="20"/>
        </w:rPr>
        <w:t>N.Jefimovs</w:t>
      </w:r>
      <w:r w:rsidR="00800EB8" w:rsidRPr="007E6EE5">
        <w:rPr>
          <w:sz w:val="20"/>
          <w:szCs w:val="20"/>
        </w:rPr>
        <w:t>, 67829480</w:t>
      </w:r>
    </w:p>
    <w:p w:rsidR="00274834" w:rsidRPr="007E6EE5" w:rsidRDefault="002E38D6" w:rsidP="00800EB8">
      <w:pPr>
        <w:rPr>
          <w:sz w:val="20"/>
          <w:szCs w:val="20"/>
        </w:rPr>
      </w:pPr>
      <w:r w:rsidRPr="007E6EE5">
        <w:rPr>
          <w:sz w:val="20"/>
          <w:szCs w:val="20"/>
        </w:rPr>
        <w:t>nikolajs.jefimovs@vp.gov.lv</w:t>
      </w:r>
    </w:p>
    <w:sectPr w:rsidR="00274834" w:rsidRPr="007E6EE5" w:rsidSect="006E78FD">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752" w:rsidRDefault="00012752">
      <w:r>
        <w:separator/>
      </w:r>
    </w:p>
  </w:endnote>
  <w:endnote w:type="continuationSeparator" w:id="0">
    <w:p w:rsidR="00012752" w:rsidRDefault="0001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BB5" w:rsidRPr="00AA41EF" w:rsidRDefault="00984A50" w:rsidP="00AA41EF">
    <w:pPr>
      <w:jc w:val="both"/>
      <w:rPr>
        <w:sz w:val="20"/>
        <w:szCs w:val="20"/>
      </w:rPr>
    </w:pPr>
    <w:r>
      <w:rPr>
        <w:sz w:val="20"/>
        <w:szCs w:val="20"/>
      </w:rPr>
      <w:t>IeMAnot_12</w:t>
    </w:r>
    <w:r w:rsidR="007E6EE5">
      <w:rPr>
        <w:sz w:val="20"/>
        <w:szCs w:val="20"/>
      </w:rPr>
      <w:t>02</w:t>
    </w:r>
    <w:r w:rsidR="00B229D3">
      <w:rPr>
        <w:sz w:val="20"/>
        <w:szCs w:val="20"/>
      </w:rPr>
      <w:t>14</w:t>
    </w:r>
    <w:r w:rsidR="00E30645">
      <w:rPr>
        <w:sz w:val="20"/>
        <w:szCs w:val="20"/>
      </w:rPr>
      <w:t>_775</w:t>
    </w:r>
    <w:r w:rsidR="00F46B33">
      <w:rPr>
        <w:sz w:val="20"/>
        <w:szCs w:val="20"/>
      </w:rPr>
      <w:t>.doc</w:t>
    </w:r>
    <w:r w:rsidR="00185BB5" w:rsidRPr="00AA41EF">
      <w:rPr>
        <w:sz w:val="20"/>
        <w:szCs w:val="20"/>
      </w:rPr>
      <w:t>; Mini</w:t>
    </w:r>
    <w:r w:rsidR="00F46B33">
      <w:rPr>
        <w:sz w:val="20"/>
        <w:szCs w:val="20"/>
      </w:rPr>
      <w:t>stru kabineta noteikumu projekta</w:t>
    </w:r>
    <w:r w:rsidR="00CE1B93">
      <w:rPr>
        <w:sz w:val="20"/>
        <w:szCs w:val="20"/>
      </w:rPr>
      <w:t xml:space="preserve"> „Grozījumi</w:t>
    </w:r>
    <w:r w:rsidR="00185BB5" w:rsidRPr="00AA41EF">
      <w:rPr>
        <w:sz w:val="20"/>
        <w:szCs w:val="20"/>
      </w:rPr>
      <w:t xml:space="preserve"> Ministru kabineta 2009.gada 14.jūlija noteikumos Nr.775 "</w:t>
    </w:r>
    <w:r w:rsidR="00185BB5" w:rsidRPr="00AA41EF">
      <w:rPr>
        <w:bCs/>
        <w:sz w:val="20"/>
        <w:szCs w:val="20"/>
      </w:rPr>
      <w:t>Vispārējās un profesionālās izglītības programmu licencēšanas kārtība</w:t>
    </w:r>
    <w:r w:rsidR="00185BB5" w:rsidRPr="00AA41EF">
      <w:rPr>
        <w:sz w:val="20"/>
        <w:szCs w:val="20"/>
      </w:rPr>
      <w:t>”</w:t>
    </w:r>
    <w:r w:rsidR="00185BB5" w:rsidRPr="00AA41EF">
      <w:rPr>
        <w:bCs/>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BB5" w:rsidRPr="00AA41EF" w:rsidRDefault="00984A50" w:rsidP="00F46B33">
    <w:pPr>
      <w:pStyle w:val="Footer"/>
      <w:jc w:val="both"/>
      <w:rPr>
        <w:sz w:val="20"/>
        <w:szCs w:val="20"/>
      </w:rPr>
    </w:pPr>
    <w:r>
      <w:rPr>
        <w:sz w:val="20"/>
        <w:szCs w:val="20"/>
      </w:rPr>
      <w:t>IeMAnot_12</w:t>
    </w:r>
    <w:r w:rsidR="007E6EE5">
      <w:rPr>
        <w:sz w:val="20"/>
        <w:szCs w:val="20"/>
      </w:rPr>
      <w:t>02</w:t>
    </w:r>
    <w:r w:rsidR="00B229D3">
      <w:rPr>
        <w:sz w:val="20"/>
        <w:szCs w:val="20"/>
      </w:rPr>
      <w:t>14</w:t>
    </w:r>
    <w:r w:rsidR="002856F4">
      <w:rPr>
        <w:sz w:val="20"/>
        <w:szCs w:val="20"/>
      </w:rPr>
      <w:t>_775</w:t>
    </w:r>
    <w:r w:rsidR="00F46B33">
      <w:rPr>
        <w:sz w:val="20"/>
        <w:szCs w:val="20"/>
      </w:rPr>
      <w:t>.doc</w:t>
    </w:r>
    <w:r w:rsidR="00656B26" w:rsidRPr="00AA41EF">
      <w:rPr>
        <w:sz w:val="20"/>
        <w:szCs w:val="20"/>
      </w:rPr>
      <w:t>; Mini</w:t>
    </w:r>
    <w:r w:rsidR="00CE1B93">
      <w:rPr>
        <w:sz w:val="20"/>
        <w:szCs w:val="20"/>
      </w:rPr>
      <w:t>stru kabineta noteikumu proj</w:t>
    </w:r>
    <w:r w:rsidR="00F46B33">
      <w:rPr>
        <w:sz w:val="20"/>
        <w:szCs w:val="20"/>
      </w:rPr>
      <w:t>ekta</w:t>
    </w:r>
    <w:r w:rsidR="00CE1B93">
      <w:rPr>
        <w:sz w:val="20"/>
        <w:szCs w:val="20"/>
      </w:rPr>
      <w:t xml:space="preserve"> „Grozījumi</w:t>
    </w:r>
    <w:r w:rsidR="00656B26" w:rsidRPr="00AA41EF">
      <w:rPr>
        <w:sz w:val="20"/>
        <w:szCs w:val="20"/>
      </w:rPr>
      <w:t xml:space="preserve"> Ministru kabineta 2009.gada 14.jūlija noteikumos Nr.775 "</w:t>
    </w:r>
    <w:r w:rsidR="00656B26" w:rsidRPr="00AA41EF">
      <w:rPr>
        <w:bCs/>
        <w:sz w:val="20"/>
        <w:szCs w:val="20"/>
      </w:rPr>
      <w:t>Vispārējās un profesionālās izglītības programmu licencēšanas kārtība</w:t>
    </w:r>
    <w:r w:rsidR="00656B26" w:rsidRPr="00AA41EF">
      <w:rPr>
        <w:sz w:val="20"/>
        <w:szCs w:val="20"/>
      </w:rPr>
      <w:t>”</w:t>
    </w:r>
    <w:r w:rsidR="00656B26" w:rsidRPr="00AA41EF">
      <w:rPr>
        <w:bCs/>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752" w:rsidRDefault="00012752">
      <w:r>
        <w:separator/>
      </w:r>
    </w:p>
  </w:footnote>
  <w:footnote w:type="continuationSeparator" w:id="0">
    <w:p w:rsidR="00012752" w:rsidRDefault="00012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BB5" w:rsidRDefault="00185BB5" w:rsidP="006E78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5BB5" w:rsidRDefault="00185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BB5" w:rsidRPr="001D0A49" w:rsidRDefault="00185BB5" w:rsidP="006E78FD">
    <w:pPr>
      <w:pStyle w:val="Header"/>
      <w:framePr w:wrap="around" w:vAnchor="text" w:hAnchor="margin" w:xAlign="center" w:y="1"/>
      <w:rPr>
        <w:rStyle w:val="PageNumber"/>
        <w:sz w:val="22"/>
        <w:szCs w:val="22"/>
      </w:rPr>
    </w:pPr>
    <w:r w:rsidRPr="001D0A49">
      <w:rPr>
        <w:rStyle w:val="PageNumber"/>
        <w:sz w:val="22"/>
        <w:szCs w:val="22"/>
      </w:rPr>
      <w:fldChar w:fldCharType="begin"/>
    </w:r>
    <w:r w:rsidRPr="001D0A49">
      <w:rPr>
        <w:rStyle w:val="PageNumber"/>
        <w:sz w:val="22"/>
        <w:szCs w:val="22"/>
      </w:rPr>
      <w:instrText xml:space="preserve">PAGE  </w:instrText>
    </w:r>
    <w:r w:rsidRPr="001D0A49">
      <w:rPr>
        <w:rStyle w:val="PageNumber"/>
        <w:sz w:val="22"/>
        <w:szCs w:val="22"/>
      </w:rPr>
      <w:fldChar w:fldCharType="separate"/>
    </w:r>
    <w:r w:rsidR="00A841E7">
      <w:rPr>
        <w:rStyle w:val="PageNumber"/>
        <w:noProof/>
        <w:sz w:val="22"/>
        <w:szCs w:val="22"/>
      </w:rPr>
      <w:t>3</w:t>
    </w:r>
    <w:r w:rsidRPr="001D0A49">
      <w:rPr>
        <w:rStyle w:val="PageNumber"/>
        <w:sz w:val="22"/>
        <w:szCs w:val="22"/>
      </w:rPr>
      <w:fldChar w:fldCharType="end"/>
    </w:r>
  </w:p>
  <w:p w:rsidR="00185BB5" w:rsidRDefault="00185BB5" w:rsidP="006E7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37D0D"/>
    <w:multiLevelType w:val="hybridMultilevel"/>
    <w:tmpl w:val="7A2C44F0"/>
    <w:lvl w:ilvl="0" w:tplc="04260011">
      <w:start w:val="1"/>
      <w:numFmt w:val="decimal"/>
      <w:lvlText w:val="%1)"/>
      <w:lvlJc w:val="left"/>
      <w:pPr>
        <w:ind w:left="857" w:hanging="360"/>
      </w:pPr>
    </w:lvl>
    <w:lvl w:ilvl="1" w:tplc="04260019" w:tentative="1">
      <w:start w:val="1"/>
      <w:numFmt w:val="lowerLetter"/>
      <w:lvlText w:val="%2."/>
      <w:lvlJc w:val="left"/>
      <w:pPr>
        <w:ind w:left="1577" w:hanging="360"/>
      </w:pPr>
    </w:lvl>
    <w:lvl w:ilvl="2" w:tplc="0426001B" w:tentative="1">
      <w:start w:val="1"/>
      <w:numFmt w:val="lowerRoman"/>
      <w:lvlText w:val="%3."/>
      <w:lvlJc w:val="right"/>
      <w:pPr>
        <w:ind w:left="2297" w:hanging="180"/>
      </w:pPr>
    </w:lvl>
    <w:lvl w:ilvl="3" w:tplc="0426000F" w:tentative="1">
      <w:start w:val="1"/>
      <w:numFmt w:val="decimal"/>
      <w:lvlText w:val="%4."/>
      <w:lvlJc w:val="left"/>
      <w:pPr>
        <w:ind w:left="3017" w:hanging="360"/>
      </w:pPr>
    </w:lvl>
    <w:lvl w:ilvl="4" w:tplc="04260019" w:tentative="1">
      <w:start w:val="1"/>
      <w:numFmt w:val="lowerLetter"/>
      <w:lvlText w:val="%5."/>
      <w:lvlJc w:val="left"/>
      <w:pPr>
        <w:ind w:left="3737" w:hanging="360"/>
      </w:pPr>
    </w:lvl>
    <w:lvl w:ilvl="5" w:tplc="0426001B" w:tentative="1">
      <w:start w:val="1"/>
      <w:numFmt w:val="lowerRoman"/>
      <w:lvlText w:val="%6."/>
      <w:lvlJc w:val="right"/>
      <w:pPr>
        <w:ind w:left="4457" w:hanging="180"/>
      </w:pPr>
    </w:lvl>
    <w:lvl w:ilvl="6" w:tplc="0426000F" w:tentative="1">
      <w:start w:val="1"/>
      <w:numFmt w:val="decimal"/>
      <w:lvlText w:val="%7."/>
      <w:lvlJc w:val="left"/>
      <w:pPr>
        <w:ind w:left="5177" w:hanging="360"/>
      </w:pPr>
    </w:lvl>
    <w:lvl w:ilvl="7" w:tplc="04260019" w:tentative="1">
      <w:start w:val="1"/>
      <w:numFmt w:val="lowerLetter"/>
      <w:lvlText w:val="%8."/>
      <w:lvlJc w:val="left"/>
      <w:pPr>
        <w:ind w:left="5897" w:hanging="360"/>
      </w:pPr>
    </w:lvl>
    <w:lvl w:ilvl="8" w:tplc="0426001B" w:tentative="1">
      <w:start w:val="1"/>
      <w:numFmt w:val="lowerRoman"/>
      <w:lvlText w:val="%9."/>
      <w:lvlJc w:val="right"/>
      <w:pPr>
        <w:ind w:left="6617" w:hanging="180"/>
      </w:pPr>
    </w:lvl>
  </w:abstractNum>
  <w:abstractNum w:abstractNumId="1">
    <w:nsid w:val="1A9502BD"/>
    <w:multiLevelType w:val="hybridMultilevel"/>
    <w:tmpl w:val="8B2C90DE"/>
    <w:lvl w:ilvl="0" w:tplc="0426000F">
      <w:start w:val="1"/>
      <w:numFmt w:val="decimal"/>
      <w:lvlText w:val="%1."/>
      <w:lvlJc w:val="left"/>
      <w:pPr>
        <w:ind w:left="795"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248830F6"/>
    <w:multiLevelType w:val="hybridMultilevel"/>
    <w:tmpl w:val="66D2E1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8EE5C17"/>
    <w:multiLevelType w:val="hybridMultilevel"/>
    <w:tmpl w:val="89283A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8372233"/>
    <w:multiLevelType w:val="hybridMultilevel"/>
    <w:tmpl w:val="467EA1E0"/>
    <w:lvl w:ilvl="0" w:tplc="A95CBD72">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4C"/>
    <w:rsid w:val="00012752"/>
    <w:rsid w:val="000312CA"/>
    <w:rsid w:val="00041FBF"/>
    <w:rsid w:val="000444A2"/>
    <w:rsid w:val="000830B8"/>
    <w:rsid w:val="000B3EA7"/>
    <w:rsid w:val="000C39A2"/>
    <w:rsid w:val="00132368"/>
    <w:rsid w:val="0013730B"/>
    <w:rsid w:val="0014580A"/>
    <w:rsid w:val="00150E04"/>
    <w:rsid w:val="0016731F"/>
    <w:rsid w:val="00181651"/>
    <w:rsid w:val="00185BB5"/>
    <w:rsid w:val="001A594A"/>
    <w:rsid w:val="001A763E"/>
    <w:rsid w:val="00211094"/>
    <w:rsid w:val="00255810"/>
    <w:rsid w:val="002603B7"/>
    <w:rsid w:val="00262C36"/>
    <w:rsid w:val="0026736E"/>
    <w:rsid w:val="002738A7"/>
    <w:rsid w:val="00274834"/>
    <w:rsid w:val="002856F4"/>
    <w:rsid w:val="00290300"/>
    <w:rsid w:val="002B2552"/>
    <w:rsid w:val="002E38D6"/>
    <w:rsid w:val="00310E3B"/>
    <w:rsid w:val="003174AC"/>
    <w:rsid w:val="00355D7B"/>
    <w:rsid w:val="003921B5"/>
    <w:rsid w:val="00394AB1"/>
    <w:rsid w:val="003E155B"/>
    <w:rsid w:val="004130D8"/>
    <w:rsid w:val="00433CBC"/>
    <w:rsid w:val="004A28BD"/>
    <w:rsid w:val="004C4034"/>
    <w:rsid w:val="004D6593"/>
    <w:rsid w:val="004E33EE"/>
    <w:rsid w:val="004E42EA"/>
    <w:rsid w:val="005135E3"/>
    <w:rsid w:val="005312F9"/>
    <w:rsid w:val="005343B8"/>
    <w:rsid w:val="005420A7"/>
    <w:rsid w:val="005950BE"/>
    <w:rsid w:val="005B6202"/>
    <w:rsid w:val="006234BC"/>
    <w:rsid w:val="00633592"/>
    <w:rsid w:val="00651418"/>
    <w:rsid w:val="00656B26"/>
    <w:rsid w:val="00685F12"/>
    <w:rsid w:val="006B26C8"/>
    <w:rsid w:val="006D655D"/>
    <w:rsid w:val="006E436C"/>
    <w:rsid w:val="006E78FD"/>
    <w:rsid w:val="00700F69"/>
    <w:rsid w:val="007271F1"/>
    <w:rsid w:val="00740261"/>
    <w:rsid w:val="00755BFA"/>
    <w:rsid w:val="007911A2"/>
    <w:rsid w:val="007A0D18"/>
    <w:rsid w:val="007E6EE5"/>
    <w:rsid w:val="00800EB8"/>
    <w:rsid w:val="00806162"/>
    <w:rsid w:val="0080774A"/>
    <w:rsid w:val="00837792"/>
    <w:rsid w:val="0085187B"/>
    <w:rsid w:val="00875F69"/>
    <w:rsid w:val="00880B34"/>
    <w:rsid w:val="00880F30"/>
    <w:rsid w:val="00885573"/>
    <w:rsid w:val="008A54DA"/>
    <w:rsid w:val="008A7DC6"/>
    <w:rsid w:val="008D6729"/>
    <w:rsid w:val="008F0C9C"/>
    <w:rsid w:val="00924A6A"/>
    <w:rsid w:val="00937A59"/>
    <w:rsid w:val="00961DE1"/>
    <w:rsid w:val="009822E9"/>
    <w:rsid w:val="00984A50"/>
    <w:rsid w:val="0099754A"/>
    <w:rsid w:val="009B3A7E"/>
    <w:rsid w:val="009B4624"/>
    <w:rsid w:val="009D4960"/>
    <w:rsid w:val="009E3EB9"/>
    <w:rsid w:val="00A03F2A"/>
    <w:rsid w:val="00A3354C"/>
    <w:rsid w:val="00A424A9"/>
    <w:rsid w:val="00A6066E"/>
    <w:rsid w:val="00A66233"/>
    <w:rsid w:val="00A841E7"/>
    <w:rsid w:val="00AA41EF"/>
    <w:rsid w:val="00B10552"/>
    <w:rsid w:val="00B229D3"/>
    <w:rsid w:val="00B50342"/>
    <w:rsid w:val="00B53961"/>
    <w:rsid w:val="00B810BF"/>
    <w:rsid w:val="00B86624"/>
    <w:rsid w:val="00B879E1"/>
    <w:rsid w:val="00BB55A8"/>
    <w:rsid w:val="00BC1CDF"/>
    <w:rsid w:val="00C11A68"/>
    <w:rsid w:val="00C35DC6"/>
    <w:rsid w:val="00C50BCA"/>
    <w:rsid w:val="00C70A59"/>
    <w:rsid w:val="00C820D1"/>
    <w:rsid w:val="00C96D8D"/>
    <w:rsid w:val="00CD2F8A"/>
    <w:rsid w:val="00CE1B93"/>
    <w:rsid w:val="00D17527"/>
    <w:rsid w:val="00D20DED"/>
    <w:rsid w:val="00D646A8"/>
    <w:rsid w:val="00D70F7C"/>
    <w:rsid w:val="00D913AE"/>
    <w:rsid w:val="00DD0B9B"/>
    <w:rsid w:val="00DD4928"/>
    <w:rsid w:val="00E1675F"/>
    <w:rsid w:val="00E204B6"/>
    <w:rsid w:val="00E30645"/>
    <w:rsid w:val="00E543F4"/>
    <w:rsid w:val="00E923D7"/>
    <w:rsid w:val="00EB6C53"/>
    <w:rsid w:val="00ED4316"/>
    <w:rsid w:val="00F46B33"/>
    <w:rsid w:val="00F627A0"/>
    <w:rsid w:val="00F77B22"/>
    <w:rsid w:val="00F84B19"/>
    <w:rsid w:val="00FF3A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16094-C115-499A-A826-73689B90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54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3354C"/>
    <w:pPr>
      <w:spacing w:before="75" w:after="75"/>
      <w:ind w:firstLine="375"/>
      <w:jc w:val="both"/>
    </w:pPr>
  </w:style>
  <w:style w:type="paragraph" w:customStyle="1" w:styleId="naisc">
    <w:name w:val="naisc"/>
    <w:basedOn w:val="Normal"/>
    <w:rsid w:val="00A3354C"/>
    <w:pPr>
      <w:spacing w:before="450" w:after="300"/>
      <w:jc w:val="center"/>
    </w:pPr>
    <w:rPr>
      <w:sz w:val="26"/>
      <w:szCs w:val="26"/>
    </w:rPr>
  </w:style>
  <w:style w:type="paragraph" w:styleId="Footer">
    <w:name w:val="footer"/>
    <w:basedOn w:val="Normal"/>
    <w:link w:val="FooterChar"/>
    <w:rsid w:val="00A3354C"/>
    <w:pPr>
      <w:tabs>
        <w:tab w:val="center" w:pos="4153"/>
        <w:tab w:val="right" w:pos="8306"/>
      </w:tabs>
    </w:pPr>
  </w:style>
  <w:style w:type="character" w:customStyle="1" w:styleId="FooterChar">
    <w:name w:val="Footer Char"/>
    <w:basedOn w:val="DefaultParagraphFont"/>
    <w:link w:val="Footer"/>
    <w:rsid w:val="00A3354C"/>
    <w:rPr>
      <w:rFonts w:ascii="Times New Roman" w:eastAsia="Times New Roman" w:hAnsi="Times New Roman" w:cs="Times New Roman"/>
      <w:sz w:val="24"/>
      <w:szCs w:val="24"/>
      <w:lang w:eastAsia="lv-LV"/>
    </w:rPr>
  </w:style>
  <w:style w:type="paragraph" w:styleId="Header">
    <w:name w:val="header"/>
    <w:basedOn w:val="Normal"/>
    <w:link w:val="HeaderChar"/>
    <w:rsid w:val="00A3354C"/>
    <w:pPr>
      <w:tabs>
        <w:tab w:val="center" w:pos="4153"/>
        <w:tab w:val="right" w:pos="8306"/>
      </w:tabs>
    </w:pPr>
  </w:style>
  <w:style w:type="character" w:customStyle="1" w:styleId="HeaderChar">
    <w:name w:val="Header Char"/>
    <w:basedOn w:val="DefaultParagraphFont"/>
    <w:link w:val="Header"/>
    <w:rsid w:val="00A3354C"/>
    <w:rPr>
      <w:rFonts w:ascii="Times New Roman" w:eastAsia="Times New Roman" w:hAnsi="Times New Roman" w:cs="Times New Roman"/>
      <w:sz w:val="24"/>
      <w:szCs w:val="24"/>
      <w:lang w:eastAsia="lv-LV"/>
    </w:rPr>
  </w:style>
  <w:style w:type="character" w:styleId="Hyperlink">
    <w:name w:val="Hyperlink"/>
    <w:basedOn w:val="DefaultParagraphFont"/>
    <w:rsid w:val="00A3354C"/>
    <w:rPr>
      <w:color w:val="0000FF"/>
      <w:u w:val="single"/>
    </w:rPr>
  </w:style>
  <w:style w:type="character" w:styleId="PageNumber">
    <w:name w:val="page number"/>
    <w:basedOn w:val="DefaultParagraphFont"/>
    <w:rsid w:val="00A3354C"/>
  </w:style>
  <w:style w:type="paragraph" w:customStyle="1" w:styleId="naisnod">
    <w:name w:val="naisnod"/>
    <w:basedOn w:val="Normal"/>
    <w:rsid w:val="00A3354C"/>
    <w:pPr>
      <w:spacing w:before="100" w:beforeAutospacing="1" w:after="100" w:afterAutospacing="1"/>
    </w:pPr>
  </w:style>
  <w:style w:type="paragraph" w:customStyle="1" w:styleId="naiskr">
    <w:name w:val="naiskr"/>
    <w:basedOn w:val="Normal"/>
    <w:rsid w:val="00A3354C"/>
    <w:pPr>
      <w:spacing w:before="100" w:beforeAutospacing="1" w:after="100" w:afterAutospacing="1"/>
    </w:pPr>
  </w:style>
  <w:style w:type="character" w:styleId="Emphasis">
    <w:name w:val="Emphasis"/>
    <w:basedOn w:val="DefaultParagraphFont"/>
    <w:uiPriority w:val="20"/>
    <w:qFormat/>
    <w:rsid w:val="00A3354C"/>
    <w:rPr>
      <w:b/>
      <w:bCs/>
      <w:i w:val="0"/>
      <w:iCs w:val="0"/>
    </w:rPr>
  </w:style>
  <w:style w:type="character" w:styleId="CommentReference">
    <w:name w:val="annotation reference"/>
    <w:basedOn w:val="DefaultParagraphFont"/>
    <w:uiPriority w:val="99"/>
    <w:semiHidden/>
    <w:unhideWhenUsed/>
    <w:rsid w:val="00A3354C"/>
    <w:rPr>
      <w:sz w:val="16"/>
      <w:szCs w:val="16"/>
    </w:rPr>
  </w:style>
  <w:style w:type="paragraph" w:styleId="CommentText">
    <w:name w:val="annotation text"/>
    <w:basedOn w:val="Normal"/>
    <w:link w:val="CommentTextChar"/>
    <w:uiPriority w:val="99"/>
    <w:semiHidden/>
    <w:unhideWhenUsed/>
    <w:rsid w:val="00A3354C"/>
    <w:rPr>
      <w:sz w:val="20"/>
      <w:szCs w:val="20"/>
    </w:rPr>
  </w:style>
  <w:style w:type="character" w:customStyle="1" w:styleId="CommentTextChar">
    <w:name w:val="Comment Text Char"/>
    <w:basedOn w:val="DefaultParagraphFont"/>
    <w:link w:val="CommentText"/>
    <w:uiPriority w:val="99"/>
    <w:semiHidden/>
    <w:rsid w:val="00A3354C"/>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A3354C"/>
    <w:rPr>
      <w:rFonts w:ascii="Tahoma" w:hAnsi="Tahoma" w:cs="Tahoma"/>
      <w:sz w:val="16"/>
      <w:szCs w:val="16"/>
    </w:rPr>
  </w:style>
  <w:style w:type="character" w:customStyle="1" w:styleId="BalloonTextChar">
    <w:name w:val="Balloon Text Char"/>
    <w:basedOn w:val="DefaultParagraphFont"/>
    <w:link w:val="BalloonText"/>
    <w:uiPriority w:val="99"/>
    <w:semiHidden/>
    <w:rsid w:val="00A3354C"/>
    <w:rPr>
      <w:rFonts w:ascii="Tahoma" w:eastAsia="Times New Roman" w:hAnsi="Tahoma" w:cs="Tahoma"/>
      <w:sz w:val="16"/>
      <w:szCs w:val="16"/>
      <w:lang w:eastAsia="lv-LV"/>
    </w:rPr>
  </w:style>
  <w:style w:type="paragraph" w:styleId="ListParagraph">
    <w:name w:val="List Paragraph"/>
    <w:basedOn w:val="Normal"/>
    <w:uiPriority w:val="34"/>
    <w:qFormat/>
    <w:rsid w:val="00BB55A8"/>
    <w:pPr>
      <w:ind w:left="720"/>
      <w:contextualSpacing/>
    </w:pPr>
  </w:style>
  <w:style w:type="paragraph" w:styleId="CommentSubject">
    <w:name w:val="annotation subject"/>
    <w:basedOn w:val="CommentText"/>
    <w:next w:val="CommentText"/>
    <w:link w:val="CommentSubjectChar"/>
    <w:uiPriority w:val="99"/>
    <w:semiHidden/>
    <w:unhideWhenUsed/>
    <w:rsid w:val="00685F12"/>
    <w:rPr>
      <w:b/>
      <w:bCs/>
    </w:rPr>
  </w:style>
  <w:style w:type="character" w:customStyle="1" w:styleId="CommentSubjectChar">
    <w:name w:val="Comment Subject Char"/>
    <w:basedOn w:val="CommentTextChar"/>
    <w:link w:val="CommentSubject"/>
    <w:uiPriority w:val="99"/>
    <w:semiHidden/>
    <w:rsid w:val="00685F12"/>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6767">
      <w:bodyDiv w:val="1"/>
      <w:marLeft w:val="0"/>
      <w:marRight w:val="0"/>
      <w:marTop w:val="0"/>
      <w:marBottom w:val="0"/>
      <w:divBdr>
        <w:top w:val="none" w:sz="0" w:space="0" w:color="auto"/>
        <w:left w:val="none" w:sz="0" w:space="0" w:color="auto"/>
        <w:bottom w:val="none" w:sz="0" w:space="0" w:color="auto"/>
        <w:right w:val="none" w:sz="0" w:space="0" w:color="auto"/>
      </w:divBdr>
      <w:divsChild>
        <w:div w:id="1458060502">
          <w:marLeft w:val="0"/>
          <w:marRight w:val="0"/>
          <w:marTop w:val="240"/>
          <w:marBottom w:val="0"/>
          <w:divBdr>
            <w:top w:val="none" w:sz="0" w:space="0" w:color="auto"/>
            <w:left w:val="none" w:sz="0" w:space="0" w:color="auto"/>
            <w:bottom w:val="none" w:sz="0" w:space="0" w:color="auto"/>
            <w:right w:val="none" w:sz="0" w:space="0" w:color="auto"/>
          </w:divBdr>
        </w:div>
      </w:divsChild>
    </w:div>
    <w:div w:id="12435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1468</Words>
  <Characters>11087</Characters>
  <Application>Microsoft Office Word</Application>
  <DocSecurity>0</DocSecurity>
  <Lines>369</Lines>
  <Paragraphs>120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noteikumu projekta sākotnējās ietekmes novērtējuma ziņojums (anotācija)</vt:lpstr>
      <vt:lpstr>Ministru kabineta noteikumu projekta sākotnējās ietekmes novērtējuma ziņojums (anotācija)</vt:lpstr>
    </vt:vector>
  </TitlesOfParts>
  <Manager>D.Melbārde;intars.opolais@vp.gov.lv</Manager>
  <Company>Valsts policija</Company>
  <LinksUpToDate>false</LinksUpToDate>
  <CharactersWithSpaces>12435</CharactersWithSpaces>
  <SharedDoc>false</SharedDoc>
  <HLinks>
    <vt:vector size="6" baseType="variant">
      <vt:variant>
        <vt:i4>1179686</vt:i4>
      </vt:variant>
      <vt:variant>
        <vt:i4>3</vt:i4>
      </vt:variant>
      <vt:variant>
        <vt:i4>0</vt:i4>
      </vt:variant>
      <vt:variant>
        <vt:i4>5</vt:i4>
      </vt:variant>
      <vt:variant>
        <vt:lpwstr>mailto:Baiba.Erdmane@knmc.gov.lv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sākotnējās ietekmes novērtējuma ziņojums (anotācija)</dc:title>
  <dc:subject>Ministru kabineta noteikumu projekta „Grozījums Ministru kabineta 2009.gada 14.jūlija noteikumos Nr.775 "Vispārējās un profesionālās izglītības programmu licencēšanas kārtība”” sākotnējās ietekmes novērtējuma ziņojums (anotācija)</dc:subject>
  <dc:creator>Nikolajs Jefimovs</dc:creator>
  <dc:description>67829480, Nikolajs Jefimovs</dc:description>
  <cp:lastModifiedBy>Biruta Pedane</cp:lastModifiedBy>
  <cp:revision>10</cp:revision>
  <cp:lastPrinted>2013-10-01T07:28:00Z</cp:lastPrinted>
  <dcterms:created xsi:type="dcterms:W3CDTF">2014-02-12T08:18:00Z</dcterms:created>
  <dcterms:modified xsi:type="dcterms:W3CDTF">2014-02-18T12:50:00Z</dcterms:modified>
</cp:coreProperties>
</file>