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72427" w:rsidRDefault="00136D87" w:rsidP="005D6B8A">
      <w:pPr>
        <w:jc w:val="center"/>
        <w:rPr>
          <w:b/>
          <w:sz w:val="25"/>
          <w:szCs w:val="25"/>
        </w:rPr>
      </w:pPr>
      <w:bookmarkStart w:id="0" w:name="OLE_LINK3"/>
      <w:bookmarkStart w:id="1" w:name="OLE_LINK4"/>
      <w:bookmarkStart w:id="2" w:name="OLE_LINK1"/>
      <w:r w:rsidRPr="00672427">
        <w:rPr>
          <w:b/>
          <w:sz w:val="25"/>
          <w:szCs w:val="25"/>
        </w:rPr>
        <w:t>M</w:t>
      </w:r>
      <w:r w:rsidR="005D6B8A" w:rsidRPr="00672427">
        <w:rPr>
          <w:b/>
          <w:sz w:val="25"/>
          <w:szCs w:val="25"/>
        </w:rPr>
        <w:t>inistru kabineta rīkojuma projekta</w:t>
      </w:r>
    </w:p>
    <w:p w:rsidR="00585B7B" w:rsidRPr="00672427" w:rsidRDefault="00DC03E0" w:rsidP="00DC03E0">
      <w:pPr>
        <w:pStyle w:val="BodyText"/>
        <w:jc w:val="center"/>
        <w:rPr>
          <w:b/>
          <w:sz w:val="25"/>
          <w:szCs w:val="25"/>
        </w:rPr>
      </w:pPr>
      <w:r w:rsidRPr="00672427">
        <w:rPr>
          <w:b/>
          <w:sz w:val="25"/>
          <w:szCs w:val="25"/>
        </w:rPr>
        <w:t>“</w:t>
      </w:r>
      <w:r w:rsidR="00D3461A" w:rsidRPr="00672427">
        <w:rPr>
          <w:b/>
          <w:sz w:val="25"/>
          <w:szCs w:val="25"/>
        </w:rPr>
        <w:t>Grozījum</w:t>
      </w:r>
      <w:r w:rsidR="00FF2AB8" w:rsidRPr="00672427">
        <w:rPr>
          <w:b/>
          <w:sz w:val="25"/>
          <w:szCs w:val="25"/>
        </w:rPr>
        <w:t>i</w:t>
      </w:r>
      <w:r w:rsidR="00D3461A" w:rsidRPr="00672427">
        <w:rPr>
          <w:b/>
          <w:sz w:val="25"/>
          <w:szCs w:val="25"/>
        </w:rPr>
        <w:t xml:space="preserve"> Ministru kabineta 2013.gada 31.oktobra rīkojumā Nr.508 “Par Murjāņu sporta ģimnāzijas esošo būvju rekonstrukcijas un multifunkcionālas slēgtas sporta manēžas būvniecības projekta īstenošanu”</w:t>
      </w:r>
      <w:r w:rsidR="00020664" w:rsidRPr="00672427">
        <w:rPr>
          <w:b/>
          <w:sz w:val="25"/>
          <w:szCs w:val="25"/>
        </w:rPr>
        <w:t xml:space="preserve">” </w:t>
      </w:r>
      <w:r w:rsidR="00585B7B" w:rsidRPr="00672427">
        <w:rPr>
          <w:b/>
          <w:sz w:val="25"/>
          <w:szCs w:val="25"/>
        </w:rPr>
        <w:t xml:space="preserve">sākotnējās ietekmes novērtējuma </w:t>
      </w:r>
      <w:smartTag w:uri="schemas-tilde-lv/tildestengine" w:element="veidnes">
        <w:smartTagPr>
          <w:attr w:name="id" w:val="-1"/>
          <w:attr w:name="baseform" w:val="ziņojums"/>
          <w:attr w:name="text" w:val="ziņojums"/>
        </w:smartTagPr>
        <w:r w:rsidR="00585B7B" w:rsidRPr="00672427">
          <w:rPr>
            <w:b/>
            <w:sz w:val="25"/>
            <w:szCs w:val="25"/>
          </w:rPr>
          <w:t>ziņojums</w:t>
        </w:r>
      </w:smartTag>
      <w:r w:rsidR="00585B7B" w:rsidRPr="00672427">
        <w:rPr>
          <w:b/>
          <w:sz w:val="25"/>
          <w:szCs w:val="25"/>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6941"/>
      </w:tblGrid>
      <w:tr w:rsidR="00585B7B" w:rsidRPr="00672427" w:rsidTr="00662C4D">
        <w:tc>
          <w:tcPr>
            <w:tcW w:w="10197" w:type="dxa"/>
            <w:gridSpan w:val="3"/>
            <w:vAlign w:val="center"/>
          </w:tcPr>
          <w:bookmarkEnd w:id="0"/>
          <w:bookmarkEnd w:id="1"/>
          <w:bookmarkEnd w:id="2"/>
          <w:p w:rsidR="00585B7B" w:rsidRPr="00672427" w:rsidRDefault="00585B7B" w:rsidP="00194A0F">
            <w:pPr>
              <w:pStyle w:val="naisnod"/>
              <w:spacing w:before="0" w:after="0"/>
              <w:rPr>
                <w:sz w:val="25"/>
                <w:szCs w:val="25"/>
              </w:rPr>
            </w:pPr>
            <w:r w:rsidRPr="00672427">
              <w:rPr>
                <w:sz w:val="25"/>
                <w:szCs w:val="25"/>
              </w:rPr>
              <w:t>I. Tiesību akta projekta izstrādes nepieciešamība</w:t>
            </w:r>
          </w:p>
        </w:tc>
      </w:tr>
      <w:tr w:rsidR="00585B7B" w:rsidRPr="00672427" w:rsidTr="00672427">
        <w:trPr>
          <w:trHeight w:val="630"/>
        </w:trPr>
        <w:tc>
          <w:tcPr>
            <w:tcW w:w="562" w:type="dxa"/>
          </w:tcPr>
          <w:p w:rsidR="00585B7B" w:rsidRPr="00672427" w:rsidRDefault="00585B7B" w:rsidP="00BD696A">
            <w:pPr>
              <w:pStyle w:val="naiskr"/>
              <w:spacing w:before="0" w:after="0"/>
              <w:jc w:val="center"/>
              <w:rPr>
                <w:sz w:val="25"/>
                <w:szCs w:val="25"/>
              </w:rPr>
            </w:pPr>
            <w:r w:rsidRPr="00672427">
              <w:rPr>
                <w:sz w:val="25"/>
                <w:szCs w:val="25"/>
              </w:rPr>
              <w:t>1.</w:t>
            </w:r>
          </w:p>
        </w:tc>
        <w:tc>
          <w:tcPr>
            <w:tcW w:w="2694" w:type="dxa"/>
          </w:tcPr>
          <w:p w:rsidR="00585B7B" w:rsidRPr="00672427" w:rsidRDefault="00585B7B" w:rsidP="00916055">
            <w:pPr>
              <w:pStyle w:val="naiskr"/>
              <w:spacing w:before="0" w:after="0"/>
              <w:ind w:left="141" w:hanging="10"/>
              <w:rPr>
                <w:sz w:val="25"/>
                <w:szCs w:val="25"/>
              </w:rPr>
            </w:pPr>
            <w:r w:rsidRPr="00672427">
              <w:rPr>
                <w:sz w:val="25"/>
                <w:szCs w:val="25"/>
              </w:rPr>
              <w:t>Pamatojums</w:t>
            </w:r>
          </w:p>
        </w:tc>
        <w:tc>
          <w:tcPr>
            <w:tcW w:w="6941" w:type="dxa"/>
          </w:tcPr>
          <w:p w:rsidR="00C048B3" w:rsidRPr="00672427" w:rsidRDefault="00C048B3" w:rsidP="00C048B3">
            <w:pPr>
              <w:pStyle w:val="ListParagraph"/>
              <w:numPr>
                <w:ilvl w:val="0"/>
                <w:numId w:val="9"/>
              </w:numPr>
              <w:ind w:right="127"/>
              <w:jc w:val="both"/>
              <w:rPr>
                <w:sz w:val="25"/>
                <w:szCs w:val="25"/>
              </w:rPr>
            </w:pPr>
            <w:r w:rsidRPr="00672427">
              <w:rPr>
                <w:sz w:val="25"/>
                <w:szCs w:val="25"/>
              </w:rPr>
              <w:t xml:space="preserve">Latvijas Nacionālās sporta padomes 2014.gada 24.jūlija sēdē Izglītības un zinātnes ministrijai (turpmāk </w:t>
            </w:r>
            <w:r w:rsidR="007A68A0" w:rsidRPr="00672427">
              <w:rPr>
                <w:sz w:val="25"/>
                <w:szCs w:val="25"/>
              </w:rPr>
              <w:t>–</w:t>
            </w:r>
            <w:r w:rsidRPr="00672427">
              <w:rPr>
                <w:sz w:val="25"/>
                <w:szCs w:val="25"/>
              </w:rPr>
              <w:t xml:space="preserve"> IZM) dotais uzdevums (prot. Nr.3 </w:t>
            </w:r>
            <w:r w:rsidR="006316C2" w:rsidRPr="00672427">
              <w:rPr>
                <w:sz w:val="25"/>
                <w:szCs w:val="25"/>
              </w:rPr>
              <w:t>3</w:t>
            </w:r>
            <w:r w:rsidRPr="00672427">
              <w:rPr>
                <w:sz w:val="25"/>
                <w:szCs w:val="25"/>
              </w:rPr>
              <w:t>.§., 3.3. un 3.4.2.apakšpunkts).</w:t>
            </w:r>
          </w:p>
          <w:p w:rsidR="00CA11EE" w:rsidRPr="00672427" w:rsidRDefault="00CA11EE" w:rsidP="00CA11EE">
            <w:pPr>
              <w:pStyle w:val="ListParagraph"/>
              <w:numPr>
                <w:ilvl w:val="0"/>
                <w:numId w:val="9"/>
              </w:numPr>
              <w:ind w:right="127"/>
              <w:jc w:val="both"/>
              <w:rPr>
                <w:sz w:val="25"/>
                <w:szCs w:val="25"/>
              </w:rPr>
            </w:pPr>
            <w:r w:rsidRPr="00672427">
              <w:rPr>
                <w:sz w:val="25"/>
                <w:szCs w:val="25"/>
              </w:rPr>
              <w:t>Ministru kabineta 2014.gada 8.aprīļa sēdes protokollēmuma “Informatīvais ziņojums “Par Murjāņu sporta ģimnāzijas esošo būvju rekonstrukcijas un multifunkcionālas slēgtas sporta manēžas būvniecības projekta īstenošanu”” (prot. Nr.20 31.§) 2.2.apakšpunktā IZM dotais uzdevums.</w:t>
            </w:r>
          </w:p>
          <w:p w:rsidR="00466E6C" w:rsidRPr="00672427" w:rsidRDefault="00B96C4A" w:rsidP="00852127">
            <w:pPr>
              <w:pStyle w:val="ListParagraph"/>
              <w:numPr>
                <w:ilvl w:val="0"/>
                <w:numId w:val="9"/>
              </w:numPr>
              <w:ind w:right="127"/>
              <w:jc w:val="both"/>
              <w:rPr>
                <w:sz w:val="25"/>
                <w:szCs w:val="25"/>
              </w:rPr>
            </w:pPr>
            <w:r w:rsidRPr="00672427">
              <w:rPr>
                <w:sz w:val="25"/>
                <w:szCs w:val="25"/>
              </w:rPr>
              <w:t>Saistība ar IZM izstrādāto Ministru kabineta rīkojuma projektu “Par Murjāņu sporta ģimnāzijas esošo būvju rekonstrukcijas un multifunkcionālas slēgtas sporta manēžas būvniecības projekta īstenošanai 2014.gadā paredzēto valsts budžeta līdzekļu pārdali”.</w:t>
            </w:r>
            <w:r w:rsidR="005562DC" w:rsidRPr="00672427">
              <w:rPr>
                <w:sz w:val="25"/>
                <w:szCs w:val="25"/>
              </w:rPr>
              <w:t xml:space="preserve"> </w:t>
            </w:r>
          </w:p>
        </w:tc>
      </w:tr>
      <w:tr w:rsidR="00585B7B" w:rsidRPr="00672427" w:rsidTr="00672427">
        <w:trPr>
          <w:trHeight w:val="562"/>
        </w:trPr>
        <w:tc>
          <w:tcPr>
            <w:tcW w:w="562" w:type="dxa"/>
          </w:tcPr>
          <w:p w:rsidR="00585B7B" w:rsidRPr="00672427" w:rsidRDefault="00585B7B" w:rsidP="00BD696A">
            <w:pPr>
              <w:pStyle w:val="naiskr"/>
              <w:spacing w:before="0" w:after="0"/>
              <w:jc w:val="center"/>
              <w:rPr>
                <w:sz w:val="25"/>
                <w:szCs w:val="25"/>
              </w:rPr>
            </w:pPr>
            <w:r w:rsidRPr="00672427">
              <w:rPr>
                <w:sz w:val="25"/>
                <w:szCs w:val="25"/>
              </w:rPr>
              <w:t>2.</w:t>
            </w:r>
          </w:p>
        </w:tc>
        <w:tc>
          <w:tcPr>
            <w:tcW w:w="2694" w:type="dxa"/>
          </w:tcPr>
          <w:p w:rsidR="00585B7B" w:rsidRPr="00672427" w:rsidRDefault="00005A9D" w:rsidP="00916055">
            <w:pPr>
              <w:pStyle w:val="naiskr"/>
              <w:tabs>
                <w:tab w:val="left" w:pos="170"/>
              </w:tabs>
              <w:spacing w:before="0" w:after="0"/>
              <w:ind w:left="141"/>
              <w:rPr>
                <w:sz w:val="25"/>
                <w:szCs w:val="25"/>
              </w:rPr>
            </w:pPr>
            <w:r w:rsidRPr="00672427">
              <w:rPr>
                <w:sz w:val="25"/>
                <w:szCs w:val="25"/>
              </w:rPr>
              <w:t>Pašreizējā situācija un problēmas, kuru risināšanai tiesību akta projekts izstrādāts, tiesiskā regulējuma mērķis un būtība</w:t>
            </w:r>
          </w:p>
        </w:tc>
        <w:tc>
          <w:tcPr>
            <w:tcW w:w="6941" w:type="dxa"/>
          </w:tcPr>
          <w:p w:rsidR="00D257EB" w:rsidRPr="00672427" w:rsidRDefault="00D257EB" w:rsidP="00844460">
            <w:pPr>
              <w:ind w:left="132" w:right="127"/>
              <w:jc w:val="both"/>
              <w:rPr>
                <w:rFonts w:eastAsia="Times New Roman"/>
                <w:color w:val="000000"/>
                <w:sz w:val="25"/>
                <w:szCs w:val="25"/>
              </w:rPr>
            </w:pPr>
            <w:r w:rsidRPr="00672427">
              <w:rPr>
                <w:sz w:val="25"/>
                <w:szCs w:val="25"/>
              </w:rPr>
              <w:tab/>
            </w:r>
            <w:r w:rsidR="00B32DD2" w:rsidRPr="00672427">
              <w:rPr>
                <w:sz w:val="25"/>
                <w:szCs w:val="25"/>
              </w:rPr>
              <w:t xml:space="preserve">Ar </w:t>
            </w:r>
            <w:r w:rsidR="00CA11EE" w:rsidRPr="00672427">
              <w:rPr>
                <w:sz w:val="25"/>
                <w:szCs w:val="25"/>
              </w:rPr>
              <w:t xml:space="preserve">Ministru kabineta 2014.gada 8.aprīļa sēdes protokollēmuma “Informatīvais ziņojums “Par Murjāņu sporta ģimnāzijas esošo būvju rekonstrukcijas un multifunkcionālas slēgtas sporta manēžas būvniecības projekta īstenošanu”” (prot. Nr.20 31.§) 2.2.apakšpunktu IZM uzdots sagatavot un iesniegt Valsts kancelejā tiesību aktu projektu par grozījumiem Ministru kabineta 2013.gada 31.oktobra rīkojumā Nr.508 “Par Murjāņu sporta ģimnāzijas esošo būvju rekonstrukcijas un multifunkcionālas slēgtas sporta manēžas būvniecības projekta īstenošanu” (turpmāk – Rīkojums Nr.508), paredzot </w:t>
            </w:r>
            <w:r w:rsidR="00BD4CED" w:rsidRPr="00672427">
              <w:rPr>
                <w:sz w:val="25"/>
                <w:szCs w:val="25"/>
              </w:rPr>
              <w:t xml:space="preserve"> Murjāņu sporta ģimnāzijas (turpmāk – Ģimnāzija) esošo būvju rekonstrukcijas un multifunkcionālas slēgtas sporta manēžas būvniecības projekta </w:t>
            </w:r>
            <w:r w:rsidR="00DC145E" w:rsidRPr="00672427">
              <w:rPr>
                <w:sz w:val="25"/>
                <w:szCs w:val="25"/>
              </w:rPr>
              <w:t>(turpmāk – Projekts)</w:t>
            </w:r>
            <w:r w:rsidR="00CA11EE" w:rsidRPr="00672427">
              <w:rPr>
                <w:sz w:val="25"/>
                <w:szCs w:val="25"/>
              </w:rPr>
              <w:t xml:space="preserve"> īstenošanai paredzētā finansējuma pārdali, lai nodrošinātu Daugavas stadiona sagatavošanas darbu finansēšanu XI Latvijas Skolu jaunatnes dziesmu un deju svētku, kā arī XXVI Vispārējo latviešu Dziesmu un XVI Deju svētku norises nodrošināšanai.</w:t>
            </w:r>
            <w:r w:rsidR="00844460" w:rsidRPr="00672427">
              <w:rPr>
                <w:sz w:val="25"/>
                <w:szCs w:val="25"/>
              </w:rPr>
              <w:t xml:space="preserve"> Arī </w:t>
            </w:r>
            <w:r w:rsidRPr="00672427">
              <w:rPr>
                <w:rFonts w:eastAsia="Times New Roman"/>
                <w:color w:val="000000"/>
                <w:sz w:val="25"/>
                <w:szCs w:val="25"/>
              </w:rPr>
              <w:t xml:space="preserve">IZM izstrādātajā informatīvajā ziņojumā “Par Murjāņu sporta ģimnāzijas turpmāko darbību” (turpmāk – Ziņojums) norādīts, ka 2014.gadā </w:t>
            </w:r>
            <w:r w:rsidR="00A90A9D" w:rsidRPr="00672427">
              <w:rPr>
                <w:rFonts w:eastAsia="Times New Roman"/>
                <w:color w:val="000000"/>
                <w:sz w:val="25"/>
                <w:szCs w:val="25"/>
              </w:rPr>
              <w:t xml:space="preserve">Projekta </w:t>
            </w:r>
            <w:r w:rsidRPr="00672427">
              <w:rPr>
                <w:rFonts w:eastAsia="Times New Roman"/>
                <w:color w:val="000000"/>
                <w:sz w:val="25"/>
                <w:szCs w:val="25"/>
              </w:rPr>
              <w:t xml:space="preserve">īstenošanai piešķirtos valsts budžeta līdzekļus 4`799`169 </w:t>
            </w:r>
            <w:r w:rsidRPr="00672427">
              <w:rPr>
                <w:rFonts w:eastAsia="Times New Roman"/>
                <w:i/>
                <w:color w:val="000000"/>
                <w:sz w:val="25"/>
                <w:szCs w:val="25"/>
              </w:rPr>
              <w:t>euro</w:t>
            </w:r>
            <w:r w:rsidRPr="00672427">
              <w:rPr>
                <w:rFonts w:eastAsia="Times New Roman"/>
                <w:color w:val="000000"/>
                <w:sz w:val="25"/>
                <w:szCs w:val="25"/>
              </w:rPr>
              <w:t xml:space="preserve"> apmērā apgūt nav iespējams.</w:t>
            </w:r>
          </w:p>
          <w:p w:rsidR="00EA5091" w:rsidRPr="00672427" w:rsidRDefault="00AB6AEB" w:rsidP="00364A83">
            <w:pPr>
              <w:ind w:left="132" w:right="127"/>
              <w:jc w:val="both"/>
              <w:rPr>
                <w:sz w:val="25"/>
                <w:szCs w:val="25"/>
              </w:rPr>
            </w:pPr>
            <w:r w:rsidRPr="00672427">
              <w:rPr>
                <w:sz w:val="25"/>
                <w:szCs w:val="25"/>
              </w:rPr>
              <w:tab/>
            </w:r>
            <w:r w:rsidR="00EA5091" w:rsidRPr="00672427">
              <w:rPr>
                <w:sz w:val="25"/>
                <w:szCs w:val="25"/>
              </w:rPr>
              <w:t xml:space="preserve">Jautājums par Ģimnāzijas turpmāko darbību, kā arī Projekta īstenošanai 2014.gadā paredzēto valsts budžeta līdzekļu pārdali tika izskatīts Latvijas Nacionālās sporta padomes 2014.gada 24.jūlija sēdē. Klātesot visām iesaistītajām pusēm, kā arī, detalizēti izvērtējot esošo situāciju un iespējamos risinājuma variantus (t.sk., Ministru kabineta 2014.gada 8.aprīļa sēdē pieņemto konceptuālo lēmumu </w:t>
            </w:r>
            <w:r w:rsidR="00A23073" w:rsidRPr="00672427">
              <w:rPr>
                <w:sz w:val="25"/>
                <w:szCs w:val="25"/>
              </w:rPr>
              <w:t xml:space="preserve">(prot. Nr.20 31.§) </w:t>
            </w:r>
            <w:r w:rsidR="00EA5091" w:rsidRPr="00672427">
              <w:rPr>
                <w:sz w:val="25"/>
                <w:szCs w:val="25"/>
              </w:rPr>
              <w:t xml:space="preserve">par Projekta īstenošanai paredzētā finansējuma pārdali Daugavas stadiona sagatavošanas darbu finansēšanai XI Latvijas Skolu jaunatnes dziesmu un deju svētku, kā arī XXVI Vispārējo latviešu Dziesmu un XVI Deju svētku </w:t>
            </w:r>
            <w:r w:rsidR="00EA5091" w:rsidRPr="00672427">
              <w:rPr>
                <w:sz w:val="25"/>
                <w:szCs w:val="25"/>
              </w:rPr>
              <w:lastRenderedPageBreak/>
              <w:t xml:space="preserve">norises nodrošināšanai), tika atbalstīta (prot. Nr.3 3.§, 3.2.apakšpunkts) nepieciešamība steidzami veikt pasākumus, lai nodrošinātu Ģimnāzijas darbības nepārtrauktību, kā arī uzlabotu audzēkņu ikdienas sadzīves apstākļus, šim mērķim izmantojot Projekta īstenošanai 2014.gadā paredzētos valsts budžeta līdzekļus 350`000 </w:t>
            </w:r>
            <w:r w:rsidR="00EA5091" w:rsidRPr="00672427">
              <w:rPr>
                <w:i/>
                <w:sz w:val="25"/>
                <w:szCs w:val="25"/>
              </w:rPr>
              <w:t>euro</w:t>
            </w:r>
            <w:r w:rsidR="00EA5091" w:rsidRPr="00672427">
              <w:rPr>
                <w:sz w:val="25"/>
                <w:szCs w:val="25"/>
              </w:rPr>
              <w:t xml:space="preserve"> apmērā. Tāpat tika nolemts (prot. Nr.3 3.§, 3.3.apakšpunkts) aicināt Ministru kabinetu veikt Projekta īstenošanai 2014.gadā paredzēto valsts budžeta līdzekļu 4`449`169 </w:t>
            </w:r>
            <w:r w:rsidR="00EA5091" w:rsidRPr="00672427">
              <w:rPr>
                <w:i/>
                <w:sz w:val="25"/>
                <w:szCs w:val="25"/>
              </w:rPr>
              <w:t>euro</w:t>
            </w:r>
            <w:r w:rsidR="00EA5091" w:rsidRPr="00672427">
              <w:rPr>
                <w:sz w:val="25"/>
                <w:szCs w:val="25"/>
              </w:rPr>
              <w:t xml:space="preserve"> apmērā pārdali šādiem mērķiem:</w:t>
            </w:r>
          </w:p>
          <w:p w:rsidR="00EA5091" w:rsidRPr="00672427" w:rsidRDefault="00EA5091" w:rsidP="00AF31BD">
            <w:pPr>
              <w:pStyle w:val="ListParagraph"/>
              <w:numPr>
                <w:ilvl w:val="0"/>
                <w:numId w:val="12"/>
              </w:numPr>
              <w:ind w:left="557" w:right="127" w:hanging="425"/>
              <w:jc w:val="both"/>
              <w:rPr>
                <w:sz w:val="25"/>
                <w:szCs w:val="25"/>
              </w:rPr>
            </w:pPr>
            <w:r w:rsidRPr="00672427">
              <w:rPr>
                <w:sz w:val="25"/>
                <w:szCs w:val="25"/>
              </w:rPr>
              <w:t>Daugavas stadiona sagatavošanai XI Latvijas Skolu jaunatnes dziesmu un deju svēt</w:t>
            </w:r>
            <w:r w:rsidR="005A7644" w:rsidRPr="00672427">
              <w:rPr>
                <w:sz w:val="25"/>
                <w:szCs w:val="25"/>
              </w:rPr>
              <w:t>ku norises nodrošināšanai – 471`</w:t>
            </w:r>
            <w:r w:rsidRPr="00672427">
              <w:rPr>
                <w:sz w:val="25"/>
                <w:szCs w:val="25"/>
              </w:rPr>
              <w:t xml:space="preserve">350 </w:t>
            </w:r>
            <w:r w:rsidRPr="00672427">
              <w:rPr>
                <w:i/>
                <w:sz w:val="25"/>
                <w:szCs w:val="25"/>
              </w:rPr>
              <w:t>euro</w:t>
            </w:r>
            <w:r w:rsidRPr="00672427">
              <w:rPr>
                <w:sz w:val="25"/>
                <w:szCs w:val="25"/>
              </w:rPr>
              <w:t xml:space="preserve"> apmērā;</w:t>
            </w:r>
          </w:p>
          <w:p w:rsidR="00902EBE" w:rsidRPr="00672427" w:rsidRDefault="00AF31BD" w:rsidP="00902EBE">
            <w:pPr>
              <w:pStyle w:val="ListParagraph"/>
              <w:numPr>
                <w:ilvl w:val="0"/>
                <w:numId w:val="12"/>
              </w:numPr>
              <w:ind w:left="557" w:right="127" w:hanging="425"/>
              <w:jc w:val="both"/>
              <w:rPr>
                <w:sz w:val="25"/>
                <w:szCs w:val="25"/>
              </w:rPr>
            </w:pPr>
            <w:r w:rsidRPr="00672427">
              <w:rPr>
                <w:sz w:val="25"/>
                <w:szCs w:val="25"/>
              </w:rPr>
              <w:t>B</w:t>
            </w:r>
            <w:r w:rsidR="00EA5091" w:rsidRPr="00672427">
              <w:rPr>
                <w:sz w:val="25"/>
                <w:szCs w:val="25"/>
              </w:rPr>
              <w:t>obsleja un kamaniņu trases “Sigulda” sagatavošanai 2015.gada pasaules čempionāta kamaniņu sportā norises nodrošināšanai, t.sk. galvenā informācijas tablo iegādei, trases apskaņošanas sistēmas iegādei un uzstādīšanai, starta (arī junioru) un finiša zonu izveidei atbilstoši starptautisko sporta federāciju prasībām, kā arī infrastruktūras renov</w:t>
            </w:r>
            <w:r w:rsidR="005A7644" w:rsidRPr="00672427">
              <w:rPr>
                <w:sz w:val="25"/>
                <w:szCs w:val="25"/>
              </w:rPr>
              <w:t>ācijai un labiekārtošanai – 678`</w:t>
            </w:r>
            <w:r w:rsidR="00EA5091" w:rsidRPr="00672427">
              <w:rPr>
                <w:sz w:val="25"/>
                <w:szCs w:val="25"/>
              </w:rPr>
              <w:t xml:space="preserve">580 </w:t>
            </w:r>
            <w:r w:rsidR="00EA5091" w:rsidRPr="00672427">
              <w:rPr>
                <w:i/>
                <w:sz w:val="25"/>
                <w:szCs w:val="25"/>
              </w:rPr>
              <w:t>euro</w:t>
            </w:r>
            <w:r w:rsidR="00EA5091" w:rsidRPr="00672427">
              <w:rPr>
                <w:sz w:val="25"/>
                <w:szCs w:val="25"/>
              </w:rPr>
              <w:t xml:space="preserve"> apmērā;</w:t>
            </w:r>
          </w:p>
          <w:p w:rsidR="00EA5091" w:rsidRPr="00672427" w:rsidRDefault="00902EBE" w:rsidP="00902EBE">
            <w:pPr>
              <w:pStyle w:val="ListParagraph"/>
              <w:numPr>
                <w:ilvl w:val="0"/>
                <w:numId w:val="12"/>
              </w:numPr>
              <w:ind w:left="557" w:right="127" w:hanging="425"/>
              <w:jc w:val="both"/>
              <w:rPr>
                <w:sz w:val="25"/>
                <w:szCs w:val="25"/>
              </w:rPr>
            </w:pPr>
            <w:r w:rsidRPr="00672427">
              <w:rPr>
                <w:sz w:val="25"/>
                <w:szCs w:val="25"/>
              </w:rPr>
              <w:t xml:space="preserve">Sporta centra “Mežaparks” rekonstrukcijai, primāri veicot Latvijas Olimpiskās vienības darbības nodrošināšanai nepieciešamā Sporta medicīnas centra (R.Feldmaņa ielā 11, Rīgā) rekonstrukciju un aprīkošanu, kā arī veicot sporta centra jumta remontu </w:t>
            </w:r>
            <w:r w:rsidR="005A7644" w:rsidRPr="00672427">
              <w:rPr>
                <w:sz w:val="25"/>
                <w:szCs w:val="25"/>
              </w:rPr>
              <w:t>– 577`</w:t>
            </w:r>
            <w:r w:rsidR="00EA5091" w:rsidRPr="00672427">
              <w:rPr>
                <w:sz w:val="25"/>
                <w:szCs w:val="25"/>
              </w:rPr>
              <w:t xml:space="preserve">820 </w:t>
            </w:r>
            <w:r w:rsidR="00EA5091" w:rsidRPr="00672427">
              <w:rPr>
                <w:i/>
                <w:sz w:val="25"/>
                <w:szCs w:val="25"/>
              </w:rPr>
              <w:t>euro</w:t>
            </w:r>
            <w:r w:rsidR="00EA5091" w:rsidRPr="00672427">
              <w:rPr>
                <w:sz w:val="25"/>
                <w:szCs w:val="25"/>
              </w:rPr>
              <w:t xml:space="preserve"> apmērā;</w:t>
            </w:r>
          </w:p>
          <w:p w:rsidR="00EA5091" w:rsidRPr="00672427" w:rsidRDefault="00EA5091" w:rsidP="00AF31BD">
            <w:pPr>
              <w:pStyle w:val="ListParagraph"/>
              <w:numPr>
                <w:ilvl w:val="0"/>
                <w:numId w:val="12"/>
              </w:numPr>
              <w:ind w:left="557" w:right="127" w:hanging="425"/>
              <w:jc w:val="both"/>
              <w:rPr>
                <w:sz w:val="25"/>
                <w:szCs w:val="25"/>
              </w:rPr>
            </w:pPr>
            <w:r w:rsidRPr="00672427">
              <w:rPr>
                <w:sz w:val="25"/>
                <w:szCs w:val="25"/>
              </w:rPr>
              <w:t>Multifunkcionālas vieglatlētikas manēžas būvniecībai</w:t>
            </w:r>
            <w:r w:rsidR="005A7644" w:rsidRPr="00672427">
              <w:rPr>
                <w:sz w:val="25"/>
                <w:szCs w:val="25"/>
              </w:rPr>
              <w:t xml:space="preserve"> J.Daliņa stadionā Valmierā – 2`721`</w:t>
            </w:r>
            <w:r w:rsidRPr="00672427">
              <w:rPr>
                <w:sz w:val="25"/>
                <w:szCs w:val="25"/>
              </w:rPr>
              <w:t xml:space="preserve">419 </w:t>
            </w:r>
            <w:r w:rsidRPr="00672427">
              <w:rPr>
                <w:i/>
                <w:sz w:val="25"/>
                <w:szCs w:val="25"/>
              </w:rPr>
              <w:t>euro</w:t>
            </w:r>
            <w:r w:rsidRPr="00672427">
              <w:rPr>
                <w:sz w:val="25"/>
                <w:szCs w:val="25"/>
              </w:rPr>
              <w:t xml:space="preserve"> apmērā.</w:t>
            </w:r>
          </w:p>
          <w:p w:rsidR="00EA5091" w:rsidRPr="00672427" w:rsidRDefault="00EA5091" w:rsidP="00EA5091">
            <w:pPr>
              <w:ind w:left="132" w:right="127" w:firstLine="720"/>
              <w:jc w:val="both"/>
              <w:rPr>
                <w:sz w:val="25"/>
                <w:szCs w:val="25"/>
              </w:rPr>
            </w:pPr>
          </w:p>
          <w:p w:rsidR="00BD58B8" w:rsidRPr="00672427" w:rsidRDefault="00A23073" w:rsidP="006D03B1">
            <w:pPr>
              <w:ind w:left="132" w:right="127"/>
              <w:jc w:val="both"/>
              <w:rPr>
                <w:sz w:val="25"/>
                <w:szCs w:val="25"/>
              </w:rPr>
            </w:pPr>
            <w:r w:rsidRPr="00672427">
              <w:rPr>
                <w:sz w:val="25"/>
                <w:szCs w:val="25"/>
              </w:rPr>
              <w:tab/>
            </w:r>
            <w:r w:rsidR="00EA5091" w:rsidRPr="00672427">
              <w:rPr>
                <w:sz w:val="25"/>
                <w:szCs w:val="25"/>
              </w:rPr>
              <w:t xml:space="preserve">Ievērojot minēto, </w:t>
            </w:r>
            <w:r w:rsidRPr="00672427">
              <w:rPr>
                <w:sz w:val="25"/>
                <w:szCs w:val="25"/>
              </w:rPr>
              <w:t xml:space="preserve">Ziņojumā </w:t>
            </w:r>
            <w:r w:rsidR="00EA5091" w:rsidRPr="00672427">
              <w:rPr>
                <w:sz w:val="25"/>
                <w:szCs w:val="25"/>
              </w:rPr>
              <w:t xml:space="preserve">IZM rosina daļu no Projekta īstenošanai 2014.gadā piešķirtajiem valsts budžeta līdzekļiem 350`000 </w:t>
            </w:r>
            <w:r w:rsidR="00EA5091" w:rsidRPr="00672427">
              <w:rPr>
                <w:i/>
                <w:sz w:val="25"/>
                <w:szCs w:val="25"/>
              </w:rPr>
              <w:t>euro</w:t>
            </w:r>
            <w:r w:rsidR="00EA5091" w:rsidRPr="00672427">
              <w:rPr>
                <w:sz w:val="25"/>
                <w:szCs w:val="25"/>
              </w:rPr>
              <w:t xml:space="preserve"> apmērā atstāt Ģimnāzijai un novirzīt tos </w:t>
            </w:r>
            <w:r w:rsidRPr="00672427">
              <w:rPr>
                <w:sz w:val="25"/>
                <w:szCs w:val="25"/>
              </w:rPr>
              <w:t>Z</w:t>
            </w:r>
            <w:r w:rsidR="00EA5091" w:rsidRPr="00672427">
              <w:rPr>
                <w:sz w:val="25"/>
                <w:szCs w:val="25"/>
              </w:rPr>
              <w:t xml:space="preserve">iņojumā minēto pasākumu īstenošanai, lai nodrošinātu Ģimnāzijas darbības nepārtrauktību, kā arī jau 2014.gadā uzlabotu Ģimnāzijas audzēkņu ikdienas sadzīves apstākļus. Pārējos Projekta īstenošanai 2014.gadā piešķirtos valsts budžeta līdzekļus 4`449`169 </w:t>
            </w:r>
            <w:r w:rsidR="00EA5091" w:rsidRPr="00672427">
              <w:rPr>
                <w:i/>
                <w:sz w:val="25"/>
                <w:szCs w:val="25"/>
              </w:rPr>
              <w:t>euro</w:t>
            </w:r>
            <w:r w:rsidR="00EA5091" w:rsidRPr="00672427">
              <w:rPr>
                <w:sz w:val="25"/>
                <w:szCs w:val="25"/>
              </w:rPr>
              <w:t xml:space="preserve"> apmērā </w:t>
            </w:r>
            <w:r w:rsidR="0087128F" w:rsidRPr="00672427">
              <w:rPr>
                <w:sz w:val="25"/>
                <w:szCs w:val="25"/>
              </w:rPr>
              <w:t xml:space="preserve">Ziņojumā </w:t>
            </w:r>
            <w:r w:rsidR="00EA5091" w:rsidRPr="00672427">
              <w:rPr>
                <w:sz w:val="25"/>
                <w:szCs w:val="25"/>
              </w:rPr>
              <w:t>IZM</w:t>
            </w:r>
            <w:r w:rsidR="006213D4" w:rsidRPr="00672427">
              <w:rPr>
                <w:sz w:val="25"/>
                <w:szCs w:val="25"/>
              </w:rPr>
              <w:t xml:space="preserve"> </w:t>
            </w:r>
            <w:r w:rsidR="00EA5091" w:rsidRPr="00672427">
              <w:rPr>
                <w:sz w:val="25"/>
                <w:szCs w:val="25"/>
              </w:rPr>
              <w:t>rosina pārdalīt uz IZM budžeta apakšprogrammu 09.04.00 “Sporta būves” un novirzīt iepriekšminēto Latvijas Nacionālās sporta padomes s</w:t>
            </w:r>
            <w:r w:rsidR="00DE26C4" w:rsidRPr="00672427">
              <w:rPr>
                <w:sz w:val="25"/>
                <w:szCs w:val="25"/>
              </w:rPr>
              <w:t>ēdē noteikto mērķu finansēšanai, kā rezultātā, ievērojot likuma “</w:t>
            </w:r>
            <w:r w:rsidR="00BC10F5" w:rsidRPr="00672427">
              <w:rPr>
                <w:rFonts w:eastAsia="Times New Roman"/>
                <w:color w:val="000000"/>
                <w:sz w:val="25"/>
                <w:szCs w:val="25"/>
              </w:rPr>
              <w:t>Par valsts budžetu 2014</w:t>
            </w:r>
            <w:r w:rsidR="00DE26C4" w:rsidRPr="00672427">
              <w:rPr>
                <w:rFonts w:eastAsia="Times New Roman"/>
                <w:color w:val="000000"/>
                <w:sz w:val="25"/>
                <w:szCs w:val="25"/>
              </w:rPr>
              <w:t xml:space="preserve">.gadam” 33.panta 3.punktā noteikto procedūru, IZM ir izstrādājusi Ministru </w:t>
            </w:r>
            <w:r w:rsidR="000372DF" w:rsidRPr="00672427">
              <w:rPr>
                <w:rFonts w:eastAsia="Times New Roman"/>
                <w:color w:val="000000"/>
                <w:sz w:val="25"/>
                <w:szCs w:val="25"/>
              </w:rPr>
              <w:t>k</w:t>
            </w:r>
            <w:r w:rsidR="00DE26C4" w:rsidRPr="00672427">
              <w:rPr>
                <w:rFonts w:eastAsia="Times New Roman"/>
                <w:color w:val="000000"/>
                <w:sz w:val="25"/>
                <w:szCs w:val="25"/>
              </w:rPr>
              <w:t xml:space="preserve">abineta rīkojuma projektu </w:t>
            </w:r>
            <w:r w:rsidR="00DE26C4" w:rsidRPr="00672427">
              <w:rPr>
                <w:sz w:val="25"/>
                <w:szCs w:val="25"/>
              </w:rPr>
              <w:t>“Par Murjāņu sporta ģimnāzijas esošo būvju rekonstrukcijas un multifunkcionālas slēgtas sporta manēžas būvniecības projekta īstenošanai 2014.gadā paredzēto valsts budžeta līdzekļu pārdali”.</w:t>
            </w:r>
          </w:p>
          <w:p w:rsidR="00165215" w:rsidRPr="00672427" w:rsidRDefault="00DE26C4" w:rsidP="00FF2AB8">
            <w:pPr>
              <w:ind w:left="132" w:right="127"/>
              <w:jc w:val="both"/>
              <w:rPr>
                <w:sz w:val="25"/>
                <w:szCs w:val="25"/>
              </w:rPr>
            </w:pPr>
            <w:r w:rsidRPr="00672427">
              <w:rPr>
                <w:sz w:val="25"/>
                <w:szCs w:val="25"/>
              </w:rPr>
              <w:tab/>
              <w:t xml:space="preserve">Ņemot vērā to, ka ar Rīkojuma Nr.508 2.1.apakšpunktu Projekta īstenošanai 2014.gadā paredzētais finansējums </w:t>
            </w:r>
            <w:r w:rsidRPr="00672427">
              <w:rPr>
                <w:sz w:val="25"/>
                <w:szCs w:val="25"/>
              </w:rPr>
              <w:br/>
            </w:r>
            <w:r w:rsidRPr="00672427">
              <w:rPr>
                <w:rFonts w:eastAsia="Times New Roman"/>
                <w:color w:val="000000"/>
                <w:sz w:val="25"/>
                <w:szCs w:val="25"/>
              </w:rPr>
              <w:t xml:space="preserve">4`799`169 </w:t>
            </w:r>
            <w:r w:rsidRPr="00672427">
              <w:rPr>
                <w:rFonts w:eastAsia="Times New Roman"/>
                <w:i/>
                <w:color w:val="000000"/>
                <w:sz w:val="25"/>
                <w:szCs w:val="25"/>
              </w:rPr>
              <w:t>euro</w:t>
            </w:r>
            <w:r w:rsidR="0092388C" w:rsidRPr="00672427">
              <w:rPr>
                <w:rFonts w:eastAsia="Times New Roman"/>
                <w:color w:val="000000"/>
                <w:sz w:val="25"/>
                <w:szCs w:val="25"/>
              </w:rPr>
              <w:t xml:space="preserve"> a</w:t>
            </w:r>
            <w:r w:rsidRPr="00672427">
              <w:rPr>
                <w:rFonts w:eastAsia="Times New Roman"/>
                <w:color w:val="000000"/>
                <w:sz w:val="25"/>
                <w:szCs w:val="25"/>
              </w:rPr>
              <w:t>pmērā ir iekļauts valsts budžeta ilgtermiņa saistīb</w:t>
            </w:r>
            <w:r w:rsidR="00165215" w:rsidRPr="00672427">
              <w:rPr>
                <w:rFonts w:eastAsia="Times New Roman"/>
                <w:color w:val="000000"/>
                <w:sz w:val="25"/>
                <w:szCs w:val="25"/>
              </w:rPr>
              <w:t xml:space="preserve">ās, </w:t>
            </w:r>
            <w:r w:rsidR="002B47A2" w:rsidRPr="00672427">
              <w:rPr>
                <w:rFonts w:eastAsia="Times New Roman"/>
                <w:color w:val="000000"/>
                <w:sz w:val="25"/>
                <w:szCs w:val="25"/>
              </w:rPr>
              <w:t xml:space="preserve">papildus minētam ir nepieciešams izdarīt grozījumus </w:t>
            </w:r>
            <w:r w:rsidR="00FF2AB8" w:rsidRPr="00672427">
              <w:rPr>
                <w:rFonts w:eastAsia="Times New Roman"/>
                <w:color w:val="000000"/>
                <w:sz w:val="25"/>
                <w:szCs w:val="25"/>
              </w:rPr>
              <w:t xml:space="preserve">Rīkojumā Nr.508 un: (1) </w:t>
            </w:r>
            <w:r w:rsidR="002B47A2" w:rsidRPr="00672427">
              <w:rPr>
                <w:rFonts w:eastAsia="Times New Roman"/>
                <w:color w:val="000000"/>
                <w:sz w:val="25"/>
                <w:szCs w:val="25"/>
              </w:rPr>
              <w:t>samazin</w:t>
            </w:r>
            <w:r w:rsidR="00FF2AB8" w:rsidRPr="00672427">
              <w:rPr>
                <w:rFonts w:eastAsia="Times New Roman"/>
                <w:color w:val="000000"/>
                <w:sz w:val="25"/>
                <w:szCs w:val="25"/>
              </w:rPr>
              <w:t>āt</w:t>
            </w:r>
            <w:r w:rsidR="002B47A2" w:rsidRPr="00672427">
              <w:rPr>
                <w:rFonts w:eastAsia="Times New Roman"/>
                <w:color w:val="000000"/>
                <w:sz w:val="25"/>
                <w:szCs w:val="25"/>
              </w:rPr>
              <w:t xml:space="preserve"> 2.1.apakšpunktā norādīto Projekta īstenošanai </w:t>
            </w:r>
            <w:r w:rsidR="00165215" w:rsidRPr="00672427">
              <w:rPr>
                <w:rFonts w:eastAsia="Times New Roman"/>
                <w:color w:val="000000"/>
                <w:sz w:val="25"/>
                <w:szCs w:val="25"/>
              </w:rPr>
              <w:t xml:space="preserve">2014.gadā </w:t>
            </w:r>
            <w:r w:rsidR="002B47A2" w:rsidRPr="00672427">
              <w:rPr>
                <w:rFonts w:eastAsia="Times New Roman"/>
                <w:color w:val="000000"/>
                <w:sz w:val="25"/>
                <w:szCs w:val="25"/>
              </w:rPr>
              <w:t xml:space="preserve">paredzēto finansējumu proporcionāli </w:t>
            </w:r>
            <w:r w:rsidR="00165215" w:rsidRPr="00672427">
              <w:rPr>
                <w:rFonts w:eastAsia="Times New Roman"/>
                <w:color w:val="000000"/>
                <w:sz w:val="25"/>
                <w:szCs w:val="25"/>
              </w:rPr>
              <w:t xml:space="preserve"> pārdalāmā finansējuma apm</w:t>
            </w:r>
            <w:r w:rsidR="002B47A2" w:rsidRPr="00672427">
              <w:rPr>
                <w:rFonts w:eastAsia="Times New Roman"/>
                <w:color w:val="000000"/>
                <w:sz w:val="25"/>
                <w:szCs w:val="25"/>
              </w:rPr>
              <w:t>ēram (</w:t>
            </w:r>
            <w:r w:rsidR="00165215" w:rsidRPr="00672427">
              <w:rPr>
                <w:rFonts w:eastAsia="Times New Roman"/>
                <w:color w:val="000000"/>
                <w:sz w:val="25"/>
                <w:szCs w:val="25"/>
              </w:rPr>
              <w:t xml:space="preserve">t.i., samazinot par </w:t>
            </w:r>
            <w:r w:rsidR="00165215" w:rsidRPr="00672427">
              <w:rPr>
                <w:sz w:val="25"/>
                <w:szCs w:val="25"/>
              </w:rPr>
              <w:t xml:space="preserve">4`449`169 </w:t>
            </w:r>
            <w:r w:rsidR="00165215" w:rsidRPr="00672427">
              <w:rPr>
                <w:i/>
                <w:sz w:val="25"/>
                <w:szCs w:val="25"/>
              </w:rPr>
              <w:t>euro</w:t>
            </w:r>
            <w:r w:rsidR="002B47A2" w:rsidRPr="00672427">
              <w:rPr>
                <w:sz w:val="25"/>
                <w:szCs w:val="25"/>
              </w:rPr>
              <w:t xml:space="preserve">), kā rezultātā atlikušais finansējums ir 350`000 </w:t>
            </w:r>
            <w:r w:rsidR="002B47A2" w:rsidRPr="00672427">
              <w:rPr>
                <w:i/>
                <w:sz w:val="25"/>
                <w:szCs w:val="25"/>
              </w:rPr>
              <w:lastRenderedPageBreak/>
              <w:t>euro</w:t>
            </w:r>
            <w:r w:rsidR="00FF2AB8" w:rsidRPr="00672427">
              <w:rPr>
                <w:sz w:val="25"/>
                <w:szCs w:val="25"/>
              </w:rPr>
              <w:t xml:space="preserve">; (2) iekļaut IZM 2017.gada valsts budžeta programmas 09.00.00 “Sports” apakšprogrammā 09.10.00 “Murjāņu sporta ģimnāzija” Projekta īstenošanai nepieciešamo finansējumu 4`449`169 </w:t>
            </w:r>
            <w:r w:rsidR="00FF2AB8" w:rsidRPr="00672427">
              <w:rPr>
                <w:i/>
                <w:sz w:val="25"/>
                <w:szCs w:val="25"/>
              </w:rPr>
              <w:t>euro</w:t>
            </w:r>
            <w:r w:rsidR="00FF2AB8" w:rsidRPr="00672427">
              <w:rPr>
                <w:sz w:val="25"/>
                <w:szCs w:val="25"/>
              </w:rPr>
              <w:t xml:space="preserve"> apmērā valsts budžeta ilgtermiņa saistībās.</w:t>
            </w:r>
          </w:p>
          <w:p w:rsidR="00165215" w:rsidRPr="00672427" w:rsidRDefault="00165215" w:rsidP="006D03B1">
            <w:pPr>
              <w:ind w:left="132" w:right="127"/>
              <w:jc w:val="both"/>
              <w:rPr>
                <w:sz w:val="25"/>
                <w:szCs w:val="25"/>
              </w:rPr>
            </w:pPr>
          </w:p>
          <w:p w:rsidR="00475B54" w:rsidRPr="00672427" w:rsidRDefault="00165215" w:rsidP="00194827">
            <w:pPr>
              <w:ind w:left="132" w:right="127"/>
              <w:jc w:val="both"/>
              <w:rPr>
                <w:sz w:val="25"/>
                <w:szCs w:val="25"/>
              </w:rPr>
            </w:pPr>
            <w:r w:rsidRPr="00672427">
              <w:rPr>
                <w:sz w:val="25"/>
                <w:szCs w:val="25"/>
              </w:rPr>
              <w:tab/>
              <w:t>Ievērojot minēto, IZM ir izstrādājusi Ministru kabineta r</w:t>
            </w:r>
            <w:r w:rsidR="00413B6F" w:rsidRPr="00672427">
              <w:rPr>
                <w:sz w:val="25"/>
                <w:szCs w:val="25"/>
              </w:rPr>
              <w:t>īkojuma projektu “Grozījum</w:t>
            </w:r>
            <w:r w:rsidR="00FF2AB8" w:rsidRPr="00672427">
              <w:rPr>
                <w:sz w:val="25"/>
                <w:szCs w:val="25"/>
              </w:rPr>
              <w:t>i</w:t>
            </w:r>
            <w:r w:rsidR="00413B6F" w:rsidRPr="00672427">
              <w:rPr>
                <w:sz w:val="25"/>
                <w:szCs w:val="25"/>
              </w:rPr>
              <w:t xml:space="preserve"> Ministru kabineta 2013.gada 31.oktobra rīkojumā Nr.508 “Par Murjāņu sporta ģimnāzijas esošo būvju rekonstrukcijas un multifunkcionālas slēgtas sporta manēžas būvniecības projekta īstenošanu””.</w:t>
            </w:r>
          </w:p>
        </w:tc>
      </w:tr>
      <w:tr w:rsidR="00585B7B" w:rsidRPr="00672427" w:rsidTr="00672427">
        <w:trPr>
          <w:trHeight w:val="476"/>
        </w:trPr>
        <w:tc>
          <w:tcPr>
            <w:tcW w:w="562" w:type="dxa"/>
          </w:tcPr>
          <w:p w:rsidR="00585B7B" w:rsidRPr="00672427" w:rsidRDefault="00005A9D" w:rsidP="00BD696A">
            <w:pPr>
              <w:pStyle w:val="naiskr"/>
              <w:spacing w:before="0" w:after="0"/>
              <w:jc w:val="center"/>
              <w:rPr>
                <w:sz w:val="25"/>
                <w:szCs w:val="25"/>
              </w:rPr>
            </w:pPr>
            <w:r w:rsidRPr="00672427">
              <w:rPr>
                <w:sz w:val="25"/>
                <w:szCs w:val="25"/>
              </w:rPr>
              <w:lastRenderedPageBreak/>
              <w:t>3.</w:t>
            </w:r>
          </w:p>
        </w:tc>
        <w:tc>
          <w:tcPr>
            <w:tcW w:w="2694" w:type="dxa"/>
          </w:tcPr>
          <w:p w:rsidR="00585B7B" w:rsidRPr="00672427" w:rsidRDefault="00005A9D" w:rsidP="00916055">
            <w:pPr>
              <w:pStyle w:val="naiskr"/>
              <w:spacing w:before="0" w:after="0"/>
              <w:ind w:left="141"/>
              <w:rPr>
                <w:sz w:val="25"/>
                <w:szCs w:val="25"/>
              </w:rPr>
            </w:pPr>
            <w:r w:rsidRPr="00672427">
              <w:rPr>
                <w:sz w:val="25"/>
                <w:szCs w:val="25"/>
              </w:rPr>
              <w:t>Projekta izstrādē iesaistītās institūcijas</w:t>
            </w:r>
          </w:p>
        </w:tc>
        <w:tc>
          <w:tcPr>
            <w:tcW w:w="6941" w:type="dxa"/>
          </w:tcPr>
          <w:p w:rsidR="00643E6C" w:rsidRPr="00672427" w:rsidRDefault="00DC332F" w:rsidP="00DF03FB">
            <w:pPr>
              <w:ind w:left="82" w:right="141"/>
              <w:jc w:val="both"/>
              <w:rPr>
                <w:sz w:val="25"/>
                <w:szCs w:val="25"/>
              </w:rPr>
            </w:pPr>
            <w:r w:rsidRPr="00672427">
              <w:rPr>
                <w:sz w:val="25"/>
                <w:szCs w:val="25"/>
              </w:rPr>
              <w:t xml:space="preserve">Ministru kabineta rīkojuma projektu izstrādāja IZM. </w:t>
            </w:r>
            <w:r w:rsidR="008C68D2" w:rsidRPr="00672427">
              <w:rPr>
                <w:sz w:val="25"/>
                <w:szCs w:val="25"/>
              </w:rPr>
              <w:t xml:space="preserve">Ņemot vērā to, ka Ministru kabineta rīkojuma projekts izstrādāts, ņemot vērā Latvijas Nacionālās sporta padomes 2014.gada 24.jūlija sēdē Ministru kabinetam izteikto aicinājumu (prot. Nr.3 </w:t>
            </w:r>
            <w:r w:rsidR="00415D76" w:rsidRPr="00672427">
              <w:rPr>
                <w:sz w:val="25"/>
                <w:szCs w:val="25"/>
              </w:rPr>
              <w:t>3</w:t>
            </w:r>
            <w:r w:rsidR="008C68D2" w:rsidRPr="00672427">
              <w:rPr>
                <w:sz w:val="25"/>
                <w:szCs w:val="25"/>
              </w:rPr>
              <w:t>.§., 3.3.</w:t>
            </w:r>
            <w:r w:rsidR="002F6EEF" w:rsidRPr="00672427">
              <w:rPr>
                <w:sz w:val="25"/>
                <w:szCs w:val="25"/>
              </w:rPr>
              <w:t>apakšpunkts), papildus pasākumi sabiedrības iesaistei nebija nepieciešam</w:t>
            </w:r>
            <w:r w:rsidR="00DF03FB" w:rsidRPr="00672427">
              <w:rPr>
                <w:sz w:val="25"/>
                <w:szCs w:val="25"/>
              </w:rPr>
              <w:t>i</w:t>
            </w:r>
            <w:r w:rsidR="002F6EEF" w:rsidRPr="00672427">
              <w:rPr>
                <w:sz w:val="25"/>
                <w:szCs w:val="25"/>
              </w:rPr>
              <w:t>.</w:t>
            </w:r>
          </w:p>
        </w:tc>
      </w:tr>
      <w:tr w:rsidR="00585B7B" w:rsidRPr="00672427" w:rsidTr="00672427">
        <w:tc>
          <w:tcPr>
            <w:tcW w:w="562" w:type="dxa"/>
          </w:tcPr>
          <w:p w:rsidR="00585B7B" w:rsidRPr="00672427" w:rsidRDefault="00005A9D" w:rsidP="00BD696A">
            <w:pPr>
              <w:pStyle w:val="naiskr"/>
              <w:spacing w:before="0" w:after="0"/>
              <w:jc w:val="center"/>
              <w:rPr>
                <w:sz w:val="25"/>
                <w:szCs w:val="25"/>
              </w:rPr>
            </w:pPr>
            <w:r w:rsidRPr="00672427">
              <w:rPr>
                <w:sz w:val="25"/>
                <w:szCs w:val="25"/>
              </w:rPr>
              <w:t>4</w:t>
            </w:r>
            <w:r w:rsidR="00585B7B" w:rsidRPr="00672427">
              <w:rPr>
                <w:sz w:val="25"/>
                <w:szCs w:val="25"/>
              </w:rPr>
              <w:t>.</w:t>
            </w:r>
          </w:p>
        </w:tc>
        <w:tc>
          <w:tcPr>
            <w:tcW w:w="2694" w:type="dxa"/>
          </w:tcPr>
          <w:p w:rsidR="00585B7B" w:rsidRPr="00672427" w:rsidRDefault="00585B7B" w:rsidP="00916055">
            <w:pPr>
              <w:pStyle w:val="naiskr"/>
              <w:spacing w:before="0" w:after="0"/>
              <w:ind w:left="141"/>
              <w:rPr>
                <w:sz w:val="25"/>
                <w:szCs w:val="25"/>
              </w:rPr>
            </w:pPr>
            <w:r w:rsidRPr="00672427">
              <w:rPr>
                <w:sz w:val="25"/>
                <w:szCs w:val="25"/>
              </w:rPr>
              <w:t>Cita informācija</w:t>
            </w:r>
          </w:p>
        </w:tc>
        <w:tc>
          <w:tcPr>
            <w:tcW w:w="6941" w:type="dxa"/>
          </w:tcPr>
          <w:p w:rsidR="006A26FB" w:rsidRPr="00672427" w:rsidRDefault="00291AF4" w:rsidP="00985B4B">
            <w:pPr>
              <w:ind w:left="114" w:right="127"/>
              <w:jc w:val="both"/>
              <w:rPr>
                <w:sz w:val="25"/>
                <w:szCs w:val="25"/>
              </w:rPr>
            </w:pPr>
            <w:r w:rsidRPr="00672427">
              <w:rPr>
                <w:sz w:val="25"/>
                <w:szCs w:val="25"/>
              </w:rPr>
              <w:t>Ministru kabineta r</w:t>
            </w:r>
            <w:r w:rsidR="00E5461A" w:rsidRPr="00672427">
              <w:rPr>
                <w:sz w:val="25"/>
                <w:szCs w:val="25"/>
              </w:rPr>
              <w:t xml:space="preserve">īkojuma projekts tiešā veidā attiecas uz </w:t>
            </w:r>
            <w:r w:rsidRPr="00672427">
              <w:rPr>
                <w:sz w:val="25"/>
                <w:szCs w:val="25"/>
              </w:rPr>
              <w:t>tūrisma, sporta un brīvā laika politiku (sporta politiku). Pastarpināti   Ministru kabineta rīkojuma projekts attiecas uz budžeta un finanšu politiku.</w:t>
            </w:r>
          </w:p>
        </w:tc>
      </w:tr>
    </w:tbl>
    <w:p w:rsidR="005134ED" w:rsidRPr="00672427" w:rsidRDefault="005134ED" w:rsidP="009B774A">
      <w:pPr>
        <w:pStyle w:val="naisf"/>
        <w:tabs>
          <w:tab w:val="left" w:pos="3819"/>
        </w:tabs>
        <w:spacing w:before="0" w:after="0"/>
        <w:ind w:firstLine="0"/>
        <w:rPr>
          <w:sz w:val="25"/>
          <w:szCs w:val="25"/>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541"/>
        <w:gridCol w:w="1388"/>
        <w:gridCol w:w="1189"/>
        <w:gridCol w:w="1194"/>
        <w:gridCol w:w="1260"/>
      </w:tblGrid>
      <w:tr w:rsidR="009B774A" w:rsidRPr="00672427" w:rsidTr="009B774A">
        <w:trPr>
          <w:trHeight w:val="361"/>
          <w:jc w:val="center"/>
        </w:trPr>
        <w:tc>
          <w:tcPr>
            <w:tcW w:w="10209" w:type="dxa"/>
            <w:gridSpan w:val="6"/>
            <w:vAlign w:val="center"/>
          </w:tcPr>
          <w:p w:rsidR="009B774A" w:rsidRPr="00672427" w:rsidRDefault="009B774A" w:rsidP="001A0506">
            <w:pPr>
              <w:jc w:val="center"/>
              <w:rPr>
                <w:b/>
                <w:i/>
                <w:sz w:val="25"/>
                <w:szCs w:val="25"/>
              </w:rPr>
            </w:pPr>
            <w:r w:rsidRPr="00672427">
              <w:rPr>
                <w:sz w:val="25"/>
                <w:szCs w:val="25"/>
              </w:rPr>
              <w:br w:type="page"/>
            </w:r>
            <w:r w:rsidRPr="00672427">
              <w:rPr>
                <w:sz w:val="25"/>
                <w:szCs w:val="25"/>
              </w:rPr>
              <w:br w:type="page"/>
            </w:r>
            <w:r w:rsidRPr="00672427">
              <w:rPr>
                <w:b/>
                <w:sz w:val="25"/>
                <w:szCs w:val="25"/>
              </w:rPr>
              <w:t>III. Tiesību akta projekta ietekme uz valsts budžetu un pašvaldību budžetiem</w:t>
            </w:r>
          </w:p>
        </w:tc>
      </w:tr>
      <w:tr w:rsidR="009B774A" w:rsidRPr="00672427" w:rsidTr="00FA0234">
        <w:trPr>
          <w:jc w:val="center"/>
        </w:trPr>
        <w:tc>
          <w:tcPr>
            <w:tcW w:w="3637" w:type="dxa"/>
            <w:vMerge w:val="restart"/>
            <w:vAlign w:val="center"/>
          </w:tcPr>
          <w:p w:rsidR="009B774A" w:rsidRPr="00672427" w:rsidRDefault="009B774A" w:rsidP="001A0506">
            <w:pPr>
              <w:jc w:val="center"/>
              <w:rPr>
                <w:b/>
                <w:sz w:val="25"/>
                <w:szCs w:val="25"/>
              </w:rPr>
            </w:pPr>
            <w:r w:rsidRPr="00672427">
              <w:rPr>
                <w:b/>
                <w:sz w:val="25"/>
                <w:szCs w:val="25"/>
              </w:rPr>
              <w:t>Rādītāji</w:t>
            </w:r>
          </w:p>
        </w:tc>
        <w:tc>
          <w:tcPr>
            <w:tcW w:w="2929" w:type="dxa"/>
            <w:gridSpan w:val="2"/>
            <w:vMerge w:val="restart"/>
            <w:vAlign w:val="center"/>
          </w:tcPr>
          <w:p w:rsidR="009B774A" w:rsidRPr="00672427" w:rsidRDefault="009B774A" w:rsidP="001A0506">
            <w:pPr>
              <w:jc w:val="center"/>
              <w:rPr>
                <w:b/>
                <w:sz w:val="25"/>
                <w:szCs w:val="25"/>
              </w:rPr>
            </w:pPr>
            <w:r w:rsidRPr="00672427">
              <w:rPr>
                <w:b/>
                <w:sz w:val="25"/>
                <w:szCs w:val="25"/>
              </w:rPr>
              <w:t>2014</w:t>
            </w:r>
          </w:p>
        </w:tc>
        <w:tc>
          <w:tcPr>
            <w:tcW w:w="3643" w:type="dxa"/>
            <w:gridSpan w:val="3"/>
            <w:vAlign w:val="center"/>
          </w:tcPr>
          <w:p w:rsidR="009B774A" w:rsidRPr="00672427" w:rsidRDefault="009B774A" w:rsidP="001A0506">
            <w:pPr>
              <w:jc w:val="center"/>
              <w:rPr>
                <w:b/>
                <w:i/>
                <w:sz w:val="25"/>
                <w:szCs w:val="25"/>
              </w:rPr>
            </w:pPr>
            <w:r w:rsidRPr="00672427">
              <w:rPr>
                <w:sz w:val="25"/>
                <w:szCs w:val="25"/>
              </w:rPr>
              <w:t>Turpmākie trīs gadi (</w:t>
            </w:r>
            <w:r w:rsidRPr="00672427">
              <w:rPr>
                <w:i/>
                <w:sz w:val="25"/>
                <w:szCs w:val="25"/>
              </w:rPr>
              <w:t>euro</w:t>
            </w:r>
            <w:r w:rsidRPr="00672427">
              <w:rPr>
                <w:sz w:val="25"/>
                <w:szCs w:val="25"/>
              </w:rPr>
              <w:t>)</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2929" w:type="dxa"/>
            <w:gridSpan w:val="2"/>
            <w:vMerge/>
            <w:vAlign w:val="center"/>
          </w:tcPr>
          <w:p w:rsidR="009B774A" w:rsidRPr="00672427" w:rsidRDefault="009B774A" w:rsidP="001A0506">
            <w:pPr>
              <w:jc w:val="center"/>
              <w:rPr>
                <w:b/>
                <w:i/>
                <w:sz w:val="25"/>
                <w:szCs w:val="25"/>
              </w:rPr>
            </w:pPr>
          </w:p>
        </w:tc>
        <w:tc>
          <w:tcPr>
            <w:tcW w:w="1189" w:type="dxa"/>
            <w:vAlign w:val="center"/>
          </w:tcPr>
          <w:p w:rsidR="009B774A" w:rsidRPr="00672427" w:rsidRDefault="009B774A" w:rsidP="001A0506">
            <w:pPr>
              <w:jc w:val="center"/>
              <w:rPr>
                <w:b/>
                <w:i/>
                <w:sz w:val="25"/>
                <w:szCs w:val="25"/>
              </w:rPr>
            </w:pPr>
            <w:r w:rsidRPr="00672427">
              <w:rPr>
                <w:b/>
                <w:bCs/>
                <w:sz w:val="25"/>
                <w:szCs w:val="25"/>
              </w:rPr>
              <w:t>2015</w:t>
            </w:r>
          </w:p>
        </w:tc>
        <w:tc>
          <w:tcPr>
            <w:tcW w:w="1194" w:type="dxa"/>
            <w:vAlign w:val="center"/>
          </w:tcPr>
          <w:p w:rsidR="009B774A" w:rsidRPr="00672427" w:rsidRDefault="009B774A" w:rsidP="001A0506">
            <w:pPr>
              <w:jc w:val="center"/>
              <w:rPr>
                <w:b/>
                <w:i/>
                <w:sz w:val="25"/>
                <w:szCs w:val="25"/>
              </w:rPr>
            </w:pPr>
            <w:r w:rsidRPr="00672427">
              <w:rPr>
                <w:b/>
                <w:bCs/>
                <w:sz w:val="25"/>
                <w:szCs w:val="25"/>
              </w:rPr>
              <w:t>2016</w:t>
            </w:r>
          </w:p>
        </w:tc>
        <w:tc>
          <w:tcPr>
            <w:tcW w:w="1260" w:type="dxa"/>
            <w:vAlign w:val="center"/>
          </w:tcPr>
          <w:p w:rsidR="009B774A" w:rsidRPr="00672427" w:rsidRDefault="009B774A" w:rsidP="001A0506">
            <w:pPr>
              <w:jc w:val="center"/>
              <w:rPr>
                <w:b/>
                <w:i/>
                <w:sz w:val="25"/>
                <w:szCs w:val="25"/>
              </w:rPr>
            </w:pPr>
            <w:r w:rsidRPr="00672427">
              <w:rPr>
                <w:b/>
                <w:bCs/>
                <w:sz w:val="25"/>
                <w:szCs w:val="25"/>
              </w:rPr>
              <w:t>2017</w:t>
            </w:r>
          </w:p>
        </w:tc>
      </w:tr>
      <w:tr w:rsidR="009B774A" w:rsidRPr="00672427" w:rsidTr="00FA0234">
        <w:trPr>
          <w:jc w:val="center"/>
        </w:trPr>
        <w:tc>
          <w:tcPr>
            <w:tcW w:w="3637" w:type="dxa"/>
            <w:vMerge/>
            <w:vAlign w:val="center"/>
          </w:tcPr>
          <w:p w:rsidR="009B774A" w:rsidRPr="00672427" w:rsidRDefault="009B774A" w:rsidP="001A0506">
            <w:pPr>
              <w:jc w:val="center"/>
              <w:rPr>
                <w:b/>
                <w:i/>
                <w:sz w:val="25"/>
                <w:szCs w:val="25"/>
              </w:rPr>
            </w:pPr>
          </w:p>
        </w:tc>
        <w:tc>
          <w:tcPr>
            <w:tcW w:w="1541" w:type="dxa"/>
            <w:vAlign w:val="center"/>
          </w:tcPr>
          <w:p w:rsidR="009B774A" w:rsidRPr="00672427" w:rsidRDefault="009B774A" w:rsidP="001A0506">
            <w:pPr>
              <w:jc w:val="center"/>
              <w:rPr>
                <w:b/>
                <w:i/>
                <w:sz w:val="25"/>
                <w:szCs w:val="25"/>
              </w:rPr>
            </w:pPr>
            <w:r w:rsidRPr="00672427">
              <w:rPr>
                <w:sz w:val="25"/>
                <w:szCs w:val="25"/>
              </w:rPr>
              <w:t>saskaņā ar valsts budžetu kārtējam gadam</w:t>
            </w:r>
          </w:p>
        </w:tc>
        <w:tc>
          <w:tcPr>
            <w:tcW w:w="1388" w:type="dxa"/>
            <w:vAlign w:val="center"/>
          </w:tcPr>
          <w:p w:rsidR="009B774A" w:rsidRPr="00672427" w:rsidRDefault="009B774A" w:rsidP="001A0506">
            <w:pPr>
              <w:jc w:val="center"/>
              <w:rPr>
                <w:b/>
                <w:i/>
                <w:sz w:val="25"/>
                <w:szCs w:val="25"/>
              </w:rPr>
            </w:pPr>
            <w:r w:rsidRPr="00672427">
              <w:rPr>
                <w:sz w:val="25"/>
                <w:szCs w:val="25"/>
              </w:rPr>
              <w:t>izmaiņas kārtējā gadā, salīdzinot ar budžetu kārtējam gadam</w:t>
            </w:r>
          </w:p>
        </w:tc>
        <w:tc>
          <w:tcPr>
            <w:tcW w:w="1189"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194"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c>
          <w:tcPr>
            <w:tcW w:w="1260" w:type="dxa"/>
            <w:vAlign w:val="center"/>
          </w:tcPr>
          <w:p w:rsidR="009B774A" w:rsidRPr="00672427" w:rsidRDefault="009B774A" w:rsidP="001A0506">
            <w:pPr>
              <w:jc w:val="center"/>
              <w:rPr>
                <w:b/>
                <w:i/>
                <w:sz w:val="25"/>
                <w:szCs w:val="25"/>
              </w:rPr>
            </w:pPr>
            <w:r w:rsidRPr="00672427">
              <w:rPr>
                <w:sz w:val="25"/>
                <w:szCs w:val="25"/>
              </w:rPr>
              <w:t>izmaiņas, salīdzinot ar kārtējo  gadu</w:t>
            </w:r>
          </w:p>
        </w:tc>
      </w:tr>
      <w:tr w:rsidR="009B774A" w:rsidRPr="00672427" w:rsidTr="00FA0234">
        <w:trPr>
          <w:jc w:val="center"/>
        </w:trPr>
        <w:tc>
          <w:tcPr>
            <w:tcW w:w="3637" w:type="dxa"/>
            <w:vAlign w:val="center"/>
          </w:tcPr>
          <w:p w:rsidR="009B774A" w:rsidRPr="00672427" w:rsidRDefault="009B774A" w:rsidP="001A0506">
            <w:pPr>
              <w:jc w:val="center"/>
              <w:rPr>
                <w:bCs/>
                <w:sz w:val="25"/>
                <w:szCs w:val="25"/>
              </w:rPr>
            </w:pPr>
            <w:r w:rsidRPr="00672427">
              <w:rPr>
                <w:bCs/>
                <w:sz w:val="25"/>
                <w:szCs w:val="25"/>
              </w:rPr>
              <w:t>1</w:t>
            </w:r>
          </w:p>
        </w:tc>
        <w:tc>
          <w:tcPr>
            <w:tcW w:w="1541" w:type="dxa"/>
            <w:vAlign w:val="center"/>
          </w:tcPr>
          <w:p w:rsidR="009B774A" w:rsidRPr="00672427" w:rsidRDefault="009B774A" w:rsidP="001A0506">
            <w:pPr>
              <w:jc w:val="center"/>
              <w:rPr>
                <w:bCs/>
                <w:sz w:val="25"/>
                <w:szCs w:val="25"/>
              </w:rPr>
            </w:pPr>
            <w:r w:rsidRPr="00672427">
              <w:rPr>
                <w:bCs/>
                <w:sz w:val="25"/>
                <w:szCs w:val="25"/>
              </w:rPr>
              <w:t>2</w:t>
            </w:r>
          </w:p>
        </w:tc>
        <w:tc>
          <w:tcPr>
            <w:tcW w:w="1388" w:type="dxa"/>
            <w:vAlign w:val="center"/>
          </w:tcPr>
          <w:p w:rsidR="009B774A" w:rsidRPr="00672427" w:rsidRDefault="009B774A" w:rsidP="001A0506">
            <w:pPr>
              <w:jc w:val="center"/>
              <w:rPr>
                <w:bCs/>
                <w:sz w:val="25"/>
                <w:szCs w:val="25"/>
              </w:rPr>
            </w:pPr>
            <w:r w:rsidRPr="00672427">
              <w:rPr>
                <w:bCs/>
                <w:sz w:val="25"/>
                <w:szCs w:val="25"/>
              </w:rPr>
              <w:t>3</w:t>
            </w:r>
          </w:p>
        </w:tc>
        <w:tc>
          <w:tcPr>
            <w:tcW w:w="1189" w:type="dxa"/>
            <w:vAlign w:val="center"/>
          </w:tcPr>
          <w:p w:rsidR="009B774A" w:rsidRPr="00672427" w:rsidRDefault="009B774A" w:rsidP="001A0506">
            <w:pPr>
              <w:jc w:val="center"/>
              <w:rPr>
                <w:bCs/>
                <w:sz w:val="25"/>
                <w:szCs w:val="25"/>
              </w:rPr>
            </w:pPr>
            <w:r w:rsidRPr="00672427">
              <w:rPr>
                <w:bCs/>
                <w:sz w:val="25"/>
                <w:szCs w:val="25"/>
              </w:rPr>
              <w:t>4</w:t>
            </w:r>
          </w:p>
        </w:tc>
        <w:tc>
          <w:tcPr>
            <w:tcW w:w="1194" w:type="dxa"/>
            <w:vAlign w:val="center"/>
          </w:tcPr>
          <w:p w:rsidR="009B774A" w:rsidRPr="00672427" w:rsidRDefault="009B774A" w:rsidP="001A0506">
            <w:pPr>
              <w:jc w:val="center"/>
              <w:rPr>
                <w:bCs/>
                <w:sz w:val="25"/>
                <w:szCs w:val="25"/>
              </w:rPr>
            </w:pPr>
            <w:r w:rsidRPr="00672427">
              <w:rPr>
                <w:bCs/>
                <w:sz w:val="25"/>
                <w:szCs w:val="25"/>
              </w:rPr>
              <w:t>5</w:t>
            </w:r>
          </w:p>
        </w:tc>
        <w:tc>
          <w:tcPr>
            <w:tcW w:w="1260" w:type="dxa"/>
            <w:vAlign w:val="center"/>
          </w:tcPr>
          <w:p w:rsidR="009B774A" w:rsidRPr="00672427" w:rsidRDefault="009B774A" w:rsidP="001A0506">
            <w:pPr>
              <w:jc w:val="center"/>
              <w:rPr>
                <w:bCs/>
                <w:sz w:val="25"/>
                <w:szCs w:val="25"/>
              </w:rPr>
            </w:pPr>
            <w:r w:rsidRPr="00672427">
              <w:rPr>
                <w:bCs/>
                <w:sz w:val="25"/>
                <w:szCs w:val="25"/>
              </w:rPr>
              <w:t>6</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 Budžeta ieņēmumi:</w:t>
            </w:r>
          </w:p>
        </w:tc>
        <w:tc>
          <w:tcPr>
            <w:tcW w:w="1541" w:type="dxa"/>
          </w:tcPr>
          <w:p w:rsidR="0005209B" w:rsidRPr="00672427" w:rsidRDefault="004A56AF" w:rsidP="0005209B">
            <w:pPr>
              <w:jc w:val="center"/>
              <w:rPr>
                <w:b/>
                <w:sz w:val="25"/>
                <w:szCs w:val="25"/>
              </w:rPr>
            </w:pPr>
            <w:r w:rsidRPr="00672427">
              <w:rPr>
                <w:b/>
                <w:sz w:val="25"/>
                <w:szCs w:val="25"/>
              </w:rPr>
              <w:t>0</w:t>
            </w:r>
          </w:p>
        </w:tc>
        <w:tc>
          <w:tcPr>
            <w:tcW w:w="1388" w:type="dxa"/>
          </w:tcPr>
          <w:p w:rsidR="0005209B" w:rsidRPr="00672427" w:rsidRDefault="004A56AF" w:rsidP="007A1337">
            <w:pPr>
              <w:jc w:val="center"/>
              <w:rPr>
                <w:b/>
                <w:sz w:val="25"/>
                <w:szCs w:val="25"/>
              </w:rPr>
            </w:pPr>
            <w:r w:rsidRPr="00672427">
              <w:rPr>
                <w:b/>
                <w:sz w:val="25"/>
                <w:szCs w:val="25"/>
              </w:rPr>
              <w:t>0</w:t>
            </w:r>
          </w:p>
        </w:tc>
        <w:tc>
          <w:tcPr>
            <w:tcW w:w="1189" w:type="dxa"/>
          </w:tcPr>
          <w:p w:rsidR="0005209B" w:rsidRPr="00672427" w:rsidRDefault="0005209B" w:rsidP="0005209B">
            <w:pPr>
              <w:jc w:val="center"/>
              <w:rPr>
                <w:b/>
                <w:sz w:val="25"/>
                <w:szCs w:val="25"/>
              </w:rPr>
            </w:pPr>
            <w:r w:rsidRPr="00672427">
              <w:rPr>
                <w:b/>
                <w:sz w:val="25"/>
                <w:szCs w:val="25"/>
              </w:rPr>
              <w:t>0</w:t>
            </w:r>
          </w:p>
        </w:tc>
        <w:tc>
          <w:tcPr>
            <w:tcW w:w="1194" w:type="dxa"/>
          </w:tcPr>
          <w:p w:rsidR="0005209B" w:rsidRPr="00672427" w:rsidRDefault="0005209B" w:rsidP="0005209B">
            <w:pPr>
              <w:jc w:val="center"/>
              <w:rPr>
                <w:b/>
                <w:sz w:val="25"/>
                <w:szCs w:val="25"/>
              </w:rPr>
            </w:pPr>
            <w:r w:rsidRPr="00672427">
              <w:rPr>
                <w:b/>
                <w:sz w:val="25"/>
                <w:szCs w:val="25"/>
              </w:rPr>
              <w:t>0</w:t>
            </w:r>
          </w:p>
        </w:tc>
        <w:tc>
          <w:tcPr>
            <w:tcW w:w="1260" w:type="dxa"/>
          </w:tcPr>
          <w:p w:rsidR="0005209B" w:rsidRPr="00672427" w:rsidRDefault="00FA0234" w:rsidP="00FA0234">
            <w:pPr>
              <w:jc w:val="center"/>
              <w:rPr>
                <w:b/>
                <w:sz w:val="25"/>
                <w:szCs w:val="25"/>
              </w:rPr>
            </w:pPr>
            <w:r w:rsidRPr="00672427">
              <w:rPr>
                <w:b/>
                <w:sz w:val="25"/>
                <w:szCs w:val="25"/>
              </w:rPr>
              <w:t>0</w:t>
            </w:r>
          </w:p>
        </w:tc>
      </w:tr>
      <w:tr w:rsidR="0005209B" w:rsidRPr="00672427" w:rsidTr="00FA0234">
        <w:trPr>
          <w:jc w:val="center"/>
        </w:trPr>
        <w:tc>
          <w:tcPr>
            <w:tcW w:w="3637" w:type="dxa"/>
          </w:tcPr>
          <w:p w:rsidR="0005209B" w:rsidRPr="00672427" w:rsidRDefault="0005209B" w:rsidP="0005209B">
            <w:pPr>
              <w:rPr>
                <w:i/>
                <w:sz w:val="25"/>
                <w:szCs w:val="25"/>
              </w:rPr>
            </w:pPr>
            <w:r w:rsidRPr="00672427">
              <w:rPr>
                <w:sz w:val="25"/>
                <w:szCs w:val="25"/>
              </w:rPr>
              <w:t>1.1. valsts pamatbudžets, tai skaitā ieņēmumi no maksas pakalpojumiem un citi pašu ieņēmumi</w:t>
            </w:r>
          </w:p>
        </w:tc>
        <w:tc>
          <w:tcPr>
            <w:tcW w:w="1541" w:type="dxa"/>
          </w:tcPr>
          <w:p w:rsidR="0005209B" w:rsidRPr="00672427" w:rsidRDefault="0005209B" w:rsidP="0005209B">
            <w:pPr>
              <w:jc w:val="center"/>
              <w:rPr>
                <w:i/>
                <w:sz w:val="25"/>
                <w:szCs w:val="25"/>
              </w:rPr>
            </w:pPr>
          </w:p>
        </w:tc>
        <w:tc>
          <w:tcPr>
            <w:tcW w:w="1388" w:type="dxa"/>
          </w:tcPr>
          <w:p w:rsidR="0005209B" w:rsidRPr="00672427" w:rsidRDefault="0005209B" w:rsidP="0005209B">
            <w:pPr>
              <w:jc w:val="center"/>
              <w:rPr>
                <w:i/>
                <w:sz w:val="25"/>
                <w:szCs w:val="25"/>
              </w:rPr>
            </w:pPr>
          </w:p>
        </w:tc>
        <w:tc>
          <w:tcPr>
            <w:tcW w:w="1189" w:type="dxa"/>
          </w:tcPr>
          <w:p w:rsidR="0005209B" w:rsidRPr="00672427" w:rsidRDefault="0005209B" w:rsidP="0005209B">
            <w:pPr>
              <w:jc w:val="center"/>
              <w:rPr>
                <w:i/>
                <w:sz w:val="25"/>
                <w:szCs w:val="25"/>
              </w:rPr>
            </w:pPr>
          </w:p>
        </w:tc>
        <w:tc>
          <w:tcPr>
            <w:tcW w:w="1194" w:type="dxa"/>
          </w:tcPr>
          <w:p w:rsidR="0005209B" w:rsidRPr="00672427" w:rsidRDefault="0005209B" w:rsidP="0005209B">
            <w:pPr>
              <w:jc w:val="center"/>
              <w:rPr>
                <w:i/>
                <w:sz w:val="25"/>
                <w:szCs w:val="25"/>
              </w:rPr>
            </w:pPr>
          </w:p>
        </w:tc>
        <w:tc>
          <w:tcPr>
            <w:tcW w:w="1260" w:type="dxa"/>
          </w:tcPr>
          <w:p w:rsidR="0005209B" w:rsidRPr="00672427" w:rsidRDefault="0005209B" w:rsidP="0005209B">
            <w:pPr>
              <w:jc w:val="center"/>
              <w:rPr>
                <w:i/>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i/>
                <w:sz w:val="25"/>
                <w:szCs w:val="25"/>
              </w:rPr>
            </w:pPr>
            <w:r w:rsidRPr="00672427">
              <w:rPr>
                <w:sz w:val="25"/>
                <w:szCs w:val="25"/>
              </w:rPr>
              <w:t>1.3. pašvaldību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 Budžeta izdevumi:</w:t>
            </w:r>
          </w:p>
        </w:tc>
        <w:tc>
          <w:tcPr>
            <w:tcW w:w="1541" w:type="dxa"/>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FA0234" w:rsidP="00FA0234">
            <w:pPr>
              <w:jc w:val="center"/>
              <w:rPr>
                <w:b/>
                <w:sz w:val="25"/>
                <w:szCs w:val="25"/>
              </w:rPr>
            </w:pPr>
            <w:r w:rsidRPr="00672427">
              <w:rPr>
                <w:b/>
                <w:sz w:val="25"/>
                <w:szCs w:val="25"/>
              </w:rPr>
              <w:t>+4449169</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2.1. valsts pamatbudžets</w:t>
            </w:r>
          </w:p>
        </w:tc>
        <w:tc>
          <w:tcPr>
            <w:tcW w:w="1541" w:type="dxa"/>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FA0234" w:rsidP="00FA0234">
            <w:pPr>
              <w:jc w:val="center"/>
              <w:rPr>
                <w:i/>
                <w:sz w:val="25"/>
                <w:szCs w:val="25"/>
              </w:rPr>
            </w:pPr>
            <w:r w:rsidRPr="00672427">
              <w:rPr>
                <w:i/>
                <w:sz w:val="25"/>
                <w:szCs w:val="25"/>
              </w:rPr>
              <w:t>+4449169</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2.2. valsts speciālais budžets</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2.3. pašvaldību budžets </w:t>
            </w:r>
          </w:p>
        </w:tc>
        <w:tc>
          <w:tcPr>
            <w:tcW w:w="1541" w:type="dxa"/>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 Finansiālā ietekme:</w:t>
            </w:r>
          </w:p>
        </w:tc>
        <w:tc>
          <w:tcPr>
            <w:tcW w:w="1541" w:type="dxa"/>
            <w:shd w:val="clear" w:color="auto" w:fill="auto"/>
          </w:tcPr>
          <w:p w:rsidR="00FA0234" w:rsidRPr="00672427" w:rsidRDefault="00FA0234" w:rsidP="00FA0234">
            <w:pPr>
              <w:jc w:val="center"/>
              <w:rPr>
                <w:b/>
                <w:sz w:val="25"/>
                <w:szCs w:val="25"/>
              </w:rPr>
            </w:pPr>
            <w:r w:rsidRPr="00672427">
              <w:rPr>
                <w:b/>
                <w:sz w:val="25"/>
                <w:szCs w:val="25"/>
              </w:rPr>
              <w:t>0</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EB2E4A" w:rsidP="00FA0234">
            <w:pPr>
              <w:jc w:val="center"/>
              <w:rPr>
                <w:b/>
                <w:sz w:val="25"/>
                <w:szCs w:val="25"/>
              </w:rPr>
            </w:pPr>
            <w:r>
              <w:rPr>
                <w:b/>
                <w:sz w:val="25"/>
                <w:szCs w:val="25"/>
              </w:rPr>
              <w:t>-</w:t>
            </w:r>
            <w:r w:rsidR="00FA0234" w:rsidRPr="00672427">
              <w:rPr>
                <w:b/>
                <w:sz w:val="25"/>
                <w:szCs w:val="25"/>
              </w:rPr>
              <w:t>4449169</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3.1. valsts pamatbudžets</w:t>
            </w:r>
          </w:p>
        </w:tc>
        <w:tc>
          <w:tcPr>
            <w:tcW w:w="1541" w:type="dxa"/>
            <w:shd w:val="clear" w:color="auto" w:fill="auto"/>
          </w:tcPr>
          <w:p w:rsidR="00FA0234" w:rsidRPr="00672427" w:rsidRDefault="00FA0234" w:rsidP="00FA0234">
            <w:pPr>
              <w:jc w:val="center"/>
              <w:rPr>
                <w:i/>
                <w:sz w:val="25"/>
                <w:szCs w:val="25"/>
              </w:rPr>
            </w:pPr>
            <w:r w:rsidRPr="00672427">
              <w:rPr>
                <w:i/>
                <w:sz w:val="25"/>
                <w:szCs w:val="25"/>
              </w:rPr>
              <w:t>0</w:t>
            </w: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EB2E4A" w:rsidP="00FA0234">
            <w:pPr>
              <w:jc w:val="center"/>
              <w:rPr>
                <w:i/>
                <w:sz w:val="25"/>
                <w:szCs w:val="25"/>
              </w:rPr>
            </w:pPr>
            <w:r>
              <w:rPr>
                <w:i/>
                <w:sz w:val="25"/>
                <w:szCs w:val="25"/>
              </w:rPr>
              <w:t>-</w:t>
            </w:r>
            <w:r w:rsidR="00FA0234" w:rsidRPr="00672427">
              <w:rPr>
                <w:i/>
                <w:sz w:val="25"/>
                <w:szCs w:val="25"/>
              </w:rPr>
              <w:t>4449169</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3.2. speciālais budžets</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3.3. pašvaldību budžets </w:t>
            </w:r>
          </w:p>
        </w:tc>
        <w:tc>
          <w:tcPr>
            <w:tcW w:w="1541" w:type="dxa"/>
            <w:shd w:val="clear" w:color="auto" w:fill="auto"/>
          </w:tcPr>
          <w:p w:rsidR="009B774A" w:rsidRPr="00672427" w:rsidRDefault="009B774A" w:rsidP="001A0506">
            <w:pPr>
              <w:jc w:val="center"/>
              <w:rPr>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val="restart"/>
          </w:tcPr>
          <w:p w:rsidR="009B774A" w:rsidRPr="00672427" w:rsidRDefault="009B774A" w:rsidP="001A0506">
            <w:pPr>
              <w:rPr>
                <w:sz w:val="25"/>
                <w:szCs w:val="25"/>
              </w:rPr>
            </w:pPr>
            <w:r w:rsidRPr="00672427">
              <w:rPr>
                <w:sz w:val="25"/>
                <w:szCs w:val="25"/>
              </w:rPr>
              <w:t xml:space="preserve">4. Finanšu līdzekļi papildu izdevumu finansēšanai (kompensējošu izdevumu </w:t>
            </w:r>
            <w:r w:rsidRPr="00672427">
              <w:rPr>
                <w:sz w:val="25"/>
                <w:szCs w:val="25"/>
              </w:rPr>
              <w:lastRenderedPageBreak/>
              <w:t>samazinājumu norāda ar "+" zīmi)</w:t>
            </w:r>
          </w:p>
        </w:tc>
        <w:tc>
          <w:tcPr>
            <w:tcW w:w="1541" w:type="dxa"/>
            <w:vMerge w:val="restart"/>
          </w:tcPr>
          <w:p w:rsidR="009B774A" w:rsidRPr="00672427" w:rsidRDefault="009B774A" w:rsidP="001A0506">
            <w:pPr>
              <w:jc w:val="center"/>
              <w:rPr>
                <w:i/>
                <w:sz w:val="25"/>
                <w:szCs w:val="25"/>
              </w:rPr>
            </w:pPr>
            <w:r w:rsidRPr="00672427">
              <w:rPr>
                <w:sz w:val="25"/>
                <w:szCs w:val="25"/>
              </w:rPr>
              <w:lastRenderedPageBreak/>
              <w:t>X</w:t>
            </w:r>
          </w:p>
        </w:tc>
        <w:tc>
          <w:tcPr>
            <w:tcW w:w="1388" w:type="dxa"/>
          </w:tcPr>
          <w:p w:rsidR="009B774A" w:rsidRPr="00672427" w:rsidRDefault="007A1337" w:rsidP="001A0506">
            <w:pPr>
              <w:jc w:val="center"/>
              <w:rPr>
                <w:sz w:val="25"/>
                <w:szCs w:val="25"/>
              </w:rPr>
            </w:pPr>
            <w:r w:rsidRPr="00672427">
              <w:rPr>
                <w:sz w:val="25"/>
                <w:szCs w:val="25"/>
              </w:rPr>
              <w:t>0</w:t>
            </w:r>
          </w:p>
        </w:tc>
        <w:tc>
          <w:tcPr>
            <w:tcW w:w="1189" w:type="dxa"/>
          </w:tcPr>
          <w:p w:rsidR="009B774A" w:rsidRPr="00672427" w:rsidRDefault="009B774A" w:rsidP="001A0506">
            <w:pPr>
              <w:jc w:val="center"/>
              <w:rPr>
                <w:sz w:val="25"/>
                <w:szCs w:val="25"/>
              </w:rPr>
            </w:pPr>
            <w:r w:rsidRPr="00672427">
              <w:rPr>
                <w:sz w:val="25"/>
                <w:szCs w:val="25"/>
              </w:rPr>
              <w:t>0</w:t>
            </w:r>
          </w:p>
        </w:tc>
        <w:tc>
          <w:tcPr>
            <w:tcW w:w="1194" w:type="dxa"/>
          </w:tcPr>
          <w:p w:rsidR="009B774A" w:rsidRPr="00672427" w:rsidRDefault="009B774A" w:rsidP="001A0506">
            <w:pPr>
              <w:jc w:val="center"/>
              <w:rPr>
                <w:sz w:val="25"/>
                <w:szCs w:val="25"/>
              </w:rPr>
            </w:pPr>
            <w:r w:rsidRPr="00672427">
              <w:rPr>
                <w:sz w:val="25"/>
                <w:szCs w:val="25"/>
              </w:rPr>
              <w:t>0</w:t>
            </w:r>
          </w:p>
        </w:tc>
        <w:tc>
          <w:tcPr>
            <w:tcW w:w="1260" w:type="dxa"/>
          </w:tcPr>
          <w:p w:rsidR="009B774A" w:rsidRPr="00672427" w:rsidRDefault="009B774A" w:rsidP="001A0506">
            <w:pPr>
              <w:jc w:val="center"/>
              <w:rPr>
                <w:sz w:val="25"/>
                <w:szCs w:val="25"/>
              </w:rPr>
            </w:pPr>
            <w:r w:rsidRPr="00672427">
              <w:rPr>
                <w:sz w:val="25"/>
                <w:szCs w:val="25"/>
              </w:rPr>
              <w:t>0</w:t>
            </w: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vMerge/>
          </w:tcPr>
          <w:p w:rsidR="009B774A" w:rsidRPr="00672427" w:rsidRDefault="009B774A" w:rsidP="001A0506">
            <w:pPr>
              <w:rPr>
                <w:sz w:val="25"/>
                <w:szCs w:val="25"/>
              </w:rPr>
            </w:pPr>
          </w:p>
        </w:tc>
        <w:tc>
          <w:tcPr>
            <w:tcW w:w="1541" w:type="dxa"/>
            <w:vMerge/>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lastRenderedPageBreak/>
              <w:t>5. Precizēta finansiālā ietekme:</w:t>
            </w:r>
          </w:p>
        </w:tc>
        <w:tc>
          <w:tcPr>
            <w:tcW w:w="1541" w:type="dxa"/>
            <w:vMerge w:val="restart"/>
          </w:tcPr>
          <w:p w:rsidR="00FA0234" w:rsidRPr="00672427" w:rsidRDefault="00FA0234" w:rsidP="00FA0234">
            <w:pPr>
              <w:jc w:val="center"/>
              <w:rPr>
                <w:i/>
                <w:sz w:val="25"/>
                <w:szCs w:val="25"/>
              </w:rPr>
            </w:pPr>
            <w:r w:rsidRPr="00672427">
              <w:rPr>
                <w:sz w:val="25"/>
                <w:szCs w:val="25"/>
              </w:rPr>
              <w:t>X</w:t>
            </w:r>
          </w:p>
        </w:tc>
        <w:tc>
          <w:tcPr>
            <w:tcW w:w="1388" w:type="dxa"/>
          </w:tcPr>
          <w:p w:rsidR="00FA0234" w:rsidRPr="00672427" w:rsidRDefault="00FA0234" w:rsidP="00FA0234">
            <w:pPr>
              <w:jc w:val="center"/>
              <w:rPr>
                <w:b/>
                <w:sz w:val="25"/>
                <w:szCs w:val="25"/>
              </w:rPr>
            </w:pPr>
            <w:r w:rsidRPr="00672427">
              <w:rPr>
                <w:b/>
                <w:sz w:val="25"/>
                <w:szCs w:val="25"/>
              </w:rPr>
              <w:t>0</w:t>
            </w:r>
          </w:p>
        </w:tc>
        <w:tc>
          <w:tcPr>
            <w:tcW w:w="1189" w:type="dxa"/>
          </w:tcPr>
          <w:p w:rsidR="00FA0234" w:rsidRPr="00672427" w:rsidRDefault="00FA0234" w:rsidP="00FA0234">
            <w:pPr>
              <w:jc w:val="center"/>
              <w:rPr>
                <w:b/>
                <w:sz w:val="25"/>
                <w:szCs w:val="25"/>
              </w:rPr>
            </w:pPr>
            <w:r w:rsidRPr="00672427">
              <w:rPr>
                <w:b/>
                <w:sz w:val="25"/>
                <w:szCs w:val="25"/>
              </w:rPr>
              <w:t>0</w:t>
            </w:r>
          </w:p>
        </w:tc>
        <w:tc>
          <w:tcPr>
            <w:tcW w:w="1194" w:type="dxa"/>
          </w:tcPr>
          <w:p w:rsidR="00FA0234" w:rsidRPr="00672427" w:rsidRDefault="00FA0234" w:rsidP="00FA0234">
            <w:pPr>
              <w:jc w:val="center"/>
              <w:rPr>
                <w:b/>
                <w:sz w:val="25"/>
                <w:szCs w:val="25"/>
              </w:rPr>
            </w:pPr>
            <w:r w:rsidRPr="00672427">
              <w:rPr>
                <w:b/>
                <w:sz w:val="25"/>
                <w:szCs w:val="25"/>
              </w:rPr>
              <w:t>0</w:t>
            </w:r>
          </w:p>
        </w:tc>
        <w:tc>
          <w:tcPr>
            <w:tcW w:w="1260" w:type="dxa"/>
          </w:tcPr>
          <w:p w:rsidR="00FA0234" w:rsidRPr="00672427" w:rsidRDefault="00EB2E4A" w:rsidP="00FA0234">
            <w:pPr>
              <w:jc w:val="center"/>
              <w:rPr>
                <w:b/>
                <w:sz w:val="25"/>
                <w:szCs w:val="25"/>
              </w:rPr>
            </w:pPr>
            <w:r>
              <w:rPr>
                <w:b/>
                <w:sz w:val="25"/>
                <w:szCs w:val="25"/>
              </w:rPr>
              <w:t>-</w:t>
            </w:r>
            <w:r w:rsidR="00FA0234" w:rsidRPr="00672427">
              <w:rPr>
                <w:b/>
                <w:sz w:val="25"/>
                <w:szCs w:val="25"/>
              </w:rPr>
              <w:t>4449169</w:t>
            </w:r>
          </w:p>
        </w:tc>
      </w:tr>
      <w:tr w:rsidR="00FA0234" w:rsidRPr="00672427" w:rsidTr="00FA0234">
        <w:trPr>
          <w:jc w:val="center"/>
        </w:trPr>
        <w:tc>
          <w:tcPr>
            <w:tcW w:w="3637" w:type="dxa"/>
          </w:tcPr>
          <w:p w:rsidR="00FA0234" w:rsidRPr="00672427" w:rsidRDefault="00FA0234" w:rsidP="00FA0234">
            <w:pPr>
              <w:rPr>
                <w:sz w:val="25"/>
                <w:szCs w:val="25"/>
              </w:rPr>
            </w:pPr>
            <w:r w:rsidRPr="00672427">
              <w:rPr>
                <w:sz w:val="25"/>
                <w:szCs w:val="25"/>
              </w:rPr>
              <w:t>5.1. valsts pamatbudžets</w:t>
            </w:r>
          </w:p>
        </w:tc>
        <w:tc>
          <w:tcPr>
            <w:tcW w:w="1541" w:type="dxa"/>
            <w:vMerge/>
            <w:vAlign w:val="center"/>
          </w:tcPr>
          <w:p w:rsidR="00FA0234" w:rsidRPr="00672427" w:rsidRDefault="00FA0234" w:rsidP="00FA0234">
            <w:pPr>
              <w:jc w:val="center"/>
              <w:rPr>
                <w:i/>
                <w:sz w:val="25"/>
                <w:szCs w:val="25"/>
              </w:rPr>
            </w:pPr>
          </w:p>
        </w:tc>
        <w:tc>
          <w:tcPr>
            <w:tcW w:w="1388" w:type="dxa"/>
          </w:tcPr>
          <w:p w:rsidR="00FA0234" w:rsidRPr="00672427" w:rsidRDefault="00FA0234" w:rsidP="00FA0234">
            <w:pPr>
              <w:jc w:val="center"/>
              <w:rPr>
                <w:i/>
                <w:sz w:val="25"/>
                <w:szCs w:val="25"/>
              </w:rPr>
            </w:pPr>
            <w:r w:rsidRPr="00672427">
              <w:rPr>
                <w:i/>
                <w:sz w:val="25"/>
                <w:szCs w:val="25"/>
              </w:rPr>
              <w:t>0</w:t>
            </w:r>
          </w:p>
        </w:tc>
        <w:tc>
          <w:tcPr>
            <w:tcW w:w="1189" w:type="dxa"/>
          </w:tcPr>
          <w:p w:rsidR="00FA0234" w:rsidRPr="00672427" w:rsidRDefault="00FA0234" w:rsidP="00FA0234">
            <w:pPr>
              <w:jc w:val="center"/>
              <w:rPr>
                <w:i/>
                <w:sz w:val="25"/>
                <w:szCs w:val="25"/>
              </w:rPr>
            </w:pPr>
            <w:r w:rsidRPr="00672427">
              <w:rPr>
                <w:i/>
                <w:sz w:val="25"/>
                <w:szCs w:val="25"/>
              </w:rPr>
              <w:t>0</w:t>
            </w:r>
          </w:p>
        </w:tc>
        <w:tc>
          <w:tcPr>
            <w:tcW w:w="1194" w:type="dxa"/>
          </w:tcPr>
          <w:p w:rsidR="00FA0234" w:rsidRPr="00672427" w:rsidRDefault="00FA0234" w:rsidP="00FA0234">
            <w:pPr>
              <w:jc w:val="center"/>
              <w:rPr>
                <w:i/>
                <w:sz w:val="25"/>
                <w:szCs w:val="25"/>
              </w:rPr>
            </w:pPr>
            <w:r w:rsidRPr="00672427">
              <w:rPr>
                <w:i/>
                <w:sz w:val="25"/>
                <w:szCs w:val="25"/>
              </w:rPr>
              <w:t>0</w:t>
            </w:r>
          </w:p>
        </w:tc>
        <w:tc>
          <w:tcPr>
            <w:tcW w:w="1260" w:type="dxa"/>
          </w:tcPr>
          <w:p w:rsidR="00FA0234" w:rsidRPr="00672427" w:rsidRDefault="00EB2E4A" w:rsidP="00FA0234">
            <w:pPr>
              <w:jc w:val="center"/>
              <w:rPr>
                <w:i/>
                <w:sz w:val="25"/>
                <w:szCs w:val="25"/>
              </w:rPr>
            </w:pPr>
            <w:r>
              <w:rPr>
                <w:i/>
                <w:sz w:val="25"/>
                <w:szCs w:val="25"/>
              </w:rPr>
              <w:t>-</w:t>
            </w:r>
            <w:r w:rsidR="00FA0234" w:rsidRPr="00672427">
              <w:rPr>
                <w:i/>
                <w:sz w:val="25"/>
                <w:szCs w:val="25"/>
              </w:rPr>
              <w:t>4449169</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5.2. speciālais budžets</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 xml:space="preserve">5.3. pašvaldību budžets </w:t>
            </w:r>
          </w:p>
        </w:tc>
        <w:tc>
          <w:tcPr>
            <w:tcW w:w="1541" w:type="dxa"/>
            <w:vMerge/>
            <w:vAlign w:val="center"/>
          </w:tcPr>
          <w:p w:rsidR="009B774A" w:rsidRPr="00672427" w:rsidRDefault="009B774A" w:rsidP="001A0506">
            <w:pPr>
              <w:jc w:val="center"/>
              <w:rPr>
                <w:i/>
                <w:sz w:val="25"/>
                <w:szCs w:val="25"/>
              </w:rPr>
            </w:pPr>
          </w:p>
        </w:tc>
        <w:tc>
          <w:tcPr>
            <w:tcW w:w="1388" w:type="dxa"/>
          </w:tcPr>
          <w:p w:rsidR="009B774A" w:rsidRPr="00672427" w:rsidRDefault="009B774A" w:rsidP="001A0506">
            <w:pPr>
              <w:jc w:val="center"/>
              <w:rPr>
                <w:sz w:val="25"/>
                <w:szCs w:val="25"/>
              </w:rPr>
            </w:pPr>
          </w:p>
        </w:tc>
        <w:tc>
          <w:tcPr>
            <w:tcW w:w="1189" w:type="dxa"/>
          </w:tcPr>
          <w:p w:rsidR="009B774A" w:rsidRPr="00672427" w:rsidRDefault="009B774A" w:rsidP="001A0506">
            <w:pPr>
              <w:jc w:val="center"/>
              <w:rPr>
                <w:sz w:val="25"/>
                <w:szCs w:val="25"/>
              </w:rPr>
            </w:pPr>
          </w:p>
        </w:tc>
        <w:tc>
          <w:tcPr>
            <w:tcW w:w="1194" w:type="dxa"/>
          </w:tcPr>
          <w:p w:rsidR="009B774A" w:rsidRPr="00672427" w:rsidRDefault="009B774A" w:rsidP="001A0506">
            <w:pPr>
              <w:jc w:val="center"/>
              <w:rPr>
                <w:sz w:val="25"/>
                <w:szCs w:val="25"/>
              </w:rPr>
            </w:pPr>
          </w:p>
        </w:tc>
        <w:tc>
          <w:tcPr>
            <w:tcW w:w="1260" w:type="dxa"/>
          </w:tcPr>
          <w:p w:rsidR="009B774A" w:rsidRPr="00672427" w:rsidRDefault="009B774A" w:rsidP="001A0506">
            <w:pPr>
              <w:jc w:val="center"/>
              <w:rPr>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 Detalizēts ieņēmumu un izdevumu aprēķins (ja nepie</w:t>
            </w:r>
            <w:r w:rsidRPr="00672427">
              <w:rPr>
                <w:sz w:val="25"/>
                <w:szCs w:val="25"/>
              </w:rPr>
              <w:softHyphen/>
              <w:t>ciešams, detalizētu ieņēmumu un izdevumu aprēķinu var pie</w:t>
            </w:r>
            <w:r w:rsidRPr="00672427">
              <w:rPr>
                <w:sz w:val="25"/>
                <w:szCs w:val="25"/>
              </w:rPr>
              <w:softHyphen/>
              <w:t>vienot anotācijas pielikumā):</w:t>
            </w:r>
          </w:p>
        </w:tc>
        <w:tc>
          <w:tcPr>
            <w:tcW w:w="6572" w:type="dxa"/>
            <w:gridSpan w:val="5"/>
            <w:vMerge w:val="restart"/>
            <w:shd w:val="clear" w:color="auto" w:fill="auto"/>
          </w:tcPr>
          <w:p w:rsidR="00FA0234" w:rsidRPr="00672427" w:rsidRDefault="00D90152" w:rsidP="00760EF9">
            <w:pPr>
              <w:jc w:val="both"/>
              <w:rPr>
                <w:sz w:val="25"/>
                <w:szCs w:val="25"/>
              </w:rPr>
            </w:pPr>
            <w:r w:rsidRPr="00672427">
              <w:rPr>
                <w:sz w:val="25"/>
                <w:szCs w:val="25"/>
              </w:rPr>
              <w:t xml:space="preserve">Izdevumi 2014.gada valsts budžeta programmas 09.00.00 “Sports” apakšprogrammā 09.10.00 “Murjāņu sporta ģimnāzija” par </w:t>
            </w:r>
            <w:r w:rsidRPr="00672427">
              <w:rPr>
                <w:sz w:val="25"/>
                <w:szCs w:val="25"/>
                <w:lang w:eastAsia="en-US"/>
              </w:rPr>
              <w:t>4</w:t>
            </w:r>
            <w:r w:rsidR="00760EF9" w:rsidRPr="00672427">
              <w:rPr>
                <w:sz w:val="25"/>
                <w:szCs w:val="25"/>
                <w:lang w:eastAsia="en-US"/>
              </w:rPr>
              <w:t>`</w:t>
            </w:r>
            <w:r w:rsidRPr="00672427">
              <w:rPr>
                <w:sz w:val="25"/>
                <w:szCs w:val="25"/>
                <w:lang w:eastAsia="en-US"/>
              </w:rPr>
              <w:t>449</w:t>
            </w:r>
            <w:r w:rsidR="00760EF9" w:rsidRPr="00672427">
              <w:rPr>
                <w:sz w:val="25"/>
                <w:szCs w:val="25"/>
                <w:lang w:eastAsia="en-US"/>
              </w:rPr>
              <w:t>`</w:t>
            </w:r>
            <w:r w:rsidRPr="00672427">
              <w:rPr>
                <w:sz w:val="25"/>
                <w:szCs w:val="25"/>
                <w:lang w:eastAsia="en-US"/>
              </w:rPr>
              <w:t xml:space="preserve">169 </w:t>
            </w:r>
            <w:r w:rsidRPr="00672427">
              <w:rPr>
                <w:i/>
                <w:sz w:val="25"/>
                <w:szCs w:val="25"/>
                <w:lang w:eastAsia="en-US"/>
              </w:rPr>
              <w:t>euro</w:t>
            </w:r>
            <w:r w:rsidRPr="00672427">
              <w:rPr>
                <w:sz w:val="25"/>
                <w:szCs w:val="25"/>
                <w:lang w:eastAsia="en-US"/>
              </w:rPr>
              <w:t xml:space="preserve"> </w:t>
            </w:r>
            <w:r w:rsidRPr="00672427">
              <w:rPr>
                <w:sz w:val="25"/>
                <w:szCs w:val="25"/>
              </w:rPr>
              <w:t xml:space="preserve">samazināsies, bet attiecīgi par </w:t>
            </w:r>
            <w:r w:rsidR="005D2257" w:rsidRPr="00672427">
              <w:rPr>
                <w:sz w:val="25"/>
                <w:szCs w:val="25"/>
              </w:rPr>
              <w:br/>
            </w:r>
            <w:r w:rsidRPr="00672427">
              <w:rPr>
                <w:sz w:val="25"/>
                <w:szCs w:val="25"/>
                <w:lang w:eastAsia="en-US"/>
              </w:rPr>
              <w:t>4</w:t>
            </w:r>
            <w:r w:rsidR="00760EF9" w:rsidRPr="00672427">
              <w:rPr>
                <w:sz w:val="25"/>
                <w:szCs w:val="25"/>
                <w:lang w:eastAsia="en-US"/>
              </w:rPr>
              <w:t>`</w:t>
            </w:r>
            <w:r w:rsidRPr="00672427">
              <w:rPr>
                <w:sz w:val="25"/>
                <w:szCs w:val="25"/>
                <w:lang w:eastAsia="en-US"/>
              </w:rPr>
              <w:t>449</w:t>
            </w:r>
            <w:r w:rsidR="00760EF9" w:rsidRPr="00672427">
              <w:rPr>
                <w:sz w:val="25"/>
                <w:szCs w:val="25"/>
                <w:lang w:eastAsia="en-US"/>
              </w:rPr>
              <w:t xml:space="preserve">`169 </w:t>
            </w:r>
            <w:r w:rsidRPr="00672427">
              <w:rPr>
                <w:i/>
                <w:sz w:val="25"/>
                <w:szCs w:val="25"/>
                <w:lang w:eastAsia="en-US"/>
              </w:rPr>
              <w:t>euro</w:t>
            </w:r>
            <w:r w:rsidRPr="00672427">
              <w:rPr>
                <w:sz w:val="25"/>
                <w:szCs w:val="25"/>
                <w:lang w:eastAsia="en-US"/>
              </w:rPr>
              <w:t xml:space="preserve"> </w:t>
            </w:r>
            <w:r w:rsidRPr="00672427">
              <w:rPr>
                <w:sz w:val="25"/>
                <w:szCs w:val="25"/>
              </w:rPr>
              <w:t>palielināsies 2014.gada valsts budžeta programmas 09.00.00 “Sports” apakšprogrammā 09.04</w:t>
            </w:r>
            <w:r w:rsidR="005D2257" w:rsidRPr="00672427">
              <w:rPr>
                <w:sz w:val="25"/>
                <w:szCs w:val="25"/>
              </w:rPr>
              <w:t>.00 “</w:t>
            </w:r>
            <w:r w:rsidRPr="00672427">
              <w:rPr>
                <w:sz w:val="25"/>
                <w:szCs w:val="25"/>
              </w:rPr>
              <w:t>Sporta būves” paredzētie līdzekļi.</w:t>
            </w:r>
          </w:p>
          <w:p w:rsidR="00FA0234" w:rsidRPr="00672427" w:rsidRDefault="00FA0234" w:rsidP="00760EF9">
            <w:pPr>
              <w:jc w:val="both"/>
              <w:rPr>
                <w:sz w:val="25"/>
                <w:szCs w:val="25"/>
              </w:rPr>
            </w:pPr>
          </w:p>
          <w:p w:rsidR="00FA0234" w:rsidRPr="00672427" w:rsidRDefault="00FA0234" w:rsidP="00FA0234">
            <w:pPr>
              <w:jc w:val="both"/>
              <w:rPr>
                <w:sz w:val="25"/>
                <w:szCs w:val="25"/>
              </w:rPr>
            </w:pPr>
            <w:r w:rsidRPr="00672427">
              <w:rPr>
                <w:sz w:val="25"/>
                <w:szCs w:val="25"/>
              </w:rPr>
              <w:t xml:space="preserve">Iekļaujot IZM 2017.gada valsts budžeta programmas 09.00.00 “Sports” apakšprogrammā 09.10.00 “Murjāņu sporta ģimnāzija” Projekta īstenošanai nepieciešamo finansējumu valsts budžeta ilgtermiņa saistībās, par 4`449`169 </w:t>
            </w:r>
            <w:r w:rsidRPr="00672427">
              <w:rPr>
                <w:i/>
                <w:sz w:val="25"/>
                <w:szCs w:val="25"/>
              </w:rPr>
              <w:t>euro</w:t>
            </w:r>
            <w:r w:rsidRPr="00672427">
              <w:rPr>
                <w:sz w:val="25"/>
                <w:szCs w:val="25"/>
              </w:rPr>
              <w:t xml:space="preserve"> palielināsies 2017.gada valsts budžeta izdevumi.</w:t>
            </w: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6.1. detalizēts ieņēmumu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jc w:val="center"/>
        </w:trPr>
        <w:tc>
          <w:tcPr>
            <w:tcW w:w="3637" w:type="dxa"/>
          </w:tcPr>
          <w:p w:rsidR="009B774A" w:rsidRPr="00672427" w:rsidRDefault="009B774A" w:rsidP="001A0506">
            <w:pPr>
              <w:rPr>
                <w:sz w:val="25"/>
                <w:szCs w:val="25"/>
              </w:rPr>
            </w:pPr>
            <w:r w:rsidRPr="00672427">
              <w:rPr>
                <w:sz w:val="25"/>
                <w:szCs w:val="25"/>
              </w:rPr>
              <w:t>6.2. detalizēts izdevumu aprēķins</w:t>
            </w:r>
          </w:p>
        </w:tc>
        <w:tc>
          <w:tcPr>
            <w:tcW w:w="6572" w:type="dxa"/>
            <w:gridSpan w:val="5"/>
            <w:vMerge/>
            <w:shd w:val="clear" w:color="auto" w:fill="auto"/>
          </w:tcPr>
          <w:p w:rsidR="009B774A" w:rsidRPr="00672427" w:rsidRDefault="009B774A" w:rsidP="001A0506">
            <w:pPr>
              <w:rPr>
                <w:b/>
                <w:i/>
                <w:sz w:val="25"/>
                <w:szCs w:val="25"/>
              </w:rPr>
            </w:pPr>
          </w:p>
        </w:tc>
      </w:tr>
      <w:tr w:rsidR="009B774A" w:rsidRPr="00672427" w:rsidTr="00FA0234">
        <w:trPr>
          <w:trHeight w:val="399"/>
          <w:jc w:val="center"/>
        </w:trPr>
        <w:tc>
          <w:tcPr>
            <w:tcW w:w="3637" w:type="dxa"/>
          </w:tcPr>
          <w:p w:rsidR="009B774A" w:rsidRPr="00672427" w:rsidRDefault="009B774A" w:rsidP="001A0506">
            <w:pPr>
              <w:rPr>
                <w:sz w:val="25"/>
                <w:szCs w:val="25"/>
              </w:rPr>
            </w:pPr>
            <w:r w:rsidRPr="00672427">
              <w:rPr>
                <w:sz w:val="25"/>
                <w:szCs w:val="25"/>
              </w:rPr>
              <w:t>7. Cita informācija</w:t>
            </w:r>
          </w:p>
        </w:tc>
        <w:tc>
          <w:tcPr>
            <w:tcW w:w="6572" w:type="dxa"/>
            <w:gridSpan w:val="5"/>
            <w:shd w:val="clear" w:color="auto" w:fill="auto"/>
          </w:tcPr>
          <w:p w:rsidR="009B774A" w:rsidRPr="00672427" w:rsidRDefault="00985B4B" w:rsidP="00985B4B">
            <w:pPr>
              <w:tabs>
                <w:tab w:val="left" w:pos="1901"/>
              </w:tabs>
              <w:ind w:right="127"/>
              <w:jc w:val="both"/>
              <w:rPr>
                <w:sz w:val="25"/>
                <w:szCs w:val="25"/>
              </w:rPr>
            </w:pPr>
            <w:r w:rsidRPr="00672427">
              <w:rPr>
                <w:sz w:val="25"/>
                <w:szCs w:val="25"/>
              </w:rPr>
              <w:t>Lai saistībā ar finansējuma pārdali netiktu samazināts kopējais Projekta īstenošanai paredzētais valsts budžeta finansējums, atbilstoši Latvijas Nacionālās sporta padomes 2014.gada 24.jūlija sēdē Ministru kabinetam izteiktajam aicinājumam (prot. Nr.3 3.§, 3.5.2.apakšpunkts) ar Ziņojumu saistītajā Ministru kabineta sēdes protokollēmuma projektā (tā 3.2.apakšpunktā) paredzēts uzdevums Finanšu ministrijai palielināt IZM 2017.gada valsts pam</w:t>
            </w:r>
            <w:r w:rsidR="005E1228">
              <w:rPr>
                <w:sz w:val="25"/>
                <w:szCs w:val="25"/>
              </w:rPr>
              <w:t>atbudžeta bāzes izdevumus par 4`449`</w:t>
            </w:r>
            <w:r w:rsidRPr="00672427">
              <w:rPr>
                <w:sz w:val="25"/>
                <w:szCs w:val="25"/>
              </w:rPr>
              <w:t xml:space="preserve">169 </w:t>
            </w:r>
            <w:r w:rsidRPr="00672427">
              <w:rPr>
                <w:i/>
                <w:sz w:val="25"/>
                <w:szCs w:val="25"/>
              </w:rPr>
              <w:t>euro</w:t>
            </w:r>
            <w:r w:rsidRPr="00672427">
              <w:rPr>
                <w:sz w:val="25"/>
                <w:szCs w:val="25"/>
              </w:rPr>
              <w:t xml:space="preserve"> (t.i.,  proporcionāli citiem mērķiem pārdalīto līdzekļu apmēram).</w:t>
            </w:r>
          </w:p>
        </w:tc>
      </w:tr>
    </w:tbl>
    <w:p w:rsidR="009B774A" w:rsidRPr="00672427" w:rsidRDefault="009B774A" w:rsidP="009B774A">
      <w:pPr>
        <w:pStyle w:val="naisf"/>
        <w:tabs>
          <w:tab w:val="left" w:pos="3819"/>
        </w:tabs>
        <w:spacing w:before="0" w:after="0"/>
        <w:ind w:firstLine="0"/>
        <w:rPr>
          <w:sz w:val="25"/>
          <w:szCs w:val="25"/>
        </w:rPr>
      </w:pPr>
    </w:p>
    <w:p w:rsidR="001F23A6" w:rsidRPr="00672427" w:rsidRDefault="001F23A6" w:rsidP="00464CD0">
      <w:pPr>
        <w:ind w:left="-567" w:right="-427"/>
        <w:jc w:val="both"/>
        <w:rPr>
          <w:i/>
          <w:sz w:val="25"/>
          <w:szCs w:val="25"/>
        </w:rPr>
      </w:pPr>
      <w:r w:rsidRPr="00672427">
        <w:rPr>
          <w:i/>
          <w:sz w:val="25"/>
          <w:szCs w:val="25"/>
        </w:rPr>
        <w:t xml:space="preserve">Anotācijas </w:t>
      </w:r>
      <w:r w:rsidR="0002179F" w:rsidRPr="00672427">
        <w:rPr>
          <w:i/>
          <w:sz w:val="25"/>
          <w:szCs w:val="25"/>
        </w:rPr>
        <w:t xml:space="preserve">II, </w:t>
      </w:r>
      <w:r w:rsidR="006F5778" w:rsidRPr="00672427">
        <w:rPr>
          <w:i/>
          <w:sz w:val="25"/>
          <w:szCs w:val="25"/>
        </w:rPr>
        <w:t xml:space="preserve">IV, </w:t>
      </w:r>
      <w:r w:rsidR="0002179F" w:rsidRPr="00672427">
        <w:rPr>
          <w:i/>
          <w:sz w:val="25"/>
          <w:szCs w:val="25"/>
        </w:rPr>
        <w:t xml:space="preserve">V, VI un VII </w:t>
      </w:r>
      <w:r w:rsidRPr="00672427">
        <w:rPr>
          <w:i/>
          <w:sz w:val="25"/>
          <w:szCs w:val="25"/>
        </w:rPr>
        <w:t xml:space="preserve">sadaļa – </w:t>
      </w:r>
      <w:r w:rsidR="00464CD0" w:rsidRPr="00672427">
        <w:rPr>
          <w:i/>
          <w:sz w:val="25"/>
          <w:szCs w:val="25"/>
        </w:rPr>
        <w:t>Ministru kabineta r</w:t>
      </w:r>
      <w:r w:rsidRPr="00672427">
        <w:rPr>
          <w:i/>
          <w:sz w:val="25"/>
          <w:szCs w:val="25"/>
        </w:rPr>
        <w:t>īkojuma projekts šīs jomas neskar.</w:t>
      </w:r>
    </w:p>
    <w:p w:rsidR="00585B7B" w:rsidRPr="00672427" w:rsidRDefault="00585B7B" w:rsidP="00D96FCD">
      <w:pPr>
        <w:rPr>
          <w:sz w:val="25"/>
          <w:szCs w:val="25"/>
        </w:rPr>
      </w:pPr>
    </w:p>
    <w:p w:rsidR="009D2B33" w:rsidRPr="00672427" w:rsidRDefault="009D2B33" w:rsidP="00D96FCD">
      <w:pPr>
        <w:rPr>
          <w:sz w:val="25"/>
          <w:szCs w:val="25"/>
        </w:rPr>
      </w:pPr>
    </w:p>
    <w:p w:rsidR="00617D7A" w:rsidRPr="00672427" w:rsidRDefault="00481F9B" w:rsidP="00C7220E">
      <w:pPr>
        <w:pStyle w:val="BodyText2"/>
        <w:spacing w:after="0" w:line="240" w:lineRule="auto"/>
        <w:ind w:firstLine="720"/>
        <w:jc w:val="both"/>
        <w:rPr>
          <w:sz w:val="25"/>
          <w:szCs w:val="25"/>
        </w:rPr>
      </w:pPr>
      <w:r w:rsidRPr="00672427">
        <w:rPr>
          <w:sz w:val="25"/>
          <w:szCs w:val="25"/>
        </w:rPr>
        <w:t>I</w:t>
      </w:r>
      <w:r w:rsidR="008F245F" w:rsidRPr="00672427">
        <w:rPr>
          <w:sz w:val="25"/>
          <w:szCs w:val="25"/>
        </w:rPr>
        <w:t>zglītības un zinātnes ministr</w:t>
      </w:r>
      <w:r w:rsidR="00005A9D" w:rsidRPr="00672427">
        <w:rPr>
          <w:sz w:val="25"/>
          <w:szCs w:val="25"/>
        </w:rPr>
        <w:t>e</w:t>
      </w:r>
      <w:r w:rsidRPr="00672427">
        <w:rPr>
          <w:sz w:val="25"/>
          <w:szCs w:val="25"/>
        </w:rPr>
        <w:tab/>
      </w:r>
      <w:r w:rsidRPr="00672427">
        <w:rPr>
          <w:sz w:val="25"/>
          <w:szCs w:val="25"/>
        </w:rPr>
        <w:tab/>
      </w:r>
      <w:r w:rsidRPr="00672427">
        <w:rPr>
          <w:sz w:val="25"/>
          <w:szCs w:val="25"/>
        </w:rPr>
        <w:tab/>
      </w:r>
      <w:r w:rsidRPr="00672427">
        <w:rPr>
          <w:sz w:val="25"/>
          <w:szCs w:val="25"/>
        </w:rPr>
        <w:tab/>
      </w:r>
      <w:r w:rsidRPr="00672427">
        <w:rPr>
          <w:sz w:val="25"/>
          <w:szCs w:val="25"/>
        </w:rPr>
        <w:tab/>
      </w:r>
      <w:r w:rsidR="00005A9D" w:rsidRPr="00672427">
        <w:rPr>
          <w:sz w:val="25"/>
          <w:szCs w:val="25"/>
        </w:rPr>
        <w:t>I</w:t>
      </w:r>
      <w:r w:rsidR="002F3C73" w:rsidRPr="00672427">
        <w:rPr>
          <w:sz w:val="25"/>
          <w:szCs w:val="25"/>
        </w:rPr>
        <w:t xml:space="preserve">na </w:t>
      </w:r>
      <w:r w:rsidR="00005A9D" w:rsidRPr="00672427">
        <w:rPr>
          <w:sz w:val="25"/>
          <w:szCs w:val="25"/>
        </w:rPr>
        <w:t>Druviete</w:t>
      </w:r>
    </w:p>
    <w:p w:rsidR="00585B7B" w:rsidRPr="00672427" w:rsidRDefault="00585B7B" w:rsidP="00D96FCD">
      <w:pPr>
        <w:rPr>
          <w:sz w:val="25"/>
          <w:szCs w:val="25"/>
        </w:rPr>
      </w:pPr>
    </w:p>
    <w:p w:rsidR="004560F5" w:rsidRPr="00672427" w:rsidRDefault="004560F5" w:rsidP="00D96FCD">
      <w:pPr>
        <w:rPr>
          <w:sz w:val="25"/>
          <w:szCs w:val="25"/>
        </w:rPr>
      </w:pPr>
    </w:p>
    <w:p w:rsidR="008B5BBC" w:rsidRPr="00672427" w:rsidRDefault="008B5BBC" w:rsidP="008B5BBC">
      <w:pPr>
        <w:ind w:firstLine="720"/>
        <w:jc w:val="both"/>
        <w:rPr>
          <w:sz w:val="25"/>
          <w:szCs w:val="25"/>
        </w:rPr>
      </w:pPr>
      <w:r w:rsidRPr="00672427">
        <w:rPr>
          <w:sz w:val="25"/>
          <w:szCs w:val="25"/>
        </w:rPr>
        <w:t>Vizē:</w:t>
      </w:r>
    </w:p>
    <w:p w:rsidR="008B5BBC" w:rsidRPr="00672427" w:rsidRDefault="008B5BBC" w:rsidP="008B5BBC">
      <w:pPr>
        <w:ind w:firstLine="720"/>
        <w:jc w:val="both"/>
        <w:rPr>
          <w:sz w:val="25"/>
          <w:szCs w:val="25"/>
        </w:rPr>
      </w:pPr>
      <w:r w:rsidRPr="00672427">
        <w:rPr>
          <w:sz w:val="25"/>
          <w:szCs w:val="25"/>
        </w:rPr>
        <w:t>Valsts sekretāra vietniece –</w:t>
      </w:r>
    </w:p>
    <w:p w:rsidR="008B5BBC" w:rsidRPr="00672427" w:rsidRDefault="008B5BBC" w:rsidP="008B5BBC">
      <w:pPr>
        <w:ind w:firstLine="720"/>
        <w:jc w:val="both"/>
        <w:rPr>
          <w:sz w:val="25"/>
          <w:szCs w:val="25"/>
        </w:rPr>
      </w:pPr>
      <w:r w:rsidRPr="00672427">
        <w:rPr>
          <w:sz w:val="25"/>
          <w:szCs w:val="25"/>
        </w:rPr>
        <w:t>Politikas iniciatīvu un attīstības</w:t>
      </w:r>
    </w:p>
    <w:p w:rsidR="008B5BBC" w:rsidRPr="00672427" w:rsidRDefault="008B5BBC" w:rsidP="008B5BBC">
      <w:pPr>
        <w:ind w:firstLine="720"/>
        <w:jc w:val="both"/>
        <w:rPr>
          <w:sz w:val="25"/>
          <w:szCs w:val="25"/>
        </w:rPr>
      </w:pPr>
      <w:r w:rsidRPr="00672427">
        <w:rPr>
          <w:sz w:val="25"/>
          <w:szCs w:val="25"/>
        </w:rPr>
        <w:t>departamenta</w:t>
      </w:r>
      <w:r w:rsidRPr="00672427">
        <w:rPr>
          <w:sz w:val="25"/>
          <w:szCs w:val="25"/>
        </w:rPr>
        <w:tab/>
        <w:t>direktore,</w:t>
      </w:r>
    </w:p>
    <w:p w:rsidR="008B5BBC" w:rsidRPr="00672427" w:rsidRDefault="008B5BBC" w:rsidP="008B5BBC">
      <w:pPr>
        <w:ind w:firstLine="720"/>
        <w:jc w:val="both"/>
        <w:rPr>
          <w:sz w:val="25"/>
          <w:szCs w:val="25"/>
        </w:rPr>
      </w:pPr>
      <w:r w:rsidRPr="00672427">
        <w:rPr>
          <w:sz w:val="25"/>
          <w:szCs w:val="25"/>
        </w:rPr>
        <w:t>valsts sekretāres pienākumu izpildītāja</w:t>
      </w:r>
      <w:r w:rsidRPr="00672427">
        <w:rPr>
          <w:sz w:val="25"/>
          <w:szCs w:val="25"/>
        </w:rPr>
        <w:tab/>
      </w:r>
      <w:r w:rsidRPr="00672427">
        <w:rPr>
          <w:sz w:val="25"/>
          <w:szCs w:val="25"/>
        </w:rPr>
        <w:tab/>
      </w:r>
      <w:r w:rsidRPr="00672427">
        <w:rPr>
          <w:sz w:val="25"/>
          <w:szCs w:val="25"/>
        </w:rPr>
        <w:tab/>
        <w:t xml:space="preserve">       </w:t>
      </w:r>
      <w:r w:rsidR="007F5AEE">
        <w:rPr>
          <w:sz w:val="25"/>
          <w:szCs w:val="25"/>
        </w:rPr>
        <w:tab/>
      </w:r>
      <w:r w:rsidRPr="00672427">
        <w:rPr>
          <w:sz w:val="25"/>
          <w:szCs w:val="25"/>
        </w:rPr>
        <w:t>Līga Lejiņa</w:t>
      </w:r>
    </w:p>
    <w:p w:rsidR="008B5BBC" w:rsidRDefault="008B5BBC" w:rsidP="008B5BBC">
      <w:pPr>
        <w:ind w:left="720"/>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696EF6" w:rsidRDefault="00696EF6" w:rsidP="002F3C73">
      <w:pPr>
        <w:ind w:left="720"/>
        <w:rPr>
          <w:sz w:val="22"/>
          <w:szCs w:val="22"/>
        </w:rPr>
      </w:pPr>
    </w:p>
    <w:p w:rsidR="002F3C73" w:rsidRPr="002F3C73" w:rsidRDefault="0047300C" w:rsidP="002F3C73">
      <w:pPr>
        <w:ind w:left="720"/>
        <w:rPr>
          <w:sz w:val="22"/>
          <w:szCs w:val="22"/>
        </w:rPr>
      </w:pPr>
      <w:r>
        <w:rPr>
          <w:sz w:val="22"/>
          <w:szCs w:val="22"/>
        </w:rPr>
        <w:t>01</w:t>
      </w:r>
      <w:r w:rsidR="0053293C">
        <w:rPr>
          <w:sz w:val="22"/>
          <w:szCs w:val="22"/>
        </w:rPr>
        <w:t>.0</w:t>
      </w:r>
      <w:r>
        <w:rPr>
          <w:sz w:val="22"/>
          <w:szCs w:val="22"/>
        </w:rPr>
        <w:t>8</w:t>
      </w:r>
      <w:r w:rsidR="0053293C">
        <w:rPr>
          <w:sz w:val="22"/>
          <w:szCs w:val="22"/>
        </w:rPr>
        <w:t xml:space="preserve">.2014. </w:t>
      </w:r>
      <w:r w:rsidR="00AC0A3E">
        <w:rPr>
          <w:sz w:val="22"/>
          <w:szCs w:val="22"/>
        </w:rPr>
        <w:t>1</w:t>
      </w:r>
      <w:r w:rsidR="007F5AEE">
        <w:rPr>
          <w:sz w:val="22"/>
          <w:szCs w:val="22"/>
        </w:rPr>
        <w:t>2</w:t>
      </w:r>
      <w:r w:rsidR="00C602CC">
        <w:rPr>
          <w:sz w:val="22"/>
          <w:szCs w:val="22"/>
        </w:rPr>
        <w:t>:</w:t>
      </w:r>
      <w:r w:rsidR="00194827">
        <w:rPr>
          <w:sz w:val="22"/>
          <w:szCs w:val="22"/>
        </w:rPr>
        <w:t>29</w:t>
      </w:r>
    </w:p>
    <w:p w:rsidR="002F3C73" w:rsidRPr="002F3C73" w:rsidRDefault="00B31594" w:rsidP="002F3C73">
      <w:pPr>
        <w:ind w:left="720"/>
        <w:rPr>
          <w:sz w:val="22"/>
          <w:szCs w:val="22"/>
        </w:rPr>
      </w:pPr>
      <w:r>
        <w:rPr>
          <w:sz w:val="22"/>
          <w:szCs w:val="22"/>
        </w:rPr>
        <w:t>1196</w:t>
      </w:r>
      <w:bookmarkStart w:id="3" w:name="_GoBack"/>
      <w:bookmarkEnd w:id="3"/>
    </w:p>
    <w:p w:rsidR="002F3C73" w:rsidRPr="002F3C73" w:rsidRDefault="002F3C73" w:rsidP="002F3C73">
      <w:pPr>
        <w:ind w:left="720"/>
        <w:rPr>
          <w:sz w:val="22"/>
          <w:szCs w:val="22"/>
        </w:rPr>
      </w:pPr>
      <w:r w:rsidRPr="002F3C73">
        <w:rPr>
          <w:sz w:val="22"/>
          <w:szCs w:val="22"/>
        </w:rPr>
        <w:t>Izglītības un zinātnes ministrijas</w:t>
      </w:r>
    </w:p>
    <w:p w:rsidR="002F3C73" w:rsidRPr="002F3C73" w:rsidRDefault="002F3C73" w:rsidP="002F3C73">
      <w:pPr>
        <w:ind w:left="720"/>
        <w:rPr>
          <w:sz w:val="22"/>
          <w:szCs w:val="22"/>
        </w:rPr>
      </w:pPr>
      <w:r w:rsidRPr="002F3C73">
        <w:rPr>
          <w:sz w:val="22"/>
          <w:szCs w:val="22"/>
        </w:rPr>
        <w:t>Sporta departamenta</w:t>
      </w:r>
    </w:p>
    <w:p w:rsidR="002F3C73" w:rsidRPr="002F3C73" w:rsidRDefault="002F3C73" w:rsidP="002F3C73">
      <w:pPr>
        <w:ind w:left="720"/>
        <w:rPr>
          <w:sz w:val="22"/>
          <w:szCs w:val="22"/>
        </w:rPr>
      </w:pPr>
      <w:r w:rsidRPr="002F3C73">
        <w:rPr>
          <w:sz w:val="22"/>
          <w:szCs w:val="22"/>
        </w:rPr>
        <w:t>direktora vietnieks E.Severs</w:t>
      </w:r>
    </w:p>
    <w:p w:rsidR="00763103" w:rsidRPr="00763103" w:rsidRDefault="002F3C73" w:rsidP="00B87192">
      <w:pPr>
        <w:ind w:left="720"/>
        <w:rPr>
          <w:sz w:val="22"/>
          <w:szCs w:val="22"/>
        </w:rPr>
      </w:pPr>
      <w:r w:rsidRPr="002F3C73">
        <w:rPr>
          <w:sz w:val="22"/>
          <w:szCs w:val="22"/>
        </w:rPr>
        <w:t>67047935, edgars.severs@izm.gov.lv</w:t>
      </w:r>
    </w:p>
    <w:sectPr w:rsidR="00763103" w:rsidRPr="00763103" w:rsidSect="00672427">
      <w:headerReference w:type="default" r:id="rId8"/>
      <w:footerReference w:type="default" r:id="rId9"/>
      <w:footerReference w:type="first" r:id="rId10"/>
      <w:pgSz w:w="11906" w:h="16838" w:code="9"/>
      <w:pgMar w:top="851" w:right="1134" w:bottom="1134" w:left="1701"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71" w:rsidRDefault="00FF1471" w:rsidP="00123E9B">
      <w:r>
        <w:separator/>
      </w:r>
    </w:p>
  </w:endnote>
  <w:endnote w:type="continuationSeparator" w:id="0">
    <w:p w:rsidR="00FF1471" w:rsidRDefault="00FF147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E7040" w:rsidRDefault="004E7040" w:rsidP="004E7040">
    <w:pPr>
      <w:ind w:left="-567" w:right="-568"/>
      <w:jc w:val="both"/>
      <w:rPr>
        <w:sz w:val="22"/>
        <w:szCs w:val="22"/>
      </w:rPr>
    </w:pPr>
    <w:r>
      <w:rPr>
        <w:sz w:val="22"/>
        <w:szCs w:val="22"/>
      </w:rPr>
      <w:t>IZMAnot_</w:t>
    </w:r>
    <w:r w:rsidR="00BC2EC0">
      <w:rPr>
        <w:sz w:val="22"/>
        <w:szCs w:val="22"/>
      </w:rPr>
      <w:t>0108</w:t>
    </w:r>
    <w:r>
      <w:rPr>
        <w:sz w:val="22"/>
        <w:szCs w:val="22"/>
      </w:rPr>
      <w:t>14_groz-508</w:t>
    </w:r>
    <w:r w:rsidRPr="004816F6">
      <w:rPr>
        <w:sz w:val="22"/>
        <w:szCs w:val="22"/>
      </w:rPr>
      <w:t xml:space="preserve">; Ministru kabineta rīkojuma projekta </w:t>
    </w:r>
    <w:r>
      <w:rPr>
        <w:sz w:val="22"/>
        <w:szCs w:val="22"/>
      </w:rPr>
      <w:t>“</w:t>
    </w:r>
    <w:r w:rsidRPr="004E7040">
      <w:rPr>
        <w:sz w:val="22"/>
        <w:szCs w:val="22"/>
      </w:rPr>
      <w:t>Grozījum</w:t>
    </w:r>
    <w:r w:rsidR="00FF2AB8">
      <w:rPr>
        <w:sz w:val="22"/>
        <w:szCs w:val="22"/>
      </w:rPr>
      <w:t>i</w:t>
    </w:r>
    <w:r w:rsidRPr="004E7040">
      <w:rPr>
        <w:sz w:val="22"/>
        <w:szCs w:val="22"/>
      </w:rPr>
      <w:t xml:space="preserve"> Ministru kabineta 2013.gada 31.oktobra rīkojumā Nr.508 “Par Murjāņu sporta ģimnāzijas esošo būvju rekonstrukcijas un multifunkcionālas slēgtas sporta manēžas būvniecības projekta īstenošanu</w:t>
    </w:r>
    <w:r>
      <w:rPr>
        <w:sz w:val="22"/>
        <w:szCs w:val="22"/>
      </w:rPr>
      <w:t>”</w:t>
    </w:r>
    <w:r w:rsidRPr="004816F6">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A17D77">
    <w:pPr>
      <w:ind w:left="-567" w:right="-568"/>
      <w:jc w:val="both"/>
      <w:rPr>
        <w:sz w:val="22"/>
        <w:szCs w:val="22"/>
      </w:rPr>
    </w:pPr>
    <w:r>
      <w:rPr>
        <w:sz w:val="22"/>
        <w:szCs w:val="22"/>
      </w:rPr>
      <w:t>IZMAnot_</w:t>
    </w:r>
    <w:r w:rsidR="00BC2EC0">
      <w:rPr>
        <w:sz w:val="22"/>
        <w:szCs w:val="22"/>
      </w:rPr>
      <w:t>0108</w:t>
    </w:r>
    <w:r w:rsidR="004E7040">
      <w:rPr>
        <w:sz w:val="22"/>
        <w:szCs w:val="22"/>
      </w:rPr>
      <w:t>14</w:t>
    </w:r>
    <w:r>
      <w:rPr>
        <w:sz w:val="22"/>
        <w:szCs w:val="22"/>
      </w:rPr>
      <w:t>_</w:t>
    </w:r>
    <w:r w:rsidR="004E7040">
      <w:rPr>
        <w:sz w:val="22"/>
        <w:szCs w:val="22"/>
      </w:rPr>
      <w:t>groz-508</w:t>
    </w:r>
    <w:r w:rsidRPr="004816F6">
      <w:rPr>
        <w:sz w:val="22"/>
        <w:szCs w:val="22"/>
      </w:rPr>
      <w:t xml:space="preserve">; Ministru kabineta rīkojuma projekta </w:t>
    </w:r>
    <w:r>
      <w:rPr>
        <w:sz w:val="22"/>
        <w:szCs w:val="22"/>
      </w:rPr>
      <w:t>“</w:t>
    </w:r>
    <w:r w:rsidR="004E7040" w:rsidRPr="004E7040">
      <w:rPr>
        <w:sz w:val="22"/>
        <w:szCs w:val="22"/>
      </w:rPr>
      <w:t>Grozījum</w:t>
    </w:r>
    <w:r w:rsidR="00FF2AB8">
      <w:rPr>
        <w:sz w:val="22"/>
        <w:szCs w:val="22"/>
      </w:rPr>
      <w:t>i</w:t>
    </w:r>
    <w:r w:rsidR="004E7040" w:rsidRPr="004E7040">
      <w:rPr>
        <w:sz w:val="22"/>
        <w:szCs w:val="22"/>
      </w:rPr>
      <w:t xml:space="preserve"> Ministru kabineta 2013.gada 31.oktobra rīkojumā Nr.508 “Par Murjāņu sporta ģimnāzijas esošo būvju rekonstrukcijas un multifunkcionālas slēgtas sporta manēžas būvniecības projekta īstenošanu</w:t>
    </w:r>
    <w:r w:rsidR="004E7040">
      <w:rPr>
        <w:sz w:val="22"/>
        <w:szCs w:val="22"/>
      </w:rPr>
      <w:t>”</w:t>
    </w:r>
    <w:r w:rsidRPr="004816F6">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71" w:rsidRDefault="00FF1471" w:rsidP="00123E9B">
      <w:r>
        <w:separator/>
      </w:r>
    </w:p>
  </w:footnote>
  <w:footnote w:type="continuationSeparator" w:id="0">
    <w:p w:rsidR="00FF1471" w:rsidRDefault="00FF1471"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B3159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5">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6">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8"/>
  </w:num>
  <w:num w:numId="3">
    <w:abstractNumId w:val="7"/>
  </w:num>
  <w:num w:numId="4">
    <w:abstractNumId w:val="10"/>
  </w:num>
  <w:num w:numId="5">
    <w:abstractNumId w:val="5"/>
  </w:num>
  <w:num w:numId="6">
    <w:abstractNumId w:val="6"/>
  </w:num>
  <w:num w:numId="7">
    <w:abstractNumId w:val="1"/>
  </w:num>
  <w:num w:numId="8">
    <w:abstractNumId w:val="0"/>
  </w:num>
  <w:num w:numId="9">
    <w:abstractNumId w:val="3"/>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F6"/>
    <w:rsid w:val="00080CC1"/>
    <w:rsid w:val="00081477"/>
    <w:rsid w:val="00081CEB"/>
    <w:rsid w:val="00083396"/>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7CBF"/>
    <w:rsid w:val="00147D9A"/>
    <w:rsid w:val="00150D62"/>
    <w:rsid w:val="00152C87"/>
    <w:rsid w:val="00156760"/>
    <w:rsid w:val="00157F12"/>
    <w:rsid w:val="00161261"/>
    <w:rsid w:val="0016142A"/>
    <w:rsid w:val="00162670"/>
    <w:rsid w:val="00165215"/>
    <w:rsid w:val="001673FC"/>
    <w:rsid w:val="00172A25"/>
    <w:rsid w:val="0017384A"/>
    <w:rsid w:val="00174AEB"/>
    <w:rsid w:val="00175071"/>
    <w:rsid w:val="00180E6B"/>
    <w:rsid w:val="00181D00"/>
    <w:rsid w:val="001824F8"/>
    <w:rsid w:val="001828B2"/>
    <w:rsid w:val="0018329D"/>
    <w:rsid w:val="001838EC"/>
    <w:rsid w:val="00184814"/>
    <w:rsid w:val="00186DF5"/>
    <w:rsid w:val="001904B3"/>
    <w:rsid w:val="00193178"/>
    <w:rsid w:val="00194724"/>
    <w:rsid w:val="00194827"/>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403D"/>
    <w:rsid w:val="001C4BA3"/>
    <w:rsid w:val="001C5FC4"/>
    <w:rsid w:val="001C60B1"/>
    <w:rsid w:val="001C77E5"/>
    <w:rsid w:val="001D0913"/>
    <w:rsid w:val="001D17EA"/>
    <w:rsid w:val="001D1F6A"/>
    <w:rsid w:val="001D3147"/>
    <w:rsid w:val="001D4A15"/>
    <w:rsid w:val="001D7C74"/>
    <w:rsid w:val="001E6E40"/>
    <w:rsid w:val="001E72D6"/>
    <w:rsid w:val="001F04C7"/>
    <w:rsid w:val="001F0A3C"/>
    <w:rsid w:val="001F23A6"/>
    <w:rsid w:val="001F2EB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6356"/>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4045"/>
    <w:rsid w:val="00295345"/>
    <w:rsid w:val="002975AC"/>
    <w:rsid w:val="002A1E5B"/>
    <w:rsid w:val="002A41DA"/>
    <w:rsid w:val="002A42FF"/>
    <w:rsid w:val="002A6F37"/>
    <w:rsid w:val="002B03B2"/>
    <w:rsid w:val="002B3051"/>
    <w:rsid w:val="002B47A2"/>
    <w:rsid w:val="002B4D56"/>
    <w:rsid w:val="002B5C0B"/>
    <w:rsid w:val="002B6351"/>
    <w:rsid w:val="002B6933"/>
    <w:rsid w:val="002B784B"/>
    <w:rsid w:val="002C0946"/>
    <w:rsid w:val="002C2590"/>
    <w:rsid w:val="002C2C3F"/>
    <w:rsid w:val="002C50CA"/>
    <w:rsid w:val="002C602F"/>
    <w:rsid w:val="002C7C2B"/>
    <w:rsid w:val="002D4F98"/>
    <w:rsid w:val="002D50D6"/>
    <w:rsid w:val="002D5DA0"/>
    <w:rsid w:val="002D77A9"/>
    <w:rsid w:val="002E011D"/>
    <w:rsid w:val="002E0B47"/>
    <w:rsid w:val="002E0BB9"/>
    <w:rsid w:val="002E40BB"/>
    <w:rsid w:val="002E6A3D"/>
    <w:rsid w:val="002E742C"/>
    <w:rsid w:val="002F120E"/>
    <w:rsid w:val="002F25B0"/>
    <w:rsid w:val="002F3C73"/>
    <w:rsid w:val="002F4472"/>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6CEF"/>
    <w:rsid w:val="003773F8"/>
    <w:rsid w:val="00381A75"/>
    <w:rsid w:val="00383F46"/>
    <w:rsid w:val="00386F10"/>
    <w:rsid w:val="003900A2"/>
    <w:rsid w:val="003905CA"/>
    <w:rsid w:val="003906FF"/>
    <w:rsid w:val="00393529"/>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488C"/>
    <w:rsid w:val="003C691E"/>
    <w:rsid w:val="003D01AF"/>
    <w:rsid w:val="003D4908"/>
    <w:rsid w:val="003D7335"/>
    <w:rsid w:val="003E40B5"/>
    <w:rsid w:val="003E4A67"/>
    <w:rsid w:val="003E4DD8"/>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3B6F"/>
    <w:rsid w:val="00415D76"/>
    <w:rsid w:val="00415F7B"/>
    <w:rsid w:val="00416FC9"/>
    <w:rsid w:val="00417538"/>
    <w:rsid w:val="004177B4"/>
    <w:rsid w:val="0041793F"/>
    <w:rsid w:val="00420504"/>
    <w:rsid w:val="00423736"/>
    <w:rsid w:val="00424E6F"/>
    <w:rsid w:val="0042540D"/>
    <w:rsid w:val="004310C7"/>
    <w:rsid w:val="004331E9"/>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00C"/>
    <w:rsid w:val="0047336E"/>
    <w:rsid w:val="00474099"/>
    <w:rsid w:val="004751C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F56"/>
    <w:rsid w:val="004A2074"/>
    <w:rsid w:val="004A2665"/>
    <w:rsid w:val="004A56AF"/>
    <w:rsid w:val="004A5933"/>
    <w:rsid w:val="004A6A93"/>
    <w:rsid w:val="004A6E2E"/>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E0F6A"/>
    <w:rsid w:val="004E12FF"/>
    <w:rsid w:val="004E4B60"/>
    <w:rsid w:val="004E607D"/>
    <w:rsid w:val="004E7040"/>
    <w:rsid w:val="004F14C5"/>
    <w:rsid w:val="004F3806"/>
    <w:rsid w:val="004F3D0D"/>
    <w:rsid w:val="004F788C"/>
    <w:rsid w:val="00503618"/>
    <w:rsid w:val="00504DBF"/>
    <w:rsid w:val="00506F79"/>
    <w:rsid w:val="005134ED"/>
    <w:rsid w:val="00514C25"/>
    <w:rsid w:val="0051556C"/>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892"/>
    <w:rsid w:val="00573C60"/>
    <w:rsid w:val="0057494E"/>
    <w:rsid w:val="005764B1"/>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B1022"/>
    <w:rsid w:val="005B1E9C"/>
    <w:rsid w:val="005B31E6"/>
    <w:rsid w:val="005B4B2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B61"/>
    <w:rsid w:val="005D6B8A"/>
    <w:rsid w:val="005E1228"/>
    <w:rsid w:val="005E30CF"/>
    <w:rsid w:val="005E40D9"/>
    <w:rsid w:val="005E4159"/>
    <w:rsid w:val="005E4DF4"/>
    <w:rsid w:val="005F22A7"/>
    <w:rsid w:val="005F3AA1"/>
    <w:rsid w:val="005F6A42"/>
    <w:rsid w:val="00600E72"/>
    <w:rsid w:val="0060231D"/>
    <w:rsid w:val="00604944"/>
    <w:rsid w:val="00605A33"/>
    <w:rsid w:val="00606918"/>
    <w:rsid w:val="006107D6"/>
    <w:rsid w:val="0061090E"/>
    <w:rsid w:val="00615FD8"/>
    <w:rsid w:val="00616477"/>
    <w:rsid w:val="00617D7A"/>
    <w:rsid w:val="00620CAE"/>
    <w:rsid w:val="006213D4"/>
    <w:rsid w:val="0062334B"/>
    <w:rsid w:val="006234D3"/>
    <w:rsid w:val="00624591"/>
    <w:rsid w:val="00625948"/>
    <w:rsid w:val="00625AC4"/>
    <w:rsid w:val="00626634"/>
    <w:rsid w:val="006316C2"/>
    <w:rsid w:val="00631D5F"/>
    <w:rsid w:val="00632290"/>
    <w:rsid w:val="006324A3"/>
    <w:rsid w:val="00633098"/>
    <w:rsid w:val="006337E8"/>
    <w:rsid w:val="0063777A"/>
    <w:rsid w:val="00640C60"/>
    <w:rsid w:val="00642ABF"/>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427"/>
    <w:rsid w:val="00672827"/>
    <w:rsid w:val="00672CAB"/>
    <w:rsid w:val="00676453"/>
    <w:rsid w:val="00676573"/>
    <w:rsid w:val="006769A6"/>
    <w:rsid w:val="00682170"/>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6D16"/>
    <w:rsid w:val="006A792B"/>
    <w:rsid w:val="006A7A10"/>
    <w:rsid w:val="006A7BBB"/>
    <w:rsid w:val="006B0031"/>
    <w:rsid w:val="006B01F8"/>
    <w:rsid w:val="006B1546"/>
    <w:rsid w:val="006B2095"/>
    <w:rsid w:val="006B232C"/>
    <w:rsid w:val="006B25C7"/>
    <w:rsid w:val="006B5FDC"/>
    <w:rsid w:val="006B76EE"/>
    <w:rsid w:val="006C1D18"/>
    <w:rsid w:val="006C1FD3"/>
    <w:rsid w:val="006D03B1"/>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5877"/>
    <w:rsid w:val="007C590D"/>
    <w:rsid w:val="007C5E55"/>
    <w:rsid w:val="007C6451"/>
    <w:rsid w:val="007E2464"/>
    <w:rsid w:val="007E36FC"/>
    <w:rsid w:val="007E6314"/>
    <w:rsid w:val="007E7F9D"/>
    <w:rsid w:val="007F0A35"/>
    <w:rsid w:val="007F1F1C"/>
    <w:rsid w:val="007F3911"/>
    <w:rsid w:val="007F4741"/>
    <w:rsid w:val="007F55D7"/>
    <w:rsid w:val="007F5AEE"/>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460"/>
    <w:rsid w:val="00844660"/>
    <w:rsid w:val="00846518"/>
    <w:rsid w:val="00850449"/>
    <w:rsid w:val="00852127"/>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323C"/>
    <w:rsid w:val="00893CD2"/>
    <w:rsid w:val="008A17E9"/>
    <w:rsid w:val="008A60A4"/>
    <w:rsid w:val="008B2279"/>
    <w:rsid w:val="008B27BF"/>
    <w:rsid w:val="008B50AE"/>
    <w:rsid w:val="008B53EA"/>
    <w:rsid w:val="008B55F4"/>
    <w:rsid w:val="008B5BBC"/>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3486"/>
    <w:rsid w:val="0092388C"/>
    <w:rsid w:val="009254BE"/>
    <w:rsid w:val="00930905"/>
    <w:rsid w:val="009321E2"/>
    <w:rsid w:val="009343C2"/>
    <w:rsid w:val="00935F6C"/>
    <w:rsid w:val="009414A1"/>
    <w:rsid w:val="00942D3A"/>
    <w:rsid w:val="00943700"/>
    <w:rsid w:val="00943C3C"/>
    <w:rsid w:val="00944333"/>
    <w:rsid w:val="00944E24"/>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6CDB"/>
    <w:rsid w:val="009848C9"/>
    <w:rsid w:val="009849CF"/>
    <w:rsid w:val="00985B4B"/>
    <w:rsid w:val="009879C2"/>
    <w:rsid w:val="00987CF4"/>
    <w:rsid w:val="00991790"/>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0A9D"/>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6AEB"/>
    <w:rsid w:val="00AB7722"/>
    <w:rsid w:val="00AC0A3E"/>
    <w:rsid w:val="00AC4230"/>
    <w:rsid w:val="00AC624B"/>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7DA"/>
    <w:rsid w:val="00B1425E"/>
    <w:rsid w:val="00B244D4"/>
    <w:rsid w:val="00B25F1D"/>
    <w:rsid w:val="00B2782A"/>
    <w:rsid w:val="00B31594"/>
    <w:rsid w:val="00B324F4"/>
    <w:rsid w:val="00B32DD2"/>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60A2"/>
    <w:rsid w:val="00B77651"/>
    <w:rsid w:val="00B80C47"/>
    <w:rsid w:val="00B81322"/>
    <w:rsid w:val="00B857B3"/>
    <w:rsid w:val="00B862CD"/>
    <w:rsid w:val="00B86487"/>
    <w:rsid w:val="00B87192"/>
    <w:rsid w:val="00B92E1A"/>
    <w:rsid w:val="00B94951"/>
    <w:rsid w:val="00B95D33"/>
    <w:rsid w:val="00B96B6E"/>
    <w:rsid w:val="00B96C4A"/>
    <w:rsid w:val="00B96CA3"/>
    <w:rsid w:val="00B97591"/>
    <w:rsid w:val="00BA006C"/>
    <w:rsid w:val="00BA20B0"/>
    <w:rsid w:val="00BA3159"/>
    <w:rsid w:val="00BA372F"/>
    <w:rsid w:val="00BA5CA2"/>
    <w:rsid w:val="00BA6305"/>
    <w:rsid w:val="00BA7940"/>
    <w:rsid w:val="00BB302C"/>
    <w:rsid w:val="00BC0B52"/>
    <w:rsid w:val="00BC0D9F"/>
    <w:rsid w:val="00BC10F5"/>
    <w:rsid w:val="00BC2EC0"/>
    <w:rsid w:val="00BC4D7B"/>
    <w:rsid w:val="00BC605E"/>
    <w:rsid w:val="00BC6786"/>
    <w:rsid w:val="00BC7009"/>
    <w:rsid w:val="00BC7743"/>
    <w:rsid w:val="00BD0B17"/>
    <w:rsid w:val="00BD1AD6"/>
    <w:rsid w:val="00BD1DB2"/>
    <w:rsid w:val="00BD3E66"/>
    <w:rsid w:val="00BD41A8"/>
    <w:rsid w:val="00BD4CED"/>
    <w:rsid w:val="00BD58B8"/>
    <w:rsid w:val="00BD696A"/>
    <w:rsid w:val="00BD6CDF"/>
    <w:rsid w:val="00BE01B3"/>
    <w:rsid w:val="00BE072E"/>
    <w:rsid w:val="00BE13F2"/>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301CF"/>
    <w:rsid w:val="00C309F0"/>
    <w:rsid w:val="00C30CED"/>
    <w:rsid w:val="00C31183"/>
    <w:rsid w:val="00C31C0D"/>
    <w:rsid w:val="00C33847"/>
    <w:rsid w:val="00C340E9"/>
    <w:rsid w:val="00C34365"/>
    <w:rsid w:val="00C345C2"/>
    <w:rsid w:val="00C378BC"/>
    <w:rsid w:val="00C37DDF"/>
    <w:rsid w:val="00C40C5E"/>
    <w:rsid w:val="00C40D08"/>
    <w:rsid w:val="00C411E2"/>
    <w:rsid w:val="00C41BA9"/>
    <w:rsid w:val="00C41FEE"/>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58FD"/>
    <w:rsid w:val="00C762E2"/>
    <w:rsid w:val="00C77DF4"/>
    <w:rsid w:val="00C8314D"/>
    <w:rsid w:val="00C832CB"/>
    <w:rsid w:val="00C84C2B"/>
    <w:rsid w:val="00C85CD7"/>
    <w:rsid w:val="00C85EE2"/>
    <w:rsid w:val="00C879A4"/>
    <w:rsid w:val="00C87AEC"/>
    <w:rsid w:val="00C92FD7"/>
    <w:rsid w:val="00C93F04"/>
    <w:rsid w:val="00C94CAC"/>
    <w:rsid w:val="00C9721C"/>
    <w:rsid w:val="00C979E0"/>
    <w:rsid w:val="00CA11EE"/>
    <w:rsid w:val="00CA2964"/>
    <w:rsid w:val="00CA2CEA"/>
    <w:rsid w:val="00CA41C9"/>
    <w:rsid w:val="00CA636D"/>
    <w:rsid w:val="00CA6985"/>
    <w:rsid w:val="00CA7F67"/>
    <w:rsid w:val="00CB15EC"/>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2B81"/>
    <w:rsid w:val="00CE7BB7"/>
    <w:rsid w:val="00CF04D1"/>
    <w:rsid w:val="00CF16AE"/>
    <w:rsid w:val="00CF4589"/>
    <w:rsid w:val="00CF465D"/>
    <w:rsid w:val="00CF60BA"/>
    <w:rsid w:val="00CF6E4E"/>
    <w:rsid w:val="00CF7601"/>
    <w:rsid w:val="00CF7C34"/>
    <w:rsid w:val="00D013B9"/>
    <w:rsid w:val="00D03946"/>
    <w:rsid w:val="00D03E58"/>
    <w:rsid w:val="00D048D2"/>
    <w:rsid w:val="00D0513F"/>
    <w:rsid w:val="00D06790"/>
    <w:rsid w:val="00D10407"/>
    <w:rsid w:val="00D142B6"/>
    <w:rsid w:val="00D152FB"/>
    <w:rsid w:val="00D20F65"/>
    <w:rsid w:val="00D215ED"/>
    <w:rsid w:val="00D24CBA"/>
    <w:rsid w:val="00D257EB"/>
    <w:rsid w:val="00D26C8A"/>
    <w:rsid w:val="00D30434"/>
    <w:rsid w:val="00D312C9"/>
    <w:rsid w:val="00D31A61"/>
    <w:rsid w:val="00D323CD"/>
    <w:rsid w:val="00D32A64"/>
    <w:rsid w:val="00D33C6F"/>
    <w:rsid w:val="00D3445B"/>
    <w:rsid w:val="00D3461A"/>
    <w:rsid w:val="00D34CD2"/>
    <w:rsid w:val="00D35AF6"/>
    <w:rsid w:val="00D361DC"/>
    <w:rsid w:val="00D364D3"/>
    <w:rsid w:val="00D4125D"/>
    <w:rsid w:val="00D43C39"/>
    <w:rsid w:val="00D506B1"/>
    <w:rsid w:val="00D50C0B"/>
    <w:rsid w:val="00D51380"/>
    <w:rsid w:val="00D51DE2"/>
    <w:rsid w:val="00D551F2"/>
    <w:rsid w:val="00D61A7B"/>
    <w:rsid w:val="00D714BA"/>
    <w:rsid w:val="00D7505B"/>
    <w:rsid w:val="00D75260"/>
    <w:rsid w:val="00D75B70"/>
    <w:rsid w:val="00D804C5"/>
    <w:rsid w:val="00D820D1"/>
    <w:rsid w:val="00D82401"/>
    <w:rsid w:val="00D82AE2"/>
    <w:rsid w:val="00D84EAF"/>
    <w:rsid w:val="00D850A4"/>
    <w:rsid w:val="00D856AD"/>
    <w:rsid w:val="00D85715"/>
    <w:rsid w:val="00D90152"/>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145E"/>
    <w:rsid w:val="00DC332F"/>
    <w:rsid w:val="00DC4DFE"/>
    <w:rsid w:val="00DC5E40"/>
    <w:rsid w:val="00DC69F0"/>
    <w:rsid w:val="00DC7BFF"/>
    <w:rsid w:val="00DD07FE"/>
    <w:rsid w:val="00DD162F"/>
    <w:rsid w:val="00DD3F5F"/>
    <w:rsid w:val="00DD54C6"/>
    <w:rsid w:val="00DD75B2"/>
    <w:rsid w:val="00DE135C"/>
    <w:rsid w:val="00DE1B77"/>
    <w:rsid w:val="00DE26C4"/>
    <w:rsid w:val="00DE3025"/>
    <w:rsid w:val="00DE3B74"/>
    <w:rsid w:val="00DE463E"/>
    <w:rsid w:val="00DE5411"/>
    <w:rsid w:val="00DE56CB"/>
    <w:rsid w:val="00DE7C0F"/>
    <w:rsid w:val="00DF03FB"/>
    <w:rsid w:val="00DF44D5"/>
    <w:rsid w:val="00DF4AB3"/>
    <w:rsid w:val="00DF5003"/>
    <w:rsid w:val="00DF5249"/>
    <w:rsid w:val="00DF5932"/>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2E4A"/>
    <w:rsid w:val="00EB3208"/>
    <w:rsid w:val="00EB7D72"/>
    <w:rsid w:val="00EC0598"/>
    <w:rsid w:val="00EC0869"/>
    <w:rsid w:val="00EC44B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4AFB"/>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234"/>
    <w:rsid w:val="00FA0692"/>
    <w:rsid w:val="00FA1C8C"/>
    <w:rsid w:val="00FA2563"/>
    <w:rsid w:val="00FA3C12"/>
    <w:rsid w:val="00FA3EA3"/>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E0E03"/>
    <w:rsid w:val="00FE2085"/>
    <w:rsid w:val="00FE3414"/>
    <w:rsid w:val="00FE3673"/>
    <w:rsid w:val="00FF049C"/>
    <w:rsid w:val="00FF1471"/>
    <w:rsid w:val="00FF19DC"/>
    <w:rsid w:val="00FF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0287-531B-4058-AF9B-0A9D19AC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6359</Words>
  <Characters>3626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2013.gada 31.oktobra rīkojumā Nr.508 “Par Murjāņu sporta ģimnāzijas esošo būvju rekonstrukcijas un multifunkcionālas slēgtas sporta manēžas būvniecības projekta īstenošanu”"</vt:lpstr>
    </vt:vector>
  </TitlesOfParts>
  <Company>Izglītības un zinātnes ministrija, Sporta departaments</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31.oktobra rīkojumā Nr.508 “Par Murjāņu sporta ģimnāzijas esošo būvju rekonstrukcijas un multifunkcionālas slēgtas sporta manēžas būvniecības projekta īstenošanu”"</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80</cp:revision>
  <cp:lastPrinted>2012-05-15T10:00:00Z</cp:lastPrinted>
  <dcterms:created xsi:type="dcterms:W3CDTF">2014-07-27T22:10:00Z</dcterms:created>
  <dcterms:modified xsi:type="dcterms:W3CDTF">2014-08-01T09:29:00Z</dcterms:modified>
</cp:coreProperties>
</file>