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30" w:rsidRPr="0006125D" w:rsidRDefault="00136D87" w:rsidP="00DD347D">
      <w:pPr>
        <w:tabs>
          <w:tab w:val="center" w:pos="4535"/>
          <w:tab w:val="left" w:pos="7035"/>
        </w:tabs>
        <w:jc w:val="center"/>
        <w:rPr>
          <w:b/>
          <w:sz w:val="26"/>
          <w:szCs w:val="26"/>
        </w:rPr>
      </w:pPr>
      <w:bookmarkStart w:id="0" w:name="OLE_LINK3"/>
      <w:bookmarkStart w:id="1" w:name="OLE_LINK4"/>
      <w:bookmarkStart w:id="2" w:name="OLE_LINK1"/>
      <w:r w:rsidRPr="0006125D">
        <w:rPr>
          <w:b/>
          <w:sz w:val="26"/>
          <w:szCs w:val="26"/>
        </w:rPr>
        <w:t>M</w:t>
      </w:r>
      <w:r w:rsidR="005D6B8A" w:rsidRPr="0006125D">
        <w:rPr>
          <w:b/>
          <w:sz w:val="26"/>
          <w:szCs w:val="26"/>
        </w:rPr>
        <w:t>in</w:t>
      </w:r>
      <w:r w:rsidR="00DD347D" w:rsidRPr="0006125D">
        <w:rPr>
          <w:b/>
          <w:sz w:val="26"/>
          <w:szCs w:val="26"/>
        </w:rPr>
        <w:t xml:space="preserve">istru kabineta rīkojuma projekta </w:t>
      </w:r>
      <w:r w:rsidR="009F5CAD" w:rsidRPr="0006125D">
        <w:rPr>
          <w:b/>
          <w:sz w:val="26"/>
          <w:szCs w:val="26"/>
        </w:rPr>
        <w:t>“</w:t>
      </w:r>
      <w:r w:rsidR="00DD347D" w:rsidRPr="0006125D">
        <w:rPr>
          <w:b/>
          <w:sz w:val="26"/>
          <w:szCs w:val="26"/>
        </w:rPr>
        <w:t>Par apropriācijas pārdali”</w:t>
      </w:r>
      <w:r w:rsidR="00020664" w:rsidRPr="0006125D">
        <w:rPr>
          <w:b/>
          <w:sz w:val="26"/>
          <w:szCs w:val="26"/>
        </w:rPr>
        <w:t xml:space="preserve"> </w:t>
      </w:r>
    </w:p>
    <w:p w:rsidR="00585B7B" w:rsidRPr="0006125D" w:rsidRDefault="00585B7B" w:rsidP="00DD347D">
      <w:pPr>
        <w:tabs>
          <w:tab w:val="center" w:pos="4535"/>
          <w:tab w:val="left" w:pos="7035"/>
        </w:tabs>
        <w:jc w:val="center"/>
        <w:rPr>
          <w:b/>
          <w:sz w:val="26"/>
          <w:szCs w:val="26"/>
        </w:rPr>
      </w:pPr>
      <w:r w:rsidRPr="0006125D">
        <w:rPr>
          <w:b/>
          <w:sz w:val="26"/>
          <w:szCs w:val="26"/>
        </w:rPr>
        <w:t xml:space="preserve">sākotnējās ietekmes novērtējuma </w:t>
      </w:r>
      <w:smartTag w:uri="schemas-tilde-lv/tildestengine" w:element="veidnes">
        <w:smartTagPr>
          <w:attr w:name="id" w:val="-1"/>
          <w:attr w:name="baseform" w:val="ziņojums"/>
          <w:attr w:name="text" w:val="ziņojums"/>
        </w:smartTagPr>
        <w:r w:rsidRPr="0006125D">
          <w:rPr>
            <w:b/>
            <w:sz w:val="26"/>
            <w:szCs w:val="26"/>
          </w:rPr>
          <w:t>ziņojums</w:t>
        </w:r>
      </w:smartTag>
      <w:r w:rsidRPr="0006125D">
        <w:rPr>
          <w:b/>
          <w:sz w:val="26"/>
          <w:szCs w:val="26"/>
        </w:rPr>
        <w:t xml:space="preserve"> (anotācija)</w:t>
      </w: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7229"/>
      </w:tblGrid>
      <w:tr w:rsidR="00585B7B" w:rsidRPr="0006125D" w:rsidTr="009C68C6">
        <w:tc>
          <w:tcPr>
            <w:tcW w:w="10201" w:type="dxa"/>
            <w:gridSpan w:val="3"/>
            <w:vAlign w:val="center"/>
          </w:tcPr>
          <w:bookmarkEnd w:id="0"/>
          <w:bookmarkEnd w:id="1"/>
          <w:bookmarkEnd w:id="2"/>
          <w:p w:rsidR="00585B7B" w:rsidRPr="0006125D" w:rsidRDefault="00585B7B" w:rsidP="00194A0F">
            <w:pPr>
              <w:pStyle w:val="naisnod"/>
              <w:spacing w:before="0" w:after="0"/>
              <w:rPr>
                <w:sz w:val="26"/>
                <w:szCs w:val="26"/>
              </w:rPr>
            </w:pPr>
            <w:r w:rsidRPr="0006125D">
              <w:rPr>
                <w:sz w:val="26"/>
                <w:szCs w:val="26"/>
              </w:rPr>
              <w:t>I. Tiesību akta projekta izstrādes nepieciešamība</w:t>
            </w:r>
          </w:p>
        </w:tc>
      </w:tr>
      <w:tr w:rsidR="00585B7B" w:rsidRPr="0006125D" w:rsidTr="009C68C6">
        <w:trPr>
          <w:trHeight w:val="630"/>
        </w:trPr>
        <w:tc>
          <w:tcPr>
            <w:tcW w:w="562" w:type="dxa"/>
          </w:tcPr>
          <w:p w:rsidR="00585B7B" w:rsidRPr="0006125D" w:rsidRDefault="00585B7B" w:rsidP="00BD696A">
            <w:pPr>
              <w:pStyle w:val="naiskr"/>
              <w:spacing w:before="0" w:after="0"/>
              <w:jc w:val="center"/>
              <w:rPr>
                <w:sz w:val="26"/>
                <w:szCs w:val="26"/>
              </w:rPr>
            </w:pPr>
            <w:r w:rsidRPr="0006125D">
              <w:rPr>
                <w:sz w:val="26"/>
                <w:szCs w:val="26"/>
              </w:rPr>
              <w:t>1.</w:t>
            </w:r>
          </w:p>
        </w:tc>
        <w:tc>
          <w:tcPr>
            <w:tcW w:w="2410" w:type="dxa"/>
          </w:tcPr>
          <w:p w:rsidR="00585B7B" w:rsidRPr="0006125D" w:rsidRDefault="00585B7B" w:rsidP="00916055">
            <w:pPr>
              <w:pStyle w:val="naiskr"/>
              <w:spacing w:before="0" w:after="0"/>
              <w:ind w:left="141" w:hanging="10"/>
              <w:rPr>
                <w:sz w:val="26"/>
                <w:szCs w:val="26"/>
              </w:rPr>
            </w:pPr>
            <w:r w:rsidRPr="0006125D">
              <w:rPr>
                <w:sz w:val="26"/>
                <w:szCs w:val="26"/>
              </w:rPr>
              <w:t>Pamatojums</w:t>
            </w:r>
          </w:p>
        </w:tc>
        <w:tc>
          <w:tcPr>
            <w:tcW w:w="7229" w:type="dxa"/>
          </w:tcPr>
          <w:p w:rsidR="006D263E" w:rsidRDefault="006D263E" w:rsidP="00F11609">
            <w:pPr>
              <w:pStyle w:val="ListParagraph"/>
              <w:numPr>
                <w:ilvl w:val="0"/>
                <w:numId w:val="9"/>
              </w:numPr>
              <w:ind w:right="127"/>
              <w:jc w:val="both"/>
              <w:rPr>
                <w:sz w:val="26"/>
                <w:szCs w:val="26"/>
              </w:rPr>
            </w:pPr>
            <w:r w:rsidRPr="0006125D">
              <w:rPr>
                <w:sz w:val="26"/>
                <w:szCs w:val="26"/>
              </w:rPr>
              <w:t>Nepieciešamība segt ar 2015.gada Eiropas čempionāta basketbolā grupu turnīra</w:t>
            </w:r>
            <w:r w:rsidR="00A2178F" w:rsidRPr="0006125D">
              <w:rPr>
                <w:sz w:val="26"/>
                <w:szCs w:val="26"/>
              </w:rPr>
              <w:t xml:space="preserve"> (turpmāk – Čempionāts)</w:t>
            </w:r>
            <w:r w:rsidRPr="0006125D">
              <w:rPr>
                <w:sz w:val="26"/>
                <w:szCs w:val="26"/>
              </w:rPr>
              <w:t xml:space="preserve"> rīkošanu Latvijā </w:t>
            </w:r>
            <w:r w:rsidR="00F11609" w:rsidRPr="00F11609">
              <w:rPr>
                <w:sz w:val="26"/>
                <w:szCs w:val="26"/>
              </w:rPr>
              <w:t>saistīto drošības depozīt</w:t>
            </w:r>
            <w:r w:rsidR="004A21C7">
              <w:rPr>
                <w:sz w:val="26"/>
                <w:szCs w:val="26"/>
              </w:rPr>
              <w:t xml:space="preserve">u 150 000 </w:t>
            </w:r>
            <w:r w:rsidR="004A21C7" w:rsidRPr="004A21C7">
              <w:rPr>
                <w:i/>
                <w:sz w:val="26"/>
                <w:szCs w:val="26"/>
              </w:rPr>
              <w:t>euro</w:t>
            </w:r>
            <w:r w:rsidR="004A21C7">
              <w:rPr>
                <w:sz w:val="26"/>
                <w:szCs w:val="26"/>
              </w:rPr>
              <w:t xml:space="preserve"> apmērā</w:t>
            </w:r>
            <w:r w:rsidRPr="0006125D">
              <w:rPr>
                <w:sz w:val="26"/>
                <w:szCs w:val="26"/>
              </w:rPr>
              <w:t>.</w:t>
            </w:r>
          </w:p>
          <w:p w:rsidR="005E671A" w:rsidRPr="0006125D" w:rsidRDefault="00B15430" w:rsidP="004B4036">
            <w:pPr>
              <w:pStyle w:val="ListParagraph"/>
              <w:numPr>
                <w:ilvl w:val="0"/>
                <w:numId w:val="9"/>
              </w:numPr>
              <w:ind w:right="127"/>
              <w:jc w:val="both"/>
              <w:rPr>
                <w:sz w:val="26"/>
                <w:szCs w:val="26"/>
              </w:rPr>
            </w:pPr>
            <w:r w:rsidRPr="00911B5F">
              <w:rPr>
                <w:sz w:val="26"/>
                <w:szCs w:val="26"/>
              </w:rPr>
              <w:t>Latvijas Nacionālās sporta padomes</w:t>
            </w:r>
            <w:r>
              <w:rPr>
                <w:sz w:val="26"/>
                <w:szCs w:val="26"/>
              </w:rPr>
              <w:t xml:space="preserve"> (turpmāk – Padome)</w:t>
            </w:r>
            <w:r w:rsidRPr="00911B5F">
              <w:rPr>
                <w:sz w:val="26"/>
                <w:szCs w:val="26"/>
              </w:rPr>
              <w:t xml:space="preserve"> 2014.gada 28.novembra sēdē </w:t>
            </w:r>
            <w:r w:rsidRPr="008E2F46">
              <w:rPr>
                <w:sz w:val="26"/>
                <w:szCs w:val="26"/>
              </w:rPr>
              <w:t xml:space="preserve">Ministru kabinetam izteiktais </w:t>
            </w:r>
            <w:r>
              <w:rPr>
                <w:sz w:val="26"/>
                <w:szCs w:val="26"/>
              </w:rPr>
              <w:t>aicinājums</w:t>
            </w:r>
            <w:r w:rsidRPr="00911B5F">
              <w:rPr>
                <w:sz w:val="26"/>
                <w:szCs w:val="26"/>
              </w:rPr>
              <w:t xml:space="preserve"> (prot. Nr.</w:t>
            </w:r>
            <w:r>
              <w:rPr>
                <w:sz w:val="26"/>
                <w:szCs w:val="26"/>
              </w:rPr>
              <w:t>5 6</w:t>
            </w:r>
            <w:r w:rsidRPr="00911B5F">
              <w:rPr>
                <w:sz w:val="26"/>
                <w:szCs w:val="26"/>
              </w:rPr>
              <w:t xml:space="preserve">.§., </w:t>
            </w:r>
            <w:r w:rsidR="004B4036">
              <w:rPr>
                <w:sz w:val="26"/>
                <w:szCs w:val="26"/>
              </w:rPr>
              <w:t>6.4.</w:t>
            </w:r>
            <w:r w:rsidRPr="00911B5F">
              <w:rPr>
                <w:sz w:val="26"/>
                <w:szCs w:val="26"/>
              </w:rPr>
              <w:t>apa</w:t>
            </w:r>
            <w:r>
              <w:rPr>
                <w:sz w:val="26"/>
                <w:szCs w:val="26"/>
              </w:rPr>
              <w:t>kšpunkts)</w:t>
            </w:r>
            <w:r w:rsidR="004B4036">
              <w:rPr>
                <w:sz w:val="26"/>
                <w:szCs w:val="26"/>
              </w:rPr>
              <w:t>, veicot apropriācijas pārdali, piešķirt līdzekļus ar Čempionāta organizēšanu saistītā drošības depozīta maksājuma segšanai.</w:t>
            </w:r>
          </w:p>
          <w:p w:rsidR="00466E6C" w:rsidRPr="0006125D" w:rsidRDefault="008C0244" w:rsidP="008C0244">
            <w:pPr>
              <w:pStyle w:val="ListParagraph"/>
              <w:numPr>
                <w:ilvl w:val="0"/>
                <w:numId w:val="9"/>
              </w:numPr>
              <w:ind w:right="127"/>
              <w:jc w:val="both"/>
              <w:rPr>
                <w:sz w:val="26"/>
                <w:szCs w:val="26"/>
              </w:rPr>
            </w:pPr>
            <w:r w:rsidRPr="0006125D">
              <w:rPr>
                <w:sz w:val="26"/>
                <w:szCs w:val="26"/>
              </w:rPr>
              <w:t>Likuma “Par valsts budžetu 2014.gadam” 33.panta 3.punkts.</w:t>
            </w:r>
          </w:p>
        </w:tc>
      </w:tr>
      <w:tr w:rsidR="00585B7B" w:rsidRPr="0006125D" w:rsidTr="009C68C6">
        <w:trPr>
          <w:trHeight w:val="562"/>
        </w:trPr>
        <w:tc>
          <w:tcPr>
            <w:tcW w:w="562" w:type="dxa"/>
          </w:tcPr>
          <w:p w:rsidR="00585B7B" w:rsidRPr="0006125D" w:rsidRDefault="00585B7B" w:rsidP="00BD696A">
            <w:pPr>
              <w:pStyle w:val="naiskr"/>
              <w:spacing w:before="0" w:after="0"/>
              <w:jc w:val="center"/>
              <w:rPr>
                <w:sz w:val="26"/>
                <w:szCs w:val="26"/>
              </w:rPr>
            </w:pPr>
            <w:r w:rsidRPr="0006125D">
              <w:rPr>
                <w:sz w:val="26"/>
                <w:szCs w:val="26"/>
              </w:rPr>
              <w:t>2.</w:t>
            </w:r>
          </w:p>
        </w:tc>
        <w:tc>
          <w:tcPr>
            <w:tcW w:w="2410" w:type="dxa"/>
          </w:tcPr>
          <w:p w:rsidR="00585B7B" w:rsidRPr="0006125D" w:rsidRDefault="00005A9D" w:rsidP="00916055">
            <w:pPr>
              <w:pStyle w:val="naiskr"/>
              <w:tabs>
                <w:tab w:val="left" w:pos="170"/>
              </w:tabs>
              <w:spacing w:before="0" w:after="0"/>
              <w:ind w:left="141"/>
              <w:rPr>
                <w:sz w:val="26"/>
                <w:szCs w:val="26"/>
              </w:rPr>
            </w:pPr>
            <w:r w:rsidRPr="0006125D">
              <w:rPr>
                <w:sz w:val="26"/>
                <w:szCs w:val="26"/>
              </w:rPr>
              <w:t>Pašreizējā situācija un problēmas, kuru risināšanai tiesību akta projekts izstrādāts, tiesiskā regulējuma mērķis un būtība</w:t>
            </w:r>
          </w:p>
        </w:tc>
        <w:tc>
          <w:tcPr>
            <w:tcW w:w="7229" w:type="dxa"/>
          </w:tcPr>
          <w:p w:rsidR="00A24A9C" w:rsidRPr="0006125D" w:rsidRDefault="00D257EB" w:rsidP="00A24A9C">
            <w:pPr>
              <w:ind w:left="132" w:right="127"/>
              <w:jc w:val="both"/>
              <w:rPr>
                <w:sz w:val="26"/>
                <w:szCs w:val="26"/>
              </w:rPr>
            </w:pPr>
            <w:r w:rsidRPr="0006125D">
              <w:rPr>
                <w:sz w:val="26"/>
                <w:szCs w:val="26"/>
              </w:rPr>
              <w:tab/>
            </w:r>
            <w:r w:rsidR="00DC1EE5" w:rsidRPr="0006125D">
              <w:rPr>
                <w:sz w:val="26"/>
                <w:szCs w:val="26"/>
              </w:rPr>
              <w:t xml:space="preserve"> Ministru kabineta 2014.gada 29.jūlija sēd</w:t>
            </w:r>
            <w:r w:rsidR="00922913" w:rsidRPr="0006125D">
              <w:rPr>
                <w:sz w:val="26"/>
                <w:szCs w:val="26"/>
              </w:rPr>
              <w:t>ē, uzklausot</w:t>
            </w:r>
            <w:r w:rsidR="00876518" w:rsidRPr="0006125D">
              <w:rPr>
                <w:sz w:val="26"/>
                <w:szCs w:val="26"/>
              </w:rPr>
              <w:t xml:space="preserve"> Izglītības un zinātnes ministrijas (turpmāk – IZM) </w:t>
            </w:r>
            <w:r w:rsidR="00922913" w:rsidRPr="0006125D">
              <w:rPr>
                <w:sz w:val="26"/>
                <w:szCs w:val="26"/>
              </w:rPr>
              <w:t>un biedrības “Latvijas Basketbola savienība” (turpmāk – LBS) sniegto informāciju, iepaz</w:t>
            </w:r>
            <w:r w:rsidR="0025509B" w:rsidRPr="0006125D">
              <w:rPr>
                <w:sz w:val="26"/>
                <w:szCs w:val="26"/>
              </w:rPr>
              <w:t>īstoties ar IZM izstrādāto informatīvo ziņojumu “Par 2015.gada Eiropas čempionāta basketbolā grupu turnīra sarīkošanu Latvijā</w:t>
            </w:r>
            <w:r w:rsidR="004776B2" w:rsidRPr="0006125D">
              <w:rPr>
                <w:sz w:val="26"/>
                <w:szCs w:val="26"/>
              </w:rPr>
              <w:t xml:space="preserve">”, kā arī, ņemot </w:t>
            </w:r>
            <w:r w:rsidR="004B4036">
              <w:rPr>
                <w:sz w:val="26"/>
                <w:szCs w:val="26"/>
              </w:rPr>
              <w:t xml:space="preserve">Padomes </w:t>
            </w:r>
            <w:r w:rsidR="004776B2" w:rsidRPr="0006125D">
              <w:rPr>
                <w:sz w:val="26"/>
                <w:szCs w:val="26"/>
              </w:rPr>
              <w:t>2014.gada 24.jūlija sēdē Ministru kabinetam izteikto aicinājumu (prot. Nr.3 8.§., 8.3.</w:t>
            </w:r>
            <w:r w:rsidR="00AE4C26" w:rsidRPr="0006125D">
              <w:rPr>
                <w:sz w:val="26"/>
                <w:szCs w:val="26"/>
              </w:rPr>
              <w:t xml:space="preserve"> un 8.4</w:t>
            </w:r>
            <w:r w:rsidR="004776B2" w:rsidRPr="0006125D">
              <w:rPr>
                <w:sz w:val="26"/>
                <w:szCs w:val="26"/>
              </w:rPr>
              <w:t>.apakšpunkts</w:t>
            </w:r>
            <w:r w:rsidR="00A2178F" w:rsidRPr="0006125D">
              <w:rPr>
                <w:sz w:val="26"/>
                <w:szCs w:val="26"/>
              </w:rPr>
              <w:t>), tika nolemts (prot. Nr.41 28.§) atbalstīt LBS ieceri par Čempionāta sarīkošanu Latvijā, kā arī noteikts</w:t>
            </w:r>
            <w:r w:rsidR="00A24A9C" w:rsidRPr="0006125D">
              <w:rPr>
                <w:sz w:val="26"/>
                <w:szCs w:val="26"/>
              </w:rPr>
              <w:t>, ka gadījumā, ja  Starptautiskās Basketbola federācijas Eiropas nodaļa (FIBA Europe) pieņem lēmumu par Čempionāta sarīkošanu Latvijā:</w:t>
            </w:r>
          </w:p>
          <w:p w:rsidR="00A24A9C" w:rsidRPr="0006125D" w:rsidRDefault="00A24A9C" w:rsidP="00A24A9C">
            <w:pPr>
              <w:pStyle w:val="ListParagraph"/>
              <w:numPr>
                <w:ilvl w:val="0"/>
                <w:numId w:val="16"/>
              </w:numPr>
              <w:ind w:right="127"/>
              <w:jc w:val="both"/>
              <w:rPr>
                <w:sz w:val="26"/>
                <w:szCs w:val="26"/>
              </w:rPr>
            </w:pPr>
            <w:r w:rsidRPr="0006125D">
              <w:rPr>
                <w:sz w:val="26"/>
                <w:szCs w:val="26"/>
              </w:rPr>
              <w:t xml:space="preserve">IZM ir jāizstrādā un pēc Starptautiskās Basketbola federācijas Eiropas nodaļas lēmuma pieņemšanas izskatīšanai Ministru kabinetā jāiesniedz ar Finanšu ministriju saskaņots Ministru kabineta rīkojuma projekts par 600 000 </w:t>
            </w:r>
            <w:r w:rsidRPr="0006125D">
              <w:rPr>
                <w:i/>
                <w:sz w:val="26"/>
                <w:szCs w:val="26"/>
              </w:rPr>
              <w:t>euro</w:t>
            </w:r>
            <w:r w:rsidRPr="0006125D">
              <w:rPr>
                <w:sz w:val="26"/>
                <w:szCs w:val="26"/>
              </w:rPr>
              <w:t xml:space="preserve"> piešķiršanu IZM (pārskaitīšanai LBS), lai līdz 2014.gada 30.septembrim segtu ar Čempionāta rīkošanu saistītā licences maksājuma pirmo daļu (protokollēmuma 3.1.apakšpunkts); </w:t>
            </w:r>
          </w:p>
          <w:p w:rsidR="00A24A9C" w:rsidRPr="0006125D" w:rsidRDefault="00A24A9C" w:rsidP="00A24A9C">
            <w:pPr>
              <w:pStyle w:val="ListParagraph"/>
              <w:numPr>
                <w:ilvl w:val="0"/>
                <w:numId w:val="16"/>
              </w:numPr>
              <w:ind w:right="127"/>
              <w:jc w:val="both"/>
              <w:rPr>
                <w:sz w:val="26"/>
                <w:szCs w:val="26"/>
              </w:rPr>
            </w:pPr>
            <w:r w:rsidRPr="0006125D">
              <w:rPr>
                <w:sz w:val="26"/>
                <w:szCs w:val="26"/>
              </w:rPr>
              <w:t xml:space="preserve">jautājums par 2015.gadam nepieciešamo finansējumu licences maksājuma otrajai daļai 600 000 </w:t>
            </w:r>
            <w:r w:rsidRPr="0006125D">
              <w:rPr>
                <w:i/>
                <w:sz w:val="26"/>
                <w:szCs w:val="26"/>
              </w:rPr>
              <w:t>euro</w:t>
            </w:r>
            <w:r w:rsidRPr="0006125D">
              <w:rPr>
                <w:sz w:val="26"/>
                <w:szCs w:val="26"/>
              </w:rPr>
              <w:t xml:space="preserve"> apmērā ir izskatāms Ministru kabinetā likumprojekta “Par valsts budžetu 2015.gadam” un likumprojekta “Par vidēja termiņa budžeta ietvaru 2015., 2016. un 2017.gadam” sagatavošanas laikā (protokollēmuma 3.2.apakšpunkts).</w:t>
            </w:r>
          </w:p>
          <w:p w:rsidR="00A24A9C" w:rsidRPr="0006125D" w:rsidRDefault="00A24A9C" w:rsidP="00A24A9C">
            <w:pPr>
              <w:ind w:left="132" w:right="127"/>
              <w:jc w:val="both"/>
              <w:rPr>
                <w:sz w:val="26"/>
                <w:szCs w:val="26"/>
              </w:rPr>
            </w:pPr>
            <w:r w:rsidRPr="0006125D">
              <w:rPr>
                <w:sz w:val="26"/>
                <w:szCs w:val="26"/>
              </w:rPr>
              <w:t>Vienlaikus tika noteikts, ka, izstrādājot attiecīgu Ministru kabineta rīkojuma projektu, IZM sadarbībā ar Finanšu ministriju jāizvērtē iespēja šos līdzekļus pilnībā vai daļēji rast IZM 2014.gada valsts budžeta programmās.</w:t>
            </w:r>
          </w:p>
          <w:p w:rsidR="002C7307" w:rsidRDefault="00A2178F" w:rsidP="00C112B7">
            <w:pPr>
              <w:ind w:left="132" w:right="127"/>
              <w:jc w:val="both"/>
              <w:rPr>
                <w:sz w:val="26"/>
                <w:szCs w:val="26"/>
              </w:rPr>
            </w:pPr>
            <w:r w:rsidRPr="0006125D">
              <w:rPr>
                <w:sz w:val="26"/>
                <w:szCs w:val="26"/>
              </w:rPr>
              <w:tab/>
              <w:t>2014.gada 8.septembrī Starptautiskās Basketbola federācijas Eiropas nodaļa pieņēma lēmumu par Čempionāta sarīkošanu Latvijā.</w:t>
            </w:r>
          </w:p>
          <w:p w:rsidR="00C112B7" w:rsidRPr="0006125D" w:rsidRDefault="00C112B7" w:rsidP="00C112B7">
            <w:pPr>
              <w:ind w:left="132" w:right="127"/>
              <w:jc w:val="both"/>
              <w:rPr>
                <w:sz w:val="26"/>
                <w:szCs w:val="26"/>
              </w:rPr>
            </w:pPr>
            <w:r w:rsidRPr="0006125D">
              <w:rPr>
                <w:sz w:val="26"/>
                <w:szCs w:val="26"/>
              </w:rPr>
              <w:tab/>
              <w:t xml:space="preserve">Ar Ministru kabineta 2014.gada 16.septembra rīkojuma Nr.497 “Par apropriācijas pārdali” 1.punktu tika atbalstīta apropriācijas pārdali no IZM budžeta apakšprogrammas 01.05.00 “Dotācija privātajām mācību iestādēm” 600 000 </w:t>
            </w:r>
            <w:r w:rsidRPr="0006125D">
              <w:rPr>
                <w:i/>
                <w:sz w:val="26"/>
                <w:szCs w:val="26"/>
              </w:rPr>
              <w:t>euro</w:t>
            </w:r>
            <w:r w:rsidRPr="0006125D">
              <w:rPr>
                <w:sz w:val="26"/>
                <w:szCs w:val="26"/>
              </w:rPr>
              <w:t xml:space="preserve"> apmērā uz IZM budžeta apakšprogrammu 09.16.00 “Dotācija nacionālās </w:t>
            </w:r>
            <w:r w:rsidRPr="0006125D">
              <w:rPr>
                <w:sz w:val="26"/>
                <w:szCs w:val="26"/>
              </w:rPr>
              <w:lastRenderedPageBreak/>
              <w:t>nozīmes starptautisku sporta pasākumu organizēšanai Latvijā”, lai segtu licences maksājuma pirmo daļu saistībā ar Čempionāta rīkošanu Latvijā.</w:t>
            </w:r>
          </w:p>
          <w:p w:rsidR="00F11609" w:rsidRDefault="00C112B7" w:rsidP="00C112B7">
            <w:pPr>
              <w:ind w:left="132" w:right="127"/>
              <w:jc w:val="both"/>
              <w:rPr>
                <w:sz w:val="26"/>
                <w:szCs w:val="26"/>
              </w:rPr>
            </w:pPr>
            <w:r w:rsidRPr="0006125D">
              <w:rPr>
                <w:sz w:val="26"/>
                <w:szCs w:val="26"/>
              </w:rPr>
              <w:tab/>
              <w:t>Apzinoties</w:t>
            </w:r>
            <w:r w:rsidR="00F70A0E" w:rsidRPr="0006125D">
              <w:rPr>
                <w:sz w:val="26"/>
                <w:szCs w:val="26"/>
              </w:rPr>
              <w:t xml:space="preserve"> </w:t>
            </w:r>
            <w:r w:rsidRPr="0006125D">
              <w:rPr>
                <w:sz w:val="26"/>
                <w:szCs w:val="26"/>
              </w:rPr>
              <w:t>ierobežotās iespējas</w:t>
            </w:r>
            <w:r w:rsidR="00247BE3" w:rsidRPr="0006125D">
              <w:rPr>
                <w:sz w:val="26"/>
                <w:szCs w:val="26"/>
              </w:rPr>
              <w:t xml:space="preserve"> 2015.gada valsts budžetā paredzēt </w:t>
            </w:r>
            <w:r w:rsidR="00B26712" w:rsidRPr="0006125D">
              <w:rPr>
                <w:sz w:val="26"/>
                <w:szCs w:val="26"/>
              </w:rPr>
              <w:t xml:space="preserve">šim mērķim papildus </w:t>
            </w:r>
            <w:r w:rsidRPr="0006125D">
              <w:rPr>
                <w:sz w:val="26"/>
                <w:szCs w:val="26"/>
              </w:rPr>
              <w:t>nepieciešamo finansējumu</w:t>
            </w:r>
            <w:r w:rsidR="00B26712" w:rsidRPr="0006125D">
              <w:rPr>
                <w:sz w:val="26"/>
                <w:szCs w:val="26"/>
              </w:rPr>
              <w:t xml:space="preserve">, kā arī </w:t>
            </w:r>
            <w:r w:rsidRPr="0006125D">
              <w:rPr>
                <w:sz w:val="26"/>
                <w:szCs w:val="26"/>
              </w:rPr>
              <w:t xml:space="preserve">izvērtējot iespēju nepieciešamo finansējumu rast </w:t>
            </w:r>
            <w:r w:rsidR="00B26712" w:rsidRPr="0006125D">
              <w:rPr>
                <w:sz w:val="26"/>
                <w:szCs w:val="26"/>
              </w:rPr>
              <w:t xml:space="preserve">jau </w:t>
            </w:r>
            <w:r w:rsidRPr="0006125D">
              <w:rPr>
                <w:sz w:val="26"/>
                <w:szCs w:val="26"/>
              </w:rPr>
              <w:t xml:space="preserve">IZM 2014.gada valsts budžeta programmās, IZM </w:t>
            </w:r>
            <w:r w:rsidR="00F11609">
              <w:rPr>
                <w:sz w:val="26"/>
                <w:szCs w:val="26"/>
              </w:rPr>
              <w:t>izskatīšanai Ministru kabineta 2014.gada 2.decem</w:t>
            </w:r>
            <w:r w:rsidR="00C80DE4">
              <w:rPr>
                <w:sz w:val="26"/>
                <w:szCs w:val="26"/>
              </w:rPr>
              <w:t>b</w:t>
            </w:r>
            <w:r w:rsidR="00F11609">
              <w:rPr>
                <w:sz w:val="26"/>
                <w:szCs w:val="26"/>
              </w:rPr>
              <w:t xml:space="preserve">ra sēdē ir iesniegusi priekšlikumu </w:t>
            </w:r>
            <w:r w:rsidR="00C80DE4">
              <w:rPr>
                <w:sz w:val="26"/>
                <w:szCs w:val="26"/>
              </w:rPr>
              <w:t>(Ministru kabineta rīkojuma projekt</w:t>
            </w:r>
            <w:r w:rsidR="004A38D9">
              <w:rPr>
                <w:sz w:val="26"/>
                <w:szCs w:val="26"/>
              </w:rPr>
              <w:t>u</w:t>
            </w:r>
            <w:r w:rsidR="00C80DE4">
              <w:rPr>
                <w:sz w:val="26"/>
                <w:szCs w:val="26"/>
              </w:rPr>
              <w:t xml:space="preserve"> “</w:t>
            </w:r>
            <w:r w:rsidR="00C80DE4" w:rsidRPr="00C80DE4">
              <w:rPr>
                <w:sz w:val="26"/>
                <w:szCs w:val="26"/>
              </w:rPr>
              <w:t>Par apropriācijas pārdali</w:t>
            </w:r>
            <w:r w:rsidR="00C80DE4">
              <w:rPr>
                <w:sz w:val="26"/>
                <w:szCs w:val="26"/>
              </w:rPr>
              <w:t xml:space="preserve">” </w:t>
            </w:r>
            <w:r w:rsidR="00351B7F">
              <w:rPr>
                <w:sz w:val="26"/>
                <w:szCs w:val="26"/>
              </w:rPr>
              <w:t>[</w:t>
            </w:r>
            <w:r w:rsidR="00C80DE4">
              <w:rPr>
                <w:sz w:val="26"/>
                <w:szCs w:val="26"/>
              </w:rPr>
              <w:t>TA-2826</w:t>
            </w:r>
            <w:r w:rsidR="00351B7F">
              <w:rPr>
                <w:sz w:val="26"/>
                <w:szCs w:val="26"/>
              </w:rPr>
              <w:t>]</w:t>
            </w:r>
            <w:r w:rsidR="00C80DE4">
              <w:rPr>
                <w:sz w:val="26"/>
                <w:szCs w:val="26"/>
              </w:rPr>
              <w:t xml:space="preserve">) </w:t>
            </w:r>
            <w:r w:rsidR="00F11609">
              <w:rPr>
                <w:sz w:val="26"/>
                <w:szCs w:val="26"/>
              </w:rPr>
              <w:t xml:space="preserve">par </w:t>
            </w:r>
            <w:r w:rsidRPr="0006125D">
              <w:rPr>
                <w:sz w:val="26"/>
                <w:szCs w:val="26"/>
              </w:rPr>
              <w:t xml:space="preserve">apropriācijas pārdali no IZM budžeta apakšprogrammas 01.05.00 “Dotācija privātajām mācību iestādēm” 600 000 </w:t>
            </w:r>
            <w:r w:rsidRPr="0006125D">
              <w:rPr>
                <w:i/>
                <w:sz w:val="26"/>
                <w:szCs w:val="26"/>
              </w:rPr>
              <w:t>euro</w:t>
            </w:r>
            <w:r w:rsidRPr="0006125D">
              <w:rPr>
                <w:sz w:val="26"/>
                <w:szCs w:val="26"/>
              </w:rPr>
              <w:t xml:space="preserve"> apmērā uz IZM budžeta apakšprogrammu 09.16.00 “Dotācija nacionālās nozīmes starptautisku sporta pasākumu organizēšanai Latvijā”, lai segtu licences maksājuma otro daļu saistībā ar Čempionāta rīkošanu Latvijā.</w:t>
            </w:r>
            <w:r w:rsidR="00377E19" w:rsidRPr="0006125D">
              <w:rPr>
                <w:sz w:val="26"/>
                <w:szCs w:val="26"/>
              </w:rPr>
              <w:t xml:space="preserve"> </w:t>
            </w:r>
          </w:p>
          <w:p w:rsidR="00F11609" w:rsidRDefault="00F11609" w:rsidP="00C112B7">
            <w:pPr>
              <w:ind w:left="132" w:right="127"/>
              <w:jc w:val="both"/>
              <w:rPr>
                <w:sz w:val="26"/>
                <w:szCs w:val="26"/>
              </w:rPr>
            </w:pPr>
            <w:r>
              <w:rPr>
                <w:sz w:val="26"/>
                <w:szCs w:val="26"/>
              </w:rPr>
              <w:tab/>
              <w:t xml:space="preserve">Papildus minētam no </w:t>
            </w:r>
            <w:r w:rsidRPr="0006125D">
              <w:rPr>
                <w:sz w:val="26"/>
                <w:szCs w:val="26"/>
              </w:rPr>
              <w:t>IZM budžeta</w:t>
            </w:r>
            <w:r>
              <w:rPr>
                <w:sz w:val="26"/>
                <w:szCs w:val="26"/>
              </w:rPr>
              <w:t xml:space="preserve"> programmas 09.00.00 “Sports” </w:t>
            </w:r>
            <w:r w:rsidRPr="0006125D">
              <w:rPr>
                <w:sz w:val="26"/>
                <w:szCs w:val="26"/>
              </w:rPr>
              <w:t>apakšprogramm</w:t>
            </w:r>
            <w:r>
              <w:rPr>
                <w:sz w:val="26"/>
                <w:szCs w:val="26"/>
              </w:rPr>
              <w:t>as</w:t>
            </w:r>
            <w:r w:rsidRPr="0006125D">
              <w:rPr>
                <w:sz w:val="26"/>
                <w:szCs w:val="26"/>
              </w:rPr>
              <w:t xml:space="preserve"> 09.16.00 “Dotācija nacionālās nozīmes starptautisku sporta pasākumu organizēšanai Latvijā”</w:t>
            </w:r>
            <w:r>
              <w:rPr>
                <w:sz w:val="26"/>
                <w:szCs w:val="26"/>
              </w:rPr>
              <w:t xml:space="preserve"> Čempionāta organizatorisko izdevumu segšanai LBS paredzēta dotācija 150 000 </w:t>
            </w:r>
            <w:r w:rsidRPr="00FD33E2">
              <w:rPr>
                <w:i/>
                <w:sz w:val="26"/>
                <w:szCs w:val="26"/>
              </w:rPr>
              <w:t>euro</w:t>
            </w:r>
            <w:r>
              <w:rPr>
                <w:sz w:val="26"/>
                <w:szCs w:val="26"/>
              </w:rPr>
              <w:t xml:space="preserve"> apmērā. Tādejādi </w:t>
            </w:r>
            <w:r w:rsidRPr="00F11609">
              <w:rPr>
                <w:sz w:val="26"/>
                <w:szCs w:val="26"/>
              </w:rPr>
              <w:t xml:space="preserve">kopējais valsts atbalsts 2015.gada Eiropas čempionāta basketbolā grupu turnīra sarīkošanai Latvijā </w:t>
            </w:r>
            <w:r w:rsidR="004A38D9">
              <w:rPr>
                <w:sz w:val="26"/>
                <w:szCs w:val="26"/>
              </w:rPr>
              <w:t>sasniedz</w:t>
            </w:r>
            <w:r>
              <w:rPr>
                <w:sz w:val="26"/>
                <w:szCs w:val="26"/>
              </w:rPr>
              <w:t xml:space="preserve"> </w:t>
            </w:r>
            <w:r w:rsidR="004A38D9">
              <w:rPr>
                <w:sz w:val="26"/>
                <w:szCs w:val="26"/>
              </w:rPr>
              <w:br/>
            </w:r>
            <w:r w:rsidRPr="00F11609">
              <w:rPr>
                <w:sz w:val="26"/>
                <w:szCs w:val="26"/>
              </w:rPr>
              <w:t xml:space="preserve">1 350 000 </w:t>
            </w:r>
            <w:r w:rsidRPr="00F11609">
              <w:rPr>
                <w:i/>
                <w:sz w:val="26"/>
                <w:szCs w:val="26"/>
              </w:rPr>
              <w:t>euro</w:t>
            </w:r>
            <w:r>
              <w:rPr>
                <w:sz w:val="26"/>
                <w:szCs w:val="26"/>
              </w:rPr>
              <w:t>.</w:t>
            </w:r>
          </w:p>
          <w:p w:rsidR="00157EEE" w:rsidRDefault="00F11609" w:rsidP="00C112B7">
            <w:pPr>
              <w:ind w:left="132" w:right="127"/>
              <w:jc w:val="both"/>
              <w:rPr>
                <w:sz w:val="26"/>
                <w:szCs w:val="26"/>
              </w:rPr>
            </w:pPr>
            <w:r>
              <w:rPr>
                <w:sz w:val="26"/>
                <w:szCs w:val="26"/>
              </w:rPr>
              <w:tab/>
              <w:t xml:space="preserve">Neskatoties uz minēto plānoto ievērojamo valsts finansiālo atbalstu, </w:t>
            </w:r>
            <w:r w:rsidR="00157EEE">
              <w:rPr>
                <w:sz w:val="26"/>
                <w:szCs w:val="26"/>
              </w:rPr>
              <w:t xml:space="preserve">LBS </w:t>
            </w:r>
            <w:r w:rsidR="00157EEE" w:rsidRPr="00157EEE">
              <w:rPr>
                <w:sz w:val="26"/>
                <w:szCs w:val="26"/>
              </w:rPr>
              <w:t xml:space="preserve">2014.gada 14.novembra vēstulē Nr.03/113 un 2014.gada 28.novembra vēstulē Nr.03/121 </w:t>
            </w:r>
            <w:r w:rsidR="00157EEE">
              <w:rPr>
                <w:sz w:val="26"/>
                <w:szCs w:val="26"/>
              </w:rPr>
              <w:t xml:space="preserve">IZM un </w:t>
            </w:r>
            <w:r w:rsidR="00293215">
              <w:rPr>
                <w:sz w:val="26"/>
                <w:szCs w:val="26"/>
              </w:rPr>
              <w:t>P</w:t>
            </w:r>
            <w:r w:rsidR="00157EEE">
              <w:rPr>
                <w:sz w:val="26"/>
                <w:szCs w:val="26"/>
              </w:rPr>
              <w:t xml:space="preserve">adome informēta par </w:t>
            </w:r>
            <w:r w:rsidR="00157EEE" w:rsidRPr="00157EEE">
              <w:rPr>
                <w:sz w:val="26"/>
                <w:szCs w:val="26"/>
              </w:rPr>
              <w:t xml:space="preserve">iepriekš neplānotu </w:t>
            </w:r>
            <w:r w:rsidR="00157EEE">
              <w:rPr>
                <w:sz w:val="26"/>
                <w:szCs w:val="26"/>
              </w:rPr>
              <w:t>Č</w:t>
            </w:r>
            <w:r w:rsidR="00157EEE" w:rsidRPr="00157EEE">
              <w:rPr>
                <w:sz w:val="26"/>
                <w:szCs w:val="26"/>
              </w:rPr>
              <w:t xml:space="preserve">empionāta sarīkošanas izdevumu daļas palielinājumu 358 000 </w:t>
            </w:r>
            <w:r w:rsidR="00157EEE" w:rsidRPr="00157EEE">
              <w:rPr>
                <w:i/>
                <w:sz w:val="26"/>
                <w:szCs w:val="26"/>
              </w:rPr>
              <w:t>euro</w:t>
            </w:r>
            <w:r w:rsidR="00157EEE" w:rsidRPr="00157EEE">
              <w:rPr>
                <w:sz w:val="26"/>
                <w:szCs w:val="26"/>
              </w:rPr>
              <w:t xml:space="preserve"> apmērā, ko tiek lūgts segt no valsts budžeta līdzekļiem.</w:t>
            </w:r>
            <w:r w:rsidR="00157EEE">
              <w:rPr>
                <w:sz w:val="26"/>
                <w:szCs w:val="26"/>
              </w:rPr>
              <w:t xml:space="preserve"> </w:t>
            </w:r>
            <w:r w:rsidR="00E0216E">
              <w:rPr>
                <w:sz w:val="26"/>
                <w:szCs w:val="26"/>
              </w:rPr>
              <w:t>Kā norāda L</w:t>
            </w:r>
            <w:r w:rsidR="00417E98">
              <w:rPr>
                <w:sz w:val="26"/>
                <w:szCs w:val="26"/>
              </w:rPr>
              <w:t xml:space="preserve">BS, tad, ņemot vērā </w:t>
            </w:r>
            <w:r w:rsidR="001477C7">
              <w:rPr>
                <w:sz w:val="26"/>
                <w:szCs w:val="26"/>
              </w:rPr>
              <w:t xml:space="preserve">ārkārtas apstākļus un steigu, kādā tika organizēts konkurss par  2015.gada Eiropas čempionāta basketbolā sarīkošanu, </w:t>
            </w:r>
            <w:r w:rsidR="00E41673">
              <w:rPr>
                <w:sz w:val="26"/>
                <w:szCs w:val="26"/>
              </w:rPr>
              <w:t xml:space="preserve">LBS nebija pieejamas rīkošanas rokasgrāmatas ar precīzām prasībām visās pozīcijās, kuras </w:t>
            </w:r>
            <w:r w:rsidR="008D1A25">
              <w:rPr>
                <w:sz w:val="26"/>
                <w:szCs w:val="26"/>
              </w:rPr>
              <w:t xml:space="preserve">tiek izvirzītas sagatavošanas procesa gaitā. LBS norāda, ka daudzkārtējās FIBA Europe pārstāvju vizītēs un diskusijās ir noskaidrojies, ka Čempionāta kvalitatīvai sarīkošanai </w:t>
            </w:r>
            <w:r w:rsidR="00293215">
              <w:rPr>
                <w:sz w:val="26"/>
                <w:szCs w:val="26"/>
              </w:rPr>
              <w:t xml:space="preserve">nepieciešami papildus līdzekļi. Viena no steidzami sedzamajām papildus izdevumu pozīcijām ir drošības depozīta maksājums FIBA Europe 150 000 </w:t>
            </w:r>
            <w:r w:rsidR="00293215" w:rsidRPr="00293215">
              <w:rPr>
                <w:i/>
                <w:sz w:val="26"/>
                <w:szCs w:val="26"/>
              </w:rPr>
              <w:t>euro</w:t>
            </w:r>
            <w:r w:rsidR="00293215">
              <w:rPr>
                <w:sz w:val="26"/>
                <w:szCs w:val="26"/>
              </w:rPr>
              <w:t xml:space="preserve"> apmērā. Vienlaikus atzīmējams, ka pēc Čempionāta norises </w:t>
            </w:r>
            <w:r w:rsidR="0061482E">
              <w:rPr>
                <w:sz w:val="26"/>
                <w:szCs w:val="26"/>
              </w:rPr>
              <w:t xml:space="preserve"> drošības </w:t>
            </w:r>
            <w:r w:rsidR="00293215">
              <w:rPr>
                <w:sz w:val="26"/>
                <w:szCs w:val="26"/>
              </w:rPr>
              <w:t>depozīta maksājumu FIBA Europe pārskaitīs atpakaļ LBS, kā rezultātā to tālāk ir iespējams atmaksāt valsts budžetā.</w:t>
            </w:r>
          </w:p>
          <w:p w:rsidR="00293215" w:rsidRDefault="00293215" w:rsidP="00C112B7">
            <w:pPr>
              <w:ind w:left="132" w:right="127"/>
              <w:jc w:val="both"/>
              <w:rPr>
                <w:sz w:val="26"/>
                <w:szCs w:val="26"/>
              </w:rPr>
            </w:pPr>
            <w:r>
              <w:rPr>
                <w:sz w:val="26"/>
                <w:szCs w:val="26"/>
              </w:rPr>
              <w:tab/>
              <w:t xml:space="preserve">Jautājums par </w:t>
            </w:r>
            <w:r w:rsidRPr="00157EEE">
              <w:rPr>
                <w:sz w:val="26"/>
                <w:szCs w:val="26"/>
              </w:rPr>
              <w:t xml:space="preserve"> iepriekš neplānot</w:t>
            </w:r>
            <w:r>
              <w:rPr>
                <w:sz w:val="26"/>
                <w:szCs w:val="26"/>
              </w:rPr>
              <w:t>o</w:t>
            </w:r>
            <w:r w:rsidRPr="00157EEE">
              <w:rPr>
                <w:sz w:val="26"/>
                <w:szCs w:val="26"/>
              </w:rPr>
              <w:t xml:space="preserve"> </w:t>
            </w:r>
            <w:r>
              <w:rPr>
                <w:sz w:val="26"/>
                <w:szCs w:val="26"/>
              </w:rPr>
              <w:t>Č</w:t>
            </w:r>
            <w:r w:rsidRPr="00157EEE">
              <w:rPr>
                <w:sz w:val="26"/>
                <w:szCs w:val="26"/>
              </w:rPr>
              <w:t>empionāta sarīkošanas izdevumu daļas palielinājumu</w:t>
            </w:r>
            <w:r>
              <w:rPr>
                <w:sz w:val="26"/>
                <w:szCs w:val="26"/>
              </w:rPr>
              <w:t xml:space="preserve"> tika izskatīts arī Padomes </w:t>
            </w:r>
            <w:r w:rsidRPr="00293215">
              <w:rPr>
                <w:sz w:val="26"/>
                <w:szCs w:val="26"/>
              </w:rPr>
              <w:t>2014.gada 28.novembra sēdē</w:t>
            </w:r>
            <w:r>
              <w:rPr>
                <w:sz w:val="26"/>
                <w:szCs w:val="26"/>
              </w:rPr>
              <w:t>, kurā, uzklausot LBS, IZM un Finanšu ministrijas viedokli, tika nolemts</w:t>
            </w:r>
            <w:r w:rsidR="00AB319D">
              <w:rPr>
                <w:sz w:val="26"/>
                <w:szCs w:val="26"/>
              </w:rPr>
              <w:t xml:space="preserve"> </w:t>
            </w:r>
            <w:r w:rsidR="00AB319D" w:rsidRPr="00293215">
              <w:rPr>
                <w:sz w:val="26"/>
                <w:szCs w:val="26"/>
              </w:rPr>
              <w:t>(prot. Nr.5 6.§</w:t>
            </w:r>
            <w:r w:rsidR="00AB319D">
              <w:rPr>
                <w:sz w:val="26"/>
                <w:szCs w:val="26"/>
              </w:rPr>
              <w:t>)</w:t>
            </w:r>
            <w:r>
              <w:rPr>
                <w:sz w:val="26"/>
                <w:szCs w:val="26"/>
              </w:rPr>
              <w:t>:</w:t>
            </w:r>
          </w:p>
          <w:p w:rsidR="00293215" w:rsidRDefault="00AB319D" w:rsidP="00293215">
            <w:pPr>
              <w:pStyle w:val="ListParagraph"/>
              <w:numPr>
                <w:ilvl w:val="0"/>
                <w:numId w:val="17"/>
              </w:numPr>
              <w:ind w:right="127"/>
              <w:jc w:val="both"/>
              <w:rPr>
                <w:sz w:val="26"/>
                <w:szCs w:val="26"/>
              </w:rPr>
            </w:pPr>
            <w:r>
              <w:rPr>
                <w:sz w:val="26"/>
                <w:szCs w:val="26"/>
              </w:rPr>
              <w:t>a</w:t>
            </w:r>
            <w:r w:rsidRPr="00A2650C">
              <w:rPr>
                <w:sz w:val="26"/>
                <w:szCs w:val="26"/>
              </w:rPr>
              <w:t xml:space="preserve">icināt Ministru kabinetu atbalstīt apropriācijas pārdali no Izglītības un zinātnes ministrijas budžeta apakšprogrammas 01.05.00 “Dotācija privātajām mācību iestādēm” 150 000 euro apmērā uz Izglītības un zinātnes ministrijas budžeta apakšprogrammu 09.16.00 “Dotācija nacionālās nozīmes </w:t>
            </w:r>
            <w:r w:rsidRPr="00A2650C">
              <w:rPr>
                <w:sz w:val="26"/>
                <w:szCs w:val="26"/>
              </w:rPr>
              <w:lastRenderedPageBreak/>
              <w:t xml:space="preserve">starptautisku sporta pasākumu organizēšanai Latvijā”, lai segtu ar </w:t>
            </w:r>
            <w:r>
              <w:rPr>
                <w:sz w:val="26"/>
                <w:szCs w:val="26"/>
              </w:rPr>
              <w:t>Č</w:t>
            </w:r>
            <w:r w:rsidRPr="00A2650C">
              <w:rPr>
                <w:sz w:val="26"/>
                <w:szCs w:val="26"/>
              </w:rPr>
              <w:t>empionāta organizēšanu saistīto drošības depozīta maksājumu</w:t>
            </w:r>
            <w:r>
              <w:rPr>
                <w:sz w:val="26"/>
                <w:szCs w:val="26"/>
              </w:rPr>
              <w:t xml:space="preserve"> (6.4.apakšpunkts);</w:t>
            </w:r>
          </w:p>
          <w:p w:rsidR="00AB319D" w:rsidRDefault="00AB319D" w:rsidP="00293215">
            <w:pPr>
              <w:pStyle w:val="ListParagraph"/>
              <w:numPr>
                <w:ilvl w:val="0"/>
                <w:numId w:val="17"/>
              </w:numPr>
              <w:ind w:right="127"/>
              <w:jc w:val="both"/>
              <w:rPr>
                <w:sz w:val="26"/>
                <w:szCs w:val="26"/>
              </w:rPr>
            </w:pPr>
            <w:r>
              <w:rPr>
                <w:sz w:val="26"/>
                <w:szCs w:val="26"/>
              </w:rPr>
              <w:t xml:space="preserve">IZM paredzēt LBS </w:t>
            </w:r>
            <w:r w:rsidRPr="00A2650C">
              <w:rPr>
                <w:sz w:val="26"/>
                <w:szCs w:val="26"/>
              </w:rPr>
              <w:t xml:space="preserve">pienākumu pēc </w:t>
            </w:r>
            <w:r>
              <w:rPr>
                <w:sz w:val="26"/>
                <w:szCs w:val="26"/>
              </w:rPr>
              <w:t xml:space="preserve">Čempionāta </w:t>
            </w:r>
            <w:r w:rsidRPr="00A2650C">
              <w:rPr>
                <w:sz w:val="26"/>
                <w:szCs w:val="26"/>
              </w:rPr>
              <w:t>grupu turnīra norises un drošības depozīta atmaksas saņemšanas pilnā apmērā to mēneš</w:t>
            </w:r>
            <w:r>
              <w:rPr>
                <w:sz w:val="26"/>
                <w:szCs w:val="26"/>
              </w:rPr>
              <w:t>a laikā atmaksāt valsts budžetā (6.5.apakšpunkts);</w:t>
            </w:r>
          </w:p>
          <w:p w:rsidR="00AB319D" w:rsidRDefault="00AB319D" w:rsidP="00AB319D">
            <w:pPr>
              <w:pStyle w:val="ListParagraph"/>
              <w:numPr>
                <w:ilvl w:val="0"/>
                <w:numId w:val="17"/>
              </w:numPr>
              <w:ind w:right="127"/>
              <w:jc w:val="both"/>
              <w:rPr>
                <w:sz w:val="26"/>
                <w:szCs w:val="26"/>
              </w:rPr>
            </w:pPr>
            <w:r>
              <w:rPr>
                <w:sz w:val="26"/>
                <w:szCs w:val="26"/>
              </w:rPr>
              <w:t>a</w:t>
            </w:r>
            <w:r w:rsidRPr="00A2650C">
              <w:rPr>
                <w:sz w:val="26"/>
                <w:szCs w:val="26"/>
              </w:rPr>
              <w:t xml:space="preserve">icināt Ministru kabinetu jautājumu par apropriācijas pārdali ar </w:t>
            </w:r>
            <w:r>
              <w:rPr>
                <w:sz w:val="26"/>
                <w:szCs w:val="26"/>
              </w:rPr>
              <w:t xml:space="preserve">Čempionāta </w:t>
            </w:r>
            <w:r w:rsidRPr="00A2650C">
              <w:rPr>
                <w:sz w:val="26"/>
                <w:szCs w:val="26"/>
              </w:rPr>
              <w:t>organizēšanu saistītā drošības depozīta maksājuma segšanai izskatīt Ministru kab</w:t>
            </w:r>
            <w:r>
              <w:rPr>
                <w:sz w:val="26"/>
                <w:szCs w:val="26"/>
              </w:rPr>
              <w:t>ineta 2014.gada 2.decembra sēdē</w:t>
            </w:r>
            <w:r w:rsidR="004A38D9">
              <w:rPr>
                <w:sz w:val="26"/>
                <w:szCs w:val="26"/>
              </w:rPr>
              <w:t xml:space="preserve"> </w:t>
            </w:r>
            <w:r w:rsidR="004A38D9">
              <w:rPr>
                <w:sz w:val="26"/>
                <w:szCs w:val="26"/>
              </w:rPr>
              <w:t>(6.</w:t>
            </w:r>
            <w:r w:rsidR="004A38D9">
              <w:rPr>
                <w:sz w:val="26"/>
                <w:szCs w:val="26"/>
              </w:rPr>
              <w:t>6</w:t>
            </w:r>
            <w:r w:rsidR="004A38D9">
              <w:rPr>
                <w:sz w:val="26"/>
                <w:szCs w:val="26"/>
              </w:rPr>
              <w:t>.apakšpunkts);</w:t>
            </w:r>
          </w:p>
          <w:p w:rsidR="003A09DC" w:rsidRPr="00AB319D" w:rsidRDefault="00331798" w:rsidP="00331798">
            <w:pPr>
              <w:pStyle w:val="ListParagraph"/>
              <w:numPr>
                <w:ilvl w:val="0"/>
                <w:numId w:val="17"/>
              </w:numPr>
              <w:ind w:right="127"/>
              <w:jc w:val="both"/>
              <w:rPr>
                <w:sz w:val="26"/>
                <w:szCs w:val="26"/>
              </w:rPr>
            </w:pPr>
            <w:r>
              <w:rPr>
                <w:sz w:val="26"/>
                <w:szCs w:val="26"/>
              </w:rPr>
              <w:t>j</w:t>
            </w:r>
            <w:r w:rsidRPr="00331798">
              <w:rPr>
                <w:sz w:val="26"/>
                <w:szCs w:val="26"/>
              </w:rPr>
              <w:t xml:space="preserve">autājumu par iespējamajiem risinājuma variantiem pārējo trūkstošo līdzekļu (208 000 </w:t>
            </w:r>
            <w:r w:rsidRPr="00331798">
              <w:rPr>
                <w:i/>
                <w:sz w:val="26"/>
                <w:szCs w:val="26"/>
              </w:rPr>
              <w:t>euro</w:t>
            </w:r>
            <w:r w:rsidRPr="00331798">
              <w:rPr>
                <w:sz w:val="26"/>
                <w:szCs w:val="26"/>
              </w:rPr>
              <w:t xml:space="preserve"> apmērā) segšanai izskatīt </w:t>
            </w:r>
            <w:r>
              <w:rPr>
                <w:sz w:val="26"/>
                <w:szCs w:val="26"/>
              </w:rPr>
              <w:t>Čempionāta</w:t>
            </w:r>
            <w:r w:rsidRPr="00331798">
              <w:rPr>
                <w:sz w:val="26"/>
                <w:szCs w:val="26"/>
              </w:rPr>
              <w:t xml:space="preserve"> sarīkošanas rīcības komitejā</w:t>
            </w:r>
            <w:r>
              <w:rPr>
                <w:sz w:val="26"/>
                <w:szCs w:val="26"/>
              </w:rPr>
              <w:t>, kuru plānots apstiprināt Ministru kabinetā</w:t>
            </w:r>
            <w:r w:rsidR="004A38D9">
              <w:rPr>
                <w:sz w:val="26"/>
                <w:szCs w:val="26"/>
              </w:rPr>
              <w:t xml:space="preserve"> </w:t>
            </w:r>
            <w:r w:rsidR="004A38D9">
              <w:rPr>
                <w:sz w:val="26"/>
                <w:szCs w:val="26"/>
              </w:rPr>
              <w:t>(6.</w:t>
            </w:r>
            <w:r w:rsidR="004A38D9">
              <w:rPr>
                <w:sz w:val="26"/>
                <w:szCs w:val="26"/>
              </w:rPr>
              <w:t>8</w:t>
            </w:r>
            <w:r w:rsidR="004A38D9">
              <w:rPr>
                <w:sz w:val="26"/>
                <w:szCs w:val="26"/>
              </w:rPr>
              <w:t>.apakšpunkts)</w:t>
            </w:r>
            <w:r>
              <w:rPr>
                <w:sz w:val="26"/>
                <w:szCs w:val="26"/>
              </w:rPr>
              <w:t>.</w:t>
            </w:r>
          </w:p>
          <w:p w:rsidR="00E01C08" w:rsidRDefault="00AE1F4F" w:rsidP="00AE1F4F">
            <w:pPr>
              <w:ind w:left="132" w:right="127"/>
              <w:jc w:val="both"/>
              <w:rPr>
                <w:sz w:val="26"/>
                <w:szCs w:val="26"/>
              </w:rPr>
            </w:pPr>
            <w:r>
              <w:rPr>
                <w:sz w:val="26"/>
                <w:szCs w:val="26"/>
              </w:rPr>
              <w:tab/>
            </w:r>
          </w:p>
          <w:p w:rsidR="00C112B7" w:rsidRPr="0006125D" w:rsidRDefault="00E01C08" w:rsidP="00AE1F4F">
            <w:pPr>
              <w:ind w:left="132" w:right="127"/>
              <w:jc w:val="both"/>
              <w:rPr>
                <w:sz w:val="26"/>
                <w:szCs w:val="26"/>
              </w:rPr>
            </w:pPr>
            <w:r>
              <w:rPr>
                <w:sz w:val="26"/>
                <w:szCs w:val="26"/>
              </w:rPr>
              <w:tab/>
              <w:t>Izvērtējot prognozēto līdzekļu apguvi IZM</w:t>
            </w:r>
            <w:r w:rsidRPr="00E01C08">
              <w:rPr>
                <w:sz w:val="26"/>
                <w:szCs w:val="26"/>
              </w:rPr>
              <w:t xml:space="preserve"> budžeta apakšprogrammā 01.05.00 “Dotācija privātajām mācību iestādēm”</w:t>
            </w:r>
            <w:r>
              <w:rPr>
                <w:sz w:val="26"/>
                <w:szCs w:val="26"/>
              </w:rPr>
              <w:t xml:space="preserve">, secināms, ka, pat ņemot vērā jau veiktās un </w:t>
            </w:r>
            <w:r w:rsidR="0041285E">
              <w:rPr>
                <w:sz w:val="26"/>
                <w:szCs w:val="26"/>
              </w:rPr>
              <w:t xml:space="preserve">vēl plānotās </w:t>
            </w:r>
            <w:r>
              <w:rPr>
                <w:sz w:val="26"/>
                <w:szCs w:val="26"/>
              </w:rPr>
              <w:t xml:space="preserve">līdzekļu pārdales, kā arī šajā apakšprogrammā paredzētos maksājumus, līdz 2014.gada 31.decembrim šajā apakšprogrammā netiks apgūti līdzekļi </w:t>
            </w:r>
            <w:r w:rsidRPr="00E01C08">
              <w:rPr>
                <w:sz w:val="26"/>
                <w:szCs w:val="26"/>
              </w:rPr>
              <w:t>150</w:t>
            </w:r>
            <w:r>
              <w:rPr>
                <w:sz w:val="26"/>
                <w:szCs w:val="26"/>
              </w:rPr>
              <w:t xml:space="preserve"> </w:t>
            </w:r>
            <w:r w:rsidRPr="00E01C08">
              <w:rPr>
                <w:sz w:val="26"/>
                <w:szCs w:val="26"/>
              </w:rPr>
              <w:t xml:space="preserve">190 </w:t>
            </w:r>
            <w:r w:rsidRPr="00E01C08">
              <w:rPr>
                <w:i/>
                <w:sz w:val="26"/>
                <w:szCs w:val="26"/>
              </w:rPr>
              <w:t>euro</w:t>
            </w:r>
            <w:r>
              <w:rPr>
                <w:sz w:val="26"/>
                <w:szCs w:val="26"/>
              </w:rPr>
              <w:t xml:space="preserve"> apmērā. </w:t>
            </w:r>
            <w:r w:rsidR="00AE1F4F">
              <w:rPr>
                <w:sz w:val="26"/>
                <w:szCs w:val="26"/>
              </w:rPr>
              <w:t>Ievērojot minēto,</w:t>
            </w:r>
            <w:r>
              <w:rPr>
                <w:sz w:val="26"/>
                <w:szCs w:val="26"/>
              </w:rPr>
              <w:t xml:space="preserve"> kā arī, ņemot vēr</w:t>
            </w:r>
            <w:r w:rsidR="000805C8">
              <w:rPr>
                <w:sz w:val="26"/>
                <w:szCs w:val="26"/>
              </w:rPr>
              <w:t xml:space="preserve">ā Padomes </w:t>
            </w:r>
            <w:r w:rsidR="000805C8" w:rsidRPr="00911B5F">
              <w:rPr>
                <w:sz w:val="26"/>
                <w:szCs w:val="26"/>
              </w:rPr>
              <w:t xml:space="preserve">sēdē </w:t>
            </w:r>
            <w:r w:rsidR="000805C8" w:rsidRPr="008E2F46">
              <w:rPr>
                <w:sz w:val="26"/>
                <w:szCs w:val="26"/>
              </w:rPr>
              <w:t>Ministru kabinetam izteikt</w:t>
            </w:r>
            <w:r w:rsidR="000805C8">
              <w:rPr>
                <w:sz w:val="26"/>
                <w:szCs w:val="26"/>
              </w:rPr>
              <w:t>o</w:t>
            </w:r>
            <w:r w:rsidR="000805C8" w:rsidRPr="008E2F46">
              <w:rPr>
                <w:sz w:val="26"/>
                <w:szCs w:val="26"/>
              </w:rPr>
              <w:t xml:space="preserve"> </w:t>
            </w:r>
            <w:r w:rsidR="000805C8">
              <w:rPr>
                <w:sz w:val="26"/>
                <w:szCs w:val="26"/>
              </w:rPr>
              <w:t>aicinājumu</w:t>
            </w:r>
            <w:r w:rsidR="000805C8" w:rsidRPr="00911B5F">
              <w:rPr>
                <w:sz w:val="26"/>
                <w:szCs w:val="26"/>
              </w:rPr>
              <w:t xml:space="preserve"> (prot. Nr.</w:t>
            </w:r>
            <w:r w:rsidR="000805C8">
              <w:rPr>
                <w:sz w:val="26"/>
                <w:szCs w:val="26"/>
              </w:rPr>
              <w:t>5 6</w:t>
            </w:r>
            <w:r w:rsidR="000805C8" w:rsidRPr="00911B5F">
              <w:rPr>
                <w:sz w:val="26"/>
                <w:szCs w:val="26"/>
              </w:rPr>
              <w:t xml:space="preserve">.§., </w:t>
            </w:r>
            <w:r w:rsidR="000805C8">
              <w:rPr>
                <w:sz w:val="26"/>
                <w:szCs w:val="26"/>
              </w:rPr>
              <w:t>6.4.</w:t>
            </w:r>
            <w:r w:rsidR="000805C8" w:rsidRPr="00911B5F">
              <w:rPr>
                <w:sz w:val="26"/>
                <w:szCs w:val="26"/>
              </w:rPr>
              <w:t>apa</w:t>
            </w:r>
            <w:r w:rsidR="000805C8">
              <w:rPr>
                <w:sz w:val="26"/>
                <w:szCs w:val="26"/>
              </w:rPr>
              <w:t xml:space="preserve">kšpunkts), </w:t>
            </w:r>
            <w:r w:rsidR="00AE1F4F" w:rsidRPr="0006125D">
              <w:rPr>
                <w:sz w:val="26"/>
                <w:szCs w:val="26"/>
              </w:rPr>
              <w:t xml:space="preserve">IZM ierosina veikt apropriācijas pārdali no IZM budžeta apakšprogrammas 01.05.00 “Dotācija privātajām mācību iestādēm” </w:t>
            </w:r>
            <w:r w:rsidR="00AE1F4F" w:rsidRPr="00AE1F4F">
              <w:rPr>
                <w:sz w:val="26"/>
                <w:szCs w:val="26"/>
              </w:rPr>
              <w:t xml:space="preserve">150 000 </w:t>
            </w:r>
            <w:r w:rsidR="00AE1F4F" w:rsidRPr="00AE1F4F">
              <w:rPr>
                <w:i/>
                <w:sz w:val="26"/>
                <w:szCs w:val="26"/>
              </w:rPr>
              <w:t>euro</w:t>
            </w:r>
            <w:r w:rsidR="00AE1F4F" w:rsidRPr="00AE1F4F">
              <w:rPr>
                <w:sz w:val="26"/>
                <w:szCs w:val="26"/>
              </w:rPr>
              <w:t xml:space="preserve"> apmērā uz </w:t>
            </w:r>
            <w:r w:rsidR="00AE1F4F">
              <w:rPr>
                <w:sz w:val="26"/>
                <w:szCs w:val="26"/>
              </w:rPr>
              <w:t>IZM</w:t>
            </w:r>
            <w:r w:rsidR="00AE1F4F" w:rsidRPr="00AE1F4F">
              <w:rPr>
                <w:sz w:val="26"/>
                <w:szCs w:val="26"/>
              </w:rPr>
              <w:t xml:space="preserve"> ministrijas budžeta apakšprogrammu 09.16.00 “Dotācija nacionālās nozīmes starptautisku sporta pasākumu organizēšanai Latvijā”, lai segtu ar </w:t>
            </w:r>
            <w:r w:rsidR="00AE1F4F">
              <w:rPr>
                <w:sz w:val="26"/>
                <w:szCs w:val="26"/>
              </w:rPr>
              <w:t xml:space="preserve">Čempionāta </w:t>
            </w:r>
            <w:r w:rsidR="00AE1F4F" w:rsidRPr="00AE1F4F">
              <w:rPr>
                <w:sz w:val="26"/>
                <w:szCs w:val="26"/>
              </w:rPr>
              <w:t>organizēšanu Latvijā saistīto drošības depozīta maksājumu.</w:t>
            </w:r>
            <w:r w:rsidR="00AE1F4F">
              <w:rPr>
                <w:sz w:val="26"/>
                <w:szCs w:val="26"/>
              </w:rPr>
              <w:t xml:space="preserve"> Būtiski ir atzīmēt, ka m</w:t>
            </w:r>
            <w:r w:rsidR="00377E19" w:rsidRPr="0006125D">
              <w:rPr>
                <w:sz w:val="26"/>
                <w:szCs w:val="26"/>
              </w:rPr>
              <w:t xml:space="preserve">inētā pārdale neapdraud </w:t>
            </w:r>
            <w:r w:rsidR="005C066E" w:rsidRPr="0006125D">
              <w:rPr>
                <w:sz w:val="26"/>
                <w:szCs w:val="26"/>
              </w:rPr>
              <w:t xml:space="preserve">IZM budžeta </w:t>
            </w:r>
            <w:r w:rsidR="00377E19" w:rsidRPr="0006125D">
              <w:rPr>
                <w:sz w:val="26"/>
                <w:szCs w:val="26"/>
              </w:rPr>
              <w:t>apakšprogrammā 01.05.00 “Dotācija privātajām mācību iestādēm” paredzēto pasākumu īstenošanu</w:t>
            </w:r>
            <w:r w:rsidR="005C066E" w:rsidRPr="0006125D">
              <w:rPr>
                <w:sz w:val="26"/>
                <w:szCs w:val="26"/>
              </w:rPr>
              <w:t xml:space="preserve"> 2014.gadā</w:t>
            </w:r>
            <w:r w:rsidR="00377E19" w:rsidRPr="0006125D">
              <w:rPr>
                <w:sz w:val="26"/>
                <w:szCs w:val="26"/>
              </w:rPr>
              <w:t>.</w:t>
            </w:r>
          </w:p>
          <w:p w:rsidR="00876518" w:rsidRPr="0006125D" w:rsidRDefault="00C112B7" w:rsidP="00876518">
            <w:pPr>
              <w:ind w:left="132" w:right="127"/>
              <w:jc w:val="both"/>
              <w:rPr>
                <w:rFonts w:eastAsia="Times New Roman"/>
                <w:color w:val="000000"/>
                <w:sz w:val="26"/>
                <w:szCs w:val="26"/>
              </w:rPr>
            </w:pPr>
            <w:r w:rsidRPr="0006125D">
              <w:rPr>
                <w:rFonts w:eastAsia="Times New Roman"/>
                <w:color w:val="000000"/>
                <w:sz w:val="26"/>
                <w:szCs w:val="26"/>
              </w:rPr>
              <w:tab/>
            </w:r>
            <w:r w:rsidR="00876518" w:rsidRPr="0006125D">
              <w:rPr>
                <w:rFonts w:eastAsia="Times New Roman"/>
                <w:color w:val="000000"/>
                <w:sz w:val="26"/>
                <w:szCs w:val="26"/>
              </w:rPr>
              <w:t>Saskaņā ar  likuma “Par valsts budžetu 2014.gadam” 33.panta 3.punktu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32.panta nosacījumus. Minētā norma arī nosaka, ka šādu apropriācijas pārdali atļauts veikt, ja Saeimas Budžeta un finanšu (nodokļu) komisija piecu dienu laikā no attiecīgās informācijas saņemšanas nav iebildusi pret apropriācijas pārdali.</w:t>
            </w:r>
          </w:p>
          <w:p w:rsidR="008A6C8A" w:rsidRPr="0006125D" w:rsidRDefault="00876518" w:rsidP="00593EB2">
            <w:pPr>
              <w:ind w:left="132" w:right="127"/>
              <w:jc w:val="both"/>
              <w:rPr>
                <w:sz w:val="26"/>
                <w:szCs w:val="26"/>
              </w:rPr>
            </w:pPr>
            <w:r w:rsidRPr="0006125D">
              <w:rPr>
                <w:rFonts w:eastAsia="Times New Roman"/>
                <w:color w:val="000000"/>
                <w:sz w:val="26"/>
                <w:szCs w:val="26"/>
              </w:rPr>
              <w:tab/>
              <w:t xml:space="preserve">Ievērojot minēto, IZM ir izstrādājusi Ministru kabineta rīkojuma projektu “Par </w:t>
            </w:r>
            <w:r w:rsidR="00C112B7" w:rsidRPr="0006125D">
              <w:rPr>
                <w:rFonts w:eastAsia="Times New Roman"/>
                <w:color w:val="000000"/>
                <w:sz w:val="26"/>
                <w:szCs w:val="26"/>
              </w:rPr>
              <w:t>apropriācijas pārdali”</w:t>
            </w:r>
            <w:r w:rsidRPr="0006125D">
              <w:rPr>
                <w:rFonts w:eastAsia="Times New Roman"/>
                <w:color w:val="000000"/>
                <w:sz w:val="26"/>
                <w:szCs w:val="26"/>
              </w:rPr>
              <w:t>.</w:t>
            </w:r>
          </w:p>
        </w:tc>
      </w:tr>
      <w:tr w:rsidR="00585B7B" w:rsidRPr="0006125D" w:rsidTr="009C68C6">
        <w:trPr>
          <w:trHeight w:val="476"/>
        </w:trPr>
        <w:tc>
          <w:tcPr>
            <w:tcW w:w="562" w:type="dxa"/>
          </w:tcPr>
          <w:p w:rsidR="00585B7B" w:rsidRPr="0006125D" w:rsidRDefault="00005A9D" w:rsidP="00BD696A">
            <w:pPr>
              <w:pStyle w:val="naiskr"/>
              <w:spacing w:before="0" w:after="0"/>
              <w:jc w:val="center"/>
              <w:rPr>
                <w:sz w:val="26"/>
                <w:szCs w:val="26"/>
              </w:rPr>
            </w:pPr>
            <w:r w:rsidRPr="0006125D">
              <w:rPr>
                <w:sz w:val="26"/>
                <w:szCs w:val="26"/>
              </w:rPr>
              <w:lastRenderedPageBreak/>
              <w:t>3.</w:t>
            </w:r>
          </w:p>
        </w:tc>
        <w:tc>
          <w:tcPr>
            <w:tcW w:w="2410" w:type="dxa"/>
          </w:tcPr>
          <w:p w:rsidR="00585B7B" w:rsidRPr="0006125D" w:rsidRDefault="00005A9D" w:rsidP="00916055">
            <w:pPr>
              <w:pStyle w:val="naiskr"/>
              <w:spacing w:before="0" w:after="0"/>
              <w:ind w:left="141"/>
              <w:rPr>
                <w:sz w:val="26"/>
                <w:szCs w:val="26"/>
              </w:rPr>
            </w:pPr>
            <w:r w:rsidRPr="0006125D">
              <w:rPr>
                <w:sz w:val="26"/>
                <w:szCs w:val="26"/>
              </w:rPr>
              <w:t>Projekta izstrādē iesaistītās institūcijas</w:t>
            </w:r>
          </w:p>
        </w:tc>
        <w:tc>
          <w:tcPr>
            <w:tcW w:w="7229" w:type="dxa"/>
          </w:tcPr>
          <w:p w:rsidR="00643E6C" w:rsidRPr="0006125D" w:rsidRDefault="00DC332F" w:rsidP="00593EB2">
            <w:pPr>
              <w:ind w:left="82" w:right="141"/>
              <w:jc w:val="both"/>
              <w:rPr>
                <w:sz w:val="26"/>
                <w:szCs w:val="26"/>
              </w:rPr>
            </w:pPr>
            <w:r w:rsidRPr="0006125D">
              <w:rPr>
                <w:sz w:val="26"/>
                <w:szCs w:val="26"/>
              </w:rPr>
              <w:t>Ministru kabineta rīkojuma projektu izstrādāja IZM</w:t>
            </w:r>
            <w:r w:rsidR="00593EB2" w:rsidRPr="0006125D">
              <w:rPr>
                <w:sz w:val="26"/>
                <w:szCs w:val="26"/>
              </w:rPr>
              <w:t>,</w:t>
            </w:r>
            <w:r w:rsidR="00377E19" w:rsidRPr="0006125D">
              <w:rPr>
                <w:sz w:val="26"/>
                <w:szCs w:val="26"/>
              </w:rPr>
              <w:t xml:space="preserve"> konsultējoties ar Finanšu ministriju.</w:t>
            </w:r>
          </w:p>
        </w:tc>
      </w:tr>
      <w:tr w:rsidR="00585B7B" w:rsidRPr="0006125D" w:rsidTr="009C68C6">
        <w:tc>
          <w:tcPr>
            <w:tcW w:w="562" w:type="dxa"/>
          </w:tcPr>
          <w:p w:rsidR="00585B7B" w:rsidRPr="0006125D" w:rsidRDefault="00005A9D" w:rsidP="00BD696A">
            <w:pPr>
              <w:pStyle w:val="naiskr"/>
              <w:spacing w:before="0" w:after="0"/>
              <w:jc w:val="center"/>
              <w:rPr>
                <w:sz w:val="26"/>
                <w:szCs w:val="26"/>
              </w:rPr>
            </w:pPr>
            <w:r w:rsidRPr="0006125D">
              <w:rPr>
                <w:sz w:val="26"/>
                <w:szCs w:val="26"/>
              </w:rPr>
              <w:t>4</w:t>
            </w:r>
            <w:r w:rsidR="00585B7B" w:rsidRPr="0006125D">
              <w:rPr>
                <w:sz w:val="26"/>
                <w:szCs w:val="26"/>
              </w:rPr>
              <w:t>.</w:t>
            </w:r>
          </w:p>
        </w:tc>
        <w:tc>
          <w:tcPr>
            <w:tcW w:w="2410" w:type="dxa"/>
          </w:tcPr>
          <w:p w:rsidR="00585B7B" w:rsidRPr="0006125D" w:rsidRDefault="00585B7B" w:rsidP="00916055">
            <w:pPr>
              <w:pStyle w:val="naiskr"/>
              <w:spacing w:before="0" w:after="0"/>
              <w:ind w:left="141"/>
              <w:rPr>
                <w:sz w:val="26"/>
                <w:szCs w:val="26"/>
              </w:rPr>
            </w:pPr>
            <w:r w:rsidRPr="0006125D">
              <w:rPr>
                <w:sz w:val="26"/>
                <w:szCs w:val="26"/>
              </w:rPr>
              <w:t>Cita informācija</w:t>
            </w:r>
          </w:p>
        </w:tc>
        <w:tc>
          <w:tcPr>
            <w:tcW w:w="7229" w:type="dxa"/>
          </w:tcPr>
          <w:p w:rsidR="006A26FB" w:rsidRDefault="00CA6C73" w:rsidP="00985B4B">
            <w:pPr>
              <w:ind w:left="114" w:right="127"/>
              <w:jc w:val="both"/>
              <w:rPr>
                <w:sz w:val="26"/>
                <w:szCs w:val="26"/>
              </w:rPr>
            </w:pPr>
            <w:r>
              <w:rPr>
                <w:sz w:val="26"/>
                <w:szCs w:val="26"/>
              </w:rPr>
              <w:tab/>
            </w:r>
            <w:r w:rsidR="00291AF4" w:rsidRPr="0006125D">
              <w:rPr>
                <w:sz w:val="26"/>
                <w:szCs w:val="26"/>
              </w:rPr>
              <w:t>Ministru kabineta r</w:t>
            </w:r>
            <w:r w:rsidR="00E5461A" w:rsidRPr="0006125D">
              <w:rPr>
                <w:sz w:val="26"/>
                <w:szCs w:val="26"/>
              </w:rPr>
              <w:t xml:space="preserve">īkojuma projekts tiešā veidā attiecas uz </w:t>
            </w:r>
            <w:r w:rsidR="00291AF4" w:rsidRPr="0006125D">
              <w:rPr>
                <w:sz w:val="26"/>
                <w:szCs w:val="26"/>
              </w:rPr>
              <w:t xml:space="preserve">tūrisma, sporta un brīvā laika politiku (sporta politiku). Pastarpināti   </w:t>
            </w:r>
            <w:r w:rsidR="00291AF4" w:rsidRPr="0006125D">
              <w:rPr>
                <w:sz w:val="26"/>
                <w:szCs w:val="26"/>
              </w:rPr>
              <w:lastRenderedPageBreak/>
              <w:t>Ministru kabineta rīkojuma projekts attiecas uz budžeta un finanšu politiku.</w:t>
            </w:r>
          </w:p>
          <w:p w:rsidR="00D47B77" w:rsidRPr="0006125D" w:rsidRDefault="00CA6C73" w:rsidP="006F29FB">
            <w:pPr>
              <w:ind w:left="114" w:right="127"/>
              <w:jc w:val="both"/>
              <w:rPr>
                <w:sz w:val="26"/>
                <w:szCs w:val="26"/>
              </w:rPr>
            </w:pPr>
            <w:r>
              <w:rPr>
                <w:sz w:val="26"/>
                <w:szCs w:val="26"/>
              </w:rPr>
              <w:tab/>
            </w:r>
            <w:r w:rsidR="00D47B77">
              <w:rPr>
                <w:sz w:val="26"/>
                <w:szCs w:val="26"/>
              </w:rPr>
              <w:t xml:space="preserve">Ņemot vērā to, ka Ministru kabineta </w:t>
            </w:r>
            <w:r w:rsidR="00D47B77" w:rsidRPr="00D47B77">
              <w:rPr>
                <w:sz w:val="26"/>
                <w:szCs w:val="26"/>
              </w:rPr>
              <w:t xml:space="preserve">rīkojuma projektā paredzētā apropriācijas pārdale ir jāsaskaņo ar Saeimas budžeta un finanšu (nodokļu) komisiju, </w:t>
            </w:r>
            <w:r w:rsidR="00D47B77">
              <w:rPr>
                <w:sz w:val="26"/>
                <w:szCs w:val="26"/>
              </w:rPr>
              <w:t xml:space="preserve">IZM veiks </w:t>
            </w:r>
            <w:r w:rsidR="00D47B77" w:rsidRPr="00D47B77">
              <w:rPr>
                <w:sz w:val="26"/>
                <w:szCs w:val="26"/>
              </w:rPr>
              <w:t>visas nepieciešamās darbības, lai apr</w:t>
            </w:r>
            <w:r w:rsidR="00D47B77">
              <w:rPr>
                <w:sz w:val="26"/>
                <w:szCs w:val="26"/>
              </w:rPr>
              <w:t>opriācijas pārdales pieprasījums</w:t>
            </w:r>
            <w:r w:rsidR="00D47B77" w:rsidRPr="00D47B77">
              <w:rPr>
                <w:sz w:val="26"/>
                <w:szCs w:val="26"/>
              </w:rPr>
              <w:t xml:space="preserve"> Finanšu ministrijā </w:t>
            </w:r>
            <w:r w:rsidR="00D47B77">
              <w:rPr>
                <w:sz w:val="26"/>
                <w:szCs w:val="26"/>
              </w:rPr>
              <w:t xml:space="preserve">tiktu iesniegts </w:t>
            </w:r>
            <w:r w:rsidR="00D47B77" w:rsidRPr="00D47B77">
              <w:rPr>
                <w:sz w:val="26"/>
                <w:szCs w:val="26"/>
              </w:rPr>
              <w:t>lēmuma pieņemšanas dienā</w:t>
            </w:r>
            <w:r w:rsidR="00D47B77">
              <w:rPr>
                <w:sz w:val="26"/>
                <w:szCs w:val="26"/>
              </w:rPr>
              <w:t xml:space="preserve">, kā arī </w:t>
            </w:r>
            <w:r w:rsidR="006F62D0">
              <w:rPr>
                <w:sz w:val="26"/>
                <w:szCs w:val="26"/>
              </w:rPr>
              <w:t xml:space="preserve">pēc lēmuma </w:t>
            </w:r>
            <w:r w:rsidR="00D47B77">
              <w:rPr>
                <w:sz w:val="26"/>
                <w:szCs w:val="26"/>
              </w:rPr>
              <w:t>pieņemšanas</w:t>
            </w:r>
            <w:r w:rsidR="0038389A">
              <w:rPr>
                <w:sz w:val="26"/>
                <w:szCs w:val="26"/>
              </w:rPr>
              <w:t xml:space="preserve"> tiktu </w:t>
            </w:r>
            <w:r w:rsidR="00D47B77" w:rsidRPr="00D47B77">
              <w:rPr>
                <w:sz w:val="26"/>
                <w:szCs w:val="26"/>
              </w:rPr>
              <w:t>nodrošināt</w:t>
            </w:r>
            <w:r w:rsidR="0038389A">
              <w:rPr>
                <w:sz w:val="26"/>
                <w:szCs w:val="26"/>
              </w:rPr>
              <w:t>a</w:t>
            </w:r>
            <w:r w:rsidR="00D47B77">
              <w:rPr>
                <w:sz w:val="26"/>
                <w:szCs w:val="26"/>
              </w:rPr>
              <w:t xml:space="preserve"> iespējami drīz</w:t>
            </w:r>
            <w:r w:rsidR="0038389A">
              <w:rPr>
                <w:sz w:val="26"/>
                <w:szCs w:val="26"/>
              </w:rPr>
              <w:t>a</w:t>
            </w:r>
            <w:r w:rsidR="00D47B77">
              <w:rPr>
                <w:sz w:val="26"/>
                <w:szCs w:val="26"/>
              </w:rPr>
              <w:t xml:space="preserve"> </w:t>
            </w:r>
            <w:r w:rsidR="00D47B77" w:rsidRPr="00D47B77">
              <w:rPr>
                <w:sz w:val="26"/>
                <w:szCs w:val="26"/>
              </w:rPr>
              <w:t>Ministru kabineta rīkojuma parakstīšan</w:t>
            </w:r>
            <w:r w:rsidR="0038389A">
              <w:rPr>
                <w:sz w:val="26"/>
                <w:szCs w:val="26"/>
              </w:rPr>
              <w:t>a</w:t>
            </w:r>
            <w:r w:rsidR="00D47B77">
              <w:rPr>
                <w:sz w:val="26"/>
                <w:szCs w:val="26"/>
              </w:rPr>
              <w:t>.</w:t>
            </w:r>
          </w:p>
        </w:tc>
      </w:tr>
    </w:tbl>
    <w:p w:rsidR="005134ED" w:rsidRPr="0006125D" w:rsidRDefault="005134ED" w:rsidP="009B774A">
      <w:pPr>
        <w:pStyle w:val="naisf"/>
        <w:tabs>
          <w:tab w:val="left" w:pos="3819"/>
        </w:tabs>
        <w:spacing w:before="0" w:after="0"/>
        <w:ind w:firstLine="0"/>
        <w:rPr>
          <w:sz w:val="26"/>
          <w:szCs w:val="2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246"/>
      </w:tblGrid>
      <w:tr w:rsidR="009B774A" w:rsidRPr="0006125D" w:rsidTr="009C68C6">
        <w:trPr>
          <w:trHeight w:val="361"/>
          <w:jc w:val="center"/>
        </w:trPr>
        <w:tc>
          <w:tcPr>
            <w:tcW w:w="10201" w:type="dxa"/>
            <w:gridSpan w:val="6"/>
            <w:vAlign w:val="center"/>
          </w:tcPr>
          <w:p w:rsidR="009B774A" w:rsidRPr="0006125D" w:rsidRDefault="009B774A" w:rsidP="001A0506">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9B774A" w:rsidRPr="0006125D" w:rsidTr="009C68C6">
        <w:trPr>
          <w:jc w:val="center"/>
        </w:trPr>
        <w:tc>
          <w:tcPr>
            <w:tcW w:w="3589" w:type="dxa"/>
            <w:vMerge w:val="restart"/>
            <w:vAlign w:val="center"/>
          </w:tcPr>
          <w:p w:rsidR="009B774A" w:rsidRPr="0006125D" w:rsidRDefault="009B774A" w:rsidP="001A0506">
            <w:pPr>
              <w:jc w:val="center"/>
              <w:rPr>
                <w:b/>
                <w:sz w:val="26"/>
                <w:szCs w:val="26"/>
              </w:rPr>
            </w:pPr>
            <w:r w:rsidRPr="0006125D">
              <w:rPr>
                <w:b/>
                <w:sz w:val="26"/>
                <w:szCs w:val="26"/>
              </w:rPr>
              <w:t>Rādītāji</w:t>
            </w:r>
          </w:p>
        </w:tc>
        <w:tc>
          <w:tcPr>
            <w:tcW w:w="2912" w:type="dxa"/>
            <w:gridSpan w:val="2"/>
            <w:vMerge w:val="restart"/>
            <w:vAlign w:val="center"/>
          </w:tcPr>
          <w:p w:rsidR="009B774A" w:rsidRPr="0006125D" w:rsidRDefault="009B774A" w:rsidP="001A0506">
            <w:pPr>
              <w:jc w:val="center"/>
              <w:rPr>
                <w:b/>
                <w:sz w:val="26"/>
                <w:szCs w:val="26"/>
              </w:rPr>
            </w:pPr>
            <w:r w:rsidRPr="0006125D">
              <w:rPr>
                <w:b/>
                <w:sz w:val="26"/>
                <w:szCs w:val="26"/>
              </w:rPr>
              <w:t>2014</w:t>
            </w:r>
          </w:p>
        </w:tc>
        <w:tc>
          <w:tcPr>
            <w:tcW w:w="3700" w:type="dxa"/>
            <w:gridSpan w:val="3"/>
            <w:vAlign w:val="center"/>
          </w:tcPr>
          <w:p w:rsidR="009B774A" w:rsidRPr="0006125D" w:rsidRDefault="009B774A" w:rsidP="001A0506">
            <w:pPr>
              <w:jc w:val="center"/>
              <w:rPr>
                <w:b/>
                <w:i/>
                <w:sz w:val="26"/>
                <w:szCs w:val="26"/>
              </w:rPr>
            </w:pPr>
            <w:r w:rsidRPr="0006125D">
              <w:rPr>
                <w:sz w:val="26"/>
                <w:szCs w:val="26"/>
              </w:rPr>
              <w:t>Turpmākie trīs gadi (</w:t>
            </w:r>
            <w:r w:rsidRPr="0006125D">
              <w:rPr>
                <w:i/>
                <w:sz w:val="26"/>
                <w:szCs w:val="26"/>
              </w:rPr>
              <w:t>euro</w:t>
            </w:r>
            <w:r w:rsidRPr="0006125D">
              <w:rPr>
                <w:sz w:val="26"/>
                <w:szCs w:val="26"/>
              </w:rPr>
              <w:t>)</w:t>
            </w:r>
          </w:p>
        </w:tc>
      </w:tr>
      <w:tr w:rsidR="009B774A" w:rsidRPr="0006125D" w:rsidTr="009C68C6">
        <w:trPr>
          <w:jc w:val="center"/>
        </w:trPr>
        <w:tc>
          <w:tcPr>
            <w:tcW w:w="3589" w:type="dxa"/>
            <w:vMerge/>
            <w:vAlign w:val="center"/>
          </w:tcPr>
          <w:p w:rsidR="009B774A" w:rsidRPr="0006125D" w:rsidRDefault="009B774A" w:rsidP="001A0506">
            <w:pPr>
              <w:jc w:val="center"/>
              <w:rPr>
                <w:b/>
                <w:i/>
                <w:sz w:val="26"/>
                <w:szCs w:val="26"/>
              </w:rPr>
            </w:pPr>
          </w:p>
        </w:tc>
        <w:tc>
          <w:tcPr>
            <w:tcW w:w="2912" w:type="dxa"/>
            <w:gridSpan w:val="2"/>
            <w:vMerge/>
            <w:vAlign w:val="center"/>
          </w:tcPr>
          <w:p w:rsidR="009B774A" w:rsidRPr="0006125D" w:rsidRDefault="009B774A" w:rsidP="001A0506">
            <w:pPr>
              <w:jc w:val="center"/>
              <w:rPr>
                <w:b/>
                <w:i/>
                <w:sz w:val="26"/>
                <w:szCs w:val="26"/>
              </w:rPr>
            </w:pPr>
          </w:p>
        </w:tc>
        <w:tc>
          <w:tcPr>
            <w:tcW w:w="1227" w:type="dxa"/>
            <w:vAlign w:val="center"/>
          </w:tcPr>
          <w:p w:rsidR="009B774A" w:rsidRPr="0006125D" w:rsidRDefault="009B774A" w:rsidP="001A0506">
            <w:pPr>
              <w:jc w:val="center"/>
              <w:rPr>
                <w:b/>
                <w:i/>
                <w:sz w:val="26"/>
                <w:szCs w:val="26"/>
              </w:rPr>
            </w:pPr>
            <w:r w:rsidRPr="0006125D">
              <w:rPr>
                <w:b/>
                <w:bCs/>
                <w:sz w:val="26"/>
                <w:szCs w:val="26"/>
              </w:rPr>
              <w:t>2015</w:t>
            </w:r>
          </w:p>
        </w:tc>
        <w:tc>
          <w:tcPr>
            <w:tcW w:w="1227" w:type="dxa"/>
            <w:vAlign w:val="center"/>
          </w:tcPr>
          <w:p w:rsidR="009B774A" w:rsidRPr="0006125D" w:rsidRDefault="009B774A" w:rsidP="001A0506">
            <w:pPr>
              <w:jc w:val="center"/>
              <w:rPr>
                <w:b/>
                <w:i/>
                <w:sz w:val="26"/>
                <w:szCs w:val="26"/>
              </w:rPr>
            </w:pPr>
            <w:r w:rsidRPr="0006125D">
              <w:rPr>
                <w:b/>
                <w:bCs/>
                <w:sz w:val="26"/>
                <w:szCs w:val="26"/>
              </w:rPr>
              <w:t>2016</w:t>
            </w:r>
          </w:p>
        </w:tc>
        <w:tc>
          <w:tcPr>
            <w:tcW w:w="1246" w:type="dxa"/>
            <w:vAlign w:val="center"/>
          </w:tcPr>
          <w:p w:rsidR="009B774A" w:rsidRPr="0006125D" w:rsidRDefault="009B774A" w:rsidP="001A0506">
            <w:pPr>
              <w:jc w:val="center"/>
              <w:rPr>
                <w:b/>
                <w:i/>
                <w:sz w:val="26"/>
                <w:szCs w:val="26"/>
              </w:rPr>
            </w:pPr>
            <w:r w:rsidRPr="0006125D">
              <w:rPr>
                <w:b/>
                <w:bCs/>
                <w:sz w:val="26"/>
                <w:szCs w:val="26"/>
              </w:rPr>
              <w:t>2017</w:t>
            </w:r>
          </w:p>
        </w:tc>
      </w:tr>
      <w:tr w:rsidR="009B774A" w:rsidRPr="0006125D" w:rsidTr="009C68C6">
        <w:trPr>
          <w:jc w:val="center"/>
        </w:trPr>
        <w:tc>
          <w:tcPr>
            <w:tcW w:w="3589" w:type="dxa"/>
            <w:vMerge/>
            <w:vAlign w:val="center"/>
          </w:tcPr>
          <w:p w:rsidR="009B774A" w:rsidRPr="0006125D" w:rsidRDefault="009B774A" w:rsidP="001A0506">
            <w:pPr>
              <w:jc w:val="center"/>
              <w:rPr>
                <w:b/>
                <w:i/>
                <w:sz w:val="26"/>
                <w:szCs w:val="26"/>
              </w:rPr>
            </w:pPr>
          </w:p>
        </w:tc>
        <w:tc>
          <w:tcPr>
            <w:tcW w:w="1529" w:type="dxa"/>
            <w:vAlign w:val="center"/>
          </w:tcPr>
          <w:p w:rsidR="009B774A" w:rsidRPr="0006125D" w:rsidRDefault="009B774A" w:rsidP="001A0506">
            <w:pPr>
              <w:jc w:val="center"/>
              <w:rPr>
                <w:b/>
                <w:i/>
                <w:sz w:val="26"/>
                <w:szCs w:val="26"/>
              </w:rPr>
            </w:pPr>
            <w:r w:rsidRPr="0006125D">
              <w:rPr>
                <w:sz w:val="26"/>
                <w:szCs w:val="26"/>
              </w:rPr>
              <w:t>saskaņā ar valsts budžetu kārtējam gadam</w:t>
            </w:r>
          </w:p>
        </w:tc>
        <w:tc>
          <w:tcPr>
            <w:tcW w:w="1383" w:type="dxa"/>
            <w:vAlign w:val="center"/>
          </w:tcPr>
          <w:p w:rsidR="009B774A" w:rsidRPr="0006125D" w:rsidRDefault="009B774A" w:rsidP="001A0506">
            <w:pPr>
              <w:jc w:val="center"/>
              <w:rPr>
                <w:b/>
                <w:i/>
                <w:sz w:val="26"/>
                <w:szCs w:val="26"/>
              </w:rPr>
            </w:pPr>
            <w:r w:rsidRPr="0006125D">
              <w:rPr>
                <w:sz w:val="26"/>
                <w:szCs w:val="26"/>
              </w:rPr>
              <w:t>izmaiņas kārtējā gadā, salīdzinot ar budžetu kārtējam gadam</w:t>
            </w:r>
          </w:p>
        </w:tc>
        <w:tc>
          <w:tcPr>
            <w:tcW w:w="1227" w:type="dxa"/>
            <w:vAlign w:val="center"/>
          </w:tcPr>
          <w:p w:rsidR="009B774A" w:rsidRPr="0006125D" w:rsidRDefault="009B774A" w:rsidP="001A0506">
            <w:pPr>
              <w:jc w:val="center"/>
              <w:rPr>
                <w:b/>
                <w:i/>
                <w:sz w:val="26"/>
                <w:szCs w:val="26"/>
              </w:rPr>
            </w:pPr>
            <w:r w:rsidRPr="0006125D">
              <w:rPr>
                <w:sz w:val="26"/>
                <w:szCs w:val="26"/>
              </w:rPr>
              <w:t>izmaiņas, salīdzinot ar kārtējo  gadu</w:t>
            </w:r>
          </w:p>
        </w:tc>
        <w:tc>
          <w:tcPr>
            <w:tcW w:w="1227" w:type="dxa"/>
            <w:vAlign w:val="center"/>
          </w:tcPr>
          <w:p w:rsidR="009B774A" w:rsidRPr="0006125D" w:rsidRDefault="009B774A" w:rsidP="001A0506">
            <w:pPr>
              <w:jc w:val="center"/>
              <w:rPr>
                <w:b/>
                <w:i/>
                <w:sz w:val="26"/>
                <w:szCs w:val="26"/>
              </w:rPr>
            </w:pPr>
            <w:r w:rsidRPr="0006125D">
              <w:rPr>
                <w:sz w:val="26"/>
                <w:szCs w:val="26"/>
              </w:rPr>
              <w:t>izmaiņas, salīdzinot ar kārtējo  gadu</w:t>
            </w:r>
          </w:p>
        </w:tc>
        <w:tc>
          <w:tcPr>
            <w:tcW w:w="1246" w:type="dxa"/>
            <w:vAlign w:val="center"/>
          </w:tcPr>
          <w:p w:rsidR="009B774A" w:rsidRPr="0006125D" w:rsidRDefault="009B774A" w:rsidP="001A0506">
            <w:pPr>
              <w:jc w:val="center"/>
              <w:rPr>
                <w:b/>
                <w:i/>
                <w:sz w:val="26"/>
                <w:szCs w:val="26"/>
              </w:rPr>
            </w:pPr>
            <w:r w:rsidRPr="0006125D">
              <w:rPr>
                <w:sz w:val="26"/>
                <w:szCs w:val="26"/>
              </w:rPr>
              <w:t>izmaiņas, salīdzinot ar kārtējo  gadu</w:t>
            </w:r>
          </w:p>
        </w:tc>
      </w:tr>
      <w:tr w:rsidR="009B774A" w:rsidRPr="0006125D" w:rsidTr="009C68C6">
        <w:trPr>
          <w:jc w:val="center"/>
        </w:trPr>
        <w:tc>
          <w:tcPr>
            <w:tcW w:w="3589" w:type="dxa"/>
            <w:vAlign w:val="center"/>
          </w:tcPr>
          <w:p w:rsidR="009B774A" w:rsidRPr="0006125D" w:rsidRDefault="009B774A" w:rsidP="001A0506">
            <w:pPr>
              <w:jc w:val="center"/>
              <w:rPr>
                <w:bCs/>
                <w:sz w:val="26"/>
                <w:szCs w:val="26"/>
              </w:rPr>
            </w:pPr>
            <w:r w:rsidRPr="0006125D">
              <w:rPr>
                <w:bCs/>
                <w:sz w:val="26"/>
                <w:szCs w:val="26"/>
              </w:rPr>
              <w:t>1</w:t>
            </w:r>
          </w:p>
        </w:tc>
        <w:tc>
          <w:tcPr>
            <w:tcW w:w="1529" w:type="dxa"/>
            <w:vAlign w:val="center"/>
          </w:tcPr>
          <w:p w:rsidR="009B774A" w:rsidRPr="0006125D" w:rsidRDefault="009B774A" w:rsidP="001A0506">
            <w:pPr>
              <w:jc w:val="center"/>
              <w:rPr>
                <w:bCs/>
                <w:sz w:val="26"/>
                <w:szCs w:val="26"/>
              </w:rPr>
            </w:pPr>
            <w:r w:rsidRPr="0006125D">
              <w:rPr>
                <w:bCs/>
                <w:sz w:val="26"/>
                <w:szCs w:val="26"/>
              </w:rPr>
              <w:t>2</w:t>
            </w:r>
          </w:p>
        </w:tc>
        <w:tc>
          <w:tcPr>
            <w:tcW w:w="1383" w:type="dxa"/>
            <w:vAlign w:val="center"/>
          </w:tcPr>
          <w:p w:rsidR="009B774A" w:rsidRPr="0006125D" w:rsidRDefault="009B774A" w:rsidP="001A0506">
            <w:pPr>
              <w:jc w:val="center"/>
              <w:rPr>
                <w:bCs/>
                <w:sz w:val="26"/>
                <w:szCs w:val="26"/>
              </w:rPr>
            </w:pPr>
            <w:r w:rsidRPr="0006125D">
              <w:rPr>
                <w:bCs/>
                <w:sz w:val="26"/>
                <w:szCs w:val="26"/>
              </w:rPr>
              <w:t>3</w:t>
            </w:r>
          </w:p>
        </w:tc>
        <w:tc>
          <w:tcPr>
            <w:tcW w:w="1227" w:type="dxa"/>
            <w:vAlign w:val="center"/>
          </w:tcPr>
          <w:p w:rsidR="009B774A" w:rsidRPr="0006125D" w:rsidRDefault="009B774A" w:rsidP="001A0506">
            <w:pPr>
              <w:jc w:val="center"/>
              <w:rPr>
                <w:bCs/>
                <w:sz w:val="26"/>
                <w:szCs w:val="26"/>
              </w:rPr>
            </w:pPr>
            <w:r w:rsidRPr="0006125D">
              <w:rPr>
                <w:bCs/>
                <w:sz w:val="26"/>
                <w:szCs w:val="26"/>
              </w:rPr>
              <w:t>4</w:t>
            </w:r>
          </w:p>
        </w:tc>
        <w:tc>
          <w:tcPr>
            <w:tcW w:w="1227" w:type="dxa"/>
            <w:vAlign w:val="center"/>
          </w:tcPr>
          <w:p w:rsidR="009B774A" w:rsidRPr="0006125D" w:rsidRDefault="009B774A" w:rsidP="001A0506">
            <w:pPr>
              <w:jc w:val="center"/>
              <w:rPr>
                <w:bCs/>
                <w:sz w:val="26"/>
                <w:szCs w:val="26"/>
              </w:rPr>
            </w:pPr>
            <w:r w:rsidRPr="0006125D">
              <w:rPr>
                <w:bCs/>
                <w:sz w:val="26"/>
                <w:szCs w:val="26"/>
              </w:rPr>
              <w:t>5</w:t>
            </w:r>
          </w:p>
        </w:tc>
        <w:tc>
          <w:tcPr>
            <w:tcW w:w="1246" w:type="dxa"/>
            <w:vAlign w:val="center"/>
          </w:tcPr>
          <w:p w:rsidR="009B774A" w:rsidRPr="0006125D" w:rsidRDefault="009B774A" w:rsidP="001A0506">
            <w:pPr>
              <w:jc w:val="center"/>
              <w:rPr>
                <w:bCs/>
                <w:sz w:val="26"/>
                <w:szCs w:val="26"/>
              </w:rPr>
            </w:pPr>
            <w:r w:rsidRPr="0006125D">
              <w:rPr>
                <w:bCs/>
                <w:sz w:val="26"/>
                <w:szCs w:val="26"/>
              </w:rPr>
              <w:t>6</w:t>
            </w:r>
          </w:p>
        </w:tc>
      </w:tr>
      <w:tr w:rsidR="0005209B" w:rsidRPr="0006125D" w:rsidTr="009C68C6">
        <w:trPr>
          <w:jc w:val="center"/>
        </w:trPr>
        <w:tc>
          <w:tcPr>
            <w:tcW w:w="3589" w:type="dxa"/>
          </w:tcPr>
          <w:p w:rsidR="0005209B" w:rsidRPr="0006125D" w:rsidRDefault="0005209B" w:rsidP="0005209B">
            <w:pPr>
              <w:rPr>
                <w:i/>
                <w:sz w:val="26"/>
                <w:szCs w:val="26"/>
              </w:rPr>
            </w:pPr>
            <w:r w:rsidRPr="0006125D">
              <w:rPr>
                <w:sz w:val="26"/>
                <w:szCs w:val="26"/>
              </w:rPr>
              <w:t>1. Budžeta ieņēmumi:</w:t>
            </w:r>
          </w:p>
        </w:tc>
        <w:tc>
          <w:tcPr>
            <w:tcW w:w="1529" w:type="dxa"/>
          </w:tcPr>
          <w:p w:rsidR="0005209B" w:rsidRPr="0006125D" w:rsidRDefault="004A56AF" w:rsidP="0005209B">
            <w:pPr>
              <w:jc w:val="center"/>
              <w:rPr>
                <w:b/>
                <w:sz w:val="26"/>
                <w:szCs w:val="26"/>
              </w:rPr>
            </w:pPr>
            <w:r w:rsidRPr="0006125D">
              <w:rPr>
                <w:b/>
                <w:sz w:val="26"/>
                <w:szCs w:val="26"/>
              </w:rPr>
              <w:t>0</w:t>
            </w:r>
          </w:p>
        </w:tc>
        <w:tc>
          <w:tcPr>
            <w:tcW w:w="1383" w:type="dxa"/>
          </w:tcPr>
          <w:p w:rsidR="0005209B" w:rsidRPr="0006125D" w:rsidRDefault="004A56AF" w:rsidP="007A1337">
            <w:pPr>
              <w:jc w:val="center"/>
              <w:rPr>
                <w:b/>
                <w:sz w:val="26"/>
                <w:szCs w:val="26"/>
              </w:rPr>
            </w:pPr>
            <w:r w:rsidRPr="0006125D">
              <w:rPr>
                <w:b/>
                <w:sz w:val="26"/>
                <w:szCs w:val="26"/>
              </w:rPr>
              <w:t>0</w:t>
            </w:r>
          </w:p>
        </w:tc>
        <w:tc>
          <w:tcPr>
            <w:tcW w:w="1227" w:type="dxa"/>
          </w:tcPr>
          <w:p w:rsidR="0005209B" w:rsidRPr="0006125D" w:rsidRDefault="0005209B" w:rsidP="0005209B">
            <w:pPr>
              <w:jc w:val="center"/>
              <w:rPr>
                <w:b/>
                <w:sz w:val="26"/>
                <w:szCs w:val="26"/>
              </w:rPr>
            </w:pPr>
            <w:r w:rsidRPr="0006125D">
              <w:rPr>
                <w:b/>
                <w:sz w:val="26"/>
                <w:szCs w:val="26"/>
              </w:rPr>
              <w:t>0</w:t>
            </w:r>
          </w:p>
        </w:tc>
        <w:tc>
          <w:tcPr>
            <w:tcW w:w="1227" w:type="dxa"/>
          </w:tcPr>
          <w:p w:rsidR="0005209B" w:rsidRPr="0006125D" w:rsidRDefault="0005209B" w:rsidP="0005209B">
            <w:pPr>
              <w:jc w:val="center"/>
              <w:rPr>
                <w:b/>
                <w:sz w:val="26"/>
                <w:szCs w:val="26"/>
              </w:rPr>
            </w:pPr>
            <w:r w:rsidRPr="0006125D">
              <w:rPr>
                <w:b/>
                <w:sz w:val="26"/>
                <w:szCs w:val="26"/>
              </w:rPr>
              <w:t>0</w:t>
            </w:r>
          </w:p>
        </w:tc>
        <w:tc>
          <w:tcPr>
            <w:tcW w:w="1246" w:type="dxa"/>
          </w:tcPr>
          <w:p w:rsidR="0005209B" w:rsidRPr="0006125D" w:rsidRDefault="00FA0234" w:rsidP="00FA0234">
            <w:pPr>
              <w:jc w:val="center"/>
              <w:rPr>
                <w:b/>
                <w:sz w:val="26"/>
                <w:szCs w:val="26"/>
              </w:rPr>
            </w:pPr>
            <w:r w:rsidRPr="0006125D">
              <w:rPr>
                <w:b/>
                <w:sz w:val="26"/>
                <w:szCs w:val="26"/>
              </w:rPr>
              <w:t>0</w:t>
            </w:r>
          </w:p>
        </w:tc>
      </w:tr>
      <w:tr w:rsidR="0005209B" w:rsidRPr="0006125D" w:rsidTr="009C68C6">
        <w:trPr>
          <w:jc w:val="center"/>
        </w:trPr>
        <w:tc>
          <w:tcPr>
            <w:tcW w:w="3589" w:type="dxa"/>
          </w:tcPr>
          <w:p w:rsidR="0005209B" w:rsidRPr="0006125D" w:rsidRDefault="0005209B" w:rsidP="0005209B">
            <w:pPr>
              <w:rPr>
                <w:i/>
                <w:sz w:val="26"/>
                <w:szCs w:val="26"/>
              </w:rPr>
            </w:pPr>
            <w:r w:rsidRPr="0006125D">
              <w:rPr>
                <w:sz w:val="26"/>
                <w:szCs w:val="26"/>
              </w:rPr>
              <w:t>1.1. valsts pamatbudžets, tai skaitā ieņēmumi no maksas pakalpojumiem un citi pašu ieņēmumi</w:t>
            </w:r>
          </w:p>
        </w:tc>
        <w:tc>
          <w:tcPr>
            <w:tcW w:w="1529" w:type="dxa"/>
          </w:tcPr>
          <w:p w:rsidR="0005209B" w:rsidRPr="0006125D" w:rsidRDefault="0005209B" w:rsidP="0005209B">
            <w:pPr>
              <w:jc w:val="center"/>
              <w:rPr>
                <w:i/>
                <w:sz w:val="26"/>
                <w:szCs w:val="26"/>
              </w:rPr>
            </w:pPr>
          </w:p>
        </w:tc>
        <w:tc>
          <w:tcPr>
            <w:tcW w:w="1383" w:type="dxa"/>
          </w:tcPr>
          <w:p w:rsidR="0005209B" w:rsidRPr="0006125D" w:rsidRDefault="0005209B" w:rsidP="0005209B">
            <w:pPr>
              <w:jc w:val="center"/>
              <w:rPr>
                <w:i/>
                <w:sz w:val="26"/>
                <w:szCs w:val="26"/>
              </w:rPr>
            </w:pPr>
          </w:p>
        </w:tc>
        <w:tc>
          <w:tcPr>
            <w:tcW w:w="1227" w:type="dxa"/>
          </w:tcPr>
          <w:p w:rsidR="0005209B" w:rsidRPr="0006125D" w:rsidRDefault="0005209B" w:rsidP="0005209B">
            <w:pPr>
              <w:jc w:val="center"/>
              <w:rPr>
                <w:i/>
                <w:sz w:val="26"/>
                <w:szCs w:val="26"/>
              </w:rPr>
            </w:pPr>
          </w:p>
        </w:tc>
        <w:tc>
          <w:tcPr>
            <w:tcW w:w="1227" w:type="dxa"/>
          </w:tcPr>
          <w:p w:rsidR="0005209B" w:rsidRPr="0006125D" w:rsidRDefault="0005209B" w:rsidP="0005209B">
            <w:pPr>
              <w:jc w:val="center"/>
              <w:rPr>
                <w:i/>
                <w:sz w:val="26"/>
                <w:szCs w:val="26"/>
              </w:rPr>
            </w:pPr>
          </w:p>
        </w:tc>
        <w:tc>
          <w:tcPr>
            <w:tcW w:w="1246" w:type="dxa"/>
          </w:tcPr>
          <w:p w:rsidR="0005209B" w:rsidRPr="0006125D" w:rsidRDefault="0005209B" w:rsidP="0005209B">
            <w:pPr>
              <w:jc w:val="center"/>
              <w:rPr>
                <w:i/>
                <w:sz w:val="26"/>
                <w:szCs w:val="26"/>
              </w:rPr>
            </w:pPr>
          </w:p>
        </w:tc>
      </w:tr>
      <w:tr w:rsidR="009B774A" w:rsidRPr="0006125D" w:rsidTr="009C68C6">
        <w:trPr>
          <w:jc w:val="center"/>
        </w:trPr>
        <w:tc>
          <w:tcPr>
            <w:tcW w:w="3589" w:type="dxa"/>
          </w:tcPr>
          <w:p w:rsidR="009B774A" w:rsidRPr="0006125D" w:rsidRDefault="009B774A" w:rsidP="001A0506">
            <w:pPr>
              <w:rPr>
                <w:i/>
                <w:sz w:val="26"/>
                <w:szCs w:val="26"/>
              </w:rPr>
            </w:pPr>
            <w:r w:rsidRPr="0006125D">
              <w:rPr>
                <w:sz w:val="26"/>
                <w:szCs w:val="26"/>
              </w:rPr>
              <w:t>1.2. valsts speciālais budžets</w:t>
            </w:r>
          </w:p>
        </w:tc>
        <w:tc>
          <w:tcPr>
            <w:tcW w:w="1529" w:type="dxa"/>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9B774A" w:rsidRPr="0006125D" w:rsidTr="009C68C6">
        <w:trPr>
          <w:jc w:val="center"/>
        </w:trPr>
        <w:tc>
          <w:tcPr>
            <w:tcW w:w="3589" w:type="dxa"/>
          </w:tcPr>
          <w:p w:rsidR="009B774A" w:rsidRPr="0006125D" w:rsidRDefault="009B774A" w:rsidP="001A0506">
            <w:pPr>
              <w:rPr>
                <w:i/>
                <w:sz w:val="26"/>
                <w:szCs w:val="26"/>
              </w:rPr>
            </w:pPr>
            <w:r w:rsidRPr="0006125D">
              <w:rPr>
                <w:sz w:val="26"/>
                <w:szCs w:val="26"/>
              </w:rPr>
              <w:t>1.3. pašvaldību budžets</w:t>
            </w:r>
          </w:p>
        </w:tc>
        <w:tc>
          <w:tcPr>
            <w:tcW w:w="1529" w:type="dxa"/>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B428A4" w:rsidRPr="0006125D" w:rsidTr="009C68C6">
        <w:trPr>
          <w:jc w:val="center"/>
        </w:trPr>
        <w:tc>
          <w:tcPr>
            <w:tcW w:w="3589" w:type="dxa"/>
          </w:tcPr>
          <w:p w:rsidR="00B428A4" w:rsidRPr="0006125D" w:rsidRDefault="00B428A4" w:rsidP="00B428A4">
            <w:pPr>
              <w:rPr>
                <w:sz w:val="26"/>
                <w:szCs w:val="26"/>
              </w:rPr>
            </w:pPr>
            <w:r w:rsidRPr="0006125D">
              <w:rPr>
                <w:sz w:val="26"/>
                <w:szCs w:val="26"/>
              </w:rPr>
              <w:t>2. Budžeta izdevumi:</w:t>
            </w:r>
          </w:p>
        </w:tc>
        <w:tc>
          <w:tcPr>
            <w:tcW w:w="1529" w:type="dxa"/>
          </w:tcPr>
          <w:p w:rsidR="00B428A4" w:rsidRPr="0006125D" w:rsidRDefault="00B428A4" w:rsidP="00B428A4">
            <w:pPr>
              <w:jc w:val="center"/>
              <w:rPr>
                <w:b/>
                <w:sz w:val="26"/>
                <w:szCs w:val="26"/>
              </w:rPr>
            </w:pPr>
            <w:r w:rsidRPr="0006125D">
              <w:rPr>
                <w:b/>
                <w:sz w:val="26"/>
                <w:szCs w:val="26"/>
              </w:rPr>
              <w:t>0</w:t>
            </w:r>
          </w:p>
        </w:tc>
        <w:tc>
          <w:tcPr>
            <w:tcW w:w="1383"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246" w:type="dxa"/>
          </w:tcPr>
          <w:p w:rsidR="00B428A4" w:rsidRPr="0006125D" w:rsidRDefault="00B428A4" w:rsidP="00B428A4">
            <w:pPr>
              <w:jc w:val="center"/>
              <w:rPr>
                <w:b/>
                <w:sz w:val="26"/>
                <w:szCs w:val="26"/>
              </w:rPr>
            </w:pPr>
            <w:r w:rsidRPr="0006125D">
              <w:rPr>
                <w:b/>
                <w:sz w:val="26"/>
                <w:szCs w:val="26"/>
              </w:rPr>
              <w:t>0</w:t>
            </w:r>
          </w:p>
        </w:tc>
      </w:tr>
      <w:tr w:rsidR="0060679E" w:rsidRPr="0006125D" w:rsidTr="009C68C6">
        <w:trPr>
          <w:jc w:val="center"/>
        </w:trPr>
        <w:tc>
          <w:tcPr>
            <w:tcW w:w="3589" w:type="dxa"/>
          </w:tcPr>
          <w:p w:rsidR="0060679E" w:rsidRPr="0006125D" w:rsidRDefault="0060679E" w:rsidP="0060679E">
            <w:pPr>
              <w:rPr>
                <w:sz w:val="26"/>
                <w:szCs w:val="26"/>
              </w:rPr>
            </w:pPr>
            <w:r w:rsidRPr="0006125D">
              <w:rPr>
                <w:sz w:val="26"/>
                <w:szCs w:val="26"/>
              </w:rPr>
              <w:t>2.1. valsts pamatbudžets</w:t>
            </w:r>
          </w:p>
        </w:tc>
        <w:tc>
          <w:tcPr>
            <w:tcW w:w="1529" w:type="dxa"/>
          </w:tcPr>
          <w:p w:rsidR="0060679E" w:rsidRPr="0006125D" w:rsidRDefault="0060679E" w:rsidP="0060679E">
            <w:pPr>
              <w:jc w:val="center"/>
              <w:rPr>
                <w:i/>
                <w:sz w:val="26"/>
                <w:szCs w:val="26"/>
              </w:rPr>
            </w:pPr>
            <w:r w:rsidRPr="0006125D">
              <w:rPr>
                <w:i/>
                <w:sz w:val="26"/>
                <w:szCs w:val="26"/>
              </w:rPr>
              <w:t>0</w:t>
            </w:r>
          </w:p>
        </w:tc>
        <w:tc>
          <w:tcPr>
            <w:tcW w:w="1383" w:type="dxa"/>
          </w:tcPr>
          <w:p w:rsidR="0060679E" w:rsidRPr="0006125D" w:rsidRDefault="00B428A4"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246" w:type="dxa"/>
          </w:tcPr>
          <w:p w:rsidR="0060679E" w:rsidRPr="0006125D" w:rsidRDefault="0060679E" w:rsidP="0060679E">
            <w:pPr>
              <w:jc w:val="center"/>
              <w:rPr>
                <w:i/>
                <w:sz w:val="26"/>
                <w:szCs w:val="26"/>
              </w:rPr>
            </w:pPr>
            <w:r w:rsidRPr="0006125D">
              <w:rPr>
                <w:i/>
                <w:sz w:val="26"/>
                <w:szCs w:val="26"/>
              </w:rPr>
              <w:t>0</w:t>
            </w:r>
          </w:p>
        </w:tc>
      </w:tr>
      <w:tr w:rsidR="0060679E" w:rsidRPr="0006125D" w:rsidTr="009C68C6">
        <w:trPr>
          <w:jc w:val="center"/>
        </w:trPr>
        <w:tc>
          <w:tcPr>
            <w:tcW w:w="3589" w:type="dxa"/>
          </w:tcPr>
          <w:p w:rsidR="0060679E" w:rsidRPr="0006125D" w:rsidRDefault="0060679E" w:rsidP="0060679E">
            <w:pPr>
              <w:rPr>
                <w:sz w:val="26"/>
                <w:szCs w:val="26"/>
              </w:rPr>
            </w:pPr>
            <w:r w:rsidRPr="0006125D">
              <w:rPr>
                <w:sz w:val="26"/>
                <w:szCs w:val="26"/>
              </w:rPr>
              <w:t>2.2. valsts speciālais budžets</w:t>
            </w:r>
          </w:p>
        </w:tc>
        <w:tc>
          <w:tcPr>
            <w:tcW w:w="1529" w:type="dxa"/>
          </w:tcPr>
          <w:p w:rsidR="0060679E" w:rsidRPr="0006125D" w:rsidRDefault="0060679E" w:rsidP="0060679E">
            <w:pPr>
              <w:jc w:val="center"/>
              <w:rPr>
                <w:sz w:val="26"/>
                <w:szCs w:val="26"/>
              </w:rPr>
            </w:pPr>
          </w:p>
        </w:tc>
        <w:tc>
          <w:tcPr>
            <w:tcW w:w="1383"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246" w:type="dxa"/>
          </w:tcPr>
          <w:p w:rsidR="0060679E" w:rsidRPr="0006125D" w:rsidRDefault="0060679E" w:rsidP="0060679E">
            <w:pPr>
              <w:jc w:val="center"/>
              <w:rPr>
                <w:sz w:val="26"/>
                <w:szCs w:val="26"/>
              </w:rPr>
            </w:pPr>
          </w:p>
        </w:tc>
      </w:tr>
      <w:tr w:rsidR="0060679E" w:rsidRPr="0006125D" w:rsidTr="009C68C6">
        <w:trPr>
          <w:jc w:val="center"/>
        </w:trPr>
        <w:tc>
          <w:tcPr>
            <w:tcW w:w="3589" w:type="dxa"/>
          </w:tcPr>
          <w:p w:rsidR="0060679E" w:rsidRPr="0006125D" w:rsidRDefault="0060679E" w:rsidP="0060679E">
            <w:pPr>
              <w:rPr>
                <w:sz w:val="26"/>
                <w:szCs w:val="26"/>
              </w:rPr>
            </w:pPr>
            <w:r w:rsidRPr="0006125D">
              <w:rPr>
                <w:sz w:val="26"/>
                <w:szCs w:val="26"/>
              </w:rPr>
              <w:t xml:space="preserve">2.3. pašvaldību budžets </w:t>
            </w:r>
          </w:p>
        </w:tc>
        <w:tc>
          <w:tcPr>
            <w:tcW w:w="1529" w:type="dxa"/>
          </w:tcPr>
          <w:p w:rsidR="0060679E" w:rsidRPr="0006125D" w:rsidRDefault="0060679E" w:rsidP="0060679E">
            <w:pPr>
              <w:jc w:val="center"/>
              <w:rPr>
                <w:sz w:val="26"/>
                <w:szCs w:val="26"/>
              </w:rPr>
            </w:pPr>
          </w:p>
        </w:tc>
        <w:tc>
          <w:tcPr>
            <w:tcW w:w="1383"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227" w:type="dxa"/>
          </w:tcPr>
          <w:p w:rsidR="0060679E" w:rsidRPr="0006125D" w:rsidRDefault="0060679E" w:rsidP="0060679E">
            <w:pPr>
              <w:jc w:val="center"/>
              <w:rPr>
                <w:sz w:val="26"/>
                <w:szCs w:val="26"/>
              </w:rPr>
            </w:pPr>
          </w:p>
        </w:tc>
        <w:tc>
          <w:tcPr>
            <w:tcW w:w="1246" w:type="dxa"/>
          </w:tcPr>
          <w:p w:rsidR="0060679E" w:rsidRPr="0006125D" w:rsidRDefault="0060679E" w:rsidP="0060679E">
            <w:pPr>
              <w:jc w:val="center"/>
              <w:rPr>
                <w:sz w:val="26"/>
                <w:szCs w:val="26"/>
              </w:rPr>
            </w:pPr>
          </w:p>
        </w:tc>
      </w:tr>
      <w:tr w:rsidR="00B428A4" w:rsidRPr="0006125D" w:rsidTr="009C68C6">
        <w:trPr>
          <w:jc w:val="center"/>
        </w:trPr>
        <w:tc>
          <w:tcPr>
            <w:tcW w:w="3589" w:type="dxa"/>
          </w:tcPr>
          <w:p w:rsidR="00B428A4" w:rsidRPr="0006125D" w:rsidRDefault="00B428A4" w:rsidP="00B428A4">
            <w:pPr>
              <w:rPr>
                <w:sz w:val="26"/>
                <w:szCs w:val="26"/>
              </w:rPr>
            </w:pPr>
            <w:r w:rsidRPr="0006125D">
              <w:rPr>
                <w:sz w:val="26"/>
                <w:szCs w:val="26"/>
              </w:rPr>
              <w:t>3. Finansiālā ietekme:</w:t>
            </w:r>
          </w:p>
        </w:tc>
        <w:tc>
          <w:tcPr>
            <w:tcW w:w="1529" w:type="dxa"/>
            <w:shd w:val="clear" w:color="auto" w:fill="auto"/>
          </w:tcPr>
          <w:p w:rsidR="00B428A4" w:rsidRPr="0006125D" w:rsidRDefault="00B428A4" w:rsidP="00B428A4">
            <w:pPr>
              <w:jc w:val="center"/>
              <w:rPr>
                <w:b/>
                <w:sz w:val="26"/>
                <w:szCs w:val="26"/>
              </w:rPr>
            </w:pPr>
            <w:r w:rsidRPr="0006125D">
              <w:rPr>
                <w:b/>
                <w:sz w:val="26"/>
                <w:szCs w:val="26"/>
              </w:rPr>
              <w:t>0</w:t>
            </w:r>
          </w:p>
        </w:tc>
        <w:tc>
          <w:tcPr>
            <w:tcW w:w="1383"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227" w:type="dxa"/>
          </w:tcPr>
          <w:p w:rsidR="00B428A4" w:rsidRPr="0006125D" w:rsidRDefault="00B428A4" w:rsidP="00B428A4">
            <w:pPr>
              <w:jc w:val="center"/>
              <w:rPr>
                <w:b/>
                <w:sz w:val="26"/>
                <w:szCs w:val="26"/>
              </w:rPr>
            </w:pPr>
            <w:r w:rsidRPr="0006125D">
              <w:rPr>
                <w:b/>
                <w:sz w:val="26"/>
                <w:szCs w:val="26"/>
              </w:rPr>
              <w:t>0</w:t>
            </w:r>
          </w:p>
        </w:tc>
        <w:tc>
          <w:tcPr>
            <w:tcW w:w="1246" w:type="dxa"/>
          </w:tcPr>
          <w:p w:rsidR="00B428A4" w:rsidRPr="0006125D" w:rsidRDefault="00B428A4" w:rsidP="00B428A4">
            <w:pPr>
              <w:jc w:val="center"/>
              <w:rPr>
                <w:b/>
                <w:sz w:val="26"/>
                <w:szCs w:val="26"/>
              </w:rPr>
            </w:pPr>
            <w:r w:rsidRPr="0006125D">
              <w:rPr>
                <w:b/>
                <w:sz w:val="26"/>
                <w:szCs w:val="26"/>
              </w:rPr>
              <w:t>0</w:t>
            </w:r>
          </w:p>
        </w:tc>
      </w:tr>
      <w:tr w:rsidR="00B428A4" w:rsidRPr="0006125D" w:rsidTr="009C68C6">
        <w:trPr>
          <w:jc w:val="center"/>
        </w:trPr>
        <w:tc>
          <w:tcPr>
            <w:tcW w:w="3589" w:type="dxa"/>
          </w:tcPr>
          <w:p w:rsidR="00B428A4" w:rsidRPr="0006125D" w:rsidRDefault="00B428A4" w:rsidP="00B428A4">
            <w:pPr>
              <w:rPr>
                <w:sz w:val="26"/>
                <w:szCs w:val="26"/>
              </w:rPr>
            </w:pPr>
            <w:r w:rsidRPr="0006125D">
              <w:rPr>
                <w:sz w:val="26"/>
                <w:szCs w:val="26"/>
              </w:rPr>
              <w:t>3.1. valsts pamatbudžets</w:t>
            </w:r>
          </w:p>
        </w:tc>
        <w:tc>
          <w:tcPr>
            <w:tcW w:w="1529" w:type="dxa"/>
            <w:shd w:val="clear" w:color="auto" w:fill="auto"/>
          </w:tcPr>
          <w:p w:rsidR="00B428A4" w:rsidRPr="0006125D" w:rsidRDefault="00B428A4" w:rsidP="00B428A4">
            <w:pPr>
              <w:jc w:val="center"/>
              <w:rPr>
                <w:i/>
                <w:sz w:val="26"/>
                <w:szCs w:val="26"/>
              </w:rPr>
            </w:pPr>
            <w:r w:rsidRPr="0006125D">
              <w:rPr>
                <w:i/>
                <w:sz w:val="26"/>
                <w:szCs w:val="26"/>
              </w:rPr>
              <w:t>0</w:t>
            </w:r>
          </w:p>
        </w:tc>
        <w:tc>
          <w:tcPr>
            <w:tcW w:w="1383" w:type="dxa"/>
          </w:tcPr>
          <w:p w:rsidR="00B428A4" w:rsidRPr="0006125D" w:rsidRDefault="00B428A4" w:rsidP="00B428A4">
            <w:pPr>
              <w:jc w:val="center"/>
              <w:rPr>
                <w:i/>
                <w:sz w:val="26"/>
                <w:szCs w:val="26"/>
              </w:rPr>
            </w:pPr>
            <w:r w:rsidRPr="0006125D">
              <w:rPr>
                <w:i/>
                <w:sz w:val="26"/>
                <w:szCs w:val="26"/>
              </w:rPr>
              <w:t>0</w:t>
            </w:r>
          </w:p>
        </w:tc>
        <w:tc>
          <w:tcPr>
            <w:tcW w:w="1227" w:type="dxa"/>
          </w:tcPr>
          <w:p w:rsidR="00B428A4" w:rsidRPr="0006125D" w:rsidRDefault="00B428A4" w:rsidP="00B428A4">
            <w:pPr>
              <w:jc w:val="center"/>
              <w:rPr>
                <w:i/>
                <w:sz w:val="26"/>
                <w:szCs w:val="26"/>
              </w:rPr>
            </w:pPr>
            <w:r w:rsidRPr="0006125D">
              <w:rPr>
                <w:i/>
                <w:sz w:val="26"/>
                <w:szCs w:val="26"/>
              </w:rPr>
              <w:t>0</w:t>
            </w:r>
          </w:p>
        </w:tc>
        <w:tc>
          <w:tcPr>
            <w:tcW w:w="1227" w:type="dxa"/>
          </w:tcPr>
          <w:p w:rsidR="00B428A4" w:rsidRPr="0006125D" w:rsidRDefault="00B428A4" w:rsidP="00B428A4">
            <w:pPr>
              <w:jc w:val="center"/>
              <w:rPr>
                <w:i/>
                <w:sz w:val="26"/>
                <w:szCs w:val="26"/>
              </w:rPr>
            </w:pPr>
            <w:r w:rsidRPr="0006125D">
              <w:rPr>
                <w:i/>
                <w:sz w:val="26"/>
                <w:szCs w:val="26"/>
              </w:rPr>
              <w:t>0</w:t>
            </w:r>
          </w:p>
        </w:tc>
        <w:tc>
          <w:tcPr>
            <w:tcW w:w="1246" w:type="dxa"/>
          </w:tcPr>
          <w:p w:rsidR="00B428A4" w:rsidRPr="0006125D" w:rsidRDefault="00B428A4" w:rsidP="00B428A4">
            <w:pPr>
              <w:jc w:val="center"/>
              <w:rPr>
                <w:i/>
                <w:sz w:val="26"/>
                <w:szCs w:val="26"/>
              </w:rPr>
            </w:pPr>
            <w:r w:rsidRPr="0006125D">
              <w:rPr>
                <w:i/>
                <w:sz w:val="26"/>
                <w:szCs w:val="26"/>
              </w:rPr>
              <w:t>0</w:t>
            </w: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t>3.2. speciālais budžets</w:t>
            </w:r>
          </w:p>
        </w:tc>
        <w:tc>
          <w:tcPr>
            <w:tcW w:w="1529" w:type="dxa"/>
            <w:shd w:val="clear" w:color="auto" w:fill="auto"/>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t xml:space="preserve">3.3. pašvaldību budžets </w:t>
            </w:r>
          </w:p>
        </w:tc>
        <w:tc>
          <w:tcPr>
            <w:tcW w:w="1529" w:type="dxa"/>
            <w:shd w:val="clear" w:color="auto" w:fill="auto"/>
          </w:tcPr>
          <w:p w:rsidR="009B774A" w:rsidRPr="0006125D" w:rsidRDefault="009B774A" w:rsidP="001A0506">
            <w:pPr>
              <w:jc w:val="center"/>
              <w:rPr>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9B774A" w:rsidRPr="0006125D" w:rsidTr="009C68C6">
        <w:trPr>
          <w:jc w:val="center"/>
        </w:trPr>
        <w:tc>
          <w:tcPr>
            <w:tcW w:w="3589" w:type="dxa"/>
            <w:vMerge w:val="restart"/>
          </w:tcPr>
          <w:p w:rsidR="009B774A" w:rsidRPr="0006125D" w:rsidRDefault="009B774A" w:rsidP="001A0506">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9B774A" w:rsidRPr="0006125D" w:rsidRDefault="009B774A" w:rsidP="001A0506">
            <w:pPr>
              <w:jc w:val="center"/>
              <w:rPr>
                <w:i/>
                <w:sz w:val="26"/>
                <w:szCs w:val="26"/>
              </w:rPr>
            </w:pPr>
            <w:r w:rsidRPr="0006125D">
              <w:rPr>
                <w:sz w:val="26"/>
                <w:szCs w:val="26"/>
              </w:rPr>
              <w:t>X</w:t>
            </w:r>
          </w:p>
        </w:tc>
        <w:tc>
          <w:tcPr>
            <w:tcW w:w="1383" w:type="dxa"/>
          </w:tcPr>
          <w:p w:rsidR="009B774A" w:rsidRPr="0006125D" w:rsidRDefault="00B428A4" w:rsidP="001A0506">
            <w:pPr>
              <w:jc w:val="center"/>
              <w:rPr>
                <w:sz w:val="26"/>
                <w:szCs w:val="26"/>
              </w:rPr>
            </w:pPr>
            <w:r w:rsidRPr="0006125D">
              <w:rPr>
                <w:sz w:val="26"/>
                <w:szCs w:val="26"/>
              </w:rPr>
              <w:t>0</w:t>
            </w:r>
          </w:p>
        </w:tc>
        <w:tc>
          <w:tcPr>
            <w:tcW w:w="1227" w:type="dxa"/>
          </w:tcPr>
          <w:p w:rsidR="009B774A" w:rsidRPr="0006125D" w:rsidRDefault="009B774A" w:rsidP="001A0506">
            <w:pPr>
              <w:jc w:val="center"/>
              <w:rPr>
                <w:sz w:val="26"/>
                <w:szCs w:val="26"/>
              </w:rPr>
            </w:pPr>
            <w:r w:rsidRPr="0006125D">
              <w:rPr>
                <w:sz w:val="26"/>
                <w:szCs w:val="26"/>
              </w:rPr>
              <w:t>0</w:t>
            </w:r>
          </w:p>
        </w:tc>
        <w:tc>
          <w:tcPr>
            <w:tcW w:w="1227" w:type="dxa"/>
          </w:tcPr>
          <w:p w:rsidR="009B774A" w:rsidRPr="0006125D" w:rsidRDefault="009B774A" w:rsidP="001A0506">
            <w:pPr>
              <w:jc w:val="center"/>
              <w:rPr>
                <w:sz w:val="26"/>
                <w:szCs w:val="26"/>
              </w:rPr>
            </w:pPr>
            <w:r w:rsidRPr="0006125D">
              <w:rPr>
                <w:sz w:val="26"/>
                <w:szCs w:val="26"/>
              </w:rPr>
              <w:t>0</w:t>
            </w:r>
          </w:p>
        </w:tc>
        <w:tc>
          <w:tcPr>
            <w:tcW w:w="1246" w:type="dxa"/>
          </w:tcPr>
          <w:p w:rsidR="009B774A" w:rsidRPr="0006125D" w:rsidRDefault="009B774A" w:rsidP="001A0506">
            <w:pPr>
              <w:jc w:val="center"/>
              <w:rPr>
                <w:sz w:val="26"/>
                <w:szCs w:val="26"/>
              </w:rPr>
            </w:pPr>
            <w:r w:rsidRPr="0006125D">
              <w:rPr>
                <w:sz w:val="26"/>
                <w:szCs w:val="26"/>
              </w:rPr>
              <w:t>0</w:t>
            </w:r>
          </w:p>
        </w:tc>
      </w:tr>
      <w:tr w:rsidR="009B774A" w:rsidRPr="0006125D" w:rsidTr="009C68C6">
        <w:trPr>
          <w:jc w:val="center"/>
        </w:trPr>
        <w:tc>
          <w:tcPr>
            <w:tcW w:w="3589" w:type="dxa"/>
            <w:vMerge/>
          </w:tcPr>
          <w:p w:rsidR="009B774A" w:rsidRPr="0006125D" w:rsidRDefault="009B774A" w:rsidP="001A0506">
            <w:pPr>
              <w:rPr>
                <w:sz w:val="26"/>
                <w:szCs w:val="26"/>
              </w:rPr>
            </w:pPr>
          </w:p>
        </w:tc>
        <w:tc>
          <w:tcPr>
            <w:tcW w:w="1529" w:type="dxa"/>
            <w:vMerge/>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9B774A" w:rsidRPr="0006125D" w:rsidTr="009C68C6">
        <w:trPr>
          <w:jc w:val="center"/>
        </w:trPr>
        <w:tc>
          <w:tcPr>
            <w:tcW w:w="3589" w:type="dxa"/>
            <w:vMerge/>
          </w:tcPr>
          <w:p w:rsidR="009B774A" w:rsidRPr="0006125D" w:rsidRDefault="009B774A" w:rsidP="001A0506">
            <w:pPr>
              <w:rPr>
                <w:sz w:val="26"/>
                <w:szCs w:val="26"/>
              </w:rPr>
            </w:pPr>
          </w:p>
        </w:tc>
        <w:tc>
          <w:tcPr>
            <w:tcW w:w="1529" w:type="dxa"/>
            <w:vMerge/>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60679E" w:rsidRPr="0006125D" w:rsidTr="009C68C6">
        <w:trPr>
          <w:jc w:val="center"/>
        </w:trPr>
        <w:tc>
          <w:tcPr>
            <w:tcW w:w="3589" w:type="dxa"/>
          </w:tcPr>
          <w:p w:rsidR="0060679E" w:rsidRPr="0006125D" w:rsidRDefault="0060679E" w:rsidP="0060679E">
            <w:pPr>
              <w:rPr>
                <w:sz w:val="26"/>
                <w:szCs w:val="26"/>
              </w:rPr>
            </w:pPr>
            <w:r w:rsidRPr="0006125D">
              <w:rPr>
                <w:sz w:val="26"/>
                <w:szCs w:val="26"/>
              </w:rPr>
              <w:t>5. Precizēta finansiālā ietekme:</w:t>
            </w:r>
          </w:p>
        </w:tc>
        <w:tc>
          <w:tcPr>
            <w:tcW w:w="1529" w:type="dxa"/>
            <w:vMerge w:val="restart"/>
          </w:tcPr>
          <w:p w:rsidR="0060679E" w:rsidRPr="0006125D" w:rsidRDefault="0060679E" w:rsidP="0060679E">
            <w:pPr>
              <w:jc w:val="center"/>
              <w:rPr>
                <w:i/>
                <w:sz w:val="26"/>
                <w:szCs w:val="26"/>
              </w:rPr>
            </w:pPr>
            <w:r w:rsidRPr="0006125D">
              <w:rPr>
                <w:sz w:val="26"/>
                <w:szCs w:val="26"/>
              </w:rPr>
              <w:t>X</w:t>
            </w:r>
          </w:p>
        </w:tc>
        <w:tc>
          <w:tcPr>
            <w:tcW w:w="1383" w:type="dxa"/>
          </w:tcPr>
          <w:p w:rsidR="0060679E" w:rsidRPr="0006125D" w:rsidRDefault="0060679E" w:rsidP="0060679E">
            <w:pPr>
              <w:jc w:val="center"/>
              <w:rPr>
                <w:b/>
                <w:sz w:val="26"/>
                <w:szCs w:val="26"/>
              </w:rPr>
            </w:pPr>
            <w:r w:rsidRPr="0006125D">
              <w:rPr>
                <w:b/>
                <w:sz w:val="26"/>
                <w:szCs w:val="26"/>
              </w:rPr>
              <w:t>0</w:t>
            </w:r>
          </w:p>
        </w:tc>
        <w:tc>
          <w:tcPr>
            <w:tcW w:w="1227" w:type="dxa"/>
          </w:tcPr>
          <w:p w:rsidR="0060679E" w:rsidRPr="0006125D" w:rsidRDefault="0060679E" w:rsidP="0060679E">
            <w:pPr>
              <w:jc w:val="center"/>
              <w:rPr>
                <w:b/>
                <w:sz w:val="26"/>
                <w:szCs w:val="26"/>
              </w:rPr>
            </w:pPr>
            <w:r w:rsidRPr="0006125D">
              <w:rPr>
                <w:b/>
                <w:sz w:val="26"/>
                <w:szCs w:val="26"/>
              </w:rPr>
              <w:t>0</w:t>
            </w:r>
          </w:p>
        </w:tc>
        <w:tc>
          <w:tcPr>
            <w:tcW w:w="1227" w:type="dxa"/>
          </w:tcPr>
          <w:p w:rsidR="0060679E" w:rsidRPr="0006125D" w:rsidRDefault="0060679E" w:rsidP="0060679E">
            <w:pPr>
              <w:jc w:val="center"/>
              <w:rPr>
                <w:b/>
                <w:sz w:val="26"/>
                <w:szCs w:val="26"/>
              </w:rPr>
            </w:pPr>
            <w:r w:rsidRPr="0006125D">
              <w:rPr>
                <w:b/>
                <w:sz w:val="26"/>
                <w:szCs w:val="26"/>
              </w:rPr>
              <w:t>0</w:t>
            </w:r>
          </w:p>
        </w:tc>
        <w:tc>
          <w:tcPr>
            <w:tcW w:w="1246" w:type="dxa"/>
          </w:tcPr>
          <w:p w:rsidR="0060679E" w:rsidRPr="0006125D" w:rsidRDefault="0060679E" w:rsidP="0060679E">
            <w:pPr>
              <w:jc w:val="center"/>
              <w:rPr>
                <w:b/>
                <w:sz w:val="26"/>
                <w:szCs w:val="26"/>
              </w:rPr>
            </w:pPr>
            <w:r w:rsidRPr="0006125D">
              <w:rPr>
                <w:b/>
                <w:sz w:val="26"/>
                <w:szCs w:val="26"/>
              </w:rPr>
              <w:t>0</w:t>
            </w:r>
          </w:p>
        </w:tc>
      </w:tr>
      <w:tr w:rsidR="0060679E" w:rsidRPr="0006125D" w:rsidTr="009C68C6">
        <w:trPr>
          <w:jc w:val="center"/>
        </w:trPr>
        <w:tc>
          <w:tcPr>
            <w:tcW w:w="3589" w:type="dxa"/>
          </w:tcPr>
          <w:p w:rsidR="0060679E" w:rsidRPr="0006125D" w:rsidRDefault="0060679E" w:rsidP="0060679E">
            <w:pPr>
              <w:rPr>
                <w:sz w:val="26"/>
                <w:szCs w:val="26"/>
              </w:rPr>
            </w:pPr>
            <w:r w:rsidRPr="0006125D">
              <w:rPr>
                <w:sz w:val="26"/>
                <w:szCs w:val="26"/>
              </w:rPr>
              <w:t>5.1. valsts pamatbudžets</w:t>
            </w:r>
          </w:p>
        </w:tc>
        <w:tc>
          <w:tcPr>
            <w:tcW w:w="1529" w:type="dxa"/>
            <w:vMerge/>
            <w:vAlign w:val="center"/>
          </w:tcPr>
          <w:p w:rsidR="0060679E" w:rsidRPr="0006125D" w:rsidRDefault="0060679E" w:rsidP="0060679E">
            <w:pPr>
              <w:jc w:val="center"/>
              <w:rPr>
                <w:i/>
                <w:sz w:val="26"/>
                <w:szCs w:val="26"/>
              </w:rPr>
            </w:pPr>
          </w:p>
        </w:tc>
        <w:tc>
          <w:tcPr>
            <w:tcW w:w="1383" w:type="dxa"/>
          </w:tcPr>
          <w:p w:rsidR="0060679E" w:rsidRPr="0006125D" w:rsidRDefault="0060679E"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227" w:type="dxa"/>
          </w:tcPr>
          <w:p w:rsidR="0060679E" w:rsidRPr="0006125D" w:rsidRDefault="0060679E" w:rsidP="0060679E">
            <w:pPr>
              <w:jc w:val="center"/>
              <w:rPr>
                <w:i/>
                <w:sz w:val="26"/>
                <w:szCs w:val="26"/>
              </w:rPr>
            </w:pPr>
            <w:r w:rsidRPr="0006125D">
              <w:rPr>
                <w:i/>
                <w:sz w:val="26"/>
                <w:szCs w:val="26"/>
              </w:rPr>
              <w:t>0</w:t>
            </w:r>
          </w:p>
        </w:tc>
        <w:tc>
          <w:tcPr>
            <w:tcW w:w="1246" w:type="dxa"/>
          </w:tcPr>
          <w:p w:rsidR="0060679E" w:rsidRPr="0006125D" w:rsidRDefault="0060679E" w:rsidP="0060679E">
            <w:pPr>
              <w:jc w:val="center"/>
              <w:rPr>
                <w:i/>
                <w:sz w:val="26"/>
                <w:szCs w:val="26"/>
              </w:rPr>
            </w:pPr>
            <w:r w:rsidRPr="0006125D">
              <w:rPr>
                <w:i/>
                <w:sz w:val="26"/>
                <w:szCs w:val="26"/>
              </w:rPr>
              <w:t>0</w:t>
            </w: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t>5.2. speciālais budžets</w:t>
            </w:r>
          </w:p>
        </w:tc>
        <w:tc>
          <w:tcPr>
            <w:tcW w:w="1529" w:type="dxa"/>
            <w:vMerge/>
            <w:vAlign w:val="center"/>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t xml:space="preserve">5.3. pašvaldību budžets </w:t>
            </w:r>
          </w:p>
        </w:tc>
        <w:tc>
          <w:tcPr>
            <w:tcW w:w="1529" w:type="dxa"/>
            <w:vMerge/>
            <w:vAlign w:val="center"/>
          </w:tcPr>
          <w:p w:rsidR="009B774A" w:rsidRPr="0006125D" w:rsidRDefault="009B774A" w:rsidP="001A0506">
            <w:pPr>
              <w:jc w:val="center"/>
              <w:rPr>
                <w:i/>
                <w:sz w:val="26"/>
                <w:szCs w:val="26"/>
              </w:rPr>
            </w:pPr>
          </w:p>
        </w:tc>
        <w:tc>
          <w:tcPr>
            <w:tcW w:w="1383"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27" w:type="dxa"/>
          </w:tcPr>
          <w:p w:rsidR="009B774A" w:rsidRPr="0006125D" w:rsidRDefault="009B774A" w:rsidP="001A0506">
            <w:pPr>
              <w:jc w:val="center"/>
              <w:rPr>
                <w:sz w:val="26"/>
                <w:szCs w:val="26"/>
              </w:rPr>
            </w:pPr>
          </w:p>
        </w:tc>
        <w:tc>
          <w:tcPr>
            <w:tcW w:w="1246" w:type="dxa"/>
          </w:tcPr>
          <w:p w:rsidR="009B774A" w:rsidRPr="0006125D" w:rsidRDefault="009B774A" w:rsidP="001A0506">
            <w:pPr>
              <w:jc w:val="center"/>
              <w:rPr>
                <w:sz w:val="26"/>
                <w:szCs w:val="26"/>
              </w:rPr>
            </w:pP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t>6. Detalizēts ieņēmumu un izdevumu aprēķins (ja nepie</w:t>
            </w:r>
            <w:r w:rsidRPr="0006125D">
              <w:rPr>
                <w:sz w:val="26"/>
                <w:szCs w:val="26"/>
              </w:rPr>
              <w:softHyphen/>
              <w:t xml:space="preserve">ciešams, detalizētu ieņēmumu </w:t>
            </w:r>
            <w:r w:rsidRPr="0006125D">
              <w:rPr>
                <w:sz w:val="26"/>
                <w:szCs w:val="26"/>
              </w:rPr>
              <w:lastRenderedPageBreak/>
              <w:t>un izdevumu aprēķinu var pie</w:t>
            </w:r>
            <w:r w:rsidRPr="0006125D">
              <w:rPr>
                <w:sz w:val="26"/>
                <w:szCs w:val="26"/>
              </w:rPr>
              <w:softHyphen/>
              <w:t>vienot anotācijas pielikumā):</w:t>
            </w:r>
          </w:p>
        </w:tc>
        <w:tc>
          <w:tcPr>
            <w:tcW w:w="6612" w:type="dxa"/>
            <w:gridSpan w:val="5"/>
            <w:vMerge w:val="restart"/>
            <w:shd w:val="clear" w:color="auto" w:fill="auto"/>
          </w:tcPr>
          <w:p w:rsidR="00A82EC4" w:rsidRDefault="00A82EC4" w:rsidP="00A82EC4">
            <w:pPr>
              <w:jc w:val="both"/>
              <w:rPr>
                <w:sz w:val="26"/>
                <w:szCs w:val="26"/>
              </w:rPr>
            </w:pPr>
            <w:r>
              <w:rPr>
                <w:sz w:val="26"/>
                <w:szCs w:val="26"/>
              </w:rPr>
              <w:lastRenderedPageBreak/>
              <w:tab/>
            </w:r>
            <w:r w:rsidR="00876518" w:rsidRPr="0006125D">
              <w:rPr>
                <w:sz w:val="26"/>
                <w:szCs w:val="26"/>
              </w:rPr>
              <w:t xml:space="preserve">Izdevumi 2014.gada valsts budžeta </w:t>
            </w:r>
            <w:r w:rsidR="00E03CCB" w:rsidRPr="0006125D">
              <w:rPr>
                <w:sz w:val="26"/>
                <w:szCs w:val="26"/>
              </w:rPr>
              <w:t xml:space="preserve">apakšprogrammā 01.05.00 “Dotācija privātajām mācību iestādēm” par 600 000 </w:t>
            </w:r>
            <w:r w:rsidR="00E03CCB" w:rsidRPr="0006125D">
              <w:rPr>
                <w:i/>
                <w:sz w:val="26"/>
                <w:szCs w:val="26"/>
              </w:rPr>
              <w:t>euro</w:t>
            </w:r>
            <w:r w:rsidR="00E03CCB" w:rsidRPr="0006125D">
              <w:rPr>
                <w:sz w:val="26"/>
                <w:szCs w:val="26"/>
              </w:rPr>
              <w:t xml:space="preserve"> samazināsies, bet attiecīgi par </w:t>
            </w:r>
            <w:r>
              <w:rPr>
                <w:sz w:val="26"/>
                <w:szCs w:val="26"/>
              </w:rPr>
              <w:t>150</w:t>
            </w:r>
            <w:r w:rsidR="00E03CCB" w:rsidRPr="0006125D">
              <w:rPr>
                <w:sz w:val="26"/>
                <w:szCs w:val="26"/>
              </w:rPr>
              <w:t xml:space="preserve"> 000 </w:t>
            </w:r>
            <w:r w:rsidR="00E03CCB" w:rsidRPr="0006125D">
              <w:rPr>
                <w:i/>
                <w:sz w:val="26"/>
                <w:szCs w:val="26"/>
              </w:rPr>
              <w:t>euro</w:t>
            </w:r>
            <w:r w:rsidR="00E03CCB" w:rsidRPr="0006125D">
              <w:rPr>
                <w:sz w:val="26"/>
                <w:szCs w:val="26"/>
              </w:rPr>
              <w:t xml:space="preserve"> palielināsies </w:t>
            </w:r>
            <w:r w:rsidR="00E03CCB" w:rsidRPr="0006125D">
              <w:rPr>
                <w:sz w:val="26"/>
                <w:szCs w:val="26"/>
              </w:rPr>
              <w:lastRenderedPageBreak/>
              <w:t>2014.gada valsts budžeta apakšprogrammā 09.16.00 “Dotācija nacionālās nozīmes starptautisku sporta pasākumu organizēšanai Latvijā” paredzētie līdzekļi.</w:t>
            </w:r>
          </w:p>
          <w:p w:rsidR="00A82EC4" w:rsidRDefault="00A82EC4" w:rsidP="009C68C6">
            <w:pPr>
              <w:jc w:val="both"/>
              <w:rPr>
                <w:sz w:val="26"/>
                <w:szCs w:val="26"/>
              </w:rPr>
            </w:pPr>
            <w:r>
              <w:rPr>
                <w:sz w:val="26"/>
                <w:szCs w:val="26"/>
              </w:rPr>
              <w:tab/>
              <w:t xml:space="preserve">Vienlaikus atzīmējams, ka pēc Čempionāta norises </w:t>
            </w:r>
            <w:r w:rsidR="0011262B">
              <w:rPr>
                <w:sz w:val="26"/>
                <w:szCs w:val="26"/>
              </w:rPr>
              <w:t xml:space="preserve">drošības </w:t>
            </w:r>
            <w:r>
              <w:rPr>
                <w:sz w:val="26"/>
                <w:szCs w:val="26"/>
              </w:rPr>
              <w:t>depozīta maksājumu FIBA Europe pārskaitīs atpakaļ LBS, kā rezultātā, ņemot vērā Ministru kabineta rīkojuma projekta 2.2.apakšpunktā noteikto (</w:t>
            </w:r>
            <w:r w:rsidR="009C68C6">
              <w:rPr>
                <w:sz w:val="26"/>
                <w:szCs w:val="26"/>
              </w:rPr>
              <w:t xml:space="preserve">attiecīgs </w:t>
            </w:r>
            <w:r>
              <w:rPr>
                <w:sz w:val="26"/>
                <w:szCs w:val="26"/>
              </w:rPr>
              <w:t xml:space="preserve">pienākums LBS tiks uzlikts līgumā par valsts budžeta līdzekļu piešķiršanu </w:t>
            </w:r>
            <w:r w:rsidR="0011262B">
              <w:rPr>
                <w:sz w:val="26"/>
                <w:szCs w:val="26"/>
              </w:rPr>
              <w:t xml:space="preserve">drošības </w:t>
            </w:r>
            <w:r>
              <w:rPr>
                <w:sz w:val="26"/>
                <w:szCs w:val="26"/>
              </w:rPr>
              <w:t>depozīta maksājuma segšanai)</w:t>
            </w:r>
            <w:r w:rsidR="009C68C6">
              <w:rPr>
                <w:sz w:val="26"/>
                <w:szCs w:val="26"/>
              </w:rPr>
              <w:t xml:space="preserve">, viena mēneša laikā pēc Čempionāta sekmīgas norises un </w:t>
            </w:r>
            <w:r w:rsidR="009C68C6" w:rsidRPr="00A82EC4">
              <w:rPr>
                <w:sz w:val="26"/>
                <w:szCs w:val="26"/>
              </w:rPr>
              <w:t>drošības depozīta atmaksas saņemšanas</w:t>
            </w:r>
            <w:r w:rsidR="009C68C6">
              <w:rPr>
                <w:sz w:val="26"/>
                <w:szCs w:val="26"/>
              </w:rPr>
              <w:t xml:space="preserve"> no FIBA Europe, LBS to pilnā apmērā atmaksās valsts budžetā, kā rezultātā palielināsies 2015.gada valsts budžeta ieņēmumi.</w:t>
            </w:r>
          </w:p>
          <w:p w:rsidR="00FD33E2" w:rsidRPr="0006125D" w:rsidRDefault="00FD33E2" w:rsidP="00FD33E2">
            <w:pPr>
              <w:jc w:val="both"/>
              <w:rPr>
                <w:sz w:val="26"/>
                <w:szCs w:val="26"/>
              </w:rPr>
            </w:pPr>
            <w:r>
              <w:rPr>
                <w:sz w:val="26"/>
                <w:szCs w:val="26"/>
              </w:rPr>
              <w:tab/>
              <w:t xml:space="preserve">Līdz ar šo lēmumu </w:t>
            </w:r>
            <w:r w:rsidRPr="00FD33E2">
              <w:rPr>
                <w:sz w:val="26"/>
                <w:szCs w:val="26"/>
              </w:rPr>
              <w:t xml:space="preserve">kopējais valsts atbalsts 2015.gada Eiropas čempionāta basketbolā grupu turnīra sarīkošanai Latvijā sasniegs jau 1 </w:t>
            </w:r>
            <w:r>
              <w:rPr>
                <w:sz w:val="26"/>
                <w:szCs w:val="26"/>
              </w:rPr>
              <w:t>500</w:t>
            </w:r>
            <w:r w:rsidRPr="00FD33E2">
              <w:rPr>
                <w:sz w:val="26"/>
                <w:szCs w:val="26"/>
              </w:rPr>
              <w:t xml:space="preserve"> 000 </w:t>
            </w:r>
            <w:r w:rsidRPr="00FD33E2">
              <w:rPr>
                <w:i/>
                <w:sz w:val="26"/>
                <w:szCs w:val="26"/>
              </w:rPr>
              <w:t>euro</w:t>
            </w:r>
            <w:r w:rsidRPr="00FD33E2">
              <w:rPr>
                <w:sz w:val="26"/>
                <w:szCs w:val="26"/>
              </w:rPr>
              <w:t>.</w:t>
            </w: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lastRenderedPageBreak/>
              <w:t>6.1. detalizēts ieņēmumu aprēķins</w:t>
            </w:r>
          </w:p>
        </w:tc>
        <w:tc>
          <w:tcPr>
            <w:tcW w:w="6612" w:type="dxa"/>
            <w:gridSpan w:val="5"/>
            <w:vMerge/>
            <w:shd w:val="clear" w:color="auto" w:fill="auto"/>
          </w:tcPr>
          <w:p w:rsidR="009B774A" w:rsidRPr="0006125D" w:rsidRDefault="009B774A" w:rsidP="001A0506">
            <w:pPr>
              <w:rPr>
                <w:b/>
                <w:i/>
                <w:sz w:val="26"/>
                <w:szCs w:val="26"/>
              </w:rPr>
            </w:pPr>
          </w:p>
        </w:tc>
      </w:tr>
      <w:tr w:rsidR="009B774A" w:rsidRPr="0006125D" w:rsidTr="009C68C6">
        <w:trPr>
          <w:jc w:val="center"/>
        </w:trPr>
        <w:tc>
          <w:tcPr>
            <w:tcW w:w="3589" w:type="dxa"/>
          </w:tcPr>
          <w:p w:rsidR="009B774A" w:rsidRPr="0006125D" w:rsidRDefault="009B774A" w:rsidP="001A0506">
            <w:pPr>
              <w:rPr>
                <w:sz w:val="26"/>
                <w:szCs w:val="26"/>
              </w:rPr>
            </w:pPr>
            <w:r w:rsidRPr="0006125D">
              <w:rPr>
                <w:sz w:val="26"/>
                <w:szCs w:val="26"/>
              </w:rPr>
              <w:t>6.2. detalizēts izdevumu aprēķins</w:t>
            </w:r>
          </w:p>
        </w:tc>
        <w:tc>
          <w:tcPr>
            <w:tcW w:w="6612" w:type="dxa"/>
            <w:gridSpan w:val="5"/>
            <w:vMerge/>
            <w:shd w:val="clear" w:color="auto" w:fill="auto"/>
          </w:tcPr>
          <w:p w:rsidR="009B774A" w:rsidRPr="0006125D" w:rsidRDefault="009B774A" w:rsidP="001A0506">
            <w:pPr>
              <w:rPr>
                <w:b/>
                <w:i/>
                <w:sz w:val="26"/>
                <w:szCs w:val="26"/>
              </w:rPr>
            </w:pPr>
          </w:p>
        </w:tc>
      </w:tr>
      <w:tr w:rsidR="009B774A" w:rsidRPr="0006125D" w:rsidTr="009C68C6">
        <w:trPr>
          <w:trHeight w:val="399"/>
          <w:jc w:val="center"/>
        </w:trPr>
        <w:tc>
          <w:tcPr>
            <w:tcW w:w="3589" w:type="dxa"/>
          </w:tcPr>
          <w:p w:rsidR="009B774A" w:rsidRPr="0006125D" w:rsidRDefault="009B774A" w:rsidP="001A0506">
            <w:pPr>
              <w:rPr>
                <w:sz w:val="26"/>
                <w:szCs w:val="26"/>
              </w:rPr>
            </w:pPr>
            <w:r w:rsidRPr="0006125D">
              <w:rPr>
                <w:sz w:val="26"/>
                <w:szCs w:val="26"/>
              </w:rPr>
              <w:t>7. Cita informācija</w:t>
            </w:r>
          </w:p>
        </w:tc>
        <w:tc>
          <w:tcPr>
            <w:tcW w:w="6612" w:type="dxa"/>
            <w:gridSpan w:val="5"/>
            <w:shd w:val="clear" w:color="auto" w:fill="auto"/>
          </w:tcPr>
          <w:p w:rsidR="009B774A" w:rsidRPr="0006125D" w:rsidRDefault="00B428A4" w:rsidP="0060679E">
            <w:pPr>
              <w:tabs>
                <w:tab w:val="left" w:pos="1901"/>
              </w:tabs>
              <w:jc w:val="both"/>
              <w:rPr>
                <w:sz w:val="26"/>
                <w:szCs w:val="26"/>
              </w:rPr>
            </w:pPr>
            <w:r w:rsidRPr="0006125D">
              <w:rPr>
                <w:sz w:val="26"/>
                <w:szCs w:val="26"/>
              </w:rPr>
              <w:t>Pēc Ministru kabineta rīkojuma projekta pieņemšanas IZM normatīvajos aktos noteiktā kārtībā sagatavos un iesniegs Finanšu ministrijā pieprasījumu valsts budžeta apropriācijas pārdalei.</w:t>
            </w:r>
          </w:p>
        </w:tc>
      </w:tr>
    </w:tbl>
    <w:p w:rsidR="009B774A" w:rsidRPr="0006125D" w:rsidRDefault="009B774A" w:rsidP="009B774A">
      <w:pPr>
        <w:pStyle w:val="naisf"/>
        <w:tabs>
          <w:tab w:val="left" w:pos="3819"/>
        </w:tabs>
        <w:spacing w:before="0" w:after="0"/>
        <w:ind w:firstLine="0"/>
        <w:rPr>
          <w:sz w:val="26"/>
          <w:szCs w:val="26"/>
        </w:rPr>
      </w:pPr>
    </w:p>
    <w:p w:rsidR="001F23A6" w:rsidRPr="0006125D" w:rsidRDefault="001F23A6" w:rsidP="00464CD0">
      <w:pPr>
        <w:ind w:left="-567" w:right="-427"/>
        <w:jc w:val="both"/>
        <w:rPr>
          <w:i/>
          <w:sz w:val="26"/>
          <w:szCs w:val="26"/>
        </w:rPr>
      </w:pPr>
      <w:r w:rsidRPr="0006125D">
        <w:rPr>
          <w:i/>
          <w:sz w:val="26"/>
          <w:szCs w:val="26"/>
        </w:rPr>
        <w:t xml:space="preserve">Anotācijas </w:t>
      </w:r>
      <w:r w:rsidR="0002179F" w:rsidRPr="0006125D">
        <w:rPr>
          <w:i/>
          <w:sz w:val="26"/>
          <w:szCs w:val="26"/>
        </w:rPr>
        <w:t xml:space="preserve">II, </w:t>
      </w:r>
      <w:r w:rsidR="006F5778" w:rsidRPr="0006125D">
        <w:rPr>
          <w:i/>
          <w:sz w:val="26"/>
          <w:szCs w:val="26"/>
        </w:rPr>
        <w:t xml:space="preserve">IV, </w:t>
      </w:r>
      <w:r w:rsidR="0002179F" w:rsidRPr="0006125D">
        <w:rPr>
          <w:i/>
          <w:sz w:val="26"/>
          <w:szCs w:val="26"/>
        </w:rPr>
        <w:t xml:space="preserve">V, VI un VII </w:t>
      </w:r>
      <w:r w:rsidRPr="0006125D">
        <w:rPr>
          <w:i/>
          <w:sz w:val="26"/>
          <w:szCs w:val="26"/>
        </w:rPr>
        <w:t xml:space="preserve">sadaļa – </w:t>
      </w:r>
      <w:r w:rsidR="00464CD0" w:rsidRPr="0006125D">
        <w:rPr>
          <w:i/>
          <w:sz w:val="26"/>
          <w:szCs w:val="26"/>
        </w:rPr>
        <w:t>Ministru kabineta r</w:t>
      </w:r>
      <w:r w:rsidRPr="0006125D">
        <w:rPr>
          <w:i/>
          <w:sz w:val="26"/>
          <w:szCs w:val="26"/>
        </w:rPr>
        <w:t>īkojuma projekts šīs jomas neskar.</w:t>
      </w:r>
    </w:p>
    <w:p w:rsidR="00585B7B" w:rsidRDefault="00585B7B" w:rsidP="00D96FCD">
      <w:pPr>
        <w:rPr>
          <w:sz w:val="26"/>
          <w:szCs w:val="26"/>
        </w:rPr>
      </w:pPr>
    </w:p>
    <w:p w:rsidR="00C513BE" w:rsidRPr="0006125D" w:rsidRDefault="00C513BE" w:rsidP="00D96FCD">
      <w:pPr>
        <w:rPr>
          <w:sz w:val="26"/>
          <w:szCs w:val="26"/>
        </w:rPr>
      </w:pPr>
    </w:p>
    <w:p w:rsidR="00617D7A" w:rsidRPr="0006125D" w:rsidRDefault="00481F9B" w:rsidP="00C7220E">
      <w:pPr>
        <w:pStyle w:val="BodyText2"/>
        <w:spacing w:after="0" w:line="240" w:lineRule="auto"/>
        <w:ind w:firstLine="720"/>
        <w:jc w:val="both"/>
        <w:rPr>
          <w:sz w:val="26"/>
          <w:szCs w:val="26"/>
        </w:rPr>
      </w:pPr>
      <w:r w:rsidRPr="0006125D">
        <w:rPr>
          <w:sz w:val="26"/>
          <w:szCs w:val="26"/>
        </w:rPr>
        <w:t>I</w:t>
      </w:r>
      <w:r w:rsidR="008F245F" w:rsidRPr="0006125D">
        <w:rPr>
          <w:sz w:val="26"/>
          <w:szCs w:val="26"/>
        </w:rPr>
        <w:t>zglītības un zinātnes ministr</w:t>
      </w:r>
      <w:r w:rsidR="00005A9D" w:rsidRPr="0006125D">
        <w:rPr>
          <w:sz w:val="26"/>
          <w:szCs w:val="26"/>
        </w:rPr>
        <w:t>e</w:t>
      </w:r>
      <w:r w:rsidRPr="0006125D">
        <w:rPr>
          <w:sz w:val="26"/>
          <w:szCs w:val="26"/>
        </w:rPr>
        <w:tab/>
      </w:r>
      <w:r w:rsidRPr="0006125D">
        <w:rPr>
          <w:sz w:val="26"/>
          <w:szCs w:val="26"/>
        </w:rPr>
        <w:tab/>
      </w:r>
      <w:r w:rsidRPr="0006125D">
        <w:rPr>
          <w:sz w:val="26"/>
          <w:szCs w:val="26"/>
        </w:rPr>
        <w:tab/>
      </w:r>
      <w:r w:rsidRPr="0006125D">
        <w:rPr>
          <w:sz w:val="26"/>
          <w:szCs w:val="26"/>
        </w:rPr>
        <w:tab/>
      </w:r>
      <w:r w:rsidRPr="0006125D">
        <w:rPr>
          <w:sz w:val="26"/>
          <w:szCs w:val="26"/>
        </w:rPr>
        <w:tab/>
      </w:r>
      <w:r w:rsidR="004E1E2E" w:rsidRPr="0006125D">
        <w:rPr>
          <w:sz w:val="26"/>
          <w:szCs w:val="26"/>
        </w:rPr>
        <w:t>Mārīte Seile</w:t>
      </w:r>
    </w:p>
    <w:p w:rsidR="004560F5" w:rsidRDefault="004560F5" w:rsidP="00D96FCD">
      <w:pPr>
        <w:rPr>
          <w:sz w:val="26"/>
          <w:szCs w:val="26"/>
        </w:rPr>
      </w:pPr>
    </w:p>
    <w:p w:rsidR="000805C8" w:rsidRDefault="000805C8" w:rsidP="00D96FCD">
      <w:pPr>
        <w:rPr>
          <w:sz w:val="26"/>
          <w:szCs w:val="26"/>
        </w:rPr>
      </w:pPr>
    </w:p>
    <w:p w:rsidR="008B5BBC" w:rsidRPr="0006125D" w:rsidRDefault="008B5BBC" w:rsidP="008B5BBC">
      <w:pPr>
        <w:ind w:firstLine="720"/>
        <w:jc w:val="both"/>
        <w:rPr>
          <w:sz w:val="26"/>
          <w:szCs w:val="26"/>
        </w:rPr>
      </w:pPr>
      <w:r w:rsidRPr="0006125D">
        <w:rPr>
          <w:sz w:val="26"/>
          <w:szCs w:val="26"/>
        </w:rPr>
        <w:t>Vizē:</w:t>
      </w:r>
    </w:p>
    <w:p w:rsidR="008B5BBC" w:rsidRPr="0006125D" w:rsidRDefault="008B5BBC" w:rsidP="008B5BBC">
      <w:pPr>
        <w:ind w:firstLine="720"/>
        <w:jc w:val="both"/>
        <w:rPr>
          <w:sz w:val="26"/>
          <w:szCs w:val="26"/>
        </w:rPr>
      </w:pPr>
      <w:r w:rsidRPr="0006125D">
        <w:rPr>
          <w:sz w:val="26"/>
          <w:szCs w:val="26"/>
        </w:rPr>
        <w:t>Valsts sekretār</w:t>
      </w:r>
      <w:r w:rsidR="008C41B8" w:rsidRPr="0006125D">
        <w:rPr>
          <w:sz w:val="26"/>
          <w:szCs w:val="26"/>
        </w:rPr>
        <w:t>e</w:t>
      </w:r>
      <w:r w:rsidR="008C41B8" w:rsidRPr="0006125D">
        <w:rPr>
          <w:sz w:val="26"/>
          <w:szCs w:val="26"/>
        </w:rPr>
        <w:tab/>
      </w:r>
      <w:r w:rsidR="008C41B8" w:rsidRPr="0006125D">
        <w:rPr>
          <w:sz w:val="26"/>
          <w:szCs w:val="26"/>
        </w:rPr>
        <w:tab/>
      </w:r>
      <w:r w:rsidR="008C41B8" w:rsidRPr="0006125D">
        <w:rPr>
          <w:sz w:val="26"/>
          <w:szCs w:val="26"/>
        </w:rPr>
        <w:tab/>
      </w:r>
      <w:r w:rsidRPr="0006125D">
        <w:rPr>
          <w:sz w:val="26"/>
          <w:szCs w:val="26"/>
        </w:rPr>
        <w:tab/>
      </w:r>
      <w:r w:rsidRPr="0006125D">
        <w:rPr>
          <w:sz w:val="26"/>
          <w:szCs w:val="26"/>
        </w:rPr>
        <w:tab/>
      </w:r>
      <w:r w:rsidRPr="0006125D">
        <w:rPr>
          <w:sz w:val="26"/>
          <w:szCs w:val="26"/>
        </w:rPr>
        <w:tab/>
        <w:t xml:space="preserve">       </w:t>
      </w:r>
      <w:r w:rsidR="007F5AEE" w:rsidRPr="0006125D">
        <w:rPr>
          <w:sz w:val="26"/>
          <w:szCs w:val="26"/>
        </w:rPr>
        <w:tab/>
      </w:r>
      <w:r w:rsidR="007A424E" w:rsidRPr="0006125D">
        <w:rPr>
          <w:sz w:val="26"/>
          <w:szCs w:val="26"/>
        </w:rPr>
        <w:t>Sanda Liepiņa</w:t>
      </w:r>
    </w:p>
    <w:p w:rsidR="008B5BBC" w:rsidRPr="0006125D" w:rsidRDefault="008B5BBC" w:rsidP="008B5BBC">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48632C" w:rsidRDefault="0048632C" w:rsidP="007B39BF">
      <w:pPr>
        <w:ind w:left="720"/>
        <w:rPr>
          <w:sz w:val="22"/>
          <w:szCs w:val="22"/>
        </w:rPr>
      </w:pPr>
    </w:p>
    <w:p w:rsidR="0048632C" w:rsidRDefault="0048632C" w:rsidP="007B39BF">
      <w:pPr>
        <w:ind w:left="720"/>
        <w:rPr>
          <w:sz w:val="22"/>
          <w:szCs w:val="22"/>
        </w:rPr>
      </w:pPr>
    </w:p>
    <w:p w:rsidR="0048632C" w:rsidRDefault="0048632C"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9C68C6" w:rsidRDefault="009C68C6" w:rsidP="007B39BF">
      <w:pPr>
        <w:ind w:left="720"/>
        <w:rPr>
          <w:sz w:val="22"/>
          <w:szCs w:val="22"/>
        </w:rPr>
      </w:pPr>
    </w:p>
    <w:p w:rsidR="007B39BF" w:rsidRPr="0006125D" w:rsidRDefault="008468A3" w:rsidP="007B39BF">
      <w:pPr>
        <w:ind w:left="720"/>
        <w:rPr>
          <w:sz w:val="22"/>
          <w:szCs w:val="22"/>
        </w:rPr>
      </w:pPr>
      <w:r>
        <w:rPr>
          <w:sz w:val="22"/>
          <w:szCs w:val="22"/>
        </w:rPr>
        <w:t>01</w:t>
      </w:r>
      <w:r w:rsidR="007B39BF" w:rsidRPr="0006125D">
        <w:rPr>
          <w:sz w:val="22"/>
          <w:szCs w:val="22"/>
        </w:rPr>
        <w:t>.1</w:t>
      </w:r>
      <w:r>
        <w:rPr>
          <w:sz w:val="22"/>
          <w:szCs w:val="22"/>
        </w:rPr>
        <w:t>2</w:t>
      </w:r>
      <w:r w:rsidR="007B39BF" w:rsidRPr="0006125D">
        <w:rPr>
          <w:sz w:val="22"/>
          <w:szCs w:val="22"/>
        </w:rPr>
        <w:t xml:space="preserve">.2014. </w:t>
      </w:r>
      <w:r w:rsidR="00B22FD6">
        <w:rPr>
          <w:sz w:val="22"/>
          <w:szCs w:val="22"/>
        </w:rPr>
        <w:t>08</w:t>
      </w:r>
      <w:r w:rsidR="007B39BF" w:rsidRPr="0006125D">
        <w:rPr>
          <w:sz w:val="22"/>
          <w:szCs w:val="22"/>
        </w:rPr>
        <w:t>:</w:t>
      </w:r>
      <w:r>
        <w:rPr>
          <w:sz w:val="22"/>
          <w:szCs w:val="22"/>
        </w:rPr>
        <w:t>08</w:t>
      </w:r>
    </w:p>
    <w:p w:rsidR="007B39BF" w:rsidRPr="0006125D" w:rsidRDefault="0041285E" w:rsidP="007B39BF">
      <w:pPr>
        <w:ind w:left="720"/>
        <w:rPr>
          <w:sz w:val="22"/>
          <w:szCs w:val="22"/>
        </w:rPr>
      </w:pPr>
      <w:r>
        <w:rPr>
          <w:sz w:val="22"/>
          <w:szCs w:val="22"/>
        </w:rPr>
        <w:t>1471</w:t>
      </w:r>
      <w:bookmarkStart w:id="3" w:name="_GoBack"/>
      <w:bookmarkEnd w:id="3"/>
    </w:p>
    <w:p w:rsidR="007B39BF" w:rsidRPr="0006125D" w:rsidRDefault="007B39BF" w:rsidP="007B39BF">
      <w:pPr>
        <w:ind w:left="720"/>
        <w:rPr>
          <w:sz w:val="22"/>
          <w:szCs w:val="22"/>
        </w:rPr>
      </w:pPr>
      <w:r w:rsidRPr="0006125D">
        <w:rPr>
          <w:sz w:val="22"/>
          <w:szCs w:val="22"/>
        </w:rPr>
        <w:t>Izglītības un zinātnes ministrijas</w:t>
      </w:r>
    </w:p>
    <w:p w:rsidR="007B39BF" w:rsidRPr="0006125D" w:rsidRDefault="007B39BF" w:rsidP="007B39BF">
      <w:pPr>
        <w:ind w:left="720"/>
        <w:rPr>
          <w:sz w:val="22"/>
          <w:szCs w:val="22"/>
        </w:rPr>
      </w:pPr>
      <w:r w:rsidRPr="0006125D">
        <w:rPr>
          <w:sz w:val="22"/>
          <w:szCs w:val="22"/>
        </w:rPr>
        <w:t xml:space="preserve">valsts sekretāra vietnieks – </w:t>
      </w:r>
    </w:p>
    <w:p w:rsidR="007B39BF" w:rsidRPr="0006125D" w:rsidRDefault="002E090D" w:rsidP="007B39BF">
      <w:pPr>
        <w:ind w:left="720"/>
        <w:rPr>
          <w:sz w:val="22"/>
          <w:szCs w:val="22"/>
        </w:rPr>
      </w:pPr>
      <w:r>
        <w:rPr>
          <w:sz w:val="22"/>
          <w:szCs w:val="22"/>
        </w:rPr>
        <w:t>S</w:t>
      </w:r>
      <w:r w:rsidR="007B39BF" w:rsidRPr="0006125D">
        <w:rPr>
          <w:sz w:val="22"/>
          <w:szCs w:val="22"/>
        </w:rPr>
        <w:t>porta departamenta direktors E.Severs</w:t>
      </w:r>
    </w:p>
    <w:p w:rsidR="00763103" w:rsidRPr="0006125D" w:rsidRDefault="007B39BF" w:rsidP="007B39BF">
      <w:pPr>
        <w:ind w:left="720"/>
        <w:rPr>
          <w:sz w:val="22"/>
          <w:szCs w:val="22"/>
        </w:rPr>
      </w:pPr>
      <w:r w:rsidRPr="0006125D">
        <w:rPr>
          <w:sz w:val="22"/>
          <w:szCs w:val="22"/>
        </w:rPr>
        <w:t>67047935, edgars.severs@izm.gov.lv</w:t>
      </w:r>
    </w:p>
    <w:sectPr w:rsidR="00763103" w:rsidRPr="0006125D" w:rsidSect="009C68C6">
      <w:headerReference w:type="default" r:id="rId8"/>
      <w:footerReference w:type="default" r:id="rId9"/>
      <w:footerReference w:type="first" r:id="rId10"/>
      <w:pgSz w:w="11906" w:h="16838" w:code="9"/>
      <w:pgMar w:top="851" w:right="1134" w:bottom="1134" w:left="1701" w:header="425"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84" w:rsidRDefault="00E45F84" w:rsidP="00123E9B">
      <w:r>
        <w:separator/>
      </w:r>
    </w:p>
  </w:endnote>
  <w:endnote w:type="continuationSeparator" w:id="0">
    <w:p w:rsidR="00E45F84" w:rsidRDefault="00E45F8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8468A3" w:rsidRDefault="008468A3" w:rsidP="008468A3">
    <w:pPr>
      <w:ind w:left="-567" w:right="-568"/>
      <w:jc w:val="both"/>
      <w:rPr>
        <w:sz w:val="22"/>
        <w:szCs w:val="22"/>
      </w:rPr>
    </w:pPr>
    <w:r>
      <w:rPr>
        <w:sz w:val="22"/>
        <w:szCs w:val="22"/>
      </w:rPr>
      <w:t>IZMAnot_011214_EC2015_depoz</w:t>
    </w:r>
    <w:r w:rsidRPr="004816F6">
      <w:rPr>
        <w:sz w:val="22"/>
        <w:szCs w:val="22"/>
      </w:rPr>
      <w:t xml:space="preserve">; Ministru kabineta rīkojuma projekta </w:t>
    </w:r>
    <w:r>
      <w:rPr>
        <w:sz w:val="22"/>
        <w:szCs w:val="22"/>
      </w:rPr>
      <w:t>“</w:t>
    </w:r>
    <w:r w:rsidRPr="009F5CAD">
      <w:rPr>
        <w:sz w:val="22"/>
        <w:szCs w:val="22"/>
      </w:rPr>
      <w:t xml:space="preserve">Par </w:t>
    </w:r>
    <w:r>
      <w:rPr>
        <w:sz w:val="22"/>
        <w:szCs w:val="22"/>
      </w:rPr>
      <w:t>apropriācijas pārdali”</w:t>
    </w:r>
    <w:r w:rsidRPr="004816F6">
      <w:rPr>
        <w:sz w:val="22"/>
        <w:szCs w:val="22"/>
      </w:rPr>
      <w:t xml:space="preserve"> 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9F5CAD" w:rsidRDefault="009F5CAD" w:rsidP="009F5CAD">
    <w:pPr>
      <w:ind w:left="-567" w:right="-568"/>
      <w:jc w:val="both"/>
      <w:rPr>
        <w:sz w:val="22"/>
        <w:szCs w:val="22"/>
      </w:rPr>
    </w:pPr>
    <w:r>
      <w:rPr>
        <w:sz w:val="22"/>
        <w:szCs w:val="22"/>
      </w:rPr>
      <w:t>IZMAnot_</w:t>
    </w:r>
    <w:r w:rsidR="008468A3">
      <w:rPr>
        <w:sz w:val="22"/>
        <w:szCs w:val="22"/>
      </w:rPr>
      <w:t>0112</w:t>
    </w:r>
    <w:r w:rsidR="007B39BF">
      <w:rPr>
        <w:sz w:val="22"/>
        <w:szCs w:val="22"/>
      </w:rPr>
      <w:t>14</w:t>
    </w:r>
    <w:r>
      <w:rPr>
        <w:sz w:val="22"/>
        <w:szCs w:val="22"/>
      </w:rPr>
      <w:t>_EC2015</w:t>
    </w:r>
    <w:r w:rsidR="008468A3">
      <w:rPr>
        <w:sz w:val="22"/>
        <w:szCs w:val="22"/>
      </w:rPr>
      <w:t>_depoz</w:t>
    </w:r>
    <w:r w:rsidRPr="004816F6">
      <w:rPr>
        <w:sz w:val="22"/>
        <w:szCs w:val="22"/>
      </w:rPr>
      <w:t xml:space="preserve">; Ministru kabineta rīkojuma projekta </w:t>
    </w:r>
    <w:r>
      <w:rPr>
        <w:sz w:val="22"/>
        <w:szCs w:val="22"/>
      </w:rPr>
      <w:t>“</w:t>
    </w:r>
    <w:r w:rsidRPr="009F5CAD">
      <w:rPr>
        <w:sz w:val="22"/>
        <w:szCs w:val="22"/>
      </w:rPr>
      <w:t xml:space="preserve">Par </w:t>
    </w:r>
    <w:r w:rsidR="007B39BF">
      <w:rPr>
        <w:sz w:val="22"/>
        <w:szCs w:val="22"/>
      </w:rPr>
      <w:t>apropriācijas pārdali”</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84" w:rsidRDefault="00E45F84" w:rsidP="00123E9B">
      <w:r>
        <w:separator/>
      </w:r>
    </w:p>
  </w:footnote>
  <w:footnote w:type="continuationSeparator" w:id="0">
    <w:p w:rsidR="00E45F84" w:rsidRDefault="00E45F8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41285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5BF7B42"/>
    <w:multiLevelType w:val="hybridMultilevel"/>
    <w:tmpl w:val="8BFE0912"/>
    <w:lvl w:ilvl="0" w:tplc="FD0ECA12">
      <w:start w:val="1"/>
      <w:numFmt w:val="decimal"/>
      <w:lvlText w:val="(%1)"/>
      <w:lvlJc w:val="left"/>
      <w:pPr>
        <w:ind w:left="507" w:hanging="375"/>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nsid w:val="16447320"/>
    <w:multiLevelType w:val="hybridMultilevel"/>
    <w:tmpl w:val="F8461F56"/>
    <w:lvl w:ilvl="0" w:tplc="D868C39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B3B4305"/>
    <w:multiLevelType w:val="hybridMultilevel"/>
    <w:tmpl w:val="081452AE"/>
    <w:lvl w:ilvl="0" w:tplc="B73884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0BA02A3"/>
    <w:multiLevelType w:val="hybridMultilevel"/>
    <w:tmpl w:val="C5641C0C"/>
    <w:lvl w:ilvl="0" w:tplc="96F8207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351E082D"/>
    <w:multiLevelType w:val="hybridMultilevel"/>
    <w:tmpl w:val="E7DEEB4A"/>
    <w:lvl w:ilvl="0" w:tplc="85EC3CD4">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8">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1">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2">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9"/>
  </w:num>
  <w:num w:numId="2">
    <w:abstractNumId w:val="13"/>
  </w:num>
  <w:num w:numId="3">
    <w:abstractNumId w:val="12"/>
  </w:num>
  <w:num w:numId="4">
    <w:abstractNumId w:val="15"/>
  </w:num>
  <w:num w:numId="5">
    <w:abstractNumId w:val="10"/>
  </w:num>
  <w:num w:numId="6">
    <w:abstractNumId w:val="11"/>
  </w:num>
  <w:num w:numId="7">
    <w:abstractNumId w:val="3"/>
  </w:num>
  <w:num w:numId="8">
    <w:abstractNumId w:val="0"/>
  </w:num>
  <w:num w:numId="9">
    <w:abstractNumId w:val="8"/>
  </w:num>
  <w:num w:numId="10">
    <w:abstractNumId w:val="16"/>
  </w:num>
  <w:num w:numId="11">
    <w:abstractNumId w:val="14"/>
  </w:num>
  <w:num w:numId="12">
    <w:abstractNumId w:val="4"/>
  </w:num>
  <w:num w:numId="13">
    <w:abstractNumId w:val="6"/>
  </w:num>
  <w:num w:numId="14">
    <w:abstractNumId w:val="2"/>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125D"/>
    <w:rsid w:val="000622F7"/>
    <w:rsid w:val="00063019"/>
    <w:rsid w:val="0006651A"/>
    <w:rsid w:val="000673CA"/>
    <w:rsid w:val="00070F02"/>
    <w:rsid w:val="00071C49"/>
    <w:rsid w:val="00071E61"/>
    <w:rsid w:val="00072B98"/>
    <w:rsid w:val="00072F6C"/>
    <w:rsid w:val="000730C8"/>
    <w:rsid w:val="00073118"/>
    <w:rsid w:val="000732D1"/>
    <w:rsid w:val="00074405"/>
    <w:rsid w:val="00074B8C"/>
    <w:rsid w:val="00076F56"/>
    <w:rsid w:val="000777F6"/>
    <w:rsid w:val="000805C8"/>
    <w:rsid w:val="00080CC1"/>
    <w:rsid w:val="00081477"/>
    <w:rsid w:val="00081CEB"/>
    <w:rsid w:val="00083396"/>
    <w:rsid w:val="000849C2"/>
    <w:rsid w:val="00084C38"/>
    <w:rsid w:val="000857DA"/>
    <w:rsid w:val="0008599C"/>
    <w:rsid w:val="00090B02"/>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0F6485"/>
    <w:rsid w:val="0010198A"/>
    <w:rsid w:val="00101C45"/>
    <w:rsid w:val="00103760"/>
    <w:rsid w:val="00103A3D"/>
    <w:rsid w:val="001106D1"/>
    <w:rsid w:val="00111709"/>
    <w:rsid w:val="00111B15"/>
    <w:rsid w:val="0011262B"/>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7C7"/>
    <w:rsid w:val="00147CBF"/>
    <w:rsid w:val="00147D9A"/>
    <w:rsid w:val="00150D62"/>
    <w:rsid w:val="00152C87"/>
    <w:rsid w:val="00156760"/>
    <w:rsid w:val="00157EEE"/>
    <w:rsid w:val="00157F12"/>
    <w:rsid w:val="00161261"/>
    <w:rsid w:val="0016142A"/>
    <w:rsid w:val="00162670"/>
    <w:rsid w:val="00165215"/>
    <w:rsid w:val="001673FC"/>
    <w:rsid w:val="0017294D"/>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E40"/>
    <w:rsid w:val="001E72D6"/>
    <w:rsid w:val="001F04C7"/>
    <w:rsid w:val="001F083B"/>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47BE3"/>
    <w:rsid w:val="0025085A"/>
    <w:rsid w:val="00250A27"/>
    <w:rsid w:val="00250F03"/>
    <w:rsid w:val="002512F8"/>
    <w:rsid w:val="0025457B"/>
    <w:rsid w:val="0025458A"/>
    <w:rsid w:val="0025500E"/>
    <w:rsid w:val="0025509B"/>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853"/>
    <w:rsid w:val="00290940"/>
    <w:rsid w:val="0029164A"/>
    <w:rsid w:val="002918AC"/>
    <w:rsid w:val="00291A48"/>
    <w:rsid w:val="00291AF4"/>
    <w:rsid w:val="00293215"/>
    <w:rsid w:val="00294045"/>
    <w:rsid w:val="00295345"/>
    <w:rsid w:val="002975AC"/>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307"/>
    <w:rsid w:val="002C7C2B"/>
    <w:rsid w:val="002D4F98"/>
    <w:rsid w:val="002D50D6"/>
    <w:rsid w:val="002D5DA0"/>
    <w:rsid w:val="002D77A9"/>
    <w:rsid w:val="002E011D"/>
    <w:rsid w:val="002E090D"/>
    <w:rsid w:val="002E0B47"/>
    <w:rsid w:val="002E0BB9"/>
    <w:rsid w:val="002E40BB"/>
    <w:rsid w:val="002E6A3D"/>
    <w:rsid w:val="002E742C"/>
    <w:rsid w:val="002F120E"/>
    <w:rsid w:val="002F25B0"/>
    <w:rsid w:val="002F3C73"/>
    <w:rsid w:val="002F4472"/>
    <w:rsid w:val="002F5953"/>
    <w:rsid w:val="002F5EAC"/>
    <w:rsid w:val="002F61A6"/>
    <w:rsid w:val="002F6EEF"/>
    <w:rsid w:val="002F72C0"/>
    <w:rsid w:val="003014C2"/>
    <w:rsid w:val="003028DB"/>
    <w:rsid w:val="00304F79"/>
    <w:rsid w:val="00307A0E"/>
    <w:rsid w:val="00310877"/>
    <w:rsid w:val="00312022"/>
    <w:rsid w:val="0031385F"/>
    <w:rsid w:val="0031483B"/>
    <w:rsid w:val="00314876"/>
    <w:rsid w:val="00317B29"/>
    <w:rsid w:val="003202C1"/>
    <w:rsid w:val="00326649"/>
    <w:rsid w:val="003268E2"/>
    <w:rsid w:val="00326D04"/>
    <w:rsid w:val="00326FFD"/>
    <w:rsid w:val="00331798"/>
    <w:rsid w:val="00331B78"/>
    <w:rsid w:val="00332AD8"/>
    <w:rsid w:val="00335F59"/>
    <w:rsid w:val="00341757"/>
    <w:rsid w:val="003418C3"/>
    <w:rsid w:val="003435FA"/>
    <w:rsid w:val="003445A2"/>
    <w:rsid w:val="003478B4"/>
    <w:rsid w:val="00350D8D"/>
    <w:rsid w:val="00351AA0"/>
    <w:rsid w:val="00351B7F"/>
    <w:rsid w:val="00352F47"/>
    <w:rsid w:val="0035463A"/>
    <w:rsid w:val="00357A2C"/>
    <w:rsid w:val="003608F0"/>
    <w:rsid w:val="003620CD"/>
    <w:rsid w:val="00363F09"/>
    <w:rsid w:val="00364A83"/>
    <w:rsid w:val="00367957"/>
    <w:rsid w:val="003705EF"/>
    <w:rsid w:val="003719EC"/>
    <w:rsid w:val="0037398A"/>
    <w:rsid w:val="00376CEF"/>
    <w:rsid w:val="003773F8"/>
    <w:rsid w:val="00377E19"/>
    <w:rsid w:val="00381A75"/>
    <w:rsid w:val="0038389A"/>
    <w:rsid w:val="00383F46"/>
    <w:rsid w:val="00386F10"/>
    <w:rsid w:val="003900A2"/>
    <w:rsid w:val="003905CA"/>
    <w:rsid w:val="003906FF"/>
    <w:rsid w:val="00393529"/>
    <w:rsid w:val="003950EC"/>
    <w:rsid w:val="00397AA4"/>
    <w:rsid w:val="003A0426"/>
    <w:rsid w:val="003A09DC"/>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D01AF"/>
    <w:rsid w:val="003D4908"/>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85E"/>
    <w:rsid w:val="00412E8E"/>
    <w:rsid w:val="00413B6F"/>
    <w:rsid w:val="00414052"/>
    <w:rsid w:val="00415D76"/>
    <w:rsid w:val="00415F7B"/>
    <w:rsid w:val="00416FC9"/>
    <w:rsid w:val="00417538"/>
    <w:rsid w:val="004177B4"/>
    <w:rsid w:val="0041793F"/>
    <w:rsid w:val="00417E98"/>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776B2"/>
    <w:rsid w:val="004800CF"/>
    <w:rsid w:val="004804CE"/>
    <w:rsid w:val="00480A79"/>
    <w:rsid w:val="004816F6"/>
    <w:rsid w:val="00481F9B"/>
    <w:rsid w:val="004821A5"/>
    <w:rsid w:val="00482B4C"/>
    <w:rsid w:val="00482F3D"/>
    <w:rsid w:val="0048376B"/>
    <w:rsid w:val="0048632C"/>
    <w:rsid w:val="00486A8A"/>
    <w:rsid w:val="004925F7"/>
    <w:rsid w:val="004940B7"/>
    <w:rsid w:val="0049673D"/>
    <w:rsid w:val="00496E04"/>
    <w:rsid w:val="004A1976"/>
    <w:rsid w:val="004A1F56"/>
    <w:rsid w:val="004A2074"/>
    <w:rsid w:val="004A21C7"/>
    <w:rsid w:val="004A2665"/>
    <w:rsid w:val="004A38D9"/>
    <w:rsid w:val="004A56AF"/>
    <w:rsid w:val="004A5933"/>
    <w:rsid w:val="004A6A93"/>
    <w:rsid w:val="004A6E2E"/>
    <w:rsid w:val="004B0198"/>
    <w:rsid w:val="004B3DE6"/>
    <w:rsid w:val="004B403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1E2E"/>
    <w:rsid w:val="004E4B60"/>
    <w:rsid w:val="004E607D"/>
    <w:rsid w:val="004E7040"/>
    <w:rsid w:val="004F14C5"/>
    <w:rsid w:val="004F3806"/>
    <w:rsid w:val="004F3D0D"/>
    <w:rsid w:val="004F788C"/>
    <w:rsid w:val="004F7E19"/>
    <w:rsid w:val="00503618"/>
    <w:rsid w:val="00504DBF"/>
    <w:rsid w:val="00506F79"/>
    <w:rsid w:val="005134ED"/>
    <w:rsid w:val="00514C25"/>
    <w:rsid w:val="0051556C"/>
    <w:rsid w:val="005161C9"/>
    <w:rsid w:val="00516733"/>
    <w:rsid w:val="00520DCB"/>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383D"/>
    <w:rsid w:val="005538DD"/>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3EB2"/>
    <w:rsid w:val="00594DEF"/>
    <w:rsid w:val="005A02DC"/>
    <w:rsid w:val="005A03DE"/>
    <w:rsid w:val="005A077D"/>
    <w:rsid w:val="005A0EAC"/>
    <w:rsid w:val="005A19BE"/>
    <w:rsid w:val="005A2C74"/>
    <w:rsid w:val="005A518B"/>
    <w:rsid w:val="005A627E"/>
    <w:rsid w:val="005A7083"/>
    <w:rsid w:val="005A7608"/>
    <w:rsid w:val="005A7644"/>
    <w:rsid w:val="005B1022"/>
    <w:rsid w:val="005B1E9C"/>
    <w:rsid w:val="005B31E6"/>
    <w:rsid w:val="005B4B22"/>
    <w:rsid w:val="005B5C5C"/>
    <w:rsid w:val="005C066E"/>
    <w:rsid w:val="005C1641"/>
    <w:rsid w:val="005C1BC7"/>
    <w:rsid w:val="005C278A"/>
    <w:rsid w:val="005C32C9"/>
    <w:rsid w:val="005C3A56"/>
    <w:rsid w:val="005C3A67"/>
    <w:rsid w:val="005C5513"/>
    <w:rsid w:val="005C5DB9"/>
    <w:rsid w:val="005C5E85"/>
    <w:rsid w:val="005C6705"/>
    <w:rsid w:val="005C6B8A"/>
    <w:rsid w:val="005C7471"/>
    <w:rsid w:val="005D05F2"/>
    <w:rsid w:val="005D2257"/>
    <w:rsid w:val="005D2C19"/>
    <w:rsid w:val="005D4A0C"/>
    <w:rsid w:val="005D564D"/>
    <w:rsid w:val="005D64B0"/>
    <w:rsid w:val="005D6B61"/>
    <w:rsid w:val="005D6B8A"/>
    <w:rsid w:val="005E1228"/>
    <w:rsid w:val="005E30CF"/>
    <w:rsid w:val="005E40D9"/>
    <w:rsid w:val="005E4159"/>
    <w:rsid w:val="005E4DF4"/>
    <w:rsid w:val="005E671A"/>
    <w:rsid w:val="005F22A7"/>
    <w:rsid w:val="005F3AA1"/>
    <w:rsid w:val="005F6A42"/>
    <w:rsid w:val="00600E72"/>
    <w:rsid w:val="0060231D"/>
    <w:rsid w:val="00604944"/>
    <w:rsid w:val="00605A33"/>
    <w:rsid w:val="0060679E"/>
    <w:rsid w:val="00606918"/>
    <w:rsid w:val="006107D6"/>
    <w:rsid w:val="0061090E"/>
    <w:rsid w:val="0061482E"/>
    <w:rsid w:val="00615FD8"/>
    <w:rsid w:val="00616477"/>
    <w:rsid w:val="00617D7A"/>
    <w:rsid w:val="00620CAE"/>
    <w:rsid w:val="00620EFF"/>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76B01"/>
    <w:rsid w:val="00682170"/>
    <w:rsid w:val="00685380"/>
    <w:rsid w:val="00685E09"/>
    <w:rsid w:val="0068655F"/>
    <w:rsid w:val="00687B8B"/>
    <w:rsid w:val="00693071"/>
    <w:rsid w:val="00693E2C"/>
    <w:rsid w:val="00694526"/>
    <w:rsid w:val="00694574"/>
    <w:rsid w:val="00696599"/>
    <w:rsid w:val="00696EF6"/>
    <w:rsid w:val="00697E73"/>
    <w:rsid w:val="006A20B2"/>
    <w:rsid w:val="006A26FB"/>
    <w:rsid w:val="006A3F8B"/>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263E"/>
    <w:rsid w:val="006D531B"/>
    <w:rsid w:val="006D5A81"/>
    <w:rsid w:val="006D6BB4"/>
    <w:rsid w:val="006D759A"/>
    <w:rsid w:val="006D7BDE"/>
    <w:rsid w:val="006E0FB6"/>
    <w:rsid w:val="006E2009"/>
    <w:rsid w:val="006E4CBA"/>
    <w:rsid w:val="006E6160"/>
    <w:rsid w:val="006E768C"/>
    <w:rsid w:val="006E78C3"/>
    <w:rsid w:val="006F28DA"/>
    <w:rsid w:val="006F29FB"/>
    <w:rsid w:val="006F3DD2"/>
    <w:rsid w:val="006F5778"/>
    <w:rsid w:val="006F62D0"/>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45B25"/>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20"/>
    <w:rsid w:val="00791E64"/>
    <w:rsid w:val="0079257F"/>
    <w:rsid w:val="0079317A"/>
    <w:rsid w:val="00795000"/>
    <w:rsid w:val="007951D8"/>
    <w:rsid w:val="00795A9E"/>
    <w:rsid w:val="0079616C"/>
    <w:rsid w:val="00797264"/>
    <w:rsid w:val="007A0D97"/>
    <w:rsid w:val="007A1337"/>
    <w:rsid w:val="007A424E"/>
    <w:rsid w:val="007A4A08"/>
    <w:rsid w:val="007A4B92"/>
    <w:rsid w:val="007A51FA"/>
    <w:rsid w:val="007A584F"/>
    <w:rsid w:val="007A68A0"/>
    <w:rsid w:val="007A70F7"/>
    <w:rsid w:val="007A7D3A"/>
    <w:rsid w:val="007A7E67"/>
    <w:rsid w:val="007B1544"/>
    <w:rsid w:val="007B1F8F"/>
    <w:rsid w:val="007B25D4"/>
    <w:rsid w:val="007B39BF"/>
    <w:rsid w:val="007B3D22"/>
    <w:rsid w:val="007B47C2"/>
    <w:rsid w:val="007C05FF"/>
    <w:rsid w:val="007C0F2C"/>
    <w:rsid w:val="007C221B"/>
    <w:rsid w:val="007C231C"/>
    <w:rsid w:val="007C34AD"/>
    <w:rsid w:val="007C4848"/>
    <w:rsid w:val="007C49C6"/>
    <w:rsid w:val="007C5877"/>
    <w:rsid w:val="007C590D"/>
    <w:rsid w:val="007C5E55"/>
    <w:rsid w:val="007C6451"/>
    <w:rsid w:val="007D3AAC"/>
    <w:rsid w:val="007E2464"/>
    <w:rsid w:val="007E36FC"/>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11310"/>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468A3"/>
    <w:rsid w:val="00850449"/>
    <w:rsid w:val="00852127"/>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6518"/>
    <w:rsid w:val="00880012"/>
    <w:rsid w:val="00882419"/>
    <w:rsid w:val="0088273C"/>
    <w:rsid w:val="00884A65"/>
    <w:rsid w:val="00887353"/>
    <w:rsid w:val="0089266F"/>
    <w:rsid w:val="00892CEB"/>
    <w:rsid w:val="00892DC2"/>
    <w:rsid w:val="0089323C"/>
    <w:rsid w:val="00893CD2"/>
    <w:rsid w:val="008A17E9"/>
    <w:rsid w:val="008A60A4"/>
    <w:rsid w:val="008A6C8A"/>
    <w:rsid w:val="008B2279"/>
    <w:rsid w:val="008B27BF"/>
    <w:rsid w:val="008B50AE"/>
    <w:rsid w:val="008B53EA"/>
    <w:rsid w:val="008B55F4"/>
    <w:rsid w:val="008B5BBC"/>
    <w:rsid w:val="008C0244"/>
    <w:rsid w:val="008C06F7"/>
    <w:rsid w:val="008C28CD"/>
    <w:rsid w:val="008C41B8"/>
    <w:rsid w:val="008C5946"/>
    <w:rsid w:val="008C68D2"/>
    <w:rsid w:val="008C7033"/>
    <w:rsid w:val="008C716F"/>
    <w:rsid w:val="008D1A25"/>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2913"/>
    <w:rsid w:val="00923486"/>
    <w:rsid w:val="0092388C"/>
    <w:rsid w:val="009254BE"/>
    <w:rsid w:val="00925B34"/>
    <w:rsid w:val="00930905"/>
    <w:rsid w:val="009321E2"/>
    <w:rsid w:val="009343C2"/>
    <w:rsid w:val="00935F6C"/>
    <w:rsid w:val="00941288"/>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5D40"/>
    <w:rsid w:val="00976CDB"/>
    <w:rsid w:val="009848C9"/>
    <w:rsid w:val="009849CF"/>
    <w:rsid w:val="009855F0"/>
    <w:rsid w:val="00985B4B"/>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8C6"/>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5CAD"/>
    <w:rsid w:val="009F641D"/>
    <w:rsid w:val="009F65C9"/>
    <w:rsid w:val="009F6AC7"/>
    <w:rsid w:val="00A07D34"/>
    <w:rsid w:val="00A10BB0"/>
    <w:rsid w:val="00A13034"/>
    <w:rsid w:val="00A1339D"/>
    <w:rsid w:val="00A13445"/>
    <w:rsid w:val="00A13CB9"/>
    <w:rsid w:val="00A15252"/>
    <w:rsid w:val="00A17D77"/>
    <w:rsid w:val="00A2036F"/>
    <w:rsid w:val="00A208FB"/>
    <w:rsid w:val="00A2178F"/>
    <w:rsid w:val="00A21DDA"/>
    <w:rsid w:val="00A22F12"/>
    <w:rsid w:val="00A23073"/>
    <w:rsid w:val="00A231FE"/>
    <w:rsid w:val="00A2356A"/>
    <w:rsid w:val="00A24920"/>
    <w:rsid w:val="00A24A9C"/>
    <w:rsid w:val="00A25A59"/>
    <w:rsid w:val="00A2650C"/>
    <w:rsid w:val="00A26E8E"/>
    <w:rsid w:val="00A310E9"/>
    <w:rsid w:val="00A3143D"/>
    <w:rsid w:val="00A354B5"/>
    <w:rsid w:val="00A36030"/>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13CA"/>
    <w:rsid w:val="00A7205F"/>
    <w:rsid w:val="00A720FA"/>
    <w:rsid w:val="00A7341A"/>
    <w:rsid w:val="00A739AB"/>
    <w:rsid w:val="00A75FB6"/>
    <w:rsid w:val="00A81A75"/>
    <w:rsid w:val="00A820BD"/>
    <w:rsid w:val="00A82EC4"/>
    <w:rsid w:val="00A8540A"/>
    <w:rsid w:val="00A8706A"/>
    <w:rsid w:val="00A877FE"/>
    <w:rsid w:val="00A90A9D"/>
    <w:rsid w:val="00A9391C"/>
    <w:rsid w:val="00A94CC5"/>
    <w:rsid w:val="00A960A0"/>
    <w:rsid w:val="00A965D6"/>
    <w:rsid w:val="00AA0527"/>
    <w:rsid w:val="00AA170E"/>
    <w:rsid w:val="00AA2CC8"/>
    <w:rsid w:val="00AA3C68"/>
    <w:rsid w:val="00AA4269"/>
    <w:rsid w:val="00AA4363"/>
    <w:rsid w:val="00AA5CA7"/>
    <w:rsid w:val="00AB1ED1"/>
    <w:rsid w:val="00AB1FD4"/>
    <w:rsid w:val="00AB319D"/>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1F4F"/>
    <w:rsid w:val="00AE3049"/>
    <w:rsid w:val="00AE38F5"/>
    <w:rsid w:val="00AE4B54"/>
    <w:rsid w:val="00AE4C26"/>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16DD"/>
    <w:rsid w:val="00B127DA"/>
    <w:rsid w:val="00B1425E"/>
    <w:rsid w:val="00B15430"/>
    <w:rsid w:val="00B22FD6"/>
    <w:rsid w:val="00B244D4"/>
    <w:rsid w:val="00B25F1D"/>
    <w:rsid w:val="00B26712"/>
    <w:rsid w:val="00B2782A"/>
    <w:rsid w:val="00B31594"/>
    <w:rsid w:val="00B324F4"/>
    <w:rsid w:val="00B32DD2"/>
    <w:rsid w:val="00B336D8"/>
    <w:rsid w:val="00B34BFA"/>
    <w:rsid w:val="00B356A4"/>
    <w:rsid w:val="00B411EC"/>
    <w:rsid w:val="00B41C0A"/>
    <w:rsid w:val="00B428A4"/>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66262"/>
    <w:rsid w:val="00B70B33"/>
    <w:rsid w:val="00B74628"/>
    <w:rsid w:val="00B760A2"/>
    <w:rsid w:val="00B77651"/>
    <w:rsid w:val="00B80C47"/>
    <w:rsid w:val="00B81322"/>
    <w:rsid w:val="00B83EC9"/>
    <w:rsid w:val="00B857B3"/>
    <w:rsid w:val="00B862CD"/>
    <w:rsid w:val="00B86487"/>
    <w:rsid w:val="00B87192"/>
    <w:rsid w:val="00B92E1A"/>
    <w:rsid w:val="00B94951"/>
    <w:rsid w:val="00B95D33"/>
    <w:rsid w:val="00B96B6E"/>
    <w:rsid w:val="00B96C4A"/>
    <w:rsid w:val="00B96CA3"/>
    <w:rsid w:val="00B97591"/>
    <w:rsid w:val="00BA006C"/>
    <w:rsid w:val="00BA20B0"/>
    <w:rsid w:val="00BA2905"/>
    <w:rsid w:val="00BA3159"/>
    <w:rsid w:val="00BA372F"/>
    <w:rsid w:val="00BA5CA2"/>
    <w:rsid w:val="00BA6305"/>
    <w:rsid w:val="00BA7940"/>
    <w:rsid w:val="00BB302C"/>
    <w:rsid w:val="00BC0B52"/>
    <w:rsid w:val="00BC0D9F"/>
    <w:rsid w:val="00BC10F5"/>
    <w:rsid w:val="00BC2EC0"/>
    <w:rsid w:val="00BC4D7B"/>
    <w:rsid w:val="00BC605E"/>
    <w:rsid w:val="00BC6786"/>
    <w:rsid w:val="00BC7009"/>
    <w:rsid w:val="00BC7743"/>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3998"/>
    <w:rsid w:val="00BF4049"/>
    <w:rsid w:val="00BF482E"/>
    <w:rsid w:val="00BF48DB"/>
    <w:rsid w:val="00BF4B8B"/>
    <w:rsid w:val="00BF5486"/>
    <w:rsid w:val="00BF6FE8"/>
    <w:rsid w:val="00BF7C57"/>
    <w:rsid w:val="00C01EB4"/>
    <w:rsid w:val="00C03731"/>
    <w:rsid w:val="00C03839"/>
    <w:rsid w:val="00C048B3"/>
    <w:rsid w:val="00C06955"/>
    <w:rsid w:val="00C11016"/>
    <w:rsid w:val="00C112B7"/>
    <w:rsid w:val="00C13B05"/>
    <w:rsid w:val="00C1447B"/>
    <w:rsid w:val="00C17CB6"/>
    <w:rsid w:val="00C221FB"/>
    <w:rsid w:val="00C23CCC"/>
    <w:rsid w:val="00C24859"/>
    <w:rsid w:val="00C25CDA"/>
    <w:rsid w:val="00C301CF"/>
    <w:rsid w:val="00C309F0"/>
    <w:rsid w:val="00C30CED"/>
    <w:rsid w:val="00C31183"/>
    <w:rsid w:val="00C31C0D"/>
    <w:rsid w:val="00C3238E"/>
    <w:rsid w:val="00C33847"/>
    <w:rsid w:val="00C340E9"/>
    <w:rsid w:val="00C34365"/>
    <w:rsid w:val="00C345C2"/>
    <w:rsid w:val="00C378BC"/>
    <w:rsid w:val="00C37DDF"/>
    <w:rsid w:val="00C40C5E"/>
    <w:rsid w:val="00C40D08"/>
    <w:rsid w:val="00C411E2"/>
    <w:rsid w:val="00C41BA9"/>
    <w:rsid w:val="00C41FEE"/>
    <w:rsid w:val="00C42121"/>
    <w:rsid w:val="00C451CB"/>
    <w:rsid w:val="00C45FB0"/>
    <w:rsid w:val="00C46F8F"/>
    <w:rsid w:val="00C513BE"/>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0DE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6C73"/>
    <w:rsid w:val="00CA7F67"/>
    <w:rsid w:val="00CB15EC"/>
    <w:rsid w:val="00CB2CD5"/>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2DA3"/>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47B77"/>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32F"/>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1EE5"/>
    <w:rsid w:val="00DC332F"/>
    <w:rsid w:val="00DC4DFE"/>
    <w:rsid w:val="00DC5E40"/>
    <w:rsid w:val="00DC69F0"/>
    <w:rsid w:val="00DC7BFF"/>
    <w:rsid w:val="00DD07FE"/>
    <w:rsid w:val="00DD162F"/>
    <w:rsid w:val="00DD347D"/>
    <w:rsid w:val="00DD3F5F"/>
    <w:rsid w:val="00DD54C6"/>
    <w:rsid w:val="00DD75B2"/>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1C08"/>
    <w:rsid w:val="00E0216E"/>
    <w:rsid w:val="00E03CCB"/>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2FB6"/>
    <w:rsid w:val="00E33A6E"/>
    <w:rsid w:val="00E33CDF"/>
    <w:rsid w:val="00E34D42"/>
    <w:rsid w:val="00E35E8A"/>
    <w:rsid w:val="00E3681A"/>
    <w:rsid w:val="00E379F0"/>
    <w:rsid w:val="00E37D81"/>
    <w:rsid w:val="00E401A6"/>
    <w:rsid w:val="00E41673"/>
    <w:rsid w:val="00E43562"/>
    <w:rsid w:val="00E457D2"/>
    <w:rsid w:val="00E45F84"/>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1FA"/>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1609"/>
    <w:rsid w:val="00F1205C"/>
    <w:rsid w:val="00F13091"/>
    <w:rsid w:val="00F20565"/>
    <w:rsid w:val="00F20699"/>
    <w:rsid w:val="00F20B34"/>
    <w:rsid w:val="00F215C8"/>
    <w:rsid w:val="00F21A92"/>
    <w:rsid w:val="00F22FDF"/>
    <w:rsid w:val="00F24AFB"/>
    <w:rsid w:val="00F25C7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15D1"/>
    <w:rsid w:val="00F62C42"/>
    <w:rsid w:val="00F63024"/>
    <w:rsid w:val="00F70A0E"/>
    <w:rsid w:val="00F70A6B"/>
    <w:rsid w:val="00F71637"/>
    <w:rsid w:val="00F71E34"/>
    <w:rsid w:val="00F72CE7"/>
    <w:rsid w:val="00F755C7"/>
    <w:rsid w:val="00F81A9F"/>
    <w:rsid w:val="00F83581"/>
    <w:rsid w:val="00F8549E"/>
    <w:rsid w:val="00F85AF0"/>
    <w:rsid w:val="00F85BE4"/>
    <w:rsid w:val="00F862B1"/>
    <w:rsid w:val="00F8643F"/>
    <w:rsid w:val="00F8736F"/>
    <w:rsid w:val="00F87FD6"/>
    <w:rsid w:val="00F951E3"/>
    <w:rsid w:val="00FA0234"/>
    <w:rsid w:val="00FA0692"/>
    <w:rsid w:val="00FA1797"/>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3E2"/>
    <w:rsid w:val="00FD35D0"/>
    <w:rsid w:val="00FD681B"/>
    <w:rsid w:val="00FD7331"/>
    <w:rsid w:val="00FE0E03"/>
    <w:rsid w:val="00FE2085"/>
    <w:rsid w:val="00FE3414"/>
    <w:rsid w:val="00FE3673"/>
    <w:rsid w:val="00FF049C"/>
    <w:rsid w:val="00FF1471"/>
    <w:rsid w:val="00FF19DC"/>
    <w:rsid w:val="00FF2863"/>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58D9-DC14-4D3F-ADC6-7D8FCCF4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7580</Words>
  <Characters>4321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103</cp:revision>
  <cp:lastPrinted>2012-05-15T10:00:00Z</cp:lastPrinted>
  <dcterms:created xsi:type="dcterms:W3CDTF">2014-09-11T06:21:00Z</dcterms:created>
  <dcterms:modified xsi:type="dcterms:W3CDTF">2014-12-01T02:03:00Z</dcterms:modified>
</cp:coreProperties>
</file>