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8E65" w14:textId="77777777" w:rsidR="00902B05" w:rsidRPr="00117B82" w:rsidRDefault="00902B05" w:rsidP="003A529F">
      <w:pPr>
        <w:spacing w:after="0" w:line="240" w:lineRule="auto"/>
        <w:jc w:val="center"/>
        <w:rPr>
          <w:rFonts w:ascii="Times New Roman" w:hAnsi="Times New Roman" w:cs="Times New Roman"/>
          <w:b/>
          <w:sz w:val="26"/>
          <w:szCs w:val="26"/>
        </w:rPr>
      </w:pPr>
      <w:bookmarkStart w:id="0" w:name="OLE_LINK1"/>
      <w:bookmarkStart w:id="1" w:name="OLE_LINK2"/>
      <w:r w:rsidRPr="00117B82">
        <w:rPr>
          <w:rFonts w:ascii="Times New Roman" w:hAnsi="Times New Roman" w:cs="Times New Roman"/>
          <w:b/>
          <w:sz w:val="26"/>
          <w:szCs w:val="26"/>
        </w:rPr>
        <w:t>Ministru kabineta noteikumu projekta</w:t>
      </w:r>
    </w:p>
    <w:p w14:paraId="2DB66D98" w14:textId="77777777" w:rsidR="00902B05" w:rsidRPr="00117B82" w:rsidRDefault="00902B05" w:rsidP="00902B05">
      <w:pPr>
        <w:pStyle w:val="tv20787921"/>
        <w:spacing w:after="0" w:line="240" w:lineRule="auto"/>
        <w:rPr>
          <w:rFonts w:ascii="Times New Roman" w:hAnsi="Times New Roman"/>
          <w:bCs w:val="0"/>
          <w:sz w:val="26"/>
          <w:szCs w:val="26"/>
        </w:rPr>
      </w:pPr>
      <w:bookmarkStart w:id="2" w:name="OLE_LINK3"/>
      <w:bookmarkStart w:id="3" w:name="OLE_LINK4"/>
      <w:bookmarkStart w:id="4" w:name="OLE_LINK7"/>
      <w:bookmarkStart w:id="5" w:name="OLE_LINK8"/>
      <w:bookmarkEnd w:id="0"/>
      <w:bookmarkEnd w:id="1"/>
      <w:r w:rsidRPr="00117B82">
        <w:rPr>
          <w:rFonts w:ascii="Times New Roman" w:hAnsi="Times New Roman"/>
          <w:bCs w:val="0"/>
          <w:sz w:val="26"/>
          <w:szCs w:val="26"/>
        </w:rPr>
        <w:t>„</w:t>
      </w:r>
      <w:bookmarkEnd w:id="2"/>
      <w:bookmarkEnd w:id="3"/>
      <w:bookmarkEnd w:id="4"/>
      <w:bookmarkEnd w:id="5"/>
      <w:r w:rsidRPr="00117B82">
        <w:rPr>
          <w:rFonts w:ascii="Times New Roman" w:hAnsi="Times New Roman"/>
          <w:bCs w:val="0"/>
          <w:sz w:val="26"/>
          <w:szCs w:val="26"/>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w:t>
      </w:r>
    </w:p>
    <w:p w14:paraId="4A971CD6" w14:textId="77777777" w:rsidR="00117B82" w:rsidRPr="00902B05" w:rsidRDefault="00117B82" w:rsidP="00902B05">
      <w:pPr>
        <w:pStyle w:val="tv20787921"/>
        <w:spacing w:after="0" w:line="240" w:lineRule="auto"/>
        <w:rPr>
          <w:rFonts w:ascii="Times New Roman" w:hAnsi="Times New Roman"/>
          <w:bCs w:val="0"/>
        </w:rPr>
      </w:pPr>
    </w:p>
    <w:tbl>
      <w:tblPr>
        <w:tblpPr w:leftFromText="180" w:rightFromText="180" w:vertAnchor="text" w:horzAnchor="margin" w:tblpXSpec="center" w:tblpY="31"/>
        <w:tblOverlap w:val="never"/>
        <w:tblW w:w="598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2572"/>
        <w:gridCol w:w="6931"/>
      </w:tblGrid>
      <w:tr w:rsidR="00514935" w:rsidRPr="00117B82" w14:paraId="2959E44B" w14:textId="77777777" w:rsidTr="00695B9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3A158F" w14:textId="77777777"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17B82">
              <w:rPr>
                <w:rFonts w:ascii="Times New Roman" w:eastAsia="Times New Roman" w:hAnsi="Times New Roman" w:cs="Times New Roman"/>
                <w:b/>
                <w:bCs/>
                <w:sz w:val="26"/>
                <w:szCs w:val="26"/>
                <w:lang w:eastAsia="lv-LV"/>
              </w:rPr>
              <w:t>I. Tiesību akta projekta izstrādes nepieciešamība</w:t>
            </w:r>
          </w:p>
        </w:tc>
      </w:tr>
      <w:tr w:rsidR="00514935" w:rsidRPr="00117B82" w14:paraId="6FF5076A" w14:textId="77777777" w:rsidTr="00695B9E">
        <w:trPr>
          <w:trHeight w:val="405"/>
        </w:trPr>
        <w:tc>
          <w:tcPr>
            <w:tcW w:w="208" w:type="pct"/>
            <w:tcBorders>
              <w:top w:val="outset" w:sz="6" w:space="0" w:color="414142"/>
              <w:left w:val="outset" w:sz="6" w:space="0" w:color="414142"/>
              <w:bottom w:val="outset" w:sz="6" w:space="0" w:color="414142"/>
              <w:right w:val="outset" w:sz="6" w:space="0" w:color="414142"/>
            </w:tcBorders>
            <w:hideMark/>
          </w:tcPr>
          <w:p w14:paraId="7897E6D0" w14:textId="77777777" w:rsidR="00514935" w:rsidRPr="00117B82"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1.</w:t>
            </w:r>
          </w:p>
        </w:tc>
        <w:tc>
          <w:tcPr>
            <w:tcW w:w="1297" w:type="pct"/>
            <w:tcBorders>
              <w:top w:val="outset" w:sz="6" w:space="0" w:color="414142"/>
              <w:left w:val="outset" w:sz="6" w:space="0" w:color="414142"/>
              <w:bottom w:val="outset" w:sz="6" w:space="0" w:color="414142"/>
              <w:right w:val="outset" w:sz="6" w:space="0" w:color="414142"/>
            </w:tcBorders>
            <w:hideMark/>
          </w:tcPr>
          <w:p w14:paraId="767EA408" w14:textId="77777777" w:rsidR="00514935" w:rsidRPr="00117B82" w:rsidRDefault="00514935" w:rsidP="00695B9E">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Pamatojums</w:t>
            </w:r>
          </w:p>
        </w:tc>
        <w:tc>
          <w:tcPr>
            <w:tcW w:w="3495" w:type="pct"/>
            <w:tcBorders>
              <w:top w:val="outset" w:sz="6" w:space="0" w:color="414142"/>
              <w:left w:val="outset" w:sz="6" w:space="0" w:color="414142"/>
              <w:bottom w:val="outset" w:sz="6" w:space="0" w:color="414142"/>
              <w:right w:val="outset" w:sz="6" w:space="0" w:color="414142"/>
            </w:tcBorders>
            <w:hideMark/>
          </w:tcPr>
          <w:p w14:paraId="7367CB74" w14:textId="77777777" w:rsidR="00514935" w:rsidRPr="00117B82" w:rsidRDefault="005F6922" w:rsidP="00695B9E">
            <w:pPr>
              <w:spacing w:after="0" w:line="240" w:lineRule="auto"/>
              <w:jc w:val="both"/>
              <w:rPr>
                <w:rFonts w:ascii="Times New Roman" w:eastAsia="Times New Roman" w:hAnsi="Times New Roman" w:cs="Times New Roman"/>
                <w:sz w:val="26"/>
                <w:szCs w:val="26"/>
                <w:lang w:eastAsia="lv-LV"/>
              </w:rPr>
            </w:pPr>
            <w:r w:rsidRPr="00117B82">
              <w:rPr>
                <w:rFonts w:ascii="Times New Roman" w:eastAsia="Calibri" w:hAnsi="Times New Roman" w:cs="Times New Roman"/>
                <w:sz w:val="26"/>
                <w:szCs w:val="26"/>
              </w:rPr>
              <w:t>Ministru kabineta noteikumu projekts „</w:t>
            </w:r>
            <w:r w:rsidRPr="00117B82">
              <w:rPr>
                <w:rFonts w:ascii="Times New Roman" w:hAnsi="Times New Roman" w:cs="Times New Roman"/>
                <w:bCs/>
                <w:sz w:val="26"/>
                <w:szCs w:val="26"/>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117B82">
              <w:rPr>
                <w:rFonts w:ascii="Times New Roman" w:hAnsi="Times New Roman" w:cs="Times New Roman"/>
                <w:sz w:val="26"/>
                <w:szCs w:val="26"/>
              </w:rPr>
              <w:t xml:space="preserve"> (turpmāk – projekts) izstrādāts, pamatojoties uz Ministru kabineta 2013.gada 3.decembra sēdes protokollēmuma (prot. Nr.64 48.§) </w:t>
            </w:r>
            <w:r w:rsidR="00EF5E0D" w:rsidRPr="00117B82">
              <w:rPr>
                <w:rFonts w:ascii="Times New Roman" w:hAnsi="Times New Roman" w:cs="Times New Roman"/>
                <w:sz w:val="26"/>
                <w:szCs w:val="26"/>
              </w:rPr>
              <w:t>„</w:t>
            </w:r>
            <w:r w:rsidRPr="00117B82">
              <w:rPr>
                <w:rFonts w:ascii="Times New Roman" w:hAnsi="Times New Roman" w:cs="Times New Roman"/>
                <w:sz w:val="26"/>
                <w:szCs w:val="26"/>
                <w:shd w:val="clear" w:color="auto" w:fill="FFFFFF"/>
              </w:rPr>
              <w:t xml:space="preserve">Informatīvais ziņojums </w:t>
            </w:r>
            <w:r w:rsidR="00EF5E0D" w:rsidRPr="00117B82">
              <w:rPr>
                <w:rFonts w:ascii="Times New Roman" w:hAnsi="Times New Roman" w:cs="Times New Roman"/>
                <w:sz w:val="26"/>
                <w:szCs w:val="26"/>
                <w:shd w:val="clear" w:color="auto" w:fill="FFFFFF"/>
              </w:rPr>
              <w:t>„</w:t>
            </w:r>
            <w:r w:rsidRPr="00117B82">
              <w:rPr>
                <w:rFonts w:ascii="Times New Roman" w:hAnsi="Times New Roman" w:cs="Times New Roman"/>
                <w:sz w:val="26"/>
                <w:szCs w:val="26"/>
                <w:shd w:val="clear" w:color="auto" w:fill="FFFFFF"/>
              </w:rPr>
              <w:t>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w:t>
            </w:r>
            <w:r w:rsidR="00EF5E0D" w:rsidRPr="00117B82">
              <w:rPr>
                <w:rFonts w:ascii="Times New Roman" w:hAnsi="Times New Roman" w:cs="Times New Roman"/>
                <w:sz w:val="26"/>
                <w:szCs w:val="26"/>
                <w:shd w:val="clear" w:color="auto" w:fill="FFFFFF"/>
              </w:rPr>
              <w:t>””</w:t>
            </w:r>
            <w:r w:rsidR="00405B2D" w:rsidRPr="00117B82">
              <w:rPr>
                <w:rFonts w:ascii="Times New Roman" w:hAnsi="Times New Roman" w:cs="Times New Roman"/>
                <w:sz w:val="26"/>
                <w:szCs w:val="26"/>
                <w:shd w:val="clear" w:color="auto" w:fill="FFFFFF"/>
              </w:rPr>
              <w:t xml:space="preserve"> </w:t>
            </w:r>
            <w:r w:rsidRPr="00117B82">
              <w:rPr>
                <w:rFonts w:ascii="Times New Roman" w:hAnsi="Times New Roman" w:cs="Times New Roman"/>
                <w:sz w:val="26"/>
                <w:szCs w:val="26"/>
                <w:shd w:val="clear" w:color="auto" w:fill="FFFFFF"/>
              </w:rPr>
              <w:t>5.2., 5.5. un 5.6.apakšpunktā doto uzdevumu</w:t>
            </w:r>
            <w:r w:rsidR="00F073EE" w:rsidRPr="00117B82">
              <w:rPr>
                <w:rFonts w:ascii="Times New Roman" w:hAnsi="Times New Roman" w:cs="Times New Roman"/>
                <w:sz w:val="26"/>
                <w:szCs w:val="26"/>
                <w:shd w:val="clear" w:color="auto" w:fill="FFFFFF"/>
              </w:rPr>
              <w:t xml:space="preserve"> (turpmāk – protokollēmums)</w:t>
            </w:r>
            <w:r w:rsidRPr="00117B82">
              <w:rPr>
                <w:rFonts w:ascii="Times New Roman" w:hAnsi="Times New Roman" w:cs="Times New Roman"/>
                <w:sz w:val="26"/>
                <w:szCs w:val="26"/>
                <w:shd w:val="clear" w:color="auto" w:fill="FFFFFF"/>
              </w:rPr>
              <w:t>.</w:t>
            </w:r>
            <w:r w:rsidR="00B77578" w:rsidRPr="00117B82">
              <w:rPr>
                <w:rFonts w:ascii="Times New Roman" w:hAnsi="Times New Roman" w:cs="Times New Roman"/>
                <w:sz w:val="26"/>
                <w:szCs w:val="26"/>
                <w:shd w:val="clear" w:color="auto" w:fill="FFFFFF"/>
              </w:rPr>
              <w:t xml:space="preserve"> </w:t>
            </w:r>
          </w:p>
        </w:tc>
      </w:tr>
      <w:tr w:rsidR="00514935" w:rsidRPr="003C6277" w14:paraId="6B64A418" w14:textId="77777777" w:rsidTr="00695B9E">
        <w:trPr>
          <w:trHeight w:val="465"/>
        </w:trPr>
        <w:tc>
          <w:tcPr>
            <w:tcW w:w="208" w:type="pct"/>
            <w:tcBorders>
              <w:top w:val="outset" w:sz="6" w:space="0" w:color="414142"/>
              <w:left w:val="outset" w:sz="6" w:space="0" w:color="414142"/>
              <w:bottom w:val="outset" w:sz="6" w:space="0" w:color="414142"/>
              <w:right w:val="outset" w:sz="6" w:space="0" w:color="414142"/>
            </w:tcBorders>
            <w:hideMark/>
          </w:tcPr>
          <w:p w14:paraId="262A6B77" w14:textId="77777777" w:rsidR="00514935" w:rsidRPr="003C6277"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2.</w:t>
            </w:r>
          </w:p>
        </w:tc>
        <w:tc>
          <w:tcPr>
            <w:tcW w:w="1297" w:type="pct"/>
            <w:tcBorders>
              <w:top w:val="outset" w:sz="6" w:space="0" w:color="414142"/>
              <w:left w:val="outset" w:sz="6" w:space="0" w:color="414142"/>
              <w:bottom w:val="outset" w:sz="6" w:space="0" w:color="414142"/>
              <w:right w:val="outset" w:sz="6" w:space="0" w:color="414142"/>
            </w:tcBorders>
            <w:hideMark/>
          </w:tcPr>
          <w:p w14:paraId="446974BE" w14:textId="77777777" w:rsidR="00514935" w:rsidRPr="003C6277" w:rsidRDefault="00514935" w:rsidP="00E86396">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495" w:type="pct"/>
            <w:tcBorders>
              <w:top w:val="outset" w:sz="6" w:space="0" w:color="414142"/>
              <w:left w:val="outset" w:sz="6" w:space="0" w:color="414142"/>
              <w:bottom w:val="outset" w:sz="6" w:space="0" w:color="414142"/>
              <w:right w:val="outset" w:sz="6" w:space="0" w:color="414142"/>
            </w:tcBorders>
            <w:hideMark/>
          </w:tcPr>
          <w:p w14:paraId="1CB085ED" w14:textId="524CC027" w:rsidR="00755DA9" w:rsidRPr="003C6277" w:rsidRDefault="00F073EE" w:rsidP="00695B9E">
            <w:pPr>
              <w:spacing w:after="0" w:line="240" w:lineRule="auto"/>
              <w:jc w:val="both"/>
              <w:rPr>
                <w:rFonts w:ascii="Times New Roman" w:hAnsi="Times New Roman" w:cs="Times New Roman"/>
                <w:sz w:val="26"/>
                <w:szCs w:val="26"/>
                <w:shd w:val="clear" w:color="auto" w:fill="FFFFFF"/>
              </w:rPr>
            </w:pPr>
            <w:r w:rsidRPr="003C6277">
              <w:rPr>
                <w:rFonts w:ascii="Times New Roman" w:hAnsi="Times New Roman" w:cs="Times New Roman"/>
                <w:sz w:val="26"/>
                <w:szCs w:val="26"/>
                <w:shd w:val="clear" w:color="auto" w:fill="FFFFFF"/>
              </w:rPr>
              <w:t>Izstrādājot projektu, protokollēmumā minētie uzdevumi atkārtoti izvērtēti vispārējās izglītību regulējošās normatīvās bāzes kontekstā, kā arī</w:t>
            </w:r>
            <w:r w:rsidR="00556686" w:rsidRPr="003C6277">
              <w:rPr>
                <w:rFonts w:ascii="Times New Roman" w:hAnsi="Times New Roman" w:cs="Times New Roman"/>
                <w:sz w:val="26"/>
                <w:szCs w:val="26"/>
                <w:shd w:val="clear" w:color="auto" w:fill="FFFFFF"/>
              </w:rPr>
              <w:t xml:space="preserve"> </w:t>
            </w:r>
            <w:r w:rsidRPr="003C6277">
              <w:rPr>
                <w:rFonts w:ascii="Times New Roman" w:hAnsi="Times New Roman" w:cs="Times New Roman"/>
                <w:sz w:val="26"/>
                <w:szCs w:val="26"/>
                <w:shd w:val="clear" w:color="auto" w:fill="FFFFFF"/>
              </w:rPr>
              <w:t>ievēro</w:t>
            </w:r>
            <w:r w:rsidR="00B8071B" w:rsidRPr="003C6277">
              <w:rPr>
                <w:rFonts w:ascii="Times New Roman" w:hAnsi="Times New Roman" w:cs="Times New Roman"/>
                <w:sz w:val="26"/>
                <w:szCs w:val="26"/>
                <w:shd w:val="clear" w:color="auto" w:fill="FFFFFF"/>
              </w:rPr>
              <w:t>jot</w:t>
            </w:r>
            <w:r w:rsidRPr="003C6277">
              <w:rPr>
                <w:rFonts w:ascii="Times New Roman" w:hAnsi="Times New Roman" w:cs="Times New Roman"/>
                <w:sz w:val="26"/>
                <w:szCs w:val="26"/>
                <w:shd w:val="clear" w:color="auto" w:fill="FFFFFF"/>
              </w:rPr>
              <w:t xml:space="preserve"> pakāpenību pārejā no viena</w:t>
            </w:r>
            <w:r w:rsidR="00601626" w:rsidRPr="003C6277">
              <w:rPr>
                <w:rFonts w:ascii="Times New Roman" w:hAnsi="Times New Roman" w:cs="Times New Roman"/>
                <w:sz w:val="26"/>
                <w:szCs w:val="26"/>
                <w:shd w:val="clear" w:color="auto" w:fill="FFFFFF"/>
              </w:rPr>
              <w:t xml:space="preserve"> finansēšanas normatīva uz citu</w:t>
            </w:r>
            <w:r w:rsidR="00B8071B" w:rsidRPr="003C6277">
              <w:rPr>
                <w:rFonts w:ascii="Times New Roman" w:hAnsi="Times New Roman" w:cs="Times New Roman"/>
                <w:sz w:val="26"/>
                <w:szCs w:val="26"/>
                <w:shd w:val="clear" w:color="auto" w:fill="FFFFFF"/>
              </w:rPr>
              <w:t xml:space="preserve"> un </w:t>
            </w:r>
            <w:r w:rsidR="00601626" w:rsidRPr="003C6277">
              <w:rPr>
                <w:rFonts w:ascii="Times New Roman" w:hAnsi="Times New Roman" w:cs="Times New Roman"/>
                <w:sz w:val="26"/>
                <w:szCs w:val="26"/>
                <w:shd w:val="clear" w:color="auto" w:fill="FFFFFF"/>
              </w:rPr>
              <w:t xml:space="preserve"> uzklaus</w:t>
            </w:r>
            <w:r w:rsidR="00B8071B" w:rsidRPr="003C6277">
              <w:rPr>
                <w:rFonts w:ascii="Times New Roman" w:hAnsi="Times New Roman" w:cs="Times New Roman"/>
                <w:sz w:val="26"/>
                <w:szCs w:val="26"/>
                <w:shd w:val="clear" w:color="auto" w:fill="FFFFFF"/>
              </w:rPr>
              <w:t>ot</w:t>
            </w:r>
            <w:r w:rsidR="00601626" w:rsidRPr="003C6277">
              <w:rPr>
                <w:rFonts w:ascii="Times New Roman" w:hAnsi="Times New Roman" w:cs="Times New Roman"/>
                <w:sz w:val="26"/>
                <w:szCs w:val="26"/>
                <w:shd w:val="clear" w:color="auto" w:fill="FFFFFF"/>
              </w:rPr>
              <w:t xml:space="preserve"> izglītības iestāžu pārstāvju viedokļ</w:t>
            </w:r>
            <w:r w:rsidR="00B8071B" w:rsidRPr="003C6277">
              <w:rPr>
                <w:rFonts w:ascii="Times New Roman" w:hAnsi="Times New Roman" w:cs="Times New Roman"/>
                <w:sz w:val="26"/>
                <w:szCs w:val="26"/>
                <w:shd w:val="clear" w:color="auto" w:fill="FFFFFF"/>
              </w:rPr>
              <w:t>us</w:t>
            </w:r>
            <w:r w:rsidR="00601626" w:rsidRPr="003C6277">
              <w:rPr>
                <w:rFonts w:ascii="Times New Roman" w:hAnsi="Times New Roman" w:cs="Times New Roman"/>
                <w:sz w:val="26"/>
                <w:szCs w:val="26"/>
                <w:shd w:val="clear" w:color="auto" w:fill="FFFFFF"/>
              </w:rPr>
              <w:t>.</w:t>
            </w:r>
            <w:r w:rsidRPr="003C6277">
              <w:rPr>
                <w:rFonts w:ascii="Times New Roman" w:hAnsi="Times New Roman" w:cs="Times New Roman"/>
                <w:sz w:val="26"/>
                <w:szCs w:val="26"/>
                <w:shd w:val="clear" w:color="auto" w:fill="FFFFFF"/>
              </w:rPr>
              <w:t xml:space="preserve"> </w:t>
            </w:r>
            <w:r w:rsidR="006D1BA2" w:rsidRPr="003C6277">
              <w:rPr>
                <w:rFonts w:ascii="Times New Roman" w:hAnsi="Times New Roman" w:cs="Times New Roman"/>
                <w:sz w:val="26"/>
                <w:szCs w:val="26"/>
              </w:rPr>
              <w:t xml:space="preserve">Ministru kabineta 2009.gada 22.decembra </w:t>
            </w:r>
            <w:r w:rsidR="006D1BA2" w:rsidRPr="003C6277">
              <w:rPr>
                <w:rFonts w:ascii="Times New Roman" w:hAnsi="Times New Roman" w:cs="Times New Roman"/>
                <w:bCs/>
                <w:sz w:val="26"/>
                <w:szCs w:val="26"/>
              </w:rPr>
              <w:t>noteikumu</w:t>
            </w:r>
            <w:r w:rsidR="006D1BA2" w:rsidRPr="003C6277">
              <w:rPr>
                <w:rFonts w:ascii="Times New Roman" w:hAnsi="Times New Roman" w:cs="Times New Roman"/>
                <w:sz w:val="26"/>
                <w:szCs w:val="26"/>
              </w:rPr>
              <w:t xml:space="preserve"> </w:t>
            </w:r>
            <w:r w:rsidR="006D1BA2" w:rsidRPr="003C6277">
              <w:rPr>
                <w:rFonts w:ascii="Times New Roman" w:hAnsi="Times New Roman" w:cs="Times New Roman"/>
                <w:bCs/>
                <w:sz w:val="26"/>
                <w:szCs w:val="26"/>
              </w:rPr>
              <w:t>Nr.1616</w:t>
            </w:r>
            <w:r w:rsidR="006D1BA2" w:rsidRPr="003C6277">
              <w:rPr>
                <w:rFonts w:ascii="Times New Roman" w:hAnsi="Times New Roman" w:cs="Times New Roman"/>
                <w:sz w:val="26"/>
                <w:szCs w:val="26"/>
              </w:rPr>
              <w:t xml:space="preserve">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(turpmāk – noteikumi Nr.1616) </w:t>
            </w:r>
            <w:r w:rsidR="00755DA9" w:rsidRPr="003C6277">
              <w:rPr>
                <w:rFonts w:ascii="Times New Roman" w:eastAsia="Times New Roman" w:hAnsi="Times New Roman" w:cs="Times New Roman"/>
                <w:sz w:val="26"/>
                <w:szCs w:val="26"/>
                <w:lang w:eastAsia="lv-LV"/>
              </w:rPr>
              <w:t>6.2.apakšpunktā noteikts, ka atbilstoši  n</w:t>
            </w:r>
            <w:r w:rsidR="00755DA9" w:rsidRPr="003C6277">
              <w:rPr>
                <w:rFonts w:ascii="Times New Roman" w:hAnsi="Times New Roman" w:cs="Times New Roman"/>
                <w:sz w:val="26"/>
                <w:szCs w:val="26"/>
              </w:rPr>
              <w:t>ovadu un republikas pilsētu pašvaldību sniegtajai informācijai</w:t>
            </w:r>
            <w:r w:rsidR="0073566F" w:rsidRPr="003C6277">
              <w:rPr>
                <w:rFonts w:ascii="Times New Roman" w:hAnsi="Times New Roman" w:cs="Times New Roman"/>
                <w:sz w:val="26"/>
                <w:szCs w:val="26"/>
              </w:rPr>
              <w:t xml:space="preserve"> Valsts izglītības informācijas sistēmā </w:t>
            </w:r>
            <w:r w:rsidR="0098651A" w:rsidRPr="003C6277">
              <w:rPr>
                <w:rFonts w:ascii="Times New Roman" w:hAnsi="Times New Roman" w:cs="Times New Roman"/>
                <w:sz w:val="26"/>
                <w:szCs w:val="26"/>
              </w:rPr>
              <w:t xml:space="preserve">Izglītības un zinātnes </w:t>
            </w:r>
            <w:r w:rsidR="00755DA9" w:rsidRPr="003C6277">
              <w:rPr>
                <w:rFonts w:ascii="Times New Roman" w:hAnsi="Times New Roman" w:cs="Times New Roman"/>
                <w:sz w:val="26"/>
                <w:szCs w:val="26"/>
              </w:rPr>
              <w:t xml:space="preserve">ministrija aprēķina normēto bērnu un skolēnu skaitu katrā </w:t>
            </w:r>
            <w:r w:rsidR="00755DA9" w:rsidRPr="003C6277">
              <w:rPr>
                <w:rFonts w:ascii="Times New Roman" w:hAnsi="Times New Roman" w:cs="Times New Roman"/>
                <w:sz w:val="26"/>
                <w:szCs w:val="26"/>
              </w:rPr>
              <w:lastRenderedPageBreak/>
              <w:t>izglītības pakāpē, piemērojot šādus koeficientus (..)  1.–</w:t>
            </w:r>
            <w:r w:rsidR="00B644EA" w:rsidRPr="003C6277">
              <w:rPr>
                <w:rFonts w:ascii="Times New Roman" w:hAnsi="Times New Roman" w:cs="Times New Roman"/>
                <w:sz w:val="26"/>
                <w:szCs w:val="26"/>
              </w:rPr>
              <w:t xml:space="preserve"> </w:t>
            </w:r>
            <w:r w:rsidR="00755DA9" w:rsidRPr="003C6277">
              <w:rPr>
                <w:rFonts w:ascii="Times New Roman" w:hAnsi="Times New Roman" w:cs="Times New Roman"/>
                <w:sz w:val="26"/>
                <w:szCs w:val="26"/>
              </w:rPr>
              <w:t xml:space="preserve">4.klases skolēnu skaitam – koeficientu 0,75, bet, ja skolēnu skaits ir 100 skolēni un mazāk, – koeficientu 1. </w:t>
            </w:r>
          </w:p>
          <w:p w14:paraId="3B0E93F7" w14:textId="77777777" w:rsidR="00F073EE" w:rsidRPr="003C6277" w:rsidRDefault="00F073EE" w:rsidP="00695B9E">
            <w:pPr>
              <w:spacing w:after="0" w:line="240" w:lineRule="auto"/>
              <w:jc w:val="both"/>
              <w:rPr>
                <w:rFonts w:ascii="Times New Roman" w:hAnsi="Times New Roman" w:cs="Times New Roman"/>
                <w:sz w:val="26"/>
                <w:szCs w:val="26"/>
              </w:rPr>
            </w:pPr>
            <w:r w:rsidRPr="003C6277">
              <w:rPr>
                <w:rFonts w:ascii="Times New Roman" w:hAnsi="Times New Roman" w:cs="Times New Roman"/>
                <w:sz w:val="26"/>
                <w:szCs w:val="26"/>
              </w:rPr>
              <w:t xml:space="preserve">Praksē tika konstatēts gadījumi, ka  noteikumu Nr.1616 6.2.apakšpunkts </w:t>
            </w:r>
            <w:r w:rsidR="00B8071B" w:rsidRPr="003C6277">
              <w:rPr>
                <w:rFonts w:ascii="Times New Roman" w:hAnsi="Times New Roman" w:cs="Times New Roman"/>
                <w:sz w:val="26"/>
                <w:szCs w:val="26"/>
              </w:rPr>
              <w:t>tika</w:t>
            </w:r>
            <w:r w:rsidRPr="003C6277">
              <w:rPr>
                <w:rFonts w:ascii="Times New Roman" w:hAnsi="Times New Roman" w:cs="Times New Roman"/>
                <w:sz w:val="26"/>
                <w:szCs w:val="26"/>
              </w:rPr>
              <w:t xml:space="preserve"> interpretē</w:t>
            </w:r>
            <w:r w:rsidR="00B8071B" w:rsidRPr="003C6277">
              <w:rPr>
                <w:rFonts w:ascii="Times New Roman" w:hAnsi="Times New Roman" w:cs="Times New Roman"/>
                <w:sz w:val="26"/>
                <w:szCs w:val="26"/>
              </w:rPr>
              <w:t>ts</w:t>
            </w:r>
            <w:r w:rsidRPr="003C6277">
              <w:rPr>
                <w:rFonts w:ascii="Times New Roman" w:hAnsi="Times New Roman" w:cs="Times New Roman"/>
                <w:sz w:val="26"/>
                <w:szCs w:val="26"/>
              </w:rPr>
              <w:t xml:space="preserve"> dažādi, jo atsevišķas izglītības iestādes šo normu attiecināja tikai uz 1.-4.klašu skolēnu skaitu</w:t>
            </w:r>
            <w:r w:rsidR="00873CD3" w:rsidRPr="003C6277">
              <w:rPr>
                <w:rFonts w:ascii="Times New Roman" w:hAnsi="Times New Roman" w:cs="Times New Roman"/>
                <w:sz w:val="26"/>
                <w:szCs w:val="26"/>
              </w:rPr>
              <w:t>,</w:t>
            </w:r>
            <w:r w:rsidRPr="003C6277">
              <w:rPr>
                <w:rFonts w:ascii="Times New Roman" w:hAnsi="Times New Roman" w:cs="Times New Roman"/>
                <w:sz w:val="26"/>
                <w:szCs w:val="26"/>
              </w:rPr>
              <w:t xml:space="preserve"> nevis uz visu pamatizglītības iestādēs skolēnu skaitu. Tādēļ š</w:t>
            </w:r>
            <w:r w:rsidR="00873CD3" w:rsidRPr="003C6277">
              <w:rPr>
                <w:rFonts w:ascii="Times New Roman" w:hAnsi="Times New Roman" w:cs="Times New Roman"/>
                <w:sz w:val="26"/>
                <w:szCs w:val="26"/>
              </w:rPr>
              <w:t xml:space="preserve">ī </w:t>
            </w:r>
            <w:r w:rsidRPr="003C6277">
              <w:rPr>
                <w:rFonts w:ascii="Times New Roman" w:hAnsi="Times New Roman" w:cs="Times New Roman"/>
                <w:sz w:val="26"/>
                <w:szCs w:val="26"/>
              </w:rPr>
              <w:t xml:space="preserve">tiesiskā </w:t>
            </w:r>
            <w:r w:rsidR="00873CD3" w:rsidRPr="003C6277">
              <w:rPr>
                <w:rFonts w:ascii="Times New Roman" w:hAnsi="Times New Roman" w:cs="Times New Roman"/>
                <w:sz w:val="26"/>
                <w:szCs w:val="26"/>
              </w:rPr>
              <w:t xml:space="preserve">regulējuma norma ir precizējama, nosakot, ka skolēnu skaitā iekļaujami visi izglītības iestādē </w:t>
            </w:r>
            <w:r w:rsidR="00B8071B" w:rsidRPr="003C6277">
              <w:rPr>
                <w:rFonts w:ascii="Times New Roman" w:hAnsi="Times New Roman" w:cs="Times New Roman"/>
                <w:sz w:val="26"/>
                <w:szCs w:val="26"/>
              </w:rPr>
              <w:t xml:space="preserve">(izņemt vidējās izglītības iestādēs) </w:t>
            </w:r>
            <w:r w:rsidR="00873CD3" w:rsidRPr="003C6277">
              <w:rPr>
                <w:rFonts w:ascii="Times New Roman" w:hAnsi="Times New Roman" w:cs="Times New Roman"/>
                <w:sz w:val="26"/>
                <w:szCs w:val="26"/>
              </w:rPr>
              <w:t>esošie skolēni no 1.- 9.klasei, jo pēc šo skolēnu skaita arī noteikts “mazās skolas” statuss.</w:t>
            </w:r>
          </w:p>
          <w:p w14:paraId="394F2D6B" w14:textId="77777777" w:rsidR="00423741" w:rsidRPr="003C6277" w:rsidRDefault="00423741" w:rsidP="00695B9E">
            <w:pPr>
              <w:spacing w:after="0" w:line="240" w:lineRule="auto"/>
              <w:jc w:val="both"/>
              <w:rPr>
                <w:rFonts w:ascii="Times New Roman" w:hAnsi="Times New Roman" w:cs="Times New Roman"/>
                <w:sz w:val="26"/>
                <w:szCs w:val="26"/>
              </w:rPr>
            </w:pPr>
          </w:p>
          <w:p w14:paraId="2D8E2EAD" w14:textId="77777777" w:rsidR="006132EB" w:rsidRPr="003C6277" w:rsidRDefault="00755DA9" w:rsidP="00695B9E">
            <w:pPr>
              <w:pStyle w:val="tv2131"/>
              <w:spacing w:line="240" w:lineRule="auto"/>
              <w:ind w:firstLine="0"/>
              <w:jc w:val="both"/>
              <w:rPr>
                <w:color w:val="auto"/>
                <w:sz w:val="26"/>
                <w:szCs w:val="26"/>
              </w:rPr>
            </w:pPr>
            <w:r w:rsidRPr="003C6277">
              <w:rPr>
                <w:color w:val="auto"/>
                <w:sz w:val="26"/>
                <w:szCs w:val="26"/>
              </w:rPr>
              <w:t xml:space="preserve">Saskaņā ar MK noteikumu Nr.1616 </w:t>
            </w:r>
            <w:r w:rsidR="006556B2" w:rsidRPr="003C6277">
              <w:rPr>
                <w:color w:val="auto"/>
                <w:sz w:val="26"/>
                <w:szCs w:val="26"/>
              </w:rPr>
              <w:t>7.3.</w:t>
            </w:r>
            <w:r w:rsidRPr="003C6277">
              <w:rPr>
                <w:color w:val="auto"/>
                <w:sz w:val="26"/>
                <w:szCs w:val="26"/>
              </w:rPr>
              <w:t>apakšpunktā minēto</w:t>
            </w:r>
            <w:r w:rsidR="006556B2" w:rsidRPr="003C6277">
              <w:rPr>
                <w:color w:val="auto"/>
                <w:sz w:val="26"/>
                <w:szCs w:val="26"/>
              </w:rPr>
              <w:t xml:space="preserve"> skolēnu skaitam vakara (maiņu) un neklātienes (tai skaitā – tālmācības) vispārējās izglītības pro</w:t>
            </w:r>
            <w:r w:rsidR="0014120C" w:rsidRPr="003C6277">
              <w:rPr>
                <w:color w:val="auto"/>
                <w:sz w:val="26"/>
                <w:szCs w:val="26"/>
              </w:rPr>
              <w:t xml:space="preserve">grammās piemēro koeficientu 0,8. </w:t>
            </w:r>
          </w:p>
          <w:p w14:paraId="42A15D4B" w14:textId="77777777" w:rsidR="00873CD3" w:rsidRPr="003C6277" w:rsidRDefault="00873CD3" w:rsidP="00695B9E">
            <w:pPr>
              <w:pStyle w:val="tv2131"/>
              <w:spacing w:line="240" w:lineRule="auto"/>
              <w:ind w:firstLine="0"/>
              <w:jc w:val="both"/>
              <w:rPr>
                <w:color w:val="auto"/>
                <w:sz w:val="26"/>
                <w:szCs w:val="26"/>
              </w:rPr>
            </w:pPr>
            <w:r w:rsidRPr="003C6277">
              <w:rPr>
                <w:color w:val="auto"/>
                <w:sz w:val="26"/>
                <w:szCs w:val="26"/>
              </w:rPr>
              <w:t xml:space="preserve">Šis koeficients aprēķināts atbilstoši </w:t>
            </w:r>
            <w:r w:rsidR="0000680D" w:rsidRPr="003C6277">
              <w:rPr>
                <w:color w:val="auto"/>
                <w:sz w:val="26"/>
                <w:szCs w:val="26"/>
              </w:rPr>
              <w:t>šobrīd Latvijas skolās īstenot</w:t>
            </w:r>
            <w:r w:rsidR="00423741" w:rsidRPr="003C6277">
              <w:rPr>
                <w:color w:val="auto"/>
                <w:sz w:val="26"/>
                <w:szCs w:val="26"/>
              </w:rPr>
              <w:t>ajām</w:t>
            </w:r>
            <w:r w:rsidR="0000680D" w:rsidRPr="003C6277">
              <w:rPr>
                <w:color w:val="auto"/>
                <w:sz w:val="26"/>
                <w:szCs w:val="26"/>
              </w:rPr>
              <w:t xml:space="preserve"> vakara (maiņu), neklātienes un tālmācības izglītības programm</w:t>
            </w:r>
            <w:r w:rsidR="00423741" w:rsidRPr="003C6277">
              <w:rPr>
                <w:color w:val="auto"/>
                <w:sz w:val="26"/>
                <w:szCs w:val="26"/>
              </w:rPr>
              <w:t>ām, kas</w:t>
            </w:r>
            <w:r w:rsidR="0000680D" w:rsidRPr="003C6277">
              <w:rPr>
                <w:color w:val="auto"/>
                <w:sz w:val="26"/>
                <w:szCs w:val="26"/>
              </w:rPr>
              <w:t xml:space="preserve"> licencētas saskaņā ar 2013.gada 6.au</w:t>
            </w:r>
            <w:r w:rsidR="00E01925" w:rsidRPr="003C6277">
              <w:rPr>
                <w:color w:val="auto"/>
                <w:sz w:val="26"/>
                <w:szCs w:val="26"/>
              </w:rPr>
              <w:t xml:space="preserve">gusta </w:t>
            </w:r>
            <w:r w:rsidR="0000680D" w:rsidRPr="003C6277">
              <w:rPr>
                <w:color w:val="auto"/>
                <w:sz w:val="26"/>
                <w:szCs w:val="26"/>
              </w:rPr>
              <w:t xml:space="preserve">Ministru kabineta noteikumu Nr.530 “Noteikumi par valsts pamatizglītības standartu, pamatizglītības mācību priekšmetu standartiem un pamatizglītības programmu paraugiem” 24.pielikumā noteiktajiem izglītības programmu paraugiem, </w:t>
            </w:r>
            <w:r w:rsidR="00E01925" w:rsidRPr="003C6277">
              <w:rPr>
                <w:color w:val="auto"/>
                <w:sz w:val="26"/>
                <w:szCs w:val="26"/>
              </w:rPr>
              <w:t xml:space="preserve">un </w:t>
            </w:r>
            <w:r w:rsidR="0000680D" w:rsidRPr="003C6277">
              <w:rPr>
                <w:color w:val="auto"/>
                <w:sz w:val="26"/>
                <w:szCs w:val="26"/>
              </w:rPr>
              <w:t xml:space="preserve">saskaņā ar Ministru kabineta </w:t>
            </w:r>
            <w:r w:rsidR="00E01925" w:rsidRPr="003C6277">
              <w:rPr>
                <w:color w:val="auto"/>
                <w:sz w:val="26"/>
                <w:szCs w:val="26"/>
              </w:rPr>
              <w:t xml:space="preserve">2013.gada </w:t>
            </w:r>
            <w:r w:rsidR="0000680D" w:rsidRPr="003C6277">
              <w:rPr>
                <w:color w:val="auto"/>
                <w:sz w:val="26"/>
                <w:szCs w:val="26"/>
              </w:rPr>
              <w:t>21.</w:t>
            </w:r>
            <w:r w:rsidR="00E01925" w:rsidRPr="003C6277">
              <w:rPr>
                <w:color w:val="auto"/>
                <w:sz w:val="26"/>
                <w:szCs w:val="26"/>
              </w:rPr>
              <w:t>maija</w:t>
            </w:r>
            <w:r w:rsidR="0000680D" w:rsidRPr="003C6277">
              <w:rPr>
                <w:color w:val="auto"/>
                <w:sz w:val="26"/>
                <w:szCs w:val="26"/>
              </w:rPr>
              <w:t xml:space="preserve"> noteikumu Nr.281 “Noteikumi par valsts vispārējās vidējās izglītības standartu, mācību priekšmetu standartiem un izglītības programmu paraugiem” 27. un 28.pielikumā noteiktajiem izglītības programmu paraugiem.</w:t>
            </w:r>
          </w:p>
          <w:p w14:paraId="4384D3CC" w14:textId="77777777" w:rsidR="000B69EA" w:rsidRPr="003C6277" w:rsidRDefault="00B26CA4" w:rsidP="00695B9E">
            <w:pPr>
              <w:pStyle w:val="Default"/>
              <w:jc w:val="both"/>
              <w:rPr>
                <w:sz w:val="26"/>
                <w:szCs w:val="26"/>
              </w:rPr>
            </w:pPr>
            <w:r w:rsidRPr="003C6277">
              <w:rPr>
                <w:sz w:val="26"/>
                <w:szCs w:val="26"/>
              </w:rPr>
              <w:t>Valsts k</w:t>
            </w:r>
            <w:r w:rsidR="000B69EA" w:rsidRPr="003C6277">
              <w:rPr>
                <w:sz w:val="26"/>
                <w:szCs w:val="26"/>
              </w:rPr>
              <w:t>ontrole 2014.gada 31.janvāra  revīzijas ziņojumā „</w:t>
            </w:r>
            <w:r w:rsidR="000B69EA" w:rsidRPr="003C6277">
              <w:rPr>
                <w:i/>
                <w:sz w:val="26"/>
                <w:szCs w:val="26"/>
              </w:rPr>
              <w:t>Valsts līdzekļu izlietojuma likumība, lietderība un efektivitāte, nodrošinot pedagogu atlīdzību</w:t>
            </w:r>
            <w:r w:rsidR="000B69EA" w:rsidRPr="003C6277">
              <w:rPr>
                <w:sz w:val="26"/>
                <w:szCs w:val="26"/>
              </w:rPr>
              <w:t xml:space="preserve">” ir secinājusi, </w:t>
            </w:r>
            <w:r w:rsidR="00891B9D" w:rsidRPr="003C6277">
              <w:rPr>
                <w:sz w:val="26"/>
                <w:szCs w:val="26"/>
              </w:rPr>
              <w:t>ka</w:t>
            </w:r>
            <w:r w:rsidR="000B69EA" w:rsidRPr="003C6277">
              <w:rPr>
                <w:sz w:val="26"/>
                <w:szCs w:val="26"/>
              </w:rPr>
              <w:t xml:space="preserve"> noteikumu Nr.1616 „koeficienti tika aprēķināti</w:t>
            </w:r>
            <w:r w:rsidR="00B8071B" w:rsidRPr="003C6277">
              <w:rPr>
                <w:sz w:val="26"/>
                <w:szCs w:val="26"/>
              </w:rPr>
              <w:t>,</w:t>
            </w:r>
            <w:r w:rsidR="000B69EA" w:rsidRPr="003C6277">
              <w:rPr>
                <w:sz w:val="26"/>
                <w:szCs w:val="26"/>
              </w:rPr>
              <w:t xml:space="preserve"> par pamatu ņemot īstenojamo izglītības programmu izmaksas un programmu specifiku”.</w:t>
            </w:r>
          </w:p>
          <w:p w14:paraId="59BE12DF" w14:textId="77777777" w:rsidR="00E01925" w:rsidRPr="003C6277" w:rsidRDefault="00E01925" w:rsidP="00695B9E">
            <w:pPr>
              <w:pStyle w:val="tv2131"/>
              <w:spacing w:line="240" w:lineRule="auto"/>
              <w:ind w:firstLine="0"/>
              <w:jc w:val="both"/>
              <w:rPr>
                <w:color w:val="auto"/>
                <w:sz w:val="26"/>
                <w:szCs w:val="26"/>
              </w:rPr>
            </w:pPr>
            <w:r w:rsidRPr="003C6277">
              <w:rPr>
                <w:color w:val="auto"/>
                <w:sz w:val="26"/>
                <w:szCs w:val="26"/>
              </w:rPr>
              <w:t>Tādējādi nav iespējama protokollēmumā noteiktā papildu koeficienta krasa samazināšana, jo tas varētu nopietni apdraudēt vienotu izglītības standarta apguvi, radot draudus tiesiskās paļāvības principa ievērošanai izglītības sistēm</w:t>
            </w:r>
            <w:r w:rsidR="000B69EA" w:rsidRPr="003C6277">
              <w:rPr>
                <w:color w:val="auto"/>
                <w:sz w:val="26"/>
                <w:szCs w:val="26"/>
              </w:rPr>
              <w:t>ā, ko uzsvēra visi vakara (maiņu) vidusskolu un tālmācības vidusskolu direktori, ar kuriem ministrijas speciālisti tikās projekta sagatavošanas laikā. Minētie skolu vadītāji ir rakstiski pauduši savu viedokli arī vēstulē ministrijas un valsts augstākajām amatpersonām.</w:t>
            </w:r>
          </w:p>
          <w:p w14:paraId="6BE6E613" w14:textId="77777777" w:rsidR="00E01925" w:rsidRPr="003C6277" w:rsidRDefault="00E01925" w:rsidP="00695B9E">
            <w:pPr>
              <w:pStyle w:val="Default"/>
              <w:jc w:val="both"/>
              <w:rPr>
                <w:sz w:val="26"/>
                <w:szCs w:val="26"/>
              </w:rPr>
            </w:pPr>
            <w:r w:rsidRPr="003C6277">
              <w:rPr>
                <w:color w:val="auto"/>
                <w:sz w:val="26"/>
                <w:szCs w:val="26"/>
              </w:rPr>
              <w:lastRenderedPageBreak/>
              <w:t>Lai gan vakara (maiņu) vidusskolas pamatuzdevums ir īstenot vispārējās vidējās izglītības programmas, lai nodrošinātu iespēju iegūt izglītību personām, kuras ģimenes apstākļu, darba, sociālekonomisku, veselības stāvokļa vai citu iemeslu dēļ nav ieguvušas vai neiegūst izglītību citās vispārējās izglītības iestādēs</w:t>
            </w:r>
            <w:r w:rsidR="00EE23E9" w:rsidRPr="003C6277">
              <w:rPr>
                <w:color w:val="auto"/>
                <w:sz w:val="26"/>
                <w:szCs w:val="26"/>
              </w:rPr>
              <w:t xml:space="preserve"> saskaņā ar</w:t>
            </w:r>
            <w:r w:rsidRPr="003C6277">
              <w:rPr>
                <w:color w:val="auto"/>
                <w:sz w:val="26"/>
                <w:szCs w:val="26"/>
              </w:rPr>
              <w:t xml:space="preserve"> „ES 2020” stratēģijas īstenošan</w:t>
            </w:r>
            <w:r w:rsidR="00EE23E9" w:rsidRPr="003C6277">
              <w:rPr>
                <w:color w:val="auto"/>
                <w:sz w:val="26"/>
                <w:szCs w:val="26"/>
              </w:rPr>
              <w:t>u</w:t>
            </w:r>
            <w:r w:rsidRPr="003C6277">
              <w:rPr>
                <w:color w:val="auto"/>
                <w:sz w:val="26"/>
                <w:szCs w:val="26"/>
              </w:rPr>
              <w:t xml:space="preserve"> un Izglītības attīstības pamatnostādnēs 2014.-2020. gadam noteikto Latvijas izglītības attīstības mērķu sasniegšanu </w:t>
            </w:r>
            <w:r w:rsidR="00EE23E9" w:rsidRPr="003C6277">
              <w:rPr>
                <w:color w:val="auto"/>
                <w:sz w:val="26"/>
                <w:szCs w:val="26"/>
              </w:rPr>
              <w:t>–</w:t>
            </w:r>
            <w:r w:rsidRPr="003C6277">
              <w:rPr>
                <w:color w:val="auto"/>
                <w:sz w:val="26"/>
                <w:szCs w:val="26"/>
              </w:rPr>
              <w:t xml:space="preserve"> jauniešu sociālās atstumtības riska mazināšan</w:t>
            </w:r>
            <w:r w:rsidR="00EE23E9" w:rsidRPr="003C6277">
              <w:rPr>
                <w:color w:val="auto"/>
                <w:sz w:val="26"/>
                <w:szCs w:val="26"/>
              </w:rPr>
              <w:t>u</w:t>
            </w:r>
            <w:r w:rsidRPr="003C6277">
              <w:rPr>
                <w:color w:val="auto"/>
                <w:sz w:val="26"/>
                <w:szCs w:val="26"/>
              </w:rPr>
              <w:t xml:space="preserve"> un priekšlaicīgi mācības pametušo un izglītību neieguvušo skaita samazināšan</w:t>
            </w:r>
            <w:r w:rsidR="00EE23E9" w:rsidRPr="003C6277">
              <w:rPr>
                <w:color w:val="auto"/>
                <w:sz w:val="26"/>
                <w:szCs w:val="26"/>
              </w:rPr>
              <w:t>u, Izglītības un zinātnes ministrija ir konstatējusi, ka mācību gada laikā aptuveni 600 jauniešu pamet minētās izglītības iestādes</w:t>
            </w:r>
            <w:r w:rsidRPr="003C6277">
              <w:rPr>
                <w:color w:val="auto"/>
                <w:sz w:val="26"/>
                <w:szCs w:val="26"/>
              </w:rPr>
              <w:t xml:space="preserve">. </w:t>
            </w:r>
            <w:r w:rsidR="00C2326E" w:rsidRPr="003C6277">
              <w:rPr>
                <w:color w:val="auto"/>
                <w:sz w:val="26"/>
                <w:szCs w:val="26"/>
              </w:rPr>
              <w:t xml:space="preserve">Acīmredzot, </w:t>
            </w:r>
            <w:r w:rsidR="00EE23E9" w:rsidRPr="003C6277">
              <w:rPr>
                <w:color w:val="auto"/>
                <w:sz w:val="26"/>
                <w:szCs w:val="26"/>
              </w:rPr>
              <w:t xml:space="preserve">skolas kritiski neizvērtē uzņemto audzēkņu vēlmi un iespējas sasniegt savu izglītošanās </w:t>
            </w:r>
            <w:r w:rsidR="00EE23E9" w:rsidRPr="003C6277">
              <w:rPr>
                <w:sz w:val="26"/>
                <w:szCs w:val="26"/>
              </w:rPr>
              <w:t>mērķi</w:t>
            </w:r>
            <w:r w:rsidR="00C2326E" w:rsidRPr="003C6277">
              <w:rPr>
                <w:sz w:val="26"/>
                <w:szCs w:val="26"/>
              </w:rPr>
              <w:t>.</w:t>
            </w:r>
            <w:r w:rsidR="00EE23E9" w:rsidRPr="003C6277">
              <w:rPr>
                <w:sz w:val="26"/>
                <w:szCs w:val="26"/>
              </w:rPr>
              <w:t xml:space="preserve"> Tādējādi daļa valsts finansējuma tiek iztērēta neefektīvi,  un ir pamats veikt 7.3.apakšpunktā noteiktā papildu koeficienta korekciju no 0,8 uz 0,75. </w:t>
            </w:r>
          </w:p>
          <w:p w14:paraId="14156AC7" w14:textId="77777777" w:rsidR="00E01925" w:rsidRPr="003C6277" w:rsidRDefault="00774B31" w:rsidP="00695B9E">
            <w:pPr>
              <w:pStyle w:val="tv2131"/>
              <w:spacing w:line="240" w:lineRule="auto"/>
              <w:ind w:firstLine="0"/>
              <w:jc w:val="both"/>
              <w:rPr>
                <w:color w:val="auto"/>
                <w:sz w:val="26"/>
                <w:szCs w:val="26"/>
              </w:rPr>
            </w:pPr>
            <w:r w:rsidRPr="003C6277">
              <w:rPr>
                <w:color w:val="auto"/>
                <w:sz w:val="26"/>
                <w:szCs w:val="26"/>
              </w:rPr>
              <w:t>Papildus  ministrija ir iestrādājusi Ministru kabineta 2008.gada 2.decembra noteikumu Nr. 990 “Noteikumi par Latvijas izglītības klasifikāciju” grozījumos tiesisko regulējumu, kas nodrošinās labāku neklātienes  un tālmācības programmu kontroli Valsts izglītības informācijas sistēmā, jo tālmācības programmām tiks nodrošināts atsevišķs programmas kods.</w:t>
            </w:r>
          </w:p>
          <w:p w14:paraId="14AE2225" w14:textId="77777777" w:rsidR="00733BCC" w:rsidRPr="003C6277" w:rsidRDefault="00840040" w:rsidP="00695B9E">
            <w:pPr>
              <w:spacing w:after="0" w:line="240" w:lineRule="auto"/>
              <w:jc w:val="both"/>
              <w:rPr>
                <w:rFonts w:ascii="Times New Roman" w:hAnsi="Times New Roman" w:cs="Times New Roman"/>
                <w:sz w:val="26"/>
                <w:szCs w:val="26"/>
              </w:rPr>
            </w:pPr>
            <w:r w:rsidRPr="003C6277">
              <w:rPr>
                <w:rFonts w:ascii="Times New Roman" w:hAnsi="Times New Roman" w:cs="Times New Roman"/>
                <w:sz w:val="26"/>
                <w:szCs w:val="26"/>
              </w:rPr>
              <w:t>2012.gada 4.jūlijā ir noslēgts Sadarbības memorands starp Izglītības un zinātnes ministriju, arodbiedrību „</w:t>
            </w:r>
            <w:r w:rsidRPr="003C6277">
              <w:rPr>
                <w:rStyle w:val="Strong"/>
                <w:rFonts w:ascii="Times New Roman" w:hAnsi="Times New Roman" w:cs="Times New Roman"/>
                <w:b w:val="0"/>
                <w:sz w:val="26"/>
                <w:szCs w:val="26"/>
                <w:shd w:val="clear" w:color="auto" w:fill="FFFFFF"/>
              </w:rPr>
              <w:t>Latvijas izglītības vadītāju asociācija” un</w:t>
            </w:r>
            <w:r w:rsidRPr="003C6277">
              <w:rPr>
                <w:rFonts w:ascii="Times New Roman" w:hAnsi="Times New Roman" w:cs="Times New Roman"/>
                <w:sz w:val="26"/>
                <w:szCs w:val="26"/>
              </w:rPr>
              <w:t xml:space="preserve"> </w:t>
            </w:r>
            <w:r w:rsidRPr="003C6277">
              <w:rPr>
                <w:rFonts w:ascii="Times New Roman" w:hAnsi="Times New Roman" w:cs="Times New Roman"/>
                <w:sz w:val="26"/>
                <w:szCs w:val="26"/>
                <w:shd w:val="clear" w:color="auto" w:fill="FFFFFF"/>
              </w:rPr>
              <w:t>Latvijas Izglītības un zinātnes darbinieku arodbiedrību</w:t>
            </w:r>
            <w:r w:rsidRPr="003C6277">
              <w:rPr>
                <w:rFonts w:ascii="Times New Roman" w:hAnsi="Times New Roman" w:cs="Times New Roman"/>
                <w:sz w:val="26"/>
                <w:szCs w:val="26"/>
              </w:rPr>
              <w:t xml:space="preserve">, kura 4.punktā teikts, ka pedagogiem, kas līdz šim nav ieguvuši </w:t>
            </w:r>
            <w:r w:rsidR="00176344" w:rsidRPr="003C6277">
              <w:rPr>
                <w:rFonts w:ascii="Times New Roman" w:hAnsi="Times New Roman" w:cs="Times New Roman"/>
                <w:sz w:val="26"/>
                <w:szCs w:val="26"/>
              </w:rPr>
              <w:t xml:space="preserve">pedagoga profesionālās darbības kvalitātes novērtēšanas pakāpi (turpmāk – pakāpe), </w:t>
            </w:r>
            <w:r w:rsidRPr="003C6277">
              <w:rPr>
                <w:rFonts w:ascii="Times New Roman" w:hAnsi="Times New Roman" w:cs="Times New Roman"/>
                <w:sz w:val="26"/>
                <w:szCs w:val="26"/>
              </w:rPr>
              <w:t xml:space="preserve">nodrošināt iespēju </w:t>
            </w:r>
            <w:r w:rsidR="006A26FE" w:rsidRPr="003C6277">
              <w:rPr>
                <w:rFonts w:ascii="Times New Roman" w:hAnsi="Times New Roman" w:cs="Times New Roman"/>
                <w:sz w:val="26"/>
                <w:szCs w:val="26"/>
              </w:rPr>
              <w:t>turpināt kvalitātes novērtēšanu</w:t>
            </w:r>
            <w:r w:rsidRPr="003C6277">
              <w:rPr>
                <w:rFonts w:ascii="Times New Roman" w:hAnsi="Times New Roman" w:cs="Times New Roman"/>
                <w:sz w:val="26"/>
                <w:szCs w:val="26"/>
              </w:rPr>
              <w:t xml:space="preserve">. </w:t>
            </w:r>
            <w:r w:rsidR="00733BCC" w:rsidRPr="003C6277">
              <w:rPr>
                <w:rFonts w:ascii="Times New Roman" w:hAnsi="Times New Roman" w:cs="Times New Roman"/>
                <w:sz w:val="26"/>
                <w:szCs w:val="26"/>
              </w:rPr>
              <w:t>Savukārt 5.punkts nosaka, ka sākot no 2014.gada 1.septembra tiek uzsākta pedagogu darba samaksas diferenciācija atbilstīgi  pedagogu profesionālās darbības kvalitātes novērtēšanas rezultātiem.</w:t>
            </w:r>
          </w:p>
          <w:p w14:paraId="7760B4B6" w14:textId="7182DACA" w:rsidR="00840040" w:rsidRPr="003C6277" w:rsidRDefault="00840040" w:rsidP="00695B9E">
            <w:pPr>
              <w:spacing w:after="0" w:line="240" w:lineRule="auto"/>
              <w:jc w:val="both"/>
              <w:rPr>
                <w:rFonts w:ascii="Times New Roman" w:hAnsi="Times New Roman" w:cs="Times New Roman"/>
                <w:sz w:val="26"/>
                <w:szCs w:val="26"/>
              </w:rPr>
            </w:pPr>
            <w:r w:rsidRPr="003C6277">
              <w:rPr>
                <w:rFonts w:ascii="Times New Roman" w:hAnsi="Times New Roman" w:cs="Times New Roman"/>
                <w:sz w:val="26"/>
                <w:szCs w:val="26"/>
              </w:rPr>
              <w:t>Arī Izglītības likuma Pārejas noteikumu 36.punktā noteikts, ka Ministru kabinets līdz 2014.gada 31.maijam izdod noteikumus, kas nosaka pedagogu profesionālās darbības kvalitātes novērtēšanas kārtību un kritērijus, dokumentus, ko pedagogs iesniedz viņa profesionālās darbības kvalitātes novērtēšanai, pedagoģiskā darba stāžu, kas nepieciešams attiecīgās pakāpes piešķiršanai, kā arī pakāpi apliecinoša dokumenta paraugu.</w:t>
            </w:r>
            <w:r w:rsidR="00556686" w:rsidRPr="003C6277">
              <w:rPr>
                <w:rFonts w:ascii="Times New Roman" w:hAnsi="Times New Roman" w:cs="Times New Roman"/>
                <w:sz w:val="26"/>
                <w:szCs w:val="26"/>
              </w:rPr>
              <w:t xml:space="preserve"> </w:t>
            </w:r>
          </w:p>
          <w:p w14:paraId="5401B110" w14:textId="77777777" w:rsidR="00B8071B" w:rsidRPr="003C6277" w:rsidRDefault="007602DC" w:rsidP="00556686">
            <w:pPr>
              <w:pStyle w:val="tv213"/>
              <w:shd w:val="clear" w:color="auto" w:fill="FFFFFF"/>
              <w:spacing w:before="0" w:beforeAutospacing="0" w:after="0" w:afterAutospacing="0" w:line="265" w:lineRule="atLeast"/>
              <w:jc w:val="both"/>
              <w:rPr>
                <w:sz w:val="26"/>
                <w:szCs w:val="26"/>
              </w:rPr>
            </w:pPr>
            <w:bookmarkStart w:id="6" w:name="pn35"/>
            <w:bookmarkStart w:id="7" w:name="p-476031"/>
            <w:bookmarkEnd w:id="6"/>
            <w:bookmarkEnd w:id="7"/>
            <w:r w:rsidRPr="003C6277">
              <w:rPr>
                <w:sz w:val="26"/>
                <w:szCs w:val="26"/>
              </w:rPr>
              <w:t>Izglītības likuma  pārejas noteikumu 35.punktā noteikt</w:t>
            </w:r>
            <w:r w:rsidR="00176344" w:rsidRPr="003C6277">
              <w:rPr>
                <w:sz w:val="26"/>
                <w:szCs w:val="26"/>
              </w:rPr>
              <w:t>s</w:t>
            </w:r>
            <w:r w:rsidRPr="003C6277">
              <w:rPr>
                <w:sz w:val="26"/>
                <w:szCs w:val="26"/>
              </w:rPr>
              <w:t>,</w:t>
            </w:r>
            <w:r w:rsidR="00176344" w:rsidRPr="003C6277">
              <w:rPr>
                <w:sz w:val="26"/>
                <w:szCs w:val="26"/>
              </w:rPr>
              <w:t xml:space="preserve"> ka</w:t>
            </w:r>
            <w:r w:rsidRPr="003C6277">
              <w:rPr>
                <w:sz w:val="26"/>
                <w:szCs w:val="26"/>
              </w:rPr>
              <w:t xml:space="preserve"> pedagogiem, kuru profesionālās darbības kvalitāte ir novērtēta laika posmā no 2009.gada 1.septembra līdz 2014.gada 31.maijam, </w:t>
            </w:r>
            <w:r w:rsidRPr="003C6277">
              <w:rPr>
                <w:sz w:val="26"/>
                <w:szCs w:val="26"/>
              </w:rPr>
              <w:lastRenderedPageBreak/>
              <w:t>pamatojoties uz Eiropas Sociālā fonda projekta "Pedagogu konkurētspējas veicināšana izglītības sistēmas optimizācijas apstākļos" ietvaros izstrādātiem kritērijiem un noteikto kārtību, piešķirtās pakāpes tiek pielīdzinātas pakāpēm, kuras saskaņā ar Izglītības likuma  14.panta</w:t>
            </w:r>
            <w:r w:rsidRPr="003C6277">
              <w:rPr>
                <w:rStyle w:val="apple-converted-space"/>
                <w:sz w:val="26"/>
                <w:szCs w:val="26"/>
              </w:rPr>
              <w:t> </w:t>
            </w:r>
            <w:r w:rsidRPr="003C6277">
              <w:rPr>
                <w:sz w:val="26"/>
                <w:szCs w:val="26"/>
              </w:rPr>
              <w:t>37.punktu noteicis Ministru kabinets</w:t>
            </w:r>
            <w:r w:rsidR="00176344" w:rsidRPr="003C6277">
              <w:rPr>
                <w:sz w:val="26"/>
                <w:szCs w:val="26"/>
              </w:rPr>
              <w:t>.</w:t>
            </w:r>
            <w:r w:rsidR="00B8071B" w:rsidRPr="003C6277">
              <w:rPr>
                <w:sz w:val="26"/>
                <w:szCs w:val="26"/>
              </w:rPr>
              <w:t xml:space="preserve"> </w:t>
            </w:r>
            <w:r w:rsidR="00176344" w:rsidRPr="003C6277">
              <w:rPr>
                <w:sz w:val="26"/>
                <w:szCs w:val="26"/>
              </w:rPr>
              <w:t>Tādēļ projektā precizēts 8.</w:t>
            </w:r>
            <w:r w:rsidR="00176344" w:rsidRPr="003C6277">
              <w:rPr>
                <w:sz w:val="26"/>
                <w:szCs w:val="26"/>
                <w:vertAlign w:val="superscript"/>
              </w:rPr>
              <w:t>2</w:t>
            </w:r>
            <w:r w:rsidR="00176344" w:rsidRPr="003C6277">
              <w:rPr>
                <w:rStyle w:val="apple-converted-space"/>
                <w:sz w:val="26"/>
                <w:szCs w:val="26"/>
              </w:rPr>
              <w:t> </w:t>
            </w:r>
            <w:r w:rsidR="00176344" w:rsidRPr="003C6277">
              <w:rPr>
                <w:sz w:val="26"/>
                <w:szCs w:val="26"/>
              </w:rPr>
              <w:t xml:space="preserve">1.apakšpunkts, kas </w:t>
            </w:r>
            <w:r w:rsidR="00B8071B" w:rsidRPr="003C6277">
              <w:rPr>
                <w:sz w:val="26"/>
                <w:szCs w:val="26"/>
              </w:rPr>
              <w:t xml:space="preserve">tiesiskajā </w:t>
            </w:r>
            <w:r w:rsidR="00176344" w:rsidRPr="003C6277">
              <w:rPr>
                <w:sz w:val="26"/>
                <w:szCs w:val="26"/>
              </w:rPr>
              <w:t xml:space="preserve">regulējumā ietver visus pedagogus, kuri ieguvuši pakāpes, jo līdz šim piemaksu saņēma tikai </w:t>
            </w:r>
            <w:r w:rsidR="00176344" w:rsidRPr="003C6277">
              <w:rPr>
                <w:bCs/>
                <w:sz w:val="26"/>
                <w:szCs w:val="26"/>
              </w:rPr>
              <w:t xml:space="preserve">Eiropas Sociālā fonda projekta „Pedagogu konkurētspējas veicināšana izglītības sistēmas optimizācijas apstākļos” </w:t>
            </w:r>
            <w:r w:rsidR="00176344" w:rsidRPr="003C6277">
              <w:rPr>
                <w:sz w:val="26"/>
                <w:szCs w:val="26"/>
              </w:rPr>
              <w:t xml:space="preserve">  iesaistītie pedagogi.</w:t>
            </w:r>
            <w:bookmarkStart w:id="8" w:name="p11"/>
            <w:bookmarkStart w:id="9" w:name="p-321410"/>
            <w:bookmarkEnd w:id="8"/>
            <w:bookmarkEnd w:id="9"/>
          </w:p>
          <w:p w14:paraId="5FF291E5" w14:textId="759AB3B4" w:rsidR="00556686" w:rsidRPr="003C6277" w:rsidRDefault="00556686" w:rsidP="002C1E69">
            <w:pPr>
              <w:spacing w:line="240" w:lineRule="auto"/>
              <w:jc w:val="both"/>
              <w:rPr>
                <w:rFonts w:ascii="Times New Roman" w:hAnsi="Times New Roman" w:cs="Times New Roman"/>
                <w:color w:val="000000"/>
                <w:sz w:val="26"/>
                <w:szCs w:val="26"/>
              </w:rPr>
            </w:pPr>
            <w:r w:rsidRPr="003C6277">
              <w:rPr>
                <w:rFonts w:ascii="Times New Roman" w:hAnsi="Times New Roman" w:cs="Times New Roman"/>
                <w:sz w:val="26"/>
                <w:szCs w:val="26"/>
              </w:rPr>
              <w:t xml:space="preserve">Tiesisko regulējumu </w:t>
            </w:r>
            <w:r w:rsidR="00B85E57" w:rsidRPr="003C6277">
              <w:rPr>
                <w:rFonts w:ascii="Times New Roman" w:hAnsi="Times New Roman" w:cs="Times New Roman"/>
                <w:sz w:val="26"/>
                <w:szCs w:val="26"/>
              </w:rPr>
              <w:t>2014</w:t>
            </w:r>
            <w:r w:rsidR="00883B0F" w:rsidRPr="003C6277">
              <w:rPr>
                <w:rFonts w:ascii="Times New Roman" w:hAnsi="Times New Roman" w:cs="Times New Roman"/>
                <w:sz w:val="26"/>
                <w:szCs w:val="26"/>
              </w:rPr>
              <w:t>.</w:t>
            </w:r>
            <w:r w:rsidR="00B85E57" w:rsidRPr="003C6277">
              <w:rPr>
                <w:rFonts w:ascii="Times New Roman" w:hAnsi="Times New Roman" w:cs="Times New Roman"/>
                <w:sz w:val="26"/>
                <w:szCs w:val="26"/>
              </w:rPr>
              <w:t xml:space="preserve"> gadā </w:t>
            </w:r>
            <w:r w:rsidRPr="003C6277">
              <w:rPr>
                <w:rFonts w:ascii="Times New Roman" w:hAnsi="Times New Roman" w:cs="Times New Roman"/>
                <w:sz w:val="26"/>
                <w:szCs w:val="26"/>
              </w:rPr>
              <w:t>paredzēts īstenot</w:t>
            </w:r>
            <w:r w:rsidR="00B85E57" w:rsidRPr="003C6277">
              <w:rPr>
                <w:rFonts w:ascii="Times New Roman" w:hAnsi="Times New Roman" w:cs="Times New Roman"/>
                <w:sz w:val="26"/>
                <w:szCs w:val="26"/>
              </w:rPr>
              <w:t xml:space="preserve"> Izglītības un zinātnes ministrijai pieejamo līdzekļu ietvaros -</w:t>
            </w:r>
            <w:r w:rsidR="00883B0F" w:rsidRPr="003C6277">
              <w:rPr>
                <w:rFonts w:ascii="Times New Roman" w:hAnsi="Times New Roman" w:cs="Times New Roman"/>
                <w:sz w:val="26"/>
                <w:szCs w:val="26"/>
              </w:rPr>
              <w:t xml:space="preserve"> </w:t>
            </w:r>
            <w:r w:rsidR="00B85E57" w:rsidRPr="003C6277">
              <w:rPr>
                <w:rFonts w:ascii="Times New Roman" w:hAnsi="Times New Roman" w:cs="Times New Roman"/>
                <w:sz w:val="26"/>
                <w:szCs w:val="26"/>
              </w:rPr>
              <w:t xml:space="preserve">nepieciešamos resursus </w:t>
            </w:r>
            <w:r w:rsidR="00B85E57" w:rsidRPr="003C6277">
              <w:rPr>
                <w:rFonts w:ascii="Times New Roman" w:hAnsi="Times New Roman" w:cs="Times New Roman"/>
                <w:bCs/>
                <w:color w:val="000000"/>
                <w:sz w:val="26"/>
                <w:szCs w:val="26"/>
              </w:rPr>
              <w:t>pedagogu darba samaksai</w:t>
            </w:r>
            <w:r w:rsidR="00B85E57" w:rsidRPr="003C6277">
              <w:rPr>
                <w:rFonts w:ascii="Times New Roman" w:hAnsi="Times New Roman" w:cs="Times New Roman"/>
                <w:sz w:val="26"/>
                <w:szCs w:val="26"/>
              </w:rPr>
              <w:t xml:space="preserve"> (lai nodrošinātu pilnu finansējuma apmēru mērķdotācijām pašvaldībām 2014.gada septembrim – decembrim, atbilstoši normatīvajos aktos noteiktajam par  pedagogu profesionālās darbības kvalitātes novērtēšanas rezultātiem visiem pedagogiem, kuri ieguvuši pakāpi) </w:t>
            </w:r>
            <w:r w:rsidR="00B85E57" w:rsidRPr="003C6277">
              <w:rPr>
                <w:rFonts w:ascii="Times New Roman" w:hAnsi="Times New Roman" w:cs="Times New Roman"/>
                <w:bCs/>
                <w:color w:val="000000"/>
                <w:sz w:val="26"/>
                <w:szCs w:val="26"/>
              </w:rPr>
              <w:t>nodrošinot no atlikuma, kas 2014.gada 1.</w:t>
            </w:r>
            <w:r w:rsidR="00F254BC" w:rsidRPr="003C6277">
              <w:rPr>
                <w:rFonts w:ascii="Times New Roman" w:hAnsi="Times New Roman" w:cs="Times New Roman"/>
                <w:bCs/>
                <w:color w:val="000000"/>
                <w:sz w:val="26"/>
                <w:szCs w:val="26"/>
              </w:rPr>
              <w:t xml:space="preserve"> un otrajā </w:t>
            </w:r>
            <w:r w:rsidR="00B85E57" w:rsidRPr="003C6277">
              <w:rPr>
                <w:rFonts w:ascii="Times New Roman" w:hAnsi="Times New Roman" w:cs="Times New Roman"/>
                <w:bCs/>
                <w:color w:val="000000"/>
                <w:sz w:val="26"/>
                <w:szCs w:val="26"/>
              </w:rPr>
              <w:t xml:space="preserve">ceturksnī </w:t>
            </w:r>
            <w:r w:rsidR="00B85E57" w:rsidRPr="003C6277">
              <w:rPr>
                <w:rFonts w:ascii="Times New Roman" w:hAnsi="Times New Roman" w:cs="Times New Roman"/>
                <w:sz w:val="26"/>
                <w:szCs w:val="26"/>
              </w:rPr>
              <w:t xml:space="preserve"> izveidojies </w:t>
            </w:r>
            <w:r w:rsidR="00B85E57" w:rsidRPr="003C6277">
              <w:rPr>
                <w:rFonts w:ascii="Times New Roman" w:hAnsi="Times New Roman" w:cs="Times New Roman"/>
                <w:color w:val="000000"/>
                <w:sz w:val="26"/>
                <w:szCs w:val="26"/>
              </w:rPr>
              <w:t xml:space="preserve">Izglītības un zinātnes ministrijas apakšprogrammā 01.05.00 "Dotācija privātajām mācību iestādēm” piešķirtajiem līdzekļiem valsts atbalsta izmaksai bērniem no pusotra gada vecuma līdz obligātās pirmsskolas izglītības programmas apguves uzsākšanai, ja pašvaldība bērnu nevar nodrošināt ar vietu pašvaldības pirmsskolas izglītības iestādē. </w:t>
            </w:r>
          </w:p>
          <w:p w14:paraId="17F63B58" w14:textId="77777777" w:rsidR="00B85763" w:rsidRPr="003C6277" w:rsidRDefault="002A0F4A" w:rsidP="00695B9E">
            <w:pPr>
              <w:spacing w:after="0" w:line="240" w:lineRule="auto"/>
              <w:jc w:val="both"/>
              <w:rPr>
                <w:rFonts w:ascii="Times New Roman" w:eastAsia="Times New Roman" w:hAnsi="Times New Roman" w:cs="Times New Roman"/>
                <w:color w:val="000000" w:themeColor="text1"/>
                <w:sz w:val="26"/>
                <w:szCs w:val="26"/>
                <w:lang w:eastAsia="lv-LV"/>
              </w:rPr>
            </w:pPr>
            <w:r w:rsidRPr="003C6277">
              <w:rPr>
                <w:rFonts w:ascii="Times New Roman" w:eastAsia="Times New Roman" w:hAnsi="Times New Roman" w:cs="Times New Roman"/>
                <w:color w:val="000000" w:themeColor="text1"/>
                <w:sz w:val="26"/>
                <w:szCs w:val="26"/>
                <w:lang w:eastAsia="lv-LV"/>
              </w:rPr>
              <w:t xml:space="preserve">Valsts kontroles </w:t>
            </w:r>
            <w:r w:rsidR="00762B3D" w:rsidRPr="003C6277">
              <w:rPr>
                <w:rFonts w:ascii="Times New Roman" w:eastAsia="Times New Roman" w:hAnsi="Times New Roman" w:cs="Times New Roman"/>
                <w:color w:val="000000" w:themeColor="text1"/>
                <w:sz w:val="26"/>
                <w:szCs w:val="26"/>
                <w:lang w:eastAsia="lv-LV"/>
              </w:rPr>
              <w:t xml:space="preserve">revīzijas </w:t>
            </w:r>
            <w:r w:rsidRPr="003C6277">
              <w:rPr>
                <w:rFonts w:ascii="Times New Roman" w:eastAsia="Times New Roman" w:hAnsi="Times New Roman" w:cs="Times New Roman"/>
                <w:color w:val="000000" w:themeColor="text1"/>
                <w:sz w:val="26"/>
                <w:szCs w:val="26"/>
                <w:lang w:eastAsia="lv-LV"/>
              </w:rPr>
              <w:t>ziņojum</w:t>
            </w:r>
            <w:r w:rsidR="0060204E" w:rsidRPr="003C6277">
              <w:rPr>
                <w:rFonts w:ascii="Times New Roman" w:eastAsia="Times New Roman" w:hAnsi="Times New Roman" w:cs="Times New Roman"/>
                <w:color w:val="000000" w:themeColor="text1"/>
                <w:sz w:val="26"/>
                <w:szCs w:val="26"/>
                <w:lang w:eastAsia="lv-LV"/>
              </w:rPr>
              <w:t>ā</w:t>
            </w:r>
            <w:r w:rsidRPr="003C6277">
              <w:rPr>
                <w:rFonts w:ascii="Times New Roman" w:eastAsia="Times New Roman" w:hAnsi="Times New Roman" w:cs="Times New Roman"/>
                <w:color w:val="000000" w:themeColor="text1"/>
                <w:sz w:val="26"/>
                <w:szCs w:val="26"/>
                <w:lang w:eastAsia="lv-LV"/>
              </w:rPr>
              <w:t xml:space="preserve"> norādīt</w:t>
            </w:r>
            <w:r w:rsidR="00B8071B" w:rsidRPr="003C6277">
              <w:rPr>
                <w:rFonts w:ascii="Times New Roman" w:eastAsia="Times New Roman" w:hAnsi="Times New Roman" w:cs="Times New Roman"/>
                <w:color w:val="000000" w:themeColor="text1"/>
                <w:sz w:val="26"/>
                <w:szCs w:val="26"/>
                <w:lang w:eastAsia="lv-LV"/>
              </w:rPr>
              <w:t>s</w:t>
            </w:r>
            <w:r w:rsidRPr="003C6277">
              <w:rPr>
                <w:rFonts w:ascii="Times New Roman" w:eastAsia="Times New Roman" w:hAnsi="Times New Roman" w:cs="Times New Roman"/>
                <w:color w:val="000000" w:themeColor="text1"/>
                <w:sz w:val="26"/>
                <w:szCs w:val="26"/>
                <w:lang w:eastAsia="lv-LV"/>
              </w:rPr>
              <w:t xml:space="preserve">, </w:t>
            </w:r>
            <w:r w:rsidR="00B8071B" w:rsidRPr="003C6277">
              <w:rPr>
                <w:rFonts w:ascii="Times New Roman" w:eastAsia="Times New Roman" w:hAnsi="Times New Roman" w:cs="Times New Roman"/>
                <w:color w:val="000000" w:themeColor="text1"/>
                <w:sz w:val="26"/>
                <w:szCs w:val="26"/>
                <w:lang w:eastAsia="lv-LV"/>
              </w:rPr>
              <w:t xml:space="preserve">ka skolās </w:t>
            </w:r>
            <w:r w:rsidRPr="003C6277">
              <w:rPr>
                <w:rFonts w:ascii="Times New Roman" w:eastAsia="Times New Roman" w:hAnsi="Times New Roman" w:cs="Times New Roman"/>
                <w:color w:val="000000" w:themeColor="text1"/>
                <w:sz w:val="26"/>
                <w:szCs w:val="26"/>
                <w:lang w:eastAsia="lv-LV"/>
              </w:rPr>
              <w:t>ir vērojama tendence nepamatoti izlietot valsts budžeta mērķdotāciju pedagogu atalgojumam</w:t>
            </w:r>
            <w:r w:rsidR="0060204E" w:rsidRPr="003C6277">
              <w:rPr>
                <w:rFonts w:ascii="Times New Roman" w:eastAsia="Times New Roman" w:hAnsi="Times New Roman" w:cs="Times New Roman"/>
                <w:color w:val="000000" w:themeColor="text1"/>
                <w:sz w:val="26"/>
                <w:szCs w:val="26"/>
                <w:lang w:eastAsia="lv-LV"/>
              </w:rPr>
              <w:t>, izmaksājot dažāda veida pabalstus un piemaksas,</w:t>
            </w:r>
            <w:r w:rsidRPr="003C6277">
              <w:rPr>
                <w:rFonts w:ascii="Times New Roman" w:eastAsia="Times New Roman" w:hAnsi="Times New Roman" w:cs="Times New Roman"/>
                <w:color w:val="000000" w:themeColor="text1"/>
                <w:sz w:val="26"/>
                <w:szCs w:val="26"/>
                <w:lang w:eastAsia="lv-LV"/>
              </w:rPr>
              <w:t xml:space="preserve"> vai arī tieši pretēji -  veidot mērķdotācijas uzkrājumus,</w:t>
            </w:r>
            <w:r w:rsidR="0059231D" w:rsidRPr="003C6277">
              <w:rPr>
                <w:rFonts w:ascii="Times New Roman" w:eastAsia="Times New Roman" w:hAnsi="Times New Roman" w:cs="Times New Roman"/>
                <w:color w:val="000000" w:themeColor="text1"/>
                <w:sz w:val="26"/>
                <w:szCs w:val="26"/>
                <w:lang w:eastAsia="lv-LV"/>
              </w:rPr>
              <w:t xml:space="preserve"> tādēļ</w:t>
            </w:r>
            <w:r w:rsidRPr="003C6277">
              <w:rPr>
                <w:rFonts w:ascii="Times New Roman" w:eastAsia="Times New Roman" w:hAnsi="Times New Roman" w:cs="Times New Roman"/>
                <w:color w:val="000000" w:themeColor="text1"/>
                <w:sz w:val="26"/>
                <w:szCs w:val="26"/>
                <w:lang w:eastAsia="lv-LV"/>
              </w:rPr>
              <w:t xml:space="preserve"> projektā ir paredzēts, ka</w:t>
            </w:r>
            <w:r w:rsidR="0059231D" w:rsidRPr="003C6277">
              <w:rPr>
                <w:rFonts w:ascii="Times New Roman" w:eastAsia="Times New Roman" w:hAnsi="Times New Roman" w:cs="Times New Roman"/>
                <w:color w:val="000000" w:themeColor="text1"/>
                <w:sz w:val="26"/>
                <w:szCs w:val="26"/>
                <w:lang w:eastAsia="lv-LV"/>
              </w:rPr>
              <w:t xml:space="preserve"> par nepamatotu </w:t>
            </w:r>
            <w:r w:rsidR="0014120C" w:rsidRPr="003C6277">
              <w:rPr>
                <w:rFonts w:ascii="Times New Roman" w:eastAsia="Times New Roman" w:hAnsi="Times New Roman" w:cs="Times New Roman"/>
                <w:color w:val="000000" w:themeColor="text1"/>
                <w:sz w:val="26"/>
                <w:szCs w:val="26"/>
                <w:lang w:eastAsia="lv-LV"/>
              </w:rPr>
              <w:t>valsts piešķi</w:t>
            </w:r>
            <w:r w:rsidR="00457FB7" w:rsidRPr="003C6277">
              <w:rPr>
                <w:rFonts w:ascii="Times New Roman" w:eastAsia="Times New Roman" w:hAnsi="Times New Roman" w:cs="Times New Roman"/>
                <w:color w:val="000000" w:themeColor="text1"/>
                <w:sz w:val="26"/>
                <w:szCs w:val="26"/>
                <w:lang w:eastAsia="lv-LV"/>
              </w:rPr>
              <w:t>rtās mērķdotācijas izlietojumu</w:t>
            </w:r>
            <w:r w:rsidR="0059231D" w:rsidRPr="003C6277">
              <w:rPr>
                <w:rFonts w:ascii="Times New Roman" w:eastAsia="Times New Roman" w:hAnsi="Times New Roman" w:cs="Times New Roman"/>
                <w:color w:val="000000" w:themeColor="text1"/>
                <w:sz w:val="26"/>
                <w:szCs w:val="26"/>
                <w:lang w:eastAsia="lv-LV"/>
              </w:rPr>
              <w:t xml:space="preserve">, kā arī </w:t>
            </w:r>
            <w:r w:rsidR="00196446" w:rsidRPr="003C6277">
              <w:rPr>
                <w:rFonts w:ascii="Times New Roman" w:eastAsia="Times New Roman" w:hAnsi="Times New Roman" w:cs="Times New Roman"/>
                <w:color w:val="000000" w:themeColor="text1"/>
                <w:sz w:val="26"/>
                <w:szCs w:val="26"/>
                <w:lang w:eastAsia="lv-LV"/>
              </w:rPr>
              <w:t xml:space="preserve"> </w:t>
            </w:r>
            <w:r w:rsidR="0059231D" w:rsidRPr="003C6277">
              <w:rPr>
                <w:rFonts w:ascii="Times New Roman" w:eastAsia="Times New Roman" w:hAnsi="Times New Roman" w:cs="Times New Roman"/>
                <w:color w:val="000000" w:themeColor="text1"/>
                <w:sz w:val="26"/>
                <w:szCs w:val="26"/>
                <w:lang w:eastAsia="lv-LV"/>
              </w:rPr>
              <w:t>par</w:t>
            </w:r>
            <w:r w:rsidR="00762B3D" w:rsidRPr="003C6277">
              <w:rPr>
                <w:rFonts w:ascii="Times New Roman" w:eastAsia="Times New Roman" w:hAnsi="Times New Roman" w:cs="Times New Roman"/>
                <w:color w:val="000000" w:themeColor="text1"/>
                <w:sz w:val="26"/>
                <w:szCs w:val="26"/>
                <w:lang w:eastAsia="lv-LV"/>
              </w:rPr>
              <w:t xml:space="preserve"> nep</w:t>
            </w:r>
            <w:r w:rsidR="0059231D" w:rsidRPr="003C6277">
              <w:rPr>
                <w:rFonts w:ascii="Times New Roman" w:eastAsia="Times New Roman" w:hAnsi="Times New Roman" w:cs="Times New Roman"/>
                <w:color w:val="000000" w:themeColor="text1"/>
                <w:sz w:val="26"/>
                <w:szCs w:val="26"/>
                <w:lang w:eastAsia="lv-LV"/>
              </w:rPr>
              <w:t>atiesu</w:t>
            </w:r>
            <w:r w:rsidR="00762B3D" w:rsidRPr="003C6277">
              <w:rPr>
                <w:rFonts w:ascii="Times New Roman" w:eastAsia="Times New Roman" w:hAnsi="Times New Roman" w:cs="Times New Roman"/>
                <w:color w:val="000000" w:themeColor="text1"/>
                <w:sz w:val="26"/>
                <w:szCs w:val="26"/>
                <w:lang w:eastAsia="lv-LV"/>
              </w:rPr>
              <w:t xml:space="preserve"> informāciju par izglītojamo skaitu Valsts izglītības inform</w:t>
            </w:r>
            <w:r w:rsidR="0060204E" w:rsidRPr="003C6277">
              <w:rPr>
                <w:rFonts w:ascii="Times New Roman" w:eastAsia="Times New Roman" w:hAnsi="Times New Roman" w:cs="Times New Roman"/>
                <w:color w:val="000000" w:themeColor="text1"/>
                <w:sz w:val="26"/>
                <w:szCs w:val="26"/>
                <w:lang w:eastAsia="lv-LV"/>
              </w:rPr>
              <w:t>ācijas</w:t>
            </w:r>
            <w:r w:rsidR="00762B3D" w:rsidRPr="003C6277">
              <w:rPr>
                <w:rFonts w:ascii="Times New Roman" w:eastAsia="Times New Roman" w:hAnsi="Times New Roman" w:cs="Times New Roman"/>
                <w:color w:val="000000" w:themeColor="text1"/>
                <w:sz w:val="26"/>
                <w:szCs w:val="26"/>
                <w:lang w:eastAsia="lv-LV"/>
              </w:rPr>
              <w:t xml:space="preserve"> sistēmā,</w:t>
            </w:r>
            <w:r w:rsidR="0014120C" w:rsidRPr="003C6277">
              <w:rPr>
                <w:rFonts w:ascii="Times New Roman" w:eastAsia="Times New Roman" w:hAnsi="Times New Roman" w:cs="Times New Roman"/>
                <w:color w:val="000000" w:themeColor="text1"/>
                <w:sz w:val="26"/>
                <w:szCs w:val="26"/>
                <w:lang w:eastAsia="lv-LV"/>
              </w:rPr>
              <w:t xml:space="preserve"> </w:t>
            </w:r>
            <w:r w:rsidR="00457FB7" w:rsidRPr="003C6277">
              <w:rPr>
                <w:rFonts w:ascii="Times New Roman" w:eastAsia="Times New Roman" w:hAnsi="Times New Roman" w:cs="Times New Roman"/>
                <w:color w:val="000000" w:themeColor="text1"/>
                <w:sz w:val="26"/>
                <w:szCs w:val="26"/>
                <w:lang w:eastAsia="lv-LV"/>
              </w:rPr>
              <w:t>valsts</w:t>
            </w:r>
            <w:r w:rsidR="0014120C" w:rsidRPr="003C6277">
              <w:rPr>
                <w:rFonts w:ascii="Times New Roman" w:eastAsia="Times New Roman" w:hAnsi="Times New Roman" w:cs="Times New Roman"/>
                <w:color w:val="000000" w:themeColor="text1"/>
                <w:sz w:val="26"/>
                <w:szCs w:val="26"/>
                <w:lang w:eastAsia="lv-LV"/>
              </w:rPr>
              <w:t xml:space="preserve"> </w:t>
            </w:r>
            <w:r w:rsidR="006D1BA2" w:rsidRPr="003C6277">
              <w:rPr>
                <w:rFonts w:ascii="Times New Roman" w:eastAsia="Times New Roman" w:hAnsi="Times New Roman" w:cs="Times New Roman"/>
                <w:color w:val="000000" w:themeColor="text1"/>
                <w:sz w:val="26"/>
                <w:szCs w:val="26"/>
                <w:lang w:eastAsia="lv-LV"/>
              </w:rPr>
              <w:t xml:space="preserve">būs tiesīga pieprasīt </w:t>
            </w:r>
            <w:r w:rsidR="001277E1" w:rsidRPr="003C6277">
              <w:rPr>
                <w:rFonts w:ascii="Times New Roman" w:hAnsi="Times New Roman" w:cs="Times New Roman"/>
                <w:color w:val="000000" w:themeColor="text1"/>
                <w:sz w:val="26"/>
                <w:szCs w:val="26"/>
              </w:rPr>
              <w:t>novadu un republikas pilsētu pašvaldībām</w:t>
            </w:r>
            <w:r w:rsidR="006D1BA2" w:rsidRPr="003C6277">
              <w:rPr>
                <w:rFonts w:ascii="Times New Roman" w:eastAsia="Times New Roman" w:hAnsi="Times New Roman" w:cs="Times New Roman"/>
                <w:color w:val="000000" w:themeColor="text1"/>
                <w:sz w:val="26"/>
                <w:szCs w:val="26"/>
                <w:lang w:eastAsia="lv-LV"/>
              </w:rPr>
              <w:t xml:space="preserve"> </w:t>
            </w:r>
            <w:r w:rsidRPr="003C6277">
              <w:rPr>
                <w:rFonts w:ascii="Times New Roman" w:eastAsia="Times New Roman" w:hAnsi="Times New Roman" w:cs="Times New Roman"/>
                <w:color w:val="000000" w:themeColor="text1"/>
                <w:sz w:val="26"/>
                <w:szCs w:val="26"/>
                <w:lang w:eastAsia="lv-LV"/>
              </w:rPr>
              <w:t>atmaksāt valsts budžetā</w:t>
            </w:r>
            <w:r w:rsidR="0059231D" w:rsidRPr="003C6277">
              <w:rPr>
                <w:rFonts w:ascii="Times New Roman" w:eastAsia="Times New Roman" w:hAnsi="Times New Roman" w:cs="Times New Roman"/>
                <w:color w:val="000000" w:themeColor="text1"/>
                <w:sz w:val="26"/>
                <w:szCs w:val="26"/>
                <w:lang w:eastAsia="lv-LV"/>
              </w:rPr>
              <w:t xml:space="preserve"> </w:t>
            </w:r>
            <w:r w:rsidR="006D1BA2" w:rsidRPr="003C6277">
              <w:rPr>
                <w:rFonts w:ascii="Times New Roman" w:eastAsia="Times New Roman" w:hAnsi="Times New Roman" w:cs="Times New Roman"/>
                <w:color w:val="000000" w:themeColor="text1"/>
                <w:sz w:val="26"/>
                <w:szCs w:val="26"/>
                <w:lang w:eastAsia="lv-LV"/>
              </w:rPr>
              <w:t xml:space="preserve">nepamatoti izlietoto </w:t>
            </w:r>
            <w:r w:rsidR="00457FB7" w:rsidRPr="003C6277">
              <w:rPr>
                <w:rFonts w:ascii="Times New Roman" w:eastAsia="Times New Roman" w:hAnsi="Times New Roman" w:cs="Times New Roman"/>
                <w:color w:val="000000" w:themeColor="text1"/>
                <w:sz w:val="26"/>
                <w:szCs w:val="26"/>
                <w:lang w:eastAsia="lv-LV"/>
              </w:rPr>
              <w:t xml:space="preserve">pedagogu atalgojumam  paredzēto </w:t>
            </w:r>
            <w:r w:rsidR="006D1BA2" w:rsidRPr="003C6277">
              <w:rPr>
                <w:rFonts w:ascii="Times New Roman" w:eastAsia="Times New Roman" w:hAnsi="Times New Roman" w:cs="Times New Roman"/>
                <w:color w:val="000000" w:themeColor="text1"/>
                <w:sz w:val="26"/>
                <w:szCs w:val="26"/>
                <w:lang w:eastAsia="lv-LV"/>
              </w:rPr>
              <w:t>finansējumu.</w:t>
            </w:r>
          </w:p>
          <w:p w14:paraId="5C4F6121" w14:textId="77777777" w:rsidR="00471E59" w:rsidRPr="003C6277" w:rsidRDefault="00471E59" w:rsidP="00695B9E">
            <w:pPr>
              <w:spacing w:after="0" w:line="240" w:lineRule="auto"/>
              <w:jc w:val="both"/>
              <w:rPr>
                <w:rFonts w:ascii="Times New Roman" w:eastAsia="Times New Roman" w:hAnsi="Times New Roman" w:cs="Times New Roman"/>
                <w:sz w:val="26"/>
                <w:szCs w:val="26"/>
                <w:lang w:eastAsia="lv-LV"/>
              </w:rPr>
            </w:pPr>
          </w:p>
          <w:p w14:paraId="6C4E17BC" w14:textId="77777777" w:rsidR="00457FB7" w:rsidRPr="003C6277" w:rsidRDefault="00457FB7" w:rsidP="00695B9E">
            <w:pPr>
              <w:spacing w:after="0" w:line="240" w:lineRule="auto"/>
              <w:jc w:val="both"/>
              <w:rPr>
                <w:rFonts w:ascii="Times New Roman" w:hAnsi="Times New Roman" w:cs="Times New Roman"/>
                <w:sz w:val="26"/>
                <w:szCs w:val="26"/>
              </w:rPr>
            </w:pPr>
            <w:r w:rsidRPr="003C6277">
              <w:rPr>
                <w:rFonts w:ascii="Times New Roman" w:hAnsi="Times New Roman" w:cs="Times New Roman"/>
                <w:sz w:val="26"/>
                <w:szCs w:val="26"/>
              </w:rPr>
              <w:t xml:space="preserve">Protokollēmumā Izglītības un zinātnes ministrijai tika uzdots projektā paredzēt, ka līdz attiecīgā gada 10.septembrim izglītības iestādes ievada un apstiprina informāciju par bērnu un skolēnu skaitu attiecīgā gada 5.septembrī, un mērķdotācija periodam no attiecīgā gada 1.septembra līdz nākamā gada 31.augustam tiek aprēķināta pēc bērnu un skolēnu skaita attiecīgā gada 5.septembrī. </w:t>
            </w:r>
          </w:p>
          <w:p w14:paraId="0AF184F5" w14:textId="77777777" w:rsidR="00907202" w:rsidRPr="003C6277" w:rsidRDefault="00457FB7" w:rsidP="00695B9E">
            <w:pPr>
              <w:spacing w:after="0" w:line="240" w:lineRule="auto"/>
              <w:jc w:val="both"/>
              <w:rPr>
                <w:rFonts w:ascii="Times New Roman" w:hAnsi="Times New Roman" w:cs="Times New Roman"/>
                <w:sz w:val="26"/>
                <w:szCs w:val="26"/>
              </w:rPr>
            </w:pPr>
            <w:r w:rsidRPr="003C6277">
              <w:rPr>
                <w:rFonts w:ascii="Times New Roman" w:hAnsi="Times New Roman" w:cs="Times New Roman"/>
                <w:sz w:val="26"/>
                <w:szCs w:val="26"/>
              </w:rPr>
              <w:lastRenderedPageBreak/>
              <w:t>Izvērtējot ik gadus pedagogu izteikto neapmierinātību par  ilgstošo neziņu par darba samaksas apmēru līdz pat septembra beig</w:t>
            </w:r>
            <w:r w:rsidR="00891B9D" w:rsidRPr="003C6277">
              <w:rPr>
                <w:rFonts w:ascii="Times New Roman" w:hAnsi="Times New Roman" w:cs="Times New Roman"/>
                <w:sz w:val="26"/>
                <w:szCs w:val="26"/>
              </w:rPr>
              <w:t>ām</w:t>
            </w:r>
            <w:r w:rsidRPr="003C6277">
              <w:rPr>
                <w:rFonts w:ascii="Times New Roman" w:hAnsi="Times New Roman" w:cs="Times New Roman"/>
                <w:sz w:val="26"/>
                <w:szCs w:val="26"/>
              </w:rPr>
              <w:t xml:space="preserve">, kā arī ievērojot </w:t>
            </w:r>
            <w:r w:rsidR="00891B9D" w:rsidRPr="003C6277">
              <w:rPr>
                <w:rFonts w:ascii="Times New Roman" w:eastAsia="Times New Roman" w:hAnsi="Times New Roman" w:cs="Times New Roman"/>
                <w:color w:val="000000" w:themeColor="text1"/>
                <w:sz w:val="26"/>
                <w:szCs w:val="26"/>
                <w:lang w:eastAsia="lv-LV"/>
              </w:rPr>
              <w:t xml:space="preserve">Valsts kontroles revīzijas ziņojumā norādīto, ka pedagogi laikus brīdināmi par darba samaksas izmaiņām, ministrija ir nolēmusi nemainīt </w:t>
            </w:r>
            <w:r w:rsidR="00891B9D" w:rsidRPr="003C6277">
              <w:rPr>
                <w:rFonts w:ascii="Times New Roman" w:hAnsi="Times New Roman" w:cs="Times New Roman"/>
                <w:sz w:val="26"/>
                <w:szCs w:val="26"/>
              </w:rPr>
              <w:t>noteikumu Nr.1616 8.</w:t>
            </w:r>
            <w:r w:rsidR="00891B9D" w:rsidRPr="003C6277">
              <w:rPr>
                <w:rFonts w:ascii="Times New Roman" w:hAnsi="Times New Roman" w:cs="Times New Roman"/>
                <w:sz w:val="26"/>
                <w:szCs w:val="26"/>
                <w:vertAlign w:val="superscript"/>
              </w:rPr>
              <w:t>1</w:t>
            </w:r>
            <w:r w:rsidR="00891B9D" w:rsidRPr="003C6277">
              <w:rPr>
                <w:rFonts w:ascii="Times New Roman" w:hAnsi="Times New Roman" w:cs="Times New Roman"/>
                <w:sz w:val="26"/>
                <w:szCs w:val="26"/>
              </w:rPr>
              <w:t xml:space="preserve"> punktā noteikto mērķdotācijas aprēķināšanas laiku. Papildus informējam, ka šāda prakse tiek lietota arī Igaunijā.</w:t>
            </w:r>
          </w:p>
          <w:p w14:paraId="6E864FA4" w14:textId="77777777" w:rsidR="00907202" w:rsidRPr="003C6277" w:rsidRDefault="003A188C" w:rsidP="00695B9E">
            <w:pPr>
              <w:spacing w:after="0" w:line="240" w:lineRule="auto"/>
              <w:jc w:val="both"/>
              <w:rPr>
                <w:rFonts w:ascii="Times New Roman" w:hAnsi="Times New Roman" w:cs="Times New Roman"/>
                <w:sz w:val="26"/>
                <w:szCs w:val="26"/>
              </w:rPr>
            </w:pPr>
            <w:r w:rsidRPr="003C6277">
              <w:rPr>
                <w:rFonts w:ascii="Times New Roman" w:hAnsi="Times New Roman" w:cs="Times New Roman"/>
                <w:sz w:val="26"/>
                <w:szCs w:val="26"/>
              </w:rPr>
              <w:t xml:space="preserve">Izglītības un zinātnes ministrija ir izvērtējusi arī pedagoģiskās korekcijas programmu īstenošanas lietderību un konstatējusi, ka ļoti daudziem skolēniem nepieciešams papildu atbalsts, ko nevar sniegt tikai pedagogam noteiktajās individuālajās konsultācijās. </w:t>
            </w:r>
          </w:p>
          <w:p w14:paraId="5E0116F7" w14:textId="77777777" w:rsidR="00907202" w:rsidRPr="003C6277" w:rsidRDefault="003A188C" w:rsidP="00695B9E">
            <w:pPr>
              <w:spacing w:after="0" w:line="240" w:lineRule="auto"/>
              <w:jc w:val="both"/>
              <w:rPr>
                <w:rFonts w:ascii="Times New Roman" w:hAnsi="Times New Roman" w:cs="Times New Roman"/>
                <w:sz w:val="26"/>
                <w:szCs w:val="26"/>
              </w:rPr>
            </w:pPr>
            <w:r w:rsidRPr="003C6277">
              <w:rPr>
                <w:rFonts w:ascii="Times New Roman" w:hAnsi="Times New Roman" w:cs="Times New Roman"/>
                <w:sz w:val="26"/>
                <w:szCs w:val="26"/>
              </w:rPr>
              <w:t xml:space="preserve">Informējam, ka nav iespējams samazināt </w:t>
            </w:r>
            <w:r w:rsidR="00FB42FB" w:rsidRPr="003C6277">
              <w:rPr>
                <w:rFonts w:ascii="Times New Roman" w:hAnsi="Times New Roman" w:cs="Times New Roman"/>
                <w:sz w:val="26"/>
                <w:szCs w:val="26"/>
              </w:rPr>
              <w:t xml:space="preserve">koeficientu </w:t>
            </w:r>
            <w:r w:rsidR="00556686" w:rsidRPr="003C6277">
              <w:rPr>
                <w:rFonts w:ascii="Times New Roman" w:hAnsi="Times New Roman" w:cs="Times New Roman"/>
                <w:sz w:val="26"/>
                <w:szCs w:val="26"/>
              </w:rPr>
              <w:t xml:space="preserve">visām </w:t>
            </w:r>
            <w:r w:rsidR="00FB42FB" w:rsidRPr="003C6277">
              <w:rPr>
                <w:rFonts w:ascii="Times New Roman" w:hAnsi="Times New Roman" w:cs="Times New Roman"/>
                <w:sz w:val="26"/>
                <w:szCs w:val="26"/>
              </w:rPr>
              <w:t>pamatizglītības profesionālās ievirzes programmām</w:t>
            </w:r>
            <w:r w:rsidR="00556686" w:rsidRPr="003C6277">
              <w:rPr>
                <w:rFonts w:ascii="Times New Roman" w:hAnsi="Times New Roman" w:cs="Times New Roman"/>
                <w:sz w:val="26"/>
                <w:szCs w:val="26"/>
              </w:rPr>
              <w:t>, tādēļ programmām</w:t>
            </w:r>
            <w:r w:rsidR="00FB42FB" w:rsidRPr="003C6277">
              <w:rPr>
                <w:rFonts w:ascii="Times New Roman" w:hAnsi="Times New Roman" w:cs="Times New Roman"/>
                <w:sz w:val="26"/>
                <w:szCs w:val="26"/>
              </w:rPr>
              <w:t xml:space="preserve"> ar padziļinātu mūzikas mācīšanu</w:t>
            </w:r>
            <w:r w:rsidR="003860A0" w:rsidRPr="003C6277">
              <w:rPr>
                <w:rFonts w:ascii="Times New Roman" w:hAnsi="Times New Roman" w:cs="Times New Roman"/>
                <w:sz w:val="26"/>
                <w:szCs w:val="26"/>
              </w:rPr>
              <w:t xml:space="preserve"> sag</w:t>
            </w:r>
            <w:r w:rsidR="00556686" w:rsidRPr="003C6277">
              <w:rPr>
                <w:rFonts w:ascii="Times New Roman" w:hAnsi="Times New Roman" w:cs="Times New Roman"/>
                <w:sz w:val="26"/>
                <w:szCs w:val="26"/>
              </w:rPr>
              <w:t>labāts koeficients 1,3</w:t>
            </w:r>
            <w:r w:rsidR="00FB42FB" w:rsidRPr="003C6277">
              <w:rPr>
                <w:rFonts w:ascii="Times New Roman" w:hAnsi="Times New Roman" w:cs="Times New Roman"/>
                <w:sz w:val="26"/>
                <w:szCs w:val="26"/>
              </w:rPr>
              <w:t>, jo jau ar esošo koeficientu ar grūtībām iespējams nodrošināt programmā apmaksājamo stundu norisi.</w:t>
            </w:r>
          </w:p>
          <w:p w14:paraId="6ADAF784" w14:textId="77777777" w:rsidR="00E8543F" w:rsidRPr="003C6277" w:rsidRDefault="00E8543F" w:rsidP="00695B9E">
            <w:pPr>
              <w:spacing w:after="0" w:line="240" w:lineRule="auto"/>
              <w:jc w:val="both"/>
              <w:rPr>
                <w:rFonts w:ascii="Times New Roman" w:hAnsi="Times New Roman" w:cs="Times New Roman"/>
                <w:sz w:val="26"/>
                <w:szCs w:val="26"/>
              </w:rPr>
            </w:pPr>
          </w:p>
          <w:p w14:paraId="6574771A" w14:textId="77777777" w:rsidR="00E8543F" w:rsidRPr="003C6277" w:rsidRDefault="00E8543F" w:rsidP="00A56D5B">
            <w:pPr>
              <w:spacing w:after="0" w:line="240" w:lineRule="auto"/>
              <w:ind w:firstLine="567"/>
              <w:jc w:val="both"/>
              <w:rPr>
                <w:rFonts w:ascii="Times New Roman" w:hAnsi="Times New Roman" w:cs="Times New Roman"/>
                <w:sz w:val="26"/>
                <w:szCs w:val="26"/>
              </w:rPr>
            </w:pPr>
            <w:r w:rsidRPr="003C6277">
              <w:rPr>
                <w:rFonts w:ascii="Times New Roman" w:hAnsi="Times New Roman" w:cs="Times New Roman"/>
                <w:sz w:val="26"/>
                <w:szCs w:val="26"/>
              </w:rPr>
              <w:t>Tomēr, lai ierobežotu nepamatotu programmu īstenošanu ar nolūku iegūt papildu finansējumu, projektā ietverts tiesiskais regulējums par to, ka  līdz 2017.gada 1.septembrim no mērķdotācijas finansēs profesionāli orientēta virziena pamatizglītības programmas ar padziļinātu mācību priekšmetu mācīšanu, pedagoģiskās korekcijas programmas, vakara (maiņu) un neklātienes (tai skaitā – tālmācības) vispārējās izglītības programmas, kuru īstenošana sākta ne vēlāk kā 2014.gada 1.septembrī</w:t>
            </w:r>
            <w:r w:rsidR="000368C4" w:rsidRPr="003C6277">
              <w:rPr>
                <w:rFonts w:ascii="Times New Roman" w:hAnsi="Times New Roman" w:cs="Times New Roman"/>
                <w:sz w:val="26"/>
                <w:szCs w:val="26"/>
              </w:rPr>
              <w:t>.</w:t>
            </w:r>
            <w:r w:rsidRPr="003C6277">
              <w:rPr>
                <w:rFonts w:ascii="Times New Roman" w:hAnsi="Times New Roman" w:cs="Times New Roman"/>
                <w:sz w:val="26"/>
                <w:szCs w:val="26"/>
              </w:rPr>
              <w:t xml:space="preserve"> </w:t>
            </w:r>
            <w:r w:rsidR="008443A8" w:rsidRPr="003C6277">
              <w:rPr>
                <w:sz w:val="26"/>
                <w:szCs w:val="26"/>
              </w:rPr>
              <w:t xml:space="preserve"> </w:t>
            </w:r>
            <w:r w:rsidR="008443A8" w:rsidRPr="003C6277">
              <w:rPr>
                <w:rFonts w:ascii="Times New Roman" w:hAnsi="Times New Roman" w:cs="Times New Roman"/>
                <w:sz w:val="26"/>
                <w:szCs w:val="26"/>
              </w:rPr>
              <w:t>Minētās programmas neierobežo tiesības bez maksas iegūt pamatizglītību un vidējo izglītību, jo 20.</w:t>
            </w:r>
            <w:r w:rsidR="008443A8" w:rsidRPr="003C6277">
              <w:rPr>
                <w:rFonts w:ascii="Times New Roman" w:hAnsi="Times New Roman" w:cs="Times New Roman"/>
                <w:sz w:val="26"/>
                <w:szCs w:val="26"/>
                <w:vertAlign w:val="superscript"/>
              </w:rPr>
              <w:t>5</w:t>
            </w:r>
            <w:r w:rsidR="008443A8" w:rsidRPr="003C6277">
              <w:rPr>
                <w:rFonts w:ascii="Times New Roman" w:hAnsi="Times New Roman" w:cs="Times New Roman"/>
                <w:sz w:val="26"/>
                <w:szCs w:val="26"/>
              </w:rPr>
              <w:t>1. un 20.</w:t>
            </w:r>
            <w:r w:rsidR="008443A8" w:rsidRPr="003C6277">
              <w:rPr>
                <w:rFonts w:ascii="Times New Roman" w:hAnsi="Times New Roman" w:cs="Times New Roman"/>
                <w:sz w:val="26"/>
                <w:szCs w:val="26"/>
                <w:vertAlign w:val="superscript"/>
              </w:rPr>
              <w:t>5</w:t>
            </w:r>
            <w:r w:rsidR="008443A8" w:rsidRPr="003C6277">
              <w:rPr>
                <w:rFonts w:ascii="Times New Roman" w:hAnsi="Times New Roman" w:cs="Times New Roman"/>
                <w:sz w:val="26"/>
                <w:szCs w:val="26"/>
              </w:rPr>
              <w:t>2. punktā minētās programmas  ir papildu programmas, kas tiek īstenotas līdztekus pamatizglītības programmai; savukārt vakara (maiņu) un neklātienes (tai skaitā – tālmācības) vispārējās izglītības programmu īstenošana aptver visu valsti un pēdējos gados jaunas programmas atver tikai privātās izglītības iestādes.</w:t>
            </w:r>
          </w:p>
          <w:p w14:paraId="7CE72D97" w14:textId="77777777" w:rsidR="009B509B" w:rsidRPr="006A73C3" w:rsidRDefault="009B509B" w:rsidP="00A56D5B">
            <w:pPr>
              <w:spacing w:after="0" w:line="240" w:lineRule="auto"/>
              <w:ind w:firstLine="567"/>
              <w:jc w:val="both"/>
              <w:rPr>
                <w:rFonts w:ascii="Times New Roman" w:hAnsi="Times New Roman" w:cs="Times New Roman"/>
                <w:sz w:val="26"/>
                <w:szCs w:val="26"/>
              </w:rPr>
            </w:pPr>
            <w:r w:rsidRPr="006A73C3">
              <w:rPr>
                <w:rFonts w:ascii="Times New Roman" w:hAnsi="Times New Roman" w:cs="Times New Roman"/>
                <w:sz w:val="26"/>
                <w:szCs w:val="26"/>
              </w:rPr>
              <w:t xml:space="preserve">Vienlaikus ar projekta saskaņošanu notika  noteikumu Nr.1616 4.punktā minētā izglītojamo uzskaite, kurā tika konstatēts, ka vairākās pašvaldībās ievērojami pieaugs gan 1.klašu skolēnu skaits, gan bērnu skaits piecgadīgo pirmsskolas grupās, pārsniedzot izglītojamo skaitu, kuri absolvēs šo pašvaldību izglītības iestādes. Tādējādi nepieciešams jauns tiesiskais regulējums (papildinot noteikumus Nr.1616 ar </w:t>
            </w:r>
            <w:r w:rsidRPr="006A73C3">
              <w:rPr>
                <w:rFonts w:ascii="Times New Roman" w:hAnsi="Times New Roman"/>
                <w:sz w:val="26"/>
                <w:szCs w:val="26"/>
              </w:rPr>
              <w:t xml:space="preserve">4.¹ punktu </w:t>
            </w:r>
            <w:r w:rsidRPr="006A73C3">
              <w:rPr>
                <w:rFonts w:ascii="Times New Roman" w:hAnsi="Times New Roman" w:cs="Times New Roman"/>
                <w:sz w:val="26"/>
                <w:szCs w:val="26"/>
              </w:rPr>
              <w:t>, kas nosaka</w:t>
            </w:r>
            <w:r w:rsidR="00A56D5B" w:rsidRPr="006A73C3">
              <w:rPr>
                <w:rFonts w:ascii="Times New Roman" w:hAnsi="Times New Roman" w:cs="Times New Roman"/>
                <w:sz w:val="26"/>
                <w:szCs w:val="26"/>
              </w:rPr>
              <w:t xml:space="preserve"> pašvaldību rīcību gadījumos, kad tām no 1.septembra nepieciešams papildu finansējums piecus gadus veco bērnu pedagogu darba samaksai.</w:t>
            </w:r>
            <w:r w:rsidRPr="006A73C3">
              <w:rPr>
                <w:rFonts w:ascii="Times New Roman" w:hAnsi="Times New Roman" w:cs="Times New Roman"/>
                <w:sz w:val="26"/>
                <w:szCs w:val="26"/>
              </w:rPr>
              <w:t xml:space="preserve"> </w:t>
            </w:r>
            <w:r w:rsidR="00A56D5B" w:rsidRPr="006A73C3">
              <w:rPr>
                <w:rFonts w:ascii="Times New Roman" w:hAnsi="Times New Roman" w:cs="Times New Roman"/>
                <w:sz w:val="26"/>
                <w:szCs w:val="26"/>
              </w:rPr>
              <w:t xml:space="preserve">Ministrija, operatīvi reaģējot, ir </w:t>
            </w:r>
            <w:r w:rsidR="00A56D5B" w:rsidRPr="006A73C3">
              <w:rPr>
                <w:rFonts w:ascii="Times New Roman" w:hAnsi="Times New Roman" w:cs="Times New Roman"/>
                <w:sz w:val="26"/>
                <w:szCs w:val="26"/>
              </w:rPr>
              <w:lastRenderedPageBreak/>
              <w:t>saņēmusi 36 pašvaldību iesniegumus, kuros uzrādīts izglītojamo skaita pieaugums par 396 bērniem.</w:t>
            </w:r>
          </w:p>
          <w:p w14:paraId="31AA3FF7" w14:textId="600534E0" w:rsidR="00A56D5B" w:rsidRPr="003C6277" w:rsidRDefault="00A56D5B" w:rsidP="00361BC3">
            <w:pPr>
              <w:spacing w:after="0" w:line="240" w:lineRule="auto"/>
              <w:ind w:firstLine="567"/>
              <w:jc w:val="both"/>
              <w:rPr>
                <w:rFonts w:ascii="Times New Roman" w:hAnsi="Times New Roman" w:cs="Times New Roman"/>
                <w:sz w:val="26"/>
                <w:szCs w:val="26"/>
              </w:rPr>
            </w:pPr>
            <w:r w:rsidRPr="006A73C3">
              <w:rPr>
                <w:rFonts w:ascii="Times New Roman" w:hAnsi="Times New Roman" w:cs="Times New Roman"/>
                <w:sz w:val="26"/>
                <w:szCs w:val="26"/>
              </w:rPr>
              <w:t xml:space="preserve">Atbilstoši </w:t>
            </w:r>
            <w:r w:rsidR="00361BC3" w:rsidRPr="006A73C3">
              <w:rPr>
                <w:rFonts w:ascii="Times New Roman" w:hAnsi="Times New Roman" w:cs="Times New Roman"/>
                <w:sz w:val="26"/>
                <w:szCs w:val="26"/>
              </w:rPr>
              <w:t>saskaņota</w:t>
            </w:r>
            <w:r w:rsidRPr="006A73C3">
              <w:rPr>
                <w:rFonts w:ascii="Times New Roman" w:hAnsi="Times New Roman" w:cs="Times New Roman"/>
                <w:sz w:val="26"/>
                <w:szCs w:val="26"/>
              </w:rPr>
              <w:t xml:space="preserve"> arī noteikumu 5.</w:t>
            </w:r>
            <w:r w:rsidR="00361BC3" w:rsidRPr="006A73C3">
              <w:rPr>
                <w:rFonts w:ascii="Times New Roman" w:hAnsi="Times New Roman" w:cs="Times New Roman"/>
                <w:sz w:val="26"/>
                <w:szCs w:val="26"/>
              </w:rPr>
              <w:t>,</w:t>
            </w:r>
            <w:r w:rsidRPr="006A73C3">
              <w:rPr>
                <w:rFonts w:ascii="Times New Roman" w:hAnsi="Times New Roman" w:cs="Times New Roman"/>
                <w:sz w:val="26"/>
                <w:szCs w:val="26"/>
              </w:rPr>
              <w:t xml:space="preserve"> 6.punkts</w:t>
            </w:r>
            <w:r w:rsidR="00361BC3" w:rsidRPr="006A73C3">
              <w:rPr>
                <w:rFonts w:ascii="Times New Roman" w:hAnsi="Times New Roman" w:cs="Times New Roman"/>
                <w:sz w:val="26"/>
                <w:szCs w:val="26"/>
              </w:rPr>
              <w:t xml:space="preserve"> un 8.</w:t>
            </w:r>
            <w:r w:rsidR="00361BC3" w:rsidRPr="006A73C3">
              <w:rPr>
                <w:rFonts w:ascii="Times New Roman" w:hAnsi="Times New Roman" w:cs="Times New Roman"/>
                <w:sz w:val="26"/>
                <w:szCs w:val="26"/>
                <w:vertAlign w:val="superscript"/>
              </w:rPr>
              <w:t>1</w:t>
            </w:r>
            <w:r w:rsidR="00361BC3" w:rsidRPr="006A73C3">
              <w:rPr>
                <w:rFonts w:ascii="Times New Roman" w:hAnsi="Times New Roman" w:cs="Times New Roman"/>
                <w:sz w:val="26"/>
                <w:szCs w:val="26"/>
              </w:rPr>
              <w:t xml:space="preserve"> punkta redakcija</w:t>
            </w:r>
            <w:r w:rsidRPr="006A73C3">
              <w:rPr>
                <w:rFonts w:ascii="Times New Roman" w:hAnsi="Times New Roman" w:cs="Times New Roman"/>
                <w:sz w:val="26"/>
                <w:szCs w:val="26"/>
              </w:rPr>
              <w:t>.</w:t>
            </w:r>
          </w:p>
        </w:tc>
      </w:tr>
      <w:tr w:rsidR="00514935" w:rsidRPr="003C6277" w14:paraId="681D6774" w14:textId="77777777" w:rsidTr="00695B9E">
        <w:trPr>
          <w:trHeight w:val="465"/>
        </w:trPr>
        <w:tc>
          <w:tcPr>
            <w:tcW w:w="208" w:type="pct"/>
            <w:tcBorders>
              <w:top w:val="outset" w:sz="6" w:space="0" w:color="414142"/>
              <w:left w:val="outset" w:sz="6" w:space="0" w:color="414142"/>
              <w:bottom w:val="outset" w:sz="6" w:space="0" w:color="414142"/>
              <w:right w:val="outset" w:sz="6" w:space="0" w:color="414142"/>
            </w:tcBorders>
            <w:hideMark/>
          </w:tcPr>
          <w:p w14:paraId="0EF823DC" w14:textId="77777777" w:rsidR="00514935" w:rsidRPr="003C6277"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lastRenderedPageBreak/>
              <w:t>3.</w:t>
            </w:r>
          </w:p>
        </w:tc>
        <w:tc>
          <w:tcPr>
            <w:tcW w:w="1297" w:type="pct"/>
            <w:tcBorders>
              <w:top w:val="outset" w:sz="6" w:space="0" w:color="414142"/>
              <w:left w:val="outset" w:sz="6" w:space="0" w:color="414142"/>
              <w:bottom w:val="outset" w:sz="6" w:space="0" w:color="414142"/>
              <w:right w:val="outset" w:sz="6" w:space="0" w:color="414142"/>
            </w:tcBorders>
            <w:hideMark/>
          </w:tcPr>
          <w:p w14:paraId="60845B34" w14:textId="77777777" w:rsidR="00514935" w:rsidRPr="003C6277" w:rsidRDefault="00514935" w:rsidP="00E86396">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Projekta izstrādē iesaistītās institūcijas</w:t>
            </w:r>
          </w:p>
        </w:tc>
        <w:tc>
          <w:tcPr>
            <w:tcW w:w="3495" w:type="pct"/>
            <w:tcBorders>
              <w:top w:val="outset" w:sz="6" w:space="0" w:color="414142"/>
              <w:left w:val="outset" w:sz="6" w:space="0" w:color="414142"/>
              <w:bottom w:val="outset" w:sz="6" w:space="0" w:color="414142"/>
              <w:right w:val="outset" w:sz="6" w:space="0" w:color="414142"/>
            </w:tcBorders>
            <w:hideMark/>
          </w:tcPr>
          <w:p w14:paraId="50ABC124" w14:textId="77777777" w:rsidR="00514935" w:rsidRPr="003C6277" w:rsidRDefault="00902B05" w:rsidP="00695B9E">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Izglītības un zinātnes ministrija</w:t>
            </w:r>
            <w:r w:rsidR="00F25044" w:rsidRPr="003C6277">
              <w:rPr>
                <w:rFonts w:ascii="Times New Roman" w:eastAsia="Times New Roman" w:hAnsi="Times New Roman" w:cs="Times New Roman"/>
                <w:sz w:val="26"/>
                <w:szCs w:val="26"/>
                <w:lang w:eastAsia="lv-LV"/>
              </w:rPr>
              <w:t xml:space="preserve">, vakara (maiņu) vidusskolu un tālmācības vidusskolu direktori. </w:t>
            </w:r>
          </w:p>
        </w:tc>
      </w:tr>
      <w:tr w:rsidR="00514935" w:rsidRPr="003C6277" w14:paraId="67E97560" w14:textId="77777777" w:rsidTr="00695B9E">
        <w:tc>
          <w:tcPr>
            <w:tcW w:w="208" w:type="pct"/>
            <w:tcBorders>
              <w:top w:val="outset" w:sz="6" w:space="0" w:color="414142"/>
              <w:left w:val="outset" w:sz="6" w:space="0" w:color="414142"/>
              <w:bottom w:val="outset" w:sz="6" w:space="0" w:color="414142"/>
              <w:right w:val="outset" w:sz="6" w:space="0" w:color="414142"/>
            </w:tcBorders>
            <w:hideMark/>
          </w:tcPr>
          <w:p w14:paraId="4B16C420" w14:textId="77777777" w:rsidR="00514935" w:rsidRPr="003C6277" w:rsidRDefault="00514935" w:rsidP="00695B9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4.</w:t>
            </w:r>
          </w:p>
        </w:tc>
        <w:tc>
          <w:tcPr>
            <w:tcW w:w="1297" w:type="pct"/>
            <w:tcBorders>
              <w:top w:val="outset" w:sz="6" w:space="0" w:color="414142"/>
              <w:left w:val="outset" w:sz="6" w:space="0" w:color="414142"/>
              <w:bottom w:val="outset" w:sz="6" w:space="0" w:color="414142"/>
              <w:right w:val="outset" w:sz="6" w:space="0" w:color="414142"/>
            </w:tcBorders>
            <w:hideMark/>
          </w:tcPr>
          <w:p w14:paraId="436EEA8C" w14:textId="77777777" w:rsidR="00514935" w:rsidRPr="003C6277" w:rsidRDefault="00514935" w:rsidP="00E86396">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1128DE6B" w14:textId="77777777" w:rsidR="00514935" w:rsidRPr="003C6277" w:rsidRDefault="00514935" w:rsidP="00695B9E">
            <w:pPr>
              <w:spacing w:before="100" w:beforeAutospacing="1" w:after="100" w:afterAutospacing="1" w:line="293" w:lineRule="atLeast"/>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Nav</w:t>
            </w:r>
          </w:p>
        </w:tc>
      </w:tr>
      <w:tr w:rsidR="00514935" w:rsidRPr="003C6277" w14:paraId="40F289FB" w14:textId="77777777" w:rsidTr="00695B9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48E129" w14:textId="77777777" w:rsidR="00514935" w:rsidRPr="003C6277" w:rsidRDefault="00514935" w:rsidP="00695B9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6277">
              <w:rPr>
                <w:rFonts w:ascii="Arial" w:eastAsia="Times New Roman" w:hAnsi="Arial" w:cs="Arial"/>
                <w:sz w:val="26"/>
                <w:szCs w:val="26"/>
                <w:lang w:eastAsia="lv-LV"/>
              </w:rPr>
              <w:t> </w:t>
            </w:r>
            <w:r w:rsidRPr="003C6277">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14935" w:rsidRPr="003C6277" w14:paraId="52CA969A" w14:textId="77777777" w:rsidTr="00695B9E">
        <w:trPr>
          <w:trHeight w:val="465"/>
        </w:trPr>
        <w:tc>
          <w:tcPr>
            <w:tcW w:w="208" w:type="pct"/>
            <w:tcBorders>
              <w:top w:val="outset" w:sz="6" w:space="0" w:color="414142"/>
              <w:left w:val="outset" w:sz="6" w:space="0" w:color="414142"/>
              <w:bottom w:val="outset" w:sz="6" w:space="0" w:color="414142"/>
              <w:right w:val="outset" w:sz="6" w:space="0" w:color="414142"/>
            </w:tcBorders>
            <w:hideMark/>
          </w:tcPr>
          <w:p w14:paraId="33A442D8" w14:textId="77777777" w:rsidR="00514935" w:rsidRPr="003C6277" w:rsidRDefault="00514935" w:rsidP="00695B9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1.</w:t>
            </w:r>
          </w:p>
        </w:tc>
        <w:tc>
          <w:tcPr>
            <w:tcW w:w="1297" w:type="pct"/>
            <w:tcBorders>
              <w:top w:val="outset" w:sz="6" w:space="0" w:color="414142"/>
              <w:left w:val="outset" w:sz="6" w:space="0" w:color="414142"/>
              <w:bottom w:val="outset" w:sz="6" w:space="0" w:color="414142"/>
              <w:right w:val="outset" w:sz="6" w:space="0" w:color="414142"/>
            </w:tcBorders>
            <w:hideMark/>
          </w:tcPr>
          <w:p w14:paraId="3FA52F16" w14:textId="77777777" w:rsidR="00514935" w:rsidRPr="003C6277" w:rsidRDefault="00514935" w:rsidP="00E86396">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14:paraId="3F0C37EF" w14:textId="77777777" w:rsidR="000A7055" w:rsidRPr="003C6277" w:rsidRDefault="000A7055" w:rsidP="00695B9E">
            <w:pPr>
              <w:spacing w:after="0" w:line="240" w:lineRule="auto"/>
              <w:jc w:val="both"/>
              <w:rPr>
                <w:rFonts w:ascii="Times New Roman" w:eastAsia="Times New Roman" w:hAnsi="Times New Roman" w:cs="Times New Roman"/>
                <w:sz w:val="26"/>
                <w:szCs w:val="26"/>
                <w:lang w:eastAsia="lv-LV"/>
              </w:rPr>
            </w:pPr>
            <w:r w:rsidRPr="003C6277">
              <w:rPr>
                <w:rFonts w:ascii="Times New Roman" w:hAnsi="Times New Roman" w:cs="Times New Roman"/>
                <w:sz w:val="26"/>
                <w:szCs w:val="26"/>
              </w:rPr>
              <w:t>Projekta tiesiskais regulējums attiecas uz aptuveni 26800 pedagogiem un 1200 izglītības iestādēm, kā arī 110 n</w:t>
            </w:r>
            <w:r w:rsidR="00902B05" w:rsidRPr="003C6277">
              <w:rPr>
                <w:rFonts w:ascii="Times New Roman" w:hAnsi="Times New Roman" w:cs="Times New Roman"/>
                <w:sz w:val="26"/>
                <w:szCs w:val="26"/>
              </w:rPr>
              <w:t xml:space="preserve">ovadu </w:t>
            </w:r>
            <w:r w:rsidRPr="003C6277">
              <w:rPr>
                <w:rFonts w:ascii="Times New Roman" w:hAnsi="Times New Roman" w:cs="Times New Roman"/>
                <w:sz w:val="26"/>
                <w:szCs w:val="26"/>
              </w:rPr>
              <w:t xml:space="preserve">pašvaldībām un 9 </w:t>
            </w:r>
            <w:r w:rsidR="00902B05" w:rsidRPr="003C6277">
              <w:rPr>
                <w:rFonts w:ascii="Times New Roman" w:hAnsi="Times New Roman" w:cs="Times New Roman"/>
                <w:sz w:val="26"/>
                <w:szCs w:val="26"/>
              </w:rPr>
              <w:t>republikas pilsētu pašvaldīb</w:t>
            </w:r>
            <w:r w:rsidRPr="003C6277">
              <w:rPr>
                <w:rFonts w:ascii="Times New Roman" w:hAnsi="Times New Roman" w:cs="Times New Roman"/>
                <w:sz w:val="26"/>
                <w:szCs w:val="26"/>
              </w:rPr>
              <w:t xml:space="preserve">ām. </w:t>
            </w:r>
            <w:r w:rsidR="00902B05" w:rsidRPr="003C6277">
              <w:rPr>
                <w:rFonts w:ascii="Times New Roman" w:hAnsi="Times New Roman" w:cs="Times New Roman"/>
                <w:sz w:val="26"/>
                <w:szCs w:val="26"/>
              </w:rPr>
              <w:t xml:space="preserve"> </w:t>
            </w:r>
          </w:p>
        </w:tc>
      </w:tr>
      <w:tr w:rsidR="00514935" w:rsidRPr="003C6277" w14:paraId="0663DB53" w14:textId="77777777" w:rsidTr="00695B9E">
        <w:trPr>
          <w:trHeight w:val="510"/>
        </w:trPr>
        <w:tc>
          <w:tcPr>
            <w:tcW w:w="208" w:type="pct"/>
            <w:tcBorders>
              <w:top w:val="outset" w:sz="6" w:space="0" w:color="414142"/>
              <w:left w:val="outset" w:sz="6" w:space="0" w:color="414142"/>
              <w:bottom w:val="outset" w:sz="6" w:space="0" w:color="414142"/>
              <w:right w:val="outset" w:sz="6" w:space="0" w:color="414142"/>
            </w:tcBorders>
            <w:hideMark/>
          </w:tcPr>
          <w:p w14:paraId="4100766D" w14:textId="77777777" w:rsidR="00514935" w:rsidRPr="003C6277" w:rsidRDefault="00514935" w:rsidP="00695B9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2.</w:t>
            </w:r>
          </w:p>
        </w:tc>
        <w:tc>
          <w:tcPr>
            <w:tcW w:w="1297" w:type="pct"/>
            <w:tcBorders>
              <w:top w:val="outset" w:sz="6" w:space="0" w:color="414142"/>
              <w:left w:val="outset" w:sz="6" w:space="0" w:color="414142"/>
              <w:bottom w:val="outset" w:sz="6" w:space="0" w:color="414142"/>
              <w:right w:val="outset" w:sz="6" w:space="0" w:color="414142"/>
            </w:tcBorders>
            <w:hideMark/>
          </w:tcPr>
          <w:p w14:paraId="49CBFD54" w14:textId="77777777" w:rsidR="00514935" w:rsidRPr="003C6277" w:rsidRDefault="00514935" w:rsidP="00E86396">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14:paraId="31C24F2A" w14:textId="77777777" w:rsidR="00B644EA" w:rsidRPr="003C6277" w:rsidRDefault="00F25044" w:rsidP="00695B9E">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 xml:space="preserve">Tiesiskais regulējums </w:t>
            </w:r>
            <w:r w:rsidR="000B69EA" w:rsidRPr="003C6277">
              <w:rPr>
                <w:rFonts w:ascii="Times New Roman" w:eastAsia="Times New Roman" w:hAnsi="Times New Roman" w:cs="Times New Roman"/>
                <w:sz w:val="26"/>
                <w:szCs w:val="26"/>
                <w:lang w:eastAsia="lv-LV"/>
              </w:rPr>
              <w:t xml:space="preserve">nosaka efektīvāku valsts budžeta līdzekļu sadali pedagogu darba samaksai un </w:t>
            </w:r>
            <w:r w:rsidRPr="003C6277">
              <w:rPr>
                <w:rFonts w:ascii="Times New Roman" w:eastAsia="Times New Roman" w:hAnsi="Times New Roman" w:cs="Times New Roman"/>
                <w:sz w:val="26"/>
                <w:szCs w:val="26"/>
                <w:lang w:eastAsia="lv-LV"/>
              </w:rPr>
              <w:t>nerada papildu administratīvo slogu.</w:t>
            </w:r>
          </w:p>
        </w:tc>
      </w:tr>
      <w:tr w:rsidR="00514935" w:rsidRPr="003C6277" w14:paraId="086DF6FA" w14:textId="77777777" w:rsidTr="00695B9E">
        <w:trPr>
          <w:trHeight w:val="510"/>
        </w:trPr>
        <w:tc>
          <w:tcPr>
            <w:tcW w:w="208" w:type="pct"/>
            <w:tcBorders>
              <w:top w:val="outset" w:sz="6" w:space="0" w:color="414142"/>
              <w:left w:val="outset" w:sz="6" w:space="0" w:color="414142"/>
              <w:bottom w:val="outset" w:sz="6" w:space="0" w:color="414142"/>
              <w:right w:val="outset" w:sz="6" w:space="0" w:color="414142"/>
            </w:tcBorders>
            <w:hideMark/>
          </w:tcPr>
          <w:p w14:paraId="3FE1A331" w14:textId="77777777" w:rsidR="00514935" w:rsidRPr="003C6277" w:rsidRDefault="00514935" w:rsidP="00695B9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3.</w:t>
            </w:r>
          </w:p>
        </w:tc>
        <w:tc>
          <w:tcPr>
            <w:tcW w:w="1297" w:type="pct"/>
            <w:tcBorders>
              <w:top w:val="outset" w:sz="6" w:space="0" w:color="414142"/>
              <w:left w:val="outset" w:sz="6" w:space="0" w:color="414142"/>
              <w:bottom w:val="outset" w:sz="6" w:space="0" w:color="414142"/>
              <w:right w:val="outset" w:sz="6" w:space="0" w:color="414142"/>
            </w:tcBorders>
            <w:hideMark/>
          </w:tcPr>
          <w:p w14:paraId="4E3E76CD" w14:textId="77777777" w:rsidR="00514935" w:rsidRPr="003C6277" w:rsidRDefault="00514935" w:rsidP="00E86396">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4D6074CF" w14:textId="77777777" w:rsidR="007E2D71" w:rsidRPr="003C6277" w:rsidRDefault="0012402C" w:rsidP="00695B9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sz w:val="26"/>
                <w:szCs w:val="26"/>
                <w:lang w:eastAsia="lv-LV"/>
              </w:rPr>
              <w:t>P</w:t>
            </w:r>
            <w:r w:rsidR="007E2D71" w:rsidRPr="003C6277">
              <w:rPr>
                <w:rFonts w:ascii="Times New Roman" w:eastAsia="Times New Roman" w:hAnsi="Times New Roman"/>
                <w:sz w:val="26"/>
                <w:szCs w:val="26"/>
                <w:lang w:eastAsia="lv-LV"/>
              </w:rPr>
              <w:t>rojekts šo jomu neskar</w:t>
            </w:r>
          </w:p>
        </w:tc>
      </w:tr>
      <w:tr w:rsidR="00514935" w:rsidRPr="003C6277" w14:paraId="70765D73" w14:textId="77777777" w:rsidTr="00695B9E">
        <w:trPr>
          <w:trHeight w:val="345"/>
        </w:trPr>
        <w:tc>
          <w:tcPr>
            <w:tcW w:w="208" w:type="pct"/>
            <w:tcBorders>
              <w:top w:val="outset" w:sz="6" w:space="0" w:color="414142"/>
              <w:left w:val="outset" w:sz="6" w:space="0" w:color="414142"/>
              <w:bottom w:val="outset" w:sz="6" w:space="0" w:color="414142"/>
              <w:right w:val="outset" w:sz="6" w:space="0" w:color="414142"/>
            </w:tcBorders>
            <w:hideMark/>
          </w:tcPr>
          <w:p w14:paraId="7DA89D1F" w14:textId="77777777" w:rsidR="00514935" w:rsidRPr="003C6277" w:rsidRDefault="00514935" w:rsidP="00695B9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4.</w:t>
            </w:r>
          </w:p>
        </w:tc>
        <w:tc>
          <w:tcPr>
            <w:tcW w:w="1297" w:type="pct"/>
            <w:tcBorders>
              <w:top w:val="outset" w:sz="6" w:space="0" w:color="414142"/>
              <w:left w:val="outset" w:sz="6" w:space="0" w:color="414142"/>
              <w:bottom w:val="outset" w:sz="6" w:space="0" w:color="414142"/>
              <w:right w:val="outset" w:sz="6" w:space="0" w:color="414142"/>
            </w:tcBorders>
            <w:hideMark/>
          </w:tcPr>
          <w:p w14:paraId="48A0B954" w14:textId="77777777" w:rsidR="00514935" w:rsidRPr="003C6277" w:rsidRDefault="00514935" w:rsidP="00E86396">
            <w:pPr>
              <w:spacing w:after="0" w:line="240" w:lineRule="auto"/>
              <w:jc w:val="both"/>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58F2AA26" w14:textId="77777777" w:rsidR="00514935" w:rsidRPr="003C6277" w:rsidRDefault="00514935" w:rsidP="00695B9E">
            <w:pPr>
              <w:spacing w:before="100" w:beforeAutospacing="1" w:after="100" w:afterAutospacing="1" w:line="293" w:lineRule="atLeast"/>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Nav</w:t>
            </w:r>
          </w:p>
        </w:tc>
      </w:tr>
    </w:tbl>
    <w:p w14:paraId="07EC0954" w14:textId="77777777" w:rsidR="00205DF8" w:rsidRPr="003C6277" w:rsidRDefault="00205DF8" w:rsidP="008E25A6">
      <w:pPr>
        <w:pStyle w:val="naisf"/>
        <w:spacing w:before="0" w:after="0"/>
        <w:ind w:firstLine="0"/>
        <w:rPr>
          <w:sz w:val="26"/>
          <w:szCs w:val="26"/>
        </w:rPr>
      </w:pPr>
    </w:p>
    <w:p w14:paraId="08AA4294" w14:textId="77777777" w:rsidR="003C6277" w:rsidRPr="003C6277" w:rsidRDefault="003C6277" w:rsidP="008E25A6">
      <w:pPr>
        <w:pStyle w:val="naisf"/>
        <w:spacing w:before="0" w:after="0"/>
        <w:ind w:firstLine="0"/>
        <w:rPr>
          <w:sz w:val="26"/>
          <w:szCs w:val="26"/>
        </w:rPr>
      </w:pPr>
    </w:p>
    <w:p w14:paraId="1D55FE4D" w14:textId="77777777" w:rsidR="003C6277" w:rsidRPr="003C6277" w:rsidRDefault="003C6277" w:rsidP="003C6277">
      <w:pPr>
        <w:pStyle w:val="naisf"/>
        <w:spacing w:before="0" w:after="0"/>
        <w:ind w:firstLine="0"/>
        <w:rPr>
          <w:sz w:val="26"/>
          <w:szCs w:val="26"/>
        </w:rPr>
      </w:pPr>
    </w:p>
    <w:tbl>
      <w:tblPr>
        <w:tblW w:w="595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89"/>
        <w:gridCol w:w="1535"/>
        <w:gridCol w:w="1600"/>
        <w:gridCol w:w="1446"/>
        <w:gridCol w:w="1447"/>
        <w:gridCol w:w="1450"/>
      </w:tblGrid>
      <w:tr w:rsidR="003C6277" w:rsidRPr="003C6277" w14:paraId="168E1BB7" w14:textId="77777777" w:rsidTr="00593F1E">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7099B0E"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6277">
              <w:rPr>
                <w:rFonts w:ascii="Times New Roman" w:eastAsia="Times New Roman" w:hAnsi="Times New Roman" w:cs="Times New Roman"/>
                <w:b/>
                <w:bCs/>
                <w:sz w:val="26"/>
                <w:szCs w:val="26"/>
                <w:lang w:eastAsia="lv-LV"/>
              </w:rPr>
              <w:t>III. Tiesību akta projekta ietekme uz valsts budžetu un pašvaldību budžetiem</w:t>
            </w:r>
          </w:p>
        </w:tc>
      </w:tr>
      <w:tr w:rsidR="003C6277" w:rsidRPr="003C6277" w14:paraId="7EB16DFF" w14:textId="77777777" w:rsidTr="00593F1E">
        <w:trPr>
          <w:jc w:val="center"/>
        </w:trPr>
        <w:tc>
          <w:tcPr>
            <w:tcW w:w="1211" w:type="pct"/>
            <w:vMerge w:val="restart"/>
            <w:tcBorders>
              <w:top w:val="outset" w:sz="6" w:space="0" w:color="414142"/>
              <w:left w:val="outset" w:sz="6" w:space="0" w:color="414142"/>
              <w:bottom w:val="outset" w:sz="6" w:space="0" w:color="414142"/>
              <w:right w:val="outset" w:sz="6" w:space="0" w:color="414142"/>
            </w:tcBorders>
            <w:vAlign w:val="center"/>
            <w:hideMark/>
          </w:tcPr>
          <w:p w14:paraId="64C9F4B9"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6277">
              <w:rPr>
                <w:rFonts w:ascii="Times New Roman" w:eastAsia="Times New Roman" w:hAnsi="Times New Roman" w:cs="Times New Roman"/>
                <w:b/>
                <w:bCs/>
                <w:sz w:val="26"/>
                <w:szCs w:val="26"/>
                <w:lang w:eastAsia="lv-LV"/>
              </w:rPr>
              <w:t>Rādītāji</w:t>
            </w:r>
          </w:p>
        </w:tc>
        <w:tc>
          <w:tcPr>
            <w:tcW w:w="15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2BE54B8"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6277">
              <w:rPr>
                <w:rFonts w:ascii="Times New Roman" w:eastAsia="Times New Roman" w:hAnsi="Times New Roman" w:cs="Times New Roman"/>
                <w:b/>
                <w:bCs/>
                <w:sz w:val="26"/>
                <w:szCs w:val="26"/>
                <w:lang w:eastAsia="lv-LV"/>
              </w:rPr>
              <w:t>2014. gads</w:t>
            </w:r>
          </w:p>
        </w:tc>
        <w:tc>
          <w:tcPr>
            <w:tcW w:w="2201" w:type="pct"/>
            <w:gridSpan w:val="3"/>
            <w:tcBorders>
              <w:top w:val="outset" w:sz="6" w:space="0" w:color="414142"/>
              <w:left w:val="outset" w:sz="6" w:space="0" w:color="414142"/>
              <w:bottom w:val="outset" w:sz="6" w:space="0" w:color="414142"/>
              <w:right w:val="outset" w:sz="6" w:space="0" w:color="414142"/>
            </w:tcBorders>
            <w:vAlign w:val="center"/>
            <w:hideMark/>
          </w:tcPr>
          <w:p w14:paraId="4AC4E5D1"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Turpmākie trīs gadi (</w:t>
            </w:r>
            <w:r w:rsidRPr="003C6277">
              <w:rPr>
                <w:rFonts w:ascii="Times New Roman" w:eastAsia="Times New Roman" w:hAnsi="Times New Roman" w:cs="Times New Roman"/>
                <w:i/>
                <w:iCs/>
                <w:sz w:val="26"/>
                <w:szCs w:val="26"/>
                <w:lang w:eastAsia="lv-LV"/>
              </w:rPr>
              <w:t>euro</w:t>
            </w:r>
            <w:r w:rsidRPr="003C6277">
              <w:rPr>
                <w:rFonts w:ascii="Times New Roman" w:eastAsia="Times New Roman" w:hAnsi="Times New Roman" w:cs="Times New Roman"/>
                <w:sz w:val="26"/>
                <w:szCs w:val="26"/>
                <w:lang w:eastAsia="lv-LV"/>
              </w:rPr>
              <w:t>)</w:t>
            </w:r>
          </w:p>
        </w:tc>
      </w:tr>
      <w:tr w:rsidR="003C6277" w:rsidRPr="003C6277" w14:paraId="204F0ADC" w14:textId="77777777" w:rsidTr="00593F1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77D5BF20" w14:textId="77777777" w:rsidR="003C6277" w:rsidRPr="003C6277" w:rsidRDefault="003C6277" w:rsidP="00593F1E">
            <w:pPr>
              <w:spacing w:after="0" w:line="240" w:lineRule="auto"/>
              <w:rPr>
                <w:rFonts w:ascii="Times New Roman" w:eastAsia="Times New Roman" w:hAnsi="Times New Roman" w:cs="Times New Roman"/>
                <w:b/>
                <w:bCs/>
                <w:sz w:val="26"/>
                <w:szCs w:val="26"/>
                <w:lang w:eastAsia="lv-LV"/>
              </w:rPr>
            </w:pPr>
          </w:p>
        </w:tc>
        <w:tc>
          <w:tcPr>
            <w:tcW w:w="1589" w:type="pct"/>
            <w:gridSpan w:val="2"/>
            <w:vMerge/>
            <w:tcBorders>
              <w:top w:val="outset" w:sz="6" w:space="0" w:color="414142"/>
              <w:left w:val="outset" w:sz="6" w:space="0" w:color="414142"/>
              <w:bottom w:val="outset" w:sz="6" w:space="0" w:color="414142"/>
              <w:right w:val="outset" w:sz="6" w:space="0" w:color="414142"/>
            </w:tcBorders>
            <w:vAlign w:val="center"/>
            <w:hideMark/>
          </w:tcPr>
          <w:p w14:paraId="5E12399E" w14:textId="77777777" w:rsidR="003C6277" w:rsidRPr="003C6277" w:rsidRDefault="003C6277" w:rsidP="00593F1E">
            <w:pPr>
              <w:spacing w:after="0" w:line="240" w:lineRule="auto"/>
              <w:rPr>
                <w:rFonts w:ascii="Times New Roman" w:eastAsia="Times New Roman" w:hAnsi="Times New Roman" w:cs="Times New Roman"/>
                <w:b/>
                <w:bCs/>
                <w:sz w:val="26"/>
                <w:szCs w:val="26"/>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C393A23"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6277">
              <w:rPr>
                <w:rFonts w:ascii="Times New Roman" w:eastAsia="Times New Roman" w:hAnsi="Times New Roman" w:cs="Times New Roman"/>
                <w:b/>
                <w:bCs/>
                <w:sz w:val="26"/>
                <w:szCs w:val="26"/>
                <w:lang w:eastAsia="lv-LV"/>
              </w:rPr>
              <w:t>2015.gads</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3A784574"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6277">
              <w:rPr>
                <w:rFonts w:ascii="Times New Roman" w:eastAsia="Times New Roman" w:hAnsi="Times New Roman" w:cs="Times New Roman"/>
                <w:b/>
                <w:bCs/>
                <w:sz w:val="26"/>
                <w:szCs w:val="26"/>
                <w:lang w:eastAsia="lv-LV"/>
              </w:rPr>
              <w:t>2016.gads</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330D4CFB"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6277">
              <w:rPr>
                <w:rFonts w:ascii="Times New Roman" w:eastAsia="Times New Roman" w:hAnsi="Times New Roman" w:cs="Times New Roman"/>
                <w:b/>
                <w:bCs/>
                <w:sz w:val="26"/>
                <w:szCs w:val="26"/>
                <w:lang w:eastAsia="lv-LV"/>
              </w:rPr>
              <w:t>2017.gads</w:t>
            </w:r>
          </w:p>
        </w:tc>
      </w:tr>
      <w:tr w:rsidR="003C6277" w:rsidRPr="003C6277" w14:paraId="6DF1064C" w14:textId="77777777" w:rsidTr="00593F1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13604CF3" w14:textId="77777777" w:rsidR="003C6277" w:rsidRPr="003C6277" w:rsidRDefault="003C6277" w:rsidP="00593F1E">
            <w:pPr>
              <w:spacing w:after="0" w:line="240" w:lineRule="auto"/>
              <w:rPr>
                <w:rFonts w:ascii="Times New Roman" w:eastAsia="Times New Roman" w:hAnsi="Times New Roman" w:cs="Times New Roman"/>
                <w:b/>
                <w:bCs/>
                <w:sz w:val="26"/>
                <w:szCs w:val="26"/>
                <w:lang w:eastAsia="lv-LV"/>
              </w:rPr>
            </w:pPr>
          </w:p>
        </w:tc>
        <w:tc>
          <w:tcPr>
            <w:tcW w:w="778" w:type="pct"/>
            <w:tcBorders>
              <w:top w:val="outset" w:sz="6" w:space="0" w:color="414142"/>
              <w:left w:val="outset" w:sz="6" w:space="0" w:color="414142"/>
              <w:bottom w:val="outset" w:sz="6" w:space="0" w:color="414142"/>
              <w:right w:val="outset" w:sz="6" w:space="0" w:color="414142"/>
            </w:tcBorders>
            <w:vAlign w:val="center"/>
            <w:hideMark/>
          </w:tcPr>
          <w:p w14:paraId="7074D480"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saskaņā ar valsts budžetu kārtējam 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D09249E"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izmaiņas kārtējā gadā, salīdzinot ar valsts budžetu kārtējam gadam</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2CE8D73"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izmaiņas, salīdzinot ar kārtējo (2014.) gadu</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9155CA0"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izmaiņas, salīdzinot ar kārtējo (2014.) gadu</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438F5D09"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izmaiņas, salīdzinot ar kārtējo (2014.) gadu</w:t>
            </w:r>
          </w:p>
        </w:tc>
      </w:tr>
      <w:tr w:rsidR="003C6277" w:rsidRPr="003C6277" w14:paraId="37A1E30F"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vAlign w:val="center"/>
            <w:hideMark/>
          </w:tcPr>
          <w:p w14:paraId="528B7E41"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1</w:t>
            </w:r>
          </w:p>
        </w:tc>
        <w:tc>
          <w:tcPr>
            <w:tcW w:w="778" w:type="pct"/>
            <w:tcBorders>
              <w:top w:val="outset" w:sz="6" w:space="0" w:color="414142"/>
              <w:left w:val="outset" w:sz="6" w:space="0" w:color="414142"/>
              <w:bottom w:val="outset" w:sz="6" w:space="0" w:color="414142"/>
              <w:right w:val="outset" w:sz="6" w:space="0" w:color="414142"/>
            </w:tcBorders>
            <w:vAlign w:val="center"/>
            <w:hideMark/>
          </w:tcPr>
          <w:p w14:paraId="4C776C23"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2</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1C7C6378"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3</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6B00A385"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4</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128E169C"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5</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70062AB9"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6</w:t>
            </w:r>
          </w:p>
        </w:tc>
      </w:tr>
      <w:tr w:rsidR="003C6277" w:rsidRPr="003C6277" w14:paraId="5DBB2279"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589086FF"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1. Budžeta ieņēmumi:</w:t>
            </w:r>
          </w:p>
        </w:tc>
        <w:tc>
          <w:tcPr>
            <w:tcW w:w="778" w:type="pct"/>
            <w:tcBorders>
              <w:top w:val="outset" w:sz="6" w:space="0" w:color="414142"/>
              <w:left w:val="outset" w:sz="6" w:space="0" w:color="414142"/>
              <w:bottom w:val="outset" w:sz="6" w:space="0" w:color="414142"/>
              <w:right w:val="outset" w:sz="6" w:space="0" w:color="414142"/>
            </w:tcBorders>
            <w:hideMark/>
          </w:tcPr>
          <w:p w14:paraId="3B97C89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hAnsi="Times New Roman" w:cs="Times New Roman"/>
                <w:bCs/>
                <w:sz w:val="26"/>
                <w:szCs w:val="26"/>
              </w:rPr>
              <w:t>244 146 074</w:t>
            </w:r>
          </w:p>
          <w:p w14:paraId="48F72E8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4DC103E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0BF8F5C"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14:paraId="4FEB791D"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14:paraId="17922C53"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r>
      <w:tr w:rsidR="003C6277" w:rsidRPr="003C6277" w14:paraId="2E2B804F"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6F26703E"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 xml:space="preserve">1.1. valsts pamatbudžets, tai </w:t>
            </w:r>
            <w:r w:rsidRPr="003C6277">
              <w:rPr>
                <w:rFonts w:ascii="Times New Roman" w:eastAsia="Times New Roman" w:hAnsi="Times New Roman" w:cs="Times New Roman"/>
                <w:sz w:val="26"/>
                <w:szCs w:val="26"/>
                <w:lang w:eastAsia="lv-LV"/>
              </w:rPr>
              <w:lastRenderedPageBreak/>
              <w:t>skaitā ieņēmumi no maksas pakalpojumiem un citi pašu ieņēmumi</w:t>
            </w:r>
          </w:p>
        </w:tc>
        <w:tc>
          <w:tcPr>
            <w:tcW w:w="778" w:type="pct"/>
            <w:tcBorders>
              <w:top w:val="outset" w:sz="6" w:space="0" w:color="414142"/>
              <w:left w:val="outset" w:sz="6" w:space="0" w:color="414142"/>
              <w:bottom w:val="outset" w:sz="6" w:space="0" w:color="414142"/>
              <w:right w:val="outset" w:sz="6" w:space="0" w:color="414142"/>
            </w:tcBorders>
            <w:hideMark/>
          </w:tcPr>
          <w:p w14:paraId="30ACF72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hAnsi="Times New Roman" w:cs="Times New Roman"/>
                <w:bCs/>
                <w:sz w:val="26"/>
                <w:szCs w:val="26"/>
              </w:rPr>
              <w:lastRenderedPageBreak/>
              <w:t>244 146 074</w:t>
            </w:r>
          </w:p>
          <w:p w14:paraId="76918986"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4855C00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CB4D18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14:paraId="5FD784C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14:paraId="6A0DCAD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r>
      <w:tr w:rsidR="003C6277" w:rsidRPr="003C6277" w14:paraId="2BAF22D9"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55E6273F"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lastRenderedPageBreak/>
              <w:t>1.2. valsts speciālais budžets</w:t>
            </w:r>
          </w:p>
        </w:tc>
        <w:tc>
          <w:tcPr>
            <w:tcW w:w="778" w:type="pct"/>
            <w:tcBorders>
              <w:top w:val="outset" w:sz="6" w:space="0" w:color="414142"/>
              <w:left w:val="outset" w:sz="6" w:space="0" w:color="414142"/>
              <w:bottom w:val="outset" w:sz="6" w:space="0" w:color="414142"/>
              <w:right w:val="outset" w:sz="6" w:space="0" w:color="414142"/>
            </w:tcBorders>
            <w:hideMark/>
          </w:tcPr>
          <w:p w14:paraId="797C7FD6"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384140C9"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A5F253A"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F240379"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53A63E4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6A6DDDC0"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78D8B37F"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1.3. pašvaldību budžets</w:t>
            </w:r>
          </w:p>
        </w:tc>
        <w:tc>
          <w:tcPr>
            <w:tcW w:w="778" w:type="pct"/>
            <w:tcBorders>
              <w:top w:val="outset" w:sz="6" w:space="0" w:color="414142"/>
              <w:left w:val="outset" w:sz="6" w:space="0" w:color="414142"/>
              <w:bottom w:val="outset" w:sz="6" w:space="0" w:color="414142"/>
              <w:right w:val="outset" w:sz="6" w:space="0" w:color="414142"/>
            </w:tcBorders>
            <w:hideMark/>
          </w:tcPr>
          <w:p w14:paraId="2C6B1915"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23ADFD8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4E478D6"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BFCA48D"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164183E6"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1BD4ACA8"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13E10EBB"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2. Budžeta izdevumi:</w:t>
            </w:r>
          </w:p>
        </w:tc>
        <w:tc>
          <w:tcPr>
            <w:tcW w:w="778" w:type="pct"/>
            <w:tcBorders>
              <w:top w:val="outset" w:sz="6" w:space="0" w:color="414142"/>
              <w:left w:val="outset" w:sz="6" w:space="0" w:color="414142"/>
              <w:bottom w:val="outset" w:sz="6" w:space="0" w:color="414142"/>
              <w:right w:val="outset" w:sz="6" w:space="0" w:color="414142"/>
            </w:tcBorders>
            <w:hideMark/>
          </w:tcPr>
          <w:p w14:paraId="3BFED8B3"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hAnsi="Times New Roman" w:cs="Times New Roman"/>
                <w:bCs/>
                <w:sz w:val="26"/>
                <w:szCs w:val="26"/>
              </w:rPr>
              <w:t>244 146 074</w:t>
            </w:r>
          </w:p>
          <w:p w14:paraId="3ACC30C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467835C2"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CB329CC"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14:paraId="5057342D"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14:paraId="3C797D9C"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r>
      <w:tr w:rsidR="003C6277" w:rsidRPr="003C6277" w14:paraId="2DD8F55A"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48F05A7C"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2.1. valsts pamatbudžets</w:t>
            </w:r>
          </w:p>
        </w:tc>
        <w:tc>
          <w:tcPr>
            <w:tcW w:w="778" w:type="pct"/>
            <w:tcBorders>
              <w:top w:val="outset" w:sz="6" w:space="0" w:color="414142"/>
              <w:left w:val="outset" w:sz="6" w:space="0" w:color="414142"/>
              <w:bottom w:val="outset" w:sz="6" w:space="0" w:color="414142"/>
              <w:right w:val="outset" w:sz="6" w:space="0" w:color="414142"/>
            </w:tcBorders>
            <w:hideMark/>
          </w:tcPr>
          <w:p w14:paraId="47CC1C64"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hAnsi="Times New Roman" w:cs="Times New Roman"/>
                <w:bCs/>
                <w:sz w:val="26"/>
                <w:szCs w:val="26"/>
              </w:rPr>
              <w:t>244 146 074</w:t>
            </w:r>
          </w:p>
          <w:p w14:paraId="7C69FDE5"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093E24A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0116BF2"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14:paraId="2766E2C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14:paraId="3115D6AA"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r>
      <w:tr w:rsidR="003C6277" w:rsidRPr="003C6277" w14:paraId="5C9A0DD1"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77493D02"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2.2. valsts speciālais budžets</w:t>
            </w:r>
          </w:p>
        </w:tc>
        <w:tc>
          <w:tcPr>
            <w:tcW w:w="778" w:type="pct"/>
            <w:tcBorders>
              <w:top w:val="outset" w:sz="6" w:space="0" w:color="414142"/>
              <w:left w:val="outset" w:sz="6" w:space="0" w:color="414142"/>
              <w:bottom w:val="outset" w:sz="6" w:space="0" w:color="414142"/>
              <w:right w:val="outset" w:sz="6" w:space="0" w:color="414142"/>
            </w:tcBorders>
            <w:hideMark/>
          </w:tcPr>
          <w:p w14:paraId="4FB66239"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22E2FF26"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7963117E"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8A313E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5340160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77E6B1EB"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1D10EDC2"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2.3. pašvaldību budžets</w:t>
            </w:r>
          </w:p>
        </w:tc>
        <w:tc>
          <w:tcPr>
            <w:tcW w:w="778" w:type="pct"/>
            <w:tcBorders>
              <w:top w:val="outset" w:sz="6" w:space="0" w:color="414142"/>
              <w:left w:val="outset" w:sz="6" w:space="0" w:color="414142"/>
              <w:bottom w:val="outset" w:sz="6" w:space="0" w:color="414142"/>
              <w:right w:val="outset" w:sz="6" w:space="0" w:color="414142"/>
            </w:tcBorders>
            <w:hideMark/>
          </w:tcPr>
          <w:p w14:paraId="2D7DF55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543A81A5"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38C6BC2"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D0EE2FF"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5F270B3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2C9B1975"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68447C41"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3. Finansiālā ietekme:</w:t>
            </w:r>
          </w:p>
        </w:tc>
        <w:tc>
          <w:tcPr>
            <w:tcW w:w="778" w:type="pct"/>
            <w:tcBorders>
              <w:top w:val="outset" w:sz="6" w:space="0" w:color="414142"/>
              <w:left w:val="outset" w:sz="6" w:space="0" w:color="414142"/>
              <w:bottom w:val="outset" w:sz="6" w:space="0" w:color="414142"/>
              <w:right w:val="outset" w:sz="6" w:space="0" w:color="414142"/>
            </w:tcBorders>
            <w:vAlign w:val="center"/>
            <w:hideMark/>
          </w:tcPr>
          <w:p w14:paraId="265FBB6E"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41A6416E"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228E3F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14:paraId="15BE4DC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14:paraId="40B9A27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r>
      <w:tr w:rsidR="003C6277" w:rsidRPr="003C6277" w14:paraId="20EB8093"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552C7000"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3.1. valsts pamatbudžets</w:t>
            </w:r>
          </w:p>
        </w:tc>
        <w:tc>
          <w:tcPr>
            <w:tcW w:w="778" w:type="pct"/>
            <w:tcBorders>
              <w:top w:val="outset" w:sz="6" w:space="0" w:color="414142"/>
              <w:left w:val="outset" w:sz="6" w:space="0" w:color="414142"/>
              <w:bottom w:val="outset" w:sz="6" w:space="0" w:color="414142"/>
              <w:right w:val="outset" w:sz="6" w:space="0" w:color="414142"/>
            </w:tcBorders>
            <w:hideMark/>
          </w:tcPr>
          <w:p w14:paraId="24D1895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158DAFAF"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77999C72"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3" w:type="pct"/>
            <w:tcBorders>
              <w:top w:val="outset" w:sz="6" w:space="0" w:color="414142"/>
              <w:left w:val="outset" w:sz="6" w:space="0" w:color="414142"/>
              <w:bottom w:val="outset" w:sz="6" w:space="0" w:color="414142"/>
              <w:right w:val="outset" w:sz="6" w:space="0" w:color="414142"/>
            </w:tcBorders>
            <w:hideMark/>
          </w:tcPr>
          <w:p w14:paraId="5B13B36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c>
          <w:tcPr>
            <w:tcW w:w="735" w:type="pct"/>
            <w:tcBorders>
              <w:top w:val="outset" w:sz="6" w:space="0" w:color="414142"/>
              <w:left w:val="outset" w:sz="6" w:space="0" w:color="414142"/>
              <w:bottom w:val="outset" w:sz="6" w:space="0" w:color="414142"/>
              <w:right w:val="outset" w:sz="6" w:space="0" w:color="414142"/>
            </w:tcBorders>
            <w:hideMark/>
          </w:tcPr>
          <w:p w14:paraId="1DD574B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ms Rmn" w:hAnsi="Tms Rmn" w:cs="Tms Rmn"/>
                <w:bCs/>
                <w:sz w:val="26"/>
                <w:szCs w:val="26"/>
              </w:rPr>
              <w:t>0</w:t>
            </w:r>
          </w:p>
        </w:tc>
      </w:tr>
      <w:tr w:rsidR="003C6277" w:rsidRPr="003C6277" w14:paraId="133ED24C"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05B0570E"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3.2. speciālais budžets</w:t>
            </w:r>
          </w:p>
        </w:tc>
        <w:tc>
          <w:tcPr>
            <w:tcW w:w="778" w:type="pct"/>
            <w:tcBorders>
              <w:top w:val="outset" w:sz="6" w:space="0" w:color="414142"/>
              <w:left w:val="outset" w:sz="6" w:space="0" w:color="414142"/>
              <w:bottom w:val="outset" w:sz="6" w:space="0" w:color="414142"/>
              <w:right w:val="outset" w:sz="6" w:space="0" w:color="414142"/>
            </w:tcBorders>
            <w:hideMark/>
          </w:tcPr>
          <w:p w14:paraId="59086AC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32F56B6D"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C26F63D"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DC13A22"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08DFF82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1EB41129"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6C166BF3"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3.3. pašvaldību budžets</w:t>
            </w:r>
          </w:p>
        </w:tc>
        <w:tc>
          <w:tcPr>
            <w:tcW w:w="778" w:type="pct"/>
            <w:tcBorders>
              <w:top w:val="outset" w:sz="6" w:space="0" w:color="414142"/>
              <w:left w:val="outset" w:sz="6" w:space="0" w:color="414142"/>
              <w:bottom w:val="outset" w:sz="6" w:space="0" w:color="414142"/>
              <w:right w:val="outset" w:sz="6" w:space="0" w:color="414142"/>
            </w:tcBorders>
            <w:hideMark/>
          </w:tcPr>
          <w:p w14:paraId="333827EA"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811" w:type="pct"/>
            <w:tcBorders>
              <w:top w:val="outset" w:sz="6" w:space="0" w:color="414142"/>
              <w:left w:val="outset" w:sz="6" w:space="0" w:color="414142"/>
              <w:bottom w:val="outset" w:sz="6" w:space="0" w:color="414142"/>
              <w:right w:val="outset" w:sz="6" w:space="0" w:color="414142"/>
            </w:tcBorders>
            <w:hideMark/>
          </w:tcPr>
          <w:p w14:paraId="0C5FFF5F"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9D49E4D"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CC9D20E"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758C340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487DFAA1" w14:textId="77777777" w:rsidTr="00593F1E">
        <w:trPr>
          <w:jc w:val="center"/>
        </w:trPr>
        <w:tc>
          <w:tcPr>
            <w:tcW w:w="1211" w:type="pct"/>
            <w:vMerge w:val="restart"/>
            <w:tcBorders>
              <w:top w:val="outset" w:sz="6" w:space="0" w:color="414142"/>
              <w:left w:val="outset" w:sz="6" w:space="0" w:color="414142"/>
              <w:bottom w:val="outset" w:sz="6" w:space="0" w:color="414142"/>
              <w:right w:val="outset" w:sz="6" w:space="0" w:color="414142"/>
            </w:tcBorders>
            <w:hideMark/>
          </w:tcPr>
          <w:p w14:paraId="7D03230A"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778" w:type="pct"/>
            <w:vMerge w:val="restart"/>
            <w:tcBorders>
              <w:top w:val="outset" w:sz="6" w:space="0" w:color="414142"/>
              <w:left w:val="outset" w:sz="6" w:space="0" w:color="414142"/>
              <w:bottom w:val="outset" w:sz="6" w:space="0" w:color="414142"/>
              <w:right w:val="outset" w:sz="6" w:space="0" w:color="414142"/>
            </w:tcBorders>
            <w:hideMark/>
          </w:tcPr>
          <w:p w14:paraId="7C642BF8"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X</w:t>
            </w:r>
          </w:p>
        </w:tc>
        <w:tc>
          <w:tcPr>
            <w:tcW w:w="811" w:type="pct"/>
            <w:tcBorders>
              <w:top w:val="outset" w:sz="6" w:space="0" w:color="414142"/>
              <w:left w:val="outset" w:sz="6" w:space="0" w:color="414142"/>
              <w:bottom w:val="outset" w:sz="6" w:space="0" w:color="414142"/>
              <w:right w:val="outset" w:sz="6" w:space="0" w:color="414142"/>
            </w:tcBorders>
            <w:hideMark/>
          </w:tcPr>
          <w:p w14:paraId="29F7B45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ECD5E92"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47B1C40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09BA3B34"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4B5B3781" w14:textId="77777777" w:rsidTr="00593F1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2404C9EE"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14:paraId="66C38853"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7651C253"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998D2C1"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6D9FF7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642A71C3"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19A9463B" w14:textId="77777777" w:rsidTr="00593F1E">
        <w:trPr>
          <w:jc w:val="center"/>
        </w:trPr>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056D3EC3"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14:paraId="4B0D6BB9"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5CEA6A7A"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803B51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1472D5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12A3315C"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20ED6E3F"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0DF7F491"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5. Precizēta finansiālā ietekme:</w:t>
            </w:r>
          </w:p>
        </w:tc>
        <w:tc>
          <w:tcPr>
            <w:tcW w:w="778" w:type="pct"/>
            <w:vMerge w:val="restart"/>
            <w:tcBorders>
              <w:top w:val="outset" w:sz="6" w:space="0" w:color="414142"/>
              <w:left w:val="outset" w:sz="6" w:space="0" w:color="414142"/>
              <w:bottom w:val="outset" w:sz="6" w:space="0" w:color="414142"/>
              <w:right w:val="outset" w:sz="6" w:space="0" w:color="414142"/>
            </w:tcBorders>
            <w:hideMark/>
          </w:tcPr>
          <w:p w14:paraId="7C6E1BD0" w14:textId="77777777" w:rsidR="003C6277" w:rsidRPr="003C6277" w:rsidRDefault="003C6277" w:rsidP="00593F1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X</w:t>
            </w:r>
          </w:p>
        </w:tc>
        <w:tc>
          <w:tcPr>
            <w:tcW w:w="811" w:type="pct"/>
            <w:tcBorders>
              <w:top w:val="outset" w:sz="6" w:space="0" w:color="414142"/>
              <w:left w:val="outset" w:sz="6" w:space="0" w:color="414142"/>
              <w:bottom w:val="outset" w:sz="6" w:space="0" w:color="414142"/>
              <w:right w:val="outset" w:sz="6" w:space="0" w:color="414142"/>
            </w:tcBorders>
            <w:hideMark/>
          </w:tcPr>
          <w:p w14:paraId="272E0329"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B3BF47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61E5864"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4531C20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72C79A6B"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4FAB2959"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5.1. valsts pamatbudžets</w:t>
            </w: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14:paraId="745E199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5908A306"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B63100C"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26B614B"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4C80584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5AB47529"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6E7BFA06"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5.2. speciālais budžets</w:t>
            </w: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14:paraId="25339B76"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47DFCB45"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F85E1E4"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7E37E122"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40C4D88D"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47FC374E"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57FF7ADD"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5.3. pašvaldību budžets</w:t>
            </w:r>
          </w:p>
        </w:tc>
        <w:tc>
          <w:tcPr>
            <w:tcW w:w="778" w:type="pct"/>
            <w:vMerge/>
            <w:tcBorders>
              <w:top w:val="outset" w:sz="6" w:space="0" w:color="414142"/>
              <w:left w:val="outset" w:sz="6" w:space="0" w:color="414142"/>
              <w:bottom w:val="outset" w:sz="6" w:space="0" w:color="414142"/>
              <w:right w:val="outset" w:sz="6" w:space="0" w:color="414142"/>
            </w:tcBorders>
            <w:vAlign w:val="center"/>
            <w:hideMark/>
          </w:tcPr>
          <w:p w14:paraId="7F19495F"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p>
        </w:tc>
        <w:tc>
          <w:tcPr>
            <w:tcW w:w="811" w:type="pct"/>
            <w:tcBorders>
              <w:top w:val="outset" w:sz="6" w:space="0" w:color="414142"/>
              <w:left w:val="outset" w:sz="6" w:space="0" w:color="414142"/>
              <w:bottom w:val="outset" w:sz="6" w:space="0" w:color="414142"/>
              <w:right w:val="outset" w:sz="6" w:space="0" w:color="414142"/>
            </w:tcBorders>
            <w:hideMark/>
          </w:tcPr>
          <w:p w14:paraId="0820C098"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B893D17"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AF98C33"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14:paraId="22844949" w14:textId="77777777" w:rsidR="003C6277" w:rsidRPr="003C6277" w:rsidRDefault="003C6277" w:rsidP="00593F1E">
            <w:pPr>
              <w:spacing w:after="0" w:line="240" w:lineRule="auto"/>
              <w:jc w:val="center"/>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0</w:t>
            </w:r>
          </w:p>
        </w:tc>
      </w:tr>
      <w:tr w:rsidR="003C6277" w:rsidRPr="003C6277" w14:paraId="723E174E"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31E2979C"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 xml:space="preserve">6. Detalizēts ieņēmumu un </w:t>
            </w:r>
            <w:r w:rsidRPr="003C6277">
              <w:rPr>
                <w:rFonts w:ascii="Times New Roman" w:eastAsia="Times New Roman" w:hAnsi="Times New Roman" w:cs="Times New Roman"/>
                <w:sz w:val="26"/>
                <w:szCs w:val="26"/>
                <w:lang w:eastAsia="lv-LV"/>
              </w:rPr>
              <w:lastRenderedPageBreak/>
              <w:t>izdevumu aprēķins (ja nepieciešams, detalizētu ieņēmumu un izdevumu aprēķinu var pievienot anotācijas pielikumā):</w:t>
            </w:r>
          </w:p>
        </w:tc>
        <w:tc>
          <w:tcPr>
            <w:tcW w:w="378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CDF0134" w14:textId="77777777" w:rsidR="003C6277" w:rsidRPr="003C6277" w:rsidRDefault="003C6277" w:rsidP="00593F1E">
            <w:pPr>
              <w:spacing w:after="0" w:line="240" w:lineRule="auto"/>
              <w:jc w:val="both"/>
              <w:rPr>
                <w:sz w:val="26"/>
                <w:szCs w:val="26"/>
              </w:rPr>
            </w:pPr>
          </w:p>
        </w:tc>
      </w:tr>
      <w:tr w:rsidR="003C6277" w:rsidRPr="003C6277" w14:paraId="69BE5663"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53110F5C"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lastRenderedPageBreak/>
              <w:t>6.1. detalizēts ieņēmumu aprēķins</w:t>
            </w:r>
          </w:p>
        </w:tc>
        <w:tc>
          <w:tcPr>
            <w:tcW w:w="3789" w:type="pct"/>
            <w:gridSpan w:val="5"/>
            <w:vMerge/>
            <w:tcBorders>
              <w:top w:val="outset" w:sz="6" w:space="0" w:color="414142"/>
              <w:left w:val="outset" w:sz="6" w:space="0" w:color="414142"/>
              <w:bottom w:val="outset" w:sz="6" w:space="0" w:color="414142"/>
              <w:right w:val="outset" w:sz="6" w:space="0" w:color="414142"/>
            </w:tcBorders>
            <w:vAlign w:val="center"/>
            <w:hideMark/>
          </w:tcPr>
          <w:p w14:paraId="5087185C"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p>
        </w:tc>
      </w:tr>
      <w:tr w:rsidR="003C6277" w:rsidRPr="003C6277" w14:paraId="2409FEBB" w14:textId="77777777" w:rsidTr="00593F1E">
        <w:trPr>
          <w:jc w:val="center"/>
        </w:trPr>
        <w:tc>
          <w:tcPr>
            <w:tcW w:w="1211" w:type="pct"/>
            <w:tcBorders>
              <w:top w:val="outset" w:sz="6" w:space="0" w:color="414142"/>
              <w:left w:val="outset" w:sz="6" w:space="0" w:color="414142"/>
              <w:bottom w:val="outset" w:sz="6" w:space="0" w:color="414142"/>
              <w:right w:val="outset" w:sz="6" w:space="0" w:color="414142"/>
            </w:tcBorders>
            <w:hideMark/>
          </w:tcPr>
          <w:p w14:paraId="4605136B"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r w:rsidRPr="003C6277">
              <w:rPr>
                <w:rFonts w:ascii="Times New Roman" w:eastAsia="Times New Roman" w:hAnsi="Times New Roman" w:cs="Times New Roman"/>
                <w:sz w:val="26"/>
                <w:szCs w:val="26"/>
                <w:lang w:eastAsia="lv-LV"/>
              </w:rPr>
              <w:t>6.2. detalizēts izdevumu aprēķins</w:t>
            </w:r>
          </w:p>
        </w:tc>
        <w:tc>
          <w:tcPr>
            <w:tcW w:w="3789" w:type="pct"/>
            <w:gridSpan w:val="5"/>
            <w:vMerge/>
            <w:tcBorders>
              <w:top w:val="outset" w:sz="6" w:space="0" w:color="414142"/>
              <w:left w:val="outset" w:sz="6" w:space="0" w:color="414142"/>
              <w:bottom w:val="outset" w:sz="6" w:space="0" w:color="414142"/>
              <w:right w:val="outset" w:sz="6" w:space="0" w:color="414142"/>
            </w:tcBorders>
            <w:vAlign w:val="center"/>
            <w:hideMark/>
          </w:tcPr>
          <w:p w14:paraId="4BC6C896" w14:textId="77777777" w:rsidR="003C6277" w:rsidRPr="003C6277" w:rsidRDefault="003C6277" w:rsidP="00593F1E">
            <w:pPr>
              <w:spacing w:after="0" w:line="240" w:lineRule="auto"/>
              <w:rPr>
                <w:rFonts w:ascii="Times New Roman" w:eastAsia="Times New Roman" w:hAnsi="Times New Roman" w:cs="Times New Roman"/>
                <w:sz w:val="26"/>
                <w:szCs w:val="26"/>
                <w:lang w:eastAsia="lv-LV"/>
              </w:rPr>
            </w:pPr>
          </w:p>
        </w:tc>
      </w:tr>
      <w:tr w:rsidR="003C6277" w:rsidRPr="006A73C3" w14:paraId="19D47DC4" w14:textId="77777777" w:rsidTr="00593F1E">
        <w:trPr>
          <w:trHeight w:val="555"/>
          <w:jc w:val="center"/>
        </w:trPr>
        <w:tc>
          <w:tcPr>
            <w:tcW w:w="1211" w:type="pct"/>
            <w:tcBorders>
              <w:top w:val="outset" w:sz="6" w:space="0" w:color="414142"/>
              <w:left w:val="outset" w:sz="6" w:space="0" w:color="414142"/>
              <w:bottom w:val="outset" w:sz="6" w:space="0" w:color="414142"/>
              <w:right w:val="outset" w:sz="6" w:space="0" w:color="414142"/>
            </w:tcBorders>
            <w:hideMark/>
          </w:tcPr>
          <w:p w14:paraId="2E7E166A"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7. Cita informācija</w:t>
            </w:r>
          </w:p>
        </w:tc>
        <w:tc>
          <w:tcPr>
            <w:tcW w:w="3789" w:type="pct"/>
            <w:gridSpan w:val="5"/>
            <w:tcBorders>
              <w:top w:val="outset" w:sz="6" w:space="0" w:color="414142"/>
              <w:left w:val="outset" w:sz="6" w:space="0" w:color="414142"/>
              <w:bottom w:val="outset" w:sz="6" w:space="0" w:color="414142"/>
              <w:right w:val="outset" w:sz="6" w:space="0" w:color="414142"/>
            </w:tcBorders>
            <w:hideMark/>
          </w:tcPr>
          <w:p w14:paraId="362EA91D" w14:textId="77777777" w:rsidR="003C6277" w:rsidRPr="006A73C3" w:rsidRDefault="003C6277" w:rsidP="00593F1E">
            <w:pPr>
              <w:spacing w:after="0" w:line="240" w:lineRule="auto"/>
              <w:jc w:val="both"/>
              <w:rPr>
                <w:rFonts w:ascii="Times New Roman" w:hAnsi="Times New Roman" w:cs="Times New Roman"/>
                <w:bCs/>
                <w:sz w:val="26"/>
                <w:szCs w:val="26"/>
              </w:rPr>
            </w:pPr>
            <w:r w:rsidRPr="006A73C3">
              <w:rPr>
                <w:rFonts w:ascii="Times New Roman" w:hAnsi="Times New Roman" w:cs="Times New Roman"/>
                <w:bCs/>
                <w:sz w:val="26"/>
                <w:szCs w:val="26"/>
              </w:rPr>
              <w:t xml:space="preserve">Finansējuma apmērs 2014.gadam </w:t>
            </w:r>
            <w:r w:rsidRPr="006A73C3">
              <w:rPr>
                <w:rFonts w:ascii="Times New Roman" w:eastAsia="Times New Roman" w:hAnsi="Times New Roman" w:cs="Times New Roman"/>
                <w:sz w:val="26"/>
                <w:szCs w:val="26"/>
                <w:lang w:eastAsia="lv-LV"/>
              </w:rPr>
              <w:t>saskaņā ar valsts budžetu kārtējam gadam</w:t>
            </w:r>
            <w:r w:rsidRPr="006A73C3">
              <w:rPr>
                <w:rFonts w:ascii="Times New Roman" w:hAnsi="Times New Roman" w:cs="Times New Roman"/>
                <w:bCs/>
                <w:sz w:val="26"/>
                <w:szCs w:val="26"/>
              </w:rPr>
              <w:t xml:space="preserve"> norādīts tikai tām pašvaldību un privātajām izglītības iestādēm, kurām finansējumu aprēķina saskaņā ar </w:t>
            </w:r>
            <w:r w:rsidRPr="006A73C3">
              <w:rPr>
                <w:rFonts w:ascii="Times New Roman" w:hAnsi="Times New Roman" w:cs="Times New Roman"/>
                <w:sz w:val="26"/>
                <w:szCs w:val="26"/>
              </w:rPr>
              <w:t xml:space="preserve">MK noteikumos Nr.1616 </w:t>
            </w:r>
            <w:r w:rsidRPr="006A73C3">
              <w:rPr>
                <w:rFonts w:ascii="Times New Roman" w:eastAsia="Times New Roman" w:hAnsi="Times New Roman" w:cs="Times New Roman"/>
                <w:sz w:val="26"/>
                <w:szCs w:val="26"/>
                <w:lang w:eastAsia="lv-LV"/>
              </w:rPr>
              <w:t xml:space="preserve">noteikto </w:t>
            </w:r>
          </w:p>
          <w:tbl>
            <w:tblPr>
              <w:tblW w:w="7400" w:type="dxa"/>
              <w:tblInd w:w="5" w:type="dxa"/>
              <w:tblLook w:val="04A0" w:firstRow="1" w:lastRow="0" w:firstColumn="1" w:lastColumn="0" w:noHBand="0" w:noVBand="1"/>
            </w:tblPr>
            <w:tblGrid>
              <w:gridCol w:w="5340"/>
              <w:gridCol w:w="2060"/>
            </w:tblGrid>
            <w:tr w:rsidR="003C6277" w:rsidRPr="006A73C3" w14:paraId="123C6EE7" w14:textId="77777777" w:rsidTr="00593F1E">
              <w:trPr>
                <w:trHeight w:val="315"/>
              </w:trPr>
              <w:tc>
                <w:tcPr>
                  <w:tcW w:w="7400" w:type="dxa"/>
                  <w:gridSpan w:val="2"/>
                  <w:tcBorders>
                    <w:top w:val="nil"/>
                    <w:left w:val="nil"/>
                    <w:bottom w:val="nil"/>
                    <w:right w:val="nil"/>
                  </w:tcBorders>
                  <w:shd w:val="clear" w:color="auto" w:fill="auto"/>
                  <w:noWrap/>
                  <w:vAlign w:val="bottom"/>
                  <w:hideMark/>
                </w:tcPr>
                <w:p w14:paraId="371A97C0"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Apstiprinātā finansējuma apmērs 2014.gadam,</w:t>
                  </w:r>
                </w:p>
              </w:tc>
            </w:tr>
            <w:tr w:rsidR="003C6277" w:rsidRPr="006A73C3" w14:paraId="0492C17E" w14:textId="77777777" w:rsidTr="00593F1E">
              <w:trPr>
                <w:trHeight w:val="315"/>
              </w:trPr>
              <w:tc>
                <w:tcPr>
                  <w:tcW w:w="7400" w:type="dxa"/>
                  <w:gridSpan w:val="2"/>
                  <w:tcBorders>
                    <w:top w:val="nil"/>
                    <w:left w:val="nil"/>
                    <w:bottom w:val="nil"/>
                    <w:right w:val="nil"/>
                  </w:tcBorders>
                  <w:shd w:val="clear" w:color="auto" w:fill="auto"/>
                  <w:noWrap/>
                  <w:vAlign w:val="bottom"/>
                  <w:hideMark/>
                </w:tcPr>
                <w:p w14:paraId="337758B4" w14:textId="77777777" w:rsidR="003C6277" w:rsidRPr="006A73C3" w:rsidRDefault="003C6277" w:rsidP="00593F1E">
                  <w:pPr>
                    <w:spacing w:after="0" w:line="240" w:lineRule="auto"/>
                    <w:jc w:val="center"/>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kas aprēķināts saskaņā ar 2009.gada 22.decembra noteikumos Nr.1616</w:t>
                  </w:r>
                </w:p>
              </w:tc>
            </w:tr>
            <w:tr w:rsidR="003C6277" w:rsidRPr="006A73C3" w14:paraId="1563E76A" w14:textId="77777777" w:rsidTr="00593F1E">
              <w:trPr>
                <w:trHeight w:val="1215"/>
              </w:trPr>
              <w:tc>
                <w:tcPr>
                  <w:tcW w:w="7400" w:type="dxa"/>
                  <w:gridSpan w:val="2"/>
                  <w:tcBorders>
                    <w:top w:val="nil"/>
                    <w:left w:val="nil"/>
                    <w:bottom w:val="nil"/>
                    <w:right w:val="nil"/>
                  </w:tcBorders>
                  <w:shd w:val="clear" w:color="auto" w:fill="auto"/>
                  <w:hideMark/>
                </w:tcPr>
                <w:p w14:paraId="0D15B8EC" w14:textId="77777777" w:rsidR="003C6277" w:rsidRPr="006A73C3" w:rsidRDefault="003C6277" w:rsidP="00593F1E">
                  <w:pPr>
                    <w:spacing w:after="0" w:line="240" w:lineRule="auto"/>
                    <w:jc w:val="center"/>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noteikto.</w:t>
                  </w:r>
                </w:p>
              </w:tc>
            </w:tr>
            <w:tr w:rsidR="003C6277" w:rsidRPr="006A73C3" w14:paraId="3FAD74CA" w14:textId="77777777" w:rsidTr="00593F1E">
              <w:trPr>
                <w:trHeight w:val="300"/>
              </w:trPr>
              <w:tc>
                <w:tcPr>
                  <w:tcW w:w="53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19165" w14:textId="77777777" w:rsidR="003C6277" w:rsidRPr="006A73C3" w:rsidRDefault="003C6277" w:rsidP="00593F1E">
                  <w:pPr>
                    <w:spacing w:after="0" w:line="240" w:lineRule="auto"/>
                    <w:jc w:val="center"/>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 </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B2398E6"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Apstiprinātā finansējuma apmērs 2014.gadam</w:t>
                  </w:r>
                </w:p>
              </w:tc>
            </w:tr>
            <w:tr w:rsidR="003C6277" w:rsidRPr="006A73C3" w14:paraId="172CAAF7" w14:textId="77777777" w:rsidTr="00593F1E">
              <w:trPr>
                <w:trHeight w:val="300"/>
              </w:trPr>
              <w:tc>
                <w:tcPr>
                  <w:tcW w:w="5340" w:type="dxa"/>
                  <w:vMerge/>
                  <w:tcBorders>
                    <w:top w:val="single" w:sz="4" w:space="0" w:color="auto"/>
                    <w:left w:val="single" w:sz="4" w:space="0" w:color="auto"/>
                    <w:bottom w:val="single" w:sz="4" w:space="0" w:color="auto"/>
                    <w:right w:val="single" w:sz="4" w:space="0" w:color="auto"/>
                  </w:tcBorders>
                  <w:vAlign w:val="center"/>
                  <w:hideMark/>
                </w:tcPr>
                <w:p w14:paraId="7C663CED"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793C3E3D" w14:textId="77777777" w:rsidR="003C6277" w:rsidRPr="006A73C3" w:rsidRDefault="003C6277" w:rsidP="00593F1E">
                  <w:pPr>
                    <w:spacing w:after="0" w:line="240" w:lineRule="auto"/>
                    <w:rPr>
                      <w:rFonts w:ascii="Times New Roman" w:eastAsia="Times New Roman" w:hAnsi="Times New Roman" w:cs="Times New Roman"/>
                      <w:b/>
                      <w:bCs/>
                      <w:sz w:val="26"/>
                      <w:szCs w:val="26"/>
                      <w:lang w:eastAsia="lv-LV"/>
                    </w:rPr>
                  </w:pPr>
                </w:p>
              </w:tc>
            </w:tr>
            <w:tr w:rsidR="003C6277" w:rsidRPr="006A73C3" w14:paraId="7E7522ED" w14:textId="77777777" w:rsidTr="00593F1E">
              <w:trPr>
                <w:trHeight w:val="3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27A78280"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b/>
                      <w:bCs/>
                      <w:sz w:val="26"/>
                      <w:szCs w:val="26"/>
                      <w:lang w:eastAsia="lv-LV"/>
                    </w:rPr>
                    <w:t>62.resors</w:t>
                  </w:r>
                  <w:r w:rsidRPr="006A73C3">
                    <w:rPr>
                      <w:rFonts w:ascii="Times New Roman" w:eastAsia="Times New Roman" w:hAnsi="Times New Roman" w:cs="Times New Roman"/>
                      <w:sz w:val="26"/>
                      <w:szCs w:val="26"/>
                      <w:lang w:eastAsia="lv-LV"/>
                    </w:rPr>
                    <w:t xml:space="preserve"> Mērķdotācija pašvaldībām</w:t>
                  </w:r>
                </w:p>
              </w:tc>
              <w:tc>
                <w:tcPr>
                  <w:tcW w:w="2060" w:type="dxa"/>
                  <w:tcBorders>
                    <w:top w:val="nil"/>
                    <w:left w:val="nil"/>
                    <w:bottom w:val="single" w:sz="4" w:space="0" w:color="auto"/>
                    <w:right w:val="single" w:sz="4" w:space="0" w:color="auto"/>
                  </w:tcBorders>
                  <w:shd w:val="clear" w:color="000000" w:fill="FFE699"/>
                  <w:noWrap/>
                  <w:vAlign w:val="bottom"/>
                  <w:hideMark/>
                </w:tcPr>
                <w:p w14:paraId="604627E3"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239 651 630</w:t>
                  </w:r>
                </w:p>
              </w:tc>
            </w:tr>
            <w:tr w:rsidR="003C6277" w:rsidRPr="006A73C3" w14:paraId="78F87F8B" w14:textId="77777777" w:rsidTr="00593F1E">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EC9DAC7"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t.sk.</w:t>
                  </w:r>
                </w:p>
              </w:tc>
              <w:tc>
                <w:tcPr>
                  <w:tcW w:w="2060" w:type="dxa"/>
                  <w:tcBorders>
                    <w:top w:val="nil"/>
                    <w:left w:val="nil"/>
                    <w:bottom w:val="single" w:sz="4" w:space="0" w:color="auto"/>
                    <w:right w:val="single" w:sz="4" w:space="0" w:color="auto"/>
                  </w:tcBorders>
                  <w:shd w:val="clear" w:color="auto" w:fill="auto"/>
                  <w:vAlign w:val="bottom"/>
                  <w:hideMark/>
                </w:tcPr>
                <w:p w14:paraId="50DAE7B9"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 </w:t>
                  </w:r>
                </w:p>
              </w:tc>
            </w:tr>
            <w:tr w:rsidR="003C6277" w:rsidRPr="006A73C3" w14:paraId="0B6115B6" w14:textId="77777777" w:rsidTr="00593F1E">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7041E171"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05.00.00. Mērķdotācijas pašvaldībām – pašvaldību izglītības iestāžu pedagogu darba samaksai un valsts sociālās apdrošināšanas obligātajām iemaksām</w:t>
                  </w:r>
                </w:p>
              </w:tc>
              <w:tc>
                <w:tcPr>
                  <w:tcW w:w="2060" w:type="dxa"/>
                  <w:tcBorders>
                    <w:top w:val="nil"/>
                    <w:left w:val="nil"/>
                    <w:bottom w:val="single" w:sz="4" w:space="0" w:color="auto"/>
                    <w:right w:val="single" w:sz="4" w:space="0" w:color="auto"/>
                  </w:tcBorders>
                  <w:shd w:val="clear" w:color="auto" w:fill="auto"/>
                  <w:vAlign w:val="bottom"/>
                  <w:hideMark/>
                </w:tcPr>
                <w:p w14:paraId="2A72A643"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217 305 277</w:t>
                  </w:r>
                </w:p>
              </w:tc>
            </w:tr>
            <w:tr w:rsidR="003C6277" w:rsidRPr="006A73C3" w14:paraId="1CEA1973" w14:textId="77777777" w:rsidTr="00593F1E">
              <w:trPr>
                <w:trHeight w:val="129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268A9187" w14:textId="77777777" w:rsidR="003C6277" w:rsidRPr="006A73C3" w:rsidRDefault="003C6277" w:rsidP="00593F1E">
                  <w:pPr>
                    <w:spacing w:after="0" w:line="240" w:lineRule="auto"/>
                    <w:jc w:val="right"/>
                    <w:rPr>
                      <w:rFonts w:ascii="Times New Roman" w:eastAsia="Times New Roman" w:hAnsi="Times New Roman" w:cs="Times New Roman"/>
                      <w:i/>
                      <w:iCs/>
                      <w:sz w:val="26"/>
                      <w:szCs w:val="26"/>
                      <w:lang w:eastAsia="lv-LV"/>
                    </w:rPr>
                  </w:pPr>
                  <w:r w:rsidRPr="006A73C3">
                    <w:rPr>
                      <w:rFonts w:ascii="Times New Roman" w:eastAsia="Times New Roman" w:hAnsi="Times New Roman" w:cs="Times New Roman"/>
                      <w:i/>
                      <w:iCs/>
                      <w:sz w:val="26"/>
                      <w:szCs w:val="26"/>
                      <w:lang w:eastAsia="lv-LV"/>
                    </w:rPr>
                    <w:t>Mērķdotācija pašvaldībām - pašvaldību pamata un vispārējās vidējās izglītības iestāžu pedagogu darba samaksai un valsts sociālās apdrošināšanas obligātajām iemaksām</w:t>
                  </w:r>
                </w:p>
              </w:tc>
              <w:tc>
                <w:tcPr>
                  <w:tcW w:w="2060" w:type="dxa"/>
                  <w:tcBorders>
                    <w:top w:val="nil"/>
                    <w:left w:val="nil"/>
                    <w:bottom w:val="single" w:sz="4" w:space="0" w:color="auto"/>
                    <w:right w:val="single" w:sz="4" w:space="0" w:color="auto"/>
                  </w:tcBorders>
                  <w:shd w:val="clear" w:color="auto" w:fill="auto"/>
                  <w:noWrap/>
                  <w:vAlign w:val="bottom"/>
                  <w:hideMark/>
                </w:tcPr>
                <w:p w14:paraId="2CFDBA8A" w14:textId="77777777" w:rsidR="003C6277" w:rsidRPr="006A73C3" w:rsidRDefault="003C6277" w:rsidP="00593F1E">
                  <w:pPr>
                    <w:spacing w:after="0" w:line="240" w:lineRule="auto"/>
                    <w:jc w:val="right"/>
                    <w:rPr>
                      <w:rFonts w:ascii="Times New Roman" w:eastAsia="Times New Roman" w:hAnsi="Times New Roman" w:cs="Times New Roman"/>
                      <w:i/>
                      <w:iCs/>
                      <w:sz w:val="26"/>
                      <w:szCs w:val="26"/>
                      <w:lang w:eastAsia="lv-LV"/>
                    </w:rPr>
                  </w:pPr>
                  <w:r w:rsidRPr="006A73C3">
                    <w:rPr>
                      <w:rFonts w:ascii="Times New Roman" w:eastAsia="Times New Roman" w:hAnsi="Times New Roman" w:cs="Times New Roman"/>
                      <w:i/>
                      <w:iCs/>
                      <w:sz w:val="26"/>
                      <w:szCs w:val="26"/>
                      <w:lang w:eastAsia="lv-LV"/>
                    </w:rPr>
                    <w:t>215 738 057</w:t>
                  </w:r>
                </w:p>
              </w:tc>
            </w:tr>
            <w:tr w:rsidR="003C6277" w:rsidRPr="006A73C3" w14:paraId="482F140B" w14:textId="77777777" w:rsidTr="00593F1E">
              <w:trPr>
                <w:trHeight w:val="129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BDF1808" w14:textId="77777777" w:rsidR="003C6277" w:rsidRPr="006A73C3" w:rsidRDefault="003C6277" w:rsidP="00593F1E">
                  <w:pPr>
                    <w:spacing w:after="0" w:line="240" w:lineRule="auto"/>
                    <w:jc w:val="right"/>
                    <w:rPr>
                      <w:rFonts w:ascii="Times New Roman" w:eastAsia="Times New Roman" w:hAnsi="Times New Roman" w:cs="Times New Roman"/>
                      <w:i/>
                      <w:iCs/>
                      <w:sz w:val="26"/>
                      <w:szCs w:val="26"/>
                      <w:lang w:eastAsia="lv-LV"/>
                    </w:rPr>
                  </w:pPr>
                  <w:r w:rsidRPr="006A73C3">
                    <w:rPr>
                      <w:rFonts w:ascii="Times New Roman" w:eastAsia="Times New Roman" w:hAnsi="Times New Roman" w:cs="Times New Roman"/>
                      <w:i/>
                      <w:iCs/>
                      <w:sz w:val="26"/>
                      <w:szCs w:val="26"/>
                      <w:lang w:eastAsia="lv-LV"/>
                    </w:rPr>
                    <w:t>Mērķdotācija pašvaldībām - pašvaldību speciālo izglītības iestāžu pedagogu darba samaksai un valsts sociālās apdrošināšanas obligātajām iemaksām</w:t>
                  </w:r>
                </w:p>
              </w:tc>
              <w:tc>
                <w:tcPr>
                  <w:tcW w:w="2060" w:type="dxa"/>
                  <w:tcBorders>
                    <w:top w:val="nil"/>
                    <w:left w:val="nil"/>
                    <w:bottom w:val="single" w:sz="4" w:space="0" w:color="auto"/>
                    <w:right w:val="single" w:sz="4" w:space="0" w:color="auto"/>
                  </w:tcBorders>
                  <w:shd w:val="clear" w:color="auto" w:fill="auto"/>
                  <w:noWrap/>
                  <w:vAlign w:val="bottom"/>
                  <w:hideMark/>
                </w:tcPr>
                <w:p w14:paraId="18A9E125" w14:textId="77777777" w:rsidR="003C6277" w:rsidRPr="006A73C3" w:rsidRDefault="003C6277" w:rsidP="00593F1E">
                  <w:pPr>
                    <w:spacing w:after="0" w:line="240" w:lineRule="auto"/>
                    <w:jc w:val="right"/>
                    <w:rPr>
                      <w:rFonts w:ascii="Times New Roman" w:eastAsia="Times New Roman" w:hAnsi="Times New Roman" w:cs="Times New Roman"/>
                      <w:i/>
                      <w:iCs/>
                      <w:sz w:val="26"/>
                      <w:szCs w:val="26"/>
                      <w:lang w:eastAsia="lv-LV"/>
                    </w:rPr>
                  </w:pPr>
                  <w:r w:rsidRPr="006A73C3">
                    <w:rPr>
                      <w:rFonts w:ascii="Times New Roman" w:eastAsia="Times New Roman" w:hAnsi="Times New Roman" w:cs="Times New Roman"/>
                      <w:i/>
                      <w:iCs/>
                      <w:sz w:val="26"/>
                      <w:szCs w:val="26"/>
                      <w:lang w:eastAsia="lv-LV"/>
                    </w:rPr>
                    <w:t>1 567 220</w:t>
                  </w:r>
                </w:p>
              </w:tc>
            </w:tr>
            <w:tr w:rsidR="003C6277" w:rsidRPr="006A73C3" w14:paraId="4095A07B" w14:textId="77777777" w:rsidTr="00593F1E">
              <w:trPr>
                <w:trHeight w:val="1515"/>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120CE66"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lastRenderedPageBreak/>
                    <w:t>10.00.00. Mērķdotācijas pašvaldībām – pašvaldību izglītības iestādēs bērnu no piecu gadu vecuma izglītošanā nodarbināto pedagogu darba samaksai un valsts sociālās apdrošināšanas obligātajām iemaksām</w:t>
                  </w:r>
                </w:p>
              </w:tc>
              <w:tc>
                <w:tcPr>
                  <w:tcW w:w="2060" w:type="dxa"/>
                  <w:tcBorders>
                    <w:top w:val="nil"/>
                    <w:left w:val="nil"/>
                    <w:bottom w:val="single" w:sz="4" w:space="0" w:color="auto"/>
                    <w:right w:val="single" w:sz="4" w:space="0" w:color="auto"/>
                  </w:tcBorders>
                  <w:shd w:val="clear" w:color="auto" w:fill="auto"/>
                  <w:noWrap/>
                  <w:vAlign w:val="bottom"/>
                  <w:hideMark/>
                </w:tcPr>
                <w:p w14:paraId="729B082D"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22 346 353</w:t>
                  </w:r>
                </w:p>
              </w:tc>
            </w:tr>
            <w:tr w:rsidR="003C6277" w:rsidRPr="006A73C3" w14:paraId="36D617B6" w14:textId="77777777" w:rsidTr="00593F1E">
              <w:trPr>
                <w:trHeight w:val="3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14:paraId="473A6B85"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b/>
                      <w:bCs/>
                      <w:sz w:val="26"/>
                      <w:szCs w:val="26"/>
                      <w:lang w:eastAsia="lv-LV"/>
                    </w:rPr>
                    <w:t>15.resors</w:t>
                  </w:r>
                  <w:r w:rsidRPr="006A73C3">
                    <w:rPr>
                      <w:rFonts w:ascii="Times New Roman" w:eastAsia="Times New Roman" w:hAnsi="Times New Roman" w:cs="Times New Roman"/>
                      <w:sz w:val="26"/>
                      <w:szCs w:val="26"/>
                      <w:lang w:eastAsia="lv-LV"/>
                    </w:rPr>
                    <w:t xml:space="preserve"> Izglītības un zinātnes ministrija</w:t>
                  </w:r>
                </w:p>
              </w:tc>
              <w:tc>
                <w:tcPr>
                  <w:tcW w:w="2060" w:type="dxa"/>
                  <w:tcBorders>
                    <w:top w:val="nil"/>
                    <w:left w:val="nil"/>
                    <w:bottom w:val="single" w:sz="4" w:space="0" w:color="auto"/>
                    <w:right w:val="single" w:sz="4" w:space="0" w:color="auto"/>
                  </w:tcBorders>
                  <w:shd w:val="clear" w:color="000000" w:fill="FFE699"/>
                  <w:noWrap/>
                  <w:vAlign w:val="bottom"/>
                  <w:hideMark/>
                </w:tcPr>
                <w:p w14:paraId="273BA92E"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4 494 444</w:t>
                  </w:r>
                </w:p>
              </w:tc>
            </w:tr>
            <w:tr w:rsidR="003C6277" w:rsidRPr="006A73C3" w14:paraId="143F9552" w14:textId="77777777" w:rsidTr="00593F1E">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E587E54"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t.sk.</w:t>
                  </w:r>
                </w:p>
              </w:tc>
              <w:tc>
                <w:tcPr>
                  <w:tcW w:w="2060" w:type="dxa"/>
                  <w:tcBorders>
                    <w:top w:val="nil"/>
                    <w:left w:val="nil"/>
                    <w:bottom w:val="single" w:sz="4" w:space="0" w:color="auto"/>
                    <w:right w:val="single" w:sz="4" w:space="0" w:color="auto"/>
                  </w:tcBorders>
                  <w:shd w:val="clear" w:color="auto" w:fill="auto"/>
                  <w:vAlign w:val="bottom"/>
                  <w:hideMark/>
                </w:tcPr>
                <w:p w14:paraId="33F334DB"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 </w:t>
                  </w:r>
                </w:p>
              </w:tc>
            </w:tr>
            <w:tr w:rsidR="003C6277" w:rsidRPr="006A73C3" w14:paraId="6111789C" w14:textId="77777777" w:rsidTr="00593F1E">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66502382" w14:textId="77777777" w:rsidR="003C6277" w:rsidRPr="006A73C3" w:rsidRDefault="003C6277" w:rsidP="00593F1E">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01.05.00. Dotācija privātajām mācību iestādēm</w:t>
                  </w:r>
                </w:p>
              </w:tc>
              <w:tc>
                <w:tcPr>
                  <w:tcW w:w="2060" w:type="dxa"/>
                  <w:tcBorders>
                    <w:top w:val="nil"/>
                    <w:left w:val="nil"/>
                    <w:bottom w:val="single" w:sz="4" w:space="0" w:color="auto"/>
                    <w:right w:val="single" w:sz="4" w:space="0" w:color="auto"/>
                  </w:tcBorders>
                  <w:shd w:val="clear" w:color="auto" w:fill="auto"/>
                  <w:vAlign w:val="bottom"/>
                  <w:hideMark/>
                </w:tcPr>
                <w:p w14:paraId="2B6F1F53"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4 494 444</w:t>
                  </w:r>
                </w:p>
              </w:tc>
            </w:tr>
            <w:tr w:rsidR="003C6277" w:rsidRPr="006A73C3" w14:paraId="0DF0357D" w14:textId="77777777" w:rsidTr="00593F1E">
              <w:trPr>
                <w:trHeight w:val="585"/>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764CE11E"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Kopā</w:t>
                  </w:r>
                </w:p>
              </w:tc>
              <w:tc>
                <w:tcPr>
                  <w:tcW w:w="2060" w:type="dxa"/>
                  <w:tcBorders>
                    <w:top w:val="nil"/>
                    <w:left w:val="nil"/>
                    <w:bottom w:val="single" w:sz="4" w:space="0" w:color="auto"/>
                    <w:right w:val="single" w:sz="4" w:space="0" w:color="auto"/>
                  </w:tcBorders>
                  <w:shd w:val="clear" w:color="auto" w:fill="auto"/>
                  <w:noWrap/>
                  <w:vAlign w:val="bottom"/>
                  <w:hideMark/>
                </w:tcPr>
                <w:p w14:paraId="7E65440A" w14:textId="77777777" w:rsidR="003C6277" w:rsidRPr="006A73C3" w:rsidRDefault="003C6277" w:rsidP="00593F1E">
                  <w:pPr>
                    <w:spacing w:after="0" w:line="240" w:lineRule="auto"/>
                    <w:jc w:val="center"/>
                    <w:rPr>
                      <w:rFonts w:ascii="Times New Roman" w:eastAsia="Times New Roman" w:hAnsi="Times New Roman" w:cs="Times New Roman"/>
                      <w:b/>
                      <w:bCs/>
                      <w:sz w:val="26"/>
                      <w:szCs w:val="26"/>
                      <w:lang w:eastAsia="lv-LV"/>
                    </w:rPr>
                  </w:pPr>
                  <w:r w:rsidRPr="006A73C3">
                    <w:rPr>
                      <w:rFonts w:ascii="Times New Roman" w:eastAsia="Times New Roman" w:hAnsi="Times New Roman" w:cs="Times New Roman"/>
                      <w:b/>
                      <w:bCs/>
                      <w:sz w:val="26"/>
                      <w:szCs w:val="26"/>
                      <w:lang w:eastAsia="lv-LV"/>
                    </w:rPr>
                    <w:t>244 146 074</w:t>
                  </w:r>
                </w:p>
              </w:tc>
            </w:tr>
          </w:tbl>
          <w:p w14:paraId="5340A7A5" w14:textId="506B9DBB" w:rsidR="003C6277" w:rsidRPr="006A73C3" w:rsidRDefault="003C6277" w:rsidP="00593F1E">
            <w:pPr>
              <w:autoSpaceDE w:val="0"/>
              <w:autoSpaceDN w:val="0"/>
              <w:adjustRightInd w:val="0"/>
              <w:spacing w:after="0" w:line="240" w:lineRule="auto"/>
              <w:jc w:val="both"/>
              <w:rPr>
                <w:rFonts w:ascii="Times New Roman" w:hAnsi="Times New Roman" w:cs="Times New Roman"/>
                <w:sz w:val="26"/>
                <w:szCs w:val="26"/>
              </w:rPr>
            </w:pPr>
            <w:r w:rsidRPr="006A73C3">
              <w:rPr>
                <w:rFonts w:ascii="Times New Roman" w:hAnsi="Times New Roman" w:cs="Times New Roman"/>
                <w:bCs/>
                <w:sz w:val="26"/>
                <w:szCs w:val="26"/>
              </w:rPr>
              <w:t>S</w:t>
            </w:r>
            <w:r w:rsidRPr="006A73C3">
              <w:rPr>
                <w:rFonts w:ascii="Times New Roman" w:eastAsia="Times New Roman" w:hAnsi="Times New Roman" w:cs="Times New Roman"/>
                <w:sz w:val="26"/>
                <w:szCs w:val="26"/>
                <w:lang w:eastAsia="lv-LV"/>
              </w:rPr>
              <w:t xml:space="preserve">askaņā ar </w:t>
            </w:r>
            <w:r w:rsidRPr="006A73C3">
              <w:rPr>
                <w:rFonts w:ascii="Times New Roman" w:hAnsi="Times New Roman" w:cs="Times New Roman"/>
                <w:sz w:val="26"/>
                <w:szCs w:val="26"/>
              </w:rPr>
              <w:t xml:space="preserve">Ministru kabineta 2013.gada 3.decembra sēdes protokollēmuma (prot. Nr.64) 48.§ 11.punktā noteikto, Izglītības un zinātnes ministrijai ir nepieciešams papildu finansējums, lai nodrošinātu pedagogu darba samaksu pilnā apmērā paredzot finansējumu pedagogu papildu pienākumu (klases audzināšana, stundu (nodarbību) gatavošana, skolēnu darbu labošana) un atbalsta pasākumu (konsultācijas, pagarinātās dienas grupas) veikšanai 40% no mācību stundu plāna īstenošanai aprēķinātās mērķdotācijas, kas indikatīvi ir 2014.gadā līdz 1,2 milj. </w:t>
            </w:r>
            <w:r w:rsidRPr="006A73C3">
              <w:rPr>
                <w:rFonts w:ascii="Times New Roman" w:hAnsi="Times New Roman" w:cs="Times New Roman"/>
                <w:i/>
                <w:sz w:val="26"/>
                <w:szCs w:val="26"/>
              </w:rPr>
              <w:t>euro</w:t>
            </w:r>
            <w:r w:rsidRPr="006A73C3">
              <w:rPr>
                <w:rFonts w:ascii="Times New Roman" w:hAnsi="Times New Roman" w:cs="Times New Roman"/>
                <w:sz w:val="26"/>
                <w:szCs w:val="26"/>
              </w:rPr>
              <w:t xml:space="preserve">, 2015.gadā līdz 2,8 milj. </w:t>
            </w:r>
            <w:r w:rsidRPr="006A73C3">
              <w:rPr>
                <w:rFonts w:ascii="Times New Roman" w:hAnsi="Times New Roman" w:cs="Times New Roman"/>
                <w:i/>
                <w:sz w:val="26"/>
                <w:szCs w:val="26"/>
              </w:rPr>
              <w:t>euro</w:t>
            </w:r>
            <w:r w:rsidRPr="006A73C3">
              <w:rPr>
                <w:rFonts w:ascii="Times New Roman" w:hAnsi="Times New Roman" w:cs="Times New Roman"/>
                <w:sz w:val="26"/>
                <w:szCs w:val="26"/>
              </w:rPr>
              <w:t xml:space="preserve"> un 2016.gadā līdz 2,8 milj. </w:t>
            </w:r>
            <w:r w:rsidRPr="006A73C3">
              <w:rPr>
                <w:rFonts w:ascii="Times New Roman" w:hAnsi="Times New Roman" w:cs="Times New Roman"/>
                <w:i/>
                <w:sz w:val="26"/>
                <w:szCs w:val="26"/>
              </w:rPr>
              <w:t>euro</w:t>
            </w:r>
            <w:r w:rsidRPr="006A73C3">
              <w:rPr>
                <w:rFonts w:ascii="Times New Roman" w:hAnsi="Times New Roman" w:cs="Times New Roman"/>
                <w:sz w:val="26"/>
                <w:szCs w:val="26"/>
              </w:rPr>
              <w:t>.</w:t>
            </w:r>
          </w:p>
          <w:p w14:paraId="726C375C" w14:textId="2293DB63" w:rsidR="003C6277" w:rsidRPr="006A73C3" w:rsidRDefault="003C6277" w:rsidP="00593F1E">
            <w:pPr>
              <w:autoSpaceDE w:val="0"/>
              <w:autoSpaceDN w:val="0"/>
              <w:adjustRightInd w:val="0"/>
              <w:spacing w:after="0" w:line="240" w:lineRule="auto"/>
              <w:jc w:val="both"/>
              <w:rPr>
                <w:rFonts w:ascii="Times New Roman" w:hAnsi="Times New Roman" w:cs="Times New Roman"/>
                <w:sz w:val="26"/>
                <w:szCs w:val="26"/>
              </w:rPr>
            </w:pPr>
            <w:r w:rsidRPr="006A73C3">
              <w:rPr>
                <w:rFonts w:ascii="Times New Roman" w:hAnsi="Times New Roman" w:cs="Times New Roman"/>
                <w:color w:val="000000"/>
                <w:sz w:val="26"/>
                <w:szCs w:val="26"/>
              </w:rPr>
              <w:t>Lai nodrošinātu pedagogu darba samaksu 2014.gadā, plānots pārdalīt finansējumu</w:t>
            </w:r>
            <w:r w:rsidRPr="006A73C3">
              <w:rPr>
                <w:rFonts w:ascii="Times New Roman" w:hAnsi="Times New Roman" w:cs="Times New Roman"/>
                <w:sz w:val="26"/>
                <w:szCs w:val="26"/>
              </w:rPr>
              <w:t xml:space="preserve"> no </w:t>
            </w:r>
            <w:r w:rsidRPr="006A73C3">
              <w:rPr>
                <w:rFonts w:ascii="Times New Roman" w:hAnsi="Times New Roman" w:cs="Times New Roman"/>
                <w:color w:val="000000"/>
                <w:sz w:val="26"/>
                <w:szCs w:val="26"/>
              </w:rPr>
              <w:t xml:space="preserve">Izglītības un zinātnes ministrijas apakšprogrammā 01.05.00 "Dotācija privātajām mācību iestādēm” piešķirtajiem līdzekļiem valsts atbalsta izmaksai bērniem no pusotra gada vecuma līdz obligātās pirmsskolas izglītības programmas apguves uzsākšanai, ja pašvaldība bērnu nevar nodrošināt ar vietu pašvaldības pirmsskolas izglītības iestādē. </w:t>
            </w:r>
            <w:r w:rsidRPr="006A73C3">
              <w:rPr>
                <w:rFonts w:ascii="Times New Roman" w:hAnsi="Times New Roman" w:cs="Times New Roman"/>
                <w:sz w:val="26"/>
                <w:szCs w:val="26"/>
              </w:rPr>
              <w:t xml:space="preserve">Atbilstoši </w:t>
            </w:r>
            <w:r w:rsidRPr="006A73C3">
              <w:rPr>
                <w:rFonts w:ascii="Times New Roman" w:hAnsi="Times New Roman" w:cs="Times New Roman"/>
                <w:b/>
                <w:sz w:val="26"/>
                <w:szCs w:val="26"/>
              </w:rPr>
              <w:t>2014.gada 6.maija sēdes</w:t>
            </w:r>
            <w:r w:rsidRPr="006A73C3">
              <w:rPr>
                <w:rFonts w:ascii="Times New Roman" w:hAnsi="Times New Roman" w:cs="Times New Roman"/>
                <w:sz w:val="26"/>
                <w:szCs w:val="26"/>
              </w:rPr>
              <w:t xml:space="preserve"> protokollēmuma (prot. Nr.26) 27.§ 1.punktā noteiktam, nepieciešamos resursus pedagogu darba samaksai 2014.gadā līdz 1 204 535 </w:t>
            </w:r>
            <w:r w:rsidRPr="006A73C3">
              <w:rPr>
                <w:rFonts w:ascii="Times New Roman" w:hAnsi="Times New Roman" w:cs="Times New Roman"/>
                <w:i/>
                <w:sz w:val="26"/>
                <w:szCs w:val="26"/>
              </w:rPr>
              <w:t>euro</w:t>
            </w:r>
            <w:r w:rsidRPr="006A73C3">
              <w:rPr>
                <w:rFonts w:ascii="Times New Roman" w:hAnsi="Times New Roman" w:cs="Times New Roman"/>
                <w:sz w:val="26"/>
                <w:szCs w:val="26"/>
              </w:rPr>
              <w:t xml:space="preserve"> (lai nodrošinātu pilnu finansējuma apmēru 62.resoram “Mērķdotācijām pašvaldībām” 2014.gada septembrim – decembrim, atbilstoši normatīvajos aktos noteiktajam, tai skaitā finansējumu par pedagogu papildu pienākumu (klases audzināšana, stundu (nodarbību) gatavošana, skolēnu darbu labošana) un atbalsta pasākumu (konsultācijas, pagarinātās dienas grupas) veikšanu 40% apmērā no mācību stundu plāna īstenošanai aprēķinātās mērķdotācijas, kā arī Izglītības un zinātnes ministrijai izglītojamo skaita pieaugumam privātajās izglītības iestādēs) nodrošināt no atlikuma, kas 2014.gada 1.ceturksnī faktiski ir izveidojies Izglītības un zinātnes ministrijas apakšprogrammā 01.05.00 "Dotācija privātajām mācību iestādēm” no plānotajiem līdzekļiem valsts atbalsta izmaksai bērniem no pusotra gada vecuma līdz obligātās pirmsskolas izglītības programmas apguves </w:t>
            </w:r>
            <w:r w:rsidRPr="006A73C3">
              <w:rPr>
                <w:rFonts w:ascii="Times New Roman" w:hAnsi="Times New Roman" w:cs="Times New Roman"/>
                <w:sz w:val="26"/>
                <w:szCs w:val="26"/>
              </w:rPr>
              <w:lastRenderedPageBreak/>
              <w:t>uzsākšanai, ja pašvaldība bērnu nevar nodrošināt ar vietu pašvaldības pirmsskolas izglītības iestādē.</w:t>
            </w:r>
          </w:p>
          <w:p w14:paraId="3C94BD22" w14:textId="77777777" w:rsidR="003C6277" w:rsidRPr="006A73C3" w:rsidRDefault="003C6277" w:rsidP="00593F1E">
            <w:pPr>
              <w:autoSpaceDE w:val="0"/>
              <w:autoSpaceDN w:val="0"/>
              <w:adjustRightInd w:val="0"/>
              <w:spacing w:after="0" w:line="240" w:lineRule="auto"/>
              <w:jc w:val="both"/>
              <w:rPr>
                <w:rFonts w:ascii="Times New Roman" w:hAnsi="Times New Roman" w:cs="Times New Roman"/>
                <w:sz w:val="26"/>
                <w:szCs w:val="26"/>
              </w:rPr>
            </w:pPr>
            <w:r w:rsidRPr="006A73C3">
              <w:rPr>
                <w:rFonts w:ascii="Times New Roman" w:hAnsi="Times New Roman" w:cs="Times New Roman"/>
                <w:sz w:val="26"/>
                <w:szCs w:val="26"/>
              </w:rPr>
              <w:t xml:space="preserve">Savukārt, atbilstoši </w:t>
            </w:r>
            <w:r w:rsidRPr="006A73C3">
              <w:rPr>
                <w:rFonts w:ascii="Times New Roman" w:hAnsi="Times New Roman" w:cs="Times New Roman"/>
                <w:b/>
                <w:sz w:val="26"/>
                <w:szCs w:val="26"/>
              </w:rPr>
              <w:t>2014.gada 6.maija sēdes</w:t>
            </w:r>
            <w:r w:rsidRPr="006A73C3">
              <w:rPr>
                <w:rFonts w:ascii="Times New Roman" w:hAnsi="Times New Roman" w:cs="Times New Roman"/>
                <w:sz w:val="26"/>
                <w:szCs w:val="26"/>
              </w:rPr>
              <w:t xml:space="preserve"> protokollēmuma 27.§ 3.punktā noteiktam, Izglītības un zinātnes ministrija līdz 2014.gada 16.jūnijam iesniegs Ministru kabinetā atbilstoši Likuma par budžetu un finanšu vadību 9.panta piecpadsmitajai daļai sagatavotu ar Finanšu ministriju saskaņotu Ministru kabineta rīkojuma projektu par apropriācijas pārdali starp resoriem pedagogu darba samaksas nodrošināšanai, norādot valsts budžeta finansējuma sadalījumu starp resoriem atbilstoši izglītojamo skaitam Valsts izglītības informācijas sistēmā 2014.gada 27.maijā.</w:t>
            </w:r>
          </w:p>
          <w:p w14:paraId="31288CCE" w14:textId="77777777" w:rsidR="003C6277" w:rsidRPr="006A73C3" w:rsidRDefault="003C6277" w:rsidP="003C6277">
            <w:pPr>
              <w:spacing w:after="0" w:line="240" w:lineRule="auto"/>
              <w:ind w:firstLine="425"/>
              <w:jc w:val="both"/>
              <w:rPr>
                <w:rFonts w:ascii="Times New Roman" w:hAnsi="Times New Roman" w:cs="Times New Roman"/>
                <w:sz w:val="26"/>
                <w:szCs w:val="26"/>
              </w:rPr>
            </w:pPr>
            <w:r w:rsidRPr="006A73C3">
              <w:rPr>
                <w:rFonts w:ascii="Times New Roman" w:hAnsi="Times New Roman" w:cs="Times New Roman"/>
                <w:sz w:val="26"/>
                <w:szCs w:val="26"/>
              </w:rPr>
              <w:t>Izglītības un zinātnes ministrija, atbilstoši 2014.gada 6.maija Ministru kabineta dotajam uzdevumam (protokols Nr.26, 27</w:t>
            </w:r>
            <w:bookmarkStart w:id="10" w:name="27"/>
            <w:r w:rsidRPr="006A73C3">
              <w:rPr>
                <w:rFonts w:ascii="Times New Roman" w:hAnsi="Times New Roman" w:cs="Times New Roman"/>
                <w:sz w:val="26"/>
                <w:szCs w:val="26"/>
              </w:rPr>
              <w:t>§</w:t>
            </w:r>
            <w:bookmarkEnd w:id="10"/>
            <w:r w:rsidRPr="006A73C3">
              <w:rPr>
                <w:rFonts w:ascii="Times New Roman" w:hAnsi="Times New Roman" w:cs="Times New Roman"/>
                <w:sz w:val="26"/>
                <w:szCs w:val="26"/>
              </w:rPr>
              <w:t>) ir izvērtējusi nepieciešamo resursu apjomu pedagogu darba samaksai 2014.gadā, lai nodrošinātu pilnu finansējuma apmēru 62.resoram “Mērķdotācijām pašvaldībām” 2014.gada septembrim – decembrim, atbilstoši normatīvajos aktos noteiktajam, tai skaitā finansējumu par pedagogu papildu pienākumu (klases audzināšana, stundu (nodarbību) gatavošana, skolēnu darbu labošana) un atbalsta pasākumu (konsultācijas, pagarinātās dienas grupas) veikšanu 40% apmērā no mācību stundu plāna īstenošanai aprēķinātās mērķdotācijas, kā arī Izglītības un zinātnes ministrijai izglītojamo skaita pieaugumam privātajās izglītības iestādēs pedagogu darba samaksai atbilstoši izglītojamo skaitam Valsts izglītības informācijas sistēmā 2014.gada 27.maijā.</w:t>
            </w:r>
          </w:p>
          <w:p w14:paraId="7BAE914D" w14:textId="77777777" w:rsidR="003C6277" w:rsidRPr="006A73C3" w:rsidRDefault="003C6277" w:rsidP="003C6277">
            <w:pPr>
              <w:spacing w:after="0" w:line="240" w:lineRule="auto"/>
              <w:ind w:firstLine="425"/>
              <w:jc w:val="both"/>
              <w:rPr>
                <w:rFonts w:ascii="Times New Roman" w:hAnsi="Times New Roman" w:cs="Times New Roman"/>
                <w:sz w:val="26"/>
                <w:szCs w:val="26"/>
              </w:rPr>
            </w:pPr>
            <w:r w:rsidRPr="006A73C3">
              <w:rPr>
                <w:rFonts w:ascii="Times New Roman" w:hAnsi="Times New Roman" w:cs="Times New Roman"/>
                <w:sz w:val="26"/>
                <w:szCs w:val="26"/>
              </w:rPr>
              <w:t>Pilnu finansējuma apmēru pedagogu darba samaksai 62.resoram “Mērķdotācijām pašvaldībām” atbilstoši izglītojamo skaitam Valsts izglītības informācijas sistēmā 2014.gada 27.maijā 2014.gada septembrim – decembrim un 2015.gadam iespējams nodrošināt piešķirtā finansējuma ietvaros.</w:t>
            </w:r>
          </w:p>
          <w:p w14:paraId="73092856" w14:textId="77777777" w:rsidR="003C6277" w:rsidRPr="006A73C3" w:rsidRDefault="003C6277" w:rsidP="00593F1E">
            <w:pPr>
              <w:spacing w:after="0" w:line="240" w:lineRule="auto"/>
              <w:ind w:firstLine="425"/>
              <w:jc w:val="both"/>
              <w:rPr>
                <w:rFonts w:ascii="Times New Roman" w:hAnsi="Times New Roman" w:cs="Times New Roman"/>
                <w:sz w:val="26"/>
                <w:szCs w:val="26"/>
              </w:rPr>
            </w:pPr>
            <w:r w:rsidRPr="006A73C3">
              <w:rPr>
                <w:rFonts w:ascii="Times New Roman" w:hAnsi="Times New Roman" w:cs="Times New Roman"/>
                <w:sz w:val="26"/>
                <w:szCs w:val="26"/>
              </w:rPr>
              <w:t>L</w:t>
            </w:r>
            <w:r w:rsidRPr="006A73C3">
              <w:rPr>
                <w:rFonts w:ascii="Times New Roman" w:hAnsi="Times New Roman" w:cs="Times New Roman"/>
                <w:sz w:val="26"/>
                <w:szCs w:val="26"/>
                <w:lang w:eastAsia="lv-LV"/>
              </w:rPr>
              <w:t xml:space="preserve">ai no 2014.gada 1.septembra </w:t>
            </w:r>
            <w:r w:rsidRPr="006A73C3">
              <w:rPr>
                <w:rFonts w:ascii="Times New Roman" w:hAnsi="Times New Roman" w:cs="Times New Roman"/>
                <w:sz w:val="26"/>
                <w:szCs w:val="26"/>
              </w:rPr>
              <w:t xml:space="preserve">Izglītības un zinātnes ministrijas apakšprogrammas 01.05.00 "Dotācija privātajām mācību iestādēm” ietvaros </w:t>
            </w:r>
            <w:r w:rsidRPr="006A73C3">
              <w:rPr>
                <w:rFonts w:ascii="Times New Roman" w:hAnsi="Times New Roman" w:cs="Times New Roman"/>
                <w:sz w:val="26"/>
                <w:szCs w:val="26"/>
                <w:lang w:eastAsia="lv-LV"/>
              </w:rPr>
              <w:t xml:space="preserve">nodrošinātu pedagogu darba samaksu privātajās </w:t>
            </w:r>
            <w:r w:rsidRPr="006A73C3">
              <w:rPr>
                <w:rFonts w:ascii="Times New Roman" w:hAnsi="Times New Roman" w:cs="Times New Roman"/>
                <w:sz w:val="26"/>
                <w:szCs w:val="26"/>
              </w:rPr>
              <w:t xml:space="preserve">izglītības iestādēs atbilstoši noteikumiem Nr.1616 un noteikumiem Nr.1037 atbilstoši izglītojamo skaitam Valsts izglītības informācijas sistēmā 2014.gada 27.maijā 2014.gadā papildus nepieciešami 747 810 </w:t>
            </w:r>
            <w:r w:rsidRPr="006A73C3">
              <w:rPr>
                <w:rFonts w:ascii="Times New Roman" w:hAnsi="Times New Roman" w:cs="Times New Roman"/>
                <w:i/>
                <w:sz w:val="26"/>
                <w:szCs w:val="26"/>
              </w:rPr>
              <w:t>euro</w:t>
            </w:r>
            <w:r w:rsidRPr="006A73C3">
              <w:rPr>
                <w:rFonts w:ascii="Times New Roman" w:hAnsi="Times New Roman" w:cs="Times New Roman"/>
                <w:sz w:val="26"/>
                <w:szCs w:val="26"/>
              </w:rPr>
              <w:t>, 2015.gadā un turpmāk papildus nepieciešami 827 241</w:t>
            </w:r>
            <w:r w:rsidRPr="006A73C3">
              <w:rPr>
                <w:rFonts w:ascii="Times New Roman" w:hAnsi="Times New Roman" w:cs="Times New Roman"/>
                <w:i/>
                <w:sz w:val="26"/>
                <w:szCs w:val="26"/>
              </w:rPr>
              <w:t xml:space="preserve"> euro</w:t>
            </w:r>
            <w:r w:rsidRPr="006A73C3">
              <w:rPr>
                <w:rFonts w:ascii="Times New Roman" w:hAnsi="Times New Roman" w:cs="Times New Roman"/>
                <w:sz w:val="26"/>
                <w:szCs w:val="26"/>
              </w:rPr>
              <w:t>. (aprēķins pielikumā)</w:t>
            </w:r>
          </w:p>
          <w:p w14:paraId="415D64B4" w14:textId="77777777" w:rsidR="003C6277" w:rsidRPr="006A73C3" w:rsidRDefault="003C6277" w:rsidP="00593F1E">
            <w:pPr>
              <w:spacing w:after="0" w:line="240" w:lineRule="auto"/>
              <w:ind w:firstLine="425"/>
              <w:jc w:val="both"/>
              <w:rPr>
                <w:rFonts w:ascii="Times New Roman" w:hAnsi="Times New Roman" w:cs="Times New Roman"/>
                <w:sz w:val="26"/>
                <w:szCs w:val="26"/>
              </w:rPr>
            </w:pPr>
            <w:r w:rsidRPr="006A73C3">
              <w:rPr>
                <w:rFonts w:ascii="Times New Roman" w:hAnsi="Times New Roman" w:cs="Times New Roman"/>
                <w:sz w:val="26"/>
                <w:szCs w:val="26"/>
                <w:lang w:eastAsia="lv-LV"/>
              </w:rPr>
              <w:t xml:space="preserve">Lai 2014.gadā </w:t>
            </w:r>
            <w:r w:rsidRPr="006A73C3">
              <w:rPr>
                <w:rFonts w:ascii="Times New Roman" w:hAnsi="Times New Roman" w:cs="Times New Roman"/>
                <w:sz w:val="26"/>
                <w:szCs w:val="26"/>
              </w:rPr>
              <w:t xml:space="preserve">Izglītības un zinātnes ministrijas apakšprogrammas 01.05.00 "Dotācija privātajām mācību iestādēm” ietvaros </w:t>
            </w:r>
            <w:r w:rsidRPr="006A73C3">
              <w:rPr>
                <w:rFonts w:ascii="Times New Roman" w:hAnsi="Times New Roman" w:cs="Times New Roman"/>
                <w:sz w:val="26"/>
                <w:szCs w:val="26"/>
                <w:lang w:eastAsia="lv-LV"/>
              </w:rPr>
              <w:t xml:space="preserve">nodrošinātu pedagogu darba samaksu privātajās </w:t>
            </w:r>
            <w:r w:rsidRPr="006A73C3">
              <w:rPr>
                <w:rFonts w:ascii="Times New Roman" w:hAnsi="Times New Roman" w:cs="Times New Roman"/>
                <w:sz w:val="26"/>
                <w:szCs w:val="26"/>
              </w:rPr>
              <w:t xml:space="preserve">izglītības iestādēs atbilstoši noteikumiem Nr.1616 un noteikumiem Nr.1037 Izglītības un zinātnes </w:t>
            </w:r>
            <w:r w:rsidRPr="006A73C3">
              <w:rPr>
                <w:rFonts w:ascii="Times New Roman" w:hAnsi="Times New Roman" w:cs="Times New Roman"/>
                <w:sz w:val="26"/>
                <w:szCs w:val="26"/>
              </w:rPr>
              <w:lastRenderedPageBreak/>
              <w:t xml:space="preserve">ministrija pēc Ministru kabineta akcepta saņemšanas plāno izmantot neizlietoto līdzekļu </w:t>
            </w:r>
            <w:r w:rsidRPr="006A73C3">
              <w:rPr>
                <w:rFonts w:ascii="Times New Roman" w:hAnsi="Times New Roman" w:cs="Times New Roman"/>
                <w:bCs/>
                <w:sz w:val="26"/>
                <w:szCs w:val="26"/>
              </w:rPr>
              <w:t xml:space="preserve">atlikumu, kas 2014.gada pirmajā un otrajā ceturksnī </w:t>
            </w:r>
            <w:r w:rsidRPr="006A73C3">
              <w:rPr>
                <w:rFonts w:ascii="Times New Roman" w:hAnsi="Times New Roman" w:cs="Times New Roman"/>
                <w:sz w:val="26"/>
                <w:szCs w:val="26"/>
              </w:rPr>
              <w:t>izveidojies no Izglītības un zinātnes ministrijas apakšprogrammā 01.05.00 "Dotācija privātajām mācību iestādēm” piešķirtajiem līdzekļiem valsts atbalsta izmaksai bērniem no pusotra gada vecuma līdz obligātās pirmsskolas izglītības programmas apguves uzsākšanai, ja pašvaldība bērnu nevar nodrošināt ar vietu pašvaldības pirmsskolas izglītības iestādē.</w:t>
            </w:r>
          </w:p>
          <w:p w14:paraId="36ED11CD" w14:textId="77777777" w:rsidR="003C6277" w:rsidRPr="006A73C3" w:rsidRDefault="003C6277" w:rsidP="00593F1E">
            <w:pPr>
              <w:spacing w:after="0" w:line="240" w:lineRule="auto"/>
              <w:ind w:firstLine="425"/>
              <w:jc w:val="both"/>
              <w:rPr>
                <w:rFonts w:ascii="Times New Roman" w:hAnsi="Times New Roman" w:cs="Times New Roman"/>
                <w:sz w:val="26"/>
                <w:szCs w:val="26"/>
              </w:rPr>
            </w:pPr>
            <w:r w:rsidRPr="006A73C3">
              <w:rPr>
                <w:rFonts w:ascii="Times New Roman" w:hAnsi="Times New Roman" w:cs="Times New Roman"/>
                <w:sz w:val="26"/>
                <w:szCs w:val="26"/>
              </w:rPr>
              <w:t xml:space="preserve">Lai </w:t>
            </w:r>
            <w:r w:rsidRPr="006A73C3">
              <w:rPr>
                <w:rFonts w:ascii="Times New Roman" w:hAnsi="Times New Roman" w:cs="Times New Roman"/>
                <w:sz w:val="26"/>
                <w:szCs w:val="26"/>
                <w:lang w:eastAsia="lv-LV"/>
              </w:rPr>
              <w:t xml:space="preserve">nodrošinātu pedagogu darba samaksu privātajās </w:t>
            </w:r>
            <w:r w:rsidRPr="006A73C3">
              <w:rPr>
                <w:rFonts w:ascii="Times New Roman" w:hAnsi="Times New Roman" w:cs="Times New Roman"/>
                <w:sz w:val="26"/>
                <w:szCs w:val="26"/>
              </w:rPr>
              <w:t xml:space="preserve">izglītības iestādēs atbilstoši noteikumiem Nr.1616 un noteikumiem Nr.1037 2015.gadā un turpmākajos gados nepieciešams </w:t>
            </w:r>
            <w:r w:rsidRPr="006A73C3">
              <w:rPr>
                <w:rStyle w:val="spelle"/>
                <w:rFonts w:ascii="Times New Roman" w:hAnsi="Times New Roman" w:cs="Times New Roman"/>
                <w:sz w:val="26"/>
                <w:szCs w:val="26"/>
              </w:rPr>
              <w:t>palielināt bāzes izdevumus 2015.</w:t>
            </w:r>
            <w:r w:rsidRPr="006A73C3">
              <w:rPr>
                <w:rFonts w:ascii="Times New Roman" w:eastAsia="Times New Roman" w:hAnsi="Times New Roman" w:cs="Times New Roman"/>
                <w:sz w:val="26"/>
                <w:szCs w:val="26"/>
                <w:lang w:eastAsia="lv-LV"/>
              </w:rPr>
              <w:t xml:space="preserve"> </w:t>
            </w:r>
            <w:r w:rsidRPr="006A73C3">
              <w:rPr>
                <w:rFonts w:ascii="Times New Roman" w:hAnsi="Times New Roman" w:cs="Times New Roman"/>
                <w:sz w:val="26"/>
                <w:szCs w:val="26"/>
              </w:rPr>
              <w:t xml:space="preserve">– </w:t>
            </w:r>
            <w:r w:rsidRPr="006A73C3">
              <w:rPr>
                <w:rStyle w:val="spelle"/>
                <w:rFonts w:ascii="Times New Roman" w:hAnsi="Times New Roman" w:cs="Times New Roman"/>
                <w:sz w:val="26"/>
                <w:szCs w:val="26"/>
              </w:rPr>
              <w:t>2017.gadam</w:t>
            </w:r>
            <w:r w:rsidRPr="006A73C3">
              <w:rPr>
                <w:rFonts w:ascii="Times New Roman" w:hAnsi="Times New Roman" w:cs="Times New Roman"/>
                <w:sz w:val="26"/>
                <w:szCs w:val="26"/>
                <w:lang w:eastAsia="lv-LV"/>
              </w:rPr>
              <w:t xml:space="preserve"> Izglītības un zinātnes ministrijas apakšprogrammā 01.05.00 "Dotācija privātajām mācību iestādēm" par 827 241 </w:t>
            </w:r>
            <w:r w:rsidRPr="006A73C3">
              <w:rPr>
                <w:rFonts w:ascii="Times New Roman" w:hAnsi="Times New Roman" w:cs="Times New Roman"/>
                <w:i/>
                <w:sz w:val="26"/>
                <w:szCs w:val="26"/>
                <w:lang w:eastAsia="lv-LV"/>
              </w:rPr>
              <w:t>euro</w:t>
            </w:r>
            <w:r w:rsidRPr="006A73C3">
              <w:rPr>
                <w:rFonts w:ascii="Times New Roman" w:hAnsi="Times New Roman" w:cs="Times New Roman"/>
                <w:sz w:val="26"/>
                <w:szCs w:val="26"/>
                <w:lang w:eastAsia="lv-LV"/>
              </w:rPr>
              <w:t xml:space="preserve"> gadā.</w:t>
            </w:r>
          </w:p>
          <w:p w14:paraId="3FD0B918" w14:textId="77777777" w:rsidR="003C6277" w:rsidRPr="006A73C3" w:rsidRDefault="003C6277" w:rsidP="003C6277">
            <w:pPr>
              <w:spacing w:after="0" w:line="240" w:lineRule="auto"/>
              <w:ind w:firstLine="425"/>
              <w:jc w:val="both"/>
              <w:rPr>
                <w:rFonts w:ascii="Times New Roman" w:hAnsi="Times New Roman" w:cs="Times New Roman"/>
                <w:sz w:val="26"/>
                <w:szCs w:val="26"/>
              </w:rPr>
            </w:pPr>
            <w:r w:rsidRPr="006A73C3">
              <w:rPr>
                <w:rFonts w:ascii="Times New Roman" w:hAnsi="Times New Roman" w:cs="Times New Roman"/>
                <w:sz w:val="26"/>
                <w:szCs w:val="26"/>
              </w:rPr>
              <w:t>Izglītības un zinātnes ministrija atbilstoši izglītojamo skaitam Valsts izglītības informācijas sistēmā 2014.gada 1 septembrī izvērtēs nepieciešamo resursu apjomu pedagogu darba samaksai 2015.gadā un turpmāk, lai nodrošinātu pilnu finansējuma apmēru 62.resoram “Mērķdotācijām pašvaldībām” un Izglītības un zinātnes ministrijas apakšprogrammā 01.05.00 "Dotācija privātajām mācību iestādēm” 2015.gadam un turpmākajiem gadiem atbilstoši normatīvajos aktos noteiktajam un nepieciešamības gadījumā, ja tiks konstatēts būtisks izglītojamo skaita pieaugums salīdzinot pret 2014.gada 27.maiju, iesniegs attiecīgus priekšlikumus finansējuma palielinājumam, izskatīšanai 2015.gada budžeta sagatavošanas procesā.</w:t>
            </w:r>
          </w:p>
          <w:p w14:paraId="45599C78" w14:textId="77777777" w:rsidR="003C6277" w:rsidRPr="006A73C3" w:rsidRDefault="003C6277" w:rsidP="00593F1E">
            <w:pPr>
              <w:spacing w:after="120" w:line="240" w:lineRule="auto"/>
              <w:ind w:firstLine="425"/>
              <w:jc w:val="both"/>
              <w:rPr>
                <w:rFonts w:ascii="Times New Roman" w:hAnsi="Times New Roman" w:cs="Times New Roman"/>
                <w:sz w:val="26"/>
                <w:szCs w:val="26"/>
              </w:rPr>
            </w:pPr>
            <w:r w:rsidRPr="006A73C3">
              <w:rPr>
                <w:rFonts w:ascii="Times New Roman" w:hAnsi="Times New Roman" w:cs="Times New Roman"/>
                <w:sz w:val="26"/>
                <w:szCs w:val="26"/>
              </w:rPr>
              <w:t xml:space="preserve">Noteikumu projekta 1. un 2.punkta īstenošana 2014.gadā tiks nodrošināta piešķirtā finansējuma ietvaros. Prognozēts, ka </w:t>
            </w:r>
            <w:r w:rsidRPr="006A73C3">
              <w:rPr>
                <w:rFonts w:ascii="Times New Roman" w:hAnsi="Times New Roman"/>
                <w:sz w:val="26"/>
                <w:szCs w:val="26"/>
              </w:rPr>
              <w:t>izglītojamo skaits piecu gadu vecuma pirmsskolas grupās uz 2014.gada 1.septembri pieaugs par 394 izglītojamajiem,</w:t>
            </w:r>
            <w:r w:rsidRPr="006A73C3">
              <w:rPr>
                <w:rFonts w:ascii="Times New Roman" w:hAnsi="Times New Roman" w:cs="Times New Roman"/>
                <w:sz w:val="26"/>
                <w:szCs w:val="26"/>
              </w:rPr>
              <w:t xml:space="preserve"> plānotā finanšu ietekme 2014.gadā 81 568 </w:t>
            </w:r>
            <w:r w:rsidRPr="006A73C3">
              <w:rPr>
                <w:rFonts w:ascii="Times New Roman" w:hAnsi="Times New Roman" w:cs="Times New Roman"/>
                <w:i/>
                <w:sz w:val="26"/>
                <w:szCs w:val="26"/>
              </w:rPr>
              <w:t>euro.</w:t>
            </w:r>
            <w:r w:rsidRPr="006A73C3">
              <w:rPr>
                <w:rFonts w:ascii="Times New Roman" w:hAnsi="Times New Roman" w:cs="Times New Roman"/>
                <w:sz w:val="26"/>
                <w:szCs w:val="26"/>
              </w:rPr>
              <w:t xml:space="preserve"> (aprēķins 2.pielikumā).</w:t>
            </w:r>
          </w:p>
        </w:tc>
      </w:tr>
    </w:tbl>
    <w:p w14:paraId="06C8CD62" w14:textId="77777777" w:rsidR="003C6277" w:rsidRPr="006A73C3" w:rsidRDefault="003C6277" w:rsidP="008E25A6">
      <w:pPr>
        <w:pStyle w:val="naisf"/>
        <w:spacing w:before="0" w:after="0"/>
        <w:ind w:firstLine="0"/>
      </w:pPr>
    </w:p>
    <w:p w14:paraId="21043CBC" w14:textId="77777777" w:rsidR="00E8543F" w:rsidRPr="006A73C3" w:rsidRDefault="00E8543F" w:rsidP="008E25A6">
      <w:pPr>
        <w:pStyle w:val="naisf"/>
        <w:spacing w:before="0" w:after="0"/>
        <w:ind w:firstLine="0"/>
      </w:pPr>
    </w:p>
    <w:tbl>
      <w:tblPr>
        <w:tblW w:w="58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7"/>
        <w:gridCol w:w="2672"/>
        <w:gridCol w:w="6687"/>
      </w:tblGrid>
      <w:tr w:rsidR="00FC1995" w:rsidRPr="006A73C3" w14:paraId="2B601706" w14:textId="77777777" w:rsidTr="008E25A6">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C87A8B5" w14:textId="77777777" w:rsidR="00FC1995" w:rsidRPr="006A73C3" w:rsidRDefault="00FC1995" w:rsidP="006132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A73C3">
              <w:rPr>
                <w:rFonts w:ascii="Arial" w:eastAsia="Times New Roman" w:hAnsi="Arial" w:cs="Arial"/>
                <w:sz w:val="26"/>
                <w:szCs w:val="26"/>
                <w:lang w:eastAsia="lv-LV"/>
              </w:rPr>
              <w:t> </w:t>
            </w:r>
            <w:r w:rsidRPr="006A73C3">
              <w:rPr>
                <w:rFonts w:ascii="Times New Roman" w:eastAsia="Times New Roman" w:hAnsi="Times New Roman" w:cs="Times New Roman"/>
                <w:b/>
                <w:bCs/>
                <w:sz w:val="26"/>
                <w:szCs w:val="26"/>
                <w:lang w:eastAsia="lv-LV"/>
              </w:rPr>
              <w:t>IV. Tiesību akta projekta ietekme uz spēkā esošo tiesību normu sistēmu</w:t>
            </w:r>
          </w:p>
        </w:tc>
      </w:tr>
      <w:tr w:rsidR="00117B82" w:rsidRPr="006A73C3" w14:paraId="270B9F2C" w14:textId="77777777" w:rsidTr="008E25A6">
        <w:trPr>
          <w:jc w:val="center"/>
        </w:trPr>
        <w:tc>
          <w:tcPr>
            <w:tcW w:w="149" w:type="pct"/>
            <w:tcBorders>
              <w:top w:val="outset" w:sz="6" w:space="0" w:color="414142"/>
              <w:left w:val="outset" w:sz="6" w:space="0" w:color="414142"/>
              <w:bottom w:val="outset" w:sz="6" w:space="0" w:color="414142"/>
              <w:right w:val="outset" w:sz="6" w:space="0" w:color="414142"/>
            </w:tcBorders>
            <w:hideMark/>
          </w:tcPr>
          <w:p w14:paraId="206010FB" w14:textId="77777777" w:rsidR="00FC1995" w:rsidRPr="006A73C3" w:rsidRDefault="00FC1995" w:rsidP="006132EB">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1.</w:t>
            </w:r>
          </w:p>
        </w:tc>
        <w:tc>
          <w:tcPr>
            <w:tcW w:w="1385" w:type="pct"/>
            <w:tcBorders>
              <w:top w:val="outset" w:sz="6" w:space="0" w:color="414142"/>
              <w:left w:val="outset" w:sz="6" w:space="0" w:color="414142"/>
              <w:bottom w:val="outset" w:sz="6" w:space="0" w:color="414142"/>
              <w:right w:val="outset" w:sz="6" w:space="0" w:color="414142"/>
            </w:tcBorders>
            <w:hideMark/>
          </w:tcPr>
          <w:p w14:paraId="207831D2" w14:textId="77777777" w:rsidR="00FC1995" w:rsidRPr="006A73C3" w:rsidRDefault="00FC1995" w:rsidP="006132EB">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Nepieciešamie saistītie tiesību aktu projekti</w:t>
            </w:r>
          </w:p>
        </w:tc>
        <w:tc>
          <w:tcPr>
            <w:tcW w:w="3466" w:type="pct"/>
            <w:tcBorders>
              <w:top w:val="outset" w:sz="6" w:space="0" w:color="414142"/>
              <w:left w:val="outset" w:sz="6" w:space="0" w:color="414142"/>
              <w:bottom w:val="outset" w:sz="6" w:space="0" w:color="414142"/>
              <w:right w:val="outset" w:sz="6" w:space="0" w:color="414142"/>
            </w:tcBorders>
            <w:hideMark/>
          </w:tcPr>
          <w:p w14:paraId="3E1C0774" w14:textId="77777777" w:rsidR="0068333B" w:rsidRPr="006A73C3" w:rsidRDefault="00BA7B4E" w:rsidP="0068333B">
            <w:pPr>
              <w:spacing w:after="0" w:line="240" w:lineRule="auto"/>
              <w:jc w:val="both"/>
              <w:rPr>
                <w:rFonts w:ascii="Times New Roman" w:hAnsi="Times New Roman"/>
                <w:sz w:val="26"/>
                <w:szCs w:val="26"/>
              </w:rPr>
            </w:pPr>
            <w:r w:rsidRPr="006A73C3">
              <w:rPr>
                <w:rFonts w:ascii="Times New Roman" w:hAnsi="Times New Roman"/>
                <w:sz w:val="26"/>
                <w:szCs w:val="26"/>
              </w:rPr>
              <w:t xml:space="preserve">Vienlaikus ar projektu </w:t>
            </w:r>
            <w:r w:rsidR="0068333B" w:rsidRPr="006A73C3">
              <w:rPr>
                <w:rFonts w:ascii="Times New Roman" w:hAnsi="Times New Roman"/>
                <w:sz w:val="26"/>
                <w:szCs w:val="26"/>
              </w:rPr>
              <w:t>tiek virzīti:</w:t>
            </w:r>
            <w:r w:rsidRPr="006A73C3">
              <w:rPr>
                <w:rFonts w:ascii="Times New Roman" w:hAnsi="Times New Roman"/>
                <w:sz w:val="26"/>
                <w:szCs w:val="26"/>
              </w:rPr>
              <w:t xml:space="preserve"> Ministru kabineta noteikumu </w:t>
            </w:r>
            <w:r w:rsidR="0068333B" w:rsidRPr="006A73C3">
              <w:rPr>
                <w:rFonts w:ascii="Times New Roman" w:hAnsi="Times New Roman"/>
                <w:sz w:val="26"/>
                <w:szCs w:val="26"/>
              </w:rPr>
              <w:t>projekti:</w:t>
            </w:r>
          </w:p>
          <w:p w14:paraId="5456AF87" w14:textId="0E0CED9C" w:rsidR="0068333B" w:rsidRPr="006A73C3" w:rsidRDefault="00BA7B4E" w:rsidP="0068333B">
            <w:pPr>
              <w:pStyle w:val="ListParagraph"/>
              <w:numPr>
                <w:ilvl w:val="0"/>
                <w:numId w:val="4"/>
              </w:numPr>
              <w:spacing w:after="0" w:line="240" w:lineRule="auto"/>
              <w:jc w:val="both"/>
              <w:rPr>
                <w:rFonts w:ascii="Times New Roman" w:hAnsi="Times New Roman"/>
                <w:sz w:val="26"/>
                <w:szCs w:val="26"/>
              </w:rPr>
            </w:pPr>
            <w:r w:rsidRPr="006A73C3">
              <w:rPr>
                <w:rStyle w:val="Strong"/>
                <w:rFonts w:ascii="Times New Roman" w:eastAsia="Calibri" w:hAnsi="Times New Roman" w:cs="Times New Roman"/>
                <w:b w:val="0"/>
                <w:bCs w:val="0"/>
                <w:sz w:val="26"/>
                <w:szCs w:val="26"/>
              </w:rPr>
              <w:t xml:space="preserve">„Grozījumi Ministru kabineta </w:t>
            </w:r>
            <w:r w:rsidRPr="006A73C3">
              <w:rPr>
                <w:rFonts w:ascii="Times New Roman" w:eastAsia="Calibri" w:hAnsi="Times New Roman" w:cs="Times New Roman"/>
                <w:sz w:val="26"/>
                <w:szCs w:val="26"/>
              </w:rPr>
              <w:t>2009.gada 28.jūlija noteikumos Nr.836 „Pedagogu darba samaksas noteikumi</w:t>
            </w:r>
            <w:r w:rsidRPr="006A73C3">
              <w:rPr>
                <w:rFonts w:ascii="Times New Roman" w:eastAsia="Calibri" w:hAnsi="Times New Roman" w:cs="Times New Roman"/>
                <w:bCs/>
                <w:sz w:val="26"/>
                <w:szCs w:val="26"/>
              </w:rPr>
              <w:t>””</w:t>
            </w:r>
            <w:r w:rsidR="00B77578" w:rsidRPr="006A73C3">
              <w:rPr>
                <w:rFonts w:ascii="Times New Roman" w:hAnsi="Times New Roman"/>
                <w:bCs/>
                <w:sz w:val="26"/>
                <w:szCs w:val="26"/>
              </w:rPr>
              <w:t xml:space="preserve"> </w:t>
            </w:r>
            <w:r w:rsidR="00E8543F" w:rsidRPr="006A73C3">
              <w:rPr>
                <w:rFonts w:ascii="Times New Roman" w:hAnsi="Times New Roman"/>
                <w:sz w:val="26"/>
                <w:szCs w:val="26"/>
              </w:rPr>
              <w:t>(izskatīti MKK sēdē 28.04.14. prot.Nr.16 4.§)</w:t>
            </w:r>
            <w:r w:rsidR="0068333B" w:rsidRPr="006A73C3">
              <w:rPr>
                <w:rFonts w:ascii="Times New Roman" w:hAnsi="Times New Roman"/>
                <w:sz w:val="26"/>
                <w:szCs w:val="26"/>
              </w:rPr>
              <w:t xml:space="preserve"> un</w:t>
            </w:r>
          </w:p>
          <w:p w14:paraId="1C98A556" w14:textId="6E05420E" w:rsidR="00BA7B4E" w:rsidRPr="006A73C3" w:rsidRDefault="0068333B" w:rsidP="0068333B">
            <w:pPr>
              <w:pStyle w:val="ListParagraph"/>
              <w:numPr>
                <w:ilvl w:val="0"/>
                <w:numId w:val="4"/>
              </w:numPr>
              <w:spacing w:after="0" w:line="240" w:lineRule="auto"/>
              <w:jc w:val="both"/>
              <w:rPr>
                <w:rFonts w:ascii="Times New Roman" w:hAnsi="Times New Roman"/>
                <w:sz w:val="26"/>
                <w:szCs w:val="26"/>
              </w:rPr>
            </w:pPr>
            <w:r w:rsidRPr="006A73C3">
              <w:rPr>
                <w:rStyle w:val="Strong"/>
                <w:rFonts w:ascii="Times New Roman" w:eastAsia="Calibri" w:hAnsi="Times New Roman" w:cs="Times New Roman"/>
                <w:b w:val="0"/>
                <w:bCs w:val="0"/>
                <w:sz w:val="26"/>
                <w:szCs w:val="26"/>
              </w:rPr>
              <w:lastRenderedPageBreak/>
              <w:t>„</w:t>
            </w:r>
            <w:r w:rsidRPr="006A73C3">
              <w:rPr>
                <w:rFonts w:ascii="Times New Roman" w:hAnsi="Times New Roman" w:cs="Times New Roman"/>
                <w:color w:val="000000"/>
                <w:sz w:val="26"/>
                <w:szCs w:val="26"/>
              </w:rPr>
              <w:t>Pedagogu profesionālās darbības kvalitātes novērtēšanas kārtība</w:t>
            </w:r>
            <w:r w:rsidRPr="006A73C3">
              <w:rPr>
                <w:rFonts w:ascii="Times New Roman" w:eastAsia="Calibri" w:hAnsi="Times New Roman" w:cs="Times New Roman"/>
                <w:bCs/>
                <w:sz w:val="26"/>
                <w:szCs w:val="26"/>
              </w:rPr>
              <w:t>”</w:t>
            </w:r>
            <w:r w:rsidRPr="006A73C3">
              <w:rPr>
                <w:rFonts w:ascii="Times New Roman" w:hAnsi="Times New Roman" w:cs="Times New Roman"/>
                <w:color w:val="000000"/>
                <w:sz w:val="26"/>
                <w:szCs w:val="26"/>
              </w:rPr>
              <w:t xml:space="preserve"> (</w:t>
            </w:r>
            <w:r w:rsidR="00E8543F" w:rsidRPr="006A73C3">
              <w:rPr>
                <w:rFonts w:ascii="Times New Roman" w:hAnsi="Times New Roman"/>
                <w:color w:val="2A2A2A"/>
                <w:sz w:val="26"/>
                <w:szCs w:val="26"/>
              </w:rPr>
              <w:t xml:space="preserve">Izsludināts VSS 13.04.2014.prot Nr.10 </w:t>
            </w:r>
            <w:bookmarkStart w:id="11" w:name="12"/>
            <w:r w:rsidR="00E8543F" w:rsidRPr="006A73C3">
              <w:rPr>
                <w:rFonts w:ascii="Times New Roman" w:hAnsi="Times New Roman"/>
                <w:sz w:val="26"/>
                <w:szCs w:val="26"/>
              </w:rPr>
              <w:t>12.§</w:t>
            </w:r>
            <w:bookmarkEnd w:id="11"/>
            <w:r w:rsidRPr="006A73C3">
              <w:rPr>
                <w:rFonts w:ascii="Times New Roman" w:hAnsi="Times New Roman" w:cs="Times New Roman"/>
                <w:color w:val="000000"/>
                <w:sz w:val="26"/>
                <w:szCs w:val="26"/>
              </w:rPr>
              <w:t>).</w:t>
            </w:r>
          </w:p>
        </w:tc>
      </w:tr>
      <w:tr w:rsidR="00117B82" w:rsidRPr="006A73C3" w14:paraId="52007669" w14:textId="77777777" w:rsidTr="008E25A6">
        <w:trPr>
          <w:jc w:val="center"/>
        </w:trPr>
        <w:tc>
          <w:tcPr>
            <w:tcW w:w="149" w:type="pct"/>
            <w:tcBorders>
              <w:top w:val="outset" w:sz="6" w:space="0" w:color="414142"/>
              <w:left w:val="outset" w:sz="6" w:space="0" w:color="414142"/>
              <w:bottom w:val="outset" w:sz="6" w:space="0" w:color="414142"/>
              <w:right w:val="outset" w:sz="6" w:space="0" w:color="414142"/>
            </w:tcBorders>
            <w:hideMark/>
          </w:tcPr>
          <w:p w14:paraId="03E6270A" w14:textId="77777777" w:rsidR="00FC1995" w:rsidRPr="006A73C3" w:rsidRDefault="00FC1995" w:rsidP="006132EB">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lastRenderedPageBreak/>
              <w:t>2.</w:t>
            </w:r>
          </w:p>
        </w:tc>
        <w:tc>
          <w:tcPr>
            <w:tcW w:w="1385" w:type="pct"/>
            <w:tcBorders>
              <w:top w:val="outset" w:sz="6" w:space="0" w:color="414142"/>
              <w:left w:val="outset" w:sz="6" w:space="0" w:color="414142"/>
              <w:bottom w:val="outset" w:sz="6" w:space="0" w:color="414142"/>
              <w:right w:val="outset" w:sz="6" w:space="0" w:color="414142"/>
            </w:tcBorders>
            <w:hideMark/>
          </w:tcPr>
          <w:p w14:paraId="2F746C1F" w14:textId="77777777" w:rsidR="00FC1995" w:rsidRPr="006A73C3" w:rsidRDefault="00FC1995" w:rsidP="006132EB">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Atbildīgā institūcija</w:t>
            </w:r>
          </w:p>
        </w:tc>
        <w:tc>
          <w:tcPr>
            <w:tcW w:w="3466" w:type="pct"/>
            <w:tcBorders>
              <w:top w:val="outset" w:sz="6" w:space="0" w:color="414142"/>
              <w:left w:val="outset" w:sz="6" w:space="0" w:color="414142"/>
              <w:bottom w:val="outset" w:sz="6" w:space="0" w:color="414142"/>
              <w:right w:val="outset" w:sz="6" w:space="0" w:color="414142"/>
            </w:tcBorders>
            <w:hideMark/>
          </w:tcPr>
          <w:p w14:paraId="2064B1A9" w14:textId="77777777" w:rsidR="00FC1995" w:rsidRPr="006A73C3" w:rsidRDefault="00FC1995" w:rsidP="006132EB">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 xml:space="preserve">Izglītības un zinātnes ministrija </w:t>
            </w:r>
          </w:p>
        </w:tc>
      </w:tr>
      <w:tr w:rsidR="00117B82" w:rsidRPr="006A73C3" w14:paraId="776115AD" w14:textId="77777777" w:rsidTr="008E25A6">
        <w:trPr>
          <w:jc w:val="center"/>
        </w:trPr>
        <w:tc>
          <w:tcPr>
            <w:tcW w:w="149" w:type="pct"/>
            <w:tcBorders>
              <w:top w:val="outset" w:sz="6" w:space="0" w:color="414142"/>
              <w:left w:val="outset" w:sz="6" w:space="0" w:color="414142"/>
              <w:bottom w:val="outset" w:sz="6" w:space="0" w:color="414142"/>
              <w:right w:val="outset" w:sz="6" w:space="0" w:color="414142"/>
            </w:tcBorders>
            <w:hideMark/>
          </w:tcPr>
          <w:p w14:paraId="76CB8810" w14:textId="77777777" w:rsidR="00FC1995" w:rsidRPr="006A73C3" w:rsidRDefault="00FC1995" w:rsidP="006132EB">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3.</w:t>
            </w:r>
          </w:p>
        </w:tc>
        <w:tc>
          <w:tcPr>
            <w:tcW w:w="1385" w:type="pct"/>
            <w:tcBorders>
              <w:top w:val="outset" w:sz="6" w:space="0" w:color="414142"/>
              <w:left w:val="outset" w:sz="6" w:space="0" w:color="414142"/>
              <w:bottom w:val="outset" w:sz="6" w:space="0" w:color="414142"/>
              <w:right w:val="outset" w:sz="6" w:space="0" w:color="414142"/>
            </w:tcBorders>
            <w:hideMark/>
          </w:tcPr>
          <w:p w14:paraId="792FB98E" w14:textId="77777777" w:rsidR="00FC1995" w:rsidRPr="006A73C3" w:rsidRDefault="00FC1995" w:rsidP="006132EB">
            <w:pPr>
              <w:spacing w:after="0" w:line="240" w:lineRule="auto"/>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Cita informācija</w:t>
            </w:r>
          </w:p>
        </w:tc>
        <w:tc>
          <w:tcPr>
            <w:tcW w:w="3466" w:type="pct"/>
            <w:tcBorders>
              <w:top w:val="outset" w:sz="6" w:space="0" w:color="414142"/>
              <w:left w:val="outset" w:sz="6" w:space="0" w:color="414142"/>
              <w:bottom w:val="outset" w:sz="6" w:space="0" w:color="414142"/>
              <w:right w:val="outset" w:sz="6" w:space="0" w:color="414142"/>
            </w:tcBorders>
            <w:hideMark/>
          </w:tcPr>
          <w:p w14:paraId="36EE8495" w14:textId="77777777" w:rsidR="00FC1995" w:rsidRPr="006A73C3" w:rsidRDefault="00FC1995" w:rsidP="006132EB">
            <w:pPr>
              <w:spacing w:before="100" w:beforeAutospacing="1" w:after="100" w:afterAutospacing="1" w:line="293" w:lineRule="atLeast"/>
              <w:rPr>
                <w:rFonts w:ascii="Times New Roman" w:eastAsia="Times New Roman" w:hAnsi="Times New Roman" w:cs="Times New Roman"/>
                <w:sz w:val="26"/>
                <w:szCs w:val="26"/>
                <w:lang w:eastAsia="lv-LV"/>
              </w:rPr>
            </w:pPr>
            <w:r w:rsidRPr="006A73C3">
              <w:rPr>
                <w:rFonts w:ascii="Times New Roman" w:eastAsia="Times New Roman" w:hAnsi="Times New Roman" w:cs="Times New Roman"/>
                <w:sz w:val="26"/>
                <w:szCs w:val="26"/>
                <w:lang w:eastAsia="lv-LV"/>
              </w:rPr>
              <w:t>Nav</w:t>
            </w:r>
          </w:p>
        </w:tc>
      </w:tr>
    </w:tbl>
    <w:p w14:paraId="62898DF9" w14:textId="77777777" w:rsidR="00FC1995" w:rsidRPr="006A73C3" w:rsidRDefault="00FC1995" w:rsidP="008C2B1F">
      <w:pPr>
        <w:pStyle w:val="naisf"/>
        <w:spacing w:before="0" w:after="0"/>
        <w:ind w:firstLine="567"/>
        <w:rPr>
          <w:i/>
          <w:sz w:val="26"/>
          <w:szCs w:val="26"/>
        </w:rPr>
      </w:pPr>
    </w:p>
    <w:tbl>
      <w:tblPr>
        <w:tblW w:w="581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0"/>
        <w:gridCol w:w="5588"/>
      </w:tblGrid>
      <w:tr w:rsidR="00FC1995" w:rsidRPr="00117B82" w14:paraId="102703EF" w14:textId="77777777" w:rsidTr="00E86396">
        <w:trPr>
          <w:trHeight w:val="375"/>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2187AAC" w14:textId="77777777" w:rsidR="00FC1995" w:rsidRPr="00117B82" w:rsidRDefault="00FC1995" w:rsidP="006132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A73C3">
              <w:rPr>
                <w:rFonts w:ascii="Arial" w:eastAsia="Times New Roman" w:hAnsi="Arial" w:cs="Arial"/>
                <w:sz w:val="26"/>
                <w:szCs w:val="26"/>
                <w:lang w:eastAsia="lv-LV"/>
              </w:rPr>
              <w:t> </w:t>
            </w:r>
            <w:r w:rsidRPr="006A73C3">
              <w:rPr>
                <w:rFonts w:ascii="Times New Roman" w:eastAsia="Times New Roman" w:hAnsi="Times New Roman" w:cs="Times New Roman"/>
                <w:b/>
                <w:bCs/>
                <w:sz w:val="26"/>
                <w:szCs w:val="26"/>
                <w:lang w:eastAsia="lv-LV"/>
              </w:rPr>
              <w:t>VII. Tiesību akta projekta izpildes nodrošināšana un tās ietekme uz institūcijām</w:t>
            </w:r>
          </w:p>
        </w:tc>
      </w:tr>
      <w:tr w:rsidR="00FC1995" w:rsidRPr="00117B82" w14:paraId="39B76EDF" w14:textId="77777777" w:rsidTr="00E86396">
        <w:trPr>
          <w:trHeight w:val="420"/>
          <w:jc w:val="center"/>
        </w:trPr>
        <w:tc>
          <w:tcPr>
            <w:tcW w:w="2101" w:type="pct"/>
            <w:tcBorders>
              <w:top w:val="outset" w:sz="6" w:space="0" w:color="414142"/>
              <w:left w:val="outset" w:sz="6" w:space="0" w:color="414142"/>
              <w:bottom w:val="outset" w:sz="6" w:space="0" w:color="414142"/>
              <w:right w:val="outset" w:sz="6" w:space="0" w:color="414142"/>
            </w:tcBorders>
            <w:hideMark/>
          </w:tcPr>
          <w:p w14:paraId="43CEAD6F" w14:textId="77777777"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414142"/>
              <w:left w:val="outset" w:sz="6" w:space="0" w:color="414142"/>
              <w:bottom w:val="outset" w:sz="6" w:space="0" w:color="414142"/>
              <w:right w:val="outset" w:sz="6" w:space="0" w:color="414142"/>
            </w:tcBorders>
            <w:hideMark/>
          </w:tcPr>
          <w:p w14:paraId="6AE04B58" w14:textId="77777777" w:rsidR="00FC1995" w:rsidRPr="00117B82" w:rsidRDefault="00FC199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 xml:space="preserve">Izglītības un zinātnes ministrija, </w:t>
            </w:r>
            <w:r w:rsidRPr="00117B82">
              <w:rPr>
                <w:rFonts w:ascii="Times New Roman" w:hAnsi="Times New Roman" w:cs="Times New Roman"/>
                <w:sz w:val="26"/>
                <w:szCs w:val="26"/>
              </w:rPr>
              <w:t>novadu un republikas pilsētu pašvaldības.</w:t>
            </w:r>
          </w:p>
        </w:tc>
      </w:tr>
      <w:tr w:rsidR="00FC1995" w:rsidRPr="00117B82" w14:paraId="1119B85A" w14:textId="77777777" w:rsidTr="00E86396">
        <w:trPr>
          <w:trHeight w:val="450"/>
          <w:jc w:val="center"/>
        </w:trPr>
        <w:tc>
          <w:tcPr>
            <w:tcW w:w="2101" w:type="pct"/>
            <w:tcBorders>
              <w:top w:val="outset" w:sz="6" w:space="0" w:color="414142"/>
              <w:left w:val="outset" w:sz="6" w:space="0" w:color="414142"/>
              <w:bottom w:val="outset" w:sz="6" w:space="0" w:color="414142"/>
              <w:right w:val="outset" w:sz="6" w:space="0" w:color="414142"/>
            </w:tcBorders>
            <w:hideMark/>
          </w:tcPr>
          <w:p w14:paraId="4D253D3F" w14:textId="77777777" w:rsidR="00FC1995" w:rsidRPr="00117B82" w:rsidRDefault="00FC199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Projekta izpildes ietekme uz pārvaldes funkcijām un institucionālo struktūru.</w:t>
            </w:r>
          </w:p>
          <w:p w14:paraId="28AB8ABB" w14:textId="77777777" w:rsidR="00FC1995" w:rsidRPr="00117B82" w:rsidRDefault="00FC1995" w:rsidP="00E86396">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99" w:type="pct"/>
            <w:tcBorders>
              <w:top w:val="outset" w:sz="6" w:space="0" w:color="414142"/>
              <w:left w:val="outset" w:sz="6" w:space="0" w:color="414142"/>
              <w:bottom w:val="outset" w:sz="6" w:space="0" w:color="414142"/>
              <w:right w:val="outset" w:sz="6" w:space="0" w:color="414142"/>
            </w:tcBorders>
            <w:hideMark/>
          </w:tcPr>
          <w:p w14:paraId="57F5F08A" w14:textId="46A25903" w:rsidR="00FC1995" w:rsidRPr="00117B82" w:rsidRDefault="00FC1995" w:rsidP="00E86396">
            <w:pPr>
              <w:spacing w:after="0" w:line="240" w:lineRule="auto"/>
              <w:jc w:val="both"/>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 xml:space="preserve">Projekts šo jomu neskar </w:t>
            </w:r>
            <w:r w:rsidR="003C6277">
              <w:rPr>
                <w:rFonts w:ascii="Times New Roman" w:eastAsia="Times New Roman" w:hAnsi="Times New Roman" w:cs="Times New Roman"/>
                <w:sz w:val="26"/>
                <w:szCs w:val="26"/>
                <w:lang w:eastAsia="lv-LV"/>
              </w:rPr>
              <w:t>.</w:t>
            </w:r>
          </w:p>
        </w:tc>
      </w:tr>
      <w:tr w:rsidR="00FC1995" w:rsidRPr="00117B82" w14:paraId="2220EC7B" w14:textId="77777777" w:rsidTr="00E86396">
        <w:trPr>
          <w:trHeight w:val="390"/>
          <w:jc w:val="center"/>
        </w:trPr>
        <w:tc>
          <w:tcPr>
            <w:tcW w:w="2101" w:type="pct"/>
            <w:tcBorders>
              <w:top w:val="outset" w:sz="6" w:space="0" w:color="414142"/>
              <w:left w:val="outset" w:sz="6" w:space="0" w:color="414142"/>
              <w:bottom w:val="outset" w:sz="6" w:space="0" w:color="414142"/>
              <w:right w:val="outset" w:sz="6" w:space="0" w:color="414142"/>
            </w:tcBorders>
            <w:hideMark/>
          </w:tcPr>
          <w:p w14:paraId="22C1FC7C" w14:textId="77777777" w:rsidR="00FC1995" w:rsidRPr="00117B82" w:rsidRDefault="00FC1995" w:rsidP="006132EB">
            <w:pPr>
              <w:spacing w:after="0" w:line="240" w:lineRule="auto"/>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Cita informācija</w:t>
            </w:r>
          </w:p>
        </w:tc>
        <w:tc>
          <w:tcPr>
            <w:tcW w:w="2899" w:type="pct"/>
            <w:tcBorders>
              <w:top w:val="outset" w:sz="6" w:space="0" w:color="414142"/>
              <w:left w:val="outset" w:sz="6" w:space="0" w:color="414142"/>
              <w:bottom w:val="outset" w:sz="6" w:space="0" w:color="414142"/>
              <w:right w:val="outset" w:sz="6" w:space="0" w:color="414142"/>
            </w:tcBorders>
            <w:hideMark/>
          </w:tcPr>
          <w:p w14:paraId="06FFE5D6" w14:textId="77777777" w:rsidR="00FC1995" w:rsidRPr="00117B82" w:rsidRDefault="00FC1995" w:rsidP="006132EB">
            <w:pPr>
              <w:spacing w:before="100" w:beforeAutospacing="1" w:after="100" w:afterAutospacing="1" w:line="293" w:lineRule="atLeast"/>
              <w:rPr>
                <w:rFonts w:ascii="Times New Roman" w:eastAsia="Times New Roman" w:hAnsi="Times New Roman" w:cs="Times New Roman"/>
                <w:sz w:val="26"/>
                <w:szCs w:val="26"/>
                <w:lang w:eastAsia="lv-LV"/>
              </w:rPr>
            </w:pPr>
            <w:r w:rsidRPr="00117B82">
              <w:rPr>
                <w:rFonts w:ascii="Times New Roman" w:eastAsia="Times New Roman" w:hAnsi="Times New Roman" w:cs="Times New Roman"/>
                <w:sz w:val="26"/>
                <w:szCs w:val="26"/>
                <w:lang w:eastAsia="lv-LV"/>
              </w:rPr>
              <w:t>Nav</w:t>
            </w:r>
          </w:p>
        </w:tc>
      </w:tr>
    </w:tbl>
    <w:p w14:paraId="641CE4D3" w14:textId="77777777" w:rsidR="00FC1995" w:rsidRPr="00117B82" w:rsidRDefault="00FC1995" w:rsidP="008C2B1F">
      <w:pPr>
        <w:pStyle w:val="naisf"/>
        <w:spacing w:before="0" w:after="0"/>
        <w:ind w:firstLine="567"/>
        <w:rPr>
          <w:i/>
          <w:sz w:val="26"/>
          <w:szCs w:val="26"/>
        </w:rPr>
      </w:pPr>
    </w:p>
    <w:p w14:paraId="4383710E" w14:textId="77777777" w:rsidR="008C2B1F" w:rsidRPr="00117B82" w:rsidRDefault="008C2B1F" w:rsidP="008C2B1F">
      <w:pPr>
        <w:pStyle w:val="naisf"/>
        <w:spacing w:before="0" w:after="0"/>
        <w:ind w:firstLine="567"/>
        <w:rPr>
          <w:i/>
          <w:sz w:val="26"/>
          <w:szCs w:val="26"/>
        </w:rPr>
      </w:pPr>
      <w:r w:rsidRPr="00117B82">
        <w:rPr>
          <w:i/>
          <w:sz w:val="26"/>
          <w:szCs w:val="26"/>
        </w:rPr>
        <w:t xml:space="preserve">Anotācijas  </w:t>
      </w:r>
      <w:r w:rsidR="00EE0C22" w:rsidRPr="00117B82">
        <w:rPr>
          <w:i/>
          <w:sz w:val="26"/>
          <w:szCs w:val="26"/>
        </w:rPr>
        <w:t xml:space="preserve"> </w:t>
      </w:r>
      <w:r w:rsidRPr="00117B82">
        <w:rPr>
          <w:i/>
          <w:sz w:val="26"/>
          <w:szCs w:val="26"/>
        </w:rPr>
        <w:t>V un VI sadaļa – projekts šīs jomas neskar.</w:t>
      </w:r>
    </w:p>
    <w:p w14:paraId="24951056" w14:textId="77777777" w:rsidR="008C2B1F" w:rsidRPr="00117B82" w:rsidRDefault="008C2B1F" w:rsidP="00F95248">
      <w:pPr>
        <w:rPr>
          <w:sz w:val="26"/>
          <w:szCs w:val="26"/>
        </w:rPr>
      </w:pPr>
    </w:p>
    <w:p w14:paraId="05A07C73" w14:textId="77777777" w:rsidR="0098651A" w:rsidRPr="00117B82" w:rsidRDefault="0098651A" w:rsidP="00417D8C">
      <w:pPr>
        <w:ind w:firstLine="567"/>
        <w:rPr>
          <w:rFonts w:ascii="Times New Roman" w:hAnsi="Times New Roman" w:cs="Times New Roman"/>
          <w:sz w:val="26"/>
          <w:szCs w:val="26"/>
        </w:rPr>
      </w:pPr>
      <w:r w:rsidRPr="00117B82">
        <w:rPr>
          <w:rFonts w:ascii="Times New Roman" w:hAnsi="Times New Roman" w:cs="Times New Roman"/>
          <w:sz w:val="26"/>
          <w:szCs w:val="26"/>
        </w:rPr>
        <w:t xml:space="preserve">Izglītības un zinātnes ministre        </w:t>
      </w:r>
      <w:r w:rsidR="00117B82" w:rsidRPr="00117B82">
        <w:rPr>
          <w:rFonts w:ascii="Times New Roman" w:hAnsi="Times New Roman" w:cs="Times New Roman"/>
          <w:sz w:val="26"/>
          <w:szCs w:val="26"/>
        </w:rPr>
        <w:t xml:space="preserve">                             </w:t>
      </w:r>
      <w:r w:rsidRPr="00117B82">
        <w:rPr>
          <w:rFonts w:ascii="Times New Roman" w:hAnsi="Times New Roman" w:cs="Times New Roman"/>
          <w:sz w:val="26"/>
          <w:szCs w:val="26"/>
        </w:rPr>
        <w:t xml:space="preserve">    </w:t>
      </w:r>
      <w:r w:rsidR="00117B82" w:rsidRPr="00117B82">
        <w:rPr>
          <w:rFonts w:ascii="Times New Roman" w:hAnsi="Times New Roman" w:cs="Times New Roman"/>
          <w:sz w:val="26"/>
          <w:szCs w:val="26"/>
        </w:rPr>
        <w:t>I.Druviete</w:t>
      </w:r>
      <w:r w:rsidRPr="00117B82">
        <w:rPr>
          <w:rFonts w:ascii="Times New Roman" w:hAnsi="Times New Roman" w:cs="Times New Roman"/>
          <w:sz w:val="26"/>
          <w:szCs w:val="26"/>
        </w:rPr>
        <w:t xml:space="preserve">                                       </w:t>
      </w:r>
      <w:r w:rsidRPr="00117B82">
        <w:rPr>
          <w:rFonts w:ascii="Times New Roman" w:hAnsi="Times New Roman" w:cs="Times New Roman"/>
          <w:sz w:val="26"/>
          <w:szCs w:val="26"/>
        </w:rPr>
        <w:tab/>
      </w:r>
      <w:r w:rsidRPr="00117B82">
        <w:rPr>
          <w:rFonts w:ascii="Times New Roman" w:hAnsi="Times New Roman" w:cs="Times New Roman"/>
          <w:sz w:val="26"/>
          <w:szCs w:val="26"/>
        </w:rPr>
        <w:tab/>
      </w:r>
      <w:r w:rsidRPr="00117B82">
        <w:rPr>
          <w:rFonts w:ascii="Times New Roman" w:hAnsi="Times New Roman" w:cs="Times New Roman"/>
          <w:sz w:val="26"/>
          <w:szCs w:val="26"/>
        </w:rPr>
        <w:tab/>
        <w:t xml:space="preserve">                                   </w:t>
      </w:r>
    </w:p>
    <w:p w14:paraId="4B018EA9" w14:textId="30B0991A" w:rsidR="00BF0666" w:rsidRPr="003C6277" w:rsidRDefault="0098651A" w:rsidP="003C6277">
      <w:pPr>
        <w:ind w:firstLine="567"/>
        <w:rPr>
          <w:rFonts w:ascii="Times New Roman" w:hAnsi="Times New Roman" w:cs="Times New Roman"/>
          <w:sz w:val="26"/>
          <w:szCs w:val="26"/>
        </w:rPr>
      </w:pPr>
      <w:r w:rsidRPr="00117B82">
        <w:rPr>
          <w:rFonts w:ascii="Times New Roman" w:hAnsi="Times New Roman" w:cs="Times New Roman"/>
          <w:sz w:val="26"/>
          <w:szCs w:val="26"/>
        </w:rPr>
        <w:t>Vīz</w:t>
      </w:r>
      <w:r w:rsidR="00117B82" w:rsidRPr="00117B82">
        <w:rPr>
          <w:rFonts w:ascii="Times New Roman" w:hAnsi="Times New Roman" w:cs="Times New Roman"/>
          <w:sz w:val="26"/>
          <w:szCs w:val="26"/>
        </w:rPr>
        <w:t>ē</w:t>
      </w:r>
      <w:r w:rsidRPr="00117B82">
        <w:rPr>
          <w:rFonts w:ascii="Times New Roman" w:hAnsi="Times New Roman" w:cs="Times New Roman"/>
          <w:sz w:val="26"/>
          <w:szCs w:val="26"/>
        </w:rPr>
        <w:t xml:space="preserve">:  Valsts sekretāre                        </w:t>
      </w:r>
      <w:r w:rsidR="00117B82" w:rsidRPr="00117B82">
        <w:rPr>
          <w:rFonts w:ascii="Times New Roman" w:hAnsi="Times New Roman" w:cs="Times New Roman"/>
          <w:sz w:val="26"/>
          <w:szCs w:val="26"/>
        </w:rPr>
        <w:t xml:space="preserve">                      </w:t>
      </w:r>
      <w:r w:rsidRPr="00117B82">
        <w:rPr>
          <w:rFonts w:ascii="Times New Roman" w:hAnsi="Times New Roman" w:cs="Times New Roman"/>
          <w:sz w:val="26"/>
          <w:szCs w:val="26"/>
        </w:rPr>
        <w:t xml:space="preserve">       </w:t>
      </w:r>
      <w:r w:rsidR="00117B82" w:rsidRPr="00117B82">
        <w:rPr>
          <w:rFonts w:ascii="Times New Roman" w:hAnsi="Times New Roman" w:cs="Times New Roman"/>
          <w:sz w:val="26"/>
          <w:szCs w:val="26"/>
        </w:rPr>
        <w:t>S.Liepiņa</w:t>
      </w:r>
      <w:r w:rsidR="003C6277">
        <w:rPr>
          <w:rFonts w:ascii="Times New Roman" w:hAnsi="Times New Roman" w:cs="Times New Roman"/>
          <w:sz w:val="26"/>
          <w:szCs w:val="26"/>
        </w:rPr>
        <w:t xml:space="preserve">                          </w:t>
      </w:r>
    </w:p>
    <w:p w14:paraId="15CABB85" w14:textId="77777777" w:rsidR="00BF0666" w:rsidRDefault="00BF0666" w:rsidP="0098651A">
      <w:pPr>
        <w:spacing w:after="0" w:line="240" w:lineRule="auto"/>
        <w:jc w:val="both"/>
        <w:rPr>
          <w:rFonts w:ascii="Times New Roman" w:hAnsi="Times New Roman" w:cs="Times New Roman"/>
          <w:sz w:val="20"/>
          <w:szCs w:val="20"/>
        </w:rPr>
      </w:pPr>
    </w:p>
    <w:p w14:paraId="1D8893CB" w14:textId="77777777" w:rsidR="00BF0666" w:rsidRDefault="00BF0666" w:rsidP="0098651A">
      <w:pPr>
        <w:spacing w:after="0" w:line="240" w:lineRule="auto"/>
        <w:jc w:val="both"/>
        <w:rPr>
          <w:rFonts w:ascii="Times New Roman" w:hAnsi="Times New Roman" w:cs="Times New Roman"/>
          <w:sz w:val="20"/>
          <w:szCs w:val="20"/>
        </w:rPr>
      </w:pPr>
    </w:p>
    <w:p w14:paraId="716477DA" w14:textId="77777777" w:rsidR="003C6277" w:rsidRDefault="003C6277" w:rsidP="0098651A">
      <w:pPr>
        <w:spacing w:after="0" w:line="240" w:lineRule="auto"/>
        <w:jc w:val="both"/>
        <w:rPr>
          <w:rFonts w:ascii="Times New Roman" w:hAnsi="Times New Roman" w:cs="Times New Roman"/>
          <w:sz w:val="20"/>
          <w:szCs w:val="20"/>
        </w:rPr>
      </w:pPr>
    </w:p>
    <w:p w14:paraId="3656DB76" w14:textId="77777777" w:rsidR="003C6277" w:rsidRDefault="003C6277" w:rsidP="0098651A">
      <w:pPr>
        <w:spacing w:after="0" w:line="240" w:lineRule="auto"/>
        <w:jc w:val="both"/>
        <w:rPr>
          <w:rFonts w:ascii="Times New Roman" w:hAnsi="Times New Roman" w:cs="Times New Roman"/>
          <w:sz w:val="20"/>
          <w:szCs w:val="20"/>
        </w:rPr>
      </w:pPr>
    </w:p>
    <w:p w14:paraId="3D2DFBAF" w14:textId="77777777" w:rsidR="003C6277" w:rsidRDefault="003C6277" w:rsidP="0098651A">
      <w:pPr>
        <w:spacing w:after="0" w:line="240" w:lineRule="auto"/>
        <w:jc w:val="both"/>
        <w:rPr>
          <w:rFonts w:ascii="Times New Roman" w:hAnsi="Times New Roman" w:cs="Times New Roman"/>
          <w:sz w:val="20"/>
          <w:szCs w:val="20"/>
        </w:rPr>
      </w:pPr>
    </w:p>
    <w:p w14:paraId="281D3CCC" w14:textId="77777777" w:rsidR="003C6277" w:rsidRDefault="003C6277" w:rsidP="0098651A">
      <w:pPr>
        <w:spacing w:after="0" w:line="240" w:lineRule="auto"/>
        <w:jc w:val="both"/>
        <w:rPr>
          <w:rFonts w:ascii="Times New Roman" w:hAnsi="Times New Roman" w:cs="Times New Roman"/>
          <w:sz w:val="20"/>
          <w:szCs w:val="20"/>
        </w:rPr>
      </w:pPr>
    </w:p>
    <w:p w14:paraId="04B217E2" w14:textId="77777777" w:rsidR="003C6277" w:rsidRDefault="003C6277" w:rsidP="0098651A">
      <w:pPr>
        <w:spacing w:after="0" w:line="240" w:lineRule="auto"/>
        <w:jc w:val="both"/>
        <w:rPr>
          <w:rFonts w:ascii="Times New Roman" w:hAnsi="Times New Roman" w:cs="Times New Roman"/>
          <w:sz w:val="20"/>
          <w:szCs w:val="20"/>
        </w:rPr>
      </w:pPr>
    </w:p>
    <w:p w14:paraId="3F4AEE4D" w14:textId="77777777" w:rsidR="003C6277" w:rsidRDefault="003C6277" w:rsidP="0098651A">
      <w:pPr>
        <w:spacing w:after="0" w:line="240" w:lineRule="auto"/>
        <w:jc w:val="both"/>
        <w:rPr>
          <w:rFonts w:ascii="Times New Roman" w:hAnsi="Times New Roman" w:cs="Times New Roman"/>
          <w:sz w:val="20"/>
          <w:szCs w:val="20"/>
        </w:rPr>
      </w:pPr>
    </w:p>
    <w:p w14:paraId="38A4D877" w14:textId="77777777" w:rsidR="003C6277" w:rsidRDefault="003C6277" w:rsidP="0098651A">
      <w:pPr>
        <w:spacing w:after="0" w:line="240" w:lineRule="auto"/>
        <w:jc w:val="both"/>
        <w:rPr>
          <w:rFonts w:ascii="Times New Roman" w:hAnsi="Times New Roman" w:cs="Times New Roman"/>
          <w:sz w:val="20"/>
          <w:szCs w:val="20"/>
        </w:rPr>
      </w:pPr>
    </w:p>
    <w:p w14:paraId="27111490" w14:textId="77777777" w:rsidR="003C6277" w:rsidRDefault="003C6277" w:rsidP="0098651A">
      <w:pPr>
        <w:spacing w:after="0" w:line="240" w:lineRule="auto"/>
        <w:jc w:val="both"/>
        <w:rPr>
          <w:rFonts w:ascii="Times New Roman" w:hAnsi="Times New Roman" w:cs="Times New Roman"/>
          <w:sz w:val="20"/>
          <w:szCs w:val="20"/>
        </w:rPr>
      </w:pPr>
    </w:p>
    <w:p w14:paraId="554EAF27" w14:textId="77777777" w:rsidR="003C6277" w:rsidRDefault="003C6277" w:rsidP="0098651A">
      <w:pPr>
        <w:spacing w:after="0" w:line="240" w:lineRule="auto"/>
        <w:jc w:val="both"/>
        <w:rPr>
          <w:rFonts w:ascii="Times New Roman" w:hAnsi="Times New Roman" w:cs="Times New Roman"/>
          <w:sz w:val="20"/>
          <w:szCs w:val="20"/>
        </w:rPr>
      </w:pPr>
      <w:bookmarkStart w:id="12" w:name="_GoBack"/>
      <w:bookmarkEnd w:id="12"/>
    </w:p>
    <w:p w14:paraId="1B9A883F" w14:textId="77777777" w:rsidR="00BF0666" w:rsidRDefault="00BF0666" w:rsidP="0098651A">
      <w:pPr>
        <w:spacing w:after="0" w:line="240" w:lineRule="auto"/>
        <w:jc w:val="both"/>
        <w:rPr>
          <w:rFonts w:ascii="Times New Roman" w:hAnsi="Times New Roman" w:cs="Times New Roman"/>
          <w:sz w:val="20"/>
          <w:szCs w:val="20"/>
        </w:rPr>
      </w:pPr>
    </w:p>
    <w:p w14:paraId="4B3877C7" w14:textId="62239B3E" w:rsidR="0098651A" w:rsidRPr="00117B82" w:rsidRDefault="00A56D5B" w:rsidP="009865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471E59" w:rsidRPr="00117B82">
        <w:rPr>
          <w:rFonts w:ascii="Times New Roman" w:hAnsi="Times New Roman" w:cs="Times New Roman"/>
          <w:sz w:val="20"/>
          <w:szCs w:val="20"/>
        </w:rPr>
        <w:t>.0</w:t>
      </w:r>
      <w:r>
        <w:rPr>
          <w:rFonts w:ascii="Times New Roman" w:hAnsi="Times New Roman" w:cs="Times New Roman"/>
          <w:sz w:val="20"/>
          <w:szCs w:val="20"/>
        </w:rPr>
        <w:t>6</w:t>
      </w:r>
      <w:r w:rsidR="00471E59" w:rsidRPr="00117B82">
        <w:rPr>
          <w:rFonts w:ascii="Times New Roman" w:hAnsi="Times New Roman" w:cs="Times New Roman"/>
          <w:sz w:val="20"/>
          <w:szCs w:val="20"/>
        </w:rPr>
        <w:t>.2014 1</w:t>
      </w:r>
      <w:r w:rsidR="00774B31">
        <w:rPr>
          <w:rFonts w:ascii="Times New Roman" w:hAnsi="Times New Roman" w:cs="Times New Roman"/>
          <w:sz w:val="20"/>
          <w:szCs w:val="20"/>
        </w:rPr>
        <w:t>6</w:t>
      </w:r>
      <w:r w:rsidR="0098651A" w:rsidRPr="00117B82">
        <w:rPr>
          <w:rFonts w:ascii="Times New Roman" w:hAnsi="Times New Roman" w:cs="Times New Roman"/>
          <w:sz w:val="20"/>
          <w:szCs w:val="20"/>
        </w:rPr>
        <w:t>:11</w:t>
      </w:r>
    </w:p>
    <w:p w14:paraId="5057EBB4" w14:textId="5F3A61BF" w:rsidR="00AC4D59" w:rsidRPr="00117B82" w:rsidRDefault="00907202" w:rsidP="00AC4D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C6277">
        <w:rPr>
          <w:rFonts w:ascii="Times New Roman" w:hAnsi="Times New Roman" w:cs="Times New Roman"/>
          <w:sz w:val="20"/>
          <w:szCs w:val="20"/>
        </w:rPr>
        <w:t>88</w:t>
      </w:r>
      <w:r w:rsidR="006A73C3">
        <w:rPr>
          <w:rFonts w:ascii="Times New Roman" w:hAnsi="Times New Roman" w:cs="Times New Roman"/>
          <w:sz w:val="20"/>
          <w:szCs w:val="20"/>
        </w:rPr>
        <w:t>8</w:t>
      </w:r>
    </w:p>
    <w:p w14:paraId="57FA2D22" w14:textId="77777777" w:rsidR="0098651A" w:rsidRPr="00117B82" w:rsidRDefault="0098651A" w:rsidP="00AC4D59">
      <w:pPr>
        <w:spacing w:after="0" w:line="240" w:lineRule="auto"/>
        <w:jc w:val="both"/>
        <w:rPr>
          <w:rFonts w:ascii="Times New Roman" w:hAnsi="Times New Roman" w:cs="Times New Roman"/>
          <w:sz w:val="20"/>
          <w:szCs w:val="20"/>
        </w:rPr>
      </w:pPr>
      <w:r w:rsidRPr="00117B82">
        <w:rPr>
          <w:rFonts w:ascii="Times New Roman" w:hAnsi="Times New Roman" w:cs="Times New Roman"/>
          <w:sz w:val="20"/>
          <w:szCs w:val="20"/>
        </w:rPr>
        <w:t>A.Āboliņa</w:t>
      </w:r>
    </w:p>
    <w:p w14:paraId="76AC6BA1" w14:textId="0E379B79" w:rsidR="0098651A" w:rsidRPr="00405DF1" w:rsidRDefault="0098651A" w:rsidP="005455E1">
      <w:pPr>
        <w:spacing w:after="0" w:line="240" w:lineRule="auto"/>
        <w:rPr>
          <w:rFonts w:ascii="Times New Roman" w:hAnsi="Times New Roman" w:cs="Times New Roman"/>
          <w:sz w:val="20"/>
          <w:szCs w:val="20"/>
        </w:rPr>
      </w:pPr>
      <w:r w:rsidRPr="00117B82">
        <w:rPr>
          <w:rFonts w:ascii="Times New Roman" w:hAnsi="Times New Roman" w:cs="Times New Roman"/>
          <w:sz w:val="20"/>
          <w:szCs w:val="20"/>
        </w:rPr>
        <w:t xml:space="preserve">67047930, </w:t>
      </w:r>
      <w:hyperlink r:id="rId7" w:history="1">
        <w:r w:rsidRPr="00117B82">
          <w:rPr>
            <w:rStyle w:val="Hyperlink"/>
            <w:rFonts w:ascii="Times New Roman" w:hAnsi="Times New Roman" w:cs="Times New Roman"/>
            <w:color w:val="auto"/>
            <w:sz w:val="20"/>
            <w:szCs w:val="20"/>
          </w:rPr>
          <w:t>anita.abolina@izm.gov.lv</w:t>
        </w:r>
      </w:hyperlink>
      <w:r w:rsidRPr="00117B82">
        <w:rPr>
          <w:rFonts w:ascii="Times New Roman" w:hAnsi="Times New Roman" w:cs="Times New Roman"/>
          <w:sz w:val="20"/>
          <w:szCs w:val="20"/>
        </w:rPr>
        <w:t>,</w:t>
      </w:r>
    </w:p>
    <w:sectPr w:rsidR="0098651A" w:rsidRPr="00405DF1" w:rsidSect="008E25A6">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40B75" w14:textId="77777777" w:rsidR="00594726" w:rsidRDefault="00594726" w:rsidP="0098651A">
      <w:pPr>
        <w:spacing w:after="0" w:line="240" w:lineRule="auto"/>
      </w:pPr>
      <w:r>
        <w:separator/>
      </w:r>
    </w:p>
  </w:endnote>
  <w:endnote w:type="continuationSeparator" w:id="0">
    <w:p w14:paraId="09666B6F" w14:textId="77777777" w:rsidR="00594726" w:rsidRDefault="00594726"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6C544" w14:textId="6B8557EE" w:rsidR="000B69EA" w:rsidRPr="003C6277" w:rsidRDefault="000B69EA" w:rsidP="00CB6A5E">
    <w:pPr>
      <w:pStyle w:val="Header"/>
      <w:tabs>
        <w:tab w:val="clear" w:pos="4153"/>
        <w:tab w:val="clear" w:pos="8306"/>
      </w:tabs>
      <w:jc w:val="both"/>
      <w:rPr>
        <w:rFonts w:ascii="Times New Roman" w:eastAsia="Calibri" w:hAnsi="Times New Roman" w:cs="Times New Roman"/>
        <w:sz w:val="20"/>
        <w:szCs w:val="20"/>
      </w:rPr>
    </w:pPr>
    <w:r w:rsidRPr="003C6277">
      <w:rPr>
        <w:rFonts w:ascii="Times New Roman" w:hAnsi="Times New Roman" w:cs="Times New Roman"/>
        <w:sz w:val="20"/>
        <w:szCs w:val="20"/>
      </w:rPr>
      <w:t>IZMAnot_</w:t>
    </w:r>
    <w:r w:rsidR="00A56D5B" w:rsidRPr="003C6277">
      <w:rPr>
        <w:rFonts w:ascii="Times New Roman" w:hAnsi="Times New Roman" w:cs="Times New Roman"/>
        <w:sz w:val="20"/>
        <w:szCs w:val="20"/>
      </w:rPr>
      <w:t>09</w:t>
    </w:r>
    <w:r w:rsidR="00556686" w:rsidRPr="003C6277">
      <w:rPr>
        <w:rFonts w:ascii="Times New Roman" w:hAnsi="Times New Roman" w:cs="Times New Roman"/>
        <w:sz w:val="20"/>
        <w:szCs w:val="20"/>
      </w:rPr>
      <w:t>0</w:t>
    </w:r>
    <w:r w:rsidR="00A56D5B" w:rsidRPr="003C6277">
      <w:rPr>
        <w:rFonts w:ascii="Times New Roman" w:hAnsi="Times New Roman" w:cs="Times New Roman"/>
        <w:sz w:val="20"/>
        <w:szCs w:val="20"/>
      </w:rPr>
      <w:t>6</w:t>
    </w:r>
    <w:r w:rsidRPr="003C6277">
      <w:rPr>
        <w:rFonts w:ascii="Times New Roman" w:hAnsi="Times New Roman" w:cs="Times New Roman"/>
        <w:sz w:val="20"/>
        <w:szCs w:val="20"/>
      </w:rPr>
      <w:t>14_</w:t>
    </w:r>
    <w:r w:rsidR="00774B31" w:rsidRPr="003C6277">
      <w:rPr>
        <w:rFonts w:ascii="Times New Roman" w:hAnsi="Times New Roman" w:cs="Times New Roman"/>
        <w:sz w:val="20"/>
        <w:szCs w:val="20"/>
      </w:rPr>
      <w:t>g</w:t>
    </w:r>
    <w:r w:rsidRPr="003C6277">
      <w:rPr>
        <w:rFonts w:ascii="Times New Roman" w:hAnsi="Times New Roman" w:cs="Times New Roman"/>
        <w:sz w:val="20"/>
        <w:szCs w:val="20"/>
      </w:rPr>
      <w:t xml:space="preserve">roz1616; </w:t>
    </w:r>
    <w:bookmarkStart w:id="13" w:name="OLE_LINK9"/>
    <w:bookmarkStart w:id="14" w:name="OLE_LINK10"/>
    <w:r w:rsidRPr="003C6277">
      <w:rPr>
        <w:rFonts w:ascii="Times New Roman" w:hAnsi="Times New Roman" w:cs="Times New Roman"/>
        <w:sz w:val="20"/>
        <w:szCs w:val="20"/>
      </w:rPr>
      <w:t xml:space="preserv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w:t>
    </w:r>
    <w:r w:rsidRPr="003C6277">
      <w:rPr>
        <w:rFonts w:ascii="Times New Roman" w:eastAsia="Calibri" w:hAnsi="Times New Roman" w:cs="Times New Roman"/>
        <w:sz w:val="20"/>
        <w:szCs w:val="20"/>
      </w:rPr>
      <w:t xml:space="preserve">ietekmes novērtējuma </w:t>
    </w:r>
    <w:smartTag w:uri="schemas-tilde-lv/tildestengine" w:element="veidnes">
      <w:smartTagPr>
        <w:attr w:name="id" w:val="-1"/>
        <w:attr w:name="baseform" w:val="ziņojums"/>
        <w:attr w:name="text" w:val="ziņojums"/>
      </w:smartTagPr>
      <w:r w:rsidRPr="003C6277">
        <w:rPr>
          <w:rFonts w:ascii="Times New Roman" w:eastAsia="Calibri" w:hAnsi="Times New Roman" w:cs="Times New Roman"/>
          <w:sz w:val="20"/>
          <w:szCs w:val="20"/>
        </w:rPr>
        <w:t>ziņojums</w:t>
      </w:r>
    </w:smartTag>
    <w:r w:rsidRPr="003C6277">
      <w:rPr>
        <w:rFonts w:ascii="Times New Roman" w:eastAsia="Calibri" w:hAnsi="Times New Roman" w:cs="Times New Roman"/>
        <w:sz w:val="20"/>
        <w:szCs w:val="20"/>
      </w:rPr>
      <w:t xml:space="preserve"> (anotācija)</w:t>
    </w:r>
  </w:p>
  <w:bookmarkEnd w:id="13"/>
  <w:bookmarkEnd w:id="14"/>
  <w:p w14:paraId="4F6A78DA" w14:textId="77777777" w:rsidR="000B69EA" w:rsidRPr="0098651A" w:rsidRDefault="000B69EA" w:rsidP="0098651A">
    <w:pPr>
      <w:pStyle w:val="Footer"/>
      <w:jc w:val="both"/>
      <w:rPr>
        <w:rFonts w:ascii="Times New Roman" w:hAnsi="Times New Roman" w:cs="Times New Roman"/>
        <w:sz w:val="24"/>
        <w:szCs w:val="24"/>
      </w:rPr>
    </w:pPr>
  </w:p>
  <w:p w14:paraId="42AB1C8C" w14:textId="77777777" w:rsidR="000B69EA" w:rsidRDefault="000B6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BD97" w14:textId="6ABD8763" w:rsidR="000B69EA" w:rsidRPr="003C6277" w:rsidRDefault="00117B82" w:rsidP="00B00F9A">
    <w:pPr>
      <w:pStyle w:val="Header"/>
      <w:tabs>
        <w:tab w:val="clear" w:pos="4153"/>
        <w:tab w:val="clear" w:pos="8306"/>
      </w:tabs>
      <w:jc w:val="both"/>
      <w:rPr>
        <w:rFonts w:ascii="Times New Roman" w:eastAsia="Calibri" w:hAnsi="Times New Roman" w:cs="Times New Roman"/>
        <w:sz w:val="20"/>
        <w:szCs w:val="20"/>
      </w:rPr>
    </w:pPr>
    <w:r w:rsidRPr="003C6277">
      <w:rPr>
        <w:rFonts w:ascii="Times New Roman" w:hAnsi="Times New Roman" w:cs="Times New Roman"/>
        <w:sz w:val="20"/>
        <w:szCs w:val="20"/>
      </w:rPr>
      <w:t>IZMAnot_</w:t>
    </w:r>
    <w:r w:rsidR="00A56D5B" w:rsidRPr="003C6277">
      <w:rPr>
        <w:rFonts w:ascii="Times New Roman" w:hAnsi="Times New Roman" w:cs="Times New Roman"/>
        <w:sz w:val="20"/>
        <w:szCs w:val="20"/>
      </w:rPr>
      <w:t>09</w:t>
    </w:r>
    <w:r w:rsidR="00556686" w:rsidRPr="003C6277">
      <w:rPr>
        <w:rFonts w:ascii="Times New Roman" w:hAnsi="Times New Roman" w:cs="Times New Roman"/>
        <w:sz w:val="20"/>
        <w:szCs w:val="20"/>
      </w:rPr>
      <w:t>0</w:t>
    </w:r>
    <w:r w:rsidR="00A56D5B" w:rsidRPr="003C6277">
      <w:rPr>
        <w:rFonts w:ascii="Times New Roman" w:hAnsi="Times New Roman" w:cs="Times New Roman"/>
        <w:sz w:val="20"/>
        <w:szCs w:val="20"/>
      </w:rPr>
      <w:t>6</w:t>
    </w:r>
    <w:r w:rsidR="000B69EA" w:rsidRPr="003C6277">
      <w:rPr>
        <w:rFonts w:ascii="Times New Roman" w:hAnsi="Times New Roman" w:cs="Times New Roman"/>
        <w:sz w:val="20"/>
        <w:szCs w:val="20"/>
      </w:rPr>
      <w:t>14_</w:t>
    </w:r>
    <w:r w:rsidR="00774B31" w:rsidRPr="003C6277">
      <w:rPr>
        <w:rFonts w:ascii="Times New Roman" w:hAnsi="Times New Roman" w:cs="Times New Roman"/>
        <w:sz w:val="20"/>
        <w:szCs w:val="20"/>
      </w:rPr>
      <w:t>g</w:t>
    </w:r>
    <w:r w:rsidR="000B69EA" w:rsidRPr="003C6277">
      <w:rPr>
        <w:rFonts w:ascii="Times New Roman" w:hAnsi="Times New Roman" w:cs="Times New Roman"/>
        <w:sz w:val="20"/>
        <w:szCs w:val="20"/>
      </w:rPr>
      <w:t xml:space="preserve">roz1616; 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w:t>
    </w:r>
    <w:r w:rsidR="000B69EA" w:rsidRPr="003C6277">
      <w:rPr>
        <w:rFonts w:ascii="Times New Roman" w:eastAsia="Calibri" w:hAnsi="Times New Roman" w:cs="Times New Roman"/>
        <w:sz w:val="20"/>
        <w:szCs w:val="20"/>
      </w:rPr>
      <w:t xml:space="preserve">ietekmes novērtējuma </w:t>
    </w:r>
    <w:smartTag w:uri="schemas-tilde-lv/tildestengine" w:element="veidnes">
      <w:smartTagPr>
        <w:attr w:name="id" w:val="-1"/>
        <w:attr w:name="baseform" w:val="ziņojums"/>
        <w:attr w:name="text" w:val="ziņojums"/>
      </w:smartTagPr>
      <w:r w:rsidR="000B69EA" w:rsidRPr="003C6277">
        <w:rPr>
          <w:rFonts w:ascii="Times New Roman" w:eastAsia="Calibri" w:hAnsi="Times New Roman" w:cs="Times New Roman"/>
          <w:sz w:val="20"/>
          <w:szCs w:val="20"/>
        </w:rPr>
        <w:t>ziņojums</w:t>
      </w:r>
    </w:smartTag>
    <w:r w:rsidR="000B69EA" w:rsidRPr="003C6277">
      <w:rPr>
        <w:rFonts w:ascii="Times New Roman" w:eastAsia="Calibri" w:hAnsi="Times New Roman" w:cs="Times New Roman"/>
        <w:sz w:val="20"/>
        <w:szCs w:val="20"/>
      </w:rPr>
      <w:t xml:space="preserve"> (anotācija)</w:t>
    </w:r>
  </w:p>
  <w:p w14:paraId="0E520068" w14:textId="77777777" w:rsidR="000B69EA" w:rsidRDefault="000B69EA">
    <w:pPr>
      <w:pStyle w:val="Footer"/>
    </w:pPr>
  </w:p>
  <w:p w14:paraId="7AE6523F" w14:textId="77777777" w:rsidR="000B69EA" w:rsidRDefault="000B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66218" w14:textId="77777777" w:rsidR="00594726" w:rsidRDefault="00594726" w:rsidP="0098651A">
      <w:pPr>
        <w:spacing w:after="0" w:line="240" w:lineRule="auto"/>
      </w:pPr>
      <w:r>
        <w:separator/>
      </w:r>
    </w:p>
  </w:footnote>
  <w:footnote w:type="continuationSeparator" w:id="0">
    <w:p w14:paraId="352CB474" w14:textId="77777777" w:rsidR="00594726" w:rsidRDefault="00594726"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sdtContent>
      <w:p w14:paraId="449611EE" w14:textId="77777777" w:rsidR="000B69EA" w:rsidRDefault="000B69EA">
        <w:pPr>
          <w:pStyle w:val="Header"/>
          <w:jc w:val="center"/>
        </w:pPr>
        <w:r>
          <w:fldChar w:fldCharType="begin"/>
        </w:r>
        <w:r>
          <w:instrText xml:space="preserve"> PAGE   \* MERGEFORMAT </w:instrText>
        </w:r>
        <w:r>
          <w:fldChar w:fldCharType="separate"/>
        </w:r>
        <w:r w:rsidR="006A73C3">
          <w:rPr>
            <w:noProof/>
          </w:rPr>
          <w:t>12</w:t>
        </w:r>
        <w:r>
          <w:rPr>
            <w:noProof/>
          </w:rPr>
          <w:fldChar w:fldCharType="end"/>
        </w:r>
      </w:p>
    </w:sdtContent>
  </w:sdt>
  <w:p w14:paraId="4C3AA503" w14:textId="77777777" w:rsidR="000B69EA" w:rsidRDefault="000B6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77149"/>
    <w:multiLevelType w:val="hybridMultilevel"/>
    <w:tmpl w:val="D0584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680D"/>
    <w:rsid w:val="0002573C"/>
    <w:rsid w:val="00030C06"/>
    <w:rsid w:val="0003533C"/>
    <w:rsid w:val="000368C4"/>
    <w:rsid w:val="00063E84"/>
    <w:rsid w:val="000660C3"/>
    <w:rsid w:val="00074D78"/>
    <w:rsid w:val="00082E4E"/>
    <w:rsid w:val="000A7055"/>
    <w:rsid w:val="000B386D"/>
    <w:rsid w:val="000B69EA"/>
    <w:rsid w:val="000C3497"/>
    <w:rsid w:val="000D499D"/>
    <w:rsid w:val="000F7887"/>
    <w:rsid w:val="001001EF"/>
    <w:rsid w:val="00113D17"/>
    <w:rsid w:val="00117B82"/>
    <w:rsid w:val="00117E35"/>
    <w:rsid w:val="0012402C"/>
    <w:rsid w:val="00125F3A"/>
    <w:rsid w:val="001277E1"/>
    <w:rsid w:val="0014120C"/>
    <w:rsid w:val="0015151D"/>
    <w:rsid w:val="00154699"/>
    <w:rsid w:val="00164D27"/>
    <w:rsid w:val="00167678"/>
    <w:rsid w:val="00176344"/>
    <w:rsid w:val="00180D34"/>
    <w:rsid w:val="00196446"/>
    <w:rsid w:val="00196C11"/>
    <w:rsid w:val="001B45C9"/>
    <w:rsid w:val="001E1522"/>
    <w:rsid w:val="00205DF8"/>
    <w:rsid w:val="0024333C"/>
    <w:rsid w:val="002864F9"/>
    <w:rsid w:val="002A0F4A"/>
    <w:rsid w:val="002C0276"/>
    <w:rsid w:val="002C0DC1"/>
    <w:rsid w:val="002C1E69"/>
    <w:rsid w:val="002D3C84"/>
    <w:rsid w:val="002F270E"/>
    <w:rsid w:val="00326B3A"/>
    <w:rsid w:val="00361BC3"/>
    <w:rsid w:val="003661BD"/>
    <w:rsid w:val="003860A0"/>
    <w:rsid w:val="003954F2"/>
    <w:rsid w:val="003A188C"/>
    <w:rsid w:val="003A529F"/>
    <w:rsid w:val="003C2A33"/>
    <w:rsid w:val="003C6277"/>
    <w:rsid w:val="003E3C5D"/>
    <w:rsid w:val="003F4268"/>
    <w:rsid w:val="004014DD"/>
    <w:rsid w:val="00405B2D"/>
    <w:rsid w:val="00405DF1"/>
    <w:rsid w:val="00417D8C"/>
    <w:rsid w:val="00423741"/>
    <w:rsid w:val="00445B06"/>
    <w:rsid w:val="004568DB"/>
    <w:rsid w:val="00457F1A"/>
    <w:rsid w:val="00457FB7"/>
    <w:rsid w:val="0046101A"/>
    <w:rsid w:val="00463A6B"/>
    <w:rsid w:val="00471E59"/>
    <w:rsid w:val="004B009D"/>
    <w:rsid w:val="004C1D96"/>
    <w:rsid w:val="004E21B5"/>
    <w:rsid w:val="004F6154"/>
    <w:rsid w:val="00514935"/>
    <w:rsid w:val="00526CFE"/>
    <w:rsid w:val="005415B0"/>
    <w:rsid w:val="005455E1"/>
    <w:rsid w:val="0054699A"/>
    <w:rsid w:val="00546B26"/>
    <w:rsid w:val="00556686"/>
    <w:rsid w:val="0059231D"/>
    <w:rsid w:val="00594726"/>
    <w:rsid w:val="005F2CD6"/>
    <w:rsid w:val="005F6922"/>
    <w:rsid w:val="00601626"/>
    <w:rsid w:val="0060204E"/>
    <w:rsid w:val="006132EB"/>
    <w:rsid w:val="00624DC3"/>
    <w:rsid w:val="006556B2"/>
    <w:rsid w:val="006645C7"/>
    <w:rsid w:val="0068333B"/>
    <w:rsid w:val="0069413F"/>
    <w:rsid w:val="00695B9E"/>
    <w:rsid w:val="006A26FE"/>
    <w:rsid w:val="006A73C3"/>
    <w:rsid w:val="006D1BA2"/>
    <w:rsid w:val="006E5ADD"/>
    <w:rsid w:val="006F123D"/>
    <w:rsid w:val="00702DEA"/>
    <w:rsid w:val="00733BCC"/>
    <w:rsid w:val="0073566F"/>
    <w:rsid w:val="00735746"/>
    <w:rsid w:val="007369F4"/>
    <w:rsid w:val="00755DA9"/>
    <w:rsid w:val="007602DC"/>
    <w:rsid w:val="00762B3D"/>
    <w:rsid w:val="00774B31"/>
    <w:rsid w:val="00797022"/>
    <w:rsid w:val="0079740F"/>
    <w:rsid w:val="007B165A"/>
    <w:rsid w:val="007B59D6"/>
    <w:rsid w:val="007E2D71"/>
    <w:rsid w:val="008374D7"/>
    <w:rsid w:val="00840040"/>
    <w:rsid w:val="008442BC"/>
    <w:rsid w:val="008443A8"/>
    <w:rsid w:val="008551C8"/>
    <w:rsid w:val="00873CD3"/>
    <w:rsid w:val="00883B0F"/>
    <w:rsid w:val="008848C4"/>
    <w:rsid w:val="00887EBE"/>
    <w:rsid w:val="00891B9D"/>
    <w:rsid w:val="008A5547"/>
    <w:rsid w:val="008C2B1F"/>
    <w:rsid w:val="008C2E05"/>
    <w:rsid w:val="008C36DE"/>
    <w:rsid w:val="008D6852"/>
    <w:rsid w:val="008E25A6"/>
    <w:rsid w:val="008F5329"/>
    <w:rsid w:val="00902B05"/>
    <w:rsid w:val="00907202"/>
    <w:rsid w:val="009132DF"/>
    <w:rsid w:val="009152D4"/>
    <w:rsid w:val="00921AAE"/>
    <w:rsid w:val="00942440"/>
    <w:rsid w:val="0095022A"/>
    <w:rsid w:val="0096010E"/>
    <w:rsid w:val="0098651A"/>
    <w:rsid w:val="009A4D7F"/>
    <w:rsid w:val="009B509B"/>
    <w:rsid w:val="009C1662"/>
    <w:rsid w:val="00A13E3C"/>
    <w:rsid w:val="00A5207C"/>
    <w:rsid w:val="00A5656B"/>
    <w:rsid w:val="00A56D5B"/>
    <w:rsid w:val="00A57B89"/>
    <w:rsid w:val="00A75C92"/>
    <w:rsid w:val="00A821B7"/>
    <w:rsid w:val="00AC4D59"/>
    <w:rsid w:val="00B00F9A"/>
    <w:rsid w:val="00B21AD6"/>
    <w:rsid w:val="00B26CA4"/>
    <w:rsid w:val="00B53B7D"/>
    <w:rsid w:val="00B6194B"/>
    <w:rsid w:val="00B644EA"/>
    <w:rsid w:val="00B67901"/>
    <w:rsid w:val="00B77578"/>
    <w:rsid w:val="00B8071B"/>
    <w:rsid w:val="00B85763"/>
    <w:rsid w:val="00B85E57"/>
    <w:rsid w:val="00BA7B4E"/>
    <w:rsid w:val="00BC307F"/>
    <w:rsid w:val="00BF0666"/>
    <w:rsid w:val="00BF5A64"/>
    <w:rsid w:val="00C14AB8"/>
    <w:rsid w:val="00C223EE"/>
    <w:rsid w:val="00C2326E"/>
    <w:rsid w:val="00C24C31"/>
    <w:rsid w:val="00C36EF5"/>
    <w:rsid w:val="00C47425"/>
    <w:rsid w:val="00C54D3E"/>
    <w:rsid w:val="00C611C6"/>
    <w:rsid w:val="00CB4C0D"/>
    <w:rsid w:val="00CB6A5E"/>
    <w:rsid w:val="00CC01C4"/>
    <w:rsid w:val="00CD11FF"/>
    <w:rsid w:val="00D17D4A"/>
    <w:rsid w:val="00D35350"/>
    <w:rsid w:val="00D644DD"/>
    <w:rsid w:val="00D73AE0"/>
    <w:rsid w:val="00D93BD4"/>
    <w:rsid w:val="00D95272"/>
    <w:rsid w:val="00DB02F0"/>
    <w:rsid w:val="00DB2980"/>
    <w:rsid w:val="00DD6A94"/>
    <w:rsid w:val="00E01925"/>
    <w:rsid w:val="00E37264"/>
    <w:rsid w:val="00E373A4"/>
    <w:rsid w:val="00E44CFD"/>
    <w:rsid w:val="00E75EA2"/>
    <w:rsid w:val="00E81A4A"/>
    <w:rsid w:val="00E8543F"/>
    <w:rsid w:val="00E86396"/>
    <w:rsid w:val="00EC45A3"/>
    <w:rsid w:val="00ED1C85"/>
    <w:rsid w:val="00ED6770"/>
    <w:rsid w:val="00EE0C22"/>
    <w:rsid w:val="00EE23E9"/>
    <w:rsid w:val="00EF5E0D"/>
    <w:rsid w:val="00F073EE"/>
    <w:rsid w:val="00F25044"/>
    <w:rsid w:val="00F254BC"/>
    <w:rsid w:val="00F3739A"/>
    <w:rsid w:val="00F41E11"/>
    <w:rsid w:val="00F4402A"/>
    <w:rsid w:val="00F53308"/>
    <w:rsid w:val="00F55010"/>
    <w:rsid w:val="00F95248"/>
    <w:rsid w:val="00FB04B2"/>
    <w:rsid w:val="00FB42FB"/>
    <w:rsid w:val="00FB498D"/>
    <w:rsid w:val="00FC1171"/>
    <w:rsid w:val="00FC1995"/>
    <w:rsid w:val="00FF114B"/>
    <w:rsid w:val="00FF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045397"/>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68333B"/>
    <w:pPr>
      <w:ind w:left="720"/>
      <w:contextualSpacing/>
    </w:pPr>
  </w:style>
  <w:style w:type="character" w:customStyle="1" w:styleId="spelle">
    <w:name w:val="spelle"/>
    <w:basedOn w:val="DefaultParagraphFont"/>
    <w:rsid w:val="003C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abolin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15435</Words>
  <Characters>8799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24186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Anita Āboliņa
tālr.67047930
anita.abolina@izm.gov.lv</dc:description>
  <cp:lastModifiedBy>Anita Āboliņa</cp:lastModifiedBy>
  <cp:revision>2</cp:revision>
  <cp:lastPrinted>2014-03-06T11:21:00Z</cp:lastPrinted>
  <dcterms:created xsi:type="dcterms:W3CDTF">2014-06-13T09:23:00Z</dcterms:created>
  <dcterms:modified xsi:type="dcterms:W3CDTF">2014-06-13T09:23:00Z</dcterms:modified>
</cp:coreProperties>
</file>