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72427" w:rsidRDefault="00136D87" w:rsidP="005D6B8A">
      <w:pPr>
        <w:jc w:val="center"/>
        <w:rPr>
          <w:b/>
          <w:sz w:val="25"/>
          <w:szCs w:val="25"/>
        </w:rPr>
      </w:pPr>
      <w:bookmarkStart w:id="0" w:name="OLE_LINK3"/>
      <w:bookmarkStart w:id="1" w:name="OLE_LINK4"/>
      <w:bookmarkStart w:id="2" w:name="OLE_LINK1"/>
      <w:r w:rsidRPr="00672427">
        <w:rPr>
          <w:b/>
          <w:sz w:val="25"/>
          <w:szCs w:val="25"/>
        </w:rPr>
        <w:t>M</w:t>
      </w:r>
      <w:r w:rsidR="005D6B8A" w:rsidRPr="00672427">
        <w:rPr>
          <w:b/>
          <w:sz w:val="25"/>
          <w:szCs w:val="25"/>
        </w:rPr>
        <w:t>inistru kabineta rīkojuma projekta</w:t>
      </w:r>
    </w:p>
    <w:p w:rsidR="00585B7B" w:rsidRPr="00672427" w:rsidRDefault="00DC03E0" w:rsidP="00DC03E0">
      <w:pPr>
        <w:pStyle w:val="BodyText"/>
        <w:jc w:val="center"/>
        <w:rPr>
          <w:b/>
          <w:sz w:val="25"/>
          <w:szCs w:val="25"/>
        </w:rPr>
      </w:pPr>
      <w:r w:rsidRPr="00672427">
        <w:rPr>
          <w:b/>
          <w:sz w:val="25"/>
          <w:szCs w:val="25"/>
        </w:rPr>
        <w:t>“</w:t>
      </w:r>
      <w:r w:rsidR="00372574" w:rsidRPr="00372574">
        <w:rPr>
          <w:b/>
          <w:sz w:val="25"/>
          <w:szCs w:val="25"/>
        </w:rPr>
        <w:t>Grozījumi Ministru kabineta 2014.gada 18.augusta rīkojumā Nr.430 “Par Murjāņu sporta ģimnāzijas esošo būvju rekonstrukcijas un multifunkcionālas slēgtas sporta manēžas būvniecības projekta īstenošanai 2014.gadā paredzēto valsts budžeta līdzekļu pārdali”</w:t>
      </w:r>
      <w:r w:rsidR="00020664" w:rsidRPr="00672427">
        <w:rPr>
          <w:b/>
          <w:sz w:val="25"/>
          <w:szCs w:val="25"/>
        </w:rPr>
        <w:t xml:space="preserve">” </w:t>
      </w:r>
      <w:r w:rsidR="00585B7B" w:rsidRPr="00672427">
        <w:rPr>
          <w:b/>
          <w:sz w:val="25"/>
          <w:szCs w:val="25"/>
        </w:rPr>
        <w:t xml:space="preserve">sākotnējās ietekmes novērtējuma </w:t>
      </w:r>
      <w:smartTag w:uri="schemas-tilde-lv/tildestengine" w:element="veidnes">
        <w:smartTagPr>
          <w:attr w:name="id" w:val="-1"/>
          <w:attr w:name="baseform" w:val="ziņojums"/>
          <w:attr w:name="text" w:val="ziņojums"/>
        </w:smartTagPr>
        <w:r w:rsidR="00585B7B" w:rsidRPr="00672427">
          <w:rPr>
            <w:b/>
            <w:sz w:val="25"/>
            <w:szCs w:val="25"/>
          </w:rPr>
          <w:t>ziņojums</w:t>
        </w:r>
      </w:smartTag>
      <w:r w:rsidR="00585B7B" w:rsidRPr="00672427">
        <w:rPr>
          <w:b/>
          <w:sz w:val="25"/>
          <w:szCs w:val="25"/>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941"/>
      </w:tblGrid>
      <w:tr w:rsidR="00585B7B" w:rsidRPr="00672427" w:rsidTr="00662C4D">
        <w:tc>
          <w:tcPr>
            <w:tcW w:w="10197" w:type="dxa"/>
            <w:gridSpan w:val="3"/>
            <w:vAlign w:val="center"/>
          </w:tcPr>
          <w:bookmarkEnd w:id="0"/>
          <w:bookmarkEnd w:id="1"/>
          <w:bookmarkEnd w:id="2"/>
          <w:p w:rsidR="00585B7B" w:rsidRPr="00672427" w:rsidRDefault="00585B7B" w:rsidP="00194A0F">
            <w:pPr>
              <w:pStyle w:val="naisnod"/>
              <w:spacing w:before="0" w:after="0"/>
              <w:rPr>
                <w:sz w:val="25"/>
                <w:szCs w:val="25"/>
              </w:rPr>
            </w:pPr>
            <w:r w:rsidRPr="00672427">
              <w:rPr>
                <w:sz w:val="25"/>
                <w:szCs w:val="25"/>
              </w:rPr>
              <w:t>I. Tiesību akta projekta izstrādes nepieciešamība</w:t>
            </w:r>
          </w:p>
        </w:tc>
      </w:tr>
      <w:tr w:rsidR="00585B7B" w:rsidRPr="00672427" w:rsidTr="00672427">
        <w:trPr>
          <w:trHeight w:val="630"/>
        </w:trPr>
        <w:tc>
          <w:tcPr>
            <w:tcW w:w="562" w:type="dxa"/>
          </w:tcPr>
          <w:p w:rsidR="00585B7B" w:rsidRPr="00672427" w:rsidRDefault="00585B7B" w:rsidP="00BD696A">
            <w:pPr>
              <w:pStyle w:val="naiskr"/>
              <w:spacing w:before="0" w:after="0"/>
              <w:jc w:val="center"/>
              <w:rPr>
                <w:sz w:val="25"/>
                <w:szCs w:val="25"/>
              </w:rPr>
            </w:pPr>
            <w:r w:rsidRPr="00672427">
              <w:rPr>
                <w:sz w:val="25"/>
                <w:szCs w:val="25"/>
              </w:rPr>
              <w:t>1.</w:t>
            </w:r>
          </w:p>
        </w:tc>
        <w:tc>
          <w:tcPr>
            <w:tcW w:w="2694" w:type="dxa"/>
          </w:tcPr>
          <w:p w:rsidR="00585B7B" w:rsidRPr="00672427" w:rsidRDefault="00585B7B" w:rsidP="00916055">
            <w:pPr>
              <w:pStyle w:val="naiskr"/>
              <w:spacing w:before="0" w:after="0"/>
              <w:ind w:left="141" w:hanging="10"/>
              <w:rPr>
                <w:sz w:val="25"/>
                <w:szCs w:val="25"/>
              </w:rPr>
            </w:pPr>
            <w:r w:rsidRPr="00672427">
              <w:rPr>
                <w:sz w:val="25"/>
                <w:szCs w:val="25"/>
              </w:rPr>
              <w:t>Pamatojums</w:t>
            </w:r>
          </w:p>
        </w:tc>
        <w:tc>
          <w:tcPr>
            <w:tcW w:w="6941" w:type="dxa"/>
          </w:tcPr>
          <w:p w:rsidR="00952A5A" w:rsidRDefault="00952A5A" w:rsidP="00952A5A">
            <w:pPr>
              <w:pStyle w:val="ListParagraph"/>
              <w:numPr>
                <w:ilvl w:val="0"/>
                <w:numId w:val="18"/>
              </w:numPr>
              <w:ind w:right="127"/>
              <w:jc w:val="both"/>
              <w:rPr>
                <w:sz w:val="25"/>
                <w:szCs w:val="25"/>
              </w:rPr>
            </w:pPr>
            <w:r>
              <w:rPr>
                <w:sz w:val="25"/>
                <w:szCs w:val="25"/>
              </w:rPr>
              <w:t>Ministru kabineta 2014.gada 10.novembra ārkārtas sēdes protokollēmumā (prot.Nr.61 28</w:t>
            </w:r>
            <w:r w:rsidRPr="00203DDF">
              <w:rPr>
                <w:sz w:val="25"/>
                <w:szCs w:val="25"/>
              </w:rPr>
              <w:t>.§</w:t>
            </w:r>
            <w:r>
              <w:rPr>
                <w:sz w:val="25"/>
                <w:szCs w:val="25"/>
              </w:rPr>
              <w:t>, 15.punkts) Izglītības un zinātnes ministrijai (turpmāk – mi</w:t>
            </w:r>
            <w:r w:rsidR="00747D0F">
              <w:rPr>
                <w:sz w:val="25"/>
                <w:szCs w:val="25"/>
              </w:rPr>
              <w:t>nistrija) dotā uzdevuma izpilde.</w:t>
            </w:r>
          </w:p>
          <w:p w:rsidR="00952A5A" w:rsidRDefault="00952A5A" w:rsidP="00952A5A">
            <w:pPr>
              <w:pStyle w:val="ListParagraph"/>
              <w:numPr>
                <w:ilvl w:val="0"/>
                <w:numId w:val="18"/>
              </w:numPr>
              <w:ind w:right="127"/>
              <w:jc w:val="both"/>
              <w:rPr>
                <w:sz w:val="25"/>
                <w:szCs w:val="25"/>
              </w:rPr>
            </w:pPr>
            <w:r>
              <w:rPr>
                <w:sz w:val="25"/>
                <w:szCs w:val="25"/>
              </w:rPr>
              <w:t>Jautājuma saistība ar ministrijas iesniegtajiem priekšlikumiem likumprojektam “Par valsts budžetu 2015.gadam” un likumprojektam “</w:t>
            </w:r>
            <w:r w:rsidRPr="00166C29">
              <w:rPr>
                <w:sz w:val="25"/>
                <w:szCs w:val="25"/>
              </w:rPr>
              <w:t>Par vidēja termiņa budžeta ietvaru 2015., 2016. un 2017.gadam</w:t>
            </w:r>
            <w:r w:rsidR="00747D0F">
              <w:rPr>
                <w:sz w:val="25"/>
                <w:szCs w:val="25"/>
              </w:rPr>
              <w:t>”.</w:t>
            </w:r>
          </w:p>
          <w:p w:rsidR="00952A5A" w:rsidRDefault="00952A5A" w:rsidP="00952A5A">
            <w:pPr>
              <w:pStyle w:val="ListParagraph"/>
              <w:numPr>
                <w:ilvl w:val="0"/>
                <w:numId w:val="18"/>
              </w:numPr>
              <w:ind w:right="127"/>
              <w:jc w:val="both"/>
              <w:rPr>
                <w:sz w:val="25"/>
                <w:szCs w:val="25"/>
              </w:rPr>
            </w:pPr>
            <w:r>
              <w:rPr>
                <w:sz w:val="25"/>
                <w:szCs w:val="25"/>
              </w:rPr>
              <w:t xml:space="preserve">Nepieciešamība </w:t>
            </w:r>
            <w:r w:rsidRPr="00166C29">
              <w:rPr>
                <w:sz w:val="25"/>
                <w:szCs w:val="25"/>
              </w:rPr>
              <w:t>bez papildu</w:t>
            </w:r>
            <w:r>
              <w:rPr>
                <w:sz w:val="25"/>
                <w:szCs w:val="25"/>
              </w:rPr>
              <w:t>s</w:t>
            </w:r>
            <w:r w:rsidRPr="00166C29">
              <w:rPr>
                <w:sz w:val="25"/>
                <w:szCs w:val="25"/>
              </w:rPr>
              <w:t xml:space="preserve"> valsts budžeta līdzekļu piešķiršanas</w:t>
            </w:r>
            <w:r>
              <w:rPr>
                <w:sz w:val="25"/>
                <w:szCs w:val="25"/>
              </w:rPr>
              <w:t xml:space="preserve"> ministrijas valsts budžeta programmas 09.00.00 “Sports” </w:t>
            </w:r>
            <w:r w:rsidRPr="00166C29">
              <w:rPr>
                <w:sz w:val="25"/>
                <w:szCs w:val="25"/>
              </w:rPr>
              <w:t xml:space="preserve">2015.gada bāzes izdevumu ietvaros nodrošināt valsts funkciju sporta nozarē izpildi nemainīgā līmenī salīdzinājumā ar 2014.gadu, kā arī </w:t>
            </w:r>
            <w:r>
              <w:rPr>
                <w:sz w:val="25"/>
                <w:szCs w:val="25"/>
              </w:rPr>
              <w:t>īstenot citus Ministru kabineta 2014.gada 10.novembra ārkārtas sēdē apstiprinātos (prot.Nr.61 28</w:t>
            </w:r>
            <w:r w:rsidRPr="00203DDF">
              <w:rPr>
                <w:sz w:val="25"/>
                <w:szCs w:val="25"/>
              </w:rPr>
              <w:t>.§</w:t>
            </w:r>
            <w:r>
              <w:rPr>
                <w:sz w:val="25"/>
                <w:szCs w:val="25"/>
              </w:rPr>
              <w:t>, 14.punkts) sporta nozares prioritāros pasākumus.</w:t>
            </w:r>
            <w:r w:rsidRPr="00166C29">
              <w:rPr>
                <w:sz w:val="25"/>
                <w:szCs w:val="25"/>
              </w:rPr>
              <w:t xml:space="preserve"> </w:t>
            </w:r>
          </w:p>
          <w:p w:rsidR="00DB5F80" w:rsidRDefault="00DB5F80" w:rsidP="00DB5F80">
            <w:pPr>
              <w:pStyle w:val="ListParagraph"/>
              <w:numPr>
                <w:ilvl w:val="0"/>
                <w:numId w:val="18"/>
              </w:numPr>
              <w:ind w:right="127"/>
              <w:jc w:val="both"/>
              <w:rPr>
                <w:sz w:val="25"/>
                <w:szCs w:val="25"/>
              </w:rPr>
            </w:pPr>
            <w:r w:rsidRPr="00DB5F80">
              <w:rPr>
                <w:sz w:val="25"/>
                <w:szCs w:val="25"/>
              </w:rPr>
              <w:t xml:space="preserve">Nepieciešamība nodrošināt </w:t>
            </w:r>
            <w:r>
              <w:rPr>
                <w:sz w:val="25"/>
                <w:szCs w:val="25"/>
              </w:rPr>
              <w:t xml:space="preserve">sporta nozares programmām un pasākumiem </w:t>
            </w:r>
            <w:r w:rsidRPr="00DB5F80">
              <w:rPr>
                <w:sz w:val="25"/>
                <w:szCs w:val="25"/>
              </w:rPr>
              <w:t>2015.gadā plānoto piešķiramo līdzekļu apmēra atbilstību 2015.gadā faktiski paredzēto līdzekļu apmēram.</w:t>
            </w:r>
          </w:p>
          <w:p w:rsidR="00466E6C" w:rsidRPr="00952A5A" w:rsidRDefault="00FB2022" w:rsidP="00952A5A">
            <w:pPr>
              <w:pStyle w:val="ListParagraph"/>
              <w:numPr>
                <w:ilvl w:val="0"/>
                <w:numId w:val="18"/>
              </w:numPr>
              <w:ind w:right="127"/>
              <w:jc w:val="both"/>
              <w:rPr>
                <w:sz w:val="25"/>
                <w:szCs w:val="25"/>
              </w:rPr>
            </w:pPr>
            <w:r w:rsidRPr="00952A5A">
              <w:rPr>
                <w:sz w:val="25"/>
                <w:szCs w:val="25"/>
              </w:rPr>
              <w:t>Nepieciešamība nodrošināt Latvijas Olimpiskās vienības darbība</w:t>
            </w:r>
            <w:r w:rsidR="006A46E6" w:rsidRPr="00952A5A">
              <w:rPr>
                <w:sz w:val="25"/>
                <w:szCs w:val="25"/>
              </w:rPr>
              <w:t>i</w:t>
            </w:r>
            <w:r w:rsidRPr="00952A5A">
              <w:rPr>
                <w:sz w:val="25"/>
                <w:szCs w:val="25"/>
              </w:rPr>
              <w:t xml:space="preserve"> nepieciešamā Sporta medicīnas centra (R</w:t>
            </w:r>
            <w:r w:rsidR="004E32CD" w:rsidRPr="00952A5A">
              <w:rPr>
                <w:sz w:val="25"/>
                <w:szCs w:val="25"/>
              </w:rPr>
              <w:t xml:space="preserve">oberta </w:t>
            </w:r>
            <w:r w:rsidRPr="00952A5A">
              <w:rPr>
                <w:sz w:val="25"/>
                <w:szCs w:val="25"/>
              </w:rPr>
              <w:t xml:space="preserve">Feldmaņa ielā 11, Rīgā) rekonstrukcijai un aprīkošanai piešķirto valsts budžeta līdzekļu 577 820 </w:t>
            </w:r>
            <w:r w:rsidRPr="00952A5A">
              <w:rPr>
                <w:i/>
                <w:sz w:val="25"/>
                <w:szCs w:val="25"/>
              </w:rPr>
              <w:t>euro</w:t>
            </w:r>
            <w:r w:rsidRPr="00952A5A">
              <w:rPr>
                <w:sz w:val="25"/>
                <w:szCs w:val="25"/>
              </w:rPr>
              <w:t xml:space="preserve"> apmērā izlietošanu atbilstoši tam paredzētam mērķim, vienlaikus nodrošinot līdzekļu apguvi </w:t>
            </w:r>
            <w:r w:rsidR="00DE68BB" w:rsidRPr="00952A5A">
              <w:rPr>
                <w:sz w:val="25"/>
                <w:szCs w:val="25"/>
              </w:rPr>
              <w:t xml:space="preserve">faktiski veikto darbu apmaksai </w:t>
            </w:r>
            <w:r w:rsidRPr="00952A5A">
              <w:rPr>
                <w:sz w:val="25"/>
                <w:szCs w:val="25"/>
              </w:rPr>
              <w:t>līdz 2014.gada 31.decembrim.</w:t>
            </w:r>
            <w:r w:rsidR="005562DC" w:rsidRPr="00952A5A">
              <w:rPr>
                <w:sz w:val="25"/>
                <w:szCs w:val="25"/>
              </w:rPr>
              <w:t xml:space="preserve"> </w:t>
            </w:r>
          </w:p>
        </w:tc>
      </w:tr>
      <w:tr w:rsidR="00585B7B" w:rsidRPr="00672427" w:rsidTr="00672427">
        <w:trPr>
          <w:trHeight w:val="562"/>
        </w:trPr>
        <w:tc>
          <w:tcPr>
            <w:tcW w:w="562" w:type="dxa"/>
          </w:tcPr>
          <w:p w:rsidR="00585B7B" w:rsidRPr="00672427" w:rsidRDefault="00585B7B" w:rsidP="00BD696A">
            <w:pPr>
              <w:pStyle w:val="naiskr"/>
              <w:spacing w:before="0" w:after="0"/>
              <w:jc w:val="center"/>
              <w:rPr>
                <w:sz w:val="25"/>
                <w:szCs w:val="25"/>
              </w:rPr>
            </w:pPr>
            <w:r w:rsidRPr="00672427">
              <w:rPr>
                <w:sz w:val="25"/>
                <w:szCs w:val="25"/>
              </w:rPr>
              <w:t>2.</w:t>
            </w:r>
          </w:p>
        </w:tc>
        <w:tc>
          <w:tcPr>
            <w:tcW w:w="2694" w:type="dxa"/>
          </w:tcPr>
          <w:p w:rsidR="00585B7B" w:rsidRPr="00672427" w:rsidRDefault="00005A9D" w:rsidP="00916055">
            <w:pPr>
              <w:pStyle w:val="naiskr"/>
              <w:tabs>
                <w:tab w:val="left" w:pos="170"/>
              </w:tabs>
              <w:spacing w:before="0" w:after="0"/>
              <w:ind w:left="141"/>
              <w:rPr>
                <w:sz w:val="25"/>
                <w:szCs w:val="25"/>
              </w:rPr>
            </w:pPr>
            <w:r w:rsidRPr="00672427">
              <w:rPr>
                <w:sz w:val="25"/>
                <w:szCs w:val="25"/>
              </w:rPr>
              <w:t>Pašreizējā situācija un problēmas, kuru risināšanai tiesību akta projekts izstrādāts, tiesiskā regulējuma mērķis un būtība</w:t>
            </w:r>
          </w:p>
        </w:tc>
        <w:tc>
          <w:tcPr>
            <w:tcW w:w="6941" w:type="dxa"/>
          </w:tcPr>
          <w:p w:rsidR="00747D0F" w:rsidRPr="00F709D9" w:rsidRDefault="00747D0F" w:rsidP="00747D0F">
            <w:pPr>
              <w:ind w:left="141" w:right="137" w:firstLine="720"/>
              <w:jc w:val="both"/>
              <w:rPr>
                <w:sz w:val="25"/>
                <w:szCs w:val="25"/>
              </w:rPr>
            </w:pPr>
            <w:r w:rsidRPr="00F709D9">
              <w:rPr>
                <w:sz w:val="25"/>
                <w:szCs w:val="25"/>
              </w:rPr>
              <w:t xml:space="preserve">Ņemot vērā faktu, ka ministrijas 2015.gada valsts budžeta programmas 09.00.00 “Sports” bāzes izdevumi </w:t>
            </w:r>
            <w:r>
              <w:rPr>
                <w:sz w:val="25"/>
                <w:szCs w:val="25"/>
              </w:rPr>
              <w:t xml:space="preserve">tika </w:t>
            </w:r>
            <w:r w:rsidRPr="00F709D9">
              <w:rPr>
                <w:sz w:val="25"/>
                <w:szCs w:val="25"/>
              </w:rPr>
              <w:t>noteikti par 3</w:t>
            </w:r>
            <w:r>
              <w:rPr>
                <w:sz w:val="25"/>
                <w:szCs w:val="25"/>
              </w:rPr>
              <w:t>`</w:t>
            </w:r>
            <w:r w:rsidRPr="00F709D9">
              <w:rPr>
                <w:sz w:val="25"/>
                <w:szCs w:val="25"/>
              </w:rPr>
              <w:t>624</w:t>
            </w:r>
            <w:r>
              <w:rPr>
                <w:sz w:val="25"/>
                <w:szCs w:val="25"/>
              </w:rPr>
              <w:t>`</w:t>
            </w:r>
            <w:r w:rsidRPr="00F709D9">
              <w:rPr>
                <w:sz w:val="25"/>
                <w:szCs w:val="25"/>
              </w:rPr>
              <w:t>30</w:t>
            </w:r>
            <w:r w:rsidRPr="00203DDF">
              <w:rPr>
                <w:sz w:val="25"/>
                <w:szCs w:val="25"/>
              </w:rPr>
              <w:t xml:space="preserve">2 </w:t>
            </w:r>
            <w:r w:rsidRPr="00203DDF">
              <w:rPr>
                <w:i/>
                <w:sz w:val="25"/>
                <w:szCs w:val="25"/>
              </w:rPr>
              <w:t>euro</w:t>
            </w:r>
            <w:r w:rsidRPr="00203DDF">
              <w:rPr>
                <w:sz w:val="25"/>
                <w:szCs w:val="25"/>
              </w:rPr>
              <w:t xml:space="preserve"> mazāki nekā likumā “Par valsts budžetu 2014.gadam”, kā arī, ņemot vērā Ministru kabineta 2014.gada 14.oktobra sēdē dotos uzdevumus (prot.Nr. 55 63.§, 3., 4. un 5.punkts), ministrija organizēja </w:t>
            </w:r>
            <w:r>
              <w:rPr>
                <w:sz w:val="25"/>
                <w:szCs w:val="25"/>
              </w:rPr>
              <w:t>vairākas tikšanās</w:t>
            </w:r>
            <w:r w:rsidRPr="00203DDF">
              <w:rPr>
                <w:sz w:val="25"/>
                <w:szCs w:val="25"/>
              </w:rPr>
              <w:t xml:space="preserve"> ar nozīmīgākajiem sporta nozares sociālajiem partneriem (biedrību “Latvijas Olimpiskā komiteja”, biedrību “Latvijas Sporta federāciju padome”, biedrību “Latvijas Sporta izglītības iestāžu Direktoru padome” un biedrību “Latvijas Komandu sporta spēļu asociācija”), kurā</w:t>
            </w:r>
            <w:r>
              <w:rPr>
                <w:sz w:val="25"/>
                <w:szCs w:val="25"/>
              </w:rPr>
              <w:t>s</w:t>
            </w:r>
            <w:r w:rsidRPr="00203DDF">
              <w:rPr>
                <w:sz w:val="25"/>
                <w:szCs w:val="25"/>
              </w:rPr>
              <w:t xml:space="preserve"> kopīgi ar sporta nozares pārstāvjiem izvērtēja iespējamos risinājuma variantus, lai ministrijas 2015.gada valsts budžeta programmas 09.00.00 “Sports” bāzes izdevumu ietvaros nodrošinātu valsts funkciju sporta nozarē izpildi nemainīgā līmenī salīdzinājumā ar 2014.gadu, kā arī izvērtētu citu sporta nozarē pieteikto jauno politikas iniciatīvu</w:t>
            </w:r>
            <w:r w:rsidRPr="00F709D9">
              <w:rPr>
                <w:sz w:val="25"/>
                <w:szCs w:val="25"/>
              </w:rPr>
              <w:t xml:space="preserve"> īstenošanas iespējas bez papildus valsts budžeta līdzekļu piešķiršanas. </w:t>
            </w:r>
          </w:p>
          <w:p w:rsidR="00747D0F" w:rsidRPr="00F709D9" w:rsidRDefault="00747D0F" w:rsidP="00747D0F">
            <w:pPr>
              <w:ind w:left="141" w:right="137" w:firstLine="720"/>
              <w:jc w:val="both"/>
              <w:rPr>
                <w:sz w:val="25"/>
                <w:szCs w:val="25"/>
              </w:rPr>
            </w:pPr>
            <w:r w:rsidRPr="00203DDF">
              <w:rPr>
                <w:sz w:val="25"/>
                <w:szCs w:val="25"/>
              </w:rPr>
              <w:lastRenderedPageBreak/>
              <w:t xml:space="preserve">Izvērtējot sporta nozares 2015.gada prioritātes, </w:t>
            </w:r>
            <w:r>
              <w:rPr>
                <w:sz w:val="25"/>
                <w:szCs w:val="25"/>
              </w:rPr>
              <w:t xml:space="preserve">tika pieņemts lēmums </w:t>
            </w:r>
            <w:r w:rsidRPr="00F709D9">
              <w:rPr>
                <w:sz w:val="25"/>
                <w:szCs w:val="25"/>
              </w:rPr>
              <w:t>atteikties no vēl nekonkretizētu sporta infrastruktūras projektu īstenošanas, kā arī</w:t>
            </w:r>
            <w:r>
              <w:rPr>
                <w:sz w:val="25"/>
                <w:szCs w:val="25"/>
              </w:rPr>
              <w:t xml:space="preserve"> par 15% samazināt </w:t>
            </w:r>
            <w:r w:rsidRPr="00F709D9">
              <w:rPr>
                <w:sz w:val="25"/>
                <w:szCs w:val="25"/>
              </w:rPr>
              <w:t xml:space="preserve">budžeta bāzē </w:t>
            </w:r>
            <w:r>
              <w:rPr>
                <w:sz w:val="25"/>
                <w:szCs w:val="25"/>
              </w:rPr>
              <w:t xml:space="preserve">valsts nozīmes </w:t>
            </w:r>
            <w:r w:rsidRPr="00F709D9">
              <w:rPr>
                <w:sz w:val="25"/>
                <w:szCs w:val="25"/>
              </w:rPr>
              <w:t xml:space="preserve">sporta infrastruktūras attīstības projektu īstenošanai jau </w:t>
            </w:r>
            <w:r w:rsidR="00BD1B67">
              <w:rPr>
                <w:sz w:val="25"/>
                <w:szCs w:val="25"/>
              </w:rPr>
              <w:t xml:space="preserve">paredzētos līdzekļus </w:t>
            </w:r>
            <w:r w:rsidRPr="00F709D9">
              <w:rPr>
                <w:sz w:val="25"/>
                <w:szCs w:val="25"/>
              </w:rPr>
              <w:t>(īstenota pieeja – “No sporta bāzēm uz cilvēkiem”), lai novirzītu līdzekļus (1) valsts funkciju sporta nozarē izpildes nodrošināšanai nemainīgā līmenī salīdzinājumā ar 2014.gadu, (2) 100% valsts līdzfinansējumu profesionālās ievirzes sporta izglītības programmu īstenošanā nodarbināto sporta treneru darba samaksai atjaunošanai ar 2015.gada 1.septembri, kā arī (3) citiem 2015.gada sporta nozares budžeta prioritāriem mērķiem.</w:t>
            </w:r>
            <w:r>
              <w:rPr>
                <w:sz w:val="25"/>
                <w:szCs w:val="25"/>
              </w:rPr>
              <w:t xml:space="preserve"> </w:t>
            </w:r>
          </w:p>
          <w:p w:rsidR="00747D0F" w:rsidRDefault="00747D0F" w:rsidP="00747D0F">
            <w:pPr>
              <w:ind w:left="141" w:right="137" w:firstLine="720"/>
              <w:jc w:val="both"/>
              <w:rPr>
                <w:sz w:val="25"/>
                <w:szCs w:val="25"/>
              </w:rPr>
            </w:pPr>
            <w:r w:rsidRPr="00F709D9">
              <w:rPr>
                <w:sz w:val="25"/>
                <w:szCs w:val="25"/>
              </w:rPr>
              <w:t>Iepriekšminēto dis</w:t>
            </w:r>
            <w:r w:rsidRPr="00203DDF">
              <w:rPr>
                <w:sz w:val="25"/>
                <w:szCs w:val="25"/>
              </w:rPr>
              <w:t>kusiju rezultātā</w:t>
            </w:r>
            <w:r>
              <w:rPr>
                <w:sz w:val="25"/>
                <w:szCs w:val="25"/>
              </w:rPr>
              <w:t xml:space="preserve"> tika </w:t>
            </w:r>
            <w:r w:rsidRPr="00203DDF">
              <w:rPr>
                <w:sz w:val="25"/>
                <w:szCs w:val="25"/>
              </w:rPr>
              <w:t xml:space="preserve">sagatavots </w:t>
            </w:r>
            <w:r>
              <w:rPr>
                <w:sz w:val="25"/>
                <w:szCs w:val="25"/>
              </w:rPr>
              <w:t>un ar ministrijas 2014.gada 28.oktobra vēstuli Nr.</w:t>
            </w:r>
            <w:r w:rsidRPr="00203DDF">
              <w:rPr>
                <w:sz w:val="25"/>
                <w:szCs w:val="25"/>
              </w:rPr>
              <w:t>01-10/5120</w:t>
            </w:r>
            <w:r>
              <w:rPr>
                <w:sz w:val="25"/>
                <w:szCs w:val="25"/>
              </w:rPr>
              <w:t xml:space="preserve"> Finanšu ministrijā iesniegts </w:t>
            </w:r>
            <w:r w:rsidRPr="00203DDF">
              <w:rPr>
                <w:sz w:val="25"/>
                <w:szCs w:val="25"/>
              </w:rPr>
              <w:t>priekšlikums par iekšējo līdzekļu pārdali</w:t>
            </w:r>
            <w:r>
              <w:rPr>
                <w:sz w:val="25"/>
                <w:szCs w:val="25"/>
              </w:rPr>
              <w:t>. Šo priekšlikumu atbalstīja arī iepriekšminētie s</w:t>
            </w:r>
            <w:r w:rsidRPr="00203DDF">
              <w:rPr>
                <w:sz w:val="25"/>
                <w:szCs w:val="25"/>
              </w:rPr>
              <w:t>porta nozares sociāl</w:t>
            </w:r>
            <w:r>
              <w:rPr>
                <w:sz w:val="25"/>
                <w:szCs w:val="25"/>
              </w:rPr>
              <w:t>ie</w:t>
            </w:r>
            <w:r w:rsidRPr="00203DDF">
              <w:rPr>
                <w:sz w:val="25"/>
                <w:szCs w:val="25"/>
              </w:rPr>
              <w:t xml:space="preserve"> partner</w:t>
            </w:r>
            <w:r>
              <w:rPr>
                <w:sz w:val="25"/>
                <w:szCs w:val="25"/>
              </w:rPr>
              <w:t>i (2014.gada 27.oktobra vēstule</w:t>
            </w:r>
            <w:r w:rsidRPr="00203DDF">
              <w:rPr>
                <w:sz w:val="25"/>
                <w:szCs w:val="25"/>
              </w:rPr>
              <w:t xml:space="preserve"> Nr.207).</w:t>
            </w:r>
          </w:p>
          <w:p w:rsidR="00747D0F" w:rsidRDefault="00747D0F" w:rsidP="00747D0F">
            <w:pPr>
              <w:ind w:left="141" w:right="137" w:firstLine="720"/>
              <w:jc w:val="both"/>
              <w:rPr>
                <w:sz w:val="25"/>
                <w:szCs w:val="25"/>
              </w:rPr>
            </w:pPr>
            <w:r>
              <w:rPr>
                <w:sz w:val="25"/>
                <w:szCs w:val="25"/>
              </w:rPr>
              <w:t xml:space="preserve">Šie priekšlikumi tika atbalstīti arī </w:t>
            </w:r>
            <w:r w:rsidRPr="00B32498">
              <w:rPr>
                <w:sz w:val="25"/>
                <w:szCs w:val="25"/>
              </w:rPr>
              <w:t>Ministru kabineta 2014.gada 10.nov</w:t>
            </w:r>
            <w:r>
              <w:rPr>
                <w:sz w:val="25"/>
                <w:szCs w:val="25"/>
              </w:rPr>
              <w:t>embra ārkārtas sēdē (prot.Nr.61 28</w:t>
            </w:r>
            <w:r w:rsidRPr="00203DDF">
              <w:rPr>
                <w:sz w:val="25"/>
                <w:szCs w:val="25"/>
              </w:rPr>
              <w:t>.§</w:t>
            </w:r>
            <w:r>
              <w:rPr>
                <w:sz w:val="25"/>
                <w:szCs w:val="25"/>
              </w:rPr>
              <w:t>, 14.punkts), vienlaikus uzdodot (prot.Nr.61 28</w:t>
            </w:r>
            <w:r w:rsidRPr="00203DDF">
              <w:rPr>
                <w:sz w:val="25"/>
                <w:szCs w:val="25"/>
              </w:rPr>
              <w:t>.§</w:t>
            </w:r>
            <w:r>
              <w:rPr>
                <w:sz w:val="25"/>
                <w:szCs w:val="25"/>
              </w:rPr>
              <w:t xml:space="preserve">, 15.punkts) ministrijai </w:t>
            </w:r>
            <w:r>
              <w:t xml:space="preserve"> </w:t>
            </w:r>
            <w:r w:rsidRPr="00221686">
              <w:rPr>
                <w:sz w:val="25"/>
                <w:szCs w:val="25"/>
              </w:rPr>
              <w:t xml:space="preserve">sagatavot un iesniegt izskatīšanai Ministru kabinetā attiecīgus grozījumus Ministru kabineta </w:t>
            </w:r>
            <w:r>
              <w:rPr>
                <w:sz w:val="25"/>
                <w:szCs w:val="25"/>
              </w:rPr>
              <w:t xml:space="preserve">rīkojumos (t.sk. </w:t>
            </w:r>
            <w:r w:rsidRPr="00747D0F">
              <w:rPr>
                <w:sz w:val="25"/>
                <w:szCs w:val="25"/>
              </w:rPr>
              <w:t>Ministru kabineta 2014.gada 18.augusta rīkojumā Nr.430 “Par Murjāņu sporta ģimnāzijas esošo būvju rekonstrukcijas un multifunkcionālas slēgtas sporta manēžas būvniecības projekta īstenošanai 2014.gadā paredzēto valsts budžeta līdzekļu pārdali”</w:t>
            </w:r>
            <w:r>
              <w:rPr>
                <w:sz w:val="25"/>
                <w:szCs w:val="25"/>
              </w:rPr>
              <w:t xml:space="preserve">), lai nodrošinātu valsts nozīmes sporta infrastruktūras attīstības projektiem </w:t>
            </w:r>
            <w:r w:rsidRPr="00166C29">
              <w:rPr>
                <w:sz w:val="25"/>
                <w:szCs w:val="25"/>
              </w:rPr>
              <w:t>2015.gadā plānoto piešķiramo līdzekļu apmēra atbilstību 2015.gadā faktiski paredzēto lī</w:t>
            </w:r>
            <w:r>
              <w:rPr>
                <w:sz w:val="25"/>
                <w:szCs w:val="25"/>
              </w:rPr>
              <w:t>dzekļu apmēram.</w:t>
            </w:r>
          </w:p>
          <w:p w:rsidR="00747D0F" w:rsidRDefault="00747D0F" w:rsidP="00747D0F">
            <w:pPr>
              <w:ind w:left="141" w:right="137"/>
              <w:jc w:val="both"/>
              <w:rPr>
                <w:sz w:val="25"/>
                <w:szCs w:val="25"/>
              </w:rPr>
            </w:pPr>
          </w:p>
          <w:p w:rsidR="0009215D" w:rsidRDefault="00747D0F" w:rsidP="005D6DC2">
            <w:pPr>
              <w:ind w:left="141" w:right="137"/>
              <w:jc w:val="both"/>
              <w:rPr>
                <w:sz w:val="25"/>
                <w:szCs w:val="25"/>
              </w:rPr>
            </w:pPr>
            <w:r>
              <w:rPr>
                <w:sz w:val="25"/>
                <w:szCs w:val="25"/>
              </w:rPr>
              <w:tab/>
            </w:r>
            <w:r w:rsidR="0009215D" w:rsidRPr="00747D0F">
              <w:rPr>
                <w:sz w:val="25"/>
                <w:szCs w:val="25"/>
              </w:rPr>
              <w:t>Ministru kabineta 2014.gada 18.augusta rīkojum</w:t>
            </w:r>
            <w:r w:rsidR="0009215D">
              <w:rPr>
                <w:sz w:val="25"/>
                <w:szCs w:val="25"/>
              </w:rPr>
              <w:t>a</w:t>
            </w:r>
            <w:r w:rsidR="0009215D" w:rsidRPr="00747D0F">
              <w:rPr>
                <w:sz w:val="25"/>
                <w:szCs w:val="25"/>
              </w:rPr>
              <w:t xml:space="preserve"> Nr.430 “Par Murjāņu sporta ģimnāzijas esošo būvju rekonstrukcijas un multifunkcionālas slēgtas sporta manēžas būvniecības projekta īstenošanai 2014.gadā paredzēto valsts budžeta līdzekļu pārdali”</w:t>
            </w:r>
            <w:r w:rsidR="0009215D" w:rsidRPr="0009215D">
              <w:rPr>
                <w:sz w:val="25"/>
                <w:szCs w:val="25"/>
              </w:rPr>
              <w:t xml:space="preserve"> </w:t>
            </w:r>
            <w:r w:rsidR="0009215D">
              <w:rPr>
                <w:sz w:val="25"/>
                <w:szCs w:val="25"/>
              </w:rPr>
              <w:t xml:space="preserve">(turpmāk – </w:t>
            </w:r>
            <w:r w:rsidR="0009215D" w:rsidRPr="00832914">
              <w:rPr>
                <w:sz w:val="25"/>
                <w:szCs w:val="25"/>
              </w:rPr>
              <w:t>Rīkojums Nr.430</w:t>
            </w:r>
            <w:r w:rsidR="0009215D">
              <w:rPr>
                <w:sz w:val="25"/>
                <w:szCs w:val="25"/>
              </w:rPr>
              <w:t xml:space="preserve">) </w:t>
            </w:r>
            <w:r w:rsidR="00E959BA">
              <w:rPr>
                <w:sz w:val="25"/>
                <w:szCs w:val="25"/>
              </w:rPr>
              <w:t xml:space="preserve">3.punkts paredz, ka pārdales </w:t>
            </w:r>
            <w:r w:rsidR="00E959BA" w:rsidRPr="00E959BA">
              <w:rPr>
                <w:sz w:val="25"/>
                <w:szCs w:val="25"/>
              </w:rPr>
              <w:t>rezultātā pieejam</w:t>
            </w:r>
            <w:r w:rsidR="00E959BA">
              <w:rPr>
                <w:sz w:val="25"/>
                <w:szCs w:val="25"/>
              </w:rPr>
              <w:t>ie</w:t>
            </w:r>
            <w:r w:rsidR="00E959BA" w:rsidRPr="00E959BA">
              <w:rPr>
                <w:sz w:val="25"/>
                <w:szCs w:val="25"/>
              </w:rPr>
              <w:t xml:space="preserve"> finanšu resurs</w:t>
            </w:r>
            <w:r w:rsidR="00E959BA">
              <w:rPr>
                <w:sz w:val="25"/>
                <w:szCs w:val="25"/>
              </w:rPr>
              <w:t>i</w:t>
            </w:r>
            <w:r w:rsidR="005D6DC2">
              <w:rPr>
                <w:sz w:val="25"/>
                <w:szCs w:val="25"/>
              </w:rPr>
              <w:t xml:space="preserve"> (2`521`</w:t>
            </w:r>
            <w:r w:rsidR="005D6DC2" w:rsidRPr="005D6DC2">
              <w:rPr>
                <w:sz w:val="25"/>
                <w:szCs w:val="25"/>
              </w:rPr>
              <w:t>419</w:t>
            </w:r>
            <w:r w:rsidR="005D6DC2">
              <w:rPr>
                <w:sz w:val="25"/>
                <w:szCs w:val="25"/>
              </w:rPr>
              <w:t xml:space="preserve"> </w:t>
            </w:r>
            <w:r w:rsidR="005D6DC2" w:rsidRPr="005D6DC2">
              <w:rPr>
                <w:i/>
                <w:sz w:val="25"/>
                <w:szCs w:val="25"/>
              </w:rPr>
              <w:t>euro</w:t>
            </w:r>
            <w:r w:rsidR="005D6DC2">
              <w:rPr>
                <w:sz w:val="25"/>
                <w:szCs w:val="25"/>
              </w:rPr>
              <w:t>)</w:t>
            </w:r>
            <w:r w:rsidR="005D6DC2" w:rsidRPr="005D6DC2">
              <w:rPr>
                <w:sz w:val="25"/>
                <w:szCs w:val="25"/>
              </w:rPr>
              <w:t xml:space="preserve"> </w:t>
            </w:r>
            <w:r w:rsidR="00E959BA" w:rsidRPr="00E959BA">
              <w:rPr>
                <w:sz w:val="25"/>
                <w:szCs w:val="25"/>
              </w:rPr>
              <w:t>2015.gadā</w:t>
            </w:r>
            <w:r w:rsidR="005D6DC2">
              <w:rPr>
                <w:sz w:val="25"/>
                <w:szCs w:val="25"/>
              </w:rPr>
              <w:t xml:space="preserve"> novirzāmi </w:t>
            </w:r>
            <w:r w:rsidR="00E959BA" w:rsidRPr="00E959BA">
              <w:rPr>
                <w:sz w:val="25"/>
                <w:szCs w:val="25"/>
              </w:rPr>
              <w:t>valsts budžeta līdzekļus sporta nozarei svarīgu objektu īstenošanai 2015. gadā, tai skaitā sporta infrastruktūras attīstībai saskaņā ar Latvijas Nacionālās sporta padomes 2014.gada 24.jūlija lēmumu (protokols Nr. 3) un reģionālo sporta internātskol</w:t>
            </w:r>
            <w:r w:rsidR="005D6DC2">
              <w:rPr>
                <w:sz w:val="25"/>
                <w:szCs w:val="25"/>
              </w:rPr>
              <w:t>u izmēģinājum</w:t>
            </w:r>
            <w:r w:rsidR="00E959BA" w:rsidRPr="00E959BA">
              <w:rPr>
                <w:sz w:val="25"/>
                <w:szCs w:val="25"/>
              </w:rPr>
              <w:t>projektiem.</w:t>
            </w:r>
            <w:r w:rsidR="005D6DC2">
              <w:rPr>
                <w:sz w:val="25"/>
                <w:szCs w:val="25"/>
              </w:rPr>
              <w:t xml:space="preserve"> Lai nodrošinātu </w:t>
            </w:r>
            <w:r w:rsidR="005D6DC2" w:rsidRPr="00B32498">
              <w:rPr>
                <w:sz w:val="25"/>
                <w:szCs w:val="25"/>
              </w:rPr>
              <w:t>Ministru kabineta 2014.gada 10.nov</w:t>
            </w:r>
            <w:r w:rsidR="005D6DC2">
              <w:rPr>
                <w:sz w:val="25"/>
                <w:szCs w:val="25"/>
              </w:rPr>
              <w:t>embra ārkārtas sēdē pieņemtā lēmuma (prot.Nr.61 28</w:t>
            </w:r>
            <w:r w:rsidR="005D6DC2" w:rsidRPr="00203DDF">
              <w:rPr>
                <w:sz w:val="25"/>
                <w:szCs w:val="25"/>
              </w:rPr>
              <w:t>.§</w:t>
            </w:r>
            <w:r w:rsidR="005D6DC2">
              <w:rPr>
                <w:sz w:val="25"/>
                <w:szCs w:val="25"/>
              </w:rPr>
              <w:t xml:space="preserve">, 14.punkts) izpildi, nepieciešams izdarīt grozījumu Rīkojumā Nr.430 un precizēt 3.punta redakciju, nosakot, ka pārdales </w:t>
            </w:r>
            <w:r w:rsidR="005D6DC2" w:rsidRPr="00E959BA">
              <w:rPr>
                <w:sz w:val="25"/>
                <w:szCs w:val="25"/>
              </w:rPr>
              <w:t>rezultātā pieejam</w:t>
            </w:r>
            <w:r w:rsidR="005D6DC2">
              <w:rPr>
                <w:sz w:val="25"/>
                <w:szCs w:val="25"/>
              </w:rPr>
              <w:t>ie</w:t>
            </w:r>
            <w:r w:rsidR="005D6DC2" w:rsidRPr="00E959BA">
              <w:rPr>
                <w:sz w:val="25"/>
                <w:szCs w:val="25"/>
              </w:rPr>
              <w:t xml:space="preserve"> finanšu resurs</w:t>
            </w:r>
            <w:r w:rsidR="005D6DC2">
              <w:rPr>
                <w:sz w:val="25"/>
                <w:szCs w:val="25"/>
              </w:rPr>
              <w:t xml:space="preserve">i 2015.gadā novirzāmi </w:t>
            </w:r>
            <w:r w:rsidR="0009215D" w:rsidRPr="0009215D">
              <w:rPr>
                <w:sz w:val="25"/>
                <w:szCs w:val="25"/>
              </w:rPr>
              <w:t>sporta nozares prioritāro pasākumu īstenošanai, tai skaitā valsts funkciju sporta nozarē izpildes nodrošināšanai nemainīgā līmenī salīdzinājumā ar 2014.gadu un sporta veidu reģionālo attīstības centru (sporta internātu) pilotprojektiem.</w:t>
            </w:r>
          </w:p>
          <w:p w:rsidR="00747D0F" w:rsidRDefault="00747D0F" w:rsidP="00844460">
            <w:pPr>
              <w:ind w:left="132" w:right="127"/>
              <w:jc w:val="both"/>
              <w:rPr>
                <w:sz w:val="25"/>
                <w:szCs w:val="25"/>
              </w:rPr>
            </w:pPr>
          </w:p>
          <w:p w:rsidR="00183265" w:rsidRPr="00832914" w:rsidRDefault="0009215D" w:rsidP="00844460">
            <w:pPr>
              <w:ind w:left="132" w:right="127"/>
              <w:jc w:val="both"/>
              <w:rPr>
                <w:sz w:val="25"/>
                <w:szCs w:val="25"/>
              </w:rPr>
            </w:pPr>
            <w:r>
              <w:rPr>
                <w:sz w:val="25"/>
                <w:szCs w:val="25"/>
              </w:rPr>
              <w:lastRenderedPageBreak/>
              <w:tab/>
            </w:r>
            <w:r w:rsidR="005D6DC2">
              <w:rPr>
                <w:sz w:val="25"/>
                <w:szCs w:val="25"/>
              </w:rPr>
              <w:t>Papildus minētam a</w:t>
            </w:r>
            <w:r>
              <w:rPr>
                <w:sz w:val="25"/>
                <w:szCs w:val="25"/>
              </w:rPr>
              <w:t>r Rīkojuma</w:t>
            </w:r>
            <w:r w:rsidR="00B44E62" w:rsidRPr="00832914">
              <w:rPr>
                <w:sz w:val="25"/>
                <w:szCs w:val="25"/>
              </w:rPr>
              <w:t xml:space="preserve"> Nr.430</w:t>
            </w:r>
            <w:r>
              <w:rPr>
                <w:sz w:val="25"/>
                <w:szCs w:val="25"/>
              </w:rPr>
              <w:t xml:space="preserve"> </w:t>
            </w:r>
            <w:r w:rsidR="00183265" w:rsidRPr="00832914">
              <w:rPr>
                <w:sz w:val="25"/>
                <w:szCs w:val="25"/>
              </w:rPr>
              <w:t>1.3.apakšpunktu SIA “Sporta centrs “Mežaparks””</w:t>
            </w:r>
            <w:r w:rsidR="00183265" w:rsidRPr="00832914">
              <w:rPr>
                <w:rStyle w:val="FootnoteReference"/>
                <w:sz w:val="25"/>
                <w:szCs w:val="25"/>
              </w:rPr>
              <w:footnoteReference w:id="1"/>
            </w:r>
            <w:r w:rsidR="00183265" w:rsidRPr="00832914">
              <w:rPr>
                <w:sz w:val="25"/>
                <w:szCs w:val="25"/>
              </w:rPr>
              <w:t xml:space="preserve"> (turpmāk – Kapitālsabiedrība) piešķirti 577</w:t>
            </w:r>
            <w:r w:rsidR="005D6DC2">
              <w:rPr>
                <w:sz w:val="25"/>
                <w:szCs w:val="25"/>
              </w:rPr>
              <w:t>`</w:t>
            </w:r>
            <w:r w:rsidR="00183265" w:rsidRPr="00832914">
              <w:rPr>
                <w:sz w:val="25"/>
                <w:szCs w:val="25"/>
              </w:rPr>
              <w:t xml:space="preserve">820 </w:t>
            </w:r>
            <w:r w:rsidR="00183265" w:rsidRPr="00832914">
              <w:rPr>
                <w:i/>
                <w:sz w:val="25"/>
                <w:szCs w:val="25"/>
              </w:rPr>
              <w:t>euro</w:t>
            </w:r>
            <w:r w:rsidR="00183265" w:rsidRPr="00832914">
              <w:rPr>
                <w:sz w:val="25"/>
                <w:szCs w:val="25"/>
              </w:rPr>
              <w:t xml:space="preserve"> Sporta centra “Mežaparks” rekonstrukcijai, nosakot, ka primāri veicama Latvijas Olimpiskās vienības darbības nodrošināšanai nepieciešamā Sporta medicīnas centra (R</w:t>
            </w:r>
            <w:r w:rsidR="004E32CD" w:rsidRPr="00832914">
              <w:rPr>
                <w:sz w:val="25"/>
                <w:szCs w:val="25"/>
              </w:rPr>
              <w:t xml:space="preserve">oberta </w:t>
            </w:r>
            <w:r w:rsidR="00183265" w:rsidRPr="00832914">
              <w:rPr>
                <w:sz w:val="25"/>
                <w:szCs w:val="25"/>
              </w:rPr>
              <w:t>Feldmaņa ielā 11, Rīgā) rekonstrukcija un aprīkošana, kā arī veicams sporta centra jumta remonts.</w:t>
            </w:r>
          </w:p>
          <w:p w:rsidR="001C3E5B" w:rsidRPr="00832914" w:rsidRDefault="00183265" w:rsidP="001C3E5B">
            <w:pPr>
              <w:ind w:left="132" w:right="127"/>
              <w:jc w:val="both"/>
              <w:rPr>
                <w:sz w:val="25"/>
                <w:szCs w:val="25"/>
              </w:rPr>
            </w:pPr>
            <w:r w:rsidRPr="00832914">
              <w:rPr>
                <w:sz w:val="25"/>
                <w:szCs w:val="25"/>
              </w:rPr>
              <w:tab/>
              <w:t xml:space="preserve">Lai nodrošinātu ar </w:t>
            </w:r>
            <w:r w:rsidR="00C7659A" w:rsidRPr="00832914">
              <w:rPr>
                <w:sz w:val="25"/>
                <w:szCs w:val="25"/>
              </w:rPr>
              <w:t>Rīkojuma</w:t>
            </w:r>
            <w:r w:rsidR="00B44E62" w:rsidRPr="00832914">
              <w:rPr>
                <w:sz w:val="25"/>
                <w:szCs w:val="25"/>
              </w:rPr>
              <w:t xml:space="preserve"> Nr.430 </w:t>
            </w:r>
            <w:r w:rsidR="00C7659A" w:rsidRPr="00832914">
              <w:rPr>
                <w:sz w:val="25"/>
                <w:szCs w:val="25"/>
              </w:rPr>
              <w:t xml:space="preserve">1.3.apakšpunktu </w:t>
            </w:r>
            <w:r w:rsidR="00B44E62" w:rsidRPr="00832914">
              <w:rPr>
                <w:sz w:val="25"/>
                <w:szCs w:val="25"/>
              </w:rPr>
              <w:t>p</w:t>
            </w:r>
            <w:r w:rsidRPr="00832914">
              <w:rPr>
                <w:sz w:val="25"/>
                <w:szCs w:val="25"/>
              </w:rPr>
              <w:t>iešķirto valsts budžeta līdzekļu izlietošanu atbilstoši tam paredzētam mērķim, ministrijai, kura saskaņā ar Sporta likuma 5.panta pirmo daļu pilda valsts pārvaldes funkcijas sporta nozarē, kā arī saskaņā ar Ministru kabineta 2003.gada 16.septembra noteikumu Nr.528 “Izglītības un zinātnes ministrijas nolikums” 5.21.apakšpunktu nodrošina ministrijai iedalīto valsts budžeta līdzekļu izmantošanu paredzētajiem mērķiem un saskaņā ar 25.7.apakšpunktu ir valsts kapitāla daļu turētāja Kapitālsabiedrībā, normatīvajos aktos noteiktā kārtībā ir jāveic visi nepieciešamie pasākumi, lai ne tikai nodrošinātu Sporta centra “Mežaparks” Sporta medicīnas centra rekonstrukciju un aprīkošanu, kā arī sporta centra jumta remontu, bet arī nodrošinātu, ka rekonstruēto Sporta medicīnas centru ar iegādāto aprīkojumu izmantotu tieši SIA “Latvijas Olimpiskā vienība”</w:t>
            </w:r>
            <w:r w:rsidRPr="00832914">
              <w:rPr>
                <w:rStyle w:val="FootnoteReference"/>
                <w:sz w:val="25"/>
                <w:szCs w:val="25"/>
              </w:rPr>
              <w:footnoteReference w:id="2"/>
            </w:r>
            <w:r w:rsidRPr="00832914">
              <w:rPr>
                <w:sz w:val="25"/>
                <w:szCs w:val="25"/>
              </w:rPr>
              <w:t xml:space="preserve">  (turpmāk – LOV).</w:t>
            </w:r>
          </w:p>
          <w:p w:rsidR="00B44E62" w:rsidRPr="00832914" w:rsidRDefault="00B44E62" w:rsidP="001C3E5B">
            <w:pPr>
              <w:ind w:left="132" w:right="127"/>
              <w:jc w:val="both"/>
              <w:rPr>
                <w:sz w:val="25"/>
                <w:szCs w:val="25"/>
              </w:rPr>
            </w:pPr>
            <w:r w:rsidRPr="00832914">
              <w:rPr>
                <w:sz w:val="25"/>
                <w:szCs w:val="25"/>
              </w:rPr>
              <w:tab/>
              <w:t xml:space="preserve">Uzsākot Rīkojuma Nr.430 </w:t>
            </w:r>
            <w:r w:rsidR="0072115C" w:rsidRPr="00832914">
              <w:rPr>
                <w:sz w:val="25"/>
                <w:szCs w:val="25"/>
              </w:rPr>
              <w:t>1.3.</w:t>
            </w:r>
            <w:r w:rsidR="003C16EF">
              <w:rPr>
                <w:sz w:val="25"/>
                <w:szCs w:val="25"/>
              </w:rPr>
              <w:t>apakšpunktā</w:t>
            </w:r>
            <w:r w:rsidR="0072115C" w:rsidRPr="00832914">
              <w:rPr>
                <w:sz w:val="25"/>
                <w:szCs w:val="25"/>
              </w:rPr>
              <w:t xml:space="preserve"> noteiktā </w:t>
            </w:r>
            <w:r w:rsidRPr="00832914">
              <w:rPr>
                <w:sz w:val="25"/>
                <w:szCs w:val="25"/>
              </w:rPr>
              <w:t xml:space="preserve">izpildi, secināts, ka pastāv juridiski šķēršļi tā izpildei. </w:t>
            </w:r>
            <w:r w:rsidR="001C3E5B" w:rsidRPr="00832914">
              <w:rPr>
                <w:sz w:val="25"/>
                <w:szCs w:val="25"/>
              </w:rPr>
              <w:t>Publiskas personas finanšu līdzekļu un mantas izšķērdēšanas novēršanas likuma 6.</w:t>
            </w:r>
            <w:r w:rsidR="001C3E5B" w:rsidRPr="00832914">
              <w:rPr>
                <w:sz w:val="25"/>
                <w:szCs w:val="25"/>
                <w:vertAlign w:val="superscript"/>
              </w:rPr>
              <w:t>4</w:t>
            </w:r>
            <w:r w:rsidR="001C3E5B" w:rsidRPr="00832914">
              <w:rPr>
                <w:sz w:val="25"/>
                <w:szCs w:val="25"/>
              </w:rPr>
              <w:t>panta otrā daļa paredz pienākumu kapitālsabiedrībām</w:t>
            </w:r>
            <w:r w:rsidRPr="00832914">
              <w:rPr>
                <w:rStyle w:val="FootnoteReference"/>
                <w:sz w:val="25"/>
                <w:szCs w:val="25"/>
              </w:rPr>
              <w:footnoteReference w:id="3"/>
            </w:r>
            <w:r w:rsidRPr="00832914">
              <w:rPr>
                <w:sz w:val="25"/>
                <w:szCs w:val="25"/>
              </w:rPr>
              <w:t xml:space="preserve"> </w:t>
            </w:r>
            <w:r w:rsidR="001C3E5B" w:rsidRPr="00832914">
              <w:rPr>
                <w:sz w:val="25"/>
                <w:szCs w:val="25"/>
              </w:rPr>
              <w:t xml:space="preserve"> ievietot valsts akciju sabiedrības “Valsts nekustamie īpašumi” tīmekļa vietnē informāciju par iznomāšanai paredzēto nekustamo īpašumu, tādejādi nodrošinot šīs informācijas publisku pieejamību. </w:t>
            </w:r>
            <w:r w:rsidR="002D328A" w:rsidRPr="00832914">
              <w:rPr>
                <w:sz w:val="25"/>
                <w:szCs w:val="25"/>
              </w:rPr>
              <w:t xml:space="preserve">Minētais tiesiskais regulējums pēc būtības </w:t>
            </w:r>
            <w:r w:rsidR="001C3E5B" w:rsidRPr="00832914">
              <w:rPr>
                <w:sz w:val="25"/>
                <w:szCs w:val="25"/>
              </w:rPr>
              <w:t xml:space="preserve">paredz kapitālsabiedrības pienākumu organizēt publisku pieteikšanos uz iznomāt paredzētā </w:t>
            </w:r>
            <w:r w:rsidRPr="00832914">
              <w:rPr>
                <w:sz w:val="25"/>
                <w:szCs w:val="25"/>
              </w:rPr>
              <w:t>objekta nomas tiesību iegūšanu, kā rezultātā pastāv iespēja, ka šādā procedūrā piesakās un par uzvarētāju tiek atzīta cita persona (kas nav LOV), kura līdz ar to iegū</w:t>
            </w:r>
            <w:r w:rsidR="00041822" w:rsidRPr="00832914">
              <w:rPr>
                <w:sz w:val="25"/>
                <w:szCs w:val="25"/>
              </w:rPr>
              <w:t>s</w:t>
            </w:r>
            <w:r w:rsidRPr="00832914">
              <w:rPr>
                <w:sz w:val="25"/>
                <w:szCs w:val="25"/>
              </w:rPr>
              <w:t>t tiesības iegūt lietošanā par maksu rekonstruēto un aprīkoto Sporta medicīnas centru. Iepriekšminētā rezultātā faktiski netiktu nodrošināta piešķirto valsts budžeta līdzekļu izlietošana atbilstoši tam paredzētam mērķim, jo attiecīgais centrs un aprīkojums netiktu izmantots LOV vajadzībām.</w:t>
            </w:r>
          </w:p>
          <w:p w:rsidR="00A35276" w:rsidRPr="00832914" w:rsidRDefault="00041822" w:rsidP="00A35276">
            <w:pPr>
              <w:ind w:left="132" w:right="127"/>
              <w:jc w:val="both"/>
              <w:rPr>
                <w:sz w:val="25"/>
                <w:szCs w:val="25"/>
              </w:rPr>
            </w:pPr>
            <w:r w:rsidRPr="00832914">
              <w:rPr>
                <w:sz w:val="25"/>
                <w:szCs w:val="25"/>
              </w:rPr>
              <w:tab/>
            </w:r>
            <w:r w:rsidR="00A35276" w:rsidRPr="00832914">
              <w:rPr>
                <w:sz w:val="25"/>
                <w:szCs w:val="25"/>
              </w:rPr>
              <w:t>Nekustamais īpašums, kurā atrodas arī Sporta medicīnas centrs, atrodas Sporta centrā “Mežaparks” (nekustamā īpašuma kadastra Nr. 0100 084 0175) Roberta Feldmaņa ielā 11, Rīgā, kurš sastāv no zemes vienības 40565 m</w:t>
            </w:r>
            <w:r w:rsidR="00A35276" w:rsidRPr="00832914">
              <w:rPr>
                <w:sz w:val="25"/>
                <w:szCs w:val="25"/>
                <w:vertAlign w:val="superscript"/>
              </w:rPr>
              <w:t>2</w:t>
            </w:r>
            <w:r w:rsidR="00A35276" w:rsidRPr="00832914">
              <w:rPr>
                <w:sz w:val="25"/>
                <w:szCs w:val="25"/>
              </w:rPr>
              <w:t xml:space="preserve"> platībā (zemes vienības </w:t>
            </w:r>
            <w:r w:rsidR="00A35276" w:rsidRPr="00832914">
              <w:rPr>
                <w:sz w:val="25"/>
                <w:szCs w:val="25"/>
              </w:rPr>
              <w:lastRenderedPageBreak/>
              <w:t>kadastra apzīmējums 0100 084 0175) un septiņām būvēm (būvju kadastra apzīmējumi 0100 084 0175 008, 0100 084 0175 011, 0100 084 0175 001</w:t>
            </w:r>
            <w:r w:rsidR="00A35276" w:rsidRPr="00832914">
              <w:rPr>
                <w:rStyle w:val="FootnoteReference"/>
                <w:sz w:val="25"/>
                <w:szCs w:val="25"/>
              </w:rPr>
              <w:footnoteReference w:id="4"/>
            </w:r>
            <w:r w:rsidR="00A35276" w:rsidRPr="00832914">
              <w:rPr>
                <w:sz w:val="25"/>
                <w:szCs w:val="25"/>
              </w:rPr>
              <w:t xml:space="preserve">, 0100 084 0175 006, 0100 084 0175 007, 0100 084 0175 018 un 0100 084 0175 002) un </w:t>
            </w:r>
            <w:r w:rsidR="00A35276" w:rsidRPr="00832914">
              <w:rPr>
                <w:rFonts w:eastAsiaTheme="minorHAnsi"/>
                <w:color w:val="000000"/>
                <w:sz w:val="25"/>
                <w:szCs w:val="25"/>
              </w:rPr>
              <w:t>ir ierakstīts Rīgas pilsētas zemesgrāmatas nodalījumā Nr.24583 uz Kapitālsabiedrības vārda. Ņemot vērā minēto, kā arī to, ka Kapitālsabiedrība nav valsts kapitālsabiedrība, šī nekustamā īpašuma iznomāšanas kārtību reglamentē Publiskas personas finanšu līdzekļu un mantas izšķērdēšanas novēršanas likuma 6.</w:t>
            </w:r>
            <w:r w:rsidR="00A35276" w:rsidRPr="00832914">
              <w:rPr>
                <w:rFonts w:eastAsiaTheme="minorHAnsi"/>
                <w:color w:val="000000"/>
                <w:sz w:val="25"/>
                <w:szCs w:val="25"/>
                <w:vertAlign w:val="superscript"/>
              </w:rPr>
              <w:t>4</w:t>
            </w:r>
            <w:r w:rsidR="00A35276" w:rsidRPr="00832914">
              <w:rPr>
                <w:rFonts w:eastAsiaTheme="minorHAnsi"/>
                <w:color w:val="000000"/>
                <w:sz w:val="25"/>
                <w:szCs w:val="25"/>
              </w:rPr>
              <w:t>pants un Kapitālsabiedrības nekustamā īpašuma iznomāšanas kārtība (turpmāk – Kārtība) (saskaņota ar kapitāla daļu turētājiem 2014.gada 28.aprīlī).</w:t>
            </w:r>
          </w:p>
          <w:p w:rsidR="004E32CD" w:rsidRPr="00832914" w:rsidRDefault="00A35276" w:rsidP="004E32CD">
            <w:pPr>
              <w:ind w:left="132" w:right="127"/>
              <w:jc w:val="both"/>
              <w:rPr>
                <w:rFonts w:eastAsiaTheme="minorHAnsi"/>
                <w:color w:val="000000"/>
                <w:sz w:val="25"/>
                <w:szCs w:val="25"/>
              </w:rPr>
            </w:pPr>
            <w:r w:rsidRPr="00832914">
              <w:rPr>
                <w:rFonts w:eastAsiaTheme="minorHAnsi"/>
                <w:color w:val="000000"/>
                <w:sz w:val="25"/>
                <w:szCs w:val="25"/>
              </w:rPr>
              <w:tab/>
              <w:t>Kārtības 3.punkts nosaka, ka lēmumu par objekta iznomāšanu pieņem Kapitālsabiedrības valde, pamatojoties uz nomas tiesību pretendenta ierosinājumu vai pēc savas iniciatīvas. Lai gan Kārtības 5.punkts nosaka, ka nomnieku noskaidro rakstiskā vai mutiskā izsolē, kuru veic Ministru kabineta 2010.gada 8.jūnija noteikumu Nr.515 “Noteikumi par valsts un pašvaldību mantas iznomāšanas kārtību, nomas maksas noteikšanas metodiku un nomas līguma tipveida nosacījumiem” (turpmāk – Noteikumi) noteiktā kārtībā, Kārtības 6.punktā ietverta atruna par Kārtības 5.punkta nepiemērošanu Noteikumu 3. un 4.punktā minētajos izņēmuma gadījumos, kas attiecināmi uz Kapitālsabiedrību.</w:t>
            </w:r>
          </w:p>
          <w:p w:rsidR="00EB47AB" w:rsidRPr="00832914" w:rsidRDefault="004E32CD" w:rsidP="00EB47AB">
            <w:pPr>
              <w:ind w:left="132" w:right="127"/>
              <w:jc w:val="both"/>
              <w:rPr>
                <w:sz w:val="25"/>
                <w:szCs w:val="25"/>
              </w:rPr>
            </w:pPr>
            <w:r w:rsidRPr="00832914">
              <w:rPr>
                <w:rFonts w:eastAsiaTheme="minorHAnsi"/>
                <w:color w:val="000000"/>
                <w:sz w:val="25"/>
                <w:szCs w:val="25"/>
              </w:rPr>
              <w:tab/>
            </w:r>
            <w:r w:rsidR="00A35276" w:rsidRPr="00832914">
              <w:rPr>
                <w:rFonts w:eastAsiaTheme="minorHAnsi"/>
                <w:color w:val="000000"/>
                <w:sz w:val="25"/>
                <w:szCs w:val="25"/>
              </w:rPr>
              <w:t>Saskaņā ar Noteikumu 4.4.apakšpunktu Noteikumu 2.nodaļas normas</w:t>
            </w:r>
            <w:r w:rsidR="00A35276" w:rsidRPr="00832914">
              <w:rPr>
                <w:rStyle w:val="FootnoteReference"/>
                <w:rFonts w:eastAsiaTheme="minorHAnsi"/>
                <w:color w:val="000000"/>
                <w:sz w:val="25"/>
                <w:szCs w:val="25"/>
              </w:rPr>
              <w:footnoteReference w:id="5"/>
            </w:r>
            <w:r w:rsidR="00A35276" w:rsidRPr="00832914">
              <w:rPr>
                <w:rFonts w:eastAsiaTheme="minorHAnsi"/>
                <w:color w:val="000000"/>
                <w:sz w:val="25"/>
                <w:szCs w:val="25"/>
              </w:rPr>
              <w:t xml:space="preserve"> nepiemēro (izņemot Noteikumu 7.punktu</w:t>
            </w:r>
            <w:r w:rsidR="00A35276" w:rsidRPr="00832914">
              <w:rPr>
                <w:rStyle w:val="FootnoteReference"/>
                <w:rFonts w:eastAsiaTheme="minorHAnsi"/>
                <w:color w:val="000000"/>
                <w:sz w:val="25"/>
                <w:szCs w:val="25"/>
              </w:rPr>
              <w:footnoteReference w:id="6"/>
            </w:r>
            <w:r w:rsidR="00A35276" w:rsidRPr="00832914">
              <w:rPr>
                <w:rFonts w:eastAsiaTheme="minorHAnsi"/>
                <w:color w:val="000000"/>
                <w:sz w:val="25"/>
                <w:szCs w:val="25"/>
              </w:rPr>
              <w:t xml:space="preserve">) – </w:t>
            </w:r>
            <w:r w:rsidR="00A35276" w:rsidRPr="00832914">
              <w:rPr>
                <w:rFonts w:eastAsiaTheme="minorHAnsi"/>
                <w:i/>
                <w:color w:val="000000"/>
                <w:sz w:val="25"/>
                <w:szCs w:val="25"/>
                <w:u w:val="single"/>
              </w:rPr>
              <w:t>ja nomas objektu iznomā biedrībām</w:t>
            </w:r>
            <w:r w:rsidR="00A35276" w:rsidRPr="00832914">
              <w:rPr>
                <w:rFonts w:eastAsiaTheme="minorHAnsi"/>
                <w:i/>
                <w:color w:val="000000"/>
                <w:sz w:val="25"/>
                <w:szCs w:val="25"/>
              </w:rPr>
              <w:t xml:space="preserve">, nodibinājumiem, </w:t>
            </w:r>
            <w:r w:rsidR="00A35276" w:rsidRPr="00832914">
              <w:rPr>
                <w:rFonts w:eastAsiaTheme="minorHAnsi"/>
                <w:i/>
                <w:color w:val="000000"/>
                <w:sz w:val="25"/>
                <w:szCs w:val="25"/>
                <w:u w:val="single"/>
              </w:rPr>
              <w:t>kuru darbība sniedz nozīmīgu labumu sabiedrībai vai kādai tās daļai, it sevišķi, ja tā vērsta uz</w:t>
            </w:r>
            <w:r w:rsidR="00A35276" w:rsidRPr="00832914">
              <w:rPr>
                <w:rFonts w:eastAsiaTheme="minorHAnsi"/>
                <w:i/>
                <w:color w:val="000000"/>
                <w:sz w:val="25"/>
                <w:szCs w:val="25"/>
              </w:rPr>
              <w:t xml:space="preserve"> labdarību, cilvēktiesību un indivīda tiesību aizsardzību, pilsoniskas sabiedrības attīstību, </w:t>
            </w:r>
            <w:r w:rsidR="00A35276" w:rsidRPr="00832914">
              <w:rPr>
                <w:rFonts w:eastAsiaTheme="minorHAnsi"/>
                <w:i/>
                <w:color w:val="000000"/>
                <w:sz w:val="25"/>
                <w:szCs w:val="25"/>
                <w:u w:val="single"/>
              </w:rPr>
              <w:t>izglītības</w:t>
            </w:r>
            <w:r w:rsidR="00A35276" w:rsidRPr="00832914">
              <w:rPr>
                <w:rFonts w:eastAsiaTheme="minorHAnsi"/>
                <w:i/>
                <w:color w:val="000000"/>
                <w:sz w:val="25"/>
                <w:szCs w:val="25"/>
              </w:rPr>
              <w:t>, zinātnes, kultūras un veselības</w:t>
            </w:r>
            <w:r w:rsidR="00A35276" w:rsidRPr="00832914">
              <w:rPr>
                <w:rFonts w:eastAsiaTheme="minorHAnsi"/>
                <w:i/>
                <w:color w:val="000000"/>
                <w:sz w:val="25"/>
                <w:szCs w:val="25"/>
                <w:u w:val="single"/>
              </w:rPr>
              <w:t xml:space="preserve"> veicināšanu</w:t>
            </w:r>
            <w:r w:rsidR="00A35276" w:rsidRPr="00832914">
              <w:rPr>
                <w:rFonts w:eastAsiaTheme="minorHAnsi"/>
                <w:i/>
                <w:color w:val="000000"/>
                <w:sz w:val="25"/>
                <w:szCs w:val="25"/>
              </w:rPr>
              <w:t xml:space="preserve"> un slimību profilaksi, </w:t>
            </w:r>
            <w:r w:rsidR="00A35276" w:rsidRPr="00832914">
              <w:rPr>
                <w:rFonts w:eastAsiaTheme="minorHAnsi"/>
                <w:i/>
                <w:color w:val="000000"/>
                <w:sz w:val="25"/>
                <w:szCs w:val="25"/>
                <w:u w:val="single"/>
              </w:rPr>
              <w:t>sporta atbalstīšanu</w:t>
            </w:r>
            <w:r w:rsidR="00A35276" w:rsidRPr="00832914">
              <w:rPr>
                <w:rFonts w:eastAsiaTheme="minorHAnsi"/>
                <w:i/>
                <w:color w:val="000000"/>
                <w:sz w:val="25"/>
                <w:szCs w:val="25"/>
              </w:rPr>
              <w:t>, vides aizsardzību, palīdzības sniegšanu katastrofu gadījumos un ārkārtas situācijās, sabiedrības, it īpaši trūcīgo un sociāli mazaizsargāto personu grupu sociālās labklājības celšanu, un starptautiskajām organizācijām</w:t>
            </w:r>
            <w:r w:rsidR="00A35276" w:rsidRPr="00832914">
              <w:rPr>
                <w:rFonts w:eastAsiaTheme="minorHAnsi"/>
                <w:color w:val="000000"/>
                <w:sz w:val="25"/>
                <w:szCs w:val="25"/>
              </w:rPr>
              <w:t xml:space="preserve">. Viens no </w:t>
            </w:r>
            <w:r w:rsidR="0094085D" w:rsidRPr="00832914">
              <w:rPr>
                <w:rFonts w:eastAsiaTheme="minorHAnsi"/>
                <w:color w:val="000000"/>
                <w:sz w:val="25"/>
                <w:szCs w:val="25"/>
              </w:rPr>
              <w:t>LOK</w:t>
            </w:r>
            <w:r w:rsidR="00A35276" w:rsidRPr="00832914">
              <w:rPr>
                <w:rFonts w:eastAsiaTheme="minorHAnsi"/>
                <w:color w:val="000000"/>
                <w:sz w:val="25"/>
                <w:szCs w:val="25"/>
              </w:rPr>
              <w:t xml:space="preserve"> mērķiem, kurš noteikts LOK statūtu 2.1.2.apakšpunktā, ir – </w:t>
            </w:r>
            <w:r w:rsidR="00A35276" w:rsidRPr="00832914">
              <w:rPr>
                <w:rFonts w:eastAsiaTheme="minorHAnsi"/>
                <w:i/>
                <w:color w:val="000000"/>
                <w:sz w:val="25"/>
                <w:szCs w:val="25"/>
              </w:rPr>
              <w:t>ievērojot Olimpiskās kustības principus, attīstīt sportu, sporta izglītību un sporta nozari Latvijā kopumā</w:t>
            </w:r>
            <w:r w:rsidR="00A35276" w:rsidRPr="00832914">
              <w:rPr>
                <w:rFonts w:eastAsiaTheme="minorHAnsi"/>
                <w:color w:val="000000"/>
                <w:sz w:val="25"/>
                <w:szCs w:val="25"/>
              </w:rPr>
              <w:t xml:space="preserve">. LOK kompetence sporta nozarē valstiskā līmenī nostiprināta arī Sporta likuma septītajā daļā un 11.pantā. Tāpat LOK ir minēta kā viena no iesaistītajām institūcijām Sporta politikas pamatnostādņu 2014.–2020.gadam (apstiprinātas ar Ministru kabineta 2013.gada 18.decembra rīkojumu Nr.666) </w:t>
            </w:r>
            <w:r w:rsidR="00A35276" w:rsidRPr="00832914">
              <w:rPr>
                <w:sz w:val="25"/>
                <w:szCs w:val="25"/>
              </w:rPr>
              <w:t>rīcības virziena “Sportistu sagatavošanas un sacensību sistēmas pilnveide” ietvaros paredzēto uzdevumu un pasākumu īstenošanā.</w:t>
            </w:r>
            <w:r w:rsidR="00A35276" w:rsidRPr="00832914">
              <w:rPr>
                <w:rFonts w:eastAsiaTheme="minorHAnsi"/>
                <w:color w:val="000000"/>
                <w:sz w:val="25"/>
                <w:szCs w:val="25"/>
              </w:rPr>
              <w:t xml:space="preserve"> Ievērojot minēto, </w:t>
            </w:r>
            <w:r w:rsidR="00CE3745" w:rsidRPr="00832914">
              <w:rPr>
                <w:rFonts w:eastAsiaTheme="minorHAnsi"/>
                <w:color w:val="000000"/>
                <w:sz w:val="25"/>
                <w:szCs w:val="25"/>
              </w:rPr>
              <w:t xml:space="preserve">ministrijas ieskatā </w:t>
            </w:r>
            <w:r w:rsidR="00A35276" w:rsidRPr="00832914">
              <w:rPr>
                <w:rFonts w:eastAsiaTheme="minorHAnsi"/>
                <w:color w:val="000000"/>
                <w:sz w:val="25"/>
                <w:szCs w:val="25"/>
                <w:u w:val="single"/>
              </w:rPr>
              <w:t>uz LOK ir attiecināms Noteikumu 4.4.apakšpunktā minētais izņēmums</w:t>
            </w:r>
            <w:r w:rsidR="00A35276" w:rsidRPr="00832914">
              <w:rPr>
                <w:rFonts w:eastAsiaTheme="minorHAnsi"/>
                <w:color w:val="000000"/>
                <w:sz w:val="25"/>
                <w:szCs w:val="25"/>
              </w:rPr>
              <w:t>.</w:t>
            </w:r>
            <w:r w:rsidR="00EB47AB" w:rsidRPr="00832914">
              <w:rPr>
                <w:rFonts w:eastAsiaTheme="minorHAnsi"/>
                <w:color w:val="000000"/>
                <w:sz w:val="25"/>
                <w:szCs w:val="25"/>
              </w:rPr>
              <w:t xml:space="preserve"> Tāpat jāņem vērā, ka LOK ir 0,001% Kapitālsabiedrības kapitāla daļu turētāja, kā </w:t>
            </w:r>
            <w:r w:rsidR="00EB47AB" w:rsidRPr="00832914">
              <w:rPr>
                <w:rFonts w:eastAsiaTheme="minorHAnsi"/>
                <w:color w:val="000000"/>
                <w:sz w:val="25"/>
                <w:szCs w:val="25"/>
              </w:rPr>
              <w:lastRenderedPageBreak/>
              <w:t xml:space="preserve">rezultātā </w:t>
            </w:r>
            <w:r w:rsidR="00EB47AB" w:rsidRPr="00832914">
              <w:rPr>
                <w:rFonts w:eastAsiaTheme="minorHAnsi"/>
                <w:color w:val="000000"/>
                <w:sz w:val="25"/>
                <w:szCs w:val="25"/>
                <w:u w:val="single"/>
              </w:rPr>
              <w:t xml:space="preserve">LOK </w:t>
            </w:r>
            <w:r w:rsidR="007415FE" w:rsidRPr="00832914">
              <w:rPr>
                <w:rFonts w:eastAsiaTheme="minorHAnsi"/>
                <w:color w:val="000000"/>
                <w:sz w:val="25"/>
                <w:szCs w:val="25"/>
                <w:u w:val="single"/>
              </w:rPr>
              <w:t xml:space="preserve">juridiski </w:t>
            </w:r>
            <w:r w:rsidR="00EB47AB" w:rsidRPr="00832914">
              <w:rPr>
                <w:rFonts w:eastAsiaTheme="minorHAnsi"/>
                <w:color w:val="000000"/>
                <w:sz w:val="25"/>
                <w:szCs w:val="25"/>
                <w:u w:val="single"/>
              </w:rPr>
              <w:t>ir uzskatāma arī par konkrētā nekustamā īpašuma līdzīpašnieku</w:t>
            </w:r>
            <w:r w:rsidR="00EB47AB" w:rsidRPr="00832914">
              <w:rPr>
                <w:rFonts w:eastAsiaTheme="minorHAnsi"/>
                <w:color w:val="000000"/>
                <w:sz w:val="25"/>
                <w:szCs w:val="25"/>
              </w:rPr>
              <w:t>.</w:t>
            </w:r>
          </w:p>
          <w:p w:rsidR="004E32CD" w:rsidRPr="00832914" w:rsidRDefault="004E32CD" w:rsidP="004E32CD">
            <w:pPr>
              <w:ind w:left="132" w:right="127"/>
              <w:jc w:val="both"/>
              <w:rPr>
                <w:sz w:val="25"/>
                <w:szCs w:val="25"/>
              </w:rPr>
            </w:pPr>
            <w:r w:rsidRPr="00832914">
              <w:rPr>
                <w:sz w:val="25"/>
                <w:szCs w:val="25"/>
              </w:rPr>
              <w:tab/>
            </w:r>
            <w:r w:rsidR="00A35276" w:rsidRPr="00832914">
              <w:rPr>
                <w:rFonts w:eastAsiaTheme="minorHAnsi"/>
                <w:color w:val="000000"/>
                <w:sz w:val="25"/>
                <w:szCs w:val="25"/>
              </w:rPr>
              <w:t>Saskaņā ar Kārtības 7.2.apakšpunktu gadījumā, ja lēmums paredz nomas objekta nomas līguma slēgšanu Kārtības 6.punktā minētajos gadījumos, Kapitālsabiedrības valde lēmumā norāda Kārtības 5.punkta nepiemērošanas pamatojumu un sagatavo attiecīgu līguma projektu. Ņemot vērā Kapitālsabiedrības statūtos noteikto</w:t>
            </w:r>
            <w:r w:rsidR="00A35276" w:rsidRPr="00832914">
              <w:rPr>
                <w:rStyle w:val="FootnoteReference"/>
                <w:rFonts w:eastAsiaTheme="minorHAnsi"/>
                <w:color w:val="000000"/>
                <w:sz w:val="25"/>
                <w:szCs w:val="25"/>
              </w:rPr>
              <w:footnoteReference w:id="7"/>
            </w:r>
            <w:r w:rsidR="00A35276" w:rsidRPr="00832914">
              <w:rPr>
                <w:rFonts w:eastAsiaTheme="minorHAnsi"/>
                <w:color w:val="000000"/>
                <w:sz w:val="25"/>
                <w:szCs w:val="25"/>
              </w:rPr>
              <w:t>, nomas līguma noslēgšanai nepieciešama iepriekšēja Kapitālsabiedrības dalībnieku sapulces vai kapitāla daļu turētāju pārstāvju piekrišana.</w:t>
            </w:r>
          </w:p>
          <w:p w:rsidR="004E32CD" w:rsidRPr="00832914" w:rsidRDefault="004E32CD" w:rsidP="004E32CD">
            <w:pPr>
              <w:ind w:left="132" w:right="127"/>
              <w:jc w:val="both"/>
              <w:rPr>
                <w:sz w:val="25"/>
                <w:szCs w:val="25"/>
              </w:rPr>
            </w:pPr>
            <w:r w:rsidRPr="00832914">
              <w:rPr>
                <w:sz w:val="25"/>
                <w:szCs w:val="25"/>
              </w:rPr>
              <w:tab/>
            </w:r>
            <w:r w:rsidR="00A35276" w:rsidRPr="00832914">
              <w:rPr>
                <w:rFonts w:eastAsiaTheme="minorHAnsi"/>
                <w:color w:val="000000"/>
                <w:sz w:val="25"/>
                <w:szCs w:val="25"/>
              </w:rPr>
              <w:t>Ievērojot iepriekšminēto, kā arī, ņemot vērā LOK 2014.gada 24.septembra vēstulē Nr.175 Kapitālsabiedrības valdei izteikto priekšlikumu,</w:t>
            </w:r>
            <w:r w:rsidRPr="00832914">
              <w:rPr>
                <w:rFonts w:eastAsiaTheme="minorHAnsi"/>
                <w:color w:val="000000"/>
                <w:sz w:val="25"/>
                <w:szCs w:val="25"/>
              </w:rPr>
              <w:t xml:space="preserve"> ministrijas ieskatā </w:t>
            </w:r>
            <w:r w:rsidR="00A35276" w:rsidRPr="00832914">
              <w:rPr>
                <w:rFonts w:eastAsiaTheme="minorHAnsi"/>
                <w:color w:val="000000"/>
                <w:sz w:val="25"/>
                <w:szCs w:val="25"/>
              </w:rPr>
              <w:t>Kapitālsabiedrības valdei ir tiesības pieņemt lēmumu par nomas tiesību piešķiršanu LOK, lēmumā norādot Kārtības 5.punkta nepiemērošanas pamatojumu (kas pēc būtības ir viss iepriekšminētais). Pēc attiecīga lēmuma pieņemšanas un Kapitālsabiedrību statūtos noteiktās saskaņošanas Kapitālsabiedrības valdei un LOK ir jānoslēdz nomas līgums.</w:t>
            </w:r>
          </w:p>
          <w:p w:rsidR="002E363E" w:rsidRPr="00832914" w:rsidRDefault="004E32CD" w:rsidP="004E32CD">
            <w:pPr>
              <w:ind w:left="132" w:right="127"/>
              <w:jc w:val="both"/>
              <w:rPr>
                <w:rFonts w:eastAsiaTheme="minorHAnsi"/>
                <w:color w:val="000000"/>
                <w:sz w:val="25"/>
                <w:szCs w:val="25"/>
              </w:rPr>
            </w:pPr>
            <w:r w:rsidRPr="00832914">
              <w:rPr>
                <w:sz w:val="25"/>
                <w:szCs w:val="25"/>
              </w:rPr>
              <w:tab/>
            </w:r>
            <w:r w:rsidR="00A35276" w:rsidRPr="00832914">
              <w:rPr>
                <w:rFonts w:eastAsiaTheme="minorHAnsi"/>
                <w:color w:val="000000"/>
                <w:sz w:val="25"/>
                <w:szCs w:val="25"/>
              </w:rPr>
              <w:t>Ņemot vērā to, ka LOK ir privāto tiesību subjekts, tad saskaņā ar Kārtības 8.2.apakšpunktu nomas maksa jānosaka, piemērojot Noteikumu 65.–69.punktu. Nomas maksas</w:t>
            </w:r>
            <w:r w:rsidR="00A35276" w:rsidRPr="00832914">
              <w:rPr>
                <w:rStyle w:val="FootnoteReference"/>
                <w:rFonts w:eastAsiaTheme="minorHAnsi"/>
                <w:color w:val="000000"/>
                <w:sz w:val="25"/>
                <w:szCs w:val="25"/>
              </w:rPr>
              <w:footnoteReference w:id="8"/>
            </w:r>
            <w:r w:rsidR="00A35276" w:rsidRPr="00832914">
              <w:rPr>
                <w:rFonts w:eastAsiaTheme="minorHAnsi"/>
                <w:color w:val="000000"/>
                <w:sz w:val="25"/>
                <w:szCs w:val="25"/>
              </w:rPr>
              <w:t xml:space="preserve"> noteikšanai saskaņā ar Noteikumu 65.punktu Kapitālsabiedrībai jāorganizē nomas objekta apsekošana un faktiskā stāvokļa novērtēšana</w:t>
            </w:r>
            <w:r w:rsidR="00A35276" w:rsidRPr="00832914">
              <w:rPr>
                <w:rStyle w:val="FootnoteReference"/>
                <w:rFonts w:eastAsiaTheme="minorHAnsi"/>
                <w:color w:val="000000"/>
                <w:sz w:val="25"/>
                <w:szCs w:val="25"/>
              </w:rPr>
              <w:footnoteReference w:id="9"/>
            </w:r>
            <w:r w:rsidR="00A35276" w:rsidRPr="00832914">
              <w:rPr>
                <w:rFonts w:eastAsiaTheme="minorHAnsi"/>
                <w:color w:val="000000"/>
                <w:sz w:val="25"/>
                <w:szCs w:val="25"/>
              </w:rPr>
              <w:t>, turklāt nomas maksu jānosaka, ievērojot nekustamā īpašuma tehnisko stāvokli, atrašanās vietu, izmantošanas iespējas un citus apstākļus. Lai gan Noteikumu 66.punkts to nenosaka kā obligātu pienākumu, nomas maksas noteikšanai Kapitālsabiedrībai būtu jāpieaicina sertificēts vērtētājs</w:t>
            </w:r>
            <w:r w:rsidR="00A35276" w:rsidRPr="00832914">
              <w:rPr>
                <w:rStyle w:val="FootnoteReference"/>
                <w:rFonts w:eastAsiaTheme="minorHAnsi"/>
                <w:color w:val="000000"/>
                <w:sz w:val="25"/>
                <w:szCs w:val="25"/>
              </w:rPr>
              <w:footnoteReference w:id="10"/>
            </w:r>
            <w:r w:rsidR="0011252A" w:rsidRPr="00832914">
              <w:rPr>
                <w:rFonts w:eastAsiaTheme="minorHAnsi"/>
                <w:color w:val="000000"/>
                <w:sz w:val="25"/>
                <w:szCs w:val="25"/>
              </w:rPr>
              <w:t xml:space="preserve"> pat neskatoties uz to</w:t>
            </w:r>
            <w:r w:rsidR="00A35276" w:rsidRPr="00832914">
              <w:rPr>
                <w:rFonts w:eastAsiaTheme="minorHAnsi"/>
                <w:color w:val="000000"/>
                <w:sz w:val="25"/>
                <w:szCs w:val="25"/>
              </w:rPr>
              <w:t xml:space="preserve">, ka </w:t>
            </w:r>
            <w:r w:rsidR="008F38F8" w:rsidRPr="00832914">
              <w:rPr>
                <w:rFonts w:eastAsiaTheme="minorHAnsi"/>
                <w:color w:val="000000"/>
                <w:sz w:val="25"/>
                <w:szCs w:val="25"/>
              </w:rPr>
              <w:t>uz šo gadījumu</w:t>
            </w:r>
            <w:r w:rsidR="00A35276" w:rsidRPr="00832914">
              <w:rPr>
                <w:rFonts w:eastAsiaTheme="minorHAnsi"/>
                <w:color w:val="000000"/>
                <w:sz w:val="25"/>
                <w:szCs w:val="25"/>
              </w:rPr>
              <w:t xml:space="preserve"> </w:t>
            </w:r>
            <w:r w:rsidR="008F38F8" w:rsidRPr="00832914">
              <w:rPr>
                <w:rFonts w:eastAsiaTheme="minorHAnsi"/>
                <w:color w:val="000000"/>
                <w:sz w:val="25"/>
                <w:szCs w:val="25"/>
              </w:rPr>
              <w:t>būtu</w:t>
            </w:r>
            <w:r w:rsidR="00A35276" w:rsidRPr="00832914">
              <w:rPr>
                <w:rFonts w:eastAsiaTheme="minorHAnsi"/>
                <w:color w:val="000000"/>
                <w:sz w:val="25"/>
                <w:szCs w:val="25"/>
              </w:rPr>
              <w:t xml:space="preserve"> attiecināms Noteikumu 69.1.apakšpunkt</w:t>
            </w:r>
            <w:r w:rsidR="008F38F8" w:rsidRPr="00832914">
              <w:rPr>
                <w:rFonts w:eastAsiaTheme="minorHAnsi"/>
                <w:color w:val="000000"/>
                <w:sz w:val="25"/>
                <w:szCs w:val="25"/>
              </w:rPr>
              <w:t xml:space="preserve">ā paredzētās tiesības </w:t>
            </w:r>
            <w:r w:rsidR="00A35276" w:rsidRPr="00832914">
              <w:rPr>
                <w:rFonts w:eastAsiaTheme="minorHAnsi"/>
                <w:color w:val="000000"/>
                <w:sz w:val="25"/>
                <w:szCs w:val="25"/>
              </w:rPr>
              <w:t>nomas maksu noteikt ne zemāku par nomas maksu, kas noteikta saskaņā ar Noteikumu 3.nodaļu</w:t>
            </w:r>
            <w:r w:rsidR="00A35276" w:rsidRPr="00832914">
              <w:rPr>
                <w:rStyle w:val="FootnoteReference"/>
                <w:rFonts w:eastAsiaTheme="minorHAnsi"/>
                <w:color w:val="000000"/>
                <w:sz w:val="25"/>
                <w:szCs w:val="25"/>
              </w:rPr>
              <w:footnoteReference w:id="11"/>
            </w:r>
            <w:r w:rsidR="00A35276" w:rsidRPr="00832914">
              <w:rPr>
                <w:rFonts w:eastAsiaTheme="minorHAnsi"/>
                <w:color w:val="000000"/>
                <w:sz w:val="25"/>
                <w:szCs w:val="25"/>
              </w:rPr>
              <w:t>.</w:t>
            </w:r>
          </w:p>
          <w:p w:rsidR="004E32CD" w:rsidRPr="00832914" w:rsidRDefault="002E363E" w:rsidP="004E32CD">
            <w:pPr>
              <w:ind w:left="132" w:right="127"/>
              <w:jc w:val="both"/>
              <w:rPr>
                <w:rFonts w:eastAsiaTheme="minorHAnsi"/>
                <w:color w:val="000000"/>
                <w:sz w:val="25"/>
                <w:szCs w:val="25"/>
              </w:rPr>
            </w:pPr>
            <w:r w:rsidRPr="00832914">
              <w:rPr>
                <w:rFonts w:eastAsiaTheme="minorHAnsi"/>
                <w:color w:val="000000"/>
                <w:sz w:val="25"/>
                <w:szCs w:val="25"/>
              </w:rPr>
              <w:tab/>
            </w:r>
            <w:r w:rsidR="00A35276" w:rsidRPr="00832914">
              <w:rPr>
                <w:rFonts w:eastAsiaTheme="minorHAnsi"/>
                <w:color w:val="000000"/>
                <w:sz w:val="25"/>
                <w:szCs w:val="25"/>
              </w:rPr>
              <w:t xml:space="preserve">Kārtības 20.punkts nosaka, ka gadījumā, ja nomas objekts iznomāts saskaņā ar Kārtības 6.punktu, nomas līgumā paredz, ka nomniekam aizliegts nomas objektu nodot apakšnomā, izņemot gadījumu, ja tam piekrīt Kapitālsabiedrība. </w:t>
            </w:r>
          </w:p>
          <w:p w:rsidR="004E32CD" w:rsidRPr="00832914" w:rsidRDefault="004E32CD" w:rsidP="004E32CD">
            <w:pPr>
              <w:ind w:left="132" w:right="127"/>
              <w:jc w:val="both"/>
              <w:rPr>
                <w:sz w:val="25"/>
                <w:szCs w:val="25"/>
              </w:rPr>
            </w:pPr>
            <w:r w:rsidRPr="00832914">
              <w:rPr>
                <w:rFonts w:eastAsiaTheme="minorHAnsi"/>
                <w:color w:val="000000"/>
                <w:sz w:val="25"/>
                <w:szCs w:val="25"/>
              </w:rPr>
              <w:lastRenderedPageBreak/>
              <w:tab/>
            </w:r>
            <w:r w:rsidR="00A35276" w:rsidRPr="00832914">
              <w:rPr>
                <w:rFonts w:eastAsiaTheme="minorHAnsi"/>
                <w:color w:val="000000"/>
                <w:sz w:val="25"/>
                <w:szCs w:val="25"/>
              </w:rPr>
              <w:t xml:space="preserve">Ņemot vērā </w:t>
            </w:r>
            <w:r w:rsidR="00CC6C3E" w:rsidRPr="00832914">
              <w:rPr>
                <w:rFonts w:eastAsiaTheme="minorHAnsi"/>
                <w:color w:val="000000"/>
                <w:sz w:val="25"/>
                <w:szCs w:val="25"/>
              </w:rPr>
              <w:t xml:space="preserve">Rīkojuma Nr.430 1.3.apakšpunktā </w:t>
            </w:r>
            <w:r w:rsidR="0092634A" w:rsidRPr="00832914">
              <w:rPr>
                <w:rFonts w:eastAsiaTheme="minorHAnsi"/>
                <w:color w:val="000000"/>
                <w:sz w:val="25"/>
                <w:szCs w:val="25"/>
              </w:rPr>
              <w:t xml:space="preserve">noteikto </w:t>
            </w:r>
            <w:r w:rsidR="00A35276" w:rsidRPr="00832914">
              <w:rPr>
                <w:rFonts w:eastAsiaTheme="minorHAnsi"/>
                <w:color w:val="000000"/>
                <w:sz w:val="25"/>
                <w:szCs w:val="25"/>
              </w:rPr>
              <w:t xml:space="preserve">attiecībā uz Sporta medicīnas centra iznomāšanas mērķi, t.i., nodrošināt </w:t>
            </w:r>
            <w:r w:rsidR="00A35276" w:rsidRPr="00832914">
              <w:rPr>
                <w:sz w:val="25"/>
                <w:szCs w:val="25"/>
              </w:rPr>
              <w:t>LOV</w:t>
            </w:r>
            <w:r w:rsidR="007F7D46" w:rsidRPr="00832914">
              <w:rPr>
                <w:sz w:val="25"/>
                <w:szCs w:val="25"/>
              </w:rPr>
              <w:t xml:space="preserve"> darbību</w:t>
            </w:r>
            <w:r w:rsidR="00A35276" w:rsidRPr="00832914">
              <w:rPr>
                <w:sz w:val="25"/>
                <w:szCs w:val="25"/>
              </w:rPr>
              <w:t>, nomas līgumā starp Kapitālsabiedrību un LOK jāparedz:</w:t>
            </w:r>
          </w:p>
          <w:p w:rsidR="007830F4" w:rsidRPr="00832914" w:rsidRDefault="00A35276" w:rsidP="007830F4">
            <w:pPr>
              <w:pStyle w:val="ListParagraph"/>
              <w:numPr>
                <w:ilvl w:val="0"/>
                <w:numId w:val="16"/>
              </w:numPr>
              <w:ind w:right="127"/>
              <w:jc w:val="both"/>
              <w:rPr>
                <w:sz w:val="25"/>
                <w:szCs w:val="25"/>
              </w:rPr>
            </w:pPr>
            <w:r w:rsidRPr="00832914">
              <w:rPr>
                <w:sz w:val="25"/>
                <w:szCs w:val="25"/>
              </w:rPr>
              <w:t>LOK pienākums nodot nekustamo īpašumu apakšnomā LOV</w:t>
            </w:r>
            <w:r w:rsidR="003C72F1" w:rsidRPr="00832914">
              <w:rPr>
                <w:sz w:val="25"/>
                <w:szCs w:val="25"/>
              </w:rPr>
              <w:t xml:space="preserve"> (</w:t>
            </w:r>
            <w:r w:rsidR="003C72F1" w:rsidRPr="00832914">
              <w:rPr>
                <w:rFonts w:eastAsiaTheme="minorHAnsi"/>
                <w:color w:val="000000"/>
                <w:sz w:val="25"/>
                <w:szCs w:val="25"/>
              </w:rPr>
              <w:t>kuras kapitāla daļu turētāji ir gan LOK, gan ministrija)</w:t>
            </w:r>
            <w:r w:rsidR="007830F4" w:rsidRPr="00832914">
              <w:rPr>
                <w:sz w:val="25"/>
                <w:szCs w:val="25"/>
              </w:rPr>
              <w:t>;</w:t>
            </w:r>
          </w:p>
          <w:p w:rsidR="007830F4" w:rsidRPr="00832914" w:rsidRDefault="00A35276" w:rsidP="007830F4">
            <w:pPr>
              <w:pStyle w:val="ListParagraph"/>
              <w:numPr>
                <w:ilvl w:val="0"/>
                <w:numId w:val="16"/>
              </w:numPr>
              <w:ind w:right="127"/>
              <w:jc w:val="both"/>
              <w:rPr>
                <w:sz w:val="25"/>
                <w:szCs w:val="25"/>
              </w:rPr>
            </w:pPr>
            <w:r w:rsidRPr="00832914">
              <w:rPr>
                <w:sz w:val="25"/>
                <w:szCs w:val="25"/>
              </w:rPr>
              <w:t>aizliegums LOK nodot nekustamo īpašumu apakšnomā citām personām (izņemot LOV);</w:t>
            </w:r>
          </w:p>
          <w:p w:rsidR="00A35276" w:rsidRPr="00832914" w:rsidRDefault="00A35276" w:rsidP="007830F4">
            <w:pPr>
              <w:pStyle w:val="ListParagraph"/>
              <w:numPr>
                <w:ilvl w:val="0"/>
                <w:numId w:val="16"/>
              </w:numPr>
              <w:ind w:right="127"/>
              <w:jc w:val="both"/>
              <w:rPr>
                <w:sz w:val="25"/>
                <w:szCs w:val="25"/>
              </w:rPr>
            </w:pPr>
            <w:r w:rsidRPr="00832914">
              <w:rPr>
                <w:sz w:val="25"/>
                <w:szCs w:val="25"/>
              </w:rPr>
              <w:t>nomas maksa, kuru LOK nosaka apakšnomas līgumā ar LOV, nedrīkst būt augstāka par Kapitālsabiedrības un LOK nomas līgumā noteikto nomas maksu.</w:t>
            </w:r>
          </w:p>
          <w:p w:rsidR="002D328A" w:rsidRPr="00832914" w:rsidRDefault="002D328A" w:rsidP="001C3E5B">
            <w:pPr>
              <w:ind w:left="132" w:right="127"/>
              <w:jc w:val="both"/>
              <w:rPr>
                <w:sz w:val="25"/>
                <w:szCs w:val="25"/>
              </w:rPr>
            </w:pPr>
            <w:r w:rsidRPr="00832914">
              <w:rPr>
                <w:sz w:val="25"/>
                <w:szCs w:val="25"/>
              </w:rPr>
              <w:tab/>
              <w:t xml:space="preserve">Ņemot vērā faktu, ka starp Kapitālsabiedrību un LOK jau ir noslēgts līgums par šobrīd LOV izmantojamās </w:t>
            </w:r>
            <w:r w:rsidR="00FF1105" w:rsidRPr="00832914">
              <w:rPr>
                <w:sz w:val="25"/>
                <w:szCs w:val="25"/>
              </w:rPr>
              <w:t xml:space="preserve">ēkas (nekustamā īpašuma Roberta Feldmaņa ielā 8; būves kadastra apzīmējums 0100 084 0175 001) </w:t>
            </w:r>
            <w:r w:rsidRPr="00832914">
              <w:rPr>
                <w:sz w:val="25"/>
                <w:szCs w:val="25"/>
              </w:rPr>
              <w:t xml:space="preserve">nodošanu lietošanā par maksu (nomu), šajā gadījumā tiktu slēgts nevis jauns līgums, bet gan izdarīti grozījumi </w:t>
            </w:r>
            <w:r w:rsidR="00B326F4">
              <w:rPr>
                <w:sz w:val="25"/>
                <w:szCs w:val="25"/>
              </w:rPr>
              <w:t>esošajā līgumā</w:t>
            </w:r>
            <w:r w:rsidRPr="00832914">
              <w:rPr>
                <w:sz w:val="25"/>
                <w:szCs w:val="25"/>
              </w:rPr>
              <w:t>.</w:t>
            </w:r>
          </w:p>
          <w:p w:rsidR="0011252A" w:rsidRPr="00832914" w:rsidRDefault="002D328A" w:rsidP="0011252A">
            <w:pPr>
              <w:ind w:left="132" w:right="127"/>
              <w:jc w:val="both"/>
              <w:rPr>
                <w:sz w:val="25"/>
                <w:szCs w:val="25"/>
              </w:rPr>
            </w:pPr>
            <w:r w:rsidRPr="00832914">
              <w:rPr>
                <w:sz w:val="25"/>
                <w:szCs w:val="25"/>
              </w:rPr>
              <w:tab/>
            </w:r>
            <w:r w:rsidR="00390945">
              <w:rPr>
                <w:sz w:val="25"/>
                <w:szCs w:val="25"/>
              </w:rPr>
              <w:t>Bez tam</w:t>
            </w:r>
            <w:r w:rsidR="0011252A" w:rsidRPr="00832914">
              <w:rPr>
                <w:sz w:val="25"/>
                <w:szCs w:val="25"/>
              </w:rPr>
              <w:t>, izvērtējot ministrijā un Kapitālsabiedrībā saņemto LOV sagatavoto nepieciešamā Sporta medicīnas centra aprīkojuma sarakstu, secināts, ka daļa no nepieciešamā ap</w:t>
            </w:r>
            <w:r w:rsidR="00555C51">
              <w:rPr>
                <w:sz w:val="25"/>
                <w:szCs w:val="25"/>
              </w:rPr>
              <w:t>rīkojuma ir tiešā veidā saistīta</w:t>
            </w:r>
            <w:r w:rsidR="0011252A" w:rsidRPr="00832914">
              <w:rPr>
                <w:sz w:val="25"/>
                <w:szCs w:val="25"/>
              </w:rPr>
              <w:t xml:space="preserve"> ar jau šobrīd LOV bilancē esošo un LOV funkcionāli diagnosticējošajā laboratorijā izmantoto aprīkojumu (t.i., </w:t>
            </w:r>
            <w:r w:rsidRPr="00832914">
              <w:rPr>
                <w:sz w:val="25"/>
                <w:szCs w:val="25"/>
              </w:rPr>
              <w:t xml:space="preserve">daļa no nepieciešamā jaunā aprīkojuma </w:t>
            </w:r>
            <w:r w:rsidR="0011252A" w:rsidRPr="00832914">
              <w:rPr>
                <w:sz w:val="25"/>
                <w:szCs w:val="25"/>
              </w:rPr>
              <w:t>ir esošā LOV aprīkojuma funkcionāli papildinoš</w:t>
            </w:r>
            <w:r w:rsidRPr="00832914">
              <w:rPr>
                <w:sz w:val="25"/>
                <w:szCs w:val="25"/>
              </w:rPr>
              <w:t>ais</w:t>
            </w:r>
            <w:r w:rsidR="0011252A" w:rsidRPr="00832914">
              <w:rPr>
                <w:sz w:val="25"/>
                <w:szCs w:val="25"/>
              </w:rPr>
              <w:t xml:space="preserve"> apr</w:t>
            </w:r>
            <w:r w:rsidRPr="00832914">
              <w:rPr>
                <w:sz w:val="25"/>
                <w:szCs w:val="25"/>
              </w:rPr>
              <w:t>īkojums</w:t>
            </w:r>
            <w:r w:rsidR="0011252A" w:rsidRPr="00832914">
              <w:rPr>
                <w:sz w:val="25"/>
                <w:szCs w:val="25"/>
              </w:rPr>
              <w:t>),</w:t>
            </w:r>
            <w:r w:rsidR="00001270">
              <w:rPr>
                <w:sz w:val="25"/>
                <w:szCs w:val="25"/>
              </w:rPr>
              <w:t xml:space="preserve"> kā rezultātā, izpildot Rīkojuma</w:t>
            </w:r>
            <w:r w:rsidR="0011252A" w:rsidRPr="00832914">
              <w:rPr>
                <w:sz w:val="25"/>
                <w:szCs w:val="25"/>
              </w:rPr>
              <w:t xml:space="preserve"> Nr.430</w:t>
            </w:r>
            <w:r w:rsidR="00001270">
              <w:rPr>
                <w:sz w:val="25"/>
                <w:szCs w:val="25"/>
              </w:rPr>
              <w:t xml:space="preserve"> 1.3.apakšpunktu</w:t>
            </w:r>
            <w:r w:rsidR="0011252A" w:rsidRPr="00832914">
              <w:rPr>
                <w:sz w:val="25"/>
                <w:szCs w:val="25"/>
              </w:rPr>
              <w:t>, var  būt situācijas, kad viena funkcionāla aprīkojuma dažādas sastāvdaļas atrodas divu juridisku personu bilancē (attiecīgi arī īpašumā). Ministrijas ieskatā atbilstošāka rīcība būtu, ja Sporta medicīnas centra un esošās LOV funkcionāli diagnosticējošās laboratorijas aprīkojuma iegādei nepieciešamos līdzekļus 157</w:t>
            </w:r>
            <w:r w:rsidR="005D6DC2">
              <w:rPr>
                <w:sz w:val="25"/>
                <w:szCs w:val="25"/>
              </w:rPr>
              <w:t>`</w:t>
            </w:r>
            <w:r w:rsidR="0011252A" w:rsidRPr="00832914">
              <w:rPr>
                <w:sz w:val="25"/>
                <w:szCs w:val="25"/>
              </w:rPr>
              <w:t xml:space="preserve">820 </w:t>
            </w:r>
            <w:r w:rsidR="0011252A" w:rsidRPr="00832914">
              <w:rPr>
                <w:i/>
                <w:sz w:val="25"/>
                <w:szCs w:val="25"/>
              </w:rPr>
              <w:t>euro</w:t>
            </w:r>
            <w:r w:rsidR="0011252A" w:rsidRPr="00832914">
              <w:rPr>
                <w:sz w:val="25"/>
                <w:szCs w:val="25"/>
              </w:rPr>
              <w:t xml:space="preserve"> apmērā piešķirtu tieši LOV,  kas norādīts arī ministrijā saņemtajā LOV 2014.gada 7.oktobra vēstulē Nr.1-53. </w:t>
            </w:r>
          </w:p>
          <w:p w:rsidR="007830F4" w:rsidRPr="00832914" w:rsidRDefault="00623D64" w:rsidP="007830F4">
            <w:pPr>
              <w:ind w:left="132" w:right="127"/>
              <w:jc w:val="both"/>
              <w:rPr>
                <w:sz w:val="25"/>
                <w:szCs w:val="25"/>
              </w:rPr>
            </w:pPr>
            <w:r w:rsidRPr="00832914">
              <w:rPr>
                <w:sz w:val="25"/>
                <w:szCs w:val="25"/>
              </w:rPr>
              <w:tab/>
              <w:t xml:space="preserve">Ņemot vērā minēto un to, ka </w:t>
            </w:r>
            <w:r w:rsidR="00F81F88" w:rsidRPr="00832914">
              <w:rPr>
                <w:sz w:val="25"/>
                <w:szCs w:val="25"/>
              </w:rPr>
              <w:t xml:space="preserve">jautājuma risināšanas atlikšana </w:t>
            </w:r>
            <w:r w:rsidR="005D3E72" w:rsidRPr="00832914">
              <w:rPr>
                <w:sz w:val="25"/>
                <w:szCs w:val="25"/>
              </w:rPr>
              <w:t>ne tikai var radīt risku ar Rīkojuma Nr.430 1.3.apakšpunktu piešķirto valsts budžeta līdzekļu (577</w:t>
            </w:r>
            <w:r w:rsidR="005D6DC2">
              <w:rPr>
                <w:sz w:val="25"/>
                <w:szCs w:val="25"/>
              </w:rPr>
              <w:t>`</w:t>
            </w:r>
            <w:r w:rsidR="005D3E72" w:rsidRPr="00832914">
              <w:rPr>
                <w:sz w:val="25"/>
                <w:szCs w:val="25"/>
              </w:rPr>
              <w:t xml:space="preserve">820 </w:t>
            </w:r>
            <w:r w:rsidR="005D3E72" w:rsidRPr="00832914">
              <w:rPr>
                <w:i/>
                <w:sz w:val="25"/>
                <w:szCs w:val="25"/>
              </w:rPr>
              <w:t>euro</w:t>
            </w:r>
            <w:r w:rsidR="005D3E72" w:rsidRPr="00832914">
              <w:rPr>
                <w:sz w:val="25"/>
                <w:szCs w:val="25"/>
              </w:rPr>
              <w:t xml:space="preserve"> apmērā)  izlietošanai neatbilstoši tam paredzētam mērķim, kā arī </w:t>
            </w:r>
            <w:r w:rsidR="00BD05E9" w:rsidRPr="00832914">
              <w:rPr>
                <w:sz w:val="25"/>
                <w:szCs w:val="25"/>
              </w:rPr>
              <w:t xml:space="preserve">var </w:t>
            </w:r>
            <w:r w:rsidR="005D3E72" w:rsidRPr="00832914">
              <w:rPr>
                <w:sz w:val="25"/>
                <w:szCs w:val="25"/>
              </w:rPr>
              <w:t xml:space="preserve">radīt risku šo līdzekļu  apguvei  faktiski veikto darbu apmaksai līdz 2014.gada 31.decembrim (atbilstoši Rīkojuma Nr.430 5.punktā ministrijai noteiktam pienākumam), </w:t>
            </w:r>
            <w:r w:rsidR="003C16EF">
              <w:rPr>
                <w:sz w:val="25"/>
                <w:szCs w:val="25"/>
              </w:rPr>
              <w:t xml:space="preserve">papildus iepriekšminētam attiecībā uz pārdales rezultātā pieejamo līdzekļu izlietojumu  Rīkojumā Nr.430 </w:t>
            </w:r>
            <w:r w:rsidR="00A35276" w:rsidRPr="00832914">
              <w:rPr>
                <w:sz w:val="25"/>
                <w:szCs w:val="25"/>
              </w:rPr>
              <w:t>nepieciešams izd</w:t>
            </w:r>
            <w:r w:rsidR="00336742">
              <w:rPr>
                <w:sz w:val="25"/>
                <w:szCs w:val="25"/>
              </w:rPr>
              <w:t xml:space="preserve">arīt </w:t>
            </w:r>
            <w:r w:rsidR="003C16EF">
              <w:rPr>
                <w:sz w:val="25"/>
                <w:szCs w:val="25"/>
              </w:rPr>
              <w:t>arī šādus g</w:t>
            </w:r>
            <w:r w:rsidR="00336742">
              <w:rPr>
                <w:sz w:val="25"/>
                <w:szCs w:val="25"/>
              </w:rPr>
              <w:t>rozījumus</w:t>
            </w:r>
            <w:r w:rsidR="009B3020" w:rsidRPr="00832914">
              <w:rPr>
                <w:sz w:val="25"/>
                <w:szCs w:val="25"/>
              </w:rPr>
              <w:t>:</w:t>
            </w:r>
          </w:p>
          <w:p w:rsidR="007830F4" w:rsidRPr="00832914" w:rsidRDefault="00146DF6" w:rsidP="007830F4">
            <w:pPr>
              <w:pStyle w:val="ListParagraph"/>
              <w:numPr>
                <w:ilvl w:val="0"/>
                <w:numId w:val="15"/>
              </w:numPr>
              <w:ind w:right="127"/>
              <w:jc w:val="both"/>
              <w:rPr>
                <w:sz w:val="25"/>
                <w:szCs w:val="25"/>
              </w:rPr>
            </w:pPr>
            <w:r w:rsidRPr="00832914">
              <w:rPr>
                <w:sz w:val="25"/>
                <w:szCs w:val="25"/>
              </w:rPr>
              <w:t>samazināt Rīkojuma 1.3.</w:t>
            </w:r>
            <w:r w:rsidR="003C16EF">
              <w:rPr>
                <w:sz w:val="25"/>
                <w:szCs w:val="25"/>
              </w:rPr>
              <w:t>apakšpunktā</w:t>
            </w:r>
            <w:r w:rsidRPr="00832914">
              <w:rPr>
                <w:sz w:val="25"/>
                <w:szCs w:val="25"/>
              </w:rPr>
              <w:t xml:space="preserve"> norādīto Sporta centra “Mežaparks” rekonstrukcijai paredzēto līdzekļu apmēru līdz 420</w:t>
            </w:r>
            <w:r w:rsidR="005D6DC2">
              <w:rPr>
                <w:sz w:val="25"/>
                <w:szCs w:val="25"/>
              </w:rPr>
              <w:t>`</w:t>
            </w:r>
            <w:r w:rsidRPr="00832914">
              <w:rPr>
                <w:sz w:val="25"/>
                <w:szCs w:val="25"/>
              </w:rPr>
              <w:t xml:space="preserve">000 </w:t>
            </w:r>
            <w:r w:rsidRPr="00832914">
              <w:rPr>
                <w:i/>
                <w:sz w:val="25"/>
                <w:szCs w:val="25"/>
              </w:rPr>
              <w:t>euro</w:t>
            </w:r>
            <w:r w:rsidRPr="00832914">
              <w:rPr>
                <w:sz w:val="25"/>
                <w:szCs w:val="25"/>
              </w:rPr>
              <w:t xml:space="preserve"> (samazinājums 157</w:t>
            </w:r>
            <w:r w:rsidR="005D6DC2">
              <w:rPr>
                <w:sz w:val="25"/>
                <w:szCs w:val="25"/>
              </w:rPr>
              <w:t>`</w:t>
            </w:r>
            <w:r w:rsidRPr="00832914">
              <w:rPr>
                <w:sz w:val="25"/>
                <w:szCs w:val="25"/>
              </w:rPr>
              <w:t xml:space="preserve">820 </w:t>
            </w:r>
            <w:r w:rsidRPr="00832914">
              <w:rPr>
                <w:i/>
                <w:sz w:val="25"/>
                <w:szCs w:val="25"/>
              </w:rPr>
              <w:t>euro</w:t>
            </w:r>
            <w:r w:rsidRPr="00832914">
              <w:rPr>
                <w:sz w:val="25"/>
                <w:szCs w:val="25"/>
              </w:rPr>
              <w:t xml:space="preserve"> apmērā), vienlaikus </w:t>
            </w:r>
            <w:r w:rsidR="007A0AC8" w:rsidRPr="00832914">
              <w:rPr>
                <w:sz w:val="25"/>
                <w:szCs w:val="25"/>
              </w:rPr>
              <w:t>redakcionāli precizējot</w:t>
            </w:r>
            <w:r w:rsidRPr="00832914">
              <w:rPr>
                <w:sz w:val="25"/>
                <w:szCs w:val="25"/>
              </w:rPr>
              <w:t>, ka ar vārdiem “Latvijas Olimpiskā vienība” ir saprotama attiecīgā kapitālsabiedrība (LOV);</w:t>
            </w:r>
          </w:p>
          <w:p w:rsidR="009B3020" w:rsidRPr="00832914" w:rsidRDefault="005F1F79" w:rsidP="007830F4">
            <w:pPr>
              <w:pStyle w:val="ListParagraph"/>
              <w:numPr>
                <w:ilvl w:val="0"/>
                <w:numId w:val="15"/>
              </w:numPr>
              <w:ind w:right="127"/>
              <w:jc w:val="both"/>
              <w:rPr>
                <w:sz w:val="25"/>
                <w:szCs w:val="25"/>
              </w:rPr>
            </w:pPr>
            <w:r w:rsidRPr="00832914">
              <w:rPr>
                <w:sz w:val="25"/>
                <w:szCs w:val="25"/>
              </w:rPr>
              <w:t>noteikt, ka  Sporta medicīnas centra kā arī esošās LOV funkcionāli diagnosticējošās laboratorijas aprīkojuma iegādei paredzētie (pārdalītie) līdzekļi 157</w:t>
            </w:r>
            <w:r w:rsidR="005D6DC2">
              <w:rPr>
                <w:sz w:val="25"/>
                <w:szCs w:val="25"/>
              </w:rPr>
              <w:t>`</w:t>
            </w:r>
            <w:r w:rsidRPr="00832914">
              <w:rPr>
                <w:sz w:val="25"/>
                <w:szCs w:val="25"/>
              </w:rPr>
              <w:t xml:space="preserve">820 </w:t>
            </w:r>
            <w:r w:rsidRPr="00832914">
              <w:rPr>
                <w:i/>
                <w:sz w:val="25"/>
                <w:szCs w:val="25"/>
              </w:rPr>
              <w:t>euro</w:t>
            </w:r>
            <w:r w:rsidRPr="00832914">
              <w:rPr>
                <w:sz w:val="25"/>
                <w:szCs w:val="25"/>
              </w:rPr>
              <w:t xml:space="preserve"> apmērā tiek piešķirti LOV;</w:t>
            </w:r>
          </w:p>
          <w:p w:rsidR="00472478" w:rsidRPr="00832914" w:rsidRDefault="00813633" w:rsidP="006C78E8">
            <w:pPr>
              <w:pStyle w:val="ListParagraph"/>
              <w:numPr>
                <w:ilvl w:val="0"/>
                <w:numId w:val="15"/>
              </w:numPr>
              <w:ind w:right="127"/>
              <w:jc w:val="both"/>
              <w:rPr>
                <w:sz w:val="25"/>
                <w:szCs w:val="25"/>
              </w:rPr>
            </w:pPr>
            <w:r w:rsidRPr="00832914">
              <w:rPr>
                <w:sz w:val="25"/>
                <w:szCs w:val="25"/>
              </w:rPr>
              <w:lastRenderedPageBreak/>
              <w:t xml:space="preserve">noteikt pienākumu ministrijai (Kapitālsabiedrībai) </w:t>
            </w:r>
            <w:r w:rsidR="00932F86" w:rsidRPr="00832914">
              <w:rPr>
                <w:sz w:val="25"/>
                <w:szCs w:val="25"/>
              </w:rPr>
              <w:t xml:space="preserve">pienākumu nodrošināt, ka Sporta medicīnas centrs (Roberta Feldmaņa ielā 11, Rīgā) pēc rekonstrukcijas tiek nodots lietošanā par maksu </w:t>
            </w:r>
            <w:r w:rsidR="00472478" w:rsidRPr="00832914">
              <w:rPr>
                <w:sz w:val="25"/>
                <w:szCs w:val="25"/>
              </w:rPr>
              <w:t>LOV;</w:t>
            </w:r>
          </w:p>
          <w:p w:rsidR="005D3E72" w:rsidRPr="00832914" w:rsidRDefault="00472478" w:rsidP="00472478">
            <w:pPr>
              <w:pStyle w:val="ListParagraph"/>
              <w:numPr>
                <w:ilvl w:val="0"/>
                <w:numId w:val="15"/>
              </w:numPr>
              <w:ind w:right="127"/>
              <w:jc w:val="both"/>
              <w:rPr>
                <w:sz w:val="25"/>
                <w:szCs w:val="25"/>
              </w:rPr>
            </w:pPr>
            <w:r w:rsidRPr="00832914">
              <w:rPr>
                <w:sz w:val="25"/>
                <w:szCs w:val="25"/>
              </w:rPr>
              <w:t>redakcionāli precizēt Rīkojuma 5.punktu, papildinot to ar atsauci arī uz jauno Rīkojuma 1.3</w:t>
            </w:r>
            <w:r w:rsidRPr="00832914">
              <w:rPr>
                <w:sz w:val="25"/>
                <w:szCs w:val="25"/>
                <w:vertAlign w:val="superscript"/>
              </w:rPr>
              <w:t>1</w:t>
            </w:r>
            <w:r w:rsidRPr="00832914">
              <w:rPr>
                <w:sz w:val="25"/>
                <w:szCs w:val="25"/>
              </w:rPr>
              <w:t>apakšpunktu, tādejādi nodrošinot, ka arī LOV piešķirtie valsts budžeta līdzekļi  apguvi  faktiski veikto darbu apmaksai līdz 2014.gada 31.decembrim;</w:t>
            </w:r>
          </w:p>
          <w:p w:rsidR="00472478" w:rsidRPr="00832914" w:rsidRDefault="00472478" w:rsidP="00756836">
            <w:pPr>
              <w:pStyle w:val="ListParagraph"/>
              <w:numPr>
                <w:ilvl w:val="0"/>
                <w:numId w:val="15"/>
              </w:numPr>
              <w:ind w:right="127"/>
              <w:jc w:val="both"/>
              <w:rPr>
                <w:sz w:val="25"/>
                <w:szCs w:val="25"/>
              </w:rPr>
            </w:pPr>
            <w:r w:rsidRPr="00832914">
              <w:rPr>
                <w:sz w:val="25"/>
                <w:szCs w:val="25"/>
              </w:rPr>
              <w:t>precizēt Rīkojuma 6.punktā noteikto termiņu, saskaņojot to ar Ministru kabineta 2014.gada 31.aoktobra rīkojuma Nr.623 “Par Siguldas sporta kompleksa projekta, Vidzemes Olimpiskā centra attīstības projekta un Liepājas Olimpiskā centra vieglatlētikas manēžas būvniecības projekta īstenošanai 2014. gadā paredzēto valsts budžeta līdzekļu pārdali” 2.3.apakšpunktā noteikto termiņu (2014.gada 30.novembri).</w:t>
            </w:r>
          </w:p>
          <w:p w:rsidR="007A376F" w:rsidRPr="00832914" w:rsidRDefault="007A376F" w:rsidP="007A376F">
            <w:pPr>
              <w:ind w:left="132" w:right="127"/>
              <w:jc w:val="both"/>
              <w:rPr>
                <w:sz w:val="25"/>
                <w:szCs w:val="25"/>
              </w:rPr>
            </w:pPr>
          </w:p>
          <w:p w:rsidR="00016875" w:rsidRDefault="00016875" w:rsidP="004274A7">
            <w:pPr>
              <w:ind w:left="132" w:right="127"/>
              <w:jc w:val="both"/>
              <w:rPr>
                <w:sz w:val="25"/>
                <w:szCs w:val="25"/>
              </w:rPr>
            </w:pPr>
            <w:r>
              <w:rPr>
                <w:sz w:val="25"/>
                <w:szCs w:val="25"/>
              </w:rPr>
              <w:tab/>
              <w:t>Papildus minētam a</w:t>
            </w:r>
            <w:r w:rsidRPr="00016875">
              <w:rPr>
                <w:sz w:val="25"/>
                <w:szCs w:val="25"/>
              </w:rPr>
              <w:t xml:space="preserve">r </w:t>
            </w:r>
            <w:r>
              <w:t xml:space="preserve"> </w:t>
            </w:r>
            <w:r w:rsidRPr="00016875">
              <w:rPr>
                <w:sz w:val="25"/>
                <w:szCs w:val="25"/>
              </w:rPr>
              <w:t>Ministru kabineta 2014.gada 5.augusta sēdes protokollēmuma (prot. Nr.42 38.§) “Informatīvais ziņojums “Par Murjāņu sporta ģimnāzijas turpmāko darbību”” 3.punkt</w:t>
            </w:r>
            <w:r>
              <w:rPr>
                <w:sz w:val="25"/>
                <w:szCs w:val="25"/>
              </w:rPr>
              <w:t xml:space="preserve">u ministrijai tika uzdots </w:t>
            </w:r>
            <w:r w:rsidRPr="00016875">
              <w:rPr>
                <w:sz w:val="25"/>
                <w:szCs w:val="25"/>
              </w:rPr>
              <w:t>sagatavot un līdz 2014.gada 1.oktobrim iesniegt Ministru kabinetā koncepcijas projektu par sporta internātu turpmāko attīstību.</w:t>
            </w:r>
            <w:r>
              <w:rPr>
                <w:sz w:val="25"/>
                <w:szCs w:val="25"/>
              </w:rPr>
              <w:t xml:space="preserve"> Ņemot vērā </w:t>
            </w:r>
            <w:r w:rsidRPr="00016875">
              <w:rPr>
                <w:sz w:val="25"/>
                <w:szCs w:val="25"/>
              </w:rPr>
              <w:t xml:space="preserve">Ministru kabineta 2014.gada 10.novembra ārkārtas </w:t>
            </w:r>
            <w:r>
              <w:rPr>
                <w:sz w:val="25"/>
                <w:szCs w:val="25"/>
              </w:rPr>
              <w:t xml:space="preserve">sēdē atbalstīto priekšlikumu </w:t>
            </w:r>
            <w:r w:rsidRPr="00016875">
              <w:rPr>
                <w:sz w:val="25"/>
                <w:szCs w:val="25"/>
              </w:rPr>
              <w:t>(prot.Nr.61 28.§, 1</w:t>
            </w:r>
            <w:r>
              <w:rPr>
                <w:sz w:val="25"/>
                <w:szCs w:val="25"/>
              </w:rPr>
              <w:t>4.7.apakšpunkts</w:t>
            </w:r>
            <w:r w:rsidRPr="00016875">
              <w:rPr>
                <w:sz w:val="25"/>
                <w:szCs w:val="25"/>
              </w:rPr>
              <w:t>)</w:t>
            </w:r>
            <w:r>
              <w:rPr>
                <w:sz w:val="25"/>
                <w:szCs w:val="25"/>
              </w:rPr>
              <w:t xml:space="preserve"> par finansējuma pārdali </w:t>
            </w:r>
            <w:r w:rsidRPr="00016875">
              <w:rPr>
                <w:sz w:val="25"/>
                <w:szCs w:val="25"/>
              </w:rPr>
              <w:t>sporta veidu reģionālo attīstības centru (sporta internātu) pilotprojektu</w:t>
            </w:r>
            <w:r>
              <w:rPr>
                <w:sz w:val="25"/>
                <w:szCs w:val="25"/>
              </w:rPr>
              <w:t xml:space="preserve"> īstenošanai, ko paredzēts uzsākt </w:t>
            </w:r>
            <w:r w:rsidR="002C19AF">
              <w:rPr>
                <w:sz w:val="25"/>
                <w:szCs w:val="25"/>
              </w:rPr>
              <w:t xml:space="preserve">tikai </w:t>
            </w:r>
            <w:r>
              <w:rPr>
                <w:sz w:val="25"/>
                <w:szCs w:val="25"/>
              </w:rPr>
              <w:t xml:space="preserve">ar 2015.gada 1.septembri, kā arī, lai nodrošinātu visu ieinteresēto pušu (valsts pārvaldes iestāžu, pašvaldību, sporta nozares sociālo partneru) iesaisti  </w:t>
            </w:r>
            <w:r w:rsidRPr="00016875">
              <w:rPr>
                <w:sz w:val="25"/>
                <w:szCs w:val="25"/>
              </w:rPr>
              <w:t>sporta veidu reģionālo attīstības centru (sporta internātu)</w:t>
            </w:r>
            <w:r>
              <w:rPr>
                <w:sz w:val="25"/>
                <w:szCs w:val="25"/>
              </w:rPr>
              <w:t xml:space="preserve"> turpmākās attīstības stratēģijas izstrādē, ministrija rosina pagarināt minētās koncepcijas izstrādes termiņu līdz </w:t>
            </w:r>
            <w:r w:rsidRPr="00016875">
              <w:rPr>
                <w:sz w:val="25"/>
                <w:szCs w:val="25"/>
              </w:rPr>
              <w:t>2015.gada 1.septembrim.</w:t>
            </w:r>
          </w:p>
          <w:p w:rsidR="00016875" w:rsidRDefault="00016875" w:rsidP="004274A7">
            <w:pPr>
              <w:ind w:left="132" w:right="127"/>
              <w:jc w:val="both"/>
              <w:rPr>
                <w:sz w:val="25"/>
                <w:szCs w:val="25"/>
              </w:rPr>
            </w:pPr>
          </w:p>
          <w:p w:rsidR="00475B54" w:rsidRPr="001C3E5B" w:rsidRDefault="007A376F" w:rsidP="004274A7">
            <w:pPr>
              <w:ind w:left="132" w:right="127"/>
              <w:jc w:val="both"/>
              <w:rPr>
                <w:sz w:val="25"/>
                <w:szCs w:val="25"/>
              </w:rPr>
            </w:pPr>
            <w:r w:rsidRPr="00832914">
              <w:rPr>
                <w:sz w:val="25"/>
                <w:szCs w:val="25"/>
              </w:rPr>
              <w:tab/>
              <w:t>Ievērojot minēto, ministrija ir izstrādājusi Ministru kabineta rīkojuma projektu “Grozījumi Ministru kabineta 2014.gada 18.augusta rīkojumā Nr.430 “Par Murjāņu sporta ģimnāzijas esošo būvju rekonstrukcijas un multifunkcionālas slēgtas sporta manēžas būvniecības projekta īstenošanai 2014.gadā paredzēto valsts budžeta līdzekļu pārdali””</w:t>
            </w:r>
            <w:r w:rsidR="00016875">
              <w:rPr>
                <w:sz w:val="25"/>
                <w:szCs w:val="25"/>
              </w:rPr>
              <w:t xml:space="preserve"> un attiecīgu Ministru kabineta sēdes protokollēmuma projektu</w:t>
            </w:r>
            <w:r w:rsidR="004274A7" w:rsidRPr="00832914">
              <w:rPr>
                <w:sz w:val="25"/>
                <w:szCs w:val="25"/>
              </w:rPr>
              <w:t>.</w:t>
            </w:r>
            <w:r w:rsidR="00B44E62" w:rsidRPr="00832914">
              <w:rPr>
                <w:sz w:val="25"/>
                <w:szCs w:val="25"/>
              </w:rPr>
              <w:tab/>
            </w:r>
          </w:p>
        </w:tc>
      </w:tr>
      <w:tr w:rsidR="00585B7B" w:rsidRPr="00672427" w:rsidTr="00672427">
        <w:trPr>
          <w:trHeight w:val="476"/>
        </w:trPr>
        <w:tc>
          <w:tcPr>
            <w:tcW w:w="562" w:type="dxa"/>
          </w:tcPr>
          <w:p w:rsidR="00585B7B" w:rsidRPr="00672427" w:rsidRDefault="00005A9D" w:rsidP="00BD696A">
            <w:pPr>
              <w:pStyle w:val="naiskr"/>
              <w:spacing w:before="0" w:after="0"/>
              <w:jc w:val="center"/>
              <w:rPr>
                <w:sz w:val="25"/>
                <w:szCs w:val="25"/>
              </w:rPr>
            </w:pPr>
            <w:r w:rsidRPr="00672427">
              <w:rPr>
                <w:sz w:val="25"/>
                <w:szCs w:val="25"/>
              </w:rPr>
              <w:lastRenderedPageBreak/>
              <w:t>3.</w:t>
            </w:r>
          </w:p>
        </w:tc>
        <w:tc>
          <w:tcPr>
            <w:tcW w:w="2694" w:type="dxa"/>
          </w:tcPr>
          <w:p w:rsidR="00585B7B" w:rsidRPr="00672427" w:rsidRDefault="00005A9D" w:rsidP="00916055">
            <w:pPr>
              <w:pStyle w:val="naiskr"/>
              <w:spacing w:before="0" w:after="0"/>
              <w:ind w:left="141"/>
              <w:rPr>
                <w:sz w:val="25"/>
                <w:szCs w:val="25"/>
              </w:rPr>
            </w:pPr>
            <w:r w:rsidRPr="00672427">
              <w:rPr>
                <w:sz w:val="25"/>
                <w:szCs w:val="25"/>
              </w:rPr>
              <w:t>Projekta izstrādē iesaistītās institūcijas</w:t>
            </w:r>
          </w:p>
        </w:tc>
        <w:tc>
          <w:tcPr>
            <w:tcW w:w="6941" w:type="dxa"/>
          </w:tcPr>
          <w:p w:rsidR="00643E6C" w:rsidRPr="00672427" w:rsidRDefault="00B930C0" w:rsidP="00AD3471">
            <w:pPr>
              <w:ind w:left="82" w:right="141"/>
              <w:jc w:val="both"/>
              <w:rPr>
                <w:sz w:val="25"/>
                <w:szCs w:val="25"/>
              </w:rPr>
            </w:pPr>
            <w:r>
              <w:rPr>
                <w:sz w:val="25"/>
                <w:szCs w:val="25"/>
              </w:rPr>
              <w:t xml:space="preserve">Ministru kabineta </w:t>
            </w:r>
            <w:r w:rsidR="004274A7">
              <w:rPr>
                <w:sz w:val="25"/>
                <w:szCs w:val="25"/>
              </w:rPr>
              <w:t>rīkojuma projektu izstrādāja ministrija</w:t>
            </w:r>
            <w:r>
              <w:rPr>
                <w:sz w:val="25"/>
                <w:szCs w:val="25"/>
              </w:rPr>
              <w:t xml:space="preserve">, konsultējoties ar </w:t>
            </w:r>
            <w:r w:rsidR="004274A7">
              <w:rPr>
                <w:sz w:val="25"/>
                <w:szCs w:val="25"/>
              </w:rPr>
              <w:t>Kapitālsabiedrību, LOV un LOK.</w:t>
            </w:r>
            <w:r w:rsidR="000E77D0">
              <w:rPr>
                <w:sz w:val="25"/>
                <w:szCs w:val="25"/>
              </w:rPr>
              <w:t xml:space="preserve"> Ministru kabineta rīkojuma projekts </w:t>
            </w:r>
            <w:r w:rsidR="00AD3471">
              <w:rPr>
                <w:sz w:val="25"/>
                <w:szCs w:val="25"/>
              </w:rPr>
              <w:t>attiecībā uz tajā iekļautajiem punktiem par Kapitālsabiedrību un LOV izsk</w:t>
            </w:r>
            <w:r w:rsidR="000E77D0">
              <w:rPr>
                <w:sz w:val="25"/>
                <w:szCs w:val="25"/>
              </w:rPr>
              <w:t>atīts un atbalstīts Kapitālsabiedrības 2014.gada 5.novembra ārkārtas dalībnieku sapulcē</w:t>
            </w:r>
            <w:r w:rsidR="00AD3471">
              <w:rPr>
                <w:sz w:val="25"/>
                <w:szCs w:val="25"/>
              </w:rPr>
              <w:t xml:space="preserve"> un </w:t>
            </w:r>
            <w:r w:rsidR="000E77D0">
              <w:rPr>
                <w:sz w:val="25"/>
                <w:szCs w:val="25"/>
              </w:rPr>
              <w:t>LOV 2014.gada 5.novembra ārkārtas dalībnieku sapulcē.</w:t>
            </w:r>
            <w:r w:rsidR="00D5156D">
              <w:rPr>
                <w:sz w:val="25"/>
                <w:szCs w:val="25"/>
              </w:rPr>
              <w:t xml:space="preserve">  </w:t>
            </w:r>
            <w:r w:rsidR="00AD3471">
              <w:rPr>
                <w:sz w:val="25"/>
                <w:szCs w:val="25"/>
              </w:rPr>
              <w:t>Ministru kabineta sēdes protokollēmuma projektu izstrādāja ministrija.</w:t>
            </w:r>
          </w:p>
        </w:tc>
      </w:tr>
      <w:tr w:rsidR="00585B7B" w:rsidRPr="00672427" w:rsidTr="00672427">
        <w:tc>
          <w:tcPr>
            <w:tcW w:w="562" w:type="dxa"/>
          </w:tcPr>
          <w:p w:rsidR="00585B7B" w:rsidRPr="00672427" w:rsidRDefault="00005A9D" w:rsidP="00BD696A">
            <w:pPr>
              <w:pStyle w:val="naiskr"/>
              <w:spacing w:before="0" w:after="0"/>
              <w:jc w:val="center"/>
              <w:rPr>
                <w:sz w:val="25"/>
                <w:szCs w:val="25"/>
              </w:rPr>
            </w:pPr>
            <w:r w:rsidRPr="00672427">
              <w:rPr>
                <w:sz w:val="25"/>
                <w:szCs w:val="25"/>
              </w:rPr>
              <w:t>4</w:t>
            </w:r>
            <w:r w:rsidR="00585B7B" w:rsidRPr="00672427">
              <w:rPr>
                <w:sz w:val="25"/>
                <w:szCs w:val="25"/>
              </w:rPr>
              <w:t>.</w:t>
            </w:r>
          </w:p>
        </w:tc>
        <w:tc>
          <w:tcPr>
            <w:tcW w:w="2694" w:type="dxa"/>
          </w:tcPr>
          <w:p w:rsidR="00585B7B" w:rsidRPr="00672427" w:rsidRDefault="00585B7B" w:rsidP="00916055">
            <w:pPr>
              <w:pStyle w:val="naiskr"/>
              <w:spacing w:before="0" w:after="0"/>
              <w:ind w:left="141"/>
              <w:rPr>
                <w:sz w:val="25"/>
                <w:szCs w:val="25"/>
              </w:rPr>
            </w:pPr>
            <w:r w:rsidRPr="00672427">
              <w:rPr>
                <w:sz w:val="25"/>
                <w:szCs w:val="25"/>
              </w:rPr>
              <w:t>Cita informācija</w:t>
            </w:r>
          </w:p>
        </w:tc>
        <w:tc>
          <w:tcPr>
            <w:tcW w:w="6941" w:type="dxa"/>
          </w:tcPr>
          <w:p w:rsidR="006A26FB" w:rsidRPr="00672427" w:rsidRDefault="00291AF4" w:rsidP="00985B4B">
            <w:pPr>
              <w:ind w:left="114" w:right="127"/>
              <w:jc w:val="both"/>
              <w:rPr>
                <w:sz w:val="25"/>
                <w:szCs w:val="25"/>
              </w:rPr>
            </w:pPr>
            <w:r w:rsidRPr="00672427">
              <w:rPr>
                <w:sz w:val="25"/>
                <w:szCs w:val="25"/>
              </w:rPr>
              <w:t>Ministru kabineta r</w:t>
            </w:r>
            <w:r w:rsidR="00E5461A" w:rsidRPr="00672427">
              <w:rPr>
                <w:sz w:val="25"/>
                <w:szCs w:val="25"/>
              </w:rPr>
              <w:t xml:space="preserve">īkojuma projekts tiešā veidā attiecas uz </w:t>
            </w:r>
            <w:r w:rsidRPr="00672427">
              <w:rPr>
                <w:sz w:val="25"/>
                <w:szCs w:val="25"/>
              </w:rPr>
              <w:t xml:space="preserve">tūrisma, sporta un brīvā laika politiku (sporta politiku). Pastarpināti   Ministru kabineta rīkojuma projekts attiecas uz budžeta un finanšu </w:t>
            </w:r>
            <w:r w:rsidRPr="00672427">
              <w:rPr>
                <w:sz w:val="25"/>
                <w:szCs w:val="25"/>
              </w:rPr>
              <w:lastRenderedPageBreak/>
              <w:t>politiku.</w:t>
            </w:r>
            <w:r w:rsidR="00AD3471">
              <w:rPr>
                <w:sz w:val="25"/>
                <w:szCs w:val="25"/>
              </w:rPr>
              <w:t xml:space="preserve">  Ministru kabineta sēdes protokollēmuma projekts </w:t>
            </w:r>
            <w:r w:rsidR="00AD3471" w:rsidRPr="00672427">
              <w:rPr>
                <w:sz w:val="25"/>
                <w:szCs w:val="25"/>
              </w:rPr>
              <w:t xml:space="preserve"> attiecas uz tūrisma, sporta un brīvā laika politiku (sporta politiku).</w:t>
            </w:r>
          </w:p>
        </w:tc>
      </w:tr>
    </w:tbl>
    <w:p w:rsidR="00DB5F80" w:rsidRPr="00672427" w:rsidRDefault="00DB5F80" w:rsidP="009B774A">
      <w:pPr>
        <w:pStyle w:val="naisf"/>
        <w:tabs>
          <w:tab w:val="left" w:pos="3819"/>
        </w:tabs>
        <w:spacing w:before="0" w:after="0"/>
        <w:ind w:firstLine="0"/>
        <w:rPr>
          <w:sz w:val="25"/>
          <w:szCs w:val="25"/>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541"/>
        <w:gridCol w:w="1388"/>
        <w:gridCol w:w="1189"/>
        <w:gridCol w:w="1194"/>
        <w:gridCol w:w="1260"/>
      </w:tblGrid>
      <w:tr w:rsidR="009B774A" w:rsidRPr="00672427" w:rsidTr="009B774A">
        <w:trPr>
          <w:trHeight w:val="361"/>
          <w:jc w:val="center"/>
        </w:trPr>
        <w:tc>
          <w:tcPr>
            <w:tcW w:w="10209" w:type="dxa"/>
            <w:gridSpan w:val="6"/>
            <w:vAlign w:val="center"/>
          </w:tcPr>
          <w:p w:rsidR="009B774A" w:rsidRPr="00672427" w:rsidRDefault="009B774A" w:rsidP="001A0506">
            <w:pPr>
              <w:jc w:val="center"/>
              <w:rPr>
                <w:b/>
                <w:i/>
                <w:sz w:val="25"/>
                <w:szCs w:val="25"/>
              </w:rPr>
            </w:pPr>
            <w:r w:rsidRPr="00672427">
              <w:rPr>
                <w:sz w:val="25"/>
                <w:szCs w:val="25"/>
              </w:rPr>
              <w:br w:type="page"/>
            </w:r>
            <w:r w:rsidRPr="00672427">
              <w:rPr>
                <w:sz w:val="25"/>
                <w:szCs w:val="25"/>
              </w:rPr>
              <w:br w:type="page"/>
            </w:r>
            <w:r w:rsidRPr="00672427">
              <w:rPr>
                <w:b/>
                <w:sz w:val="25"/>
                <w:szCs w:val="25"/>
              </w:rPr>
              <w:t>III. Tiesību akta projekta ietekme uz valsts budžetu un pašvaldību budžetiem</w:t>
            </w:r>
          </w:p>
        </w:tc>
      </w:tr>
      <w:tr w:rsidR="009B774A" w:rsidRPr="00672427" w:rsidTr="00FA0234">
        <w:trPr>
          <w:jc w:val="center"/>
        </w:trPr>
        <w:tc>
          <w:tcPr>
            <w:tcW w:w="3637" w:type="dxa"/>
            <w:vMerge w:val="restart"/>
            <w:vAlign w:val="center"/>
          </w:tcPr>
          <w:p w:rsidR="009B774A" w:rsidRPr="00672427" w:rsidRDefault="009B774A" w:rsidP="001A0506">
            <w:pPr>
              <w:jc w:val="center"/>
              <w:rPr>
                <w:b/>
                <w:sz w:val="25"/>
                <w:szCs w:val="25"/>
              </w:rPr>
            </w:pPr>
            <w:r w:rsidRPr="00672427">
              <w:rPr>
                <w:b/>
                <w:sz w:val="25"/>
                <w:szCs w:val="25"/>
              </w:rPr>
              <w:t>Rādītāji</w:t>
            </w:r>
          </w:p>
        </w:tc>
        <w:tc>
          <w:tcPr>
            <w:tcW w:w="2929" w:type="dxa"/>
            <w:gridSpan w:val="2"/>
            <w:vMerge w:val="restart"/>
            <w:vAlign w:val="center"/>
          </w:tcPr>
          <w:p w:rsidR="009B774A" w:rsidRPr="00672427" w:rsidRDefault="009B774A" w:rsidP="001A0506">
            <w:pPr>
              <w:jc w:val="center"/>
              <w:rPr>
                <w:b/>
                <w:sz w:val="25"/>
                <w:szCs w:val="25"/>
              </w:rPr>
            </w:pPr>
            <w:r w:rsidRPr="00672427">
              <w:rPr>
                <w:b/>
                <w:sz w:val="25"/>
                <w:szCs w:val="25"/>
              </w:rPr>
              <w:t>2014</w:t>
            </w:r>
          </w:p>
        </w:tc>
        <w:tc>
          <w:tcPr>
            <w:tcW w:w="3643" w:type="dxa"/>
            <w:gridSpan w:val="3"/>
            <w:vAlign w:val="center"/>
          </w:tcPr>
          <w:p w:rsidR="009B774A" w:rsidRPr="00672427" w:rsidRDefault="009B774A" w:rsidP="001A0506">
            <w:pPr>
              <w:jc w:val="center"/>
              <w:rPr>
                <w:b/>
                <w:i/>
                <w:sz w:val="25"/>
                <w:szCs w:val="25"/>
              </w:rPr>
            </w:pPr>
            <w:r w:rsidRPr="00672427">
              <w:rPr>
                <w:sz w:val="25"/>
                <w:szCs w:val="25"/>
              </w:rPr>
              <w:t>Turpmākie trīs gadi (</w:t>
            </w:r>
            <w:r w:rsidRPr="00672427">
              <w:rPr>
                <w:i/>
                <w:sz w:val="25"/>
                <w:szCs w:val="25"/>
              </w:rPr>
              <w:t>euro</w:t>
            </w:r>
            <w:r w:rsidRPr="00672427">
              <w:rPr>
                <w:sz w:val="25"/>
                <w:szCs w:val="25"/>
              </w:rPr>
              <w:t>)</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2929" w:type="dxa"/>
            <w:gridSpan w:val="2"/>
            <w:vMerge/>
            <w:vAlign w:val="center"/>
          </w:tcPr>
          <w:p w:rsidR="009B774A" w:rsidRPr="00672427" w:rsidRDefault="009B774A" w:rsidP="001A0506">
            <w:pPr>
              <w:jc w:val="center"/>
              <w:rPr>
                <w:b/>
                <w:i/>
                <w:sz w:val="25"/>
                <w:szCs w:val="25"/>
              </w:rPr>
            </w:pPr>
          </w:p>
        </w:tc>
        <w:tc>
          <w:tcPr>
            <w:tcW w:w="1189" w:type="dxa"/>
            <w:vAlign w:val="center"/>
          </w:tcPr>
          <w:p w:rsidR="009B774A" w:rsidRPr="00672427" w:rsidRDefault="009B774A" w:rsidP="001A0506">
            <w:pPr>
              <w:jc w:val="center"/>
              <w:rPr>
                <w:b/>
                <w:i/>
                <w:sz w:val="25"/>
                <w:szCs w:val="25"/>
              </w:rPr>
            </w:pPr>
            <w:r w:rsidRPr="00672427">
              <w:rPr>
                <w:b/>
                <w:bCs/>
                <w:sz w:val="25"/>
                <w:szCs w:val="25"/>
              </w:rPr>
              <w:t>2015</w:t>
            </w:r>
          </w:p>
        </w:tc>
        <w:tc>
          <w:tcPr>
            <w:tcW w:w="1194" w:type="dxa"/>
            <w:vAlign w:val="center"/>
          </w:tcPr>
          <w:p w:rsidR="009B774A" w:rsidRPr="00672427" w:rsidRDefault="009B774A" w:rsidP="001A0506">
            <w:pPr>
              <w:jc w:val="center"/>
              <w:rPr>
                <w:b/>
                <w:i/>
                <w:sz w:val="25"/>
                <w:szCs w:val="25"/>
              </w:rPr>
            </w:pPr>
            <w:r w:rsidRPr="00672427">
              <w:rPr>
                <w:b/>
                <w:bCs/>
                <w:sz w:val="25"/>
                <w:szCs w:val="25"/>
              </w:rPr>
              <w:t>2016</w:t>
            </w:r>
          </w:p>
        </w:tc>
        <w:tc>
          <w:tcPr>
            <w:tcW w:w="1260" w:type="dxa"/>
            <w:vAlign w:val="center"/>
          </w:tcPr>
          <w:p w:rsidR="009B774A" w:rsidRPr="00672427" w:rsidRDefault="009B774A" w:rsidP="001A0506">
            <w:pPr>
              <w:jc w:val="center"/>
              <w:rPr>
                <w:b/>
                <w:i/>
                <w:sz w:val="25"/>
                <w:szCs w:val="25"/>
              </w:rPr>
            </w:pPr>
            <w:r w:rsidRPr="00672427">
              <w:rPr>
                <w:b/>
                <w:bCs/>
                <w:sz w:val="25"/>
                <w:szCs w:val="25"/>
              </w:rPr>
              <w:t>2017</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1541" w:type="dxa"/>
            <w:vAlign w:val="center"/>
          </w:tcPr>
          <w:p w:rsidR="009B774A" w:rsidRPr="00672427" w:rsidRDefault="009B774A" w:rsidP="001A0506">
            <w:pPr>
              <w:jc w:val="center"/>
              <w:rPr>
                <w:b/>
                <w:i/>
                <w:sz w:val="25"/>
                <w:szCs w:val="25"/>
              </w:rPr>
            </w:pPr>
            <w:r w:rsidRPr="00672427">
              <w:rPr>
                <w:sz w:val="25"/>
                <w:szCs w:val="25"/>
              </w:rPr>
              <w:t>saskaņā ar valsts budžetu kārtējam gadam</w:t>
            </w:r>
          </w:p>
        </w:tc>
        <w:tc>
          <w:tcPr>
            <w:tcW w:w="1388" w:type="dxa"/>
            <w:vAlign w:val="center"/>
          </w:tcPr>
          <w:p w:rsidR="009B774A" w:rsidRPr="00672427" w:rsidRDefault="009B774A" w:rsidP="001A0506">
            <w:pPr>
              <w:jc w:val="center"/>
              <w:rPr>
                <w:b/>
                <w:i/>
                <w:sz w:val="25"/>
                <w:szCs w:val="25"/>
              </w:rPr>
            </w:pPr>
            <w:r w:rsidRPr="00672427">
              <w:rPr>
                <w:sz w:val="25"/>
                <w:szCs w:val="25"/>
              </w:rPr>
              <w:t>izmaiņas kārtējā gadā, salīdzinot ar budžetu kārtējam gadam</w:t>
            </w:r>
          </w:p>
        </w:tc>
        <w:tc>
          <w:tcPr>
            <w:tcW w:w="1189"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194"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260"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r>
      <w:tr w:rsidR="009B774A" w:rsidRPr="00672427" w:rsidTr="00FA0234">
        <w:trPr>
          <w:jc w:val="center"/>
        </w:trPr>
        <w:tc>
          <w:tcPr>
            <w:tcW w:w="3637" w:type="dxa"/>
            <w:vAlign w:val="center"/>
          </w:tcPr>
          <w:p w:rsidR="009B774A" w:rsidRPr="00672427" w:rsidRDefault="009B774A" w:rsidP="001A0506">
            <w:pPr>
              <w:jc w:val="center"/>
              <w:rPr>
                <w:bCs/>
                <w:sz w:val="25"/>
                <w:szCs w:val="25"/>
              </w:rPr>
            </w:pPr>
            <w:r w:rsidRPr="00672427">
              <w:rPr>
                <w:bCs/>
                <w:sz w:val="25"/>
                <w:szCs w:val="25"/>
              </w:rPr>
              <w:t>1</w:t>
            </w:r>
          </w:p>
        </w:tc>
        <w:tc>
          <w:tcPr>
            <w:tcW w:w="1541" w:type="dxa"/>
            <w:vAlign w:val="center"/>
          </w:tcPr>
          <w:p w:rsidR="009B774A" w:rsidRPr="00672427" w:rsidRDefault="009B774A" w:rsidP="001A0506">
            <w:pPr>
              <w:jc w:val="center"/>
              <w:rPr>
                <w:bCs/>
                <w:sz w:val="25"/>
                <w:szCs w:val="25"/>
              </w:rPr>
            </w:pPr>
            <w:r w:rsidRPr="00672427">
              <w:rPr>
                <w:bCs/>
                <w:sz w:val="25"/>
                <w:szCs w:val="25"/>
              </w:rPr>
              <w:t>2</w:t>
            </w:r>
          </w:p>
        </w:tc>
        <w:tc>
          <w:tcPr>
            <w:tcW w:w="1388" w:type="dxa"/>
            <w:vAlign w:val="center"/>
          </w:tcPr>
          <w:p w:rsidR="009B774A" w:rsidRPr="00672427" w:rsidRDefault="009B774A" w:rsidP="001A0506">
            <w:pPr>
              <w:jc w:val="center"/>
              <w:rPr>
                <w:bCs/>
                <w:sz w:val="25"/>
                <w:szCs w:val="25"/>
              </w:rPr>
            </w:pPr>
            <w:r w:rsidRPr="00672427">
              <w:rPr>
                <w:bCs/>
                <w:sz w:val="25"/>
                <w:szCs w:val="25"/>
              </w:rPr>
              <w:t>3</w:t>
            </w:r>
          </w:p>
        </w:tc>
        <w:tc>
          <w:tcPr>
            <w:tcW w:w="1189" w:type="dxa"/>
            <w:vAlign w:val="center"/>
          </w:tcPr>
          <w:p w:rsidR="009B774A" w:rsidRPr="00672427" w:rsidRDefault="009B774A" w:rsidP="001A0506">
            <w:pPr>
              <w:jc w:val="center"/>
              <w:rPr>
                <w:bCs/>
                <w:sz w:val="25"/>
                <w:szCs w:val="25"/>
              </w:rPr>
            </w:pPr>
            <w:r w:rsidRPr="00672427">
              <w:rPr>
                <w:bCs/>
                <w:sz w:val="25"/>
                <w:szCs w:val="25"/>
              </w:rPr>
              <w:t>4</w:t>
            </w:r>
          </w:p>
        </w:tc>
        <w:tc>
          <w:tcPr>
            <w:tcW w:w="1194" w:type="dxa"/>
            <w:vAlign w:val="center"/>
          </w:tcPr>
          <w:p w:rsidR="009B774A" w:rsidRPr="00672427" w:rsidRDefault="009B774A" w:rsidP="001A0506">
            <w:pPr>
              <w:jc w:val="center"/>
              <w:rPr>
                <w:bCs/>
                <w:sz w:val="25"/>
                <w:szCs w:val="25"/>
              </w:rPr>
            </w:pPr>
            <w:r w:rsidRPr="00672427">
              <w:rPr>
                <w:bCs/>
                <w:sz w:val="25"/>
                <w:szCs w:val="25"/>
              </w:rPr>
              <w:t>5</w:t>
            </w:r>
          </w:p>
        </w:tc>
        <w:tc>
          <w:tcPr>
            <w:tcW w:w="1260" w:type="dxa"/>
            <w:vAlign w:val="center"/>
          </w:tcPr>
          <w:p w:rsidR="009B774A" w:rsidRPr="00672427" w:rsidRDefault="009B774A" w:rsidP="001A0506">
            <w:pPr>
              <w:jc w:val="center"/>
              <w:rPr>
                <w:bCs/>
                <w:sz w:val="25"/>
                <w:szCs w:val="25"/>
              </w:rPr>
            </w:pPr>
            <w:r w:rsidRPr="00672427">
              <w:rPr>
                <w:bCs/>
                <w:sz w:val="25"/>
                <w:szCs w:val="25"/>
              </w:rPr>
              <w:t>6</w:t>
            </w:r>
          </w:p>
        </w:tc>
      </w:tr>
      <w:tr w:rsidR="0005209B" w:rsidRPr="00672427" w:rsidTr="00FA0234">
        <w:trPr>
          <w:jc w:val="center"/>
        </w:trPr>
        <w:tc>
          <w:tcPr>
            <w:tcW w:w="3637" w:type="dxa"/>
          </w:tcPr>
          <w:p w:rsidR="0005209B" w:rsidRPr="00672427" w:rsidRDefault="0005209B" w:rsidP="0005209B">
            <w:pPr>
              <w:rPr>
                <w:i/>
                <w:sz w:val="25"/>
                <w:szCs w:val="25"/>
              </w:rPr>
            </w:pPr>
            <w:r w:rsidRPr="00672427">
              <w:rPr>
                <w:sz w:val="25"/>
                <w:szCs w:val="25"/>
              </w:rPr>
              <w:t>1. Budžeta ieņēmumi:</w:t>
            </w:r>
          </w:p>
        </w:tc>
        <w:tc>
          <w:tcPr>
            <w:tcW w:w="1541" w:type="dxa"/>
          </w:tcPr>
          <w:p w:rsidR="0005209B" w:rsidRPr="00672427" w:rsidRDefault="004A56AF" w:rsidP="0005209B">
            <w:pPr>
              <w:jc w:val="center"/>
              <w:rPr>
                <w:b/>
                <w:sz w:val="25"/>
                <w:szCs w:val="25"/>
              </w:rPr>
            </w:pPr>
            <w:r w:rsidRPr="00672427">
              <w:rPr>
                <w:b/>
                <w:sz w:val="25"/>
                <w:szCs w:val="25"/>
              </w:rPr>
              <w:t>0</w:t>
            </w:r>
          </w:p>
        </w:tc>
        <w:tc>
          <w:tcPr>
            <w:tcW w:w="1388" w:type="dxa"/>
          </w:tcPr>
          <w:p w:rsidR="0005209B" w:rsidRPr="00672427" w:rsidRDefault="004A56AF" w:rsidP="007A1337">
            <w:pPr>
              <w:jc w:val="center"/>
              <w:rPr>
                <w:b/>
                <w:sz w:val="25"/>
                <w:szCs w:val="25"/>
              </w:rPr>
            </w:pPr>
            <w:r w:rsidRPr="00672427">
              <w:rPr>
                <w:b/>
                <w:sz w:val="25"/>
                <w:szCs w:val="25"/>
              </w:rPr>
              <w:t>0</w:t>
            </w:r>
          </w:p>
        </w:tc>
        <w:tc>
          <w:tcPr>
            <w:tcW w:w="1189" w:type="dxa"/>
          </w:tcPr>
          <w:p w:rsidR="0005209B" w:rsidRPr="00672427" w:rsidRDefault="0005209B" w:rsidP="0005209B">
            <w:pPr>
              <w:jc w:val="center"/>
              <w:rPr>
                <w:b/>
                <w:sz w:val="25"/>
                <w:szCs w:val="25"/>
              </w:rPr>
            </w:pPr>
            <w:r w:rsidRPr="00672427">
              <w:rPr>
                <w:b/>
                <w:sz w:val="25"/>
                <w:szCs w:val="25"/>
              </w:rPr>
              <w:t>0</w:t>
            </w:r>
          </w:p>
        </w:tc>
        <w:tc>
          <w:tcPr>
            <w:tcW w:w="1194" w:type="dxa"/>
          </w:tcPr>
          <w:p w:rsidR="0005209B" w:rsidRPr="00672427" w:rsidRDefault="0005209B" w:rsidP="0005209B">
            <w:pPr>
              <w:jc w:val="center"/>
              <w:rPr>
                <w:b/>
                <w:sz w:val="25"/>
                <w:szCs w:val="25"/>
              </w:rPr>
            </w:pPr>
            <w:r w:rsidRPr="00672427">
              <w:rPr>
                <w:b/>
                <w:sz w:val="25"/>
                <w:szCs w:val="25"/>
              </w:rPr>
              <w:t>0</w:t>
            </w:r>
          </w:p>
        </w:tc>
        <w:tc>
          <w:tcPr>
            <w:tcW w:w="1260" w:type="dxa"/>
          </w:tcPr>
          <w:p w:rsidR="0005209B" w:rsidRPr="00672427" w:rsidRDefault="00FA0234" w:rsidP="00FA0234">
            <w:pPr>
              <w:jc w:val="center"/>
              <w:rPr>
                <w:b/>
                <w:sz w:val="25"/>
                <w:szCs w:val="25"/>
              </w:rPr>
            </w:pPr>
            <w:r w:rsidRPr="00672427">
              <w:rPr>
                <w:b/>
                <w:sz w:val="25"/>
                <w:szCs w:val="25"/>
              </w:rPr>
              <w:t>0</w:t>
            </w:r>
          </w:p>
        </w:tc>
      </w:tr>
      <w:tr w:rsidR="00250AC1" w:rsidRPr="00672427" w:rsidTr="00FA0234">
        <w:trPr>
          <w:jc w:val="center"/>
        </w:trPr>
        <w:tc>
          <w:tcPr>
            <w:tcW w:w="3637" w:type="dxa"/>
          </w:tcPr>
          <w:p w:rsidR="00250AC1" w:rsidRPr="00672427" w:rsidRDefault="00250AC1" w:rsidP="00250AC1">
            <w:pPr>
              <w:rPr>
                <w:i/>
                <w:sz w:val="25"/>
                <w:szCs w:val="25"/>
              </w:rPr>
            </w:pPr>
            <w:r w:rsidRPr="00672427">
              <w:rPr>
                <w:sz w:val="25"/>
                <w:szCs w:val="25"/>
              </w:rPr>
              <w:t>1.1. valsts pamatbudžets, tai skaitā ieņēmumi no maksas pakalpojumiem un citi pašu ieņēmumi</w:t>
            </w:r>
          </w:p>
        </w:tc>
        <w:tc>
          <w:tcPr>
            <w:tcW w:w="1541" w:type="dxa"/>
          </w:tcPr>
          <w:p w:rsidR="00250AC1" w:rsidRPr="00672427" w:rsidRDefault="00250AC1" w:rsidP="00250AC1">
            <w:pPr>
              <w:jc w:val="center"/>
              <w:rPr>
                <w:i/>
                <w:sz w:val="25"/>
                <w:szCs w:val="25"/>
              </w:rPr>
            </w:pPr>
            <w:r w:rsidRPr="00672427">
              <w:rPr>
                <w:i/>
                <w:sz w:val="25"/>
                <w:szCs w:val="25"/>
              </w:rPr>
              <w:t>0</w:t>
            </w:r>
          </w:p>
        </w:tc>
        <w:tc>
          <w:tcPr>
            <w:tcW w:w="1388" w:type="dxa"/>
          </w:tcPr>
          <w:p w:rsidR="00250AC1" w:rsidRPr="00672427" w:rsidRDefault="00250AC1" w:rsidP="00250AC1">
            <w:pPr>
              <w:jc w:val="center"/>
              <w:rPr>
                <w:i/>
                <w:sz w:val="25"/>
                <w:szCs w:val="25"/>
              </w:rPr>
            </w:pPr>
            <w:r w:rsidRPr="00672427">
              <w:rPr>
                <w:i/>
                <w:sz w:val="25"/>
                <w:szCs w:val="25"/>
              </w:rPr>
              <w:t>0</w:t>
            </w:r>
          </w:p>
        </w:tc>
        <w:tc>
          <w:tcPr>
            <w:tcW w:w="1189" w:type="dxa"/>
          </w:tcPr>
          <w:p w:rsidR="00250AC1" w:rsidRPr="00672427" w:rsidRDefault="00250AC1" w:rsidP="00250AC1">
            <w:pPr>
              <w:jc w:val="center"/>
              <w:rPr>
                <w:i/>
                <w:sz w:val="25"/>
                <w:szCs w:val="25"/>
              </w:rPr>
            </w:pPr>
            <w:r w:rsidRPr="00672427">
              <w:rPr>
                <w:i/>
                <w:sz w:val="25"/>
                <w:szCs w:val="25"/>
              </w:rPr>
              <w:t>0</w:t>
            </w:r>
          </w:p>
        </w:tc>
        <w:tc>
          <w:tcPr>
            <w:tcW w:w="1194" w:type="dxa"/>
          </w:tcPr>
          <w:p w:rsidR="00250AC1" w:rsidRPr="00672427" w:rsidRDefault="00250AC1" w:rsidP="00250AC1">
            <w:pPr>
              <w:jc w:val="center"/>
              <w:rPr>
                <w:i/>
                <w:sz w:val="25"/>
                <w:szCs w:val="25"/>
              </w:rPr>
            </w:pPr>
            <w:r w:rsidRPr="00672427">
              <w:rPr>
                <w:i/>
                <w:sz w:val="25"/>
                <w:szCs w:val="25"/>
              </w:rPr>
              <w:t>0</w:t>
            </w:r>
          </w:p>
        </w:tc>
        <w:tc>
          <w:tcPr>
            <w:tcW w:w="1260" w:type="dxa"/>
          </w:tcPr>
          <w:p w:rsidR="00250AC1" w:rsidRPr="00672427" w:rsidRDefault="00250AC1" w:rsidP="00250AC1">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t>1.2. valsts speciālais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t>1.3. pašvaldību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2. Budžeta izdevumi:</w:t>
            </w:r>
          </w:p>
        </w:tc>
        <w:tc>
          <w:tcPr>
            <w:tcW w:w="1541" w:type="dxa"/>
          </w:tcPr>
          <w:p w:rsidR="00FA0234" w:rsidRPr="00672427" w:rsidRDefault="00FA0234" w:rsidP="00FA0234">
            <w:pPr>
              <w:jc w:val="center"/>
              <w:rPr>
                <w:b/>
                <w:sz w:val="25"/>
                <w:szCs w:val="25"/>
              </w:rPr>
            </w:pPr>
            <w:r w:rsidRPr="00672427">
              <w:rPr>
                <w:b/>
                <w:sz w:val="25"/>
                <w:szCs w:val="25"/>
              </w:rPr>
              <w:t>0</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2.1. valsts pamatbudžets</w:t>
            </w:r>
          </w:p>
        </w:tc>
        <w:tc>
          <w:tcPr>
            <w:tcW w:w="1541" w:type="dxa"/>
          </w:tcPr>
          <w:p w:rsidR="00FA0234" w:rsidRPr="00672427" w:rsidRDefault="00FA0234" w:rsidP="00FA0234">
            <w:pPr>
              <w:jc w:val="center"/>
              <w:rPr>
                <w:i/>
                <w:sz w:val="25"/>
                <w:szCs w:val="25"/>
              </w:rPr>
            </w:pPr>
            <w:r w:rsidRPr="00672427">
              <w:rPr>
                <w:i/>
                <w:sz w:val="25"/>
                <w:szCs w:val="25"/>
              </w:rPr>
              <w:t>0</w:t>
            </w: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2.2. valsts speciālais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2.3. pašvaldību budžets </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3. Finansiālā ietekme:</w:t>
            </w:r>
          </w:p>
        </w:tc>
        <w:tc>
          <w:tcPr>
            <w:tcW w:w="1541" w:type="dxa"/>
            <w:shd w:val="clear" w:color="auto" w:fill="auto"/>
          </w:tcPr>
          <w:p w:rsidR="00FA0234" w:rsidRPr="00672427" w:rsidRDefault="00FA0234" w:rsidP="00FA0234">
            <w:pPr>
              <w:jc w:val="center"/>
              <w:rPr>
                <w:b/>
                <w:sz w:val="25"/>
                <w:szCs w:val="25"/>
              </w:rPr>
            </w:pPr>
            <w:r w:rsidRPr="00672427">
              <w:rPr>
                <w:b/>
                <w:sz w:val="25"/>
                <w:szCs w:val="25"/>
              </w:rPr>
              <w:t>0</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3.1. valsts pamatbudžets</w:t>
            </w:r>
          </w:p>
        </w:tc>
        <w:tc>
          <w:tcPr>
            <w:tcW w:w="1541" w:type="dxa"/>
            <w:shd w:val="clear" w:color="auto" w:fill="auto"/>
          </w:tcPr>
          <w:p w:rsidR="00FA0234" w:rsidRPr="00672427" w:rsidRDefault="00FA0234" w:rsidP="00FA0234">
            <w:pPr>
              <w:jc w:val="center"/>
              <w:rPr>
                <w:i/>
                <w:sz w:val="25"/>
                <w:szCs w:val="25"/>
              </w:rPr>
            </w:pPr>
            <w:r w:rsidRPr="00672427">
              <w:rPr>
                <w:i/>
                <w:sz w:val="25"/>
                <w:szCs w:val="25"/>
              </w:rPr>
              <w:t>0</w:t>
            </w: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3.2. speciālais budžets</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3.3. pašvaldību budžets </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val="restart"/>
          </w:tcPr>
          <w:p w:rsidR="009B774A" w:rsidRPr="00672427" w:rsidRDefault="009B774A" w:rsidP="001A0506">
            <w:pPr>
              <w:rPr>
                <w:sz w:val="25"/>
                <w:szCs w:val="25"/>
              </w:rPr>
            </w:pPr>
            <w:r w:rsidRPr="00672427">
              <w:rPr>
                <w:sz w:val="25"/>
                <w:szCs w:val="25"/>
              </w:rPr>
              <w:t>4. Finanšu līdzekļi papildu izdevumu finansēšanai (kompensējošu izdevumu samazinājumu norāda ar "+" zīmi)</w:t>
            </w:r>
          </w:p>
        </w:tc>
        <w:tc>
          <w:tcPr>
            <w:tcW w:w="1541" w:type="dxa"/>
            <w:vMerge w:val="restart"/>
          </w:tcPr>
          <w:p w:rsidR="009B774A" w:rsidRPr="00672427" w:rsidRDefault="009B774A" w:rsidP="001A0506">
            <w:pPr>
              <w:jc w:val="center"/>
              <w:rPr>
                <w:i/>
                <w:sz w:val="25"/>
                <w:szCs w:val="25"/>
              </w:rPr>
            </w:pPr>
            <w:r w:rsidRPr="00672427">
              <w:rPr>
                <w:sz w:val="25"/>
                <w:szCs w:val="25"/>
              </w:rPr>
              <w:t>X</w:t>
            </w:r>
          </w:p>
        </w:tc>
        <w:tc>
          <w:tcPr>
            <w:tcW w:w="1388" w:type="dxa"/>
          </w:tcPr>
          <w:p w:rsidR="009B774A" w:rsidRPr="00672427" w:rsidRDefault="007A1337" w:rsidP="001A0506">
            <w:pPr>
              <w:jc w:val="center"/>
              <w:rPr>
                <w:sz w:val="25"/>
                <w:szCs w:val="25"/>
              </w:rPr>
            </w:pPr>
            <w:r w:rsidRPr="00672427">
              <w:rPr>
                <w:sz w:val="25"/>
                <w:szCs w:val="25"/>
              </w:rPr>
              <w:t>0</w:t>
            </w:r>
          </w:p>
        </w:tc>
        <w:tc>
          <w:tcPr>
            <w:tcW w:w="1189" w:type="dxa"/>
          </w:tcPr>
          <w:p w:rsidR="009B774A" w:rsidRPr="00672427" w:rsidRDefault="009B774A" w:rsidP="001A0506">
            <w:pPr>
              <w:jc w:val="center"/>
              <w:rPr>
                <w:sz w:val="25"/>
                <w:szCs w:val="25"/>
              </w:rPr>
            </w:pPr>
            <w:r w:rsidRPr="00672427">
              <w:rPr>
                <w:sz w:val="25"/>
                <w:szCs w:val="25"/>
              </w:rPr>
              <w:t>0</w:t>
            </w:r>
          </w:p>
        </w:tc>
        <w:tc>
          <w:tcPr>
            <w:tcW w:w="1194" w:type="dxa"/>
          </w:tcPr>
          <w:p w:rsidR="009B774A" w:rsidRPr="00672427" w:rsidRDefault="009B774A" w:rsidP="001A0506">
            <w:pPr>
              <w:jc w:val="center"/>
              <w:rPr>
                <w:sz w:val="25"/>
                <w:szCs w:val="25"/>
              </w:rPr>
            </w:pPr>
            <w:r w:rsidRPr="00672427">
              <w:rPr>
                <w:sz w:val="25"/>
                <w:szCs w:val="25"/>
              </w:rPr>
              <w:t>0</w:t>
            </w:r>
          </w:p>
        </w:tc>
        <w:tc>
          <w:tcPr>
            <w:tcW w:w="1260" w:type="dxa"/>
          </w:tcPr>
          <w:p w:rsidR="009B774A" w:rsidRPr="00672427" w:rsidRDefault="009B774A" w:rsidP="001A0506">
            <w:pPr>
              <w:jc w:val="center"/>
              <w:rPr>
                <w:sz w:val="25"/>
                <w:szCs w:val="25"/>
              </w:rPr>
            </w:pPr>
            <w:r w:rsidRPr="00672427">
              <w:rPr>
                <w:sz w:val="25"/>
                <w:szCs w:val="25"/>
              </w:rPr>
              <w:t>0</w:t>
            </w: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5. Precizēta finansiālā ietekme:</w:t>
            </w:r>
          </w:p>
        </w:tc>
        <w:tc>
          <w:tcPr>
            <w:tcW w:w="1541" w:type="dxa"/>
            <w:vMerge w:val="restart"/>
          </w:tcPr>
          <w:p w:rsidR="00FA0234" w:rsidRPr="00672427" w:rsidRDefault="00FA0234" w:rsidP="00FA0234">
            <w:pPr>
              <w:jc w:val="center"/>
              <w:rPr>
                <w:i/>
                <w:sz w:val="25"/>
                <w:szCs w:val="25"/>
              </w:rPr>
            </w:pPr>
            <w:r w:rsidRPr="00672427">
              <w:rPr>
                <w:sz w:val="25"/>
                <w:szCs w:val="25"/>
              </w:rPr>
              <w:t>X</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5.1. valsts pamatbudžets</w:t>
            </w:r>
          </w:p>
        </w:tc>
        <w:tc>
          <w:tcPr>
            <w:tcW w:w="1541" w:type="dxa"/>
            <w:vMerge/>
            <w:vAlign w:val="center"/>
          </w:tcPr>
          <w:p w:rsidR="00FA0234" w:rsidRPr="00672427" w:rsidRDefault="00FA0234" w:rsidP="00FA0234">
            <w:pPr>
              <w:jc w:val="center"/>
              <w:rPr>
                <w:i/>
                <w:sz w:val="25"/>
                <w:szCs w:val="25"/>
              </w:rPr>
            </w:pP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5.2. speciālais budžets</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5.3. pašvaldību budžets </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 Detalizēts ieņēmumu un izdevumu aprēķins (ja nepie</w:t>
            </w:r>
            <w:r w:rsidRPr="00672427">
              <w:rPr>
                <w:sz w:val="25"/>
                <w:szCs w:val="25"/>
              </w:rPr>
              <w:softHyphen/>
              <w:t>ciešams, detalizētu ieņēmumu un izdevumu aprēķinu var pie</w:t>
            </w:r>
            <w:r w:rsidRPr="00672427">
              <w:rPr>
                <w:sz w:val="25"/>
                <w:szCs w:val="25"/>
              </w:rPr>
              <w:softHyphen/>
              <w:t>vienot anotācijas pielikumā):</w:t>
            </w:r>
          </w:p>
        </w:tc>
        <w:tc>
          <w:tcPr>
            <w:tcW w:w="6572" w:type="dxa"/>
            <w:gridSpan w:val="5"/>
            <w:vMerge w:val="restart"/>
            <w:shd w:val="clear" w:color="auto" w:fill="auto"/>
          </w:tcPr>
          <w:p w:rsidR="00E256A9" w:rsidRDefault="00E256A9" w:rsidP="00E256A9">
            <w:pPr>
              <w:jc w:val="both"/>
              <w:rPr>
                <w:sz w:val="25"/>
                <w:szCs w:val="25"/>
              </w:rPr>
            </w:pPr>
            <w:r>
              <w:rPr>
                <w:sz w:val="25"/>
                <w:szCs w:val="25"/>
              </w:rPr>
              <w:tab/>
              <w:t>Ņemot vērā to, ka jautājums ir saistīts ar iekšējo līdzekļu pārdali valsts budžeta programmai 09.00.00 “Sports” noteikto 2015.gada bāzes izdevumu ietvaros, iekšējās pārdales rezultātā 2015.gada  valsts budžeta programmas 09.00.00 “Sports” izdevumi netiek palielināti.</w:t>
            </w:r>
          </w:p>
          <w:p w:rsidR="0004229B" w:rsidRDefault="00E256A9" w:rsidP="001C5FC5">
            <w:pPr>
              <w:jc w:val="both"/>
              <w:rPr>
                <w:sz w:val="25"/>
                <w:szCs w:val="25"/>
              </w:rPr>
            </w:pPr>
            <w:r>
              <w:rPr>
                <w:sz w:val="25"/>
                <w:szCs w:val="25"/>
              </w:rPr>
              <w:tab/>
            </w:r>
            <w:r w:rsidR="0004229B">
              <w:rPr>
                <w:sz w:val="25"/>
                <w:szCs w:val="25"/>
              </w:rPr>
              <w:t xml:space="preserve">Attiecībā uz pārdales </w:t>
            </w:r>
            <w:r w:rsidR="0004229B" w:rsidRPr="00E959BA">
              <w:rPr>
                <w:sz w:val="25"/>
                <w:szCs w:val="25"/>
              </w:rPr>
              <w:t>rezultātā pieejam</w:t>
            </w:r>
            <w:r w:rsidR="0004229B">
              <w:rPr>
                <w:sz w:val="25"/>
                <w:szCs w:val="25"/>
              </w:rPr>
              <w:t>ajiem</w:t>
            </w:r>
            <w:r w:rsidR="0004229B" w:rsidRPr="00E959BA">
              <w:rPr>
                <w:sz w:val="25"/>
                <w:szCs w:val="25"/>
              </w:rPr>
              <w:t xml:space="preserve"> finanšu resurs</w:t>
            </w:r>
            <w:r w:rsidR="0004229B">
              <w:rPr>
                <w:sz w:val="25"/>
                <w:szCs w:val="25"/>
              </w:rPr>
              <w:t>iem (2`521`</w:t>
            </w:r>
            <w:r w:rsidR="0004229B" w:rsidRPr="005D6DC2">
              <w:rPr>
                <w:sz w:val="25"/>
                <w:szCs w:val="25"/>
              </w:rPr>
              <w:t>419</w:t>
            </w:r>
            <w:r w:rsidR="0004229B">
              <w:rPr>
                <w:sz w:val="25"/>
                <w:szCs w:val="25"/>
              </w:rPr>
              <w:t xml:space="preserve"> </w:t>
            </w:r>
            <w:r w:rsidR="0004229B" w:rsidRPr="005D6DC2">
              <w:rPr>
                <w:i/>
                <w:sz w:val="25"/>
                <w:szCs w:val="25"/>
              </w:rPr>
              <w:t>euro</w:t>
            </w:r>
            <w:r w:rsidR="0004229B">
              <w:rPr>
                <w:sz w:val="25"/>
                <w:szCs w:val="25"/>
              </w:rPr>
              <w:t>)</w:t>
            </w:r>
            <w:r w:rsidR="0004229B" w:rsidRPr="005D6DC2">
              <w:rPr>
                <w:sz w:val="25"/>
                <w:szCs w:val="25"/>
              </w:rPr>
              <w:t xml:space="preserve"> </w:t>
            </w:r>
            <w:r w:rsidR="0004229B">
              <w:rPr>
                <w:sz w:val="25"/>
                <w:szCs w:val="25"/>
              </w:rPr>
              <w:t>atzīm</w:t>
            </w:r>
            <w:r w:rsidR="00BE1537">
              <w:rPr>
                <w:sz w:val="25"/>
                <w:szCs w:val="25"/>
              </w:rPr>
              <w:t>ējams, ka no sākotnēji Rīkojuma Nr.430 3.</w:t>
            </w:r>
            <w:r w:rsidR="00155491">
              <w:rPr>
                <w:sz w:val="25"/>
                <w:szCs w:val="25"/>
              </w:rPr>
              <w:t>punktā</w:t>
            </w:r>
            <w:r w:rsidR="00BE1537">
              <w:rPr>
                <w:sz w:val="25"/>
                <w:szCs w:val="25"/>
              </w:rPr>
              <w:t xml:space="preserve"> paredzētajiem mērķiem finansējums 2015.gadā tiks paredzēts tikai </w:t>
            </w:r>
            <w:r w:rsidR="00BE1537" w:rsidRPr="0009215D">
              <w:rPr>
                <w:sz w:val="25"/>
                <w:szCs w:val="25"/>
              </w:rPr>
              <w:t xml:space="preserve">sporta veidu reģionālo attīstības centru </w:t>
            </w:r>
            <w:r w:rsidR="00BE1537">
              <w:rPr>
                <w:sz w:val="25"/>
                <w:szCs w:val="25"/>
              </w:rPr>
              <w:t>(sporta inte</w:t>
            </w:r>
            <w:r w:rsidR="00AD3471">
              <w:rPr>
                <w:sz w:val="25"/>
                <w:szCs w:val="25"/>
              </w:rPr>
              <w:t xml:space="preserve">rnātu) pilotprojektu īstenošanas uzsākšanai ar 2015.gada 1.septembri </w:t>
            </w:r>
            <w:r w:rsidR="00BE1537">
              <w:rPr>
                <w:sz w:val="25"/>
                <w:szCs w:val="25"/>
              </w:rPr>
              <w:t xml:space="preserve">(valsts budžeta programmas 09.00.00 </w:t>
            </w:r>
            <w:r w:rsidR="00BE1537">
              <w:rPr>
                <w:sz w:val="25"/>
                <w:szCs w:val="25"/>
              </w:rPr>
              <w:lastRenderedPageBreak/>
              <w:t xml:space="preserve">“Sports” apakšprogrammā 09.21.00 “Augstas klases sasniegumu sports” šim mērķim provizoriski paredzot 168`000 </w:t>
            </w:r>
            <w:r w:rsidR="00BE1537" w:rsidRPr="00BE1537">
              <w:rPr>
                <w:i/>
                <w:sz w:val="25"/>
                <w:szCs w:val="25"/>
              </w:rPr>
              <w:t>euro</w:t>
            </w:r>
            <w:r w:rsidR="00BE1537">
              <w:rPr>
                <w:sz w:val="25"/>
                <w:szCs w:val="25"/>
              </w:rPr>
              <w:t>)</w:t>
            </w:r>
            <w:r w:rsidR="00BE1537" w:rsidRPr="0009215D">
              <w:rPr>
                <w:sz w:val="25"/>
                <w:szCs w:val="25"/>
              </w:rPr>
              <w:t>.</w:t>
            </w:r>
            <w:r w:rsidR="00BE1537">
              <w:rPr>
                <w:sz w:val="25"/>
                <w:szCs w:val="25"/>
              </w:rPr>
              <w:t xml:space="preserve"> Pārējie līdzekļi </w:t>
            </w:r>
            <w:r w:rsidR="005A75E7">
              <w:rPr>
                <w:sz w:val="25"/>
                <w:szCs w:val="25"/>
              </w:rPr>
              <w:t>(</w:t>
            </w:r>
            <w:r w:rsidR="005A75E7" w:rsidRPr="005A75E7">
              <w:rPr>
                <w:sz w:val="25"/>
                <w:szCs w:val="25"/>
              </w:rPr>
              <w:t>2</w:t>
            </w:r>
            <w:r w:rsidR="005A75E7">
              <w:rPr>
                <w:sz w:val="25"/>
                <w:szCs w:val="25"/>
              </w:rPr>
              <w:t>`</w:t>
            </w:r>
            <w:r w:rsidR="005A75E7" w:rsidRPr="005A75E7">
              <w:rPr>
                <w:sz w:val="25"/>
                <w:szCs w:val="25"/>
              </w:rPr>
              <w:t>353</w:t>
            </w:r>
            <w:r w:rsidR="005A75E7">
              <w:rPr>
                <w:sz w:val="25"/>
                <w:szCs w:val="25"/>
              </w:rPr>
              <w:t>`</w:t>
            </w:r>
            <w:r w:rsidR="005A75E7" w:rsidRPr="005A75E7">
              <w:rPr>
                <w:sz w:val="25"/>
                <w:szCs w:val="25"/>
              </w:rPr>
              <w:t>419</w:t>
            </w:r>
            <w:r w:rsidR="005A75E7">
              <w:rPr>
                <w:sz w:val="25"/>
                <w:szCs w:val="25"/>
              </w:rPr>
              <w:t xml:space="preserve"> </w:t>
            </w:r>
            <w:r w:rsidR="005A75E7" w:rsidRPr="005A75E7">
              <w:rPr>
                <w:i/>
                <w:sz w:val="25"/>
                <w:szCs w:val="25"/>
              </w:rPr>
              <w:t>euro</w:t>
            </w:r>
            <w:r w:rsidR="005A75E7">
              <w:rPr>
                <w:sz w:val="25"/>
                <w:szCs w:val="25"/>
              </w:rPr>
              <w:t xml:space="preserve">) </w:t>
            </w:r>
            <w:r w:rsidR="00BE1537">
              <w:rPr>
                <w:sz w:val="25"/>
                <w:szCs w:val="25"/>
              </w:rPr>
              <w:t xml:space="preserve">2015.gadā tiek novirzīti: </w:t>
            </w:r>
            <w:r w:rsidR="00BE1537" w:rsidRPr="00F709D9">
              <w:rPr>
                <w:sz w:val="25"/>
                <w:szCs w:val="25"/>
              </w:rPr>
              <w:t>(1) valsts funkciju sporta nozarē izpildes nodrošināšanai nemainīgā līmenī salīdzinājumā ar 2014.gadu, (2) 100% valsts līdzfinansējumu profesionālās ievirzes sporta izglītības programmu īstenošanā nodarbināto sporta treneru darba samaksai atjaun</w:t>
            </w:r>
            <w:r w:rsidR="00BE1537">
              <w:rPr>
                <w:sz w:val="25"/>
                <w:szCs w:val="25"/>
              </w:rPr>
              <w:t>ošanai ar 2015.gada 1.septembri</w:t>
            </w:r>
            <w:r w:rsidR="00BE1537" w:rsidRPr="00F709D9">
              <w:rPr>
                <w:sz w:val="25"/>
                <w:szCs w:val="25"/>
              </w:rPr>
              <w:t>.</w:t>
            </w:r>
            <w:r w:rsidR="00BE1537">
              <w:rPr>
                <w:sz w:val="25"/>
                <w:szCs w:val="25"/>
              </w:rPr>
              <w:t xml:space="preserve"> </w:t>
            </w:r>
          </w:p>
          <w:p w:rsidR="0029609E" w:rsidRPr="00672427" w:rsidRDefault="00E256A9" w:rsidP="001C5FC5">
            <w:pPr>
              <w:jc w:val="both"/>
              <w:rPr>
                <w:sz w:val="25"/>
                <w:szCs w:val="25"/>
              </w:rPr>
            </w:pPr>
            <w:r>
              <w:rPr>
                <w:sz w:val="25"/>
                <w:szCs w:val="25"/>
              </w:rPr>
              <w:tab/>
            </w:r>
            <w:r w:rsidR="001C5FC5">
              <w:rPr>
                <w:sz w:val="25"/>
                <w:szCs w:val="25"/>
              </w:rPr>
              <w:t xml:space="preserve">Vienlaikus norādāms, ka attiecībā uz 2014.gadā paredzēto līdzekļu pārdali </w:t>
            </w:r>
            <w:r w:rsidR="008D7D99">
              <w:rPr>
                <w:sz w:val="25"/>
                <w:szCs w:val="25"/>
              </w:rPr>
              <w:t>Ministru kabineta rīkojuma</w:t>
            </w:r>
            <w:r w:rsidR="005B111A">
              <w:rPr>
                <w:sz w:val="25"/>
                <w:szCs w:val="25"/>
              </w:rPr>
              <w:t xml:space="preserve"> projektam </w:t>
            </w:r>
            <w:r w:rsidR="0029609E">
              <w:rPr>
                <w:sz w:val="25"/>
                <w:szCs w:val="25"/>
              </w:rPr>
              <w:t>n</w:t>
            </w:r>
            <w:r w:rsidR="008D7D99">
              <w:rPr>
                <w:sz w:val="25"/>
                <w:szCs w:val="25"/>
              </w:rPr>
              <w:t xml:space="preserve">av ietekme uz valsts budžetu (t.sk., uz ministrijas </w:t>
            </w:r>
            <w:r w:rsidR="008D7D99" w:rsidRPr="00D90152">
              <w:rPr>
                <w:sz w:val="25"/>
                <w:szCs w:val="25"/>
              </w:rPr>
              <w:t xml:space="preserve">2014.gada </w:t>
            </w:r>
            <w:r w:rsidR="001A79B9">
              <w:rPr>
                <w:sz w:val="25"/>
                <w:szCs w:val="25"/>
              </w:rPr>
              <w:t xml:space="preserve">un turpmāko gadu </w:t>
            </w:r>
            <w:r w:rsidR="008D7D99" w:rsidRPr="00D90152">
              <w:rPr>
                <w:sz w:val="25"/>
                <w:szCs w:val="25"/>
              </w:rPr>
              <w:t>valsts budžeta programmas 09.00.00 “Sports” apakšprogramm</w:t>
            </w:r>
            <w:r w:rsidR="008D7D99">
              <w:rPr>
                <w:sz w:val="25"/>
                <w:szCs w:val="25"/>
              </w:rPr>
              <w:t>u 09.04.00 “Sporta būves”</w:t>
            </w:r>
            <w:r w:rsidR="00911C71">
              <w:rPr>
                <w:sz w:val="25"/>
                <w:szCs w:val="25"/>
              </w:rPr>
              <w:t xml:space="preserve"> un apakšprogrammu 09.21.00 “Augstas klases sasniegumu </w:t>
            </w:r>
            <w:r w:rsidR="00783AD5">
              <w:rPr>
                <w:sz w:val="25"/>
                <w:szCs w:val="25"/>
              </w:rPr>
              <w:t>sports</w:t>
            </w:r>
            <w:r w:rsidR="00911C71">
              <w:rPr>
                <w:sz w:val="25"/>
                <w:szCs w:val="25"/>
              </w:rPr>
              <w:t>”</w:t>
            </w:r>
            <w:r w:rsidR="008D7D99">
              <w:rPr>
                <w:sz w:val="25"/>
                <w:szCs w:val="25"/>
              </w:rPr>
              <w:t>)</w:t>
            </w:r>
            <w:r w:rsidR="0029609E">
              <w:rPr>
                <w:sz w:val="25"/>
                <w:szCs w:val="25"/>
              </w:rPr>
              <w:t xml:space="preserve">, jo šajā daļā </w:t>
            </w:r>
            <w:r w:rsidR="008D7D99">
              <w:rPr>
                <w:sz w:val="25"/>
                <w:szCs w:val="25"/>
              </w:rPr>
              <w:t xml:space="preserve">Ministru kabineta rīkojuma projekta pieņemšanas rezultātā </w:t>
            </w:r>
            <w:r w:rsidR="008D7D99" w:rsidRPr="007830F4">
              <w:rPr>
                <w:sz w:val="25"/>
                <w:szCs w:val="25"/>
              </w:rPr>
              <w:t>Sporta centra “Mežaparks” rekonstrukcijai paredzēto līdzekļu apm</w:t>
            </w:r>
            <w:r w:rsidR="008D7D99">
              <w:rPr>
                <w:sz w:val="25"/>
                <w:szCs w:val="25"/>
              </w:rPr>
              <w:t xml:space="preserve">ērs tiks samazināts </w:t>
            </w:r>
            <w:r w:rsidR="008D7D99" w:rsidRPr="007830F4">
              <w:rPr>
                <w:sz w:val="25"/>
                <w:szCs w:val="25"/>
              </w:rPr>
              <w:t>līdz 420</w:t>
            </w:r>
            <w:r w:rsidR="005D6DC2">
              <w:rPr>
                <w:sz w:val="25"/>
                <w:szCs w:val="25"/>
              </w:rPr>
              <w:t>`</w:t>
            </w:r>
            <w:r w:rsidR="008D7D99" w:rsidRPr="007830F4">
              <w:rPr>
                <w:sz w:val="25"/>
                <w:szCs w:val="25"/>
              </w:rPr>
              <w:t xml:space="preserve">000 </w:t>
            </w:r>
            <w:r w:rsidR="008D7D99" w:rsidRPr="007830F4">
              <w:rPr>
                <w:i/>
                <w:sz w:val="25"/>
                <w:szCs w:val="25"/>
              </w:rPr>
              <w:t>euro</w:t>
            </w:r>
            <w:r w:rsidR="008D7D99" w:rsidRPr="007830F4">
              <w:rPr>
                <w:sz w:val="25"/>
                <w:szCs w:val="25"/>
              </w:rPr>
              <w:t xml:space="preserve"> (samazinājums 157</w:t>
            </w:r>
            <w:r w:rsidR="005D6DC2">
              <w:rPr>
                <w:sz w:val="25"/>
                <w:szCs w:val="25"/>
              </w:rPr>
              <w:t>`</w:t>
            </w:r>
            <w:r w:rsidR="008D7D99" w:rsidRPr="007830F4">
              <w:rPr>
                <w:sz w:val="25"/>
                <w:szCs w:val="25"/>
              </w:rPr>
              <w:t xml:space="preserve">820 </w:t>
            </w:r>
            <w:r w:rsidR="008D7D99" w:rsidRPr="007830F4">
              <w:rPr>
                <w:i/>
                <w:sz w:val="25"/>
                <w:szCs w:val="25"/>
              </w:rPr>
              <w:t>euro</w:t>
            </w:r>
            <w:r w:rsidR="008D7D99" w:rsidRPr="007830F4">
              <w:rPr>
                <w:sz w:val="25"/>
                <w:szCs w:val="25"/>
              </w:rPr>
              <w:t xml:space="preserve"> apmērā)</w:t>
            </w:r>
            <w:r w:rsidR="008D7D99">
              <w:rPr>
                <w:sz w:val="25"/>
                <w:szCs w:val="25"/>
              </w:rPr>
              <w:t xml:space="preserve">, vienlaikus </w:t>
            </w:r>
            <w:r w:rsidR="008D7D99" w:rsidRPr="007830F4">
              <w:rPr>
                <w:sz w:val="25"/>
                <w:szCs w:val="25"/>
              </w:rPr>
              <w:t>157</w:t>
            </w:r>
            <w:r w:rsidR="005D6DC2">
              <w:rPr>
                <w:sz w:val="25"/>
                <w:szCs w:val="25"/>
              </w:rPr>
              <w:t>`</w:t>
            </w:r>
            <w:r w:rsidR="008D7D99" w:rsidRPr="007830F4">
              <w:rPr>
                <w:sz w:val="25"/>
                <w:szCs w:val="25"/>
              </w:rPr>
              <w:t xml:space="preserve">820 </w:t>
            </w:r>
            <w:r w:rsidR="008D7D99" w:rsidRPr="007830F4">
              <w:rPr>
                <w:i/>
                <w:sz w:val="25"/>
                <w:szCs w:val="25"/>
              </w:rPr>
              <w:t>euro</w:t>
            </w:r>
            <w:r w:rsidR="008D7D99">
              <w:rPr>
                <w:sz w:val="25"/>
                <w:szCs w:val="25"/>
              </w:rPr>
              <w:t xml:space="preserve"> tiks piešķirti LOV </w:t>
            </w:r>
            <w:r w:rsidR="008D7D99" w:rsidRPr="007830F4">
              <w:rPr>
                <w:sz w:val="25"/>
                <w:szCs w:val="25"/>
              </w:rPr>
              <w:t>Sporta medicīnas centra kā arī esošās LOV funkcionāli diagnosticējošās laboratorijas aprīkojuma iegādei</w:t>
            </w:r>
            <w:r w:rsidR="008D7D99">
              <w:rPr>
                <w:sz w:val="25"/>
                <w:szCs w:val="25"/>
              </w:rPr>
              <w:t>.</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6.1. detalizēts ieņēmumu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6.2. detalizēts izdevumu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trHeight w:val="399"/>
          <w:jc w:val="center"/>
        </w:trPr>
        <w:tc>
          <w:tcPr>
            <w:tcW w:w="3637" w:type="dxa"/>
          </w:tcPr>
          <w:p w:rsidR="009B774A" w:rsidRPr="00672427" w:rsidRDefault="009B774A" w:rsidP="001A0506">
            <w:pPr>
              <w:rPr>
                <w:sz w:val="25"/>
                <w:szCs w:val="25"/>
              </w:rPr>
            </w:pPr>
            <w:r w:rsidRPr="00672427">
              <w:rPr>
                <w:sz w:val="25"/>
                <w:szCs w:val="25"/>
              </w:rPr>
              <w:lastRenderedPageBreak/>
              <w:t>7. Cita informācija</w:t>
            </w:r>
          </w:p>
        </w:tc>
        <w:tc>
          <w:tcPr>
            <w:tcW w:w="6572" w:type="dxa"/>
            <w:gridSpan w:val="5"/>
            <w:shd w:val="clear" w:color="auto" w:fill="auto"/>
          </w:tcPr>
          <w:p w:rsidR="009B774A" w:rsidRPr="00672427" w:rsidRDefault="00FB6039" w:rsidP="004A24C1">
            <w:pPr>
              <w:tabs>
                <w:tab w:val="left" w:pos="1901"/>
              </w:tabs>
              <w:jc w:val="both"/>
              <w:rPr>
                <w:sz w:val="25"/>
                <w:szCs w:val="25"/>
              </w:rPr>
            </w:pPr>
            <w:r>
              <w:rPr>
                <w:sz w:val="25"/>
                <w:szCs w:val="25"/>
              </w:rPr>
              <w:t>Pielikumā pievienots apkopojums par valsts nozīmes sporta infrastruktūras attīstības projektu īstenošanai 2014.-2018.gadam paredzētajiem valsts budžeta līdzekļiem un sagatavotajiem priekšlikumiem līdzekļu samazinājumam.</w:t>
            </w:r>
          </w:p>
        </w:tc>
      </w:tr>
    </w:tbl>
    <w:p w:rsidR="009B774A" w:rsidRPr="00672427" w:rsidRDefault="009B774A" w:rsidP="009B774A">
      <w:pPr>
        <w:pStyle w:val="naisf"/>
        <w:tabs>
          <w:tab w:val="left" w:pos="3819"/>
        </w:tabs>
        <w:spacing w:before="0" w:after="0"/>
        <w:ind w:firstLine="0"/>
        <w:rPr>
          <w:sz w:val="25"/>
          <w:szCs w:val="25"/>
        </w:rPr>
      </w:pPr>
    </w:p>
    <w:p w:rsidR="001F23A6" w:rsidRPr="00672427" w:rsidRDefault="001F23A6" w:rsidP="00464CD0">
      <w:pPr>
        <w:ind w:left="-567" w:right="-427"/>
        <w:jc w:val="both"/>
        <w:rPr>
          <w:i/>
          <w:sz w:val="25"/>
          <w:szCs w:val="25"/>
        </w:rPr>
      </w:pPr>
      <w:r w:rsidRPr="00672427">
        <w:rPr>
          <w:i/>
          <w:sz w:val="25"/>
          <w:szCs w:val="25"/>
        </w:rPr>
        <w:t xml:space="preserve">Anotācijas </w:t>
      </w:r>
      <w:r w:rsidR="0002179F" w:rsidRPr="00672427">
        <w:rPr>
          <w:i/>
          <w:sz w:val="25"/>
          <w:szCs w:val="25"/>
        </w:rPr>
        <w:t xml:space="preserve">II, </w:t>
      </w:r>
      <w:r w:rsidR="006F5778" w:rsidRPr="00672427">
        <w:rPr>
          <w:i/>
          <w:sz w:val="25"/>
          <w:szCs w:val="25"/>
        </w:rPr>
        <w:t xml:space="preserve">IV, </w:t>
      </w:r>
      <w:r w:rsidR="0002179F" w:rsidRPr="00672427">
        <w:rPr>
          <w:i/>
          <w:sz w:val="25"/>
          <w:szCs w:val="25"/>
        </w:rPr>
        <w:t xml:space="preserve">V, VI un VII </w:t>
      </w:r>
      <w:r w:rsidRPr="00672427">
        <w:rPr>
          <w:i/>
          <w:sz w:val="25"/>
          <w:szCs w:val="25"/>
        </w:rPr>
        <w:t xml:space="preserve">sadaļa – </w:t>
      </w:r>
      <w:r w:rsidR="00464CD0" w:rsidRPr="00672427">
        <w:rPr>
          <w:i/>
          <w:sz w:val="25"/>
          <w:szCs w:val="25"/>
        </w:rPr>
        <w:t>Ministru kabineta r</w:t>
      </w:r>
      <w:r w:rsidRPr="00672427">
        <w:rPr>
          <w:i/>
          <w:sz w:val="25"/>
          <w:szCs w:val="25"/>
        </w:rPr>
        <w:t>īkojuma projekts šīs jomas neskar.</w:t>
      </w:r>
    </w:p>
    <w:p w:rsidR="00585B7B" w:rsidRPr="00672427" w:rsidRDefault="00585B7B" w:rsidP="00D96FCD">
      <w:pPr>
        <w:rPr>
          <w:sz w:val="25"/>
          <w:szCs w:val="25"/>
        </w:rPr>
      </w:pPr>
    </w:p>
    <w:p w:rsidR="009D2B33" w:rsidRPr="00672427" w:rsidRDefault="009D2B33" w:rsidP="00D96FCD">
      <w:pPr>
        <w:rPr>
          <w:sz w:val="25"/>
          <w:szCs w:val="25"/>
        </w:rPr>
      </w:pPr>
    </w:p>
    <w:p w:rsidR="00617D7A" w:rsidRPr="00672427" w:rsidRDefault="00481F9B" w:rsidP="00C7220E">
      <w:pPr>
        <w:pStyle w:val="BodyText2"/>
        <w:spacing w:after="0" w:line="240" w:lineRule="auto"/>
        <w:ind w:firstLine="720"/>
        <w:jc w:val="both"/>
        <w:rPr>
          <w:sz w:val="25"/>
          <w:szCs w:val="25"/>
        </w:rPr>
      </w:pPr>
      <w:r w:rsidRPr="00672427">
        <w:rPr>
          <w:sz w:val="25"/>
          <w:szCs w:val="25"/>
        </w:rPr>
        <w:t>I</w:t>
      </w:r>
      <w:r w:rsidR="008F245F" w:rsidRPr="00672427">
        <w:rPr>
          <w:sz w:val="25"/>
          <w:szCs w:val="25"/>
        </w:rPr>
        <w:t>zglītības un zinātnes ministr</w:t>
      </w:r>
      <w:r w:rsidR="00005A9D" w:rsidRPr="00672427">
        <w:rPr>
          <w:sz w:val="25"/>
          <w:szCs w:val="25"/>
        </w:rPr>
        <w:t>e</w:t>
      </w:r>
      <w:r w:rsidR="007F4F30">
        <w:rPr>
          <w:sz w:val="25"/>
          <w:szCs w:val="25"/>
        </w:rPr>
        <w:tab/>
      </w:r>
      <w:r w:rsidR="007F4F30">
        <w:rPr>
          <w:sz w:val="25"/>
          <w:szCs w:val="25"/>
        </w:rPr>
        <w:tab/>
      </w:r>
      <w:r w:rsidR="007F4F30">
        <w:rPr>
          <w:sz w:val="25"/>
          <w:szCs w:val="25"/>
        </w:rPr>
        <w:tab/>
      </w:r>
      <w:r w:rsidR="007F4F30">
        <w:rPr>
          <w:sz w:val="25"/>
          <w:szCs w:val="25"/>
        </w:rPr>
        <w:tab/>
        <w:t xml:space="preserve">       </w:t>
      </w:r>
      <w:r w:rsidR="004A14A3">
        <w:rPr>
          <w:sz w:val="25"/>
          <w:szCs w:val="25"/>
        </w:rPr>
        <w:t>Mārīte Seile</w:t>
      </w:r>
    </w:p>
    <w:p w:rsidR="00585B7B" w:rsidRPr="00672427" w:rsidRDefault="00585B7B" w:rsidP="00D96FCD">
      <w:pPr>
        <w:rPr>
          <w:sz w:val="25"/>
          <w:szCs w:val="25"/>
        </w:rPr>
      </w:pPr>
    </w:p>
    <w:p w:rsidR="004560F5" w:rsidRPr="00672427" w:rsidRDefault="004560F5" w:rsidP="00D96FCD">
      <w:pPr>
        <w:rPr>
          <w:sz w:val="25"/>
          <w:szCs w:val="25"/>
        </w:rPr>
      </w:pPr>
    </w:p>
    <w:p w:rsidR="008A6C31" w:rsidRDefault="008A6C31" w:rsidP="008A6C31">
      <w:pPr>
        <w:ind w:firstLine="720"/>
        <w:jc w:val="both"/>
        <w:rPr>
          <w:sz w:val="26"/>
          <w:szCs w:val="26"/>
        </w:rPr>
      </w:pPr>
      <w:r>
        <w:rPr>
          <w:sz w:val="26"/>
          <w:szCs w:val="26"/>
        </w:rPr>
        <w:t>Vizē:</w:t>
      </w:r>
    </w:p>
    <w:p w:rsidR="008A6C31" w:rsidRDefault="008A6C31" w:rsidP="008A6C31">
      <w:pPr>
        <w:ind w:firstLine="720"/>
        <w:jc w:val="both"/>
        <w:rPr>
          <w:sz w:val="26"/>
          <w:szCs w:val="26"/>
        </w:rPr>
      </w:pPr>
      <w:r>
        <w:rPr>
          <w:sz w:val="26"/>
          <w:szCs w:val="26"/>
        </w:rPr>
        <w:t>Valsts sekretāra vietnieks –</w:t>
      </w:r>
    </w:p>
    <w:p w:rsidR="008A6C31" w:rsidRDefault="008A6C31" w:rsidP="008A6C31">
      <w:pPr>
        <w:ind w:firstLine="720"/>
        <w:jc w:val="both"/>
        <w:rPr>
          <w:sz w:val="26"/>
          <w:szCs w:val="26"/>
        </w:rPr>
      </w:pPr>
      <w:r>
        <w:rPr>
          <w:sz w:val="26"/>
          <w:szCs w:val="26"/>
        </w:rPr>
        <w:t>Nodrošinājuma un finanšu</w:t>
      </w:r>
    </w:p>
    <w:p w:rsidR="008A6C31" w:rsidRDefault="008A6C31" w:rsidP="008A6C31">
      <w:pPr>
        <w:ind w:firstLine="720"/>
        <w:jc w:val="both"/>
        <w:rPr>
          <w:sz w:val="26"/>
          <w:szCs w:val="26"/>
        </w:rPr>
      </w:pPr>
      <w:r>
        <w:rPr>
          <w:sz w:val="26"/>
          <w:szCs w:val="26"/>
        </w:rPr>
        <w:t>departamenta direktors,</w:t>
      </w:r>
    </w:p>
    <w:p w:rsidR="008A6C31" w:rsidRDefault="008A6C31" w:rsidP="008A6C31">
      <w:pPr>
        <w:ind w:firstLine="720"/>
        <w:jc w:val="both"/>
        <w:rPr>
          <w:sz w:val="26"/>
          <w:szCs w:val="26"/>
        </w:rPr>
      </w:pPr>
      <w:r>
        <w:rPr>
          <w:sz w:val="26"/>
          <w:szCs w:val="26"/>
        </w:rPr>
        <w:t xml:space="preserve">valsts sekretāra pienākumu izpildītājs      </w:t>
      </w:r>
      <w:r>
        <w:rPr>
          <w:sz w:val="26"/>
          <w:szCs w:val="26"/>
        </w:rPr>
        <w:tab/>
      </w:r>
      <w:r>
        <w:rPr>
          <w:sz w:val="26"/>
          <w:szCs w:val="26"/>
        </w:rPr>
        <w:tab/>
      </w:r>
      <w:r>
        <w:rPr>
          <w:sz w:val="26"/>
          <w:szCs w:val="26"/>
        </w:rPr>
        <w:tab/>
        <w:t xml:space="preserve">       Elmārs Martinsons</w:t>
      </w:r>
    </w:p>
    <w:p w:rsidR="00696EF6" w:rsidRDefault="00696EF6" w:rsidP="002F3C73">
      <w:pPr>
        <w:ind w:left="720"/>
        <w:rPr>
          <w:sz w:val="22"/>
          <w:szCs w:val="22"/>
        </w:rPr>
      </w:pPr>
    </w:p>
    <w:p w:rsidR="009E2C7D" w:rsidRDefault="009E2C7D" w:rsidP="002F3C73">
      <w:pPr>
        <w:ind w:left="720"/>
        <w:rPr>
          <w:sz w:val="22"/>
          <w:szCs w:val="22"/>
        </w:rPr>
      </w:pPr>
    </w:p>
    <w:p w:rsidR="009E2C7D" w:rsidRDefault="009E2C7D" w:rsidP="002F3C73">
      <w:pPr>
        <w:ind w:left="720"/>
        <w:rPr>
          <w:sz w:val="22"/>
          <w:szCs w:val="22"/>
        </w:rPr>
      </w:pPr>
    </w:p>
    <w:p w:rsidR="006430D3" w:rsidRDefault="006430D3" w:rsidP="002F3C73">
      <w:pPr>
        <w:ind w:left="720"/>
        <w:rPr>
          <w:sz w:val="22"/>
          <w:szCs w:val="22"/>
        </w:rPr>
      </w:pPr>
    </w:p>
    <w:p w:rsidR="006430D3" w:rsidRDefault="006430D3" w:rsidP="002F3C73">
      <w:pPr>
        <w:ind w:left="720"/>
        <w:rPr>
          <w:sz w:val="22"/>
          <w:szCs w:val="22"/>
        </w:rPr>
      </w:pPr>
    </w:p>
    <w:p w:rsidR="009E2C7D" w:rsidRDefault="009E2C7D" w:rsidP="002F3C73">
      <w:pPr>
        <w:ind w:left="720"/>
        <w:rPr>
          <w:sz w:val="22"/>
          <w:szCs w:val="22"/>
        </w:rPr>
      </w:pPr>
    </w:p>
    <w:p w:rsidR="00696EF6" w:rsidRDefault="00696EF6" w:rsidP="002F3C73">
      <w:pPr>
        <w:ind w:left="720"/>
        <w:rPr>
          <w:sz w:val="22"/>
          <w:szCs w:val="22"/>
        </w:rPr>
      </w:pPr>
    </w:p>
    <w:p w:rsidR="002F3C73" w:rsidRPr="002F3C73" w:rsidRDefault="008A6C31" w:rsidP="002F3C73">
      <w:pPr>
        <w:ind w:left="720"/>
        <w:rPr>
          <w:sz w:val="22"/>
          <w:szCs w:val="22"/>
        </w:rPr>
      </w:pPr>
      <w:r>
        <w:rPr>
          <w:sz w:val="22"/>
          <w:szCs w:val="22"/>
        </w:rPr>
        <w:t>21</w:t>
      </w:r>
      <w:r w:rsidR="0053293C">
        <w:rPr>
          <w:sz w:val="22"/>
          <w:szCs w:val="22"/>
        </w:rPr>
        <w:t>.</w:t>
      </w:r>
      <w:r w:rsidR="004A14A3">
        <w:rPr>
          <w:sz w:val="22"/>
          <w:szCs w:val="22"/>
        </w:rPr>
        <w:t>11</w:t>
      </w:r>
      <w:r w:rsidR="0053293C">
        <w:rPr>
          <w:sz w:val="22"/>
          <w:szCs w:val="22"/>
        </w:rPr>
        <w:t xml:space="preserve">.2014. </w:t>
      </w:r>
      <w:r>
        <w:rPr>
          <w:sz w:val="22"/>
          <w:szCs w:val="22"/>
        </w:rPr>
        <w:t>08</w:t>
      </w:r>
      <w:r w:rsidR="00F64EE3">
        <w:rPr>
          <w:sz w:val="22"/>
          <w:szCs w:val="22"/>
        </w:rPr>
        <w:t>:</w:t>
      </w:r>
      <w:r>
        <w:rPr>
          <w:sz w:val="22"/>
          <w:szCs w:val="22"/>
        </w:rPr>
        <w:t>30</w:t>
      </w:r>
    </w:p>
    <w:p w:rsidR="002F3C73" w:rsidRPr="002F3C73" w:rsidRDefault="00FB6039" w:rsidP="002F3C73">
      <w:pPr>
        <w:ind w:left="720"/>
        <w:rPr>
          <w:sz w:val="22"/>
          <w:szCs w:val="22"/>
        </w:rPr>
      </w:pPr>
      <w:r>
        <w:rPr>
          <w:sz w:val="22"/>
          <w:szCs w:val="22"/>
        </w:rPr>
        <w:t>2770</w:t>
      </w:r>
      <w:bookmarkStart w:id="3" w:name="_GoBack"/>
      <w:bookmarkEnd w:id="3"/>
    </w:p>
    <w:p w:rsidR="002F3C73" w:rsidRPr="002F3C73" w:rsidRDefault="002F3C73" w:rsidP="002F3C73">
      <w:pPr>
        <w:ind w:left="720"/>
        <w:rPr>
          <w:sz w:val="22"/>
          <w:szCs w:val="22"/>
        </w:rPr>
      </w:pPr>
      <w:r w:rsidRPr="002F3C73">
        <w:rPr>
          <w:sz w:val="22"/>
          <w:szCs w:val="22"/>
        </w:rPr>
        <w:t>Izglītības un zinātnes ministrijas</w:t>
      </w:r>
    </w:p>
    <w:p w:rsidR="00C45428" w:rsidRPr="00C45428" w:rsidRDefault="00C45428" w:rsidP="00C45428">
      <w:pPr>
        <w:ind w:left="720"/>
        <w:rPr>
          <w:sz w:val="22"/>
          <w:szCs w:val="22"/>
        </w:rPr>
      </w:pPr>
      <w:r w:rsidRPr="00C45428">
        <w:rPr>
          <w:sz w:val="22"/>
          <w:szCs w:val="22"/>
        </w:rPr>
        <w:t xml:space="preserve">valsts sekretāra vietnieks – </w:t>
      </w:r>
    </w:p>
    <w:p w:rsidR="002F3C73" w:rsidRPr="002F3C73" w:rsidRDefault="00C45428" w:rsidP="00C45428">
      <w:pPr>
        <w:ind w:left="720"/>
        <w:rPr>
          <w:sz w:val="22"/>
          <w:szCs w:val="22"/>
        </w:rPr>
      </w:pPr>
      <w:r w:rsidRPr="00C45428">
        <w:rPr>
          <w:sz w:val="22"/>
          <w:szCs w:val="22"/>
        </w:rPr>
        <w:t xml:space="preserve">Sporta departamenta direktors </w:t>
      </w:r>
      <w:r w:rsidR="002F3C73" w:rsidRPr="002F3C73">
        <w:rPr>
          <w:sz w:val="22"/>
          <w:szCs w:val="22"/>
        </w:rPr>
        <w:t>E.Severs</w:t>
      </w:r>
    </w:p>
    <w:p w:rsidR="00763103" w:rsidRPr="00763103" w:rsidRDefault="002F3C73" w:rsidP="00B87192">
      <w:pPr>
        <w:ind w:left="720"/>
        <w:rPr>
          <w:sz w:val="22"/>
          <w:szCs w:val="22"/>
        </w:rPr>
      </w:pPr>
      <w:r w:rsidRPr="002F3C73">
        <w:rPr>
          <w:sz w:val="22"/>
          <w:szCs w:val="22"/>
        </w:rPr>
        <w:t>67047935, edgars.severs@izm.gov.lv</w:t>
      </w:r>
    </w:p>
    <w:sectPr w:rsidR="00763103" w:rsidRPr="00763103" w:rsidSect="00485355">
      <w:headerReference w:type="default" r:id="rId8"/>
      <w:footerReference w:type="default" r:id="rId9"/>
      <w:footerReference w:type="first" r:id="rId10"/>
      <w:pgSz w:w="11906" w:h="16838" w:code="9"/>
      <w:pgMar w:top="851" w:right="1134" w:bottom="1134" w:left="1701" w:header="426" w:footer="3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4EB" w:rsidRDefault="005E14EB" w:rsidP="00123E9B">
      <w:r>
        <w:separator/>
      </w:r>
    </w:p>
  </w:endnote>
  <w:endnote w:type="continuationSeparator" w:id="0">
    <w:p w:rsidR="005E14EB" w:rsidRDefault="005E14EB"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372574" w:rsidRDefault="00372574" w:rsidP="00372574">
    <w:pPr>
      <w:ind w:left="-567" w:right="-568"/>
      <w:jc w:val="both"/>
      <w:rPr>
        <w:sz w:val="22"/>
        <w:szCs w:val="22"/>
      </w:rPr>
    </w:pPr>
    <w:r>
      <w:rPr>
        <w:sz w:val="22"/>
        <w:szCs w:val="22"/>
      </w:rPr>
      <w:t>IZMAnot_</w:t>
    </w:r>
    <w:r w:rsidR="008A6C31">
      <w:rPr>
        <w:sz w:val="22"/>
        <w:szCs w:val="22"/>
      </w:rPr>
      <w:t>21</w:t>
    </w:r>
    <w:r w:rsidR="00F64EE3">
      <w:rPr>
        <w:sz w:val="22"/>
        <w:szCs w:val="22"/>
      </w:rPr>
      <w:t>11</w:t>
    </w:r>
    <w:r>
      <w:rPr>
        <w:sz w:val="22"/>
        <w:szCs w:val="22"/>
      </w:rPr>
      <w:t>14_groz-430</w:t>
    </w:r>
    <w:r w:rsidRPr="004816F6">
      <w:rPr>
        <w:sz w:val="22"/>
        <w:szCs w:val="22"/>
      </w:rPr>
      <w:t xml:space="preserve">; </w:t>
    </w:r>
    <w:r w:rsidRPr="00065279">
      <w:rPr>
        <w:sz w:val="22"/>
        <w:szCs w:val="22"/>
      </w:rPr>
      <w:t>Ministru kabineta rīkojuma projekta</w:t>
    </w:r>
    <w:r>
      <w:rPr>
        <w:sz w:val="22"/>
        <w:szCs w:val="22"/>
      </w:rPr>
      <w:t xml:space="preserve"> </w:t>
    </w:r>
    <w:r w:rsidRPr="00065279">
      <w:rPr>
        <w:sz w:val="22"/>
        <w:szCs w:val="22"/>
      </w:rPr>
      <w:t>“</w:t>
    </w:r>
    <w:r w:rsidRPr="00372574">
      <w:rPr>
        <w:sz w:val="22"/>
        <w:szCs w:val="22"/>
      </w:rPr>
      <w:t>Grozījumi Ministru kabineta 2014.gada 18.augusta rīkojumā Nr.430 “Par Murjāņu sporta ģimnāzijas esošo būvju rekonstrukcijas un multifunkcionālas slēgtas sporta manēžas būvniecības projekta īstenošanai 2014.gadā paredzēto valsts budžeta līdzekļu pārdali”</w:t>
    </w:r>
    <w:r w:rsidRPr="00065279">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065279">
    <w:pPr>
      <w:ind w:left="-567" w:right="-568"/>
      <w:jc w:val="both"/>
      <w:rPr>
        <w:sz w:val="22"/>
        <w:szCs w:val="22"/>
      </w:rPr>
    </w:pPr>
    <w:r>
      <w:rPr>
        <w:sz w:val="22"/>
        <w:szCs w:val="22"/>
      </w:rPr>
      <w:t>IZMAnot_</w:t>
    </w:r>
    <w:r w:rsidR="008A6C31">
      <w:rPr>
        <w:sz w:val="22"/>
        <w:szCs w:val="22"/>
      </w:rPr>
      <w:t>21</w:t>
    </w:r>
    <w:r w:rsidR="00F64EE3">
      <w:rPr>
        <w:sz w:val="22"/>
        <w:szCs w:val="22"/>
      </w:rPr>
      <w:t>11</w:t>
    </w:r>
    <w:r w:rsidR="00372574">
      <w:rPr>
        <w:sz w:val="22"/>
        <w:szCs w:val="22"/>
      </w:rPr>
      <w:t>14</w:t>
    </w:r>
    <w:r>
      <w:rPr>
        <w:sz w:val="22"/>
        <w:szCs w:val="22"/>
      </w:rPr>
      <w:t>_</w:t>
    </w:r>
    <w:r w:rsidR="004E7040">
      <w:rPr>
        <w:sz w:val="22"/>
        <w:szCs w:val="22"/>
      </w:rPr>
      <w:t>groz-</w:t>
    </w:r>
    <w:r w:rsidR="00372574">
      <w:rPr>
        <w:sz w:val="22"/>
        <w:szCs w:val="22"/>
      </w:rPr>
      <w:t>430</w:t>
    </w:r>
    <w:r w:rsidRPr="004816F6">
      <w:rPr>
        <w:sz w:val="22"/>
        <w:szCs w:val="22"/>
      </w:rPr>
      <w:t xml:space="preserve">; </w:t>
    </w:r>
    <w:r w:rsidR="00065279" w:rsidRPr="00065279">
      <w:rPr>
        <w:sz w:val="22"/>
        <w:szCs w:val="22"/>
      </w:rPr>
      <w:t>Ministru kabineta rīkojuma projekta</w:t>
    </w:r>
    <w:r w:rsidR="00065279">
      <w:rPr>
        <w:sz w:val="22"/>
        <w:szCs w:val="22"/>
      </w:rPr>
      <w:t xml:space="preserve"> </w:t>
    </w:r>
    <w:r w:rsidR="00065279" w:rsidRPr="00065279">
      <w:rPr>
        <w:sz w:val="22"/>
        <w:szCs w:val="22"/>
      </w:rPr>
      <w:t>“</w:t>
    </w:r>
    <w:r w:rsidR="00372574" w:rsidRPr="00372574">
      <w:rPr>
        <w:sz w:val="22"/>
        <w:szCs w:val="22"/>
      </w:rPr>
      <w:t>Grozījumi Ministru kabineta 2014.gada 18.augusta rīkojumā Nr.430 “Par Murjāņu sporta ģimnāzijas esošo būvju rekonstrukcijas un multifunkcionālas slēgtas sporta manēžas būvniecības projekta īstenošanai 2014.gadā paredzēto valsts budžeta līdzekļu pārdali”</w:t>
    </w:r>
    <w:r w:rsidR="00065279" w:rsidRPr="00065279">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4EB" w:rsidRDefault="005E14EB" w:rsidP="00123E9B">
      <w:r>
        <w:separator/>
      </w:r>
    </w:p>
  </w:footnote>
  <w:footnote w:type="continuationSeparator" w:id="0">
    <w:p w:rsidR="005E14EB" w:rsidRDefault="005E14EB" w:rsidP="00123E9B">
      <w:r>
        <w:continuationSeparator/>
      </w:r>
    </w:p>
  </w:footnote>
  <w:footnote w:id="1">
    <w:p w:rsidR="00183265" w:rsidRDefault="00183265" w:rsidP="00A35276">
      <w:pPr>
        <w:pStyle w:val="FootnoteText"/>
        <w:ind w:left="-567" w:right="-568"/>
        <w:jc w:val="both"/>
      </w:pPr>
      <w:r>
        <w:rPr>
          <w:rStyle w:val="FootnoteReference"/>
        </w:rPr>
        <w:footnoteRef/>
      </w:r>
      <w:r>
        <w:t xml:space="preserve"> </w:t>
      </w:r>
      <w:r w:rsidRPr="00183265">
        <w:t xml:space="preserve">Kapitālsabiedrības kapitāla daļu turētāji ir </w:t>
      </w:r>
      <w:r>
        <w:t xml:space="preserve">Izglītības un zinātnes ministrija </w:t>
      </w:r>
      <w:r w:rsidRPr="00183265">
        <w:t>(99,999% kapitāla daļu) un biedrība “Latvijas Olimpiskā komiteja” (0,001% kapitāla daļu).</w:t>
      </w:r>
    </w:p>
  </w:footnote>
  <w:footnote w:id="2">
    <w:p w:rsidR="00183265" w:rsidRDefault="00183265" w:rsidP="00A35276">
      <w:pPr>
        <w:pStyle w:val="FootnoteText"/>
        <w:ind w:left="-567" w:right="-568"/>
        <w:jc w:val="both"/>
      </w:pPr>
      <w:r>
        <w:rPr>
          <w:rStyle w:val="FootnoteReference"/>
        </w:rPr>
        <w:footnoteRef/>
      </w:r>
      <w:r>
        <w:t xml:space="preserve"> </w:t>
      </w:r>
      <w:r w:rsidRPr="00183265">
        <w:t xml:space="preserve">Saskaņā ar Sporta likuma 10.panta 10.daļu LOV kā specializēta sporta organizācija nodrošina valsts labāko sportistu individuālajos olimpiskajos sporta veidos sagatavošanos dalībai Olimpiskajās spēlēs, jaunatnes olimpiādēs un citās starptautiskajās sporta sacensībās. LOV kapitāla daļu turētāji ir </w:t>
      </w:r>
      <w:r>
        <w:t>LOK</w:t>
      </w:r>
      <w:r w:rsidRPr="00183265">
        <w:t xml:space="preserve"> (60% kapitāla daļu), ministrija (29% kapitāla daļu) un Latvijas Sporta pedagoģijas akadēmija (11% kapitāla daļu).</w:t>
      </w:r>
    </w:p>
  </w:footnote>
  <w:footnote w:id="3">
    <w:p w:rsidR="00B44E62" w:rsidRDefault="00B44E62" w:rsidP="00A35276">
      <w:pPr>
        <w:pStyle w:val="FootnoteText"/>
        <w:ind w:left="-567" w:right="-568"/>
        <w:jc w:val="both"/>
      </w:pPr>
      <w:r>
        <w:rPr>
          <w:rStyle w:val="FootnoteReference"/>
        </w:rPr>
        <w:footnoteRef/>
      </w:r>
      <w:r>
        <w:t xml:space="preserve"> Ar to saprotot kapitālsabiedrības, kurās valstij pieder vairāk nekā 50% kapitāla daļu, bet nepieder 100% kapitāla daļu (kas jau būtu uzskatāma par valsts kapitālsabiedrību).</w:t>
      </w:r>
    </w:p>
  </w:footnote>
  <w:footnote w:id="4">
    <w:p w:rsidR="00A35276" w:rsidRDefault="00A35276" w:rsidP="00A35276">
      <w:pPr>
        <w:pStyle w:val="FootnoteText"/>
        <w:ind w:left="-567" w:right="-568"/>
        <w:jc w:val="both"/>
      </w:pPr>
      <w:r>
        <w:rPr>
          <w:rStyle w:val="FootnoteReference"/>
        </w:rPr>
        <w:footnoteRef/>
      </w:r>
      <w:r>
        <w:t xml:space="preserve"> Saskaņā ar Kadastra informācijas sistēmu minētajai būvei (Rehabilitācijas centrs), kurā šobrīd atrodas LOV, adrese ir Roberta Feldmaņa iela 8, Rīga.</w:t>
      </w:r>
    </w:p>
  </w:footnote>
  <w:footnote w:id="5">
    <w:p w:rsidR="00A35276" w:rsidRDefault="00A35276" w:rsidP="00A35276">
      <w:pPr>
        <w:pStyle w:val="FootnoteText"/>
        <w:ind w:left="-567" w:right="-568"/>
        <w:jc w:val="both"/>
      </w:pPr>
      <w:r>
        <w:rPr>
          <w:rStyle w:val="FootnoteReference"/>
        </w:rPr>
        <w:footnoteRef/>
      </w:r>
      <w:r>
        <w:t xml:space="preserve"> Šī nodaļa nosaka nomas objekta iznomāšanas kārtību un tās ietvaros veicamās procedūras (rakstiska vai mutiska izsole).</w:t>
      </w:r>
    </w:p>
  </w:footnote>
  <w:footnote w:id="6">
    <w:p w:rsidR="00A35276" w:rsidRDefault="00A35276" w:rsidP="00A35276">
      <w:pPr>
        <w:pStyle w:val="FootnoteText"/>
        <w:ind w:left="-567" w:right="-568"/>
        <w:jc w:val="both"/>
      </w:pPr>
      <w:r>
        <w:rPr>
          <w:rStyle w:val="FootnoteReference"/>
        </w:rPr>
        <w:footnoteRef/>
      </w:r>
      <w:r>
        <w:t xml:space="preserve"> Šis punkts nosaka, ka l</w:t>
      </w:r>
      <w:r w:rsidRPr="00A85524">
        <w:t>ēmumu par nomas objekta nodošanu iznomāšanai pieņem iznomātājs.</w:t>
      </w:r>
    </w:p>
  </w:footnote>
  <w:footnote w:id="7">
    <w:p w:rsidR="00A35276" w:rsidRDefault="00A35276" w:rsidP="00A35276">
      <w:pPr>
        <w:pStyle w:val="FootnoteText"/>
        <w:ind w:left="-567" w:right="-568"/>
        <w:jc w:val="both"/>
      </w:pPr>
      <w:r w:rsidRPr="00AE1253">
        <w:rPr>
          <w:rStyle w:val="FootnoteReference"/>
        </w:rPr>
        <w:footnoteRef/>
      </w:r>
      <w:r w:rsidRPr="00AE1253">
        <w:t xml:space="preserve"> Saskaņā ar Kapitālsabiedrības statūtu </w:t>
      </w:r>
      <w:r>
        <w:t xml:space="preserve">12.punktu pirms darījumu, kuru summa pārsniedz </w:t>
      </w:r>
      <w:r w:rsidRPr="00AE1253">
        <w:t>14</w:t>
      </w:r>
      <w:r w:rsidR="005D6DC2">
        <w:t>`</w:t>
      </w:r>
      <w:r w:rsidRPr="00AE1253">
        <w:t>228,7</w:t>
      </w:r>
      <w:r>
        <w:t xml:space="preserve">2 </w:t>
      </w:r>
      <w:r w:rsidRPr="00AE1253">
        <w:rPr>
          <w:i/>
        </w:rPr>
        <w:t>euro</w:t>
      </w:r>
      <w:r>
        <w:t>, noslēgšanas, nepieciešama Kapitālsabiedrības kapitāla daļu turētāju pārstāvju rakstveida piekrišana. Saskaņā ar Kapitālsabiedrības statūtu 13.3.apakšpunktu nekustamā īpašuma iznomāšanai, ja nomas tiesiskās attiecības tiek paredzēts uz 10 gadiem un ilgāk, nepieciešama iepriekšēja dalībnieku sapulces piekrišana.</w:t>
      </w:r>
    </w:p>
  </w:footnote>
  <w:footnote w:id="8">
    <w:p w:rsidR="00A35276" w:rsidRDefault="00A35276" w:rsidP="00A35276">
      <w:pPr>
        <w:pStyle w:val="FootnoteText"/>
        <w:ind w:left="-567" w:right="-568"/>
        <w:jc w:val="both"/>
      </w:pPr>
      <w:r>
        <w:rPr>
          <w:rStyle w:val="FootnoteReference"/>
        </w:rPr>
        <w:footnoteRef/>
      </w:r>
      <w:r>
        <w:t xml:space="preserve"> Lai gan Noteikumu 65.–69.punktā tiek lietots termins “nosacītā nomas maksa”, ņemot vērā to, ka šajā gadījumā izsole nav nepieciešama, ar nosacīto nomas maksu jāsaprot nomas maksa.</w:t>
      </w:r>
    </w:p>
  </w:footnote>
  <w:footnote w:id="9">
    <w:p w:rsidR="00A35276" w:rsidRDefault="00A35276" w:rsidP="00A35276">
      <w:pPr>
        <w:pStyle w:val="FootnoteText"/>
        <w:ind w:left="-567" w:right="-568"/>
        <w:jc w:val="both"/>
      </w:pPr>
      <w:r>
        <w:rPr>
          <w:rStyle w:val="FootnoteReference"/>
        </w:rPr>
        <w:footnoteRef/>
      </w:r>
      <w:r>
        <w:t xml:space="preserve"> Ņemot vērā plānoto </w:t>
      </w:r>
      <w:r w:rsidRPr="001A096B">
        <w:t>Sporta medicīnas centra rekonstrukciju</w:t>
      </w:r>
      <w:r>
        <w:t xml:space="preserve">, </w:t>
      </w:r>
      <w:r w:rsidRPr="00AD3D57">
        <w:t>nomas objekta apsekošana un faktiskā stāvokļa novērtēšana</w:t>
      </w:r>
      <w:r>
        <w:t xml:space="preserve"> būtu jāveic pēc rekonstrukcijas darbu pabeigšanas.</w:t>
      </w:r>
    </w:p>
  </w:footnote>
  <w:footnote w:id="10">
    <w:p w:rsidR="00A35276" w:rsidRDefault="00A35276" w:rsidP="00A35276">
      <w:pPr>
        <w:pStyle w:val="FootnoteText"/>
        <w:ind w:left="-567" w:right="-568"/>
        <w:jc w:val="both"/>
      </w:pPr>
      <w:r>
        <w:rPr>
          <w:rStyle w:val="FootnoteReference"/>
        </w:rPr>
        <w:footnoteRef/>
      </w:r>
      <w:r>
        <w:t xml:space="preserve"> Saskaņā ar Noteikumu 66.punktu s</w:t>
      </w:r>
      <w:r w:rsidRPr="005C569F">
        <w:t>ertif</w:t>
      </w:r>
      <w:r>
        <w:t>icētā vērtētāja atlīdzības summa jāie</w:t>
      </w:r>
      <w:r w:rsidRPr="005C569F">
        <w:t>kļauj nosacītās nomas maksas aprēķinā.</w:t>
      </w:r>
    </w:p>
  </w:footnote>
  <w:footnote w:id="11">
    <w:p w:rsidR="00A35276" w:rsidRPr="002B215B" w:rsidRDefault="00A35276" w:rsidP="00A35276">
      <w:pPr>
        <w:pStyle w:val="FootnoteText"/>
        <w:ind w:left="-567" w:right="-568"/>
        <w:jc w:val="both"/>
      </w:pPr>
      <w:r>
        <w:rPr>
          <w:rStyle w:val="FootnoteReference"/>
        </w:rPr>
        <w:footnoteRef/>
      </w:r>
      <w:r>
        <w:t xml:space="preserve"> </w:t>
      </w:r>
      <w:r w:rsidRPr="002C4FA1">
        <w:t xml:space="preserve">Šī nodaļa nosaka </w:t>
      </w:r>
      <w:r>
        <w:t>n</w:t>
      </w:r>
      <w:r w:rsidRPr="002C4FA1">
        <w:t>omas maksas noteikšanas metodik</w:t>
      </w:r>
      <w:r>
        <w:t>u</w:t>
      </w:r>
      <w:r w:rsidRPr="002C4FA1">
        <w:t>, ja nekustamo īpašumu iznomā publiskai personai, tās iestādei vai kapitālsabiedrībai publiskas funkcijas veikšanai</w:t>
      </w:r>
      <w:r>
        <w:t>. Izvērtējot minēto metodiku, secināms, ka pastāv</w:t>
      </w:r>
      <w:r w:rsidR="008F38F8">
        <w:t xml:space="preserve">ētu salīdzinoši </w:t>
      </w:r>
      <w:r>
        <w:t>liela iespēj</w:t>
      </w:r>
      <w:r w:rsidR="008F38F8">
        <w:t>amība, ka nomas maksa, kura tiktu</w:t>
      </w:r>
      <w:r>
        <w:t xml:space="preserve"> noteikta saskaņā ar Noteikumu 3.nodaļu, bū</w:t>
      </w:r>
      <w:r w:rsidR="008F38F8">
        <w:t>tu</w:t>
      </w:r>
      <w:r>
        <w:t xml:space="preserve"> zemāka nekā sertificēta vērtētāja noteiktā nomas maksa saskaņā ar Noteikumu 4.nodaļu. Lai gan, ievērojot Noteikumu 69.1.apakšpunktu, šādā kārtībā noteiktā nomas maksa arī var tikt noteikta kā galīgā nomas maksa, </w:t>
      </w:r>
      <w:r w:rsidR="008F38F8">
        <w:t xml:space="preserve">izvērtējot </w:t>
      </w:r>
      <w:r w:rsidRPr="00A475DD">
        <w:t>šāda</w:t>
      </w:r>
      <w:r w:rsidR="008F38F8">
        <w:t>s</w:t>
      </w:r>
      <w:r w:rsidRPr="00A475DD">
        <w:t xml:space="preserve"> nomas maksa</w:t>
      </w:r>
      <w:r w:rsidR="008F38F8">
        <w:t>s</w:t>
      </w:r>
      <w:r w:rsidRPr="00A475DD">
        <w:t xml:space="preserve"> atbilst</w:t>
      </w:r>
      <w:r w:rsidR="008F38F8">
        <w:t>ību</w:t>
      </w:r>
      <w:r w:rsidRPr="00A475DD">
        <w:t xml:space="preserve"> Kapitālsabiedrības interesēm un ministrijas kā Kapitālsabiedrības kapitāla daļu turētāja uzstādījumiem attiecībā uz Kapitālsabiedrības finansiālo darbību</w:t>
      </w:r>
      <w:r w:rsidR="00A475DD">
        <w:t xml:space="preserve"> (</w:t>
      </w:r>
      <w:r w:rsidR="008F38F8">
        <w:t xml:space="preserve">t.i., </w:t>
      </w:r>
      <w:r w:rsidR="00A475DD">
        <w:t>darbīb</w:t>
      </w:r>
      <w:r w:rsidR="008F38F8">
        <w:t>u</w:t>
      </w:r>
      <w:r w:rsidR="00A475DD">
        <w:t xml:space="preserve"> bez zaudējumiem)</w:t>
      </w:r>
      <w:r w:rsidR="008F38F8">
        <w:t xml:space="preserve">, ministrijas ieskatā </w:t>
      </w:r>
      <w:r w:rsidR="0068787E">
        <w:t xml:space="preserve">šajā gadījumā </w:t>
      </w:r>
      <w:r w:rsidR="00A475DD">
        <w:t xml:space="preserve">nomas maksa </w:t>
      </w:r>
      <w:r w:rsidR="0068787E">
        <w:t xml:space="preserve">būtu </w:t>
      </w:r>
      <w:r w:rsidR="00A475DD">
        <w:t xml:space="preserve">jānosaka </w:t>
      </w:r>
      <w:r>
        <w:t xml:space="preserve">pēc sertificēta vērtētāja atzinuma.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FB6039">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nsid w:val="219D4A1E"/>
    <w:multiLevelType w:val="hybridMultilevel"/>
    <w:tmpl w:val="4124943C"/>
    <w:lvl w:ilvl="0" w:tplc="482C56C6">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6">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4FF5232A"/>
    <w:multiLevelType w:val="hybridMultilevel"/>
    <w:tmpl w:val="B8F29A52"/>
    <w:lvl w:ilvl="0" w:tplc="BE44DABC">
      <w:start w:val="1"/>
      <w:numFmt w:val="decimal"/>
      <w:lvlText w:val="(%1)"/>
      <w:lvlJc w:val="left"/>
      <w:pPr>
        <w:ind w:left="492" w:hanging="360"/>
      </w:pPr>
      <w:rPr>
        <w:rFonts w:ascii="Times New Roman" w:eastAsia="Calibri" w:hAnsi="Times New Roman" w:cs="Times New Roman"/>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8">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9">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1">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3">
    <w:nsid w:val="677368E6"/>
    <w:multiLevelType w:val="hybridMultilevel"/>
    <w:tmpl w:val="1FF8F576"/>
    <w:lvl w:ilvl="0" w:tplc="E3A61DF2">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EB43999"/>
    <w:multiLevelType w:val="hybridMultilevel"/>
    <w:tmpl w:val="B8F29A52"/>
    <w:lvl w:ilvl="0" w:tplc="BE44DABC">
      <w:start w:val="1"/>
      <w:numFmt w:val="decimal"/>
      <w:lvlText w:val="(%1)"/>
      <w:lvlJc w:val="left"/>
      <w:pPr>
        <w:ind w:left="492" w:hanging="360"/>
      </w:pPr>
      <w:rPr>
        <w:rFonts w:ascii="Times New Roman" w:eastAsia="Calibri" w:hAnsi="Times New Roman" w:cs="Times New Roman"/>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6">
    <w:nsid w:val="73DA3CDC"/>
    <w:multiLevelType w:val="hybridMultilevel"/>
    <w:tmpl w:val="D54E8DF4"/>
    <w:lvl w:ilvl="0" w:tplc="D36C564A">
      <w:start w:val="1"/>
      <w:numFmt w:val="decimal"/>
      <w:lvlText w:val="(%1)"/>
      <w:lvlJc w:val="left"/>
      <w:pPr>
        <w:ind w:left="1080" w:hanging="360"/>
      </w:pPr>
      <w:rPr>
        <w:rFonts w:eastAsia="Calibri"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5"/>
  </w:num>
  <w:num w:numId="2">
    <w:abstractNumId w:val="11"/>
  </w:num>
  <w:num w:numId="3">
    <w:abstractNumId w:val="10"/>
  </w:num>
  <w:num w:numId="4">
    <w:abstractNumId w:val="14"/>
  </w:num>
  <w:num w:numId="5">
    <w:abstractNumId w:val="8"/>
  </w:num>
  <w:num w:numId="6">
    <w:abstractNumId w:val="9"/>
  </w:num>
  <w:num w:numId="7">
    <w:abstractNumId w:val="1"/>
  </w:num>
  <w:num w:numId="8">
    <w:abstractNumId w:val="0"/>
  </w:num>
  <w:num w:numId="9">
    <w:abstractNumId w:val="4"/>
  </w:num>
  <w:num w:numId="10">
    <w:abstractNumId w:val="17"/>
  </w:num>
  <w:num w:numId="11">
    <w:abstractNumId w:val="12"/>
  </w:num>
  <w:num w:numId="12">
    <w:abstractNumId w:val="3"/>
  </w:num>
  <w:num w:numId="13">
    <w:abstractNumId w:val="16"/>
  </w:num>
  <w:num w:numId="14">
    <w:abstractNumId w:val="13"/>
  </w:num>
  <w:num w:numId="15">
    <w:abstractNumId w:val="7"/>
  </w:num>
  <w:num w:numId="16">
    <w:abstractNumId w:val="2"/>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270"/>
    <w:rsid w:val="00002604"/>
    <w:rsid w:val="00002DDF"/>
    <w:rsid w:val="00004CD6"/>
    <w:rsid w:val="0000524B"/>
    <w:rsid w:val="00005A9D"/>
    <w:rsid w:val="00006D42"/>
    <w:rsid w:val="00010140"/>
    <w:rsid w:val="000103AD"/>
    <w:rsid w:val="00010590"/>
    <w:rsid w:val="000120DA"/>
    <w:rsid w:val="00012EAE"/>
    <w:rsid w:val="00014BD0"/>
    <w:rsid w:val="00016875"/>
    <w:rsid w:val="00020664"/>
    <w:rsid w:val="0002179F"/>
    <w:rsid w:val="000219F0"/>
    <w:rsid w:val="00027346"/>
    <w:rsid w:val="00033013"/>
    <w:rsid w:val="000347B3"/>
    <w:rsid w:val="00034AA4"/>
    <w:rsid w:val="0003640B"/>
    <w:rsid w:val="00036977"/>
    <w:rsid w:val="000372DF"/>
    <w:rsid w:val="00037B73"/>
    <w:rsid w:val="000401D9"/>
    <w:rsid w:val="00040D4E"/>
    <w:rsid w:val="00041822"/>
    <w:rsid w:val="00041F61"/>
    <w:rsid w:val="0004229B"/>
    <w:rsid w:val="000423AB"/>
    <w:rsid w:val="0004297E"/>
    <w:rsid w:val="00044092"/>
    <w:rsid w:val="000440A0"/>
    <w:rsid w:val="000454C3"/>
    <w:rsid w:val="000463EE"/>
    <w:rsid w:val="00046CDE"/>
    <w:rsid w:val="00047FE8"/>
    <w:rsid w:val="0005209B"/>
    <w:rsid w:val="000541F8"/>
    <w:rsid w:val="00054553"/>
    <w:rsid w:val="00054FEE"/>
    <w:rsid w:val="00055608"/>
    <w:rsid w:val="00055F70"/>
    <w:rsid w:val="000577CD"/>
    <w:rsid w:val="000577FD"/>
    <w:rsid w:val="000622F7"/>
    <w:rsid w:val="00063019"/>
    <w:rsid w:val="00065279"/>
    <w:rsid w:val="0006651A"/>
    <w:rsid w:val="000673CA"/>
    <w:rsid w:val="00070F02"/>
    <w:rsid w:val="00071C49"/>
    <w:rsid w:val="00072B98"/>
    <w:rsid w:val="00072F6C"/>
    <w:rsid w:val="000730C8"/>
    <w:rsid w:val="00073118"/>
    <w:rsid w:val="000732D1"/>
    <w:rsid w:val="00074405"/>
    <w:rsid w:val="00074B8C"/>
    <w:rsid w:val="00076AE2"/>
    <w:rsid w:val="00076F56"/>
    <w:rsid w:val="000777F6"/>
    <w:rsid w:val="00080CC1"/>
    <w:rsid w:val="00081477"/>
    <w:rsid w:val="00081CEB"/>
    <w:rsid w:val="00083396"/>
    <w:rsid w:val="000849C2"/>
    <w:rsid w:val="00084C38"/>
    <w:rsid w:val="0008599C"/>
    <w:rsid w:val="00090BFF"/>
    <w:rsid w:val="000912B2"/>
    <w:rsid w:val="0009162F"/>
    <w:rsid w:val="00091E26"/>
    <w:rsid w:val="0009215D"/>
    <w:rsid w:val="000934D5"/>
    <w:rsid w:val="00094F13"/>
    <w:rsid w:val="00095EBB"/>
    <w:rsid w:val="00097B46"/>
    <w:rsid w:val="00097CF5"/>
    <w:rsid w:val="000A152C"/>
    <w:rsid w:val="000A208E"/>
    <w:rsid w:val="000A2237"/>
    <w:rsid w:val="000A4403"/>
    <w:rsid w:val="000A671B"/>
    <w:rsid w:val="000B0DC4"/>
    <w:rsid w:val="000B3147"/>
    <w:rsid w:val="000B3B3C"/>
    <w:rsid w:val="000B3DD7"/>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E77D0"/>
    <w:rsid w:val="000F1AC0"/>
    <w:rsid w:val="000F3894"/>
    <w:rsid w:val="000F7A80"/>
    <w:rsid w:val="0010198A"/>
    <w:rsid w:val="00101C45"/>
    <w:rsid w:val="00103760"/>
    <w:rsid w:val="00103A3D"/>
    <w:rsid w:val="001106D1"/>
    <w:rsid w:val="00111709"/>
    <w:rsid w:val="00111B15"/>
    <w:rsid w:val="0011252A"/>
    <w:rsid w:val="00112C20"/>
    <w:rsid w:val="00114C20"/>
    <w:rsid w:val="00115EB8"/>
    <w:rsid w:val="00116669"/>
    <w:rsid w:val="00117C7E"/>
    <w:rsid w:val="0012123A"/>
    <w:rsid w:val="00121DF2"/>
    <w:rsid w:val="0012249E"/>
    <w:rsid w:val="00122521"/>
    <w:rsid w:val="00123E9B"/>
    <w:rsid w:val="0012448A"/>
    <w:rsid w:val="0012704D"/>
    <w:rsid w:val="0012791B"/>
    <w:rsid w:val="00131850"/>
    <w:rsid w:val="00131A15"/>
    <w:rsid w:val="00132473"/>
    <w:rsid w:val="00132C2C"/>
    <w:rsid w:val="00132D10"/>
    <w:rsid w:val="00134CEC"/>
    <w:rsid w:val="001350A6"/>
    <w:rsid w:val="00135577"/>
    <w:rsid w:val="00136D87"/>
    <w:rsid w:val="001376F8"/>
    <w:rsid w:val="00137FAC"/>
    <w:rsid w:val="001413A9"/>
    <w:rsid w:val="00143747"/>
    <w:rsid w:val="00146DF6"/>
    <w:rsid w:val="00147CBF"/>
    <w:rsid w:val="00147D9A"/>
    <w:rsid w:val="00150D62"/>
    <w:rsid w:val="00152C87"/>
    <w:rsid w:val="00155491"/>
    <w:rsid w:val="00156760"/>
    <w:rsid w:val="00157F12"/>
    <w:rsid w:val="00161261"/>
    <w:rsid w:val="0016142A"/>
    <w:rsid w:val="00162670"/>
    <w:rsid w:val="00165215"/>
    <w:rsid w:val="001673FC"/>
    <w:rsid w:val="00172A25"/>
    <w:rsid w:val="0017384A"/>
    <w:rsid w:val="00174AEB"/>
    <w:rsid w:val="00175071"/>
    <w:rsid w:val="001758F4"/>
    <w:rsid w:val="00180E6B"/>
    <w:rsid w:val="00181D00"/>
    <w:rsid w:val="001824F8"/>
    <w:rsid w:val="001828B2"/>
    <w:rsid w:val="00183265"/>
    <w:rsid w:val="0018329D"/>
    <w:rsid w:val="001838EC"/>
    <w:rsid w:val="00184814"/>
    <w:rsid w:val="00186DF5"/>
    <w:rsid w:val="001904B3"/>
    <w:rsid w:val="00193178"/>
    <w:rsid w:val="00194724"/>
    <w:rsid w:val="00194827"/>
    <w:rsid w:val="00194A0F"/>
    <w:rsid w:val="001A0506"/>
    <w:rsid w:val="001A142F"/>
    <w:rsid w:val="001A290D"/>
    <w:rsid w:val="001A2EC1"/>
    <w:rsid w:val="001A31E1"/>
    <w:rsid w:val="001A3434"/>
    <w:rsid w:val="001A34F0"/>
    <w:rsid w:val="001A351A"/>
    <w:rsid w:val="001A3FE6"/>
    <w:rsid w:val="001A4D52"/>
    <w:rsid w:val="001A6E9C"/>
    <w:rsid w:val="001A79B9"/>
    <w:rsid w:val="001B1189"/>
    <w:rsid w:val="001B15B5"/>
    <w:rsid w:val="001B32BB"/>
    <w:rsid w:val="001B34BA"/>
    <w:rsid w:val="001B548E"/>
    <w:rsid w:val="001B657F"/>
    <w:rsid w:val="001C15CD"/>
    <w:rsid w:val="001C20B9"/>
    <w:rsid w:val="001C2FDE"/>
    <w:rsid w:val="001C3E5B"/>
    <w:rsid w:val="001C403D"/>
    <w:rsid w:val="001C4BA3"/>
    <w:rsid w:val="001C5FC4"/>
    <w:rsid w:val="001C5FC5"/>
    <w:rsid w:val="001C60B1"/>
    <w:rsid w:val="001C77E5"/>
    <w:rsid w:val="001D0913"/>
    <w:rsid w:val="001D17EA"/>
    <w:rsid w:val="001D1F6A"/>
    <w:rsid w:val="001D3147"/>
    <w:rsid w:val="001D4A15"/>
    <w:rsid w:val="001D7C74"/>
    <w:rsid w:val="001E14F5"/>
    <w:rsid w:val="001E4836"/>
    <w:rsid w:val="001E6E40"/>
    <w:rsid w:val="001E72D6"/>
    <w:rsid w:val="001F04C7"/>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160"/>
    <w:rsid w:val="0025085A"/>
    <w:rsid w:val="00250A27"/>
    <w:rsid w:val="00250AC1"/>
    <w:rsid w:val="00250F03"/>
    <w:rsid w:val="002512F8"/>
    <w:rsid w:val="0025457B"/>
    <w:rsid w:val="0025458A"/>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791A"/>
    <w:rsid w:val="002903DB"/>
    <w:rsid w:val="00290940"/>
    <w:rsid w:val="0029164A"/>
    <w:rsid w:val="002918AC"/>
    <w:rsid w:val="00291A48"/>
    <w:rsid w:val="00291AF4"/>
    <w:rsid w:val="00294045"/>
    <w:rsid w:val="00295345"/>
    <w:rsid w:val="0029609E"/>
    <w:rsid w:val="002975AC"/>
    <w:rsid w:val="00297943"/>
    <w:rsid w:val="002A1E5B"/>
    <w:rsid w:val="002A39B6"/>
    <w:rsid w:val="002A41DA"/>
    <w:rsid w:val="002A42FF"/>
    <w:rsid w:val="002A6F37"/>
    <w:rsid w:val="002B03B2"/>
    <w:rsid w:val="002B3051"/>
    <w:rsid w:val="002B47A2"/>
    <w:rsid w:val="002B4D56"/>
    <w:rsid w:val="002B5C0B"/>
    <w:rsid w:val="002B6351"/>
    <w:rsid w:val="002B6933"/>
    <w:rsid w:val="002B784B"/>
    <w:rsid w:val="002C0946"/>
    <w:rsid w:val="002C19AF"/>
    <w:rsid w:val="002C2590"/>
    <w:rsid w:val="002C2C3F"/>
    <w:rsid w:val="002C50CA"/>
    <w:rsid w:val="002C602F"/>
    <w:rsid w:val="002C7C2B"/>
    <w:rsid w:val="002D328A"/>
    <w:rsid w:val="002D4F98"/>
    <w:rsid w:val="002D50D6"/>
    <w:rsid w:val="002D5DA0"/>
    <w:rsid w:val="002D77A9"/>
    <w:rsid w:val="002E011D"/>
    <w:rsid w:val="002E0B47"/>
    <w:rsid w:val="002E0BB9"/>
    <w:rsid w:val="002E363E"/>
    <w:rsid w:val="002E40BB"/>
    <w:rsid w:val="002E66A8"/>
    <w:rsid w:val="002E6A3D"/>
    <w:rsid w:val="002E742C"/>
    <w:rsid w:val="002F120E"/>
    <w:rsid w:val="002F25B0"/>
    <w:rsid w:val="002F3C73"/>
    <w:rsid w:val="002F4472"/>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538C"/>
    <w:rsid w:val="00326649"/>
    <w:rsid w:val="003268E2"/>
    <w:rsid w:val="00326D04"/>
    <w:rsid w:val="00326FFD"/>
    <w:rsid w:val="00331B78"/>
    <w:rsid w:val="00332AD8"/>
    <w:rsid w:val="00335F59"/>
    <w:rsid w:val="00336742"/>
    <w:rsid w:val="00341757"/>
    <w:rsid w:val="003418C3"/>
    <w:rsid w:val="003435FA"/>
    <w:rsid w:val="003445A2"/>
    <w:rsid w:val="00346796"/>
    <w:rsid w:val="003478B4"/>
    <w:rsid w:val="00350D8D"/>
    <w:rsid w:val="00351AA0"/>
    <w:rsid w:val="00352B0A"/>
    <w:rsid w:val="00352F47"/>
    <w:rsid w:val="0035463A"/>
    <w:rsid w:val="00354F2D"/>
    <w:rsid w:val="0035737A"/>
    <w:rsid w:val="00357A2C"/>
    <w:rsid w:val="003608F0"/>
    <w:rsid w:val="003620CD"/>
    <w:rsid w:val="00363F09"/>
    <w:rsid w:val="00364A83"/>
    <w:rsid w:val="00367957"/>
    <w:rsid w:val="003705EF"/>
    <w:rsid w:val="003719EC"/>
    <w:rsid w:val="00372574"/>
    <w:rsid w:val="00376CEF"/>
    <w:rsid w:val="003773F8"/>
    <w:rsid w:val="00381A75"/>
    <w:rsid w:val="003837A2"/>
    <w:rsid w:val="00383F46"/>
    <w:rsid w:val="00386F10"/>
    <w:rsid w:val="003900A2"/>
    <w:rsid w:val="003905CA"/>
    <w:rsid w:val="003906FF"/>
    <w:rsid w:val="00390945"/>
    <w:rsid w:val="00393529"/>
    <w:rsid w:val="003950EC"/>
    <w:rsid w:val="00397AA4"/>
    <w:rsid w:val="003A0426"/>
    <w:rsid w:val="003A0BA4"/>
    <w:rsid w:val="003A193D"/>
    <w:rsid w:val="003A1A94"/>
    <w:rsid w:val="003A657F"/>
    <w:rsid w:val="003A6F5B"/>
    <w:rsid w:val="003B05AB"/>
    <w:rsid w:val="003B0922"/>
    <w:rsid w:val="003B0E4C"/>
    <w:rsid w:val="003B1A4F"/>
    <w:rsid w:val="003B2B5A"/>
    <w:rsid w:val="003B4005"/>
    <w:rsid w:val="003B465C"/>
    <w:rsid w:val="003B5F90"/>
    <w:rsid w:val="003B6D50"/>
    <w:rsid w:val="003C16EF"/>
    <w:rsid w:val="003C2496"/>
    <w:rsid w:val="003C488C"/>
    <w:rsid w:val="003C691E"/>
    <w:rsid w:val="003C72F1"/>
    <w:rsid w:val="003D01AF"/>
    <w:rsid w:val="003D4908"/>
    <w:rsid w:val="003D7335"/>
    <w:rsid w:val="003E40B5"/>
    <w:rsid w:val="003E4A67"/>
    <w:rsid w:val="003E4DD8"/>
    <w:rsid w:val="003E5997"/>
    <w:rsid w:val="003E6E62"/>
    <w:rsid w:val="003F1F82"/>
    <w:rsid w:val="003F2A27"/>
    <w:rsid w:val="003F43C8"/>
    <w:rsid w:val="003F5CC4"/>
    <w:rsid w:val="003F67DE"/>
    <w:rsid w:val="003F75A6"/>
    <w:rsid w:val="003F786B"/>
    <w:rsid w:val="004020E4"/>
    <w:rsid w:val="00403794"/>
    <w:rsid w:val="0040414A"/>
    <w:rsid w:val="00404DD8"/>
    <w:rsid w:val="00406BFE"/>
    <w:rsid w:val="004076BF"/>
    <w:rsid w:val="00410EFD"/>
    <w:rsid w:val="00411191"/>
    <w:rsid w:val="00411CF0"/>
    <w:rsid w:val="00411F72"/>
    <w:rsid w:val="00412E8E"/>
    <w:rsid w:val="00413B6F"/>
    <w:rsid w:val="00415D76"/>
    <w:rsid w:val="00415F7B"/>
    <w:rsid w:val="00416FC9"/>
    <w:rsid w:val="00417538"/>
    <w:rsid w:val="004177B4"/>
    <w:rsid w:val="0041793F"/>
    <w:rsid w:val="00420504"/>
    <w:rsid w:val="00423736"/>
    <w:rsid w:val="00424E6F"/>
    <w:rsid w:val="0042540D"/>
    <w:rsid w:val="004274A7"/>
    <w:rsid w:val="004310C7"/>
    <w:rsid w:val="004331E9"/>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6F27"/>
    <w:rsid w:val="00467FEB"/>
    <w:rsid w:val="00472478"/>
    <w:rsid w:val="00472637"/>
    <w:rsid w:val="0047300C"/>
    <w:rsid w:val="0047336E"/>
    <w:rsid w:val="00474099"/>
    <w:rsid w:val="004751CD"/>
    <w:rsid w:val="00475B54"/>
    <w:rsid w:val="004763AC"/>
    <w:rsid w:val="00476508"/>
    <w:rsid w:val="004800CF"/>
    <w:rsid w:val="004804CE"/>
    <w:rsid w:val="00480A79"/>
    <w:rsid w:val="004816F6"/>
    <w:rsid w:val="00481F9B"/>
    <w:rsid w:val="004821A5"/>
    <w:rsid w:val="00482B4C"/>
    <w:rsid w:val="00482F3D"/>
    <w:rsid w:val="0048376B"/>
    <w:rsid w:val="00485355"/>
    <w:rsid w:val="00486A8A"/>
    <w:rsid w:val="00491FB5"/>
    <w:rsid w:val="004925F7"/>
    <w:rsid w:val="004940B7"/>
    <w:rsid w:val="0049673D"/>
    <w:rsid w:val="00496E04"/>
    <w:rsid w:val="004A14A3"/>
    <w:rsid w:val="004A1976"/>
    <w:rsid w:val="004A1F56"/>
    <w:rsid w:val="004A2074"/>
    <w:rsid w:val="004A24C1"/>
    <w:rsid w:val="004A2665"/>
    <w:rsid w:val="004A56AF"/>
    <w:rsid w:val="004A5933"/>
    <w:rsid w:val="004A6A93"/>
    <w:rsid w:val="004A6E2E"/>
    <w:rsid w:val="004B0198"/>
    <w:rsid w:val="004B3DE6"/>
    <w:rsid w:val="004B550F"/>
    <w:rsid w:val="004B617C"/>
    <w:rsid w:val="004B7C13"/>
    <w:rsid w:val="004C164B"/>
    <w:rsid w:val="004C3E95"/>
    <w:rsid w:val="004C673C"/>
    <w:rsid w:val="004C6E14"/>
    <w:rsid w:val="004C7662"/>
    <w:rsid w:val="004D202D"/>
    <w:rsid w:val="004D3922"/>
    <w:rsid w:val="004D40E3"/>
    <w:rsid w:val="004D5BFB"/>
    <w:rsid w:val="004D6A71"/>
    <w:rsid w:val="004E0F06"/>
    <w:rsid w:val="004E0F6A"/>
    <w:rsid w:val="004E12FF"/>
    <w:rsid w:val="004E32CD"/>
    <w:rsid w:val="004E4B60"/>
    <w:rsid w:val="004E607D"/>
    <w:rsid w:val="004E7040"/>
    <w:rsid w:val="004F14C5"/>
    <w:rsid w:val="004F3806"/>
    <w:rsid w:val="004F3D0D"/>
    <w:rsid w:val="004F788C"/>
    <w:rsid w:val="00503618"/>
    <w:rsid w:val="00504DBF"/>
    <w:rsid w:val="00505D53"/>
    <w:rsid w:val="00506F79"/>
    <w:rsid w:val="00510418"/>
    <w:rsid w:val="005134ED"/>
    <w:rsid w:val="00514C25"/>
    <w:rsid w:val="0051556C"/>
    <w:rsid w:val="005161C9"/>
    <w:rsid w:val="00516733"/>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4CE1"/>
    <w:rsid w:val="00555C5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4DEF"/>
    <w:rsid w:val="005A02DC"/>
    <w:rsid w:val="005A03DE"/>
    <w:rsid w:val="005A077D"/>
    <w:rsid w:val="005A0EAC"/>
    <w:rsid w:val="005A19BE"/>
    <w:rsid w:val="005A2C74"/>
    <w:rsid w:val="005A518B"/>
    <w:rsid w:val="005A627E"/>
    <w:rsid w:val="005A7083"/>
    <w:rsid w:val="005A75E7"/>
    <w:rsid w:val="005A7608"/>
    <w:rsid w:val="005A7644"/>
    <w:rsid w:val="005B0E1C"/>
    <w:rsid w:val="005B0ED5"/>
    <w:rsid w:val="005B1022"/>
    <w:rsid w:val="005B111A"/>
    <w:rsid w:val="005B1E9C"/>
    <w:rsid w:val="005B31E6"/>
    <w:rsid w:val="005B3B34"/>
    <w:rsid w:val="005B4B22"/>
    <w:rsid w:val="005B5C5C"/>
    <w:rsid w:val="005C1641"/>
    <w:rsid w:val="005C1AC1"/>
    <w:rsid w:val="005C1BC7"/>
    <w:rsid w:val="005C278A"/>
    <w:rsid w:val="005C32C9"/>
    <w:rsid w:val="005C3A56"/>
    <w:rsid w:val="005C3A67"/>
    <w:rsid w:val="005C5513"/>
    <w:rsid w:val="005C5DB9"/>
    <w:rsid w:val="005C5E85"/>
    <w:rsid w:val="005C6B8A"/>
    <w:rsid w:val="005C7471"/>
    <w:rsid w:val="005D05F2"/>
    <w:rsid w:val="005D2257"/>
    <w:rsid w:val="005D2C19"/>
    <w:rsid w:val="005D3E72"/>
    <w:rsid w:val="005D4A0C"/>
    <w:rsid w:val="005D564D"/>
    <w:rsid w:val="005D64B0"/>
    <w:rsid w:val="005D6B61"/>
    <w:rsid w:val="005D6B8A"/>
    <w:rsid w:val="005D6DC2"/>
    <w:rsid w:val="005E1228"/>
    <w:rsid w:val="005E14EB"/>
    <w:rsid w:val="005E30CF"/>
    <w:rsid w:val="005E40D9"/>
    <w:rsid w:val="005E4159"/>
    <w:rsid w:val="005E4DF4"/>
    <w:rsid w:val="005F1F79"/>
    <w:rsid w:val="005F22A7"/>
    <w:rsid w:val="005F3AA1"/>
    <w:rsid w:val="005F47AE"/>
    <w:rsid w:val="005F6A42"/>
    <w:rsid w:val="005F7A61"/>
    <w:rsid w:val="00600E72"/>
    <w:rsid w:val="0060231D"/>
    <w:rsid w:val="00604944"/>
    <w:rsid w:val="00605A33"/>
    <w:rsid w:val="00606918"/>
    <w:rsid w:val="006107D6"/>
    <w:rsid w:val="0061090E"/>
    <w:rsid w:val="00615FD8"/>
    <w:rsid w:val="00616477"/>
    <w:rsid w:val="00617D7A"/>
    <w:rsid w:val="00620CAE"/>
    <w:rsid w:val="006213D4"/>
    <w:rsid w:val="0062334B"/>
    <w:rsid w:val="006234D3"/>
    <w:rsid w:val="00623D64"/>
    <w:rsid w:val="00624591"/>
    <w:rsid w:val="00625948"/>
    <w:rsid w:val="00625AC4"/>
    <w:rsid w:val="00626634"/>
    <w:rsid w:val="006304AB"/>
    <w:rsid w:val="006316C2"/>
    <w:rsid w:val="00631D5F"/>
    <w:rsid w:val="00632290"/>
    <w:rsid w:val="006324A3"/>
    <w:rsid w:val="00633098"/>
    <w:rsid w:val="006337E8"/>
    <w:rsid w:val="0063777A"/>
    <w:rsid w:val="00640C60"/>
    <w:rsid w:val="00642ABF"/>
    <w:rsid w:val="006430D3"/>
    <w:rsid w:val="00643E6C"/>
    <w:rsid w:val="0064591A"/>
    <w:rsid w:val="00653952"/>
    <w:rsid w:val="00653B95"/>
    <w:rsid w:val="00654274"/>
    <w:rsid w:val="00654F57"/>
    <w:rsid w:val="0065692E"/>
    <w:rsid w:val="00662C4D"/>
    <w:rsid w:val="0066443C"/>
    <w:rsid w:val="00664540"/>
    <w:rsid w:val="0066504D"/>
    <w:rsid w:val="00666844"/>
    <w:rsid w:val="00667079"/>
    <w:rsid w:val="00670B6E"/>
    <w:rsid w:val="00671666"/>
    <w:rsid w:val="00672427"/>
    <w:rsid w:val="00672827"/>
    <w:rsid w:val="00672CAB"/>
    <w:rsid w:val="00676453"/>
    <w:rsid w:val="00676573"/>
    <w:rsid w:val="006769A6"/>
    <w:rsid w:val="00682170"/>
    <w:rsid w:val="00685380"/>
    <w:rsid w:val="00685E09"/>
    <w:rsid w:val="0068655F"/>
    <w:rsid w:val="0068787E"/>
    <w:rsid w:val="00687B8B"/>
    <w:rsid w:val="00693071"/>
    <w:rsid w:val="00693E2C"/>
    <w:rsid w:val="00694526"/>
    <w:rsid w:val="00694574"/>
    <w:rsid w:val="00696EF6"/>
    <w:rsid w:val="00697E73"/>
    <w:rsid w:val="006A20B2"/>
    <w:rsid w:val="006A26FB"/>
    <w:rsid w:val="006A3F8B"/>
    <w:rsid w:val="006A46E6"/>
    <w:rsid w:val="006A5B29"/>
    <w:rsid w:val="006A6D16"/>
    <w:rsid w:val="006A792B"/>
    <w:rsid w:val="006A7A10"/>
    <w:rsid w:val="006A7BBB"/>
    <w:rsid w:val="006B0031"/>
    <w:rsid w:val="006B01F8"/>
    <w:rsid w:val="006B1546"/>
    <w:rsid w:val="006B2095"/>
    <w:rsid w:val="006B232C"/>
    <w:rsid w:val="006B25C7"/>
    <w:rsid w:val="006B5FDC"/>
    <w:rsid w:val="006B76EE"/>
    <w:rsid w:val="006C1D18"/>
    <w:rsid w:val="006C1FD3"/>
    <w:rsid w:val="006D03B1"/>
    <w:rsid w:val="006D531B"/>
    <w:rsid w:val="006D5A81"/>
    <w:rsid w:val="006D6BB4"/>
    <w:rsid w:val="006D759A"/>
    <w:rsid w:val="006D7BDE"/>
    <w:rsid w:val="006E0FB6"/>
    <w:rsid w:val="006E1A1E"/>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2115C"/>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15FE"/>
    <w:rsid w:val="007442E2"/>
    <w:rsid w:val="00747D0F"/>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1700"/>
    <w:rsid w:val="00773B13"/>
    <w:rsid w:val="00774453"/>
    <w:rsid w:val="00775647"/>
    <w:rsid w:val="00776830"/>
    <w:rsid w:val="00776B8D"/>
    <w:rsid w:val="00776EE1"/>
    <w:rsid w:val="00781BCE"/>
    <w:rsid w:val="00781E83"/>
    <w:rsid w:val="007830F4"/>
    <w:rsid w:val="00783AB1"/>
    <w:rsid w:val="00783AD5"/>
    <w:rsid w:val="00783B51"/>
    <w:rsid w:val="00785F44"/>
    <w:rsid w:val="00791E64"/>
    <w:rsid w:val="0079257F"/>
    <w:rsid w:val="0079317A"/>
    <w:rsid w:val="00795000"/>
    <w:rsid w:val="007951D8"/>
    <w:rsid w:val="00795A9E"/>
    <w:rsid w:val="0079616C"/>
    <w:rsid w:val="00797264"/>
    <w:rsid w:val="007A0AC8"/>
    <w:rsid w:val="007A0D97"/>
    <w:rsid w:val="007A1337"/>
    <w:rsid w:val="007A376F"/>
    <w:rsid w:val="007A4A08"/>
    <w:rsid w:val="007A4B92"/>
    <w:rsid w:val="007A51FA"/>
    <w:rsid w:val="007A584F"/>
    <w:rsid w:val="007A68A0"/>
    <w:rsid w:val="007A70F7"/>
    <w:rsid w:val="007A7D3A"/>
    <w:rsid w:val="007A7E67"/>
    <w:rsid w:val="007B1544"/>
    <w:rsid w:val="007B1F8F"/>
    <w:rsid w:val="007B25D4"/>
    <w:rsid w:val="007B3D22"/>
    <w:rsid w:val="007B47C2"/>
    <w:rsid w:val="007C05FF"/>
    <w:rsid w:val="007C0F2C"/>
    <w:rsid w:val="007C221B"/>
    <w:rsid w:val="007C231C"/>
    <w:rsid w:val="007C34AD"/>
    <w:rsid w:val="007C4848"/>
    <w:rsid w:val="007C49C6"/>
    <w:rsid w:val="007C5877"/>
    <w:rsid w:val="007C590D"/>
    <w:rsid w:val="007C5E55"/>
    <w:rsid w:val="007C6451"/>
    <w:rsid w:val="007E2464"/>
    <w:rsid w:val="007E36FC"/>
    <w:rsid w:val="007E6314"/>
    <w:rsid w:val="007E7F9D"/>
    <w:rsid w:val="007F0829"/>
    <w:rsid w:val="007F0A35"/>
    <w:rsid w:val="007F1F1C"/>
    <w:rsid w:val="007F3911"/>
    <w:rsid w:val="007F4741"/>
    <w:rsid w:val="007F4F30"/>
    <w:rsid w:val="007F55D7"/>
    <w:rsid w:val="007F5AEE"/>
    <w:rsid w:val="007F6D6B"/>
    <w:rsid w:val="007F7D46"/>
    <w:rsid w:val="0080017B"/>
    <w:rsid w:val="00803311"/>
    <w:rsid w:val="00803457"/>
    <w:rsid w:val="008034B4"/>
    <w:rsid w:val="00803645"/>
    <w:rsid w:val="00804094"/>
    <w:rsid w:val="00804959"/>
    <w:rsid w:val="00804B8C"/>
    <w:rsid w:val="00813633"/>
    <w:rsid w:val="00814BD9"/>
    <w:rsid w:val="0081654C"/>
    <w:rsid w:val="00816572"/>
    <w:rsid w:val="0081704B"/>
    <w:rsid w:val="008212A7"/>
    <w:rsid w:val="008221C8"/>
    <w:rsid w:val="0082231A"/>
    <w:rsid w:val="008243FF"/>
    <w:rsid w:val="00826788"/>
    <w:rsid w:val="00830DCA"/>
    <w:rsid w:val="00831A72"/>
    <w:rsid w:val="00832914"/>
    <w:rsid w:val="00832B1D"/>
    <w:rsid w:val="00833325"/>
    <w:rsid w:val="00833D7A"/>
    <w:rsid w:val="00834B1C"/>
    <w:rsid w:val="0083519C"/>
    <w:rsid w:val="008367F4"/>
    <w:rsid w:val="008373D3"/>
    <w:rsid w:val="0084066D"/>
    <w:rsid w:val="00842544"/>
    <w:rsid w:val="008431E8"/>
    <w:rsid w:val="00843444"/>
    <w:rsid w:val="00843AB5"/>
    <w:rsid w:val="00844460"/>
    <w:rsid w:val="00844660"/>
    <w:rsid w:val="00846518"/>
    <w:rsid w:val="00850449"/>
    <w:rsid w:val="00852127"/>
    <w:rsid w:val="00852749"/>
    <w:rsid w:val="00853066"/>
    <w:rsid w:val="0085329C"/>
    <w:rsid w:val="00853B4B"/>
    <w:rsid w:val="00854DCF"/>
    <w:rsid w:val="0086173C"/>
    <w:rsid w:val="008629E0"/>
    <w:rsid w:val="008634F5"/>
    <w:rsid w:val="00865F4A"/>
    <w:rsid w:val="0086671A"/>
    <w:rsid w:val="00867C07"/>
    <w:rsid w:val="0087128F"/>
    <w:rsid w:val="00871CB3"/>
    <w:rsid w:val="008723BF"/>
    <w:rsid w:val="0087305A"/>
    <w:rsid w:val="008736C0"/>
    <w:rsid w:val="00873AFB"/>
    <w:rsid w:val="00873ED2"/>
    <w:rsid w:val="00880012"/>
    <w:rsid w:val="00882419"/>
    <w:rsid w:val="0088273C"/>
    <w:rsid w:val="00884A65"/>
    <w:rsid w:val="00887353"/>
    <w:rsid w:val="0089266F"/>
    <w:rsid w:val="00892CEB"/>
    <w:rsid w:val="00892DC2"/>
    <w:rsid w:val="0089323C"/>
    <w:rsid w:val="00893CD2"/>
    <w:rsid w:val="008A17E9"/>
    <w:rsid w:val="008A60A4"/>
    <w:rsid w:val="008A6C31"/>
    <w:rsid w:val="008B2279"/>
    <w:rsid w:val="008B27BF"/>
    <w:rsid w:val="008B50AE"/>
    <w:rsid w:val="008B526D"/>
    <w:rsid w:val="008B53EA"/>
    <w:rsid w:val="008B55F4"/>
    <w:rsid w:val="008B5BBC"/>
    <w:rsid w:val="008C06F7"/>
    <w:rsid w:val="008C28CD"/>
    <w:rsid w:val="008C68D2"/>
    <w:rsid w:val="008C716F"/>
    <w:rsid w:val="008D1C7C"/>
    <w:rsid w:val="008D28DE"/>
    <w:rsid w:val="008D2C97"/>
    <w:rsid w:val="008D563E"/>
    <w:rsid w:val="008D63FB"/>
    <w:rsid w:val="008D645D"/>
    <w:rsid w:val="008D7B3A"/>
    <w:rsid w:val="008D7D52"/>
    <w:rsid w:val="008D7D99"/>
    <w:rsid w:val="008E0672"/>
    <w:rsid w:val="008E08B5"/>
    <w:rsid w:val="008E0A34"/>
    <w:rsid w:val="008E120E"/>
    <w:rsid w:val="008E2F46"/>
    <w:rsid w:val="008E2F5F"/>
    <w:rsid w:val="008E403C"/>
    <w:rsid w:val="008E4101"/>
    <w:rsid w:val="008E4715"/>
    <w:rsid w:val="008F0F03"/>
    <w:rsid w:val="008F11A3"/>
    <w:rsid w:val="008F1895"/>
    <w:rsid w:val="008F240C"/>
    <w:rsid w:val="008F245F"/>
    <w:rsid w:val="008F38F8"/>
    <w:rsid w:val="008F5CF2"/>
    <w:rsid w:val="008F62DB"/>
    <w:rsid w:val="008F643F"/>
    <w:rsid w:val="00901B63"/>
    <w:rsid w:val="009020F3"/>
    <w:rsid w:val="00902EBE"/>
    <w:rsid w:val="00903206"/>
    <w:rsid w:val="009063BF"/>
    <w:rsid w:val="00907E6F"/>
    <w:rsid w:val="00910FB5"/>
    <w:rsid w:val="0091172F"/>
    <w:rsid w:val="00911C71"/>
    <w:rsid w:val="009122A7"/>
    <w:rsid w:val="00913388"/>
    <w:rsid w:val="009146B5"/>
    <w:rsid w:val="00916055"/>
    <w:rsid w:val="0091656C"/>
    <w:rsid w:val="009179FA"/>
    <w:rsid w:val="0092093A"/>
    <w:rsid w:val="00920AFE"/>
    <w:rsid w:val="009212E2"/>
    <w:rsid w:val="00921F54"/>
    <w:rsid w:val="00923486"/>
    <w:rsid w:val="0092388C"/>
    <w:rsid w:val="009254BE"/>
    <w:rsid w:val="0092634A"/>
    <w:rsid w:val="00930905"/>
    <w:rsid w:val="009321E2"/>
    <w:rsid w:val="00932F86"/>
    <w:rsid w:val="009343C2"/>
    <w:rsid w:val="00935F6C"/>
    <w:rsid w:val="0094085D"/>
    <w:rsid w:val="009414A1"/>
    <w:rsid w:val="00942D3A"/>
    <w:rsid w:val="00943700"/>
    <w:rsid w:val="00943C3C"/>
    <w:rsid w:val="00944333"/>
    <w:rsid w:val="00944E24"/>
    <w:rsid w:val="00947832"/>
    <w:rsid w:val="00951967"/>
    <w:rsid w:val="00952A5A"/>
    <w:rsid w:val="0095432B"/>
    <w:rsid w:val="0095616A"/>
    <w:rsid w:val="00956847"/>
    <w:rsid w:val="00957BFE"/>
    <w:rsid w:val="00961924"/>
    <w:rsid w:val="0096294C"/>
    <w:rsid w:val="009629C7"/>
    <w:rsid w:val="00962C97"/>
    <w:rsid w:val="009631D8"/>
    <w:rsid w:val="00964D71"/>
    <w:rsid w:val="009667F8"/>
    <w:rsid w:val="00967D62"/>
    <w:rsid w:val="009700E5"/>
    <w:rsid w:val="00970D16"/>
    <w:rsid w:val="00976CDB"/>
    <w:rsid w:val="00977DE5"/>
    <w:rsid w:val="009848C9"/>
    <w:rsid w:val="009849CF"/>
    <w:rsid w:val="00985B4B"/>
    <w:rsid w:val="009879C2"/>
    <w:rsid w:val="00987CF4"/>
    <w:rsid w:val="00991790"/>
    <w:rsid w:val="0099370A"/>
    <w:rsid w:val="009950B3"/>
    <w:rsid w:val="00995D97"/>
    <w:rsid w:val="00996AEB"/>
    <w:rsid w:val="009B09FE"/>
    <w:rsid w:val="009B2854"/>
    <w:rsid w:val="009B2F21"/>
    <w:rsid w:val="009B3020"/>
    <w:rsid w:val="009B49A0"/>
    <w:rsid w:val="009B774A"/>
    <w:rsid w:val="009C0BE4"/>
    <w:rsid w:val="009C17F0"/>
    <w:rsid w:val="009C4A7C"/>
    <w:rsid w:val="009C5DAF"/>
    <w:rsid w:val="009C6731"/>
    <w:rsid w:val="009C680C"/>
    <w:rsid w:val="009C69D5"/>
    <w:rsid w:val="009C72DF"/>
    <w:rsid w:val="009D008F"/>
    <w:rsid w:val="009D0AD7"/>
    <w:rsid w:val="009D2B33"/>
    <w:rsid w:val="009D45E8"/>
    <w:rsid w:val="009D482E"/>
    <w:rsid w:val="009D54A8"/>
    <w:rsid w:val="009D593E"/>
    <w:rsid w:val="009D5CF1"/>
    <w:rsid w:val="009E0E18"/>
    <w:rsid w:val="009E2C7D"/>
    <w:rsid w:val="009E39D6"/>
    <w:rsid w:val="009E4529"/>
    <w:rsid w:val="009E465E"/>
    <w:rsid w:val="009E5842"/>
    <w:rsid w:val="009F01B0"/>
    <w:rsid w:val="009F066C"/>
    <w:rsid w:val="009F0A4C"/>
    <w:rsid w:val="009F1E12"/>
    <w:rsid w:val="009F1F3A"/>
    <w:rsid w:val="009F3D84"/>
    <w:rsid w:val="009F41FE"/>
    <w:rsid w:val="009F5244"/>
    <w:rsid w:val="009F5B27"/>
    <w:rsid w:val="009F641D"/>
    <w:rsid w:val="009F65C9"/>
    <w:rsid w:val="009F6AC7"/>
    <w:rsid w:val="00A07D34"/>
    <w:rsid w:val="00A10BB0"/>
    <w:rsid w:val="00A13034"/>
    <w:rsid w:val="00A1339D"/>
    <w:rsid w:val="00A13445"/>
    <w:rsid w:val="00A13CB9"/>
    <w:rsid w:val="00A15252"/>
    <w:rsid w:val="00A16C28"/>
    <w:rsid w:val="00A17D77"/>
    <w:rsid w:val="00A2036F"/>
    <w:rsid w:val="00A208FB"/>
    <w:rsid w:val="00A21DDA"/>
    <w:rsid w:val="00A22F12"/>
    <w:rsid w:val="00A23073"/>
    <w:rsid w:val="00A231FE"/>
    <w:rsid w:val="00A2356A"/>
    <w:rsid w:val="00A24920"/>
    <w:rsid w:val="00A25A59"/>
    <w:rsid w:val="00A26E8E"/>
    <w:rsid w:val="00A310E9"/>
    <w:rsid w:val="00A3143D"/>
    <w:rsid w:val="00A35276"/>
    <w:rsid w:val="00A354B5"/>
    <w:rsid w:val="00A36173"/>
    <w:rsid w:val="00A373E1"/>
    <w:rsid w:val="00A400FE"/>
    <w:rsid w:val="00A43A10"/>
    <w:rsid w:val="00A43A41"/>
    <w:rsid w:val="00A444EC"/>
    <w:rsid w:val="00A45BBB"/>
    <w:rsid w:val="00A46C40"/>
    <w:rsid w:val="00A475DD"/>
    <w:rsid w:val="00A51F07"/>
    <w:rsid w:val="00A524B8"/>
    <w:rsid w:val="00A562C5"/>
    <w:rsid w:val="00A5709C"/>
    <w:rsid w:val="00A57753"/>
    <w:rsid w:val="00A62569"/>
    <w:rsid w:val="00A631A3"/>
    <w:rsid w:val="00A64217"/>
    <w:rsid w:val="00A6630D"/>
    <w:rsid w:val="00A7205F"/>
    <w:rsid w:val="00A720FA"/>
    <w:rsid w:val="00A7341A"/>
    <w:rsid w:val="00A739AB"/>
    <w:rsid w:val="00A75FB6"/>
    <w:rsid w:val="00A81A75"/>
    <w:rsid w:val="00A820BD"/>
    <w:rsid w:val="00A8540A"/>
    <w:rsid w:val="00A8706A"/>
    <w:rsid w:val="00A877FE"/>
    <w:rsid w:val="00A90A9D"/>
    <w:rsid w:val="00A9391C"/>
    <w:rsid w:val="00A94CC5"/>
    <w:rsid w:val="00A960A0"/>
    <w:rsid w:val="00AA0527"/>
    <w:rsid w:val="00AA170E"/>
    <w:rsid w:val="00AA2CC8"/>
    <w:rsid w:val="00AA3C68"/>
    <w:rsid w:val="00AA4269"/>
    <w:rsid w:val="00AA4363"/>
    <w:rsid w:val="00AA4B6C"/>
    <w:rsid w:val="00AA5CA7"/>
    <w:rsid w:val="00AB1ED1"/>
    <w:rsid w:val="00AB1FD4"/>
    <w:rsid w:val="00AB3339"/>
    <w:rsid w:val="00AB3A31"/>
    <w:rsid w:val="00AB3BF4"/>
    <w:rsid w:val="00AB656C"/>
    <w:rsid w:val="00AB6AEB"/>
    <w:rsid w:val="00AB7722"/>
    <w:rsid w:val="00AC0A3E"/>
    <w:rsid w:val="00AC4230"/>
    <w:rsid w:val="00AC624B"/>
    <w:rsid w:val="00AD02C1"/>
    <w:rsid w:val="00AD1E01"/>
    <w:rsid w:val="00AD32CE"/>
    <w:rsid w:val="00AD3471"/>
    <w:rsid w:val="00AD4674"/>
    <w:rsid w:val="00AD4F07"/>
    <w:rsid w:val="00AD584F"/>
    <w:rsid w:val="00AE3049"/>
    <w:rsid w:val="00AE38F5"/>
    <w:rsid w:val="00AE4B54"/>
    <w:rsid w:val="00AE5461"/>
    <w:rsid w:val="00AE58E4"/>
    <w:rsid w:val="00AF0996"/>
    <w:rsid w:val="00AF1C9B"/>
    <w:rsid w:val="00AF31BD"/>
    <w:rsid w:val="00AF3580"/>
    <w:rsid w:val="00AF3FB7"/>
    <w:rsid w:val="00AF76C1"/>
    <w:rsid w:val="00B002F8"/>
    <w:rsid w:val="00B00BD2"/>
    <w:rsid w:val="00B010A9"/>
    <w:rsid w:val="00B039A9"/>
    <w:rsid w:val="00B0417C"/>
    <w:rsid w:val="00B0437E"/>
    <w:rsid w:val="00B06326"/>
    <w:rsid w:val="00B106F1"/>
    <w:rsid w:val="00B109B1"/>
    <w:rsid w:val="00B10B0B"/>
    <w:rsid w:val="00B127DA"/>
    <w:rsid w:val="00B1425E"/>
    <w:rsid w:val="00B244D4"/>
    <w:rsid w:val="00B25F1D"/>
    <w:rsid w:val="00B2782A"/>
    <w:rsid w:val="00B31594"/>
    <w:rsid w:val="00B324F4"/>
    <w:rsid w:val="00B326F4"/>
    <w:rsid w:val="00B32DD2"/>
    <w:rsid w:val="00B336D8"/>
    <w:rsid w:val="00B34BFA"/>
    <w:rsid w:val="00B356A4"/>
    <w:rsid w:val="00B4107A"/>
    <w:rsid w:val="00B411EC"/>
    <w:rsid w:val="00B41C0A"/>
    <w:rsid w:val="00B429CA"/>
    <w:rsid w:val="00B44E62"/>
    <w:rsid w:val="00B457C2"/>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4628"/>
    <w:rsid w:val="00B760A2"/>
    <w:rsid w:val="00B77651"/>
    <w:rsid w:val="00B80C47"/>
    <w:rsid w:val="00B81322"/>
    <w:rsid w:val="00B857B3"/>
    <w:rsid w:val="00B862CD"/>
    <w:rsid w:val="00B86487"/>
    <w:rsid w:val="00B87192"/>
    <w:rsid w:val="00B92E1A"/>
    <w:rsid w:val="00B930C0"/>
    <w:rsid w:val="00B94951"/>
    <w:rsid w:val="00B95D33"/>
    <w:rsid w:val="00B96B6E"/>
    <w:rsid w:val="00B96C4A"/>
    <w:rsid w:val="00B96CA3"/>
    <w:rsid w:val="00B97591"/>
    <w:rsid w:val="00BA006C"/>
    <w:rsid w:val="00BA20B0"/>
    <w:rsid w:val="00BA3159"/>
    <w:rsid w:val="00BA372F"/>
    <w:rsid w:val="00BA5CA2"/>
    <w:rsid w:val="00BA6305"/>
    <w:rsid w:val="00BA7940"/>
    <w:rsid w:val="00BB302C"/>
    <w:rsid w:val="00BB4467"/>
    <w:rsid w:val="00BC0B52"/>
    <w:rsid w:val="00BC0D9F"/>
    <w:rsid w:val="00BC10F5"/>
    <w:rsid w:val="00BC2EC0"/>
    <w:rsid w:val="00BC4D7B"/>
    <w:rsid w:val="00BC605E"/>
    <w:rsid w:val="00BC6786"/>
    <w:rsid w:val="00BC7009"/>
    <w:rsid w:val="00BC7743"/>
    <w:rsid w:val="00BD05E9"/>
    <w:rsid w:val="00BD0B17"/>
    <w:rsid w:val="00BD1AD6"/>
    <w:rsid w:val="00BD1B67"/>
    <w:rsid w:val="00BD1DB2"/>
    <w:rsid w:val="00BD3E66"/>
    <w:rsid w:val="00BD41A8"/>
    <w:rsid w:val="00BD4CED"/>
    <w:rsid w:val="00BD58B8"/>
    <w:rsid w:val="00BD696A"/>
    <w:rsid w:val="00BD6CDF"/>
    <w:rsid w:val="00BE01B3"/>
    <w:rsid w:val="00BE072E"/>
    <w:rsid w:val="00BE13F2"/>
    <w:rsid w:val="00BE1537"/>
    <w:rsid w:val="00BE1B08"/>
    <w:rsid w:val="00BE2B40"/>
    <w:rsid w:val="00BE3D54"/>
    <w:rsid w:val="00BE70E1"/>
    <w:rsid w:val="00BF0939"/>
    <w:rsid w:val="00BF0C10"/>
    <w:rsid w:val="00BF1719"/>
    <w:rsid w:val="00BF29D7"/>
    <w:rsid w:val="00BF4049"/>
    <w:rsid w:val="00BF482E"/>
    <w:rsid w:val="00BF48DB"/>
    <w:rsid w:val="00BF4B8B"/>
    <w:rsid w:val="00BF5486"/>
    <w:rsid w:val="00BF6FE8"/>
    <w:rsid w:val="00BF7C57"/>
    <w:rsid w:val="00C01EB4"/>
    <w:rsid w:val="00C03731"/>
    <w:rsid w:val="00C03839"/>
    <w:rsid w:val="00C048B3"/>
    <w:rsid w:val="00C06955"/>
    <w:rsid w:val="00C11016"/>
    <w:rsid w:val="00C13B05"/>
    <w:rsid w:val="00C1447B"/>
    <w:rsid w:val="00C17CB6"/>
    <w:rsid w:val="00C221FB"/>
    <w:rsid w:val="00C23CCC"/>
    <w:rsid w:val="00C24859"/>
    <w:rsid w:val="00C25CDA"/>
    <w:rsid w:val="00C301CF"/>
    <w:rsid w:val="00C309F0"/>
    <w:rsid w:val="00C30CED"/>
    <w:rsid w:val="00C31183"/>
    <w:rsid w:val="00C31C0D"/>
    <w:rsid w:val="00C33847"/>
    <w:rsid w:val="00C340E9"/>
    <w:rsid w:val="00C34365"/>
    <w:rsid w:val="00C345C2"/>
    <w:rsid w:val="00C378BC"/>
    <w:rsid w:val="00C37DDF"/>
    <w:rsid w:val="00C40C5E"/>
    <w:rsid w:val="00C40D08"/>
    <w:rsid w:val="00C411E2"/>
    <w:rsid w:val="00C41BA9"/>
    <w:rsid w:val="00C41FEE"/>
    <w:rsid w:val="00C42121"/>
    <w:rsid w:val="00C451CB"/>
    <w:rsid w:val="00C45428"/>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58FD"/>
    <w:rsid w:val="00C762E2"/>
    <w:rsid w:val="00C7659A"/>
    <w:rsid w:val="00C77DF4"/>
    <w:rsid w:val="00C8314D"/>
    <w:rsid w:val="00C832CB"/>
    <w:rsid w:val="00C84C2B"/>
    <w:rsid w:val="00C85CD7"/>
    <w:rsid w:val="00C85EE2"/>
    <w:rsid w:val="00C879A4"/>
    <w:rsid w:val="00C87AEC"/>
    <w:rsid w:val="00C92FD7"/>
    <w:rsid w:val="00C93F04"/>
    <w:rsid w:val="00C94CAC"/>
    <w:rsid w:val="00C9721C"/>
    <w:rsid w:val="00C979E0"/>
    <w:rsid w:val="00CA11EE"/>
    <w:rsid w:val="00CA2964"/>
    <w:rsid w:val="00CA2CEA"/>
    <w:rsid w:val="00CA41C9"/>
    <w:rsid w:val="00CA636D"/>
    <w:rsid w:val="00CA6985"/>
    <w:rsid w:val="00CA7F67"/>
    <w:rsid w:val="00CB15EC"/>
    <w:rsid w:val="00CB483C"/>
    <w:rsid w:val="00CB5545"/>
    <w:rsid w:val="00CB5F57"/>
    <w:rsid w:val="00CB6605"/>
    <w:rsid w:val="00CB7A72"/>
    <w:rsid w:val="00CB7CBD"/>
    <w:rsid w:val="00CC0D14"/>
    <w:rsid w:val="00CC3E80"/>
    <w:rsid w:val="00CC49D6"/>
    <w:rsid w:val="00CC5FD9"/>
    <w:rsid w:val="00CC6C3E"/>
    <w:rsid w:val="00CC7F63"/>
    <w:rsid w:val="00CD39F8"/>
    <w:rsid w:val="00CD5672"/>
    <w:rsid w:val="00CD7C93"/>
    <w:rsid w:val="00CE0B01"/>
    <w:rsid w:val="00CE133F"/>
    <w:rsid w:val="00CE2B81"/>
    <w:rsid w:val="00CE3745"/>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42B6"/>
    <w:rsid w:val="00D152FB"/>
    <w:rsid w:val="00D20F65"/>
    <w:rsid w:val="00D215ED"/>
    <w:rsid w:val="00D24CBA"/>
    <w:rsid w:val="00D257EB"/>
    <w:rsid w:val="00D26C8A"/>
    <w:rsid w:val="00D30434"/>
    <w:rsid w:val="00D312C9"/>
    <w:rsid w:val="00D31A61"/>
    <w:rsid w:val="00D323CD"/>
    <w:rsid w:val="00D32A64"/>
    <w:rsid w:val="00D33C6F"/>
    <w:rsid w:val="00D3445B"/>
    <w:rsid w:val="00D3461A"/>
    <w:rsid w:val="00D34CD2"/>
    <w:rsid w:val="00D35AF6"/>
    <w:rsid w:val="00D361DC"/>
    <w:rsid w:val="00D364D3"/>
    <w:rsid w:val="00D4125D"/>
    <w:rsid w:val="00D43C39"/>
    <w:rsid w:val="00D506B1"/>
    <w:rsid w:val="00D50C0B"/>
    <w:rsid w:val="00D51380"/>
    <w:rsid w:val="00D5156D"/>
    <w:rsid w:val="00D51DE2"/>
    <w:rsid w:val="00D551F2"/>
    <w:rsid w:val="00D61A7B"/>
    <w:rsid w:val="00D714BA"/>
    <w:rsid w:val="00D7505B"/>
    <w:rsid w:val="00D75260"/>
    <w:rsid w:val="00D75B70"/>
    <w:rsid w:val="00D804C5"/>
    <w:rsid w:val="00D820D1"/>
    <w:rsid w:val="00D82401"/>
    <w:rsid w:val="00D82AE2"/>
    <w:rsid w:val="00D84EAF"/>
    <w:rsid w:val="00D850A4"/>
    <w:rsid w:val="00D856AD"/>
    <w:rsid w:val="00D85715"/>
    <w:rsid w:val="00D90152"/>
    <w:rsid w:val="00D934BA"/>
    <w:rsid w:val="00D93950"/>
    <w:rsid w:val="00D96230"/>
    <w:rsid w:val="00D962B0"/>
    <w:rsid w:val="00D96853"/>
    <w:rsid w:val="00D96FCD"/>
    <w:rsid w:val="00D978F5"/>
    <w:rsid w:val="00D978FE"/>
    <w:rsid w:val="00DA0353"/>
    <w:rsid w:val="00DA20D6"/>
    <w:rsid w:val="00DA2B2B"/>
    <w:rsid w:val="00DA30DA"/>
    <w:rsid w:val="00DA77B4"/>
    <w:rsid w:val="00DA7BE4"/>
    <w:rsid w:val="00DB16B2"/>
    <w:rsid w:val="00DB2BB1"/>
    <w:rsid w:val="00DB5F80"/>
    <w:rsid w:val="00DB6BB3"/>
    <w:rsid w:val="00DB7AA7"/>
    <w:rsid w:val="00DC03E0"/>
    <w:rsid w:val="00DC11F3"/>
    <w:rsid w:val="00DC145E"/>
    <w:rsid w:val="00DC332F"/>
    <w:rsid w:val="00DC4DFE"/>
    <w:rsid w:val="00DC5E40"/>
    <w:rsid w:val="00DC69F0"/>
    <w:rsid w:val="00DC7BFF"/>
    <w:rsid w:val="00DD07FE"/>
    <w:rsid w:val="00DD162F"/>
    <w:rsid w:val="00DD3F5F"/>
    <w:rsid w:val="00DD54C6"/>
    <w:rsid w:val="00DD75B2"/>
    <w:rsid w:val="00DE135C"/>
    <w:rsid w:val="00DE1B77"/>
    <w:rsid w:val="00DE26C4"/>
    <w:rsid w:val="00DE3025"/>
    <w:rsid w:val="00DE3B74"/>
    <w:rsid w:val="00DE463E"/>
    <w:rsid w:val="00DE5411"/>
    <w:rsid w:val="00DE56CB"/>
    <w:rsid w:val="00DE68BB"/>
    <w:rsid w:val="00DE7C0F"/>
    <w:rsid w:val="00DF03FB"/>
    <w:rsid w:val="00DF44D5"/>
    <w:rsid w:val="00DF4AB3"/>
    <w:rsid w:val="00DF5003"/>
    <w:rsid w:val="00DF5249"/>
    <w:rsid w:val="00DF5932"/>
    <w:rsid w:val="00E05889"/>
    <w:rsid w:val="00E0777F"/>
    <w:rsid w:val="00E10EA9"/>
    <w:rsid w:val="00E110EE"/>
    <w:rsid w:val="00E1136E"/>
    <w:rsid w:val="00E1182B"/>
    <w:rsid w:val="00E167E0"/>
    <w:rsid w:val="00E16A35"/>
    <w:rsid w:val="00E16D38"/>
    <w:rsid w:val="00E216EA"/>
    <w:rsid w:val="00E21B4B"/>
    <w:rsid w:val="00E256A9"/>
    <w:rsid w:val="00E25793"/>
    <w:rsid w:val="00E27C4D"/>
    <w:rsid w:val="00E27F1F"/>
    <w:rsid w:val="00E30761"/>
    <w:rsid w:val="00E316B0"/>
    <w:rsid w:val="00E33A6E"/>
    <w:rsid w:val="00E33CDF"/>
    <w:rsid w:val="00E34D42"/>
    <w:rsid w:val="00E35E8A"/>
    <w:rsid w:val="00E3630E"/>
    <w:rsid w:val="00E3681A"/>
    <w:rsid w:val="00E379F0"/>
    <w:rsid w:val="00E37D81"/>
    <w:rsid w:val="00E401A6"/>
    <w:rsid w:val="00E43562"/>
    <w:rsid w:val="00E457D2"/>
    <w:rsid w:val="00E4679A"/>
    <w:rsid w:val="00E469D4"/>
    <w:rsid w:val="00E46AC5"/>
    <w:rsid w:val="00E47B58"/>
    <w:rsid w:val="00E50E02"/>
    <w:rsid w:val="00E51029"/>
    <w:rsid w:val="00E512C7"/>
    <w:rsid w:val="00E51BB9"/>
    <w:rsid w:val="00E52399"/>
    <w:rsid w:val="00E53F19"/>
    <w:rsid w:val="00E5461A"/>
    <w:rsid w:val="00E55027"/>
    <w:rsid w:val="00E55A62"/>
    <w:rsid w:val="00E5667A"/>
    <w:rsid w:val="00E56B89"/>
    <w:rsid w:val="00E56F6B"/>
    <w:rsid w:val="00E578D1"/>
    <w:rsid w:val="00E60466"/>
    <w:rsid w:val="00E608C5"/>
    <w:rsid w:val="00E62CB7"/>
    <w:rsid w:val="00E64579"/>
    <w:rsid w:val="00E64BB6"/>
    <w:rsid w:val="00E65245"/>
    <w:rsid w:val="00E65992"/>
    <w:rsid w:val="00E65F77"/>
    <w:rsid w:val="00E66017"/>
    <w:rsid w:val="00E71979"/>
    <w:rsid w:val="00E72113"/>
    <w:rsid w:val="00E724B9"/>
    <w:rsid w:val="00E72E51"/>
    <w:rsid w:val="00E73AE3"/>
    <w:rsid w:val="00E754E7"/>
    <w:rsid w:val="00E75C2F"/>
    <w:rsid w:val="00E80F7A"/>
    <w:rsid w:val="00E81CA7"/>
    <w:rsid w:val="00E83297"/>
    <w:rsid w:val="00E86C41"/>
    <w:rsid w:val="00E87358"/>
    <w:rsid w:val="00E87BDA"/>
    <w:rsid w:val="00E91DF4"/>
    <w:rsid w:val="00E938DF"/>
    <w:rsid w:val="00E949E7"/>
    <w:rsid w:val="00E959BA"/>
    <w:rsid w:val="00E96C77"/>
    <w:rsid w:val="00E973B3"/>
    <w:rsid w:val="00EA1844"/>
    <w:rsid w:val="00EA246E"/>
    <w:rsid w:val="00EA2658"/>
    <w:rsid w:val="00EA4AC5"/>
    <w:rsid w:val="00EA5091"/>
    <w:rsid w:val="00EA709C"/>
    <w:rsid w:val="00EB0611"/>
    <w:rsid w:val="00EB0F52"/>
    <w:rsid w:val="00EB16CB"/>
    <w:rsid w:val="00EB1899"/>
    <w:rsid w:val="00EB2E4A"/>
    <w:rsid w:val="00EB3208"/>
    <w:rsid w:val="00EB47AB"/>
    <w:rsid w:val="00EB7D72"/>
    <w:rsid w:val="00EC0598"/>
    <w:rsid w:val="00EC0869"/>
    <w:rsid w:val="00EC44B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17928"/>
    <w:rsid w:val="00F20565"/>
    <w:rsid w:val="00F20699"/>
    <w:rsid w:val="00F20B34"/>
    <w:rsid w:val="00F215C8"/>
    <w:rsid w:val="00F21A92"/>
    <w:rsid w:val="00F22FDF"/>
    <w:rsid w:val="00F24AFB"/>
    <w:rsid w:val="00F30399"/>
    <w:rsid w:val="00F326C8"/>
    <w:rsid w:val="00F328BF"/>
    <w:rsid w:val="00F350CF"/>
    <w:rsid w:val="00F350F6"/>
    <w:rsid w:val="00F42718"/>
    <w:rsid w:val="00F4276E"/>
    <w:rsid w:val="00F432AB"/>
    <w:rsid w:val="00F43A06"/>
    <w:rsid w:val="00F44355"/>
    <w:rsid w:val="00F4465A"/>
    <w:rsid w:val="00F45581"/>
    <w:rsid w:val="00F458C8"/>
    <w:rsid w:val="00F45C61"/>
    <w:rsid w:val="00F463E3"/>
    <w:rsid w:val="00F47AD8"/>
    <w:rsid w:val="00F52A24"/>
    <w:rsid w:val="00F535A5"/>
    <w:rsid w:val="00F5649E"/>
    <w:rsid w:val="00F57B67"/>
    <w:rsid w:val="00F6047E"/>
    <w:rsid w:val="00F62C42"/>
    <w:rsid w:val="00F63024"/>
    <w:rsid w:val="00F64EE3"/>
    <w:rsid w:val="00F70A6B"/>
    <w:rsid w:val="00F71637"/>
    <w:rsid w:val="00F71E34"/>
    <w:rsid w:val="00F72CE7"/>
    <w:rsid w:val="00F755C7"/>
    <w:rsid w:val="00F81A9F"/>
    <w:rsid w:val="00F81F88"/>
    <w:rsid w:val="00F833CA"/>
    <w:rsid w:val="00F83581"/>
    <w:rsid w:val="00F8549E"/>
    <w:rsid w:val="00F85AF0"/>
    <w:rsid w:val="00F85BE4"/>
    <w:rsid w:val="00F862B1"/>
    <w:rsid w:val="00F8643F"/>
    <w:rsid w:val="00F8736F"/>
    <w:rsid w:val="00F951E3"/>
    <w:rsid w:val="00FA0234"/>
    <w:rsid w:val="00FA0692"/>
    <w:rsid w:val="00FA1C8C"/>
    <w:rsid w:val="00FA2563"/>
    <w:rsid w:val="00FA3C12"/>
    <w:rsid w:val="00FA3EA3"/>
    <w:rsid w:val="00FA5D27"/>
    <w:rsid w:val="00FA5FFC"/>
    <w:rsid w:val="00FA6CFA"/>
    <w:rsid w:val="00FB0A94"/>
    <w:rsid w:val="00FB1C5D"/>
    <w:rsid w:val="00FB2022"/>
    <w:rsid w:val="00FB4613"/>
    <w:rsid w:val="00FB4C81"/>
    <w:rsid w:val="00FB6039"/>
    <w:rsid w:val="00FB6841"/>
    <w:rsid w:val="00FB6B9B"/>
    <w:rsid w:val="00FC1724"/>
    <w:rsid w:val="00FC3E83"/>
    <w:rsid w:val="00FC6855"/>
    <w:rsid w:val="00FC73D9"/>
    <w:rsid w:val="00FC7A5E"/>
    <w:rsid w:val="00FD1342"/>
    <w:rsid w:val="00FD1F87"/>
    <w:rsid w:val="00FD35D0"/>
    <w:rsid w:val="00FD681B"/>
    <w:rsid w:val="00FD7331"/>
    <w:rsid w:val="00FE0E03"/>
    <w:rsid w:val="00FE2085"/>
    <w:rsid w:val="00FE3414"/>
    <w:rsid w:val="00FE3673"/>
    <w:rsid w:val="00FF049C"/>
    <w:rsid w:val="00FF1105"/>
    <w:rsid w:val="00FF1471"/>
    <w:rsid w:val="00FF19DC"/>
    <w:rsid w:val="00FF2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rsid w:val="00D96FCD"/>
    <w:rPr>
      <w:sz w:val="20"/>
      <w:szCs w:val="20"/>
    </w:rPr>
  </w:style>
  <w:style w:type="character" w:customStyle="1" w:styleId="FootnoteTextChar">
    <w:name w:val="Footnote Text Char"/>
    <w:aliases w:val="Footnote Char,Fußnote Char"/>
    <w:basedOn w:val="DefaultParagraphFont"/>
    <w:link w:val="FootnoteText"/>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character" w:styleId="FootnoteReference">
    <w:name w:val="footnote reference"/>
    <w:aliases w:val="Footnote Reference Number"/>
    <w:basedOn w:val="DefaultParagraphFont"/>
    <w:unhideWhenUsed/>
    <w:rsid w:val="00183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80284">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358D-9B3A-4139-A1C0-5EC4DF1E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9</Pages>
  <Words>14533</Words>
  <Characters>8285</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2014.gada 18.augusta rīkojumā Nr.430 “Par Murjāņu sporta ģimnāzijas esošo būvju rekonstrukcijas un multifunkcionālas slēgtas sporta manēžas būvniecības projekta īstenošanai 2014.gadā paredzē</vt:lpstr>
    </vt:vector>
  </TitlesOfParts>
  <Company>Izglītības un zinātnes ministrija, Sporta departaments</Company>
  <LinksUpToDate>false</LinksUpToDate>
  <CharactersWithSpaces>22773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2014.gada 18.augusta rīkojumā Nr.430 “Par Murjāņu sporta ģimnāzijas esošo būvju rekonstrukcijas un multifunkcionālas slēgtas sporta manēžas būvniecības projekta īstenošanai 2014.gadā paredzēto valsts budžeta līdzekļu pārdali""</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233</cp:revision>
  <cp:lastPrinted>2012-05-15T10:00:00Z</cp:lastPrinted>
  <dcterms:created xsi:type="dcterms:W3CDTF">2014-07-27T22:10:00Z</dcterms:created>
  <dcterms:modified xsi:type="dcterms:W3CDTF">2014-11-21T05:47:00Z</dcterms:modified>
</cp:coreProperties>
</file>