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7E" w:rsidRPr="000C6311" w:rsidRDefault="00400F7E" w:rsidP="0054178A">
      <w:pPr>
        <w:ind w:firstLine="720"/>
        <w:jc w:val="center"/>
        <w:rPr>
          <w:b/>
          <w:bCs/>
          <w:sz w:val="26"/>
          <w:szCs w:val="26"/>
          <w:lang w:eastAsia="lv-LV"/>
        </w:rPr>
      </w:pPr>
      <w:r w:rsidRPr="000C6311">
        <w:rPr>
          <w:b/>
          <w:bCs/>
          <w:sz w:val="26"/>
          <w:szCs w:val="26"/>
          <w:lang w:eastAsia="lv-LV"/>
        </w:rPr>
        <w:t xml:space="preserve">Ministru kabineta noteikumu projekta </w:t>
      </w:r>
    </w:p>
    <w:p w:rsidR="00400F7E" w:rsidRPr="000C6311" w:rsidRDefault="00687BCF" w:rsidP="0054178A">
      <w:pPr>
        <w:ind w:firstLine="720"/>
        <w:jc w:val="center"/>
        <w:rPr>
          <w:b/>
          <w:bCs/>
          <w:sz w:val="26"/>
          <w:szCs w:val="26"/>
          <w:lang w:eastAsia="lv-LV"/>
        </w:rPr>
      </w:pPr>
      <w:r w:rsidRPr="000C6311">
        <w:rPr>
          <w:b/>
          <w:bCs/>
          <w:sz w:val="26"/>
          <w:szCs w:val="26"/>
          <w:lang w:eastAsia="lv-LV"/>
        </w:rPr>
        <w:t xml:space="preserve">Grozījumi Ministru kabineta 2011.gada 27.decembra noteikumos Nr.1036 „Kārtība, kādā valsts finansē profesionālās ievirzes sporta izglītības programmas” </w:t>
      </w:r>
      <w:r w:rsidR="00400F7E" w:rsidRPr="000C6311">
        <w:rPr>
          <w:b/>
          <w:bCs/>
          <w:sz w:val="26"/>
          <w:szCs w:val="26"/>
          <w:lang w:eastAsia="lv-LV"/>
        </w:rPr>
        <w:t>sākotnējās ietekmes novērtējuma ziņojums (anotācija)</w:t>
      </w:r>
    </w:p>
    <w:p w:rsidR="008B6F82" w:rsidRPr="000C6311" w:rsidRDefault="008B6F82" w:rsidP="0054178A">
      <w:pPr>
        <w:jc w:val="center"/>
        <w:rPr>
          <w:b/>
          <w:color w:val="0D0D0D"/>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2967"/>
        <w:gridCol w:w="5931"/>
      </w:tblGrid>
      <w:tr w:rsidR="008B6F82" w:rsidRPr="000C6311" w:rsidTr="00262F3E">
        <w:trPr>
          <w:trHeight w:val="535"/>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8B6F82" w:rsidRPr="000C6311" w:rsidRDefault="008B6F82" w:rsidP="0054178A">
            <w:pPr>
              <w:jc w:val="center"/>
              <w:rPr>
                <w:sz w:val="26"/>
                <w:szCs w:val="26"/>
              </w:rPr>
            </w:pPr>
            <w:bookmarkStart w:id="0" w:name="OLE_LINK3"/>
            <w:bookmarkStart w:id="1" w:name="OLE_LINK1"/>
            <w:bookmarkStart w:id="2" w:name="OLE_LINK2"/>
            <w:bookmarkStart w:id="3" w:name="OLE_LINK4"/>
            <w:r w:rsidRPr="000C6311">
              <w:rPr>
                <w:b/>
                <w:bCs/>
                <w:sz w:val="26"/>
                <w:szCs w:val="26"/>
              </w:rPr>
              <w:t>I. Tiesību akta projekta izstrādes nepieciešamība</w:t>
            </w:r>
          </w:p>
        </w:tc>
      </w:tr>
      <w:tr w:rsidR="008B6F82" w:rsidRPr="000C6311" w:rsidTr="00200865">
        <w:trPr>
          <w:trHeight w:val="1457"/>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jc w:val="center"/>
              <w:rPr>
                <w:sz w:val="26"/>
                <w:szCs w:val="26"/>
              </w:rPr>
            </w:pPr>
            <w:r w:rsidRPr="000C6311">
              <w:rPr>
                <w:sz w:val="26"/>
                <w:szCs w:val="26"/>
              </w:rPr>
              <w:t>1.</w:t>
            </w:r>
          </w:p>
        </w:tc>
        <w:tc>
          <w:tcPr>
            <w:tcW w:w="2976"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Pamatojums</w:t>
            </w:r>
          </w:p>
        </w:tc>
        <w:tc>
          <w:tcPr>
            <w:tcW w:w="5954" w:type="dxa"/>
            <w:tcBorders>
              <w:top w:val="outset" w:sz="6" w:space="0" w:color="auto"/>
              <w:left w:val="outset" w:sz="6" w:space="0" w:color="auto"/>
              <w:bottom w:val="outset" w:sz="6" w:space="0" w:color="auto"/>
              <w:right w:val="outset" w:sz="6" w:space="0" w:color="auto"/>
            </w:tcBorders>
          </w:tcPr>
          <w:p w:rsidR="000C6311" w:rsidRPr="000C6311" w:rsidRDefault="000C6311" w:rsidP="000C6311">
            <w:pPr>
              <w:jc w:val="both"/>
              <w:rPr>
                <w:sz w:val="26"/>
                <w:szCs w:val="26"/>
              </w:rPr>
            </w:pPr>
            <w:r w:rsidRPr="000C6311">
              <w:rPr>
                <w:sz w:val="26"/>
                <w:szCs w:val="26"/>
              </w:rPr>
              <w:t>1)Izdoti saskaņā ar Izglītības li</w:t>
            </w:r>
            <w:r w:rsidR="00200865">
              <w:rPr>
                <w:sz w:val="26"/>
                <w:szCs w:val="26"/>
              </w:rPr>
              <w:t xml:space="preserve">kuma 14.panta </w:t>
            </w:r>
            <w:r w:rsidRPr="000C6311">
              <w:rPr>
                <w:sz w:val="26"/>
                <w:szCs w:val="26"/>
              </w:rPr>
              <w:t>26.punktu un Profesionālās izglītības likuma  31.panta 2.</w:t>
            </w:r>
            <w:r w:rsidRPr="000C6311">
              <w:rPr>
                <w:sz w:val="26"/>
                <w:szCs w:val="26"/>
                <w:vertAlign w:val="superscript"/>
              </w:rPr>
              <w:t>2</w:t>
            </w:r>
            <w:r w:rsidRPr="000C6311">
              <w:rPr>
                <w:sz w:val="26"/>
                <w:szCs w:val="26"/>
              </w:rPr>
              <w:t xml:space="preserve"> daļu;</w:t>
            </w:r>
          </w:p>
          <w:p w:rsidR="00E961A0" w:rsidRDefault="003D1FE9" w:rsidP="000C6311">
            <w:pPr>
              <w:jc w:val="both"/>
              <w:rPr>
                <w:sz w:val="26"/>
                <w:szCs w:val="26"/>
              </w:rPr>
            </w:pPr>
            <w:r w:rsidRPr="000C6311">
              <w:rPr>
                <w:sz w:val="26"/>
                <w:szCs w:val="26"/>
              </w:rPr>
              <w:t xml:space="preserve">2) </w:t>
            </w:r>
            <w:r w:rsidR="008C50BE" w:rsidRPr="000C6311">
              <w:rPr>
                <w:sz w:val="26"/>
                <w:szCs w:val="26"/>
              </w:rPr>
              <w:t xml:space="preserve">2014.gada 17.jūnija </w:t>
            </w:r>
            <w:r w:rsidR="00426B45" w:rsidRPr="000C6311">
              <w:rPr>
                <w:sz w:val="26"/>
                <w:szCs w:val="26"/>
              </w:rPr>
              <w:t>grozījumiem Ministru kabine</w:t>
            </w:r>
            <w:r w:rsidR="00D5396B" w:rsidRPr="000C6311">
              <w:rPr>
                <w:sz w:val="26"/>
                <w:szCs w:val="26"/>
              </w:rPr>
              <w:t>ta 2009.gada 28.jūlija noteikumos</w:t>
            </w:r>
            <w:r w:rsidR="000C6311" w:rsidRPr="000C6311">
              <w:rPr>
                <w:sz w:val="26"/>
                <w:szCs w:val="26"/>
              </w:rPr>
              <w:t xml:space="preserve"> Nr.836 “</w:t>
            </w:r>
            <w:r w:rsidR="00426B45" w:rsidRPr="000C6311">
              <w:rPr>
                <w:sz w:val="26"/>
                <w:szCs w:val="26"/>
              </w:rPr>
              <w:t xml:space="preserve">Pedagogu darba samaksas </w:t>
            </w:r>
            <w:r w:rsidRPr="000C6311">
              <w:rPr>
                <w:sz w:val="26"/>
                <w:szCs w:val="26"/>
              </w:rPr>
              <w:t>noteikumi”</w:t>
            </w:r>
            <w:r w:rsidR="00E744DC" w:rsidRPr="000C6311">
              <w:rPr>
                <w:sz w:val="26"/>
                <w:szCs w:val="26"/>
              </w:rPr>
              <w:t>.</w:t>
            </w:r>
          </w:p>
          <w:p w:rsidR="00352F2D" w:rsidRPr="000C6311" w:rsidRDefault="00352F2D" w:rsidP="000C6311">
            <w:pPr>
              <w:jc w:val="both"/>
              <w:rPr>
                <w:sz w:val="26"/>
                <w:szCs w:val="26"/>
              </w:rPr>
            </w:pPr>
            <w:r>
              <w:rPr>
                <w:sz w:val="26"/>
                <w:szCs w:val="26"/>
              </w:rPr>
              <w:t xml:space="preserve">3) </w:t>
            </w:r>
            <w:r w:rsidRPr="00352F2D">
              <w:rPr>
                <w:sz w:val="26"/>
                <w:szCs w:val="26"/>
              </w:rPr>
              <w:t xml:space="preserve">Ministru kabineta 2013.gada 3.decembra sēdes </w:t>
            </w:r>
            <w:proofErr w:type="spellStart"/>
            <w:r w:rsidRPr="00352F2D">
              <w:rPr>
                <w:sz w:val="26"/>
                <w:szCs w:val="26"/>
              </w:rPr>
              <w:t>protokollēmuma</w:t>
            </w:r>
            <w:proofErr w:type="spellEnd"/>
            <w:r w:rsidRPr="00352F2D">
              <w:rPr>
                <w:sz w:val="26"/>
                <w:szCs w:val="26"/>
              </w:rPr>
              <w:t xml:space="preserve"> “Informatīvais ziņojums “Par pasākumiem, kas tiks veikti, lai Izglītības un zinātnes ministrija būtiski uzlabotu finanšu līdzekļu plānošanu, finanšu sistēmas sakārtošanu un budžeta līdzekļu izlietošanas kontroli, aprēķinot un sadalot līdzekļus pedagogu darba samaksai turpmāk un par izveidojušos situāciju ar trūkstošo finansējumu 2013./2014. mācību gadā pedagogu darba samaksas nodrošināšanai privātajām izglītības iestādēm”” (prot. Nr.64 48.§) (turpmāk – </w:t>
            </w:r>
            <w:proofErr w:type="spellStart"/>
            <w:r w:rsidRPr="00352F2D">
              <w:rPr>
                <w:sz w:val="26"/>
                <w:szCs w:val="26"/>
              </w:rPr>
              <w:t>Protokollēmums</w:t>
            </w:r>
            <w:proofErr w:type="spellEnd"/>
            <w:r w:rsidRPr="00352F2D">
              <w:rPr>
                <w:sz w:val="26"/>
                <w:szCs w:val="26"/>
              </w:rPr>
              <w:t>) 5.4.apakšpunktā Izglītības un zinātnes ministrijai (turpmāk – IZM) dotais uzdevums.</w:t>
            </w:r>
          </w:p>
        </w:tc>
      </w:tr>
      <w:tr w:rsidR="008B6F82" w:rsidRPr="000C6311" w:rsidTr="00262F3E">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jc w:val="center"/>
              <w:rPr>
                <w:sz w:val="26"/>
                <w:szCs w:val="26"/>
              </w:rPr>
            </w:pPr>
            <w:r w:rsidRPr="000C6311">
              <w:rPr>
                <w:sz w:val="26"/>
                <w:szCs w:val="26"/>
              </w:rPr>
              <w:t>2.</w:t>
            </w:r>
          </w:p>
        </w:tc>
        <w:tc>
          <w:tcPr>
            <w:tcW w:w="2976"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Pašreizējā situācija un problēmas</w:t>
            </w:r>
            <w:r w:rsidR="00503FA9" w:rsidRPr="000C6311">
              <w:rPr>
                <w:sz w:val="26"/>
                <w:szCs w:val="26"/>
              </w:rPr>
              <w:t>, kuru risināšanai tiesību akta projekts izstrādāts, tiesiskā regulējuma mērķis un būtība</w:t>
            </w:r>
          </w:p>
        </w:tc>
        <w:tc>
          <w:tcPr>
            <w:tcW w:w="5954" w:type="dxa"/>
            <w:tcBorders>
              <w:top w:val="outset" w:sz="6" w:space="0" w:color="auto"/>
              <w:left w:val="outset" w:sz="6" w:space="0" w:color="auto"/>
              <w:bottom w:val="outset" w:sz="6" w:space="0" w:color="auto"/>
              <w:right w:val="outset" w:sz="6" w:space="0" w:color="auto"/>
            </w:tcBorders>
          </w:tcPr>
          <w:p w:rsidR="00D20088" w:rsidRDefault="000C6311" w:rsidP="00D20088">
            <w:pPr>
              <w:jc w:val="both"/>
              <w:rPr>
                <w:sz w:val="26"/>
                <w:szCs w:val="26"/>
              </w:rPr>
            </w:pPr>
            <w:r w:rsidRPr="000C6311">
              <w:rPr>
                <w:sz w:val="26"/>
                <w:szCs w:val="26"/>
              </w:rPr>
              <w:t xml:space="preserve">Ministru kabineta 2011.gada 27.decembra  noteikumos Nr.1036 </w:t>
            </w:r>
            <w:r>
              <w:rPr>
                <w:sz w:val="26"/>
                <w:szCs w:val="26"/>
              </w:rPr>
              <w:t>“</w:t>
            </w:r>
            <w:r w:rsidRPr="000C6311">
              <w:rPr>
                <w:sz w:val="26"/>
                <w:szCs w:val="26"/>
              </w:rPr>
              <w:t>Kārtība, kādā valsts finansē profesionālās ievirz</w:t>
            </w:r>
            <w:r>
              <w:rPr>
                <w:sz w:val="26"/>
                <w:szCs w:val="26"/>
              </w:rPr>
              <w:t>es sporta izglītības programmas” (turpmāk – Noteikumi) ir noteikts, ka d</w:t>
            </w:r>
            <w:r w:rsidRPr="000C6311">
              <w:rPr>
                <w:sz w:val="26"/>
                <w:szCs w:val="26"/>
              </w:rPr>
              <w:t>otācija</w:t>
            </w:r>
            <w:r>
              <w:rPr>
                <w:sz w:val="26"/>
                <w:szCs w:val="26"/>
              </w:rPr>
              <w:t xml:space="preserve"> (</w:t>
            </w:r>
            <w:r w:rsidRPr="000C6311">
              <w:rPr>
                <w:sz w:val="26"/>
                <w:szCs w:val="26"/>
              </w:rPr>
              <w:t xml:space="preserve">valsts budžeta </w:t>
            </w:r>
            <w:r w:rsidR="00D20088">
              <w:rPr>
                <w:sz w:val="26"/>
                <w:szCs w:val="26"/>
              </w:rPr>
              <w:t>līdzekļi</w:t>
            </w:r>
            <w:r w:rsidRPr="000C6311">
              <w:rPr>
                <w:sz w:val="26"/>
                <w:szCs w:val="26"/>
              </w:rPr>
              <w:t xml:space="preserve"> akreditētās profesionālās ievirzes sporta izglītības iestādēs (turpmāk – izglītības iestāde) īstenotajās programmās paredzētajās stundās (sporta treniņos un sporta sacensībās) nodarbināto pedagogu darba samaksai un valsts sociālās apdrošināšanas obligātajām iemaksām</w:t>
            </w:r>
            <w:r w:rsidR="00200865">
              <w:rPr>
                <w:sz w:val="26"/>
                <w:szCs w:val="26"/>
              </w:rPr>
              <w:t>)</w:t>
            </w:r>
            <w:r w:rsidRPr="000C6311">
              <w:rPr>
                <w:sz w:val="26"/>
                <w:szCs w:val="26"/>
              </w:rPr>
              <w:t xml:space="preserve">  ietver finansējumu pedagogu darba samaksas noteikumos noteiktajām pedagoga profesionālās darbības kvalitātes piemaksām pedagogiem, kuri Eiropas Sociālā fonda</w:t>
            </w:r>
            <w:r w:rsidR="00D20088">
              <w:rPr>
                <w:sz w:val="26"/>
                <w:szCs w:val="26"/>
              </w:rPr>
              <w:t xml:space="preserve"> projekta “</w:t>
            </w:r>
            <w:r w:rsidRPr="000C6311">
              <w:rPr>
                <w:sz w:val="26"/>
                <w:szCs w:val="26"/>
              </w:rPr>
              <w:t>Pedagogu konkurētspējas veicināšana izglītības s</w:t>
            </w:r>
            <w:r w:rsidR="00D20088">
              <w:rPr>
                <w:sz w:val="26"/>
                <w:szCs w:val="26"/>
              </w:rPr>
              <w:t>istēmas optimizācijas apstākļos”</w:t>
            </w:r>
            <w:r w:rsidRPr="000C6311">
              <w:rPr>
                <w:sz w:val="26"/>
                <w:szCs w:val="26"/>
              </w:rPr>
              <w:t xml:space="preserve"> ietvaros ir ieguvuši 3., 4. un 5.kvalitātes pakāpi.</w:t>
            </w:r>
          </w:p>
          <w:p w:rsidR="00D20088" w:rsidRDefault="00D20088" w:rsidP="00D20088">
            <w:pPr>
              <w:jc w:val="both"/>
              <w:rPr>
                <w:sz w:val="26"/>
                <w:szCs w:val="26"/>
              </w:rPr>
            </w:pPr>
            <w:r>
              <w:rPr>
                <w:sz w:val="26"/>
                <w:szCs w:val="26"/>
              </w:rPr>
              <w:t xml:space="preserve">2014.gada 1.septembrī stājas spēkā </w:t>
            </w:r>
            <w:r w:rsidRPr="00D20088">
              <w:rPr>
                <w:sz w:val="26"/>
                <w:szCs w:val="26"/>
              </w:rPr>
              <w:t>Ministru kabine</w:t>
            </w:r>
            <w:r>
              <w:rPr>
                <w:sz w:val="26"/>
                <w:szCs w:val="26"/>
              </w:rPr>
              <w:t>ta 2014.gada 17.jūnija noteikumi</w:t>
            </w:r>
            <w:r w:rsidRPr="00D20088">
              <w:rPr>
                <w:sz w:val="26"/>
                <w:szCs w:val="26"/>
              </w:rPr>
              <w:t xml:space="preserve"> Nr.332 “Grozījumi Ministru kabineta 2009.g</w:t>
            </w:r>
            <w:r>
              <w:rPr>
                <w:sz w:val="26"/>
                <w:szCs w:val="26"/>
              </w:rPr>
              <w:t xml:space="preserve">ada 28.jūlija noteikumos Nr.836      </w:t>
            </w:r>
          </w:p>
          <w:p w:rsidR="009C4F0E" w:rsidRPr="000C6311" w:rsidRDefault="00D20088" w:rsidP="00D20088">
            <w:pPr>
              <w:jc w:val="both"/>
              <w:rPr>
                <w:sz w:val="26"/>
                <w:szCs w:val="26"/>
              </w:rPr>
            </w:pPr>
            <w:r>
              <w:rPr>
                <w:sz w:val="26"/>
                <w:szCs w:val="26"/>
              </w:rPr>
              <w:t xml:space="preserve">“Pedagogu darba samaksas noteikumi””, kas nosaka </w:t>
            </w:r>
            <w:r w:rsidRPr="00D20088">
              <w:rPr>
                <w:sz w:val="26"/>
                <w:szCs w:val="26"/>
              </w:rPr>
              <w:t xml:space="preserve">pedagogu zemākās mēneša darba algas likmes </w:t>
            </w:r>
            <w:r w:rsidRPr="00D20088">
              <w:rPr>
                <w:sz w:val="26"/>
                <w:szCs w:val="26"/>
              </w:rPr>
              <w:lastRenderedPageBreak/>
              <w:t>paaugstināšanu un piemaksas profesionālās ievirzes sporta izglītības iestāžu pedagogiem, kuri 3., 4. un 5. kvalifikācijas pakāpi ieguvuši pēc Eiropas Sociālā fonda projekta “Pedagogu konkurētspējas veicināšana izglītības sistēmas optimizācijas apstākļos” noslēgšanās</w:t>
            </w:r>
            <w:r w:rsidR="009C4F0E" w:rsidRPr="000C6311">
              <w:rPr>
                <w:sz w:val="26"/>
                <w:szCs w:val="26"/>
              </w:rPr>
              <w:t>,</w:t>
            </w:r>
            <w:r>
              <w:rPr>
                <w:sz w:val="26"/>
                <w:szCs w:val="26"/>
              </w:rPr>
              <w:t xml:space="preserve"> kā arī </w:t>
            </w:r>
            <w:r w:rsidR="009C4F0E" w:rsidRPr="000C6311">
              <w:rPr>
                <w:sz w:val="26"/>
                <w:szCs w:val="26"/>
              </w:rPr>
              <w:t xml:space="preserve"> </w:t>
            </w:r>
            <w:r w:rsidR="00200865">
              <w:rPr>
                <w:sz w:val="26"/>
                <w:szCs w:val="26"/>
              </w:rPr>
              <w:t>piemaksu piešķiršanu</w:t>
            </w:r>
            <w:r w:rsidR="009C4F0E" w:rsidRPr="000C6311">
              <w:rPr>
                <w:sz w:val="26"/>
                <w:szCs w:val="26"/>
              </w:rPr>
              <w:t xml:space="preserve"> attiecīgi 31,87 </w:t>
            </w:r>
            <w:proofErr w:type="spellStart"/>
            <w:r w:rsidR="009C4F0E" w:rsidRPr="000C6311">
              <w:rPr>
                <w:i/>
                <w:sz w:val="26"/>
                <w:szCs w:val="26"/>
              </w:rPr>
              <w:t>euro</w:t>
            </w:r>
            <w:proofErr w:type="spellEnd"/>
            <w:r w:rsidR="009C4F0E" w:rsidRPr="000C6311">
              <w:rPr>
                <w:i/>
                <w:sz w:val="26"/>
                <w:szCs w:val="26"/>
              </w:rPr>
              <w:t xml:space="preserve"> </w:t>
            </w:r>
            <w:r w:rsidR="009C4F0E" w:rsidRPr="000C6311">
              <w:rPr>
                <w:sz w:val="26"/>
                <w:szCs w:val="26"/>
              </w:rPr>
              <w:t xml:space="preserve">par 3.kvalitātes pakāpi, 79,68 </w:t>
            </w:r>
            <w:proofErr w:type="spellStart"/>
            <w:r w:rsidR="009C4F0E" w:rsidRPr="000C6311">
              <w:rPr>
                <w:i/>
                <w:sz w:val="26"/>
                <w:szCs w:val="26"/>
              </w:rPr>
              <w:t>euro</w:t>
            </w:r>
            <w:proofErr w:type="spellEnd"/>
            <w:r w:rsidR="009C4F0E" w:rsidRPr="000C6311">
              <w:rPr>
                <w:sz w:val="26"/>
                <w:szCs w:val="26"/>
              </w:rPr>
              <w:t xml:space="preserve"> par 4.kvalitātes pakāpi un 99,60 </w:t>
            </w:r>
            <w:proofErr w:type="spellStart"/>
            <w:r w:rsidR="009C4F0E" w:rsidRPr="000C6311">
              <w:rPr>
                <w:i/>
                <w:sz w:val="26"/>
                <w:szCs w:val="26"/>
              </w:rPr>
              <w:t>euro</w:t>
            </w:r>
            <w:proofErr w:type="spellEnd"/>
            <w:r w:rsidR="009C4F0E" w:rsidRPr="000C6311">
              <w:rPr>
                <w:sz w:val="26"/>
                <w:szCs w:val="26"/>
              </w:rPr>
              <w:t xml:space="preserve"> par 5.kvalitātes pakāpi vienai pedagoga darba likmei proporcionāli tarificētajai slodzei.</w:t>
            </w:r>
          </w:p>
          <w:p w:rsidR="009C4F0E" w:rsidRPr="000C6311" w:rsidRDefault="009C4F0E" w:rsidP="0054178A">
            <w:pPr>
              <w:ind w:firstLine="347"/>
              <w:jc w:val="both"/>
              <w:rPr>
                <w:sz w:val="26"/>
                <w:szCs w:val="26"/>
              </w:rPr>
            </w:pPr>
            <w:r w:rsidRPr="000C6311">
              <w:rPr>
                <w:sz w:val="26"/>
                <w:szCs w:val="26"/>
              </w:rPr>
              <w:t xml:space="preserve">Tādējādi, lai nodrošinātu piemaksas visiem pedagogiem, kuri ieguvuši 3., 4. vai 5.kvalifikācijas pakāpi, </w:t>
            </w:r>
            <w:r w:rsidR="00200865">
              <w:rPr>
                <w:sz w:val="26"/>
                <w:szCs w:val="26"/>
              </w:rPr>
              <w:t>Grozījumos</w:t>
            </w:r>
            <w:r w:rsidR="00200865" w:rsidRPr="00200865">
              <w:rPr>
                <w:sz w:val="26"/>
                <w:szCs w:val="26"/>
              </w:rPr>
              <w:t xml:space="preserve"> Ministru kabineta 2011.gada 27.decembra noteikumos Nr.1036 „Kārtība, kādā valsts finansē profesionālās ievirzes sporta izglītības programmas” </w:t>
            </w:r>
            <w:r w:rsidR="00200865">
              <w:rPr>
                <w:sz w:val="26"/>
                <w:szCs w:val="26"/>
              </w:rPr>
              <w:t>(turpmāk – projekts)</w:t>
            </w:r>
            <w:r w:rsidRPr="000C6311">
              <w:rPr>
                <w:sz w:val="26"/>
                <w:szCs w:val="26"/>
              </w:rPr>
              <w:t xml:space="preserve"> 2.punktā paredzēts svītrot vārdus „Eiropas Sociālā fonda projekta „Pedagogu konkurētspējas veicināšanas izglītības sistēmas optimizācijas apstākļos” ietvaros”.</w:t>
            </w:r>
          </w:p>
          <w:p w:rsidR="00CF4C01" w:rsidRPr="000C6311" w:rsidRDefault="009C4F0E" w:rsidP="00966BD4">
            <w:pPr>
              <w:pStyle w:val="tv213"/>
              <w:spacing w:before="0" w:beforeAutospacing="0" w:after="0" w:afterAutospacing="0"/>
              <w:ind w:firstLine="567"/>
              <w:jc w:val="both"/>
              <w:rPr>
                <w:sz w:val="26"/>
                <w:szCs w:val="26"/>
              </w:rPr>
            </w:pPr>
            <w:r w:rsidRPr="000C6311">
              <w:rPr>
                <w:sz w:val="26"/>
                <w:szCs w:val="26"/>
              </w:rPr>
              <w:t>Vienlaikus projekt</w:t>
            </w:r>
            <w:r w:rsidR="00200865">
              <w:rPr>
                <w:sz w:val="26"/>
                <w:szCs w:val="26"/>
              </w:rPr>
              <w:t>ā ir precizēt</w:t>
            </w:r>
            <w:r w:rsidR="00B2576E">
              <w:rPr>
                <w:sz w:val="26"/>
                <w:szCs w:val="26"/>
              </w:rPr>
              <w:t>a</w:t>
            </w:r>
            <w:r w:rsidR="00200865">
              <w:rPr>
                <w:sz w:val="26"/>
                <w:szCs w:val="26"/>
              </w:rPr>
              <w:t xml:space="preserve"> kvalitātes piemaksas apmēra noteikšana</w:t>
            </w:r>
            <w:r w:rsidR="00200865" w:rsidRPr="00200865">
              <w:rPr>
                <w:sz w:val="26"/>
                <w:szCs w:val="26"/>
              </w:rPr>
              <w:t xml:space="preserve"> </w:t>
            </w:r>
            <w:r w:rsidR="00200865">
              <w:rPr>
                <w:sz w:val="26"/>
                <w:szCs w:val="26"/>
              </w:rPr>
              <w:t xml:space="preserve">(formula) attiecīgā </w:t>
            </w:r>
            <w:r w:rsidR="00200865" w:rsidRPr="00200865">
              <w:rPr>
                <w:sz w:val="26"/>
                <w:szCs w:val="26"/>
              </w:rPr>
              <w:t>izglītības iestādē</w:t>
            </w:r>
            <w:r w:rsidR="00200865">
              <w:rPr>
                <w:sz w:val="26"/>
                <w:szCs w:val="26"/>
              </w:rPr>
              <w:t xml:space="preserve"> –</w:t>
            </w:r>
            <w:r w:rsidR="00B2576E">
              <w:rPr>
                <w:sz w:val="26"/>
                <w:szCs w:val="26"/>
              </w:rPr>
              <w:t xml:space="preserve"> paskaidrojot tajā izmantotos </w:t>
            </w:r>
            <w:r w:rsidR="00200865">
              <w:rPr>
                <w:sz w:val="26"/>
                <w:szCs w:val="26"/>
              </w:rPr>
              <w:t>simbolu</w:t>
            </w:r>
            <w:r w:rsidR="00B2576E">
              <w:rPr>
                <w:sz w:val="26"/>
                <w:szCs w:val="26"/>
              </w:rPr>
              <w:t xml:space="preserve"> atbilstoši normatīvajos aktos noteiktajam regulējumam par </w:t>
            </w:r>
            <w:r w:rsidR="00B2576E" w:rsidRPr="000C6311">
              <w:rPr>
                <w:sz w:val="26"/>
                <w:szCs w:val="26"/>
              </w:rPr>
              <w:t>pedagoga profesionālās darbības kvalitātes piemaksām</w:t>
            </w:r>
            <w:r w:rsidR="00B2576E">
              <w:rPr>
                <w:sz w:val="26"/>
                <w:szCs w:val="26"/>
              </w:rPr>
              <w:t>.</w:t>
            </w:r>
          </w:p>
        </w:tc>
      </w:tr>
      <w:tr w:rsidR="008B6F82" w:rsidRPr="000C6311" w:rsidTr="00262F3E">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0C6311" w:rsidRDefault="003E7A49" w:rsidP="0054178A">
            <w:pPr>
              <w:jc w:val="center"/>
              <w:rPr>
                <w:sz w:val="26"/>
                <w:szCs w:val="26"/>
              </w:rPr>
            </w:pPr>
            <w:r w:rsidRPr="000C6311">
              <w:rPr>
                <w:sz w:val="26"/>
                <w:szCs w:val="26"/>
              </w:rPr>
              <w:lastRenderedPageBreak/>
              <w:t>3</w:t>
            </w:r>
            <w:r w:rsidR="008B6F82" w:rsidRPr="000C6311">
              <w:rPr>
                <w:sz w:val="26"/>
                <w:szCs w:val="26"/>
              </w:rPr>
              <w:t>.</w:t>
            </w:r>
          </w:p>
        </w:tc>
        <w:tc>
          <w:tcPr>
            <w:tcW w:w="2976"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Projekta izstrādē iesaistītās institūcijas</w:t>
            </w:r>
          </w:p>
        </w:tc>
        <w:tc>
          <w:tcPr>
            <w:tcW w:w="5954" w:type="dxa"/>
            <w:tcBorders>
              <w:top w:val="outset" w:sz="6" w:space="0" w:color="auto"/>
              <w:left w:val="outset" w:sz="6" w:space="0" w:color="auto"/>
              <w:bottom w:val="outset" w:sz="6" w:space="0" w:color="auto"/>
              <w:right w:val="outset" w:sz="6" w:space="0" w:color="auto"/>
            </w:tcBorders>
          </w:tcPr>
          <w:p w:rsidR="008B6F82" w:rsidRPr="000C6311" w:rsidRDefault="00B2576E" w:rsidP="00B2576E">
            <w:pPr>
              <w:ind w:right="57"/>
              <w:jc w:val="both"/>
              <w:rPr>
                <w:sz w:val="26"/>
                <w:szCs w:val="26"/>
              </w:rPr>
            </w:pPr>
            <w:r>
              <w:rPr>
                <w:sz w:val="26"/>
                <w:szCs w:val="26"/>
                <w:lang w:eastAsia="lv-LV"/>
              </w:rPr>
              <w:t>Izglītības un zinātnes ministrija</w:t>
            </w:r>
          </w:p>
        </w:tc>
      </w:tr>
      <w:tr w:rsidR="008B6F82" w:rsidRPr="000C6311" w:rsidTr="00262F3E">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0C6311" w:rsidRDefault="008207E7" w:rsidP="0054178A">
            <w:pPr>
              <w:jc w:val="center"/>
              <w:rPr>
                <w:sz w:val="26"/>
                <w:szCs w:val="26"/>
              </w:rPr>
            </w:pPr>
            <w:r w:rsidRPr="000C6311">
              <w:rPr>
                <w:sz w:val="26"/>
                <w:szCs w:val="26"/>
              </w:rPr>
              <w:t>4</w:t>
            </w:r>
            <w:r w:rsidR="008B6F82" w:rsidRPr="000C6311">
              <w:rPr>
                <w:sz w:val="26"/>
                <w:szCs w:val="26"/>
              </w:rPr>
              <w:t>.</w:t>
            </w:r>
          </w:p>
        </w:tc>
        <w:tc>
          <w:tcPr>
            <w:tcW w:w="2976" w:type="dxa"/>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Cita informācija</w:t>
            </w:r>
          </w:p>
        </w:tc>
        <w:tc>
          <w:tcPr>
            <w:tcW w:w="5954" w:type="dxa"/>
            <w:tcBorders>
              <w:top w:val="outset" w:sz="6" w:space="0" w:color="auto"/>
              <w:left w:val="outset" w:sz="6" w:space="0" w:color="auto"/>
              <w:bottom w:val="outset" w:sz="6" w:space="0" w:color="auto"/>
              <w:right w:val="outset" w:sz="6" w:space="0" w:color="auto"/>
            </w:tcBorders>
          </w:tcPr>
          <w:p w:rsidR="008B6F82" w:rsidRPr="000C6311" w:rsidRDefault="009C5548" w:rsidP="0054178A">
            <w:pPr>
              <w:tabs>
                <w:tab w:val="left" w:pos="438"/>
              </w:tabs>
              <w:ind w:firstLine="411"/>
              <w:jc w:val="both"/>
              <w:rPr>
                <w:sz w:val="26"/>
                <w:szCs w:val="26"/>
              </w:rPr>
            </w:pPr>
            <w:r w:rsidRPr="000C6311">
              <w:rPr>
                <w:sz w:val="26"/>
                <w:szCs w:val="26"/>
              </w:rPr>
              <w:t>Nav</w:t>
            </w:r>
          </w:p>
        </w:tc>
      </w:tr>
    </w:tbl>
    <w:p w:rsidR="008B6F82" w:rsidRPr="000C6311" w:rsidRDefault="008B6F82" w:rsidP="0054178A">
      <w:pPr>
        <w:jc w:val="both"/>
        <w:rPr>
          <w:sz w:val="26"/>
          <w:szCs w:val="26"/>
        </w:rPr>
      </w:pPr>
    </w:p>
    <w:tbl>
      <w:tblPr>
        <w:tblpPr w:leftFromText="180" w:rightFromText="180" w:vertAnchor="text" w:horzAnchor="margin" w:tblpXSpec="center" w:tblpY="149"/>
        <w:tblW w:w="93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000" w:firstRow="0" w:lastRow="0" w:firstColumn="0" w:lastColumn="0" w:noHBand="0" w:noVBand="0"/>
      </w:tblPr>
      <w:tblGrid>
        <w:gridCol w:w="568"/>
        <w:gridCol w:w="2976"/>
        <w:gridCol w:w="5812"/>
      </w:tblGrid>
      <w:tr w:rsidR="008B6F82" w:rsidRPr="000C6311" w:rsidTr="00805808">
        <w:trPr>
          <w:trHeight w:val="560"/>
        </w:trPr>
        <w:tc>
          <w:tcPr>
            <w:tcW w:w="9356" w:type="dxa"/>
            <w:gridSpan w:val="3"/>
            <w:vAlign w:val="center"/>
          </w:tcPr>
          <w:p w:rsidR="008B6F82" w:rsidRPr="000C6311" w:rsidRDefault="008B6F82" w:rsidP="0054178A">
            <w:pPr>
              <w:pStyle w:val="naisnod"/>
              <w:spacing w:before="0" w:beforeAutospacing="0" w:after="0" w:afterAutospacing="0"/>
              <w:jc w:val="center"/>
              <w:rPr>
                <w:b/>
                <w:sz w:val="26"/>
                <w:szCs w:val="26"/>
              </w:rPr>
            </w:pPr>
            <w:r w:rsidRPr="000C6311">
              <w:rPr>
                <w:b/>
                <w:sz w:val="26"/>
                <w:szCs w:val="26"/>
              </w:rPr>
              <w:t>II. Tiesību akta projekta ietekme uz sabiedrību</w:t>
            </w:r>
            <w:r w:rsidR="00C141CC" w:rsidRPr="000C6311">
              <w:rPr>
                <w:b/>
                <w:sz w:val="26"/>
                <w:szCs w:val="26"/>
              </w:rPr>
              <w:t>, tautsaimniecības attīstību un administratīvo slogu</w:t>
            </w:r>
          </w:p>
        </w:tc>
      </w:tr>
      <w:tr w:rsidR="008B6F82" w:rsidRPr="000C6311" w:rsidTr="00805808">
        <w:trPr>
          <w:trHeight w:val="467"/>
        </w:trPr>
        <w:tc>
          <w:tcPr>
            <w:tcW w:w="568" w:type="dxa"/>
          </w:tcPr>
          <w:p w:rsidR="008B6F82" w:rsidRPr="000C6311" w:rsidRDefault="008B6F82" w:rsidP="0054178A">
            <w:pPr>
              <w:pStyle w:val="naiskr"/>
              <w:spacing w:before="0" w:beforeAutospacing="0" w:after="0" w:afterAutospacing="0"/>
              <w:jc w:val="center"/>
              <w:rPr>
                <w:sz w:val="26"/>
                <w:szCs w:val="26"/>
              </w:rPr>
            </w:pPr>
            <w:r w:rsidRPr="000C6311">
              <w:rPr>
                <w:sz w:val="26"/>
                <w:szCs w:val="26"/>
              </w:rPr>
              <w:t>1.</w:t>
            </w:r>
          </w:p>
        </w:tc>
        <w:tc>
          <w:tcPr>
            <w:tcW w:w="2976" w:type="dxa"/>
          </w:tcPr>
          <w:p w:rsidR="008B6F82" w:rsidRPr="000C6311" w:rsidRDefault="008B6F82" w:rsidP="0054178A">
            <w:pPr>
              <w:pStyle w:val="naiskr"/>
              <w:spacing w:before="0" w:beforeAutospacing="0" w:after="0" w:afterAutospacing="0"/>
              <w:rPr>
                <w:sz w:val="26"/>
                <w:szCs w:val="26"/>
              </w:rPr>
            </w:pPr>
            <w:r w:rsidRPr="000C6311">
              <w:rPr>
                <w:sz w:val="26"/>
                <w:szCs w:val="26"/>
              </w:rPr>
              <w:t xml:space="preserve">Sabiedrības </w:t>
            </w:r>
            <w:proofErr w:type="spellStart"/>
            <w:r w:rsidRPr="000C6311">
              <w:rPr>
                <w:sz w:val="26"/>
                <w:szCs w:val="26"/>
              </w:rPr>
              <w:t>mērķgrupa</w:t>
            </w:r>
            <w:proofErr w:type="spellEnd"/>
            <w:r w:rsidR="00ED7F41" w:rsidRPr="000C6311">
              <w:rPr>
                <w:sz w:val="26"/>
                <w:szCs w:val="26"/>
              </w:rPr>
              <w:t>, kuras tiesiskais regulējums</w:t>
            </w:r>
            <w:r w:rsidR="008207E7" w:rsidRPr="000C6311">
              <w:rPr>
                <w:sz w:val="26"/>
                <w:szCs w:val="26"/>
              </w:rPr>
              <w:t xml:space="preserve"> ietekmē vai varētu ietekmēt</w:t>
            </w:r>
          </w:p>
        </w:tc>
        <w:tc>
          <w:tcPr>
            <w:tcW w:w="5812" w:type="dxa"/>
          </w:tcPr>
          <w:p w:rsidR="008B6F82" w:rsidRPr="000C6311" w:rsidRDefault="000178F6" w:rsidP="00247445">
            <w:pPr>
              <w:pStyle w:val="naiskr"/>
              <w:spacing w:before="0" w:beforeAutospacing="0" w:after="0" w:afterAutospacing="0"/>
              <w:jc w:val="both"/>
              <w:rPr>
                <w:iCs/>
                <w:sz w:val="26"/>
                <w:szCs w:val="26"/>
              </w:rPr>
            </w:pPr>
            <w:r w:rsidRPr="000C6311">
              <w:rPr>
                <w:sz w:val="26"/>
                <w:szCs w:val="26"/>
              </w:rPr>
              <w:t>P</w:t>
            </w:r>
            <w:r w:rsidR="00B3512D" w:rsidRPr="000C6311">
              <w:rPr>
                <w:sz w:val="26"/>
                <w:szCs w:val="26"/>
              </w:rPr>
              <w:t xml:space="preserve">rojekts attiecas izglītības iestādēm, kas īsteno profesionālās ievirzes </w:t>
            </w:r>
            <w:r w:rsidR="00B2576E">
              <w:rPr>
                <w:sz w:val="26"/>
                <w:szCs w:val="26"/>
              </w:rPr>
              <w:t>sporta izglītības programmas.</w:t>
            </w:r>
          </w:p>
        </w:tc>
      </w:tr>
      <w:tr w:rsidR="00B3512D" w:rsidRPr="000C6311" w:rsidTr="00805808">
        <w:trPr>
          <w:trHeight w:val="523"/>
        </w:trPr>
        <w:tc>
          <w:tcPr>
            <w:tcW w:w="568" w:type="dxa"/>
          </w:tcPr>
          <w:p w:rsidR="00B3512D" w:rsidRPr="000C6311" w:rsidRDefault="00B3512D" w:rsidP="0054178A">
            <w:pPr>
              <w:pStyle w:val="naiskr"/>
              <w:spacing w:before="0" w:beforeAutospacing="0" w:after="0" w:afterAutospacing="0"/>
              <w:jc w:val="center"/>
              <w:rPr>
                <w:sz w:val="26"/>
                <w:szCs w:val="26"/>
              </w:rPr>
            </w:pPr>
            <w:r w:rsidRPr="000C6311">
              <w:rPr>
                <w:sz w:val="26"/>
                <w:szCs w:val="26"/>
              </w:rPr>
              <w:t>2.</w:t>
            </w:r>
          </w:p>
        </w:tc>
        <w:tc>
          <w:tcPr>
            <w:tcW w:w="2976" w:type="dxa"/>
          </w:tcPr>
          <w:p w:rsidR="00B3512D" w:rsidRPr="000C6311" w:rsidRDefault="00B3512D" w:rsidP="0054178A">
            <w:pPr>
              <w:pStyle w:val="naiskr"/>
              <w:spacing w:before="0" w:beforeAutospacing="0" w:after="0" w:afterAutospacing="0"/>
              <w:rPr>
                <w:sz w:val="26"/>
                <w:szCs w:val="26"/>
              </w:rPr>
            </w:pPr>
            <w:r w:rsidRPr="000C6311">
              <w:rPr>
                <w:sz w:val="26"/>
                <w:szCs w:val="26"/>
              </w:rPr>
              <w:t>Tiesiskā regulējuma ietekme uz tautsaimniecību un administratīvo slogu</w:t>
            </w:r>
          </w:p>
        </w:tc>
        <w:tc>
          <w:tcPr>
            <w:tcW w:w="5812" w:type="dxa"/>
          </w:tcPr>
          <w:p w:rsidR="00B3512D" w:rsidRPr="000C6311" w:rsidRDefault="00B3512D" w:rsidP="00B2576E">
            <w:pPr>
              <w:jc w:val="both"/>
              <w:rPr>
                <w:sz w:val="26"/>
                <w:szCs w:val="26"/>
              </w:rPr>
            </w:pPr>
            <w:r w:rsidRPr="000C6311">
              <w:rPr>
                <w:sz w:val="26"/>
                <w:szCs w:val="26"/>
              </w:rPr>
              <w:t>Tiesiskais regulējums tiks īstenots kārtējam gadam apstiprinātā budžeta ietvaros</w:t>
            </w:r>
            <w:r w:rsidR="00EA43B6" w:rsidRPr="000C6311">
              <w:rPr>
                <w:sz w:val="26"/>
                <w:szCs w:val="26"/>
              </w:rPr>
              <w:t>.</w:t>
            </w:r>
          </w:p>
        </w:tc>
      </w:tr>
      <w:tr w:rsidR="00B3512D" w:rsidRPr="000C6311" w:rsidTr="00805808">
        <w:trPr>
          <w:trHeight w:val="357"/>
        </w:trPr>
        <w:tc>
          <w:tcPr>
            <w:tcW w:w="568" w:type="dxa"/>
          </w:tcPr>
          <w:p w:rsidR="00B3512D" w:rsidRPr="000C6311" w:rsidRDefault="00B3512D" w:rsidP="0054178A">
            <w:pPr>
              <w:pStyle w:val="naiskr"/>
              <w:spacing w:before="0" w:beforeAutospacing="0" w:after="0" w:afterAutospacing="0"/>
              <w:jc w:val="center"/>
              <w:rPr>
                <w:sz w:val="26"/>
                <w:szCs w:val="26"/>
              </w:rPr>
            </w:pPr>
            <w:r w:rsidRPr="000C6311">
              <w:rPr>
                <w:sz w:val="26"/>
                <w:szCs w:val="26"/>
              </w:rPr>
              <w:t>3.</w:t>
            </w:r>
          </w:p>
        </w:tc>
        <w:tc>
          <w:tcPr>
            <w:tcW w:w="2976" w:type="dxa"/>
          </w:tcPr>
          <w:p w:rsidR="00B3512D" w:rsidRPr="000C6311" w:rsidRDefault="00B3512D" w:rsidP="0054178A">
            <w:pPr>
              <w:pStyle w:val="naiskr"/>
              <w:spacing w:before="0" w:beforeAutospacing="0" w:after="0" w:afterAutospacing="0"/>
              <w:rPr>
                <w:sz w:val="26"/>
                <w:szCs w:val="26"/>
              </w:rPr>
            </w:pPr>
            <w:r w:rsidRPr="000C6311">
              <w:rPr>
                <w:sz w:val="26"/>
                <w:szCs w:val="26"/>
              </w:rPr>
              <w:t>Administratīvo izmaksu monetārs novērtējums</w:t>
            </w:r>
          </w:p>
        </w:tc>
        <w:tc>
          <w:tcPr>
            <w:tcW w:w="5812" w:type="dxa"/>
          </w:tcPr>
          <w:p w:rsidR="00B3512D" w:rsidRPr="000C6311" w:rsidRDefault="00B3512D" w:rsidP="0054178A">
            <w:pPr>
              <w:jc w:val="both"/>
              <w:rPr>
                <w:sz w:val="26"/>
                <w:szCs w:val="26"/>
                <w:lang w:eastAsia="lv-LV"/>
              </w:rPr>
            </w:pPr>
            <w:r w:rsidRPr="000C6311">
              <w:rPr>
                <w:sz w:val="26"/>
                <w:szCs w:val="26"/>
              </w:rPr>
              <w:t xml:space="preserve"> Projekts šo jomu neskar.</w:t>
            </w:r>
          </w:p>
        </w:tc>
      </w:tr>
      <w:tr w:rsidR="00B3512D" w:rsidRPr="000C6311" w:rsidTr="00805808">
        <w:trPr>
          <w:trHeight w:val="568"/>
        </w:trPr>
        <w:tc>
          <w:tcPr>
            <w:tcW w:w="568" w:type="dxa"/>
          </w:tcPr>
          <w:p w:rsidR="00B3512D" w:rsidRPr="000C6311" w:rsidRDefault="00B3512D" w:rsidP="0054178A">
            <w:pPr>
              <w:pStyle w:val="naiskr"/>
              <w:spacing w:before="0" w:beforeAutospacing="0" w:after="0" w:afterAutospacing="0"/>
              <w:jc w:val="center"/>
              <w:rPr>
                <w:sz w:val="26"/>
                <w:szCs w:val="26"/>
              </w:rPr>
            </w:pPr>
            <w:r w:rsidRPr="000C6311">
              <w:rPr>
                <w:sz w:val="26"/>
                <w:szCs w:val="26"/>
              </w:rPr>
              <w:t>4.</w:t>
            </w:r>
          </w:p>
        </w:tc>
        <w:tc>
          <w:tcPr>
            <w:tcW w:w="2976" w:type="dxa"/>
          </w:tcPr>
          <w:p w:rsidR="00B3512D" w:rsidRPr="000C6311" w:rsidRDefault="00B3512D" w:rsidP="0054178A">
            <w:pPr>
              <w:pStyle w:val="naiskr"/>
              <w:spacing w:before="0" w:beforeAutospacing="0" w:after="0" w:afterAutospacing="0"/>
              <w:rPr>
                <w:sz w:val="26"/>
                <w:szCs w:val="26"/>
              </w:rPr>
            </w:pPr>
            <w:r w:rsidRPr="000C6311">
              <w:rPr>
                <w:sz w:val="26"/>
                <w:szCs w:val="26"/>
              </w:rPr>
              <w:t>Cita informācija</w:t>
            </w:r>
          </w:p>
        </w:tc>
        <w:tc>
          <w:tcPr>
            <w:tcW w:w="5812" w:type="dxa"/>
          </w:tcPr>
          <w:p w:rsidR="00B3512D" w:rsidRPr="000C6311" w:rsidRDefault="00B3512D" w:rsidP="003E2B06">
            <w:pPr>
              <w:jc w:val="both"/>
              <w:rPr>
                <w:sz w:val="26"/>
                <w:szCs w:val="26"/>
                <w:lang w:eastAsia="lv-LV"/>
              </w:rPr>
            </w:pPr>
            <w:r w:rsidRPr="000C6311">
              <w:rPr>
                <w:sz w:val="26"/>
                <w:szCs w:val="26"/>
                <w:lang w:eastAsia="lv-LV"/>
              </w:rPr>
              <w:t xml:space="preserve"> </w:t>
            </w:r>
            <w:r w:rsidR="003E2B06" w:rsidRPr="000C6311">
              <w:rPr>
                <w:sz w:val="26"/>
                <w:szCs w:val="26"/>
              </w:rPr>
              <w:t xml:space="preserve"> Aprēķins par finansējumu, kas nepieciešams, lai nodrošinātu piemaksas </w:t>
            </w:r>
            <w:r w:rsidR="003E2B06">
              <w:rPr>
                <w:sz w:val="26"/>
                <w:szCs w:val="26"/>
              </w:rPr>
              <w:t>profesionālās ievirzes sporta</w:t>
            </w:r>
            <w:r w:rsidR="003E2B06" w:rsidRPr="000C6311">
              <w:rPr>
                <w:sz w:val="26"/>
                <w:szCs w:val="26"/>
              </w:rPr>
              <w:t xml:space="preserve"> izglītības iestāžu pedagogiem, kuri līdz 2014.gada 1.septembrim ieguvuši kvalitātes pakāpes, pievienots Ministru kabineta noteikumu projektam </w:t>
            </w:r>
            <w:r w:rsidR="003E2B06" w:rsidRPr="000C6311">
              <w:rPr>
                <w:rStyle w:val="Strong"/>
                <w:sz w:val="26"/>
                <w:szCs w:val="26"/>
              </w:rPr>
              <w:t>„G</w:t>
            </w:r>
            <w:r w:rsidR="003E2B06" w:rsidRPr="000C6311">
              <w:rPr>
                <w:sz w:val="26"/>
                <w:szCs w:val="26"/>
              </w:rPr>
              <w:t xml:space="preserve">rozījumi </w:t>
            </w:r>
            <w:r w:rsidR="003E2B06" w:rsidRPr="000C6311">
              <w:rPr>
                <w:rStyle w:val="Strong"/>
                <w:sz w:val="26"/>
                <w:szCs w:val="26"/>
              </w:rPr>
              <w:t xml:space="preserve">Ministru kabineta 2009.gada 28.jūlija noteikumos </w:t>
            </w:r>
            <w:r w:rsidR="003E2B06" w:rsidRPr="000C6311">
              <w:rPr>
                <w:rStyle w:val="Strong"/>
                <w:sz w:val="26"/>
                <w:szCs w:val="26"/>
              </w:rPr>
              <w:lastRenderedPageBreak/>
              <w:t>Nr.836 „</w:t>
            </w:r>
            <w:r w:rsidR="003E2B06" w:rsidRPr="000C6311">
              <w:rPr>
                <w:sz w:val="26"/>
                <w:szCs w:val="26"/>
              </w:rPr>
              <w:t>Pedagogu darba samaksas noteikumi””, kas akceptēts Ministru kabinetā 2014.gada 17.jūnijā.</w:t>
            </w:r>
            <w:r w:rsidR="003E2B06" w:rsidRPr="000C6311">
              <w:rPr>
                <w:bCs/>
                <w:iCs/>
                <w:sz w:val="26"/>
                <w:szCs w:val="26"/>
              </w:rPr>
              <w:t xml:space="preserve"> </w:t>
            </w:r>
            <w:r w:rsidR="003E2B06" w:rsidRPr="003E2B06">
              <w:rPr>
                <w:bCs/>
                <w:sz w:val="26"/>
                <w:szCs w:val="26"/>
                <w:shd w:val="clear" w:color="auto" w:fill="FFFFFF"/>
              </w:rPr>
              <w:t>Atbilstoši Ministru kabineta 2014.gada 17.jūnija sēdes lēmumam (prot.Nr.33, 97.§, 2.punkts) finansējums noteikumu projekta normu izpildei tiks nodrošināts Izglītības un zinātnes ministrijas un 62.resora “Mērķdotācijas pašvaldībām” esošā finansējuma ietvaros.</w:t>
            </w:r>
          </w:p>
        </w:tc>
      </w:tr>
    </w:tbl>
    <w:p w:rsidR="002C7391" w:rsidRPr="000C6311" w:rsidRDefault="002C7391" w:rsidP="0054178A">
      <w:pPr>
        <w:jc w:val="both"/>
        <w:rPr>
          <w:i/>
          <w:sz w:val="26"/>
          <w:szCs w:val="26"/>
        </w:rPr>
      </w:pPr>
    </w:p>
    <w:tbl>
      <w:tblPr>
        <w:tblW w:w="527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7"/>
        <w:gridCol w:w="1465"/>
        <w:gridCol w:w="1407"/>
        <w:gridCol w:w="1539"/>
        <w:gridCol w:w="1539"/>
        <w:gridCol w:w="2035"/>
      </w:tblGrid>
      <w:tr w:rsidR="009B25DD" w:rsidRPr="0054178A" w:rsidTr="00C26D8A">
        <w:trPr>
          <w:trHeight w:val="360"/>
          <w:tblCellSpacing w:w="15" w:type="dxa"/>
          <w:jc w:val="center"/>
        </w:trPr>
        <w:tc>
          <w:tcPr>
            <w:tcW w:w="4970" w:type="pct"/>
            <w:gridSpan w:val="6"/>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b/>
                <w:bCs/>
                <w:sz w:val="28"/>
                <w:szCs w:val="28"/>
                <w:lang w:eastAsia="lv-LV"/>
              </w:rPr>
            </w:pPr>
            <w:r w:rsidRPr="0054178A">
              <w:rPr>
                <w:b/>
                <w:bCs/>
                <w:sz w:val="28"/>
                <w:szCs w:val="28"/>
                <w:lang w:eastAsia="lv-LV"/>
              </w:rPr>
              <w:t>III. Tiesību akta projekta ietekme uz valsts budžetu un pašvaldību budžetiem</w:t>
            </w:r>
          </w:p>
        </w:tc>
      </w:tr>
      <w:tr w:rsidR="009B25DD" w:rsidRPr="0054178A" w:rsidTr="00C26D8A">
        <w:trPr>
          <w:tblCellSpacing w:w="15" w:type="dxa"/>
          <w:jc w:val="center"/>
        </w:trPr>
        <w:tc>
          <w:tcPr>
            <w:tcW w:w="910" w:type="pct"/>
            <w:vMerge w:val="restar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b/>
                <w:bCs/>
                <w:sz w:val="28"/>
                <w:szCs w:val="28"/>
                <w:lang w:eastAsia="lv-LV"/>
              </w:rPr>
            </w:pPr>
            <w:r w:rsidRPr="0054178A">
              <w:rPr>
                <w:b/>
                <w:bCs/>
                <w:sz w:val="28"/>
                <w:szCs w:val="28"/>
                <w:lang w:eastAsia="lv-LV"/>
              </w:rPr>
              <w:t>Rādītāji</w:t>
            </w:r>
          </w:p>
        </w:tc>
        <w:tc>
          <w:tcPr>
            <w:tcW w:w="137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b/>
                <w:bCs/>
                <w:sz w:val="28"/>
                <w:szCs w:val="28"/>
                <w:lang w:eastAsia="lv-LV"/>
              </w:rPr>
            </w:pPr>
            <w:r w:rsidRPr="0054178A">
              <w:rPr>
                <w:b/>
                <w:bCs/>
                <w:sz w:val="28"/>
                <w:szCs w:val="28"/>
                <w:lang w:eastAsia="lv-LV"/>
              </w:rPr>
              <w:t>2014-tais gads</w:t>
            </w:r>
          </w:p>
        </w:tc>
        <w:tc>
          <w:tcPr>
            <w:tcW w:w="2654" w:type="pct"/>
            <w:gridSpan w:val="3"/>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sz w:val="28"/>
                <w:szCs w:val="28"/>
                <w:lang w:eastAsia="lv-LV"/>
              </w:rPr>
            </w:pPr>
            <w:r w:rsidRPr="0054178A">
              <w:rPr>
                <w:sz w:val="28"/>
                <w:szCs w:val="28"/>
                <w:lang w:eastAsia="lv-LV"/>
              </w:rPr>
              <w:t>Turpmākie trīs gadi (</w:t>
            </w:r>
            <w:proofErr w:type="spellStart"/>
            <w:r w:rsidRPr="0054178A">
              <w:rPr>
                <w:i/>
                <w:iCs/>
                <w:sz w:val="28"/>
                <w:szCs w:val="28"/>
                <w:lang w:eastAsia="lv-LV"/>
              </w:rPr>
              <w:t>euro</w:t>
            </w:r>
            <w:proofErr w:type="spellEnd"/>
            <w:r w:rsidRPr="0054178A">
              <w:rPr>
                <w:sz w:val="28"/>
                <w:szCs w:val="28"/>
                <w:lang w:eastAsia="lv-LV"/>
              </w:rPr>
              <w:t>)</w:t>
            </w:r>
          </w:p>
        </w:tc>
      </w:tr>
      <w:tr w:rsidR="009B25DD" w:rsidRPr="0054178A" w:rsidTr="00C26D8A">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b/>
                <w:bCs/>
                <w:sz w:val="28"/>
                <w:szCs w:val="28"/>
                <w:lang w:eastAsia="lv-LV"/>
              </w:rPr>
            </w:pPr>
          </w:p>
        </w:tc>
        <w:tc>
          <w:tcPr>
            <w:tcW w:w="1376" w:type="pct"/>
            <w:gridSpan w:val="2"/>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b/>
                <w:bCs/>
                <w:sz w:val="28"/>
                <w:szCs w:val="28"/>
                <w:lang w:eastAsia="lv-LV"/>
              </w:rPr>
            </w:pP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b/>
                <w:bCs/>
                <w:sz w:val="28"/>
                <w:szCs w:val="28"/>
                <w:lang w:eastAsia="lv-LV"/>
              </w:rPr>
            </w:pPr>
            <w:r w:rsidRPr="0054178A">
              <w:rPr>
                <w:b/>
                <w:bCs/>
                <w:sz w:val="28"/>
                <w:szCs w:val="28"/>
                <w:lang w:eastAsia="lv-LV"/>
              </w:rPr>
              <w:t>2015</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b/>
                <w:bCs/>
                <w:sz w:val="28"/>
                <w:szCs w:val="28"/>
                <w:lang w:eastAsia="lv-LV"/>
              </w:rPr>
            </w:pPr>
            <w:r w:rsidRPr="0054178A">
              <w:rPr>
                <w:b/>
                <w:bCs/>
                <w:sz w:val="28"/>
                <w:szCs w:val="28"/>
                <w:lang w:eastAsia="lv-LV"/>
              </w:rPr>
              <w:t>2016</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b/>
                <w:bCs/>
                <w:sz w:val="28"/>
                <w:szCs w:val="28"/>
                <w:lang w:eastAsia="lv-LV"/>
              </w:rPr>
            </w:pPr>
            <w:r w:rsidRPr="0054178A">
              <w:rPr>
                <w:b/>
                <w:bCs/>
                <w:sz w:val="28"/>
                <w:szCs w:val="28"/>
                <w:lang w:eastAsia="lv-LV"/>
              </w:rPr>
              <w:t>2017</w:t>
            </w:r>
          </w:p>
        </w:tc>
      </w:tr>
      <w:tr w:rsidR="009B25DD" w:rsidRPr="0054178A" w:rsidTr="00C26D8A">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b/>
                <w:bCs/>
                <w:sz w:val="28"/>
                <w:szCs w:val="28"/>
                <w:lang w:eastAsia="lv-LV"/>
              </w:rPr>
            </w:pP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1"/>
              <w:jc w:val="center"/>
              <w:rPr>
                <w:sz w:val="28"/>
                <w:szCs w:val="28"/>
                <w:lang w:eastAsia="lv-LV"/>
              </w:rPr>
            </w:pPr>
            <w:r w:rsidRPr="0054178A">
              <w:rPr>
                <w:sz w:val="28"/>
                <w:szCs w:val="28"/>
                <w:lang w:eastAsia="lv-LV"/>
              </w:rPr>
              <w:t>saskaņā ar valsts budžetu kārtējam gadam</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1"/>
              <w:jc w:val="center"/>
              <w:rPr>
                <w:sz w:val="28"/>
                <w:szCs w:val="28"/>
                <w:lang w:eastAsia="lv-LV"/>
              </w:rPr>
            </w:pPr>
            <w:r w:rsidRPr="0054178A">
              <w:rPr>
                <w:sz w:val="28"/>
                <w:szCs w:val="28"/>
                <w:lang w:eastAsia="lv-LV"/>
              </w:rPr>
              <w:t>izmaiņas kārtējā gadā, salīdzinot ar valsts budžetu kārtējam gadam</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1"/>
              <w:jc w:val="center"/>
              <w:rPr>
                <w:sz w:val="28"/>
                <w:szCs w:val="28"/>
                <w:lang w:eastAsia="lv-LV"/>
              </w:rPr>
            </w:pPr>
            <w:r w:rsidRPr="0054178A">
              <w:rPr>
                <w:sz w:val="28"/>
                <w:szCs w:val="28"/>
                <w:lang w:eastAsia="lv-LV"/>
              </w:rPr>
              <w:t>izmaiņas, salīdzinot ar kārtējo (n) gadu</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1"/>
              <w:jc w:val="center"/>
              <w:rPr>
                <w:sz w:val="28"/>
                <w:szCs w:val="28"/>
                <w:lang w:eastAsia="lv-LV"/>
              </w:rPr>
            </w:pPr>
            <w:r w:rsidRPr="0054178A">
              <w:rPr>
                <w:sz w:val="28"/>
                <w:szCs w:val="28"/>
                <w:lang w:eastAsia="lv-LV"/>
              </w:rPr>
              <w:t>izmaiņas, salīdzinot ar kārtējo (n) gadu</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1"/>
              <w:jc w:val="center"/>
              <w:rPr>
                <w:sz w:val="28"/>
                <w:szCs w:val="28"/>
                <w:lang w:eastAsia="lv-LV"/>
              </w:rPr>
            </w:pPr>
            <w:r w:rsidRPr="0054178A">
              <w:rPr>
                <w:sz w:val="28"/>
                <w:szCs w:val="28"/>
                <w:lang w:eastAsia="lv-LV"/>
              </w:rPr>
              <w:t>izmaiņas, salīdzinot ar kārtējo (n) gadu</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sz w:val="28"/>
                <w:szCs w:val="28"/>
                <w:lang w:eastAsia="lv-LV"/>
              </w:rPr>
            </w:pPr>
            <w:r w:rsidRPr="0054178A">
              <w:rPr>
                <w:sz w:val="28"/>
                <w:szCs w:val="28"/>
                <w:lang w:eastAsia="lv-LV"/>
              </w:rPr>
              <w:t>1</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sz w:val="28"/>
                <w:szCs w:val="28"/>
                <w:lang w:eastAsia="lv-LV"/>
              </w:rPr>
            </w:pPr>
            <w:r w:rsidRPr="0054178A">
              <w:rPr>
                <w:sz w:val="28"/>
                <w:szCs w:val="28"/>
                <w:lang w:eastAsia="lv-LV"/>
              </w:rPr>
              <w:t>2</w:t>
            </w:r>
          </w:p>
        </w:tc>
        <w:tc>
          <w:tcPr>
            <w:tcW w:w="587"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sz w:val="28"/>
                <w:szCs w:val="28"/>
                <w:lang w:eastAsia="lv-LV"/>
              </w:rPr>
            </w:pPr>
            <w:r w:rsidRPr="0054178A">
              <w:rPr>
                <w:sz w:val="28"/>
                <w:szCs w:val="28"/>
                <w:lang w:eastAsia="lv-LV"/>
              </w:rPr>
              <w:t>3</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sz w:val="28"/>
                <w:szCs w:val="28"/>
                <w:lang w:eastAsia="lv-LV"/>
              </w:rPr>
            </w:pPr>
            <w:r w:rsidRPr="0054178A">
              <w:rPr>
                <w:sz w:val="28"/>
                <w:szCs w:val="28"/>
                <w:lang w:eastAsia="lv-LV"/>
              </w:rPr>
              <w:t>4</w:t>
            </w:r>
          </w:p>
        </w:tc>
        <w:tc>
          <w:tcPr>
            <w:tcW w:w="812"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sz w:val="28"/>
                <w:szCs w:val="28"/>
                <w:lang w:eastAsia="lv-LV"/>
              </w:rPr>
            </w:pPr>
            <w:r w:rsidRPr="0054178A">
              <w:rPr>
                <w:sz w:val="28"/>
                <w:szCs w:val="28"/>
                <w:lang w:eastAsia="lv-LV"/>
              </w:rPr>
              <w:t>5</w:t>
            </w:r>
          </w:p>
        </w:tc>
        <w:tc>
          <w:tcPr>
            <w:tcW w:w="999"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ind w:firstLine="300"/>
              <w:jc w:val="center"/>
              <w:rPr>
                <w:sz w:val="28"/>
                <w:szCs w:val="28"/>
                <w:lang w:eastAsia="lv-LV"/>
              </w:rPr>
            </w:pPr>
            <w:r w:rsidRPr="0054178A">
              <w:rPr>
                <w:sz w:val="28"/>
                <w:szCs w:val="28"/>
                <w:lang w:eastAsia="lv-LV"/>
              </w:rPr>
              <w:t>6</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1. Budžeta ieņēmumi:</w:t>
            </w:r>
          </w:p>
        </w:tc>
        <w:tc>
          <w:tcPr>
            <w:tcW w:w="774" w:type="pct"/>
            <w:tcBorders>
              <w:top w:val="single" w:sz="4" w:space="0" w:color="auto"/>
              <w:left w:val="single" w:sz="4" w:space="0" w:color="auto"/>
              <w:bottom w:val="single" w:sz="4" w:space="0" w:color="auto"/>
              <w:right w:val="single" w:sz="4" w:space="0" w:color="auto"/>
            </w:tcBorders>
            <w:hideMark/>
          </w:tcPr>
          <w:p w:rsidR="009B25DD" w:rsidRDefault="009B25DD" w:rsidP="00C26D8A">
            <w:pPr>
              <w:rPr>
                <w:sz w:val="28"/>
                <w:szCs w:val="28"/>
                <w:lang w:eastAsia="lv-LV"/>
              </w:rPr>
            </w:pPr>
          </w:p>
          <w:p w:rsidR="009B25DD" w:rsidRPr="0054178A" w:rsidRDefault="009B25DD" w:rsidP="00C26D8A">
            <w:pPr>
              <w:rPr>
                <w:sz w:val="28"/>
                <w:szCs w:val="28"/>
                <w:lang w:eastAsia="lv-LV"/>
              </w:rPr>
            </w:pPr>
            <w:r w:rsidRPr="009B25DD">
              <w:rPr>
                <w:sz w:val="28"/>
                <w:szCs w:val="28"/>
                <w:lang w:eastAsia="lv-LV"/>
              </w:rPr>
              <w:t>6</w:t>
            </w:r>
            <w:r>
              <w:rPr>
                <w:sz w:val="28"/>
                <w:szCs w:val="28"/>
                <w:lang w:eastAsia="lv-LV"/>
              </w:rPr>
              <w:t> </w:t>
            </w:r>
            <w:r w:rsidRPr="009B25DD">
              <w:rPr>
                <w:sz w:val="28"/>
                <w:szCs w:val="28"/>
                <w:lang w:eastAsia="lv-LV"/>
              </w:rPr>
              <w:t>777</w:t>
            </w:r>
            <w:r>
              <w:rPr>
                <w:sz w:val="28"/>
                <w:szCs w:val="28"/>
                <w:lang w:eastAsia="lv-LV"/>
              </w:rPr>
              <w:t xml:space="preserve"> </w:t>
            </w:r>
            <w:r w:rsidRPr="009B25DD">
              <w:rPr>
                <w:sz w:val="28"/>
                <w:szCs w:val="28"/>
                <w:lang w:eastAsia="lv-LV"/>
              </w:rPr>
              <w:t>794</w:t>
            </w: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Pr>
                <w:sz w:val="28"/>
                <w:szCs w:val="28"/>
                <w:lang w:eastAsia="lv-LV"/>
              </w:rPr>
              <w:t>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1.1. valsts pamatbudžets, tai skaitā ieņēmumi no maksas pakalpojumiem un citi pašu ieņēmumi</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w:t>
            </w:r>
            <w:r w:rsidRPr="009B25DD">
              <w:rPr>
                <w:sz w:val="28"/>
                <w:szCs w:val="28"/>
                <w:lang w:eastAsia="lv-LV"/>
              </w:rPr>
              <w:t>6 777 794</w:t>
            </w: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w:t>
            </w:r>
            <w:r>
              <w:rPr>
                <w:sz w:val="28"/>
                <w:szCs w:val="28"/>
                <w:lang w:eastAsia="lv-LV"/>
              </w:rPr>
              <w:t>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1.2. valsts speciālais budžets</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1.3. pašvaldību budžets</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2. Budžeta izdevumi:</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w:t>
            </w:r>
            <w:r w:rsidRPr="009B25DD">
              <w:rPr>
                <w:sz w:val="28"/>
                <w:szCs w:val="28"/>
                <w:lang w:eastAsia="lv-LV"/>
              </w:rPr>
              <w:t>6</w:t>
            </w:r>
            <w:r>
              <w:rPr>
                <w:sz w:val="28"/>
                <w:szCs w:val="28"/>
                <w:lang w:eastAsia="lv-LV"/>
              </w:rPr>
              <w:t> </w:t>
            </w:r>
            <w:r w:rsidRPr="009B25DD">
              <w:rPr>
                <w:sz w:val="28"/>
                <w:szCs w:val="28"/>
                <w:lang w:eastAsia="lv-LV"/>
              </w:rPr>
              <w:t>777</w:t>
            </w:r>
            <w:r>
              <w:rPr>
                <w:sz w:val="28"/>
                <w:szCs w:val="28"/>
                <w:lang w:eastAsia="lv-LV"/>
              </w:rPr>
              <w:t xml:space="preserve"> </w:t>
            </w:r>
            <w:r w:rsidRPr="009B25DD">
              <w:rPr>
                <w:sz w:val="28"/>
                <w:szCs w:val="28"/>
                <w:lang w:eastAsia="lv-LV"/>
              </w:rPr>
              <w:t>794</w:t>
            </w:r>
          </w:p>
        </w:tc>
        <w:tc>
          <w:tcPr>
            <w:tcW w:w="587"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lang w:eastAsia="lv-LV"/>
              </w:rPr>
            </w:pPr>
          </w:p>
        </w:tc>
        <w:tc>
          <w:tcPr>
            <w:tcW w:w="812"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lang w:eastAsia="lv-LV"/>
              </w:rPr>
            </w:pPr>
            <w:r>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Pr>
                <w:sz w:val="28"/>
                <w:szCs w:val="28"/>
                <w:lang w:eastAsia="lv-LV"/>
              </w:rPr>
              <w:t>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lastRenderedPageBreak/>
              <w:t>2.1. valsts pamatbudžets</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w:t>
            </w:r>
            <w:r w:rsidRPr="009B25DD">
              <w:rPr>
                <w:sz w:val="28"/>
                <w:szCs w:val="28"/>
                <w:lang w:eastAsia="lv-LV"/>
              </w:rPr>
              <w:t>6</w:t>
            </w:r>
            <w:r>
              <w:rPr>
                <w:sz w:val="28"/>
                <w:szCs w:val="28"/>
                <w:lang w:eastAsia="lv-LV"/>
              </w:rPr>
              <w:t> </w:t>
            </w:r>
            <w:r w:rsidRPr="009B25DD">
              <w:rPr>
                <w:sz w:val="28"/>
                <w:szCs w:val="28"/>
                <w:lang w:eastAsia="lv-LV"/>
              </w:rPr>
              <w:t>777</w:t>
            </w:r>
            <w:r>
              <w:rPr>
                <w:sz w:val="28"/>
                <w:szCs w:val="28"/>
                <w:lang w:eastAsia="lv-LV"/>
              </w:rPr>
              <w:t xml:space="preserve"> </w:t>
            </w:r>
            <w:r w:rsidRPr="009B25DD">
              <w:rPr>
                <w:sz w:val="28"/>
                <w:szCs w:val="28"/>
                <w:lang w:eastAsia="lv-LV"/>
              </w:rPr>
              <w:t>794</w:t>
            </w:r>
          </w:p>
        </w:tc>
        <w:tc>
          <w:tcPr>
            <w:tcW w:w="587"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lang w:eastAsia="lv-LV"/>
              </w:rPr>
            </w:pPr>
          </w:p>
        </w:tc>
        <w:tc>
          <w:tcPr>
            <w:tcW w:w="812"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lang w:eastAsia="lv-LV"/>
              </w:rPr>
            </w:pPr>
            <w:r>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Pr>
                <w:sz w:val="28"/>
                <w:szCs w:val="28"/>
                <w:lang w:eastAsia="lv-LV"/>
              </w:rPr>
              <w:t>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2.2. valsts speciālais budžets</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2.3. pašvaldību budžets</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3. Finansiālā ietekme:</w:t>
            </w:r>
          </w:p>
        </w:tc>
        <w:tc>
          <w:tcPr>
            <w:tcW w:w="774" w:type="pct"/>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lang w:eastAsia="lv-LV"/>
              </w:rPr>
            </w:pPr>
            <w:r w:rsidRPr="0054178A">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lang w:eastAsia="lv-LV"/>
              </w:rPr>
            </w:pPr>
            <w:r w:rsidRPr="0054178A">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3.1. valsts pamatbudžets</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lang w:eastAsia="lv-LV"/>
              </w:rPr>
            </w:pPr>
            <w:r w:rsidRPr="0054178A">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lang w:eastAsia="lv-LV"/>
              </w:rPr>
            </w:pPr>
            <w:r w:rsidRPr="0054178A">
              <w:rPr>
                <w:sz w:val="28"/>
                <w:szCs w:val="28"/>
                <w:lang w:eastAsia="lv-LV"/>
              </w:rPr>
              <w:t>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3.2. speciālais budžets</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3.3. pašvaldību budžets</w:t>
            </w:r>
          </w:p>
        </w:tc>
        <w:tc>
          <w:tcPr>
            <w:tcW w:w="774"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0</w:t>
            </w:r>
          </w:p>
        </w:tc>
      </w:tr>
      <w:tr w:rsidR="009B25DD" w:rsidRPr="0054178A" w:rsidTr="00C26D8A">
        <w:trPr>
          <w:tblCellSpacing w:w="15" w:type="dxa"/>
          <w:jc w:val="center"/>
        </w:trPr>
        <w:tc>
          <w:tcPr>
            <w:tcW w:w="910" w:type="pct"/>
            <w:vMerge w:val="restar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4. Finanšu līdzekļi papildu izdevumu finansēšanai (kompensējošu izdevumu samazinājumu norāda ar "+" zīmi)</w:t>
            </w:r>
          </w:p>
        </w:tc>
        <w:tc>
          <w:tcPr>
            <w:tcW w:w="774" w:type="pct"/>
            <w:vMerge w:val="restar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ind w:firstLine="300"/>
              <w:jc w:val="center"/>
              <w:rPr>
                <w:sz w:val="28"/>
                <w:szCs w:val="28"/>
                <w:lang w:eastAsia="lv-LV"/>
              </w:rPr>
            </w:pPr>
            <w:r w:rsidRPr="0054178A">
              <w:rPr>
                <w:sz w:val="28"/>
                <w:szCs w:val="28"/>
                <w:lang w:eastAsia="lv-LV"/>
              </w:rPr>
              <w:t>X</w:t>
            </w:r>
          </w:p>
        </w:tc>
        <w:tc>
          <w:tcPr>
            <w:tcW w:w="587"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r>
      <w:tr w:rsidR="009B25DD" w:rsidRPr="0054178A" w:rsidTr="00C26D8A">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r>
      <w:tr w:rsidR="009B25DD" w:rsidRPr="0054178A" w:rsidTr="00C26D8A">
        <w:trPr>
          <w:tblCellSpacing w:w="15" w:type="dxa"/>
          <w:jc w:val="center"/>
        </w:trPr>
        <w:tc>
          <w:tcPr>
            <w:tcW w:w="910" w:type="pct"/>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5. Precizēta finansiālā ietekme:</w:t>
            </w:r>
          </w:p>
        </w:tc>
        <w:tc>
          <w:tcPr>
            <w:tcW w:w="774" w:type="pct"/>
            <w:vMerge w:val="restar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ind w:firstLine="300"/>
              <w:jc w:val="center"/>
              <w:rPr>
                <w:sz w:val="28"/>
                <w:szCs w:val="28"/>
                <w:lang w:eastAsia="lv-LV"/>
              </w:rPr>
            </w:pPr>
            <w:r w:rsidRPr="0054178A">
              <w:rPr>
                <w:sz w:val="28"/>
                <w:szCs w:val="28"/>
                <w:lang w:eastAsia="lv-LV"/>
              </w:rPr>
              <w:t>X</w:t>
            </w:r>
          </w:p>
        </w:tc>
        <w:tc>
          <w:tcPr>
            <w:tcW w:w="587"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5.1. valsts pamatbudžets</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5.2. speciālais budžets</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5.3. pašvaldību budžets</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p>
        </w:tc>
        <w:tc>
          <w:tcPr>
            <w:tcW w:w="587"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812"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c>
          <w:tcPr>
            <w:tcW w:w="999"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rPr>
            </w:pPr>
            <w:r w:rsidRPr="0054178A">
              <w:rPr>
                <w:sz w:val="28"/>
                <w:szCs w:val="28"/>
                <w:lang w:eastAsia="lv-LV"/>
              </w:rPr>
              <w:t> 0</w:t>
            </w: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 xml:space="preserve">6. Detalizēts ieņēmumu un izdevumu aprēķins (ja </w:t>
            </w:r>
            <w:r w:rsidRPr="0054178A">
              <w:rPr>
                <w:sz w:val="28"/>
                <w:szCs w:val="28"/>
                <w:lang w:eastAsia="lv-LV"/>
              </w:rPr>
              <w:lastRenderedPageBreak/>
              <w:t>nepieciešams, detalizētu ieņēmumu un izdevumu aprēķinu var pievienot anotācijas pielikumā):</w:t>
            </w:r>
          </w:p>
        </w:tc>
        <w:tc>
          <w:tcPr>
            <w:tcW w:w="4045"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9B25DD" w:rsidRDefault="009B25DD" w:rsidP="00C26D8A">
            <w:pPr>
              <w:jc w:val="both"/>
              <w:rPr>
                <w:bCs/>
                <w:sz w:val="28"/>
                <w:szCs w:val="28"/>
                <w:shd w:val="clear" w:color="auto" w:fill="FFFFFF"/>
              </w:rPr>
            </w:pPr>
          </w:p>
          <w:p w:rsidR="009B25DD" w:rsidRPr="0054178A" w:rsidRDefault="009B25DD" w:rsidP="00C26D8A">
            <w:pPr>
              <w:jc w:val="both"/>
              <w:rPr>
                <w:sz w:val="28"/>
                <w:szCs w:val="28"/>
                <w:lang w:eastAsia="lv-LV"/>
              </w:rPr>
            </w:pP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lastRenderedPageBreak/>
              <w:t>6.1. detalizēts ieņēmumu aprēķins</w:t>
            </w:r>
          </w:p>
        </w:tc>
        <w:tc>
          <w:tcPr>
            <w:tcW w:w="4045" w:type="pct"/>
            <w:gridSpan w:val="5"/>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hideMark/>
          </w:tcPr>
          <w:p w:rsidR="009B25DD" w:rsidRPr="0054178A" w:rsidRDefault="009B25DD" w:rsidP="00C26D8A">
            <w:pPr>
              <w:rPr>
                <w:sz w:val="28"/>
                <w:szCs w:val="28"/>
                <w:lang w:eastAsia="lv-LV"/>
              </w:rPr>
            </w:pPr>
            <w:r w:rsidRPr="0054178A">
              <w:rPr>
                <w:sz w:val="28"/>
                <w:szCs w:val="28"/>
                <w:lang w:eastAsia="lv-LV"/>
              </w:rPr>
              <w:t>6.2. detalizēts izdevumu aprēķins</w:t>
            </w:r>
          </w:p>
        </w:tc>
        <w:tc>
          <w:tcPr>
            <w:tcW w:w="4045" w:type="pct"/>
            <w:gridSpan w:val="5"/>
            <w:vMerge/>
            <w:tcBorders>
              <w:top w:val="single" w:sz="4" w:space="0" w:color="auto"/>
              <w:left w:val="single" w:sz="4" w:space="0" w:color="auto"/>
              <w:bottom w:val="single" w:sz="4" w:space="0" w:color="auto"/>
              <w:right w:val="single" w:sz="4" w:space="0" w:color="auto"/>
            </w:tcBorders>
            <w:vAlign w:val="center"/>
            <w:hideMark/>
          </w:tcPr>
          <w:p w:rsidR="009B25DD" w:rsidRPr="0054178A" w:rsidRDefault="009B25DD" w:rsidP="00C26D8A">
            <w:pPr>
              <w:rPr>
                <w:sz w:val="28"/>
                <w:szCs w:val="28"/>
                <w:lang w:eastAsia="lv-LV"/>
              </w:rPr>
            </w:pPr>
          </w:p>
        </w:tc>
      </w:tr>
      <w:tr w:rsidR="009B25DD" w:rsidRPr="0054178A" w:rsidTr="00C26D8A">
        <w:trPr>
          <w:tblCellSpacing w:w="15" w:type="dxa"/>
          <w:jc w:val="center"/>
        </w:trPr>
        <w:tc>
          <w:tcPr>
            <w:tcW w:w="910" w:type="pct"/>
            <w:tcBorders>
              <w:top w:val="single" w:sz="4" w:space="0" w:color="auto"/>
              <w:left w:val="single" w:sz="4" w:space="0" w:color="auto"/>
              <w:bottom w:val="single" w:sz="4" w:space="0" w:color="auto"/>
              <w:right w:val="single" w:sz="4" w:space="0" w:color="auto"/>
            </w:tcBorders>
          </w:tcPr>
          <w:p w:rsidR="009B25DD" w:rsidRPr="0054178A" w:rsidRDefault="009B25DD" w:rsidP="00C26D8A">
            <w:pPr>
              <w:rPr>
                <w:sz w:val="28"/>
                <w:szCs w:val="28"/>
                <w:lang w:eastAsia="lv-LV"/>
              </w:rPr>
            </w:pPr>
            <w:r w:rsidRPr="0054178A">
              <w:rPr>
                <w:sz w:val="28"/>
                <w:szCs w:val="28"/>
                <w:lang w:eastAsia="lv-LV"/>
              </w:rPr>
              <w:t>7. Cita informācija</w:t>
            </w:r>
          </w:p>
        </w:tc>
        <w:tc>
          <w:tcPr>
            <w:tcW w:w="4045" w:type="pct"/>
            <w:gridSpan w:val="5"/>
            <w:tcBorders>
              <w:top w:val="single" w:sz="4" w:space="0" w:color="auto"/>
              <w:left w:val="single" w:sz="4" w:space="0" w:color="auto"/>
              <w:bottom w:val="single" w:sz="4" w:space="0" w:color="auto"/>
              <w:right w:val="single" w:sz="4" w:space="0" w:color="auto"/>
            </w:tcBorders>
            <w:vAlign w:val="center"/>
          </w:tcPr>
          <w:p w:rsidR="006C2BC0" w:rsidRDefault="009B25DD" w:rsidP="00C26D8A">
            <w:pPr>
              <w:jc w:val="both"/>
              <w:rPr>
                <w:bCs/>
                <w:sz w:val="28"/>
                <w:szCs w:val="28"/>
                <w:shd w:val="clear" w:color="auto" w:fill="FFFFFF"/>
              </w:rPr>
            </w:pPr>
            <w:r>
              <w:rPr>
                <w:sz w:val="28"/>
                <w:szCs w:val="28"/>
              </w:rPr>
              <w:t>Jautājums par papildus finansējumu</w:t>
            </w:r>
            <w:r w:rsidRPr="0054178A">
              <w:rPr>
                <w:sz w:val="28"/>
                <w:szCs w:val="28"/>
              </w:rPr>
              <w:t xml:space="preserve">, </w:t>
            </w:r>
            <w:r w:rsidRPr="000C6311">
              <w:rPr>
                <w:sz w:val="26"/>
                <w:szCs w:val="26"/>
              </w:rPr>
              <w:t xml:space="preserve">kas nepieciešams, lai nodrošinātu piemaksas </w:t>
            </w:r>
            <w:r>
              <w:rPr>
                <w:sz w:val="26"/>
                <w:szCs w:val="26"/>
              </w:rPr>
              <w:t>profesionālās ievirzes sporta</w:t>
            </w:r>
            <w:r w:rsidRPr="000C6311">
              <w:rPr>
                <w:sz w:val="26"/>
                <w:szCs w:val="26"/>
              </w:rPr>
              <w:t xml:space="preserve"> izglītības iestāžu pedagogiem, kuri līdz 2014.gada 1.septembrim ieguvuši </w:t>
            </w:r>
            <w:r w:rsidR="00D6236D" w:rsidRPr="00630340">
              <w:rPr>
                <w:bCs/>
                <w:sz w:val="28"/>
                <w:szCs w:val="28"/>
                <w:shd w:val="clear" w:color="auto" w:fill="FFFFFF"/>
              </w:rPr>
              <w:t xml:space="preserve">3., 4. vai 5. </w:t>
            </w:r>
            <w:r w:rsidRPr="000C6311">
              <w:rPr>
                <w:sz w:val="26"/>
                <w:szCs w:val="26"/>
              </w:rPr>
              <w:t xml:space="preserve">kvalitātes pakāpes, pievienots Ministru kabineta noteikumu projektam </w:t>
            </w:r>
            <w:r w:rsidRPr="000C6311">
              <w:rPr>
                <w:rStyle w:val="Strong"/>
                <w:sz w:val="26"/>
                <w:szCs w:val="26"/>
              </w:rPr>
              <w:t>„G</w:t>
            </w:r>
            <w:r w:rsidRPr="000C6311">
              <w:rPr>
                <w:sz w:val="26"/>
                <w:szCs w:val="26"/>
              </w:rPr>
              <w:t xml:space="preserve">rozījumi </w:t>
            </w:r>
            <w:r w:rsidRPr="000C6311">
              <w:rPr>
                <w:rStyle w:val="Strong"/>
                <w:sz w:val="26"/>
                <w:szCs w:val="26"/>
              </w:rPr>
              <w:t>Ministru kabineta 2009.gada 28.jūlija noteikumos Nr.836 „</w:t>
            </w:r>
            <w:r w:rsidRPr="000C6311">
              <w:rPr>
                <w:sz w:val="26"/>
                <w:szCs w:val="26"/>
              </w:rPr>
              <w:t xml:space="preserve">Pedagogu darba samaksas noteikumi””, kas </w:t>
            </w:r>
            <w:r w:rsidR="00D6236D">
              <w:rPr>
                <w:sz w:val="26"/>
                <w:szCs w:val="26"/>
              </w:rPr>
              <w:t xml:space="preserve">tika </w:t>
            </w:r>
            <w:r w:rsidRPr="000C6311">
              <w:rPr>
                <w:sz w:val="26"/>
                <w:szCs w:val="26"/>
              </w:rPr>
              <w:t>akceptēts Minist</w:t>
            </w:r>
            <w:r w:rsidR="00D6236D">
              <w:rPr>
                <w:sz w:val="26"/>
                <w:szCs w:val="26"/>
              </w:rPr>
              <w:t xml:space="preserve">ru kabinetā 2014.gada 17.jūnijā, skatot </w:t>
            </w:r>
            <w:r w:rsidR="00D6236D" w:rsidRPr="00D6236D">
              <w:rPr>
                <w:sz w:val="26"/>
                <w:szCs w:val="26"/>
              </w:rPr>
              <w:t>Ministru kabineta noteikumu projektam „Grozījumi Ministru kabineta 2009.gada 28.jūlija noteikumos Nr.836 „Pedagogu darba samaksas noteikumi””</w:t>
            </w:r>
            <w:r w:rsidR="00D6236D">
              <w:rPr>
                <w:sz w:val="26"/>
                <w:szCs w:val="26"/>
              </w:rPr>
              <w:t>.</w:t>
            </w:r>
            <w:r>
              <w:rPr>
                <w:bCs/>
                <w:sz w:val="28"/>
                <w:szCs w:val="28"/>
                <w:shd w:val="clear" w:color="auto" w:fill="FFFFFF"/>
              </w:rPr>
              <w:t xml:space="preserve">  Papildus nepieciešamais finansējums piemaksu nodrošināšanai pedagogiem, kuri ieguvuši 3., 4. un 5.kvalitātes pakāpi pēc  </w:t>
            </w:r>
            <w:r w:rsidRPr="0054178A">
              <w:rPr>
                <w:sz w:val="28"/>
                <w:szCs w:val="28"/>
              </w:rPr>
              <w:t>Eiropas Sociālā fonda projekta „Pedagogu konkurētspējas veicināšanas izglītības sistēmas optimizācijas apstākļos”</w:t>
            </w:r>
            <w:r>
              <w:rPr>
                <w:sz w:val="28"/>
                <w:szCs w:val="28"/>
              </w:rPr>
              <w:t xml:space="preserve"> projekta beigām,  </w:t>
            </w:r>
            <w:r>
              <w:rPr>
                <w:bCs/>
                <w:sz w:val="28"/>
                <w:szCs w:val="28"/>
                <w:shd w:val="clear" w:color="auto" w:fill="FFFFFF"/>
              </w:rPr>
              <w:t xml:space="preserve">2014.gadā ir 15 583 </w:t>
            </w:r>
            <w:proofErr w:type="spellStart"/>
            <w:r>
              <w:rPr>
                <w:bCs/>
                <w:sz w:val="28"/>
                <w:szCs w:val="28"/>
                <w:shd w:val="clear" w:color="auto" w:fill="FFFFFF"/>
              </w:rPr>
              <w:t>euro</w:t>
            </w:r>
            <w:proofErr w:type="spellEnd"/>
            <w:r>
              <w:rPr>
                <w:bCs/>
                <w:sz w:val="28"/>
                <w:szCs w:val="28"/>
                <w:shd w:val="clear" w:color="auto" w:fill="FFFFFF"/>
              </w:rPr>
              <w:t xml:space="preserve">, savukārt 2015.gadā – 46 749 </w:t>
            </w:r>
            <w:proofErr w:type="spellStart"/>
            <w:r>
              <w:rPr>
                <w:bCs/>
                <w:sz w:val="28"/>
                <w:szCs w:val="28"/>
                <w:shd w:val="clear" w:color="auto" w:fill="FFFFFF"/>
              </w:rPr>
              <w:t>euro</w:t>
            </w:r>
            <w:proofErr w:type="spellEnd"/>
            <w:r>
              <w:rPr>
                <w:bCs/>
                <w:sz w:val="28"/>
                <w:szCs w:val="28"/>
                <w:shd w:val="clear" w:color="auto" w:fill="FFFFFF"/>
              </w:rPr>
              <w:t xml:space="preserve">.  </w:t>
            </w:r>
          </w:p>
          <w:p w:rsidR="009B25DD" w:rsidRDefault="006C2BC0" w:rsidP="00C26D8A">
            <w:pPr>
              <w:jc w:val="both"/>
              <w:rPr>
                <w:bCs/>
                <w:sz w:val="28"/>
                <w:szCs w:val="28"/>
                <w:shd w:val="clear" w:color="auto" w:fill="FFFFFF"/>
              </w:rPr>
            </w:pPr>
            <w:r>
              <w:rPr>
                <w:bCs/>
                <w:sz w:val="28"/>
                <w:szCs w:val="28"/>
                <w:shd w:val="clear" w:color="auto" w:fill="FFFFFF"/>
              </w:rPr>
              <w:t>Atbilstoši</w:t>
            </w:r>
            <w:r>
              <w:rPr>
                <w:sz w:val="28"/>
                <w:szCs w:val="28"/>
              </w:rPr>
              <w:t xml:space="preserve"> 2014.gada 17.jūnija sēdes </w:t>
            </w:r>
            <w:proofErr w:type="spellStart"/>
            <w:r>
              <w:rPr>
                <w:sz w:val="28"/>
                <w:szCs w:val="28"/>
              </w:rPr>
              <w:t>protokollēmuma</w:t>
            </w:r>
            <w:proofErr w:type="spellEnd"/>
            <w:r>
              <w:rPr>
                <w:sz w:val="28"/>
                <w:szCs w:val="28"/>
              </w:rPr>
              <w:t xml:space="preserve"> (prot.Nr.33, </w:t>
            </w:r>
            <w:r w:rsidRPr="0054178A">
              <w:rPr>
                <w:bCs/>
                <w:sz w:val="28"/>
                <w:szCs w:val="28"/>
                <w:shd w:val="clear" w:color="auto" w:fill="FFFFFF"/>
              </w:rPr>
              <w:t>9</w:t>
            </w:r>
            <w:r>
              <w:rPr>
                <w:bCs/>
                <w:sz w:val="28"/>
                <w:szCs w:val="28"/>
                <w:shd w:val="clear" w:color="auto" w:fill="FFFFFF"/>
              </w:rPr>
              <w:t>7</w:t>
            </w:r>
            <w:r w:rsidRPr="0054178A">
              <w:rPr>
                <w:bCs/>
                <w:sz w:val="28"/>
                <w:szCs w:val="28"/>
                <w:shd w:val="clear" w:color="auto" w:fill="FFFFFF"/>
              </w:rPr>
              <w:t>.§</w:t>
            </w:r>
            <w:r>
              <w:rPr>
                <w:bCs/>
                <w:sz w:val="28"/>
                <w:szCs w:val="28"/>
                <w:shd w:val="clear" w:color="auto" w:fill="FFFFFF"/>
              </w:rPr>
              <w:t>) „Noteikumu projekts “</w:t>
            </w:r>
            <w:r w:rsidRPr="006C2BC0">
              <w:rPr>
                <w:bCs/>
                <w:sz w:val="28"/>
                <w:szCs w:val="28"/>
                <w:shd w:val="clear" w:color="auto" w:fill="FFFFFF"/>
              </w:rPr>
              <w:t>Grozījumi Ministru kabineta 2009.ga</w:t>
            </w:r>
            <w:r>
              <w:rPr>
                <w:bCs/>
                <w:sz w:val="28"/>
                <w:szCs w:val="28"/>
                <w:shd w:val="clear" w:color="auto" w:fill="FFFFFF"/>
              </w:rPr>
              <w:t>da 28.jūlija noteikumos Nr.836 “</w:t>
            </w:r>
            <w:r w:rsidRPr="006C2BC0">
              <w:rPr>
                <w:bCs/>
                <w:sz w:val="28"/>
                <w:szCs w:val="28"/>
                <w:shd w:val="clear" w:color="auto" w:fill="FFFFFF"/>
              </w:rPr>
              <w:t>Ped</w:t>
            </w:r>
            <w:r>
              <w:rPr>
                <w:bCs/>
                <w:sz w:val="28"/>
                <w:szCs w:val="28"/>
                <w:shd w:val="clear" w:color="auto" w:fill="FFFFFF"/>
              </w:rPr>
              <w:t xml:space="preserve">agogu darba samaksas noteikumi”” 2. punktam, </w:t>
            </w:r>
            <w:r w:rsidRPr="00630340">
              <w:rPr>
                <w:bCs/>
                <w:sz w:val="28"/>
                <w:szCs w:val="28"/>
                <w:shd w:val="clear" w:color="auto" w:fill="FFFFFF"/>
              </w:rPr>
              <w:t xml:space="preserve">pedagogiem, kuri </w:t>
            </w:r>
            <w:r>
              <w:rPr>
                <w:bCs/>
                <w:sz w:val="28"/>
                <w:szCs w:val="28"/>
                <w:shd w:val="clear" w:color="auto" w:fill="FFFFFF"/>
              </w:rPr>
              <w:t xml:space="preserve">ieguvuši </w:t>
            </w:r>
            <w:r w:rsidRPr="00630340">
              <w:rPr>
                <w:bCs/>
                <w:sz w:val="28"/>
                <w:szCs w:val="28"/>
                <w:shd w:val="clear" w:color="auto" w:fill="FFFFFF"/>
              </w:rPr>
              <w:t>3., 4. vai 5. kvalitātes pakāpi no 2014.gada 1.septembra piemaksas</w:t>
            </w:r>
            <w:r>
              <w:rPr>
                <w:bCs/>
                <w:sz w:val="28"/>
                <w:szCs w:val="28"/>
                <w:shd w:val="clear" w:color="auto" w:fill="FFFFFF"/>
              </w:rPr>
              <w:t xml:space="preserve"> tiks nodrošināts </w:t>
            </w:r>
            <w:r w:rsidRPr="006C2BC0">
              <w:rPr>
                <w:bCs/>
                <w:sz w:val="28"/>
                <w:szCs w:val="28"/>
                <w:shd w:val="clear" w:color="auto" w:fill="FFFFFF"/>
              </w:rPr>
              <w:t>Izglītības un zinātnes ministrijas un 62.resora “Mērķdotācijas pašvaldībām” esošā finansējuma ietvaros</w:t>
            </w:r>
            <w:r>
              <w:rPr>
                <w:bCs/>
                <w:sz w:val="28"/>
                <w:szCs w:val="28"/>
                <w:shd w:val="clear" w:color="auto" w:fill="FFFFFF"/>
              </w:rPr>
              <w:t>.</w:t>
            </w:r>
          </w:p>
          <w:p w:rsidR="00D6236D" w:rsidRDefault="009B25DD" w:rsidP="00C26D8A">
            <w:pPr>
              <w:jc w:val="both"/>
              <w:rPr>
                <w:bCs/>
                <w:sz w:val="28"/>
                <w:szCs w:val="28"/>
                <w:shd w:val="clear" w:color="auto" w:fill="FFFFFF"/>
              </w:rPr>
            </w:pPr>
            <w:r>
              <w:rPr>
                <w:bCs/>
                <w:sz w:val="28"/>
                <w:szCs w:val="28"/>
                <w:shd w:val="clear" w:color="auto" w:fill="FFFFFF"/>
              </w:rPr>
              <w:t>Savukārt atbilstoši</w:t>
            </w:r>
            <w:r>
              <w:rPr>
                <w:sz w:val="28"/>
                <w:szCs w:val="28"/>
              </w:rPr>
              <w:t xml:space="preserve"> 2014.gada 17.jūnija sēdes </w:t>
            </w:r>
            <w:proofErr w:type="spellStart"/>
            <w:r>
              <w:rPr>
                <w:sz w:val="28"/>
                <w:szCs w:val="28"/>
              </w:rPr>
              <w:t>protokollēmuma</w:t>
            </w:r>
            <w:proofErr w:type="spellEnd"/>
            <w:r>
              <w:rPr>
                <w:sz w:val="28"/>
                <w:szCs w:val="28"/>
              </w:rPr>
              <w:t xml:space="preserve"> (prot.Nr.33, </w:t>
            </w:r>
            <w:r w:rsidRPr="0054178A">
              <w:rPr>
                <w:bCs/>
                <w:sz w:val="28"/>
                <w:szCs w:val="28"/>
                <w:shd w:val="clear" w:color="auto" w:fill="FFFFFF"/>
              </w:rPr>
              <w:t>9</w:t>
            </w:r>
            <w:r>
              <w:rPr>
                <w:bCs/>
                <w:sz w:val="28"/>
                <w:szCs w:val="28"/>
                <w:shd w:val="clear" w:color="auto" w:fill="FFFFFF"/>
              </w:rPr>
              <w:t>9</w:t>
            </w:r>
            <w:r w:rsidRPr="0054178A">
              <w:rPr>
                <w:bCs/>
                <w:sz w:val="28"/>
                <w:szCs w:val="28"/>
                <w:shd w:val="clear" w:color="auto" w:fill="FFFFFF"/>
              </w:rPr>
              <w:t>.§</w:t>
            </w:r>
            <w:r>
              <w:rPr>
                <w:bCs/>
                <w:sz w:val="28"/>
                <w:szCs w:val="28"/>
                <w:shd w:val="clear" w:color="auto" w:fill="FFFFFF"/>
              </w:rPr>
              <w:t>) „R</w:t>
            </w:r>
            <w:r w:rsidRPr="00977F28">
              <w:rPr>
                <w:bCs/>
                <w:sz w:val="28"/>
                <w:szCs w:val="28"/>
                <w:shd w:val="clear" w:color="auto" w:fill="FFFFFF"/>
              </w:rPr>
              <w:t>īkojuma projekt</w:t>
            </w:r>
            <w:r>
              <w:rPr>
                <w:bCs/>
                <w:sz w:val="28"/>
                <w:szCs w:val="28"/>
                <w:shd w:val="clear" w:color="auto" w:fill="FFFFFF"/>
              </w:rPr>
              <w:t>s</w:t>
            </w:r>
            <w:r w:rsidRPr="00977F28">
              <w:rPr>
                <w:bCs/>
                <w:sz w:val="28"/>
                <w:szCs w:val="28"/>
                <w:shd w:val="clear" w:color="auto" w:fill="FFFFFF"/>
              </w:rPr>
              <w:t xml:space="preserve"> </w:t>
            </w:r>
            <w:r>
              <w:rPr>
                <w:bCs/>
                <w:sz w:val="28"/>
                <w:szCs w:val="28"/>
                <w:shd w:val="clear" w:color="auto" w:fill="FFFFFF"/>
              </w:rPr>
              <w:t>„</w:t>
            </w:r>
            <w:r w:rsidRPr="00977F28">
              <w:rPr>
                <w:bCs/>
                <w:sz w:val="28"/>
                <w:szCs w:val="28"/>
                <w:shd w:val="clear" w:color="auto" w:fill="FFFFFF"/>
              </w:rPr>
              <w:t>Par apropriācijas pārdali starp ministrijām</w:t>
            </w:r>
            <w:r w:rsidR="00EE0773">
              <w:rPr>
                <w:bCs/>
                <w:sz w:val="28"/>
                <w:szCs w:val="28"/>
                <w:shd w:val="clear" w:color="auto" w:fill="FFFFFF"/>
              </w:rPr>
              <w:t>” 3.2.</w:t>
            </w:r>
            <w:r w:rsidR="001E3178">
              <w:rPr>
                <w:bCs/>
                <w:sz w:val="28"/>
                <w:szCs w:val="28"/>
                <w:shd w:val="clear" w:color="auto" w:fill="FFFFFF"/>
              </w:rPr>
              <w:t>1</w:t>
            </w:r>
            <w:r w:rsidR="00EE0773">
              <w:rPr>
                <w:bCs/>
                <w:sz w:val="28"/>
                <w:szCs w:val="28"/>
                <w:shd w:val="clear" w:color="auto" w:fill="FFFFFF"/>
              </w:rPr>
              <w:t xml:space="preserve">. punktam, </w:t>
            </w:r>
            <w:r w:rsidR="00D6236D">
              <w:rPr>
                <w:bCs/>
                <w:sz w:val="28"/>
                <w:szCs w:val="28"/>
                <w:shd w:val="clear" w:color="auto" w:fill="FFFFFF"/>
              </w:rPr>
              <w:t xml:space="preserve">Izglītības un zinātnes ministrija iesniegusi pieprasījumu 2015.gadā bāzes izdevumu </w:t>
            </w:r>
            <w:r w:rsidR="001E3178">
              <w:rPr>
                <w:bCs/>
                <w:sz w:val="28"/>
                <w:szCs w:val="28"/>
                <w:shd w:val="clear" w:color="auto" w:fill="FFFFFF"/>
              </w:rPr>
              <w:t>precizēšanai</w:t>
            </w:r>
            <w:r w:rsidR="00D6236D">
              <w:rPr>
                <w:bCs/>
                <w:sz w:val="28"/>
                <w:szCs w:val="28"/>
                <w:shd w:val="clear" w:color="auto" w:fill="FFFFFF"/>
              </w:rPr>
              <w:t xml:space="preserve"> par </w:t>
            </w:r>
          </w:p>
          <w:p w:rsidR="00D6236D" w:rsidRDefault="00D6236D" w:rsidP="00C26D8A">
            <w:pPr>
              <w:jc w:val="both"/>
              <w:rPr>
                <w:bCs/>
                <w:sz w:val="28"/>
                <w:szCs w:val="28"/>
                <w:shd w:val="clear" w:color="auto" w:fill="FFFFFF"/>
              </w:rPr>
            </w:pPr>
            <w:r w:rsidRPr="006C2BC0">
              <w:rPr>
                <w:bCs/>
                <w:sz w:val="28"/>
                <w:szCs w:val="28"/>
                <w:shd w:val="clear" w:color="auto" w:fill="FFFFFF"/>
              </w:rPr>
              <w:t xml:space="preserve">46 749 </w:t>
            </w:r>
            <w:proofErr w:type="spellStart"/>
            <w:r>
              <w:rPr>
                <w:bCs/>
                <w:sz w:val="28"/>
                <w:szCs w:val="28"/>
                <w:shd w:val="clear" w:color="auto" w:fill="FFFFFF"/>
              </w:rPr>
              <w:t>euro</w:t>
            </w:r>
            <w:proofErr w:type="spellEnd"/>
            <w:r>
              <w:rPr>
                <w:bCs/>
                <w:sz w:val="28"/>
                <w:szCs w:val="28"/>
                <w:shd w:val="clear" w:color="auto" w:fill="FFFFFF"/>
              </w:rPr>
              <w:t>.</w:t>
            </w:r>
          </w:p>
          <w:p w:rsidR="009B25DD" w:rsidRPr="0054178A" w:rsidRDefault="009B25DD" w:rsidP="00EE0773">
            <w:pPr>
              <w:jc w:val="both"/>
              <w:rPr>
                <w:sz w:val="28"/>
                <w:szCs w:val="28"/>
              </w:rPr>
            </w:pPr>
            <w:r>
              <w:rPr>
                <w:bCs/>
                <w:sz w:val="28"/>
                <w:szCs w:val="28"/>
                <w:shd w:val="clear" w:color="auto" w:fill="FFFFFF"/>
              </w:rPr>
              <w:t>Tādējādi p</w:t>
            </w:r>
            <w:r w:rsidRPr="0054178A">
              <w:rPr>
                <w:sz w:val="28"/>
                <w:szCs w:val="28"/>
                <w:lang w:eastAsia="lv-LV"/>
              </w:rPr>
              <w:t>apildus finansējums</w:t>
            </w:r>
            <w:r w:rsidR="00EE0773">
              <w:rPr>
                <w:sz w:val="28"/>
                <w:szCs w:val="28"/>
                <w:lang w:eastAsia="lv-LV"/>
              </w:rPr>
              <w:t xml:space="preserve"> projekta īstenošanai </w:t>
            </w:r>
            <w:r w:rsidRPr="0054178A">
              <w:rPr>
                <w:sz w:val="28"/>
                <w:szCs w:val="28"/>
                <w:lang w:eastAsia="lv-LV"/>
              </w:rPr>
              <w:t>nav nepi</w:t>
            </w:r>
            <w:r w:rsidR="00EE0773">
              <w:rPr>
                <w:sz w:val="28"/>
                <w:szCs w:val="28"/>
                <w:lang w:eastAsia="lv-LV"/>
              </w:rPr>
              <w:t>eciešami.</w:t>
            </w:r>
          </w:p>
        </w:tc>
      </w:tr>
    </w:tbl>
    <w:p w:rsidR="00671281" w:rsidRDefault="00671281" w:rsidP="0054178A">
      <w:pPr>
        <w:jc w:val="both"/>
        <w:rPr>
          <w:sz w:val="26"/>
          <w:szCs w:val="26"/>
        </w:rPr>
      </w:pPr>
    </w:p>
    <w:p w:rsidR="009B25DD" w:rsidRDefault="009B25DD" w:rsidP="0054178A">
      <w:pPr>
        <w:jc w:val="both"/>
        <w:rPr>
          <w:sz w:val="26"/>
          <w:szCs w:val="26"/>
        </w:rPr>
      </w:pPr>
    </w:p>
    <w:p w:rsidR="009B25DD" w:rsidRPr="000C6311" w:rsidRDefault="009B25DD" w:rsidP="0054178A">
      <w:pPr>
        <w:jc w:val="both"/>
        <w:rPr>
          <w:sz w:val="26"/>
          <w:szCs w:val="26"/>
        </w:rPr>
      </w:pPr>
    </w:p>
    <w:tbl>
      <w:tblPr>
        <w:tblW w:w="50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974"/>
        <w:gridCol w:w="4938"/>
      </w:tblGrid>
      <w:tr w:rsidR="008B6F82" w:rsidRPr="000C6311" w:rsidTr="005624B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0C6311" w:rsidRDefault="008B6F82" w:rsidP="0054178A">
            <w:pPr>
              <w:jc w:val="center"/>
              <w:rPr>
                <w:sz w:val="26"/>
                <w:szCs w:val="26"/>
              </w:rPr>
            </w:pPr>
            <w:r w:rsidRPr="000C6311">
              <w:rPr>
                <w:b/>
                <w:bCs/>
                <w:sz w:val="26"/>
                <w:szCs w:val="26"/>
              </w:rPr>
              <w:t>VII. Tiesību akta projekta izpildes nodrošināšana un tās ietekme uz institūcijām</w:t>
            </w:r>
          </w:p>
        </w:tc>
      </w:tr>
      <w:tr w:rsidR="008B6F82" w:rsidRPr="000C6311" w:rsidTr="005624BC">
        <w:trPr>
          <w:trHeight w:val="427"/>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1.</w:t>
            </w:r>
          </w:p>
        </w:tc>
        <w:tc>
          <w:tcPr>
            <w:tcW w:w="2099"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Projekta izpildē iesaistītās institūcijas</w:t>
            </w:r>
          </w:p>
        </w:tc>
        <w:tc>
          <w:tcPr>
            <w:tcW w:w="2608" w:type="pct"/>
            <w:tcBorders>
              <w:top w:val="outset" w:sz="6" w:space="0" w:color="auto"/>
              <w:left w:val="outset" w:sz="6" w:space="0" w:color="auto"/>
              <w:bottom w:val="outset" w:sz="6" w:space="0" w:color="auto"/>
              <w:right w:val="outset" w:sz="6" w:space="0" w:color="auto"/>
            </w:tcBorders>
            <w:vAlign w:val="center"/>
          </w:tcPr>
          <w:p w:rsidR="008B6F82" w:rsidRPr="000C6311" w:rsidRDefault="003E2B06" w:rsidP="003E2B06">
            <w:pPr>
              <w:tabs>
                <w:tab w:val="left" w:pos="269"/>
              </w:tabs>
              <w:ind w:left="57" w:right="57"/>
              <w:contextualSpacing/>
              <w:jc w:val="both"/>
              <w:rPr>
                <w:sz w:val="26"/>
                <w:szCs w:val="26"/>
              </w:rPr>
            </w:pPr>
            <w:r w:rsidRPr="003E2B06">
              <w:rPr>
                <w:sz w:val="26"/>
                <w:szCs w:val="26"/>
              </w:rPr>
              <w:t xml:space="preserve">Tiesību akta projekta izpildē iesaistīta Izglītības un zinātnes ministrija, </w:t>
            </w:r>
            <w:r>
              <w:rPr>
                <w:sz w:val="26"/>
                <w:szCs w:val="26"/>
              </w:rPr>
              <w:t>sešd</w:t>
            </w:r>
            <w:r w:rsidRPr="003E2B06">
              <w:rPr>
                <w:sz w:val="26"/>
                <w:szCs w:val="26"/>
              </w:rPr>
              <w:t>esmit</w:t>
            </w:r>
            <w:r>
              <w:rPr>
                <w:sz w:val="26"/>
                <w:szCs w:val="26"/>
              </w:rPr>
              <w:t xml:space="preserve"> deviņas </w:t>
            </w:r>
            <w:r w:rsidRPr="003E2B06">
              <w:rPr>
                <w:sz w:val="26"/>
                <w:szCs w:val="26"/>
              </w:rPr>
              <w:t>profesionālās ievirzes sporta izglītības iestādes.</w:t>
            </w:r>
          </w:p>
        </w:tc>
      </w:tr>
      <w:tr w:rsidR="008B6F82" w:rsidRPr="000C6311" w:rsidTr="005624BC">
        <w:trPr>
          <w:trHeight w:val="463"/>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2.</w:t>
            </w:r>
          </w:p>
        </w:tc>
        <w:tc>
          <w:tcPr>
            <w:tcW w:w="2099"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Projekta izpildes ietekme uz pārvaldes funkcijām</w:t>
            </w:r>
            <w:r w:rsidR="00E33871" w:rsidRPr="000C6311">
              <w:rPr>
                <w:sz w:val="26"/>
                <w:szCs w:val="26"/>
              </w:rPr>
              <w:t xml:space="preserve"> un institucionālo struktūru.</w:t>
            </w:r>
          </w:p>
          <w:p w:rsidR="00C90621" w:rsidRPr="000C6311" w:rsidRDefault="00C90621" w:rsidP="0054178A">
            <w:pPr>
              <w:rPr>
                <w:sz w:val="26"/>
                <w:szCs w:val="26"/>
              </w:rPr>
            </w:pPr>
          </w:p>
          <w:p w:rsidR="00E33871" w:rsidRPr="000C6311" w:rsidRDefault="00E33871" w:rsidP="0054178A">
            <w:pPr>
              <w:rPr>
                <w:sz w:val="26"/>
                <w:szCs w:val="26"/>
              </w:rPr>
            </w:pPr>
            <w:r w:rsidRPr="000C6311">
              <w:rPr>
                <w:sz w:val="26"/>
                <w:szCs w:val="26"/>
              </w:rPr>
              <w:t xml:space="preserve">Jaunu institūciju izveide, esošo institūciju likvidācija vai reorganizācija, to ietekme uz institūcijas cilvēkresursiem. </w:t>
            </w:r>
          </w:p>
        </w:tc>
        <w:tc>
          <w:tcPr>
            <w:tcW w:w="2608" w:type="pct"/>
            <w:tcBorders>
              <w:top w:val="outset" w:sz="6" w:space="0" w:color="auto"/>
              <w:left w:val="outset" w:sz="6" w:space="0" w:color="auto"/>
              <w:bottom w:val="outset" w:sz="6" w:space="0" w:color="auto"/>
              <w:right w:val="outset" w:sz="6" w:space="0" w:color="auto"/>
            </w:tcBorders>
          </w:tcPr>
          <w:p w:rsidR="008B6F82" w:rsidRPr="000C6311" w:rsidRDefault="00C90621" w:rsidP="0054178A">
            <w:pPr>
              <w:ind w:left="57" w:right="57" w:firstLine="354"/>
              <w:jc w:val="both"/>
              <w:rPr>
                <w:sz w:val="26"/>
                <w:szCs w:val="26"/>
              </w:rPr>
            </w:pPr>
            <w:r w:rsidRPr="000C6311">
              <w:rPr>
                <w:sz w:val="26"/>
                <w:szCs w:val="26"/>
              </w:rPr>
              <w:t>P</w:t>
            </w:r>
            <w:r w:rsidR="00ED7F41" w:rsidRPr="000C6311">
              <w:rPr>
                <w:sz w:val="26"/>
                <w:szCs w:val="26"/>
              </w:rPr>
              <w:t>rojekta izpilde neietekmēs pārvaldes funkcijas vai institucionālo struktūru.</w:t>
            </w:r>
          </w:p>
        </w:tc>
      </w:tr>
      <w:tr w:rsidR="008B6F82" w:rsidRPr="000C6311" w:rsidTr="005624BC">
        <w:trPr>
          <w:trHeight w:val="476"/>
          <w:tblCellSpacing w:w="0" w:type="dxa"/>
        </w:trPr>
        <w:tc>
          <w:tcPr>
            <w:tcW w:w="293" w:type="pct"/>
            <w:tcBorders>
              <w:top w:val="outset" w:sz="6" w:space="0" w:color="auto"/>
              <w:left w:val="outset" w:sz="6" w:space="0" w:color="auto"/>
              <w:bottom w:val="outset" w:sz="6" w:space="0" w:color="auto"/>
              <w:right w:val="outset" w:sz="6" w:space="0" w:color="auto"/>
            </w:tcBorders>
          </w:tcPr>
          <w:p w:rsidR="008B6F82" w:rsidRPr="000C6311" w:rsidRDefault="005624BC" w:rsidP="0054178A">
            <w:pPr>
              <w:rPr>
                <w:sz w:val="26"/>
                <w:szCs w:val="26"/>
              </w:rPr>
            </w:pPr>
            <w:r w:rsidRPr="000C6311">
              <w:rPr>
                <w:sz w:val="26"/>
                <w:szCs w:val="26"/>
              </w:rPr>
              <w:t> 3</w:t>
            </w:r>
            <w:r w:rsidR="008B6F82" w:rsidRPr="000C6311">
              <w:rPr>
                <w:sz w:val="26"/>
                <w:szCs w:val="26"/>
              </w:rPr>
              <w:t>.</w:t>
            </w:r>
          </w:p>
        </w:tc>
        <w:tc>
          <w:tcPr>
            <w:tcW w:w="2099" w:type="pct"/>
            <w:tcBorders>
              <w:top w:val="outset" w:sz="6" w:space="0" w:color="auto"/>
              <w:left w:val="outset" w:sz="6" w:space="0" w:color="auto"/>
              <w:bottom w:val="outset" w:sz="6" w:space="0" w:color="auto"/>
              <w:right w:val="outset" w:sz="6" w:space="0" w:color="auto"/>
            </w:tcBorders>
          </w:tcPr>
          <w:p w:rsidR="008B6F82" w:rsidRPr="000C6311" w:rsidRDefault="008B6F82" w:rsidP="0054178A">
            <w:pPr>
              <w:rPr>
                <w:sz w:val="26"/>
                <w:szCs w:val="26"/>
              </w:rPr>
            </w:pPr>
            <w:r w:rsidRPr="000C6311">
              <w:rPr>
                <w:sz w:val="26"/>
                <w:szCs w:val="26"/>
              </w:rPr>
              <w:t> Cita informācija</w:t>
            </w:r>
          </w:p>
        </w:tc>
        <w:tc>
          <w:tcPr>
            <w:tcW w:w="2608" w:type="pct"/>
            <w:tcBorders>
              <w:top w:val="outset" w:sz="6" w:space="0" w:color="auto"/>
              <w:left w:val="outset" w:sz="6" w:space="0" w:color="auto"/>
              <w:bottom w:val="outset" w:sz="6" w:space="0" w:color="auto"/>
              <w:right w:val="outset" w:sz="6" w:space="0" w:color="auto"/>
            </w:tcBorders>
          </w:tcPr>
          <w:p w:rsidR="008B6F82" w:rsidRPr="000C6311" w:rsidRDefault="00391CB8" w:rsidP="0054178A">
            <w:pPr>
              <w:ind w:left="-19"/>
              <w:rPr>
                <w:sz w:val="26"/>
                <w:szCs w:val="26"/>
              </w:rPr>
            </w:pPr>
            <w:r w:rsidRPr="000C6311">
              <w:rPr>
                <w:sz w:val="26"/>
                <w:szCs w:val="26"/>
              </w:rPr>
              <w:t xml:space="preserve"> </w:t>
            </w:r>
            <w:r w:rsidR="008B6F82" w:rsidRPr="000C6311">
              <w:rPr>
                <w:sz w:val="26"/>
                <w:szCs w:val="26"/>
              </w:rPr>
              <w:t>Nav</w:t>
            </w:r>
          </w:p>
        </w:tc>
      </w:tr>
      <w:bookmarkEnd w:id="0"/>
      <w:bookmarkEnd w:id="1"/>
      <w:bookmarkEnd w:id="2"/>
      <w:bookmarkEnd w:id="3"/>
    </w:tbl>
    <w:p w:rsidR="00AE3F5F" w:rsidRPr="000C6311" w:rsidRDefault="00AE3F5F" w:rsidP="0054178A">
      <w:pPr>
        <w:jc w:val="both"/>
        <w:rPr>
          <w:color w:val="000000"/>
          <w:sz w:val="26"/>
          <w:szCs w:val="26"/>
        </w:rPr>
      </w:pPr>
    </w:p>
    <w:p w:rsidR="00C170FD" w:rsidRPr="003E2B06" w:rsidRDefault="00EE0773" w:rsidP="0054178A">
      <w:pPr>
        <w:ind w:left="284"/>
        <w:rPr>
          <w:i/>
          <w:sz w:val="28"/>
          <w:szCs w:val="28"/>
        </w:rPr>
      </w:pPr>
      <w:r>
        <w:rPr>
          <w:i/>
          <w:sz w:val="28"/>
          <w:szCs w:val="28"/>
        </w:rPr>
        <w:t>Anotācijas</w:t>
      </w:r>
      <w:r w:rsidR="003E2B06" w:rsidRPr="003E2B06">
        <w:rPr>
          <w:i/>
          <w:sz w:val="28"/>
          <w:szCs w:val="28"/>
        </w:rPr>
        <w:t xml:space="preserve"> IV,V, VI sadaļa – projekts šīs jomas neskar.</w:t>
      </w:r>
    </w:p>
    <w:p w:rsidR="00C170FD" w:rsidRDefault="00C170FD" w:rsidP="0054178A">
      <w:pPr>
        <w:ind w:left="284"/>
        <w:rPr>
          <w:sz w:val="28"/>
          <w:szCs w:val="28"/>
        </w:rPr>
      </w:pPr>
    </w:p>
    <w:p w:rsidR="003E2B06" w:rsidRPr="0054178A" w:rsidRDefault="003E2B06" w:rsidP="0054178A">
      <w:pPr>
        <w:ind w:left="284"/>
        <w:rPr>
          <w:sz w:val="28"/>
          <w:szCs w:val="28"/>
        </w:rPr>
      </w:pPr>
    </w:p>
    <w:p w:rsidR="003E2B06" w:rsidRPr="003E2B06" w:rsidRDefault="003E2B06" w:rsidP="003E2B06">
      <w:pPr>
        <w:suppressAutoHyphens w:val="0"/>
        <w:rPr>
          <w:sz w:val="28"/>
          <w:szCs w:val="28"/>
        </w:rPr>
      </w:pPr>
      <w:r w:rsidRPr="003E2B06">
        <w:rPr>
          <w:sz w:val="28"/>
          <w:szCs w:val="28"/>
        </w:rPr>
        <w:t>Izglītības un zinātnes ministre</w:t>
      </w:r>
      <w:r w:rsidRPr="003E2B06">
        <w:rPr>
          <w:sz w:val="28"/>
          <w:szCs w:val="28"/>
        </w:rPr>
        <w:tab/>
      </w:r>
      <w:r w:rsidRPr="003E2B06">
        <w:rPr>
          <w:sz w:val="28"/>
          <w:szCs w:val="28"/>
        </w:rPr>
        <w:tab/>
      </w:r>
      <w:r w:rsidRPr="003E2B06">
        <w:rPr>
          <w:sz w:val="28"/>
          <w:szCs w:val="28"/>
        </w:rPr>
        <w:tab/>
      </w:r>
      <w:r w:rsidRPr="003E2B06">
        <w:rPr>
          <w:sz w:val="28"/>
          <w:szCs w:val="28"/>
        </w:rPr>
        <w:tab/>
        <w:t xml:space="preserve">          </w:t>
      </w:r>
      <w:r>
        <w:rPr>
          <w:sz w:val="28"/>
          <w:szCs w:val="28"/>
        </w:rPr>
        <w:tab/>
      </w:r>
      <w:r w:rsidRPr="003E2B06">
        <w:rPr>
          <w:sz w:val="28"/>
          <w:szCs w:val="28"/>
        </w:rPr>
        <w:t xml:space="preserve"> </w:t>
      </w:r>
      <w:proofErr w:type="spellStart"/>
      <w:r w:rsidRPr="003E2B06">
        <w:rPr>
          <w:sz w:val="28"/>
          <w:szCs w:val="28"/>
        </w:rPr>
        <w:t>I.Druviete</w:t>
      </w:r>
      <w:proofErr w:type="spellEnd"/>
      <w:r w:rsidRPr="003E2B06">
        <w:rPr>
          <w:sz w:val="28"/>
          <w:szCs w:val="28"/>
        </w:rPr>
        <w:t xml:space="preserve">      </w:t>
      </w:r>
    </w:p>
    <w:p w:rsidR="003E2B06" w:rsidRPr="003E2B06" w:rsidRDefault="003E2B06" w:rsidP="003E2B06">
      <w:pPr>
        <w:suppressAutoHyphens w:val="0"/>
        <w:rPr>
          <w:sz w:val="28"/>
          <w:szCs w:val="28"/>
        </w:rPr>
      </w:pPr>
    </w:p>
    <w:p w:rsidR="003E2B06" w:rsidRPr="003E2B06" w:rsidRDefault="003E2B06" w:rsidP="003E2B06">
      <w:pPr>
        <w:suppressAutoHyphens w:val="0"/>
        <w:rPr>
          <w:sz w:val="28"/>
          <w:szCs w:val="28"/>
        </w:rPr>
      </w:pPr>
    </w:p>
    <w:p w:rsidR="005624BC" w:rsidRPr="0054178A" w:rsidRDefault="003E2B06" w:rsidP="003E2B06">
      <w:pPr>
        <w:suppressAutoHyphens w:val="0"/>
        <w:rPr>
          <w:rFonts w:eastAsia="Calibri"/>
          <w:sz w:val="28"/>
          <w:szCs w:val="28"/>
        </w:rPr>
      </w:pPr>
      <w:r w:rsidRPr="003E2B06">
        <w:rPr>
          <w:sz w:val="28"/>
          <w:szCs w:val="28"/>
        </w:rPr>
        <w:t xml:space="preserve">Valsts sekretāre                                                </w:t>
      </w:r>
      <w:r>
        <w:rPr>
          <w:sz w:val="28"/>
          <w:szCs w:val="28"/>
        </w:rPr>
        <w:t xml:space="preserve">                       </w:t>
      </w:r>
      <w:proofErr w:type="spellStart"/>
      <w:r w:rsidRPr="003E2B06">
        <w:rPr>
          <w:sz w:val="28"/>
          <w:szCs w:val="28"/>
        </w:rPr>
        <w:t>S.Liepiņa</w:t>
      </w:r>
      <w:proofErr w:type="spellEnd"/>
    </w:p>
    <w:p w:rsidR="00DA4C92" w:rsidRDefault="00DA4C92" w:rsidP="0054178A">
      <w:pPr>
        <w:suppressAutoHyphens w:val="0"/>
        <w:rPr>
          <w:rFonts w:eastAsia="Calibri"/>
          <w:sz w:val="28"/>
          <w:szCs w:val="28"/>
        </w:rPr>
      </w:pPr>
    </w:p>
    <w:p w:rsidR="003E2B06" w:rsidRDefault="003E2B06" w:rsidP="0054178A">
      <w:pPr>
        <w:suppressAutoHyphens w:val="0"/>
        <w:rPr>
          <w:rFonts w:eastAsia="Calibri"/>
          <w:sz w:val="28"/>
          <w:szCs w:val="28"/>
        </w:rPr>
      </w:pPr>
    </w:p>
    <w:p w:rsidR="003E2B06" w:rsidRDefault="003E2B06" w:rsidP="0054178A">
      <w:pPr>
        <w:suppressAutoHyphens w:val="0"/>
        <w:rPr>
          <w:rFonts w:eastAsia="Calibri"/>
          <w:sz w:val="28"/>
          <w:szCs w:val="28"/>
        </w:rPr>
      </w:pPr>
    </w:p>
    <w:p w:rsidR="003E2B06" w:rsidRPr="0054178A" w:rsidRDefault="003E2B06" w:rsidP="0054178A">
      <w:pPr>
        <w:suppressAutoHyphens w:val="0"/>
        <w:rPr>
          <w:rFonts w:eastAsia="Calibri"/>
          <w:sz w:val="28"/>
          <w:szCs w:val="28"/>
        </w:rPr>
      </w:pPr>
      <w:bookmarkStart w:id="4" w:name="_GoBack"/>
      <w:bookmarkEnd w:id="4"/>
    </w:p>
    <w:p w:rsidR="003E2B06" w:rsidRPr="003E2B06" w:rsidRDefault="00EE0773" w:rsidP="003E2B06">
      <w:pPr>
        <w:suppressAutoHyphens w:val="0"/>
        <w:rPr>
          <w:rFonts w:eastAsia="Calibri"/>
          <w:sz w:val="22"/>
          <w:szCs w:val="22"/>
        </w:rPr>
      </w:pPr>
      <w:bookmarkStart w:id="5" w:name="OLE_LINK11"/>
      <w:bookmarkStart w:id="6" w:name="OLE_LINK12"/>
      <w:r>
        <w:rPr>
          <w:rFonts w:eastAsia="Calibri"/>
          <w:sz w:val="22"/>
          <w:szCs w:val="22"/>
        </w:rPr>
        <w:t>2</w:t>
      </w:r>
      <w:r w:rsidR="00FF46CF">
        <w:rPr>
          <w:rFonts w:eastAsia="Calibri"/>
          <w:sz w:val="22"/>
          <w:szCs w:val="22"/>
        </w:rPr>
        <w:t>2</w:t>
      </w:r>
      <w:r w:rsidR="003E2B06" w:rsidRPr="003E2B06">
        <w:rPr>
          <w:rFonts w:eastAsia="Calibri"/>
          <w:sz w:val="22"/>
          <w:szCs w:val="22"/>
        </w:rPr>
        <w:t xml:space="preserve">.08.2014 </w:t>
      </w:r>
      <w:r w:rsidR="001E3178">
        <w:rPr>
          <w:rFonts w:eastAsia="Calibri"/>
          <w:sz w:val="22"/>
          <w:szCs w:val="22"/>
        </w:rPr>
        <w:t>09:5</w:t>
      </w:r>
      <w:r w:rsidR="003E2B06" w:rsidRPr="003E2B06">
        <w:rPr>
          <w:rFonts w:eastAsia="Calibri"/>
          <w:sz w:val="22"/>
          <w:szCs w:val="22"/>
        </w:rPr>
        <w:t>5</w:t>
      </w:r>
    </w:p>
    <w:p w:rsidR="003E2B06" w:rsidRPr="003E2B06" w:rsidRDefault="00D6236D" w:rsidP="003E2B06">
      <w:pPr>
        <w:suppressAutoHyphens w:val="0"/>
        <w:rPr>
          <w:rFonts w:eastAsia="Calibri"/>
          <w:sz w:val="22"/>
          <w:szCs w:val="22"/>
        </w:rPr>
      </w:pPr>
      <w:r>
        <w:rPr>
          <w:rFonts w:eastAsia="Calibri"/>
          <w:sz w:val="22"/>
          <w:szCs w:val="22"/>
        </w:rPr>
        <w:t>1076</w:t>
      </w:r>
    </w:p>
    <w:p w:rsidR="003E2B06" w:rsidRPr="003E2B06" w:rsidRDefault="003E2B06" w:rsidP="003E2B06">
      <w:pPr>
        <w:suppressAutoHyphens w:val="0"/>
        <w:rPr>
          <w:rFonts w:eastAsia="Calibri"/>
          <w:sz w:val="22"/>
          <w:szCs w:val="22"/>
        </w:rPr>
      </w:pPr>
      <w:proofErr w:type="spellStart"/>
      <w:r w:rsidRPr="003E2B06">
        <w:rPr>
          <w:rFonts w:eastAsia="Calibri"/>
          <w:sz w:val="22"/>
          <w:szCs w:val="22"/>
        </w:rPr>
        <w:t>A.Mičule</w:t>
      </w:r>
      <w:proofErr w:type="spellEnd"/>
    </w:p>
    <w:p w:rsidR="001D5FA5" w:rsidRPr="00671281" w:rsidRDefault="003E2B06" w:rsidP="003E2B06">
      <w:pPr>
        <w:suppressAutoHyphens w:val="0"/>
        <w:rPr>
          <w:rFonts w:eastAsia="Calibri"/>
          <w:color w:val="808080" w:themeColor="background1" w:themeShade="80"/>
          <w:sz w:val="22"/>
          <w:szCs w:val="22"/>
          <w:lang w:eastAsia="en-US"/>
        </w:rPr>
      </w:pPr>
      <w:r w:rsidRPr="003E2B06">
        <w:rPr>
          <w:rFonts w:eastAsia="Calibri"/>
          <w:sz w:val="22"/>
          <w:szCs w:val="22"/>
        </w:rPr>
        <w:t>67047928, anda.micule@izm.gov.lv</w:t>
      </w:r>
      <w:bookmarkEnd w:id="5"/>
      <w:bookmarkEnd w:id="6"/>
    </w:p>
    <w:sectPr w:rsidR="001D5FA5" w:rsidRPr="00671281" w:rsidSect="005624BC">
      <w:headerReference w:type="default" r:id="rId9"/>
      <w:footerReference w:type="default" r:id="rId10"/>
      <w:footerReference w:type="first" r:id="rId11"/>
      <w:pgSz w:w="11906" w:h="16838"/>
      <w:pgMar w:top="1135" w:right="1134"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F2" w:rsidRDefault="003870F2" w:rsidP="00DD3EC5">
      <w:r>
        <w:separator/>
      </w:r>
    </w:p>
    <w:p w:rsidR="003870F2" w:rsidRDefault="003870F2"/>
    <w:p w:rsidR="003870F2" w:rsidRDefault="003870F2"/>
  </w:endnote>
  <w:endnote w:type="continuationSeparator" w:id="0">
    <w:p w:rsidR="003870F2" w:rsidRDefault="003870F2" w:rsidP="00DD3EC5">
      <w:r>
        <w:continuationSeparator/>
      </w:r>
    </w:p>
    <w:p w:rsidR="003870F2" w:rsidRDefault="003870F2"/>
    <w:p w:rsidR="003870F2" w:rsidRDefault="00387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6E" w:rsidRDefault="00B2576E" w:rsidP="00B2576E">
    <w:pPr>
      <w:jc w:val="both"/>
    </w:pPr>
    <w:r>
      <w:t>IZMAnot_</w:t>
    </w:r>
    <w:r w:rsidR="00EE0773">
      <w:t>2</w:t>
    </w:r>
    <w:r w:rsidR="00FF46CF">
      <w:t>2</w:t>
    </w:r>
    <w:r>
      <w:t>0814_fink</w:t>
    </w:r>
    <w:r w:rsidRPr="00685380">
      <w:t xml:space="preserve">; </w:t>
    </w:r>
    <w:r>
      <w:t>Ministru kabineta noteikumu projekta „Grozījumi Ministru kabineta 2011.gada 27.decembra noteikumos Nr.1036 „Kārtība, kādā valsts finansē profesionālās ievirzes sporta izglītības programmas”” sākotnējās ietekmes novērtējuma ziņojums (anotācija)</w:t>
    </w:r>
  </w:p>
  <w:p w:rsidR="0080448D" w:rsidRPr="00B2576E" w:rsidRDefault="0080448D" w:rsidP="00B2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6E" w:rsidRDefault="00B2576E" w:rsidP="00B2576E">
    <w:pPr>
      <w:jc w:val="both"/>
    </w:pPr>
    <w:r>
      <w:t>IZMAnot_</w:t>
    </w:r>
    <w:r w:rsidR="00EE0773">
      <w:t>2</w:t>
    </w:r>
    <w:r w:rsidR="00FF46CF">
      <w:t>2</w:t>
    </w:r>
    <w:r>
      <w:t>0814_fink</w:t>
    </w:r>
    <w:r w:rsidRPr="00685380">
      <w:t xml:space="preserve">; </w:t>
    </w:r>
    <w:r>
      <w:t>Ministru kabineta noteikumu projekta „Grozījumi Ministru kabineta 2011.gada 27.decembra noteikumos Nr.1036 „Kārtība, kādā valsts finansē profesionālās ievirzes sporta izglītības programmas”” sākotnējās ietekmes novērtējuma ziņojums (anotācija)</w:t>
    </w:r>
  </w:p>
  <w:p w:rsidR="0080448D" w:rsidRPr="00B2576E" w:rsidRDefault="0080448D" w:rsidP="00B25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F2" w:rsidRDefault="003870F2" w:rsidP="00DD3EC5">
      <w:r>
        <w:separator/>
      </w:r>
    </w:p>
    <w:p w:rsidR="003870F2" w:rsidRDefault="003870F2"/>
    <w:p w:rsidR="003870F2" w:rsidRDefault="003870F2"/>
  </w:footnote>
  <w:footnote w:type="continuationSeparator" w:id="0">
    <w:p w:rsidR="003870F2" w:rsidRDefault="003870F2" w:rsidP="00DD3EC5">
      <w:r>
        <w:continuationSeparator/>
      </w:r>
    </w:p>
    <w:p w:rsidR="003870F2" w:rsidRDefault="003870F2"/>
    <w:p w:rsidR="003870F2" w:rsidRDefault="003870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6242"/>
      <w:docPartObj>
        <w:docPartGallery w:val="Page Numbers (Top of Page)"/>
        <w:docPartUnique/>
      </w:docPartObj>
    </w:sdtPr>
    <w:sdtEndPr/>
    <w:sdtContent>
      <w:p w:rsidR="0080448D" w:rsidRDefault="000A446E">
        <w:pPr>
          <w:pStyle w:val="Header"/>
          <w:jc w:val="center"/>
        </w:pPr>
        <w:r w:rsidRPr="00C71066">
          <w:rPr>
            <w:sz w:val="22"/>
            <w:szCs w:val="22"/>
          </w:rPr>
          <w:fldChar w:fldCharType="begin"/>
        </w:r>
        <w:r w:rsidR="0080448D" w:rsidRPr="00C71066">
          <w:rPr>
            <w:sz w:val="22"/>
            <w:szCs w:val="22"/>
          </w:rPr>
          <w:instrText xml:space="preserve"> PAGE   \* MERGEFORMAT </w:instrText>
        </w:r>
        <w:r w:rsidRPr="00C71066">
          <w:rPr>
            <w:sz w:val="22"/>
            <w:szCs w:val="22"/>
          </w:rPr>
          <w:fldChar w:fldCharType="separate"/>
        </w:r>
        <w:r w:rsidR="001E3178">
          <w:rPr>
            <w:noProof/>
            <w:sz w:val="22"/>
            <w:szCs w:val="22"/>
          </w:rPr>
          <w:t>6</w:t>
        </w:r>
        <w:r w:rsidRPr="00C71066">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3DD"/>
    <w:multiLevelType w:val="hybridMultilevel"/>
    <w:tmpl w:val="5840F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367DB2"/>
    <w:multiLevelType w:val="hybridMultilevel"/>
    <w:tmpl w:val="E1200734"/>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nsid w:val="45F747C3"/>
    <w:multiLevelType w:val="hybridMultilevel"/>
    <w:tmpl w:val="9AC604CC"/>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nsid w:val="5268202E"/>
    <w:multiLevelType w:val="hybridMultilevel"/>
    <w:tmpl w:val="F65256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82"/>
    <w:rsid w:val="0000029F"/>
    <w:rsid w:val="00001203"/>
    <w:rsid w:val="00004974"/>
    <w:rsid w:val="00007604"/>
    <w:rsid w:val="000178F6"/>
    <w:rsid w:val="00017D9B"/>
    <w:rsid w:val="00021A72"/>
    <w:rsid w:val="000250CC"/>
    <w:rsid w:val="00026004"/>
    <w:rsid w:val="00026B1B"/>
    <w:rsid w:val="00044018"/>
    <w:rsid w:val="000472C7"/>
    <w:rsid w:val="00056514"/>
    <w:rsid w:val="00061235"/>
    <w:rsid w:val="00061C57"/>
    <w:rsid w:val="0006276E"/>
    <w:rsid w:val="00063123"/>
    <w:rsid w:val="000645FA"/>
    <w:rsid w:val="00073789"/>
    <w:rsid w:val="00090CBA"/>
    <w:rsid w:val="00091664"/>
    <w:rsid w:val="0009245B"/>
    <w:rsid w:val="00095AC3"/>
    <w:rsid w:val="000A1C50"/>
    <w:rsid w:val="000A2E43"/>
    <w:rsid w:val="000A446E"/>
    <w:rsid w:val="000B203B"/>
    <w:rsid w:val="000B691F"/>
    <w:rsid w:val="000C2816"/>
    <w:rsid w:val="000C6311"/>
    <w:rsid w:val="000D3A02"/>
    <w:rsid w:val="000F5EC9"/>
    <w:rsid w:val="001004B3"/>
    <w:rsid w:val="00102FD0"/>
    <w:rsid w:val="001122F9"/>
    <w:rsid w:val="00113F55"/>
    <w:rsid w:val="00117AF5"/>
    <w:rsid w:val="00122C78"/>
    <w:rsid w:val="0013373B"/>
    <w:rsid w:val="00133A0B"/>
    <w:rsid w:val="001446B1"/>
    <w:rsid w:val="00147CE8"/>
    <w:rsid w:val="00170D79"/>
    <w:rsid w:val="00182248"/>
    <w:rsid w:val="00187A63"/>
    <w:rsid w:val="00196653"/>
    <w:rsid w:val="001A33BF"/>
    <w:rsid w:val="001A3EDE"/>
    <w:rsid w:val="001B1EA9"/>
    <w:rsid w:val="001B1FC5"/>
    <w:rsid w:val="001C1039"/>
    <w:rsid w:val="001C4D8C"/>
    <w:rsid w:val="001C7C4C"/>
    <w:rsid w:val="001D3E69"/>
    <w:rsid w:val="001D450D"/>
    <w:rsid w:val="001D5014"/>
    <w:rsid w:val="001D5FA5"/>
    <w:rsid w:val="001E3178"/>
    <w:rsid w:val="001E7A66"/>
    <w:rsid w:val="001F0BBC"/>
    <w:rsid w:val="001F20D6"/>
    <w:rsid w:val="001F27C1"/>
    <w:rsid w:val="001F530F"/>
    <w:rsid w:val="00200865"/>
    <w:rsid w:val="00206237"/>
    <w:rsid w:val="002273E0"/>
    <w:rsid w:val="00234644"/>
    <w:rsid w:val="00242514"/>
    <w:rsid w:val="00242720"/>
    <w:rsid w:val="00245FE7"/>
    <w:rsid w:val="00247445"/>
    <w:rsid w:val="00247A8B"/>
    <w:rsid w:val="00255A9D"/>
    <w:rsid w:val="00262F3E"/>
    <w:rsid w:val="00266DD2"/>
    <w:rsid w:val="00276567"/>
    <w:rsid w:val="00281A9E"/>
    <w:rsid w:val="0028522F"/>
    <w:rsid w:val="0028643E"/>
    <w:rsid w:val="00290C0B"/>
    <w:rsid w:val="002A29B7"/>
    <w:rsid w:val="002B6E86"/>
    <w:rsid w:val="002C144E"/>
    <w:rsid w:val="002C7391"/>
    <w:rsid w:val="002E1E98"/>
    <w:rsid w:val="002E646F"/>
    <w:rsid w:val="002E6AB3"/>
    <w:rsid w:val="002F1137"/>
    <w:rsid w:val="002F1AD0"/>
    <w:rsid w:val="002F66EE"/>
    <w:rsid w:val="00303334"/>
    <w:rsid w:val="00303A52"/>
    <w:rsid w:val="00310F21"/>
    <w:rsid w:val="00316006"/>
    <w:rsid w:val="00324CE0"/>
    <w:rsid w:val="00324F18"/>
    <w:rsid w:val="00326CEC"/>
    <w:rsid w:val="00352F2D"/>
    <w:rsid w:val="003540DF"/>
    <w:rsid w:val="00357C91"/>
    <w:rsid w:val="00364DF1"/>
    <w:rsid w:val="0036524F"/>
    <w:rsid w:val="00366758"/>
    <w:rsid w:val="0037281C"/>
    <w:rsid w:val="003801D8"/>
    <w:rsid w:val="00383C7C"/>
    <w:rsid w:val="00384DE1"/>
    <w:rsid w:val="0038679D"/>
    <w:rsid w:val="003870F2"/>
    <w:rsid w:val="00391CB8"/>
    <w:rsid w:val="0039318D"/>
    <w:rsid w:val="0039497C"/>
    <w:rsid w:val="00394996"/>
    <w:rsid w:val="003B06E5"/>
    <w:rsid w:val="003B3E0F"/>
    <w:rsid w:val="003C6028"/>
    <w:rsid w:val="003D1FE9"/>
    <w:rsid w:val="003D5B60"/>
    <w:rsid w:val="003D5CF4"/>
    <w:rsid w:val="003E2B06"/>
    <w:rsid w:val="003E7A49"/>
    <w:rsid w:val="003E7E7B"/>
    <w:rsid w:val="003F1058"/>
    <w:rsid w:val="003F5519"/>
    <w:rsid w:val="003F59B0"/>
    <w:rsid w:val="003F6B86"/>
    <w:rsid w:val="003F75DF"/>
    <w:rsid w:val="003F7B5A"/>
    <w:rsid w:val="00400C8D"/>
    <w:rsid w:val="00400F7E"/>
    <w:rsid w:val="00403919"/>
    <w:rsid w:val="004162BC"/>
    <w:rsid w:val="00426B45"/>
    <w:rsid w:val="00432119"/>
    <w:rsid w:val="00437FC3"/>
    <w:rsid w:val="00443246"/>
    <w:rsid w:val="0044528E"/>
    <w:rsid w:val="0044643F"/>
    <w:rsid w:val="0044691C"/>
    <w:rsid w:val="00461E48"/>
    <w:rsid w:val="00474CE4"/>
    <w:rsid w:val="00487499"/>
    <w:rsid w:val="0049132D"/>
    <w:rsid w:val="004928E5"/>
    <w:rsid w:val="00495E2D"/>
    <w:rsid w:val="004A019A"/>
    <w:rsid w:val="004A3875"/>
    <w:rsid w:val="004A5A0B"/>
    <w:rsid w:val="004B043D"/>
    <w:rsid w:val="004B26D0"/>
    <w:rsid w:val="004B33E7"/>
    <w:rsid w:val="004B51A8"/>
    <w:rsid w:val="004C3742"/>
    <w:rsid w:val="004D2CB5"/>
    <w:rsid w:val="004D47E6"/>
    <w:rsid w:val="004D6339"/>
    <w:rsid w:val="004D6EB2"/>
    <w:rsid w:val="004E51C0"/>
    <w:rsid w:val="004E6099"/>
    <w:rsid w:val="004F0FB2"/>
    <w:rsid w:val="004F2496"/>
    <w:rsid w:val="004F4118"/>
    <w:rsid w:val="005022AD"/>
    <w:rsid w:val="00503FA9"/>
    <w:rsid w:val="0052647C"/>
    <w:rsid w:val="00531ADA"/>
    <w:rsid w:val="00541476"/>
    <w:rsid w:val="0054178A"/>
    <w:rsid w:val="00541DCE"/>
    <w:rsid w:val="00551BC0"/>
    <w:rsid w:val="005549F4"/>
    <w:rsid w:val="00557F36"/>
    <w:rsid w:val="005624BC"/>
    <w:rsid w:val="00563D29"/>
    <w:rsid w:val="00564293"/>
    <w:rsid w:val="00567174"/>
    <w:rsid w:val="005679D3"/>
    <w:rsid w:val="00572E70"/>
    <w:rsid w:val="00573D4D"/>
    <w:rsid w:val="00575FDA"/>
    <w:rsid w:val="00576C06"/>
    <w:rsid w:val="005A145C"/>
    <w:rsid w:val="005A7097"/>
    <w:rsid w:val="005C4C91"/>
    <w:rsid w:val="005C5759"/>
    <w:rsid w:val="005C6880"/>
    <w:rsid w:val="005C6F73"/>
    <w:rsid w:val="005E0C43"/>
    <w:rsid w:val="005E741A"/>
    <w:rsid w:val="005F53DB"/>
    <w:rsid w:val="00604AAF"/>
    <w:rsid w:val="00607273"/>
    <w:rsid w:val="00610A39"/>
    <w:rsid w:val="006157A0"/>
    <w:rsid w:val="00616CD8"/>
    <w:rsid w:val="0062302C"/>
    <w:rsid w:val="00623B6D"/>
    <w:rsid w:val="00623CB0"/>
    <w:rsid w:val="00632A40"/>
    <w:rsid w:val="00635605"/>
    <w:rsid w:val="006503E8"/>
    <w:rsid w:val="00651B00"/>
    <w:rsid w:val="0065612E"/>
    <w:rsid w:val="00657FC0"/>
    <w:rsid w:val="00671281"/>
    <w:rsid w:val="00672A3D"/>
    <w:rsid w:val="006808B4"/>
    <w:rsid w:val="00687BCF"/>
    <w:rsid w:val="006A1C4E"/>
    <w:rsid w:val="006A2554"/>
    <w:rsid w:val="006B3F7B"/>
    <w:rsid w:val="006B7519"/>
    <w:rsid w:val="006C2BC0"/>
    <w:rsid w:val="006E6EE7"/>
    <w:rsid w:val="006F148C"/>
    <w:rsid w:val="006F34C1"/>
    <w:rsid w:val="00707B68"/>
    <w:rsid w:val="00713914"/>
    <w:rsid w:val="00726A6D"/>
    <w:rsid w:val="00730EA3"/>
    <w:rsid w:val="00735DF0"/>
    <w:rsid w:val="0074015E"/>
    <w:rsid w:val="00744A55"/>
    <w:rsid w:val="0075026E"/>
    <w:rsid w:val="00753EEC"/>
    <w:rsid w:val="00756D6C"/>
    <w:rsid w:val="00763334"/>
    <w:rsid w:val="00772300"/>
    <w:rsid w:val="0077430B"/>
    <w:rsid w:val="00774DC8"/>
    <w:rsid w:val="007751CE"/>
    <w:rsid w:val="007771EC"/>
    <w:rsid w:val="00777B67"/>
    <w:rsid w:val="00783147"/>
    <w:rsid w:val="0079053C"/>
    <w:rsid w:val="007948C0"/>
    <w:rsid w:val="007A0F2A"/>
    <w:rsid w:val="007A1943"/>
    <w:rsid w:val="007A7D5A"/>
    <w:rsid w:val="007B2BD6"/>
    <w:rsid w:val="007C0B20"/>
    <w:rsid w:val="007C2FC4"/>
    <w:rsid w:val="007C6340"/>
    <w:rsid w:val="007C64AF"/>
    <w:rsid w:val="007D03C8"/>
    <w:rsid w:val="007D3012"/>
    <w:rsid w:val="007D4545"/>
    <w:rsid w:val="007D5610"/>
    <w:rsid w:val="007E0021"/>
    <w:rsid w:val="007E79DC"/>
    <w:rsid w:val="007F42D9"/>
    <w:rsid w:val="007F62C5"/>
    <w:rsid w:val="008025F6"/>
    <w:rsid w:val="0080448D"/>
    <w:rsid w:val="00805808"/>
    <w:rsid w:val="00817F2C"/>
    <w:rsid w:val="008207E7"/>
    <w:rsid w:val="0082141C"/>
    <w:rsid w:val="00826BFB"/>
    <w:rsid w:val="00826C4B"/>
    <w:rsid w:val="008276FB"/>
    <w:rsid w:val="00834875"/>
    <w:rsid w:val="00842BED"/>
    <w:rsid w:val="00852F15"/>
    <w:rsid w:val="0085511C"/>
    <w:rsid w:val="00862EC6"/>
    <w:rsid w:val="0086522E"/>
    <w:rsid w:val="00866752"/>
    <w:rsid w:val="00871F68"/>
    <w:rsid w:val="00873F4E"/>
    <w:rsid w:val="00882A4A"/>
    <w:rsid w:val="00883B99"/>
    <w:rsid w:val="00895A82"/>
    <w:rsid w:val="008A4E68"/>
    <w:rsid w:val="008B2833"/>
    <w:rsid w:val="008B3FF2"/>
    <w:rsid w:val="008B4E3B"/>
    <w:rsid w:val="008B6534"/>
    <w:rsid w:val="008B6BB4"/>
    <w:rsid w:val="008B6F82"/>
    <w:rsid w:val="008C50BE"/>
    <w:rsid w:val="008C5992"/>
    <w:rsid w:val="008C7D3F"/>
    <w:rsid w:val="008D3C74"/>
    <w:rsid w:val="008D4760"/>
    <w:rsid w:val="008D7DF9"/>
    <w:rsid w:val="008E0D6B"/>
    <w:rsid w:val="008E26C5"/>
    <w:rsid w:val="008E2777"/>
    <w:rsid w:val="008E7EBC"/>
    <w:rsid w:val="008F0863"/>
    <w:rsid w:val="00904B37"/>
    <w:rsid w:val="0091394B"/>
    <w:rsid w:val="00913C3E"/>
    <w:rsid w:val="00915DF0"/>
    <w:rsid w:val="00916745"/>
    <w:rsid w:val="00917D02"/>
    <w:rsid w:val="0092311F"/>
    <w:rsid w:val="00927C72"/>
    <w:rsid w:val="00931FCA"/>
    <w:rsid w:val="00944C24"/>
    <w:rsid w:val="00950082"/>
    <w:rsid w:val="009503E1"/>
    <w:rsid w:val="009506DD"/>
    <w:rsid w:val="00956AD2"/>
    <w:rsid w:val="009600D1"/>
    <w:rsid w:val="0096284B"/>
    <w:rsid w:val="00964BF5"/>
    <w:rsid w:val="00966BD4"/>
    <w:rsid w:val="00971A5F"/>
    <w:rsid w:val="00974F5E"/>
    <w:rsid w:val="00976947"/>
    <w:rsid w:val="0098030A"/>
    <w:rsid w:val="00982371"/>
    <w:rsid w:val="00990648"/>
    <w:rsid w:val="00992CF9"/>
    <w:rsid w:val="00996112"/>
    <w:rsid w:val="009A08BA"/>
    <w:rsid w:val="009A5FF7"/>
    <w:rsid w:val="009B25DD"/>
    <w:rsid w:val="009B5489"/>
    <w:rsid w:val="009B66E1"/>
    <w:rsid w:val="009C4F0E"/>
    <w:rsid w:val="009C5548"/>
    <w:rsid w:val="009D426B"/>
    <w:rsid w:val="009D544F"/>
    <w:rsid w:val="009E3A1C"/>
    <w:rsid w:val="009E4F83"/>
    <w:rsid w:val="009F039A"/>
    <w:rsid w:val="009F2AD4"/>
    <w:rsid w:val="009F41C8"/>
    <w:rsid w:val="009F54E7"/>
    <w:rsid w:val="00A2559D"/>
    <w:rsid w:val="00A256D7"/>
    <w:rsid w:val="00A25F3A"/>
    <w:rsid w:val="00A26999"/>
    <w:rsid w:val="00A34A10"/>
    <w:rsid w:val="00A37EA1"/>
    <w:rsid w:val="00A44425"/>
    <w:rsid w:val="00A45125"/>
    <w:rsid w:val="00A50947"/>
    <w:rsid w:val="00A83526"/>
    <w:rsid w:val="00A95E3C"/>
    <w:rsid w:val="00AA0ECC"/>
    <w:rsid w:val="00AA122D"/>
    <w:rsid w:val="00AA2E64"/>
    <w:rsid w:val="00AC1635"/>
    <w:rsid w:val="00AC178E"/>
    <w:rsid w:val="00AD4A94"/>
    <w:rsid w:val="00AD6995"/>
    <w:rsid w:val="00AD6F1E"/>
    <w:rsid w:val="00AE392B"/>
    <w:rsid w:val="00AE3F5F"/>
    <w:rsid w:val="00AF718B"/>
    <w:rsid w:val="00B02CA7"/>
    <w:rsid w:val="00B04FC0"/>
    <w:rsid w:val="00B109BD"/>
    <w:rsid w:val="00B13622"/>
    <w:rsid w:val="00B15455"/>
    <w:rsid w:val="00B227A7"/>
    <w:rsid w:val="00B2576E"/>
    <w:rsid w:val="00B3124F"/>
    <w:rsid w:val="00B31419"/>
    <w:rsid w:val="00B33890"/>
    <w:rsid w:val="00B3512D"/>
    <w:rsid w:val="00B41D76"/>
    <w:rsid w:val="00B52793"/>
    <w:rsid w:val="00B53253"/>
    <w:rsid w:val="00B64046"/>
    <w:rsid w:val="00B67B36"/>
    <w:rsid w:val="00B74FAB"/>
    <w:rsid w:val="00B81BB1"/>
    <w:rsid w:val="00B953DE"/>
    <w:rsid w:val="00B96D68"/>
    <w:rsid w:val="00BA1E31"/>
    <w:rsid w:val="00BA21B8"/>
    <w:rsid w:val="00BC0850"/>
    <w:rsid w:val="00BC4F52"/>
    <w:rsid w:val="00BC58E7"/>
    <w:rsid w:val="00BC6051"/>
    <w:rsid w:val="00BD2F06"/>
    <w:rsid w:val="00BE45BA"/>
    <w:rsid w:val="00BF3B32"/>
    <w:rsid w:val="00BF760D"/>
    <w:rsid w:val="00C06E0A"/>
    <w:rsid w:val="00C141CC"/>
    <w:rsid w:val="00C170FD"/>
    <w:rsid w:val="00C20265"/>
    <w:rsid w:val="00C4275C"/>
    <w:rsid w:val="00C50BCE"/>
    <w:rsid w:val="00C53D6E"/>
    <w:rsid w:val="00C71066"/>
    <w:rsid w:val="00C72DD8"/>
    <w:rsid w:val="00C74834"/>
    <w:rsid w:val="00C8266F"/>
    <w:rsid w:val="00C82F76"/>
    <w:rsid w:val="00C90621"/>
    <w:rsid w:val="00CA5139"/>
    <w:rsid w:val="00CA5DDA"/>
    <w:rsid w:val="00CB6356"/>
    <w:rsid w:val="00CC554F"/>
    <w:rsid w:val="00CC6EFC"/>
    <w:rsid w:val="00CC7DC4"/>
    <w:rsid w:val="00CD0335"/>
    <w:rsid w:val="00CD54B4"/>
    <w:rsid w:val="00CD7DF4"/>
    <w:rsid w:val="00CE43D2"/>
    <w:rsid w:val="00CE589D"/>
    <w:rsid w:val="00CF1A6B"/>
    <w:rsid w:val="00CF4C01"/>
    <w:rsid w:val="00D01615"/>
    <w:rsid w:val="00D039BF"/>
    <w:rsid w:val="00D10581"/>
    <w:rsid w:val="00D11823"/>
    <w:rsid w:val="00D20088"/>
    <w:rsid w:val="00D20840"/>
    <w:rsid w:val="00D27DDC"/>
    <w:rsid w:val="00D404A8"/>
    <w:rsid w:val="00D44F2E"/>
    <w:rsid w:val="00D4676E"/>
    <w:rsid w:val="00D5396B"/>
    <w:rsid w:val="00D6236D"/>
    <w:rsid w:val="00D7012F"/>
    <w:rsid w:val="00D71D9B"/>
    <w:rsid w:val="00D73047"/>
    <w:rsid w:val="00D82E5A"/>
    <w:rsid w:val="00D86CEA"/>
    <w:rsid w:val="00D93492"/>
    <w:rsid w:val="00DA4C92"/>
    <w:rsid w:val="00DA5504"/>
    <w:rsid w:val="00DB17E1"/>
    <w:rsid w:val="00DB2FFD"/>
    <w:rsid w:val="00DC2411"/>
    <w:rsid w:val="00DD3A09"/>
    <w:rsid w:val="00DD3EC5"/>
    <w:rsid w:val="00DF032D"/>
    <w:rsid w:val="00E016D0"/>
    <w:rsid w:val="00E07A82"/>
    <w:rsid w:val="00E116AE"/>
    <w:rsid w:val="00E138A3"/>
    <w:rsid w:val="00E16418"/>
    <w:rsid w:val="00E274BB"/>
    <w:rsid w:val="00E32871"/>
    <w:rsid w:val="00E33871"/>
    <w:rsid w:val="00E37327"/>
    <w:rsid w:val="00E51EE5"/>
    <w:rsid w:val="00E63B2D"/>
    <w:rsid w:val="00E64011"/>
    <w:rsid w:val="00E67E4E"/>
    <w:rsid w:val="00E70EC2"/>
    <w:rsid w:val="00E744DC"/>
    <w:rsid w:val="00E83005"/>
    <w:rsid w:val="00E86299"/>
    <w:rsid w:val="00E961A0"/>
    <w:rsid w:val="00EA3042"/>
    <w:rsid w:val="00EA43B6"/>
    <w:rsid w:val="00EA47AA"/>
    <w:rsid w:val="00EA5EA9"/>
    <w:rsid w:val="00EA7262"/>
    <w:rsid w:val="00EB5D76"/>
    <w:rsid w:val="00EC6ED4"/>
    <w:rsid w:val="00ED46A2"/>
    <w:rsid w:val="00ED52AB"/>
    <w:rsid w:val="00ED7F41"/>
    <w:rsid w:val="00EE0773"/>
    <w:rsid w:val="00EF2EB1"/>
    <w:rsid w:val="00F1007D"/>
    <w:rsid w:val="00F20CA6"/>
    <w:rsid w:val="00F25C11"/>
    <w:rsid w:val="00F43AC7"/>
    <w:rsid w:val="00F44623"/>
    <w:rsid w:val="00F57387"/>
    <w:rsid w:val="00F63406"/>
    <w:rsid w:val="00F805F2"/>
    <w:rsid w:val="00F83B35"/>
    <w:rsid w:val="00F90915"/>
    <w:rsid w:val="00F9200D"/>
    <w:rsid w:val="00F92247"/>
    <w:rsid w:val="00F95A3F"/>
    <w:rsid w:val="00FA4D92"/>
    <w:rsid w:val="00FB1FBE"/>
    <w:rsid w:val="00FB2E1B"/>
    <w:rsid w:val="00FB429A"/>
    <w:rsid w:val="00FC1A64"/>
    <w:rsid w:val="00FC4877"/>
    <w:rsid w:val="00FC6D3F"/>
    <w:rsid w:val="00FD2B01"/>
    <w:rsid w:val="00FD50AA"/>
    <w:rsid w:val="00FE017B"/>
    <w:rsid w:val="00FE177D"/>
    <w:rsid w:val="00FE2F33"/>
    <w:rsid w:val="00FE6358"/>
    <w:rsid w:val="00FF0696"/>
    <w:rsid w:val="00FF3AFD"/>
    <w:rsid w:val="00FF4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0D6EA-3640-4998-8579-67AEE599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unhideWhenUsed/>
    <w:rsid w:val="00651B00"/>
    <w:rPr>
      <w:sz w:val="20"/>
      <w:szCs w:val="20"/>
    </w:rPr>
  </w:style>
  <w:style w:type="character" w:customStyle="1" w:styleId="CommentTextChar">
    <w:name w:val="Comment Text Char"/>
    <w:basedOn w:val="DefaultParagraphFont"/>
    <w:link w:val="CommentText"/>
    <w:uiPriority w:val="99"/>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 w:type="paragraph" w:styleId="ListParagraph">
    <w:name w:val="List Paragraph"/>
    <w:basedOn w:val="Normal"/>
    <w:qFormat/>
    <w:rsid w:val="00B74FAB"/>
    <w:pPr>
      <w:ind w:left="720"/>
      <w:contextualSpacing/>
    </w:pPr>
  </w:style>
  <w:style w:type="character" w:styleId="Strong">
    <w:name w:val="Strong"/>
    <w:basedOn w:val="DefaultParagraphFont"/>
    <w:uiPriority w:val="22"/>
    <w:qFormat/>
    <w:rsid w:val="00C8266F"/>
    <w:rPr>
      <w:b/>
      <w:bCs/>
    </w:rPr>
  </w:style>
  <w:style w:type="paragraph" w:customStyle="1" w:styleId="tv213">
    <w:name w:val="tv213"/>
    <w:basedOn w:val="Normal"/>
    <w:rsid w:val="009C4F0E"/>
    <w:pPr>
      <w:suppressAutoHyphens w:val="0"/>
      <w:spacing w:before="100" w:beforeAutospacing="1" w:after="100" w:afterAutospacing="1"/>
    </w:pPr>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355896">
      <w:bodyDiv w:val="1"/>
      <w:marLeft w:val="0"/>
      <w:marRight w:val="0"/>
      <w:marTop w:val="0"/>
      <w:marBottom w:val="0"/>
      <w:divBdr>
        <w:top w:val="none" w:sz="0" w:space="0" w:color="auto"/>
        <w:left w:val="none" w:sz="0" w:space="0" w:color="auto"/>
        <w:bottom w:val="none" w:sz="0" w:space="0" w:color="auto"/>
        <w:right w:val="none" w:sz="0" w:space="0" w:color="auto"/>
      </w:divBdr>
    </w:div>
    <w:div w:id="14312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BDE4F-25C7-48A9-A05C-81F988CB2660}">
  <ds:schemaRefs>
    <ds:schemaRef ds:uri="http://schemas.openxmlformats.org/officeDocument/2006/bibliography"/>
  </ds:schemaRefs>
</ds:datastoreItem>
</file>

<file path=customXml/itemProps2.xml><?xml version="1.0" encoding="utf-8"?>
<ds:datastoreItem xmlns:ds="http://schemas.openxmlformats.org/officeDocument/2006/customXml" ds:itemID="{904F2626-DFD2-4089-9D76-6380FD3C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5657</Words>
  <Characters>3225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2011.gada 27.decembra noteikumos Nr.1036 „Kārtība, kādā valsts finansē profesionālās ievirzes sporta izglītības programmas” sākotnējās ietekmes novērtējuma ziņojums (anotācija)</vt:lpstr>
      <vt:lpstr/>
    </vt:vector>
  </TitlesOfParts>
  <Company>Birojs</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27.decembra noteikumos Nr.1036 „Kārtība, kādā valsts finansē profesionālās ievirzes sporta izglītības programmas” sākotnējās ietekmes novērtējuma ziņojums (anotācija)</dc:title>
  <dc:subject>sākotnējās ietekmes novērtējuma ziņojums (anotācija)</dc:subject>
  <dc:creator>A.Mičule</dc:creator>
  <dc:description>anda.micule@izm.gov.lv 
67047928
Ināra Karpova; Tālr.67228985; fakss 67227405         
Inara.karpova@lnkc.gov.lv</dc:description>
  <cp:lastModifiedBy>Anda Mičule</cp:lastModifiedBy>
  <cp:revision>4</cp:revision>
  <cp:lastPrinted>2014-08-13T16:28:00Z</cp:lastPrinted>
  <dcterms:created xsi:type="dcterms:W3CDTF">2014-08-22T05:22:00Z</dcterms:created>
  <dcterms:modified xsi:type="dcterms:W3CDTF">2014-08-22T06:55:00Z</dcterms:modified>
</cp:coreProperties>
</file>