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9B2F21" w:rsidRDefault="00136D87" w:rsidP="005D6B8A">
      <w:pPr>
        <w:jc w:val="center"/>
        <w:rPr>
          <w:b/>
          <w:sz w:val="28"/>
          <w:szCs w:val="28"/>
        </w:rPr>
      </w:pPr>
      <w:bookmarkStart w:id="0" w:name="OLE_LINK3"/>
      <w:bookmarkStart w:id="1" w:name="OLE_LINK4"/>
      <w:bookmarkStart w:id="2" w:name="OLE_LINK1"/>
      <w:r>
        <w:rPr>
          <w:b/>
          <w:sz w:val="28"/>
          <w:szCs w:val="28"/>
        </w:rPr>
        <w:t>M</w:t>
      </w:r>
      <w:r w:rsidR="005D6B8A" w:rsidRPr="009B2F21">
        <w:rPr>
          <w:b/>
          <w:sz w:val="28"/>
          <w:szCs w:val="28"/>
        </w:rPr>
        <w:t>inistru kabineta rīkojuma projekta</w:t>
      </w:r>
    </w:p>
    <w:p w:rsidR="00585B7B" w:rsidRPr="009B2F21" w:rsidRDefault="00DC03E0" w:rsidP="00DC03E0">
      <w:pPr>
        <w:pStyle w:val="BodyText"/>
        <w:jc w:val="center"/>
        <w:rPr>
          <w:b/>
          <w:sz w:val="28"/>
          <w:szCs w:val="28"/>
        </w:rPr>
      </w:pPr>
      <w:r>
        <w:rPr>
          <w:b/>
          <w:sz w:val="28"/>
          <w:szCs w:val="28"/>
        </w:rPr>
        <w:t>“</w:t>
      </w:r>
      <w:r w:rsidR="00687B8B" w:rsidRPr="00687B8B">
        <w:rPr>
          <w:b/>
          <w:sz w:val="28"/>
          <w:szCs w:val="28"/>
        </w:rPr>
        <w:t>Par Murjāņu sporta ģimnāzijas esošo būvju rekonstrukcijas un multifunkcionālas slēgtas sporta manēžas būvniecības projekta īstenošanai 2014.gadā paredzēto valsts budžeta līdzekļu pārdali</w:t>
      </w:r>
      <w:r w:rsidR="00020664">
        <w:rPr>
          <w:b/>
          <w:sz w:val="28"/>
          <w:szCs w:val="28"/>
        </w:rPr>
        <w:t xml:space="preserve">” </w:t>
      </w:r>
      <w:r w:rsidR="00585B7B" w:rsidRPr="009B2F21">
        <w:rPr>
          <w:b/>
          <w:sz w:val="28"/>
          <w:szCs w:val="28"/>
        </w:rPr>
        <w:t xml:space="preserve">sākotnējās ietekmes novērtējuma </w:t>
      </w:r>
      <w:smartTag w:uri="schemas-tilde-lv/tildestengine" w:element="veidnes">
        <w:smartTagPr>
          <w:attr w:name="text" w:val="ziņojums"/>
          <w:attr w:name="baseform" w:val="ziņojums"/>
          <w:attr w:name="id" w:val="-1"/>
        </w:smartTagPr>
        <w:r w:rsidR="00585B7B" w:rsidRPr="009B2F21">
          <w:rPr>
            <w:b/>
            <w:sz w:val="28"/>
            <w:szCs w:val="28"/>
          </w:rPr>
          <w:t>ziņojums</w:t>
        </w:r>
      </w:smartTag>
      <w:r w:rsidR="00585B7B" w:rsidRPr="009B2F21">
        <w:rPr>
          <w:b/>
          <w:sz w:val="28"/>
          <w:szCs w:val="28"/>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541"/>
        <w:gridCol w:w="6658"/>
      </w:tblGrid>
      <w:tr w:rsidR="00585B7B" w:rsidRPr="009F1E12" w:rsidTr="00662C4D">
        <w:tc>
          <w:tcPr>
            <w:tcW w:w="10197" w:type="dxa"/>
            <w:gridSpan w:val="3"/>
            <w:vAlign w:val="center"/>
          </w:tcPr>
          <w:bookmarkEnd w:id="0"/>
          <w:bookmarkEnd w:id="1"/>
          <w:bookmarkEnd w:id="2"/>
          <w:p w:rsidR="00585B7B" w:rsidRPr="009F1E12" w:rsidRDefault="00585B7B" w:rsidP="00194A0F">
            <w:pPr>
              <w:pStyle w:val="naisnod"/>
              <w:spacing w:before="0" w:after="0"/>
              <w:rPr>
                <w:sz w:val="25"/>
                <w:szCs w:val="25"/>
              </w:rPr>
            </w:pPr>
            <w:r w:rsidRPr="009F1E12">
              <w:rPr>
                <w:sz w:val="25"/>
                <w:szCs w:val="25"/>
              </w:rPr>
              <w:t>I. Tiesību akta projekta izstrādes nepieciešamība</w:t>
            </w:r>
          </w:p>
        </w:tc>
      </w:tr>
      <w:tr w:rsidR="00585B7B" w:rsidRPr="009F1E12" w:rsidTr="00464CD0">
        <w:trPr>
          <w:trHeight w:val="630"/>
        </w:trPr>
        <w:tc>
          <w:tcPr>
            <w:tcW w:w="998" w:type="dxa"/>
          </w:tcPr>
          <w:p w:rsidR="00585B7B" w:rsidRPr="009F1E12" w:rsidRDefault="00585B7B" w:rsidP="00BD696A">
            <w:pPr>
              <w:pStyle w:val="naiskr"/>
              <w:spacing w:before="0" w:after="0"/>
              <w:jc w:val="center"/>
              <w:rPr>
                <w:sz w:val="25"/>
                <w:szCs w:val="25"/>
              </w:rPr>
            </w:pPr>
            <w:r w:rsidRPr="009F1E12">
              <w:rPr>
                <w:sz w:val="25"/>
                <w:szCs w:val="25"/>
              </w:rPr>
              <w:t>1.</w:t>
            </w:r>
          </w:p>
        </w:tc>
        <w:tc>
          <w:tcPr>
            <w:tcW w:w="2541" w:type="dxa"/>
          </w:tcPr>
          <w:p w:rsidR="00585B7B" w:rsidRPr="009F1E12" w:rsidRDefault="00585B7B" w:rsidP="00916055">
            <w:pPr>
              <w:pStyle w:val="naiskr"/>
              <w:spacing w:before="0" w:after="0"/>
              <w:ind w:left="141" w:hanging="10"/>
              <w:rPr>
                <w:sz w:val="25"/>
                <w:szCs w:val="25"/>
              </w:rPr>
            </w:pPr>
            <w:r w:rsidRPr="009F1E12">
              <w:rPr>
                <w:sz w:val="25"/>
                <w:szCs w:val="25"/>
              </w:rPr>
              <w:t>Pamatojums</w:t>
            </w:r>
          </w:p>
        </w:tc>
        <w:tc>
          <w:tcPr>
            <w:tcW w:w="6658" w:type="dxa"/>
          </w:tcPr>
          <w:p w:rsidR="00C048B3" w:rsidRPr="00C048B3" w:rsidRDefault="00C048B3" w:rsidP="00C048B3">
            <w:pPr>
              <w:pStyle w:val="ListParagraph"/>
              <w:numPr>
                <w:ilvl w:val="0"/>
                <w:numId w:val="9"/>
              </w:numPr>
              <w:ind w:right="127"/>
              <w:jc w:val="both"/>
              <w:rPr>
                <w:sz w:val="25"/>
                <w:szCs w:val="25"/>
              </w:rPr>
            </w:pPr>
            <w:r w:rsidRPr="00C048B3">
              <w:rPr>
                <w:sz w:val="25"/>
                <w:szCs w:val="25"/>
              </w:rPr>
              <w:t xml:space="preserve">Latvijas Nacionālās sporta padomes 2014.gada 24.jūlija sēdē Izglītības un zinātnes ministrijai (turpmāk </w:t>
            </w:r>
            <w:r w:rsidR="007A68A0">
              <w:rPr>
                <w:sz w:val="25"/>
                <w:szCs w:val="25"/>
              </w:rPr>
              <w:t>–</w:t>
            </w:r>
            <w:r w:rsidRPr="00C048B3">
              <w:rPr>
                <w:sz w:val="25"/>
                <w:szCs w:val="25"/>
              </w:rPr>
              <w:t xml:space="preserve"> IZM) dotais uzdevums (prot. Nr.3 </w:t>
            </w:r>
            <w:r w:rsidR="006316C2">
              <w:rPr>
                <w:sz w:val="25"/>
                <w:szCs w:val="25"/>
              </w:rPr>
              <w:t>3</w:t>
            </w:r>
            <w:r w:rsidRPr="00C048B3">
              <w:rPr>
                <w:sz w:val="25"/>
                <w:szCs w:val="25"/>
              </w:rPr>
              <w:t>.§., 3.3. un 3.4.2.apakšpunkts).</w:t>
            </w:r>
          </w:p>
          <w:p w:rsidR="00466E6C" w:rsidRPr="000423AB" w:rsidRDefault="00C048B3" w:rsidP="00A75FB6">
            <w:pPr>
              <w:pStyle w:val="ListParagraph"/>
              <w:numPr>
                <w:ilvl w:val="0"/>
                <w:numId w:val="9"/>
              </w:numPr>
              <w:ind w:right="127"/>
              <w:jc w:val="both"/>
              <w:rPr>
                <w:sz w:val="25"/>
                <w:szCs w:val="25"/>
              </w:rPr>
            </w:pPr>
            <w:r>
              <w:rPr>
                <w:sz w:val="25"/>
                <w:szCs w:val="25"/>
              </w:rPr>
              <w:t>Likuma “</w:t>
            </w:r>
            <w:r w:rsidRPr="00C048B3">
              <w:rPr>
                <w:sz w:val="25"/>
                <w:szCs w:val="25"/>
              </w:rPr>
              <w:t>Par valsts budžetu 201</w:t>
            </w:r>
            <w:r w:rsidR="00A75FB6">
              <w:rPr>
                <w:sz w:val="25"/>
                <w:szCs w:val="25"/>
              </w:rPr>
              <w:t>4</w:t>
            </w:r>
            <w:r w:rsidRPr="00C048B3">
              <w:rPr>
                <w:sz w:val="25"/>
                <w:szCs w:val="25"/>
              </w:rPr>
              <w:t>.gadam” 33.panta 3.punkts.</w:t>
            </w:r>
            <w:r w:rsidR="005562DC" w:rsidRPr="000423AB">
              <w:rPr>
                <w:sz w:val="25"/>
                <w:szCs w:val="25"/>
              </w:rPr>
              <w:t xml:space="preserve"> </w:t>
            </w:r>
          </w:p>
        </w:tc>
      </w:tr>
      <w:tr w:rsidR="00585B7B" w:rsidRPr="009F1E12" w:rsidTr="00464CD0">
        <w:trPr>
          <w:trHeight w:val="562"/>
        </w:trPr>
        <w:tc>
          <w:tcPr>
            <w:tcW w:w="998" w:type="dxa"/>
          </w:tcPr>
          <w:p w:rsidR="00585B7B" w:rsidRPr="009F1E12" w:rsidRDefault="00585B7B" w:rsidP="00BD696A">
            <w:pPr>
              <w:pStyle w:val="naiskr"/>
              <w:spacing w:before="0" w:after="0"/>
              <w:jc w:val="center"/>
              <w:rPr>
                <w:sz w:val="25"/>
                <w:szCs w:val="25"/>
              </w:rPr>
            </w:pPr>
            <w:r w:rsidRPr="009F1E12">
              <w:rPr>
                <w:sz w:val="25"/>
                <w:szCs w:val="25"/>
              </w:rPr>
              <w:t>2.</w:t>
            </w:r>
          </w:p>
        </w:tc>
        <w:tc>
          <w:tcPr>
            <w:tcW w:w="2541" w:type="dxa"/>
          </w:tcPr>
          <w:p w:rsidR="00585B7B" w:rsidRPr="009F1E12" w:rsidRDefault="00005A9D" w:rsidP="00916055">
            <w:pPr>
              <w:pStyle w:val="naiskr"/>
              <w:tabs>
                <w:tab w:val="left" w:pos="170"/>
              </w:tabs>
              <w:spacing w:before="0" w:after="0"/>
              <w:ind w:left="141"/>
              <w:rPr>
                <w:sz w:val="25"/>
                <w:szCs w:val="25"/>
              </w:rPr>
            </w:pPr>
            <w:r w:rsidRPr="009F1E12">
              <w:rPr>
                <w:sz w:val="25"/>
                <w:szCs w:val="25"/>
              </w:rPr>
              <w:t>Pašreizējā situācija un problēmas, kuru risināšanai tiesību akta projekts izstrādāts, tiesiskā regulējuma mērķis un būtība</w:t>
            </w:r>
          </w:p>
        </w:tc>
        <w:tc>
          <w:tcPr>
            <w:tcW w:w="6658" w:type="dxa"/>
          </w:tcPr>
          <w:p w:rsidR="00EA5091" w:rsidRPr="00EA5091" w:rsidRDefault="00BC10F5" w:rsidP="00EA5091">
            <w:pPr>
              <w:ind w:left="132" w:right="127"/>
              <w:jc w:val="both"/>
              <w:rPr>
                <w:rFonts w:eastAsia="Times New Roman"/>
                <w:color w:val="000000"/>
                <w:sz w:val="25"/>
                <w:szCs w:val="25"/>
              </w:rPr>
            </w:pPr>
            <w:r>
              <w:rPr>
                <w:rFonts w:eastAsia="Times New Roman"/>
                <w:color w:val="000000"/>
                <w:sz w:val="25"/>
                <w:szCs w:val="25"/>
              </w:rPr>
              <w:tab/>
            </w:r>
            <w:r w:rsidR="009879C2">
              <w:rPr>
                <w:rFonts w:eastAsia="Times New Roman"/>
                <w:color w:val="000000"/>
                <w:sz w:val="25"/>
                <w:szCs w:val="25"/>
              </w:rPr>
              <w:t>IZM izstrādātajā informatīvajā ziņojumā “Par Murjāņu sporta ģimnāzijas turpmāko darbību” (turpmāk – Ziņojums)</w:t>
            </w:r>
            <w:r w:rsidR="00EA5091">
              <w:rPr>
                <w:rFonts w:eastAsia="Times New Roman"/>
                <w:color w:val="000000"/>
                <w:sz w:val="25"/>
                <w:szCs w:val="25"/>
              </w:rPr>
              <w:t xml:space="preserve"> norādīts, ka </w:t>
            </w:r>
            <w:r w:rsidR="00EA5091" w:rsidRPr="00EA5091">
              <w:rPr>
                <w:rFonts w:eastAsia="Times New Roman"/>
                <w:color w:val="000000"/>
                <w:sz w:val="25"/>
                <w:szCs w:val="25"/>
              </w:rPr>
              <w:t xml:space="preserve">2014.gadā Murjāņu sporta ģimnāzijas (turpmāk – Ģimnāzija) esošo būvju rekonstrukcijas un multifunkcionālas slēgtas sporta manēžas būvniecības projekta (turpmāk – Projekts) īstenošanai piešķirtos valsts budžeta līdzekļus 4`799`169 </w:t>
            </w:r>
            <w:r w:rsidR="00EA5091" w:rsidRPr="005A7644">
              <w:rPr>
                <w:rFonts w:eastAsia="Times New Roman"/>
                <w:i/>
                <w:color w:val="000000"/>
                <w:sz w:val="25"/>
                <w:szCs w:val="25"/>
              </w:rPr>
              <w:t>euro</w:t>
            </w:r>
            <w:r w:rsidR="00EA5091" w:rsidRPr="00EA5091">
              <w:rPr>
                <w:rFonts w:eastAsia="Times New Roman"/>
                <w:color w:val="000000"/>
                <w:sz w:val="25"/>
                <w:szCs w:val="25"/>
              </w:rPr>
              <w:t xml:space="preserve"> apmērā apgūt nav iespējams.</w:t>
            </w:r>
          </w:p>
          <w:p w:rsidR="00EA5091" w:rsidRPr="00EA5091" w:rsidRDefault="00BC10F5" w:rsidP="00364A83">
            <w:pPr>
              <w:ind w:left="132" w:right="127"/>
              <w:jc w:val="both"/>
              <w:rPr>
                <w:sz w:val="25"/>
                <w:szCs w:val="25"/>
              </w:rPr>
            </w:pPr>
            <w:r>
              <w:rPr>
                <w:sz w:val="25"/>
                <w:szCs w:val="25"/>
              </w:rPr>
              <w:tab/>
            </w:r>
            <w:r w:rsidR="00EA5091" w:rsidRPr="00364A83">
              <w:rPr>
                <w:sz w:val="25"/>
                <w:szCs w:val="25"/>
              </w:rPr>
              <w:t>Jautājums par Ģimnāzijas turpmāko darbību, kā arī Projekta īstenošanai 2014.gadā paredzēto valsts budžeta līdzekļu pārdali tika izskatīts Latvijas Nacionālās sporta padomes 2014.gada 24.jūlija sēdē. Klātesot visām iesaistītajām pusēm, kā arī, detalizēti izvērtējot</w:t>
            </w:r>
            <w:r w:rsidR="00EA5091" w:rsidRPr="00EA5091">
              <w:rPr>
                <w:sz w:val="25"/>
                <w:szCs w:val="25"/>
              </w:rPr>
              <w:t xml:space="preserve"> esošo situāciju un iespējamos risinājuma variantus (t.sk., Ministru kabineta 2014.gada 8.aprīļa sēdē pieņemto konceptuālo lēmumu </w:t>
            </w:r>
            <w:r w:rsidR="00A23073" w:rsidRPr="00A23073">
              <w:rPr>
                <w:sz w:val="25"/>
                <w:szCs w:val="25"/>
              </w:rPr>
              <w:t xml:space="preserve">(prot. Nr.20 31.§) </w:t>
            </w:r>
            <w:r w:rsidR="00EA5091" w:rsidRPr="00EA5091">
              <w:rPr>
                <w:sz w:val="25"/>
                <w:szCs w:val="25"/>
              </w:rPr>
              <w:t xml:space="preserve">par Projekta īstenošanai paredzētā finansējuma pārdali Daugavas stadiona sagatavošanas darbu finansēšanai XI Latvijas Skolu jaunatnes dziesmu un deju svētku, kā arī XXVI Vispārējo latviešu Dziesmu un XVI Deju svētku norises nodrošināšanai), tika atbalstīta (prot. Nr.3 3.§, 3.2.apakšpunkts) nepieciešamība steidzami veikt pasākumus, lai nodrošinātu Ģimnāzijas darbības nepārtrauktību, kā arī uzlabotu audzēkņu ikdienas sadzīves apstākļus, šim mērķim izmantojot Projekta īstenošanai 2014.gadā paredzētos valsts budžeta līdzekļus 350`000 </w:t>
            </w:r>
            <w:r w:rsidR="00EA5091" w:rsidRPr="00EA5091">
              <w:rPr>
                <w:i/>
                <w:sz w:val="25"/>
                <w:szCs w:val="25"/>
              </w:rPr>
              <w:t>euro</w:t>
            </w:r>
            <w:r w:rsidR="00EA5091" w:rsidRPr="00EA5091">
              <w:rPr>
                <w:sz w:val="25"/>
                <w:szCs w:val="25"/>
              </w:rPr>
              <w:t xml:space="preserve"> apmērā. Tāpat tika nolemts (prot. Nr.3 3.§, 3.3.apakšpunkts) aicināt Ministru kabinetu veikt Projekta īstenošanai 2014.gadā paredzēto valsts budžeta līdzekļu 4`449`169 </w:t>
            </w:r>
            <w:r w:rsidR="00EA5091" w:rsidRPr="00EA5091">
              <w:rPr>
                <w:i/>
                <w:sz w:val="25"/>
                <w:szCs w:val="25"/>
              </w:rPr>
              <w:t>euro</w:t>
            </w:r>
            <w:r w:rsidR="00EA5091" w:rsidRPr="00EA5091">
              <w:rPr>
                <w:sz w:val="25"/>
                <w:szCs w:val="25"/>
              </w:rPr>
              <w:t xml:space="preserve"> apmērā pārdali šādiem mērķiem:</w:t>
            </w:r>
          </w:p>
          <w:p w:rsidR="00EA5091" w:rsidRDefault="00EA5091" w:rsidP="00AF31BD">
            <w:pPr>
              <w:pStyle w:val="ListParagraph"/>
              <w:numPr>
                <w:ilvl w:val="0"/>
                <w:numId w:val="12"/>
              </w:numPr>
              <w:ind w:left="557" w:right="127" w:hanging="425"/>
              <w:jc w:val="both"/>
              <w:rPr>
                <w:sz w:val="25"/>
                <w:szCs w:val="25"/>
              </w:rPr>
            </w:pPr>
            <w:r w:rsidRPr="00EA5091">
              <w:rPr>
                <w:sz w:val="25"/>
                <w:szCs w:val="25"/>
              </w:rPr>
              <w:t>Daugavas stadiona sagatavošanai XI Latvijas Skolu jaunatnes dziesmu un deju svēt</w:t>
            </w:r>
            <w:r w:rsidR="005A7644">
              <w:rPr>
                <w:sz w:val="25"/>
                <w:szCs w:val="25"/>
              </w:rPr>
              <w:t>ku norises nodrošināšanai – 471`</w:t>
            </w:r>
            <w:r w:rsidRPr="00EA5091">
              <w:rPr>
                <w:sz w:val="25"/>
                <w:szCs w:val="25"/>
              </w:rPr>
              <w:t xml:space="preserve">350 </w:t>
            </w:r>
            <w:r w:rsidRPr="00EA5091">
              <w:rPr>
                <w:i/>
                <w:sz w:val="25"/>
                <w:szCs w:val="25"/>
              </w:rPr>
              <w:t>euro</w:t>
            </w:r>
            <w:r w:rsidRPr="00EA5091">
              <w:rPr>
                <w:sz w:val="25"/>
                <w:szCs w:val="25"/>
              </w:rPr>
              <w:t xml:space="preserve"> apmērā;</w:t>
            </w:r>
          </w:p>
          <w:p w:rsidR="00902EBE" w:rsidRDefault="00AF31BD" w:rsidP="00902EBE">
            <w:pPr>
              <w:pStyle w:val="ListParagraph"/>
              <w:numPr>
                <w:ilvl w:val="0"/>
                <w:numId w:val="12"/>
              </w:numPr>
              <w:ind w:left="557" w:right="127" w:hanging="425"/>
              <w:jc w:val="both"/>
              <w:rPr>
                <w:sz w:val="25"/>
                <w:szCs w:val="25"/>
              </w:rPr>
            </w:pPr>
            <w:r>
              <w:rPr>
                <w:sz w:val="25"/>
                <w:szCs w:val="25"/>
              </w:rPr>
              <w:t>B</w:t>
            </w:r>
            <w:r w:rsidR="00EA5091" w:rsidRPr="00EA5091">
              <w:rPr>
                <w:sz w:val="25"/>
                <w:szCs w:val="25"/>
              </w:rPr>
              <w:t xml:space="preserve">obsleja un kamaniņu trases “Sigulda” sagatavošanai 2015.gada pasaules čempionāta kamaniņu sportā norises nodrošināšanai, t.sk. galvenā informācijas tablo iegādei, trases apskaņošanas sistēmas iegādei un uzstādīšanai, starta (arī junioru) un finiša zonu izveidei atbilstoši starptautisko </w:t>
            </w:r>
            <w:r w:rsidR="00EA5091" w:rsidRPr="00EA5091">
              <w:rPr>
                <w:sz w:val="25"/>
                <w:szCs w:val="25"/>
              </w:rPr>
              <w:lastRenderedPageBreak/>
              <w:t>sporta federāciju prasībām, kā arī infrastruktūras renov</w:t>
            </w:r>
            <w:r w:rsidR="005A7644">
              <w:rPr>
                <w:sz w:val="25"/>
                <w:szCs w:val="25"/>
              </w:rPr>
              <w:t>ācijai un labiekārtošanai – 678`</w:t>
            </w:r>
            <w:r w:rsidR="00EA5091" w:rsidRPr="00EA5091">
              <w:rPr>
                <w:sz w:val="25"/>
                <w:szCs w:val="25"/>
              </w:rPr>
              <w:t xml:space="preserve">580 </w:t>
            </w:r>
            <w:r w:rsidR="00EA5091" w:rsidRPr="00EA5091">
              <w:rPr>
                <w:i/>
                <w:sz w:val="25"/>
                <w:szCs w:val="25"/>
              </w:rPr>
              <w:t>euro</w:t>
            </w:r>
            <w:r w:rsidR="00EA5091" w:rsidRPr="00EA5091">
              <w:rPr>
                <w:sz w:val="25"/>
                <w:szCs w:val="25"/>
              </w:rPr>
              <w:t xml:space="preserve"> apmērā;</w:t>
            </w:r>
          </w:p>
          <w:p w:rsidR="00EA5091" w:rsidRPr="00902EBE" w:rsidRDefault="00902EBE" w:rsidP="00902EBE">
            <w:pPr>
              <w:pStyle w:val="ListParagraph"/>
              <w:numPr>
                <w:ilvl w:val="0"/>
                <w:numId w:val="12"/>
              </w:numPr>
              <w:ind w:left="557" w:right="127" w:hanging="425"/>
              <w:jc w:val="both"/>
              <w:rPr>
                <w:sz w:val="25"/>
                <w:szCs w:val="25"/>
              </w:rPr>
            </w:pPr>
            <w:r w:rsidRPr="00902EBE">
              <w:rPr>
                <w:sz w:val="25"/>
                <w:szCs w:val="25"/>
              </w:rPr>
              <w:t xml:space="preserve">Sporta centra “Mežaparks” rekonstrukcijai, primāri veicot Latvijas Olimpiskās vienības darbības nodrošināšanai nepieciešamā Sporta medicīnas centra (R.Feldmaņa ielā 11, Rīgā) rekonstrukciju un aprīkošanu, kā arī veicot sporta centra jumta remontu </w:t>
            </w:r>
            <w:r w:rsidR="005A7644" w:rsidRPr="00902EBE">
              <w:rPr>
                <w:sz w:val="25"/>
                <w:szCs w:val="25"/>
              </w:rPr>
              <w:t>– 577`</w:t>
            </w:r>
            <w:r w:rsidR="00EA5091" w:rsidRPr="00902EBE">
              <w:rPr>
                <w:sz w:val="25"/>
                <w:szCs w:val="25"/>
              </w:rPr>
              <w:t xml:space="preserve">820 </w:t>
            </w:r>
            <w:r w:rsidR="00EA5091" w:rsidRPr="00902EBE">
              <w:rPr>
                <w:i/>
                <w:sz w:val="25"/>
                <w:szCs w:val="25"/>
              </w:rPr>
              <w:t>euro</w:t>
            </w:r>
            <w:r w:rsidR="00EA5091" w:rsidRPr="00902EBE">
              <w:rPr>
                <w:sz w:val="25"/>
                <w:szCs w:val="25"/>
              </w:rPr>
              <w:t xml:space="preserve"> apmērā;</w:t>
            </w:r>
          </w:p>
          <w:p w:rsidR="00EA5091" w:rsidRPr="00EA5091" w:rsidRDefault="00EA5091" w:rsidP="00AF31BD">
            <w:pPr>
              <w:pStyle w:val="ListParagraph"/>
              <w:numPr>
                <w:ilvl w:val="0"/>
                <w:numId w:val="12"/>
              </w:numPr>
              <w:ind w:left="557" w:right="127" w:hanging="425"/>
              <w:jc w:val="both"/>
              <w:rPr>
                <w:sz w:val="25"/>
                <w:szCs w:val="25"/>
              </w:rPr>
            </w:pPr>
            <w:r w:rsidRPr="00EA5091">
              <w:rPr>
                <w:sz w:val="25"/>
                <w:szCs w:val="25"/>
              </w:rPr>
              <w:t>Multifunkcionālas vieglatlētikas manēžas būvniecībai</w:t>
            </w:r>
            <w:r w:rsidR="005A7644">
              <w:rPr>
                <w:sz w:val="25"/>
                <w:szCs w:val="25"/>
              </w:rPr>
              <w:t xml:space="preserve"> J.Daliņa stadionā Valmierā – 2`721`</w:t>
            </w:r>
            <w:r w:rsidRPr="00EA5091">
              <w:rPr>
                <w:sz w:val="25"/>
                <w:szCs w:val="25"/>
              </w:rPr>
              <w:t xml:space="preserve">419 </w:t>
            </w:r>
            <w:r w:rsidRPr="00EA5091">
              <w:rPr>
                <w:i/>
                <w:sz w:val="25"/>
                <w:szCs w:val="25"/>
              </w:rPr>
              <w:t>euro</w:t>
            </w:r>
            <w:r w:rsidRPr="00EA5091">
              <w:rPr>
                <w:sz w:val="25"/>
                <w:szCs w:val="25"/>
              </w:rPr>
              <w:t xml:space="preserve"> apmērā.</w:t>
            </w:r>
          </w:p>
          <w:p w:rsidR="00EA5091" w:rsidRPr="00EA5091" w:rsidRDefault="00EA5091" w:rsidP="00EA5091">
            <w:pPr>
              <w:ind w:left="132" w:right="127" w:firstLine="720"/>
              <w:jc w:val="both"/>
              <w:rPr>
                <w:sz w:val="25"/>
                <w:szCs w:val="25"/>
              </w:rPr>
            </w:pPr>
          </w:p>
          <w:p w:rsidR="009146B5" w:rsidRDefault="00A23073" w:rsidP="00BD3E66">
            <w:pPr>
              <w:ind w:left="132" w:right="127"/>
              <w:jc w:val="both"/>
              <w:rPr>
                <w:sz w:val="25"/>
                <w:szCs w:val="25"/>
              </w:rPr>
            </w:pPr>
            <w:r>
              <w:rPr>
                <w:sz w:val="25"/>
                <w:szCs w:val="25"/>
              </w:rPr>
              <w:tab/>
            </w:r>
            <w:r w:rsidR="00EA5091" w:rsidRPr="00EA5091">
              <w:rPr>
                <w:sz w:val="25"/>
                <w:szCs w:val="25"/>
              </w:rPr>
              <w:t>Ievērojot minēto</w:t>
            </w:r>
            <w:r w:rsidR="00EA5091" w:rsidRPr="00A23073">
              <w:rPr>
                <w:sz w:val="25"/>
                <w:szCs w:val="25"/>
              </w:rPr>
              <w:t xml:space="preserve">, </w:t>
            </w:r>
            <w:r w:rsidRPr="00A23073">
              <w:rPr>
                <w:sz w:val="25"/>
                <w:szCs w:val="25"/>
              </w:rPr>
              <w:t xml:space="preserve">Ziņojumā </w:t>
            </w:r>
            <w:r w:rsidR="00EA5091" w:rsidRPr="00A23073">
              <w:rPr>
                <w:sz w:val="25"/>
                <w:szCs w:val="25"/>
              </w:rPr>
              <w:t xml:space="preserve">IZM rosina daļu no Projekta īstenošanai 2014.gadā piešķirtajiem valsts budžeta līdzekļiem 350`000 </w:t>
            </w:r>
            <w:r w:rsidR="00EA5091" w:rsidRPr="00A23073">
              <w:rPr>
                <w:i/>
                <w:sz w:val="25"/>
                <w:szCs w:val="25"/>
              </w:rPr>
              <w:t>euro</w:t>
            </w:r>
            <w:r w:rsidR="00EA5091" w:rsidRPr="00A23073">
              <w:rPr>
                <w:sz w:val="25"/>
                <w:szCs w:val="25"/>
              </w:rPr>
              <w:t xml:space="preserve"> apmērā atstāt Ģimnāzijai un novirzīt tos </w:t>
            </w:r>
            <w:r w:rsidRPr="00A23073">
              <w:rPr>
                <w:sz w:val="25"/>
                <w:szCs w:val="25"/>
              </w:rPr>
              <w:t>Z</w:t>
            </w:r>
            <w:r w:rsidR="00EA5091" w:rsidRPr="00A23073">
              <w:rPr>
                <w:sz w:val="25"/>
                <w:szCs w:val="25"/>
              </w:rPr>
              <w:t>iņojumā minēto pasākumu īst</w:t>
            </w:r>
            <w:r w:rsidR="00EA5091" w:rsidRPr="00EA5091">
              <w:rPr>
                <w:sz w:val="25"/>
                <w:szCs w:val="25"/>
              </w:rPr>
              <w:t xml:space="preserve">enošanai, lai nodrošinātu Ģimnāzijas darbības nepārtrauktību, kā arī jau 2014.gadā uzlabotu Ģimnāzijas audzēkņu ikdienas sadzīves apstākļus. Pārējos Projekta īstenošanai 2014.gadā piešķirtos </w:t>
            </w:r>
            <w:r w:rsidR="00EA5091" w:rsidRPr="00EA5091">
              <w:rPr>
                <w:sz w:val="25"/>
                <w:szCs w:val="25"/>
                <w:u w:val="single"/>
              </w:rPr>
              <w:t xml:space="preserve">valsts budžeta līdzekļus </w:t>
            </w:r>
            <w:r w:rsidR="00EA5091" w:rsidRPr="00EA5091">
              <w:rPr>
                <w:b/>
                <w:sz w:val="25"/>
                <w:szCs w:val="25"/>
                <w:u w:val="single"/>
              </w:rPr>
              <w:t xml:space="preserve">4`449`169 </w:t>
            </w:r>
            <w:r w:rsidR="00EA5091" w:rsidRPr="00EA5091">
              <w:rPr>
                <w:b/>
                <w:i/>
                <w:sz w:val="25"/>
                <w:szCs w:val="25"/>
                <w:u w:val="single"/>
              </w:rPr>
              <w:t>euro</w:t>
            </w:r>
            <w:r w:rsidR="00EA5091" w:rsidRPr="00EA5091">
              <w:rPr>
                <w:sz w:val="25"/>
                <w:szCs w:val="25"/>
                <w:u w:val="single"/>
              </w:rPr>
              <w:t xml:space="preserve"> apmērā </w:t>
            </w:r>
            <w:r w:rsidR="0087128F">
              <w:rPr>
                <w:sz w:val="25"/>
                <w:szCs w:val="25"/>
                <w:u w:val="single"/>
              </w:rPr>
              <w:t xml:space="preserve">Ziņojumā </w:t>
            </w:r>
            <w:r w:rsidR="00EA5091" w:rsidRPr="00EA5091">
              <w:rPr>
                <w:sz w:val="25"/>
                <w:szCs w:val="25"/>
                <w:u w:val="single"/>
              </w:rPr>
              <w:t>IZM</w:t>
            </w:r>
            <w:r w:rsidR="006213D4">
              <w:rPr>
                <w:sz w:val="25"/>
                <w:szCs w:val="25"/>
                <w:u w:val="single"/>
              </w:rPr>
              <w:t xml:space="preserve"> </w:t>
            </w:r>
            <w:r w:rsidR="00EA5091" w:rsidRPr="00EA5091">
              <w:rPr>
                <w:sz w:val="25"/>
                <w:szCs w:val="25"/>
                <w:u w:val="single"/>
              </w:rPr>
              <w:t xml:space="preserve">rosina </w:t>
            </w:r>
            <w:r w:rsidR="00EA5091" w:rsidRPr="00EA5091">
              <w:rPr>
                <w:b/>
                <w:sz w:val="25"/>
                <w:szCs w:val="25"/>
                <w:u w:val="single"/>
              </w:rPr>
              <w:t>pārdalīt</w:t>
            </w:r>
            <w:r w:rsidR="00EA5091" w:rsidRPr="00EA5091">
              <w:rPr>
                <w:sz w:val="25"/>
                <w:szCs w:val="25"/>
              </w:rPr>
              <w:t xml:space="preserve"> uz IZM budžeta apakšprogrammu 09.04.00 “Sporta būves” un novirzīt iepriekšminēto Latvijas Nacionālās sporta padomes sēdē noteikto mērķu finansēšanai.</w:t>
            </w:r>
            <w:r w:rsidR="00880012">
              <w:rPr>
                <w:sz w:val="25"/>
                <w:szCs w:val="25"/>
              </w:rPr>
              <w:t xml:space="preserve"> </w:t>
            </w:r>
          </w:p>
          <w:p w:rsidR="00880012" w:rsidRDefault="009146B5" w:rsidP="00BD3E66">
            <w:pPr>
              <w:ind w:left="132" w:right="127"/>
              <w:jc w:val="both"/>
              <w:rPr>
                <w:sz w:val="25"/>
                <w:szCs w:val="25"/>
              </w:rPr>
            </w:pPr>
            <w:r>
              <w:rPr>
                <w:sz w:val="25"/>
                <w:szCs w:val="25"/>
              </w:rPr>
              <w:tab/>
            </w:r>
            <w:r w:rsidR="00880012">
              <w:rPr>
                <w:sz w:val="25"/>
                <w:szCs w:val="25"/>
              </w:rPr>
              <w:t xml:space="preserve">Ņemot vērā to, ka detalizēta informācija par sporta bāzēm, kurām tiek novirzīts finansējums, ir sniegta citos Ministru kabinetā jau izskatītajos dokumentos (piemēram, </w:t>
            </w:r>
            <w:r w:rsidR="00BD3E66">
              <w:t xml:space="preserve"> i</w:t>
            </w:r>
            <w:r w:rsidR="00BD3E66" w:rsidRPr="00BD3E66">
              <w:rPr>
                <w:sz w:val="25"/>
                <w:szCs w:val="25"/>
              </w:rPr>
              <w:t>nformatīv</w:t>
            </w:r>
            <w:r w:rsidR="00BD3E66">
              <w:rPr>
                <w:sz w:val="25"/>
                <w:szCs w:val="25"/>
              </w:rPr>
              <w:t>ajā ziņojumā “</w:t>
            </w:r>
            <w:r w:rsidR="00BD3E66" w:rsidRPr="00BD3E66">
              <w:rPr>
                <w:sz w:val="25"/>
                <w:szCs w:val="25"/>
              </w:rPr>
              <w:t>Par situāciju Daugavas stadionā XI Latvijas Skolu jaunatnes dziesmu un deju</w:t>
            </w:r>
            <w:r w:rsidR="00BD3E66">
              <w:rPr>
                <w:sz w:val="25"/>
                <w:szCs w:val="25"/>
              </w:rPr>
              <w:t xml:space="preserve"> svētku norises nodrošināšanai” [</w:t>
            </w:r>
            <w:r w:rsidR="00BD3E66" w:rsidRPr="00BD3E66">
              <w:rPr>
                <w:sz w:val="25"/>
                <w:szCs w:val="25"/>
              </w:rPr>
              <w:t>TA-692</w:t>
            </w:r>
            <w:r w:rsidR="00694526">
              <w:rPr>
                <w:sz w:val="25"/>
                <w:szCs w:val="25"/>
              </w:rPr>
              <w:t>] un</w:t>
            </w:r>
            <w:r w:rsidR="00BD3E66">
              <w:rPr>
                <w:sz w:val="25"/>
                <w:szCs w:val="25"/>
              </w:rPr>
              <w:t xml:space="preserve"> </w:t>
            </w:r>
            <w:r>
              <w:t xml:space="preserve"> </w:t>
            </w:r>
            <w:r w:rsidRPr="009146B5">
              <w:rPr>
                <w:sz w:val="25"/>
                <w:szCs w:val="25"/>
              </w:rPr>
              <w:t>Ministru kabineta 2013.gada 4.novembra rīkojum</w:t>
            </w:r>
            <w:r>
              <w:rPr>
                <w:sz w:val="25"/>
                <w:szCs w:val="25"/>
              </w:rPr>
              <w:t>a</w:t>
            </w:r>
            <w:r w:rsidRPr="009146B5">
              <w:rPr>
                <w:sz w:val="25"/>
                <w:szCs w:val="25"/>
              </w:rPr>
              <w:t xml:space="preserve"> Nr.522 “Par Latvijas Nacionālā valsts sporta centra “Mežaparks” un Tenisa centra “Lielupe” rekonstrukcijas projektiem paredzēto valsts budžeta ilgtermiņa saistību pārdali”</w:t>
            </w:r>
            <w:r>
              <w:rPr>
                <w:sz w:val="25"/>
                <w:szCs w:val="25"/>
              </w:rPr>
              <w:t xml:space="preserve"> sākotnējās ietekmes novērtējuma ziņojumā (anotācij</w:t>
            </w:r>
            <w:r w:rsidR="00694526">
              <w:rPr>
                <w:sz w:val="25"/>
                <w:szCs w:val="25"/>
              </w:rPr>
              <w:t xml:space="preserve">ā)), </w:t>
            </w:r>
            <w:r w:rsidR="00B77651">
              <w:rPr>
                <w:sz w:val="25"/>
                <w:szCs w:val="25"/>
              </w:rPr>
              <w:t xml:space="preserve">kā arī to, ka jautājums par finansējuma pārdali detalizēti izvērtēts </w:t>
            </w:r>
            <w:r w:rsidR="00B77651">
              <w:rPr>
                <w:rFonts w:eastAsia="Times New Roman"/>
                <w:color w:val="000000"/>
                <w:sz w:val="25"/>
                <w:szCs w:val="25"/>
              </w:rPr>
              <w:t>Latvijas Nacionālās sporta padomes 2014.gada 24.jūlija sēdē, p</w:t>
            </w:r>
            <w:r w:rsidR="00694526">
              <w:rPr>
                <w:sz w:val="25"/>
                <w:szCs w:val="25"/>
              </w:rPr>
              <w:t>apildus informācija šajā sākotnējās ietekmes novērtējuma ziņojumā (anotācijā) netiek sniegta.</w:t>
            </w:r>
          </w:p>
          <w:p w:rsidR="00EA5091" w:rsidRDefault="00B86487" w:rsidP="00EA5091">
            <w:pPr>
              <w:ind w:left="132" w:right="127"/>
              <w:jc w:val="both"/>
              <w:rPr>
                <w:rFonts w:eastAsia="Times New Roman"/>
                <w:color w:val="000000"/>
                <w:sz w:val="25"/>
                <w:szCs w:val="25"/>
              </w:rPr>
            </w:pPr>
            <w:r>
              <w:rPr>
                <w:rFonts w:eastAsia="Times New Roman"/>
                <w:color w:val="000000"/>
                <w:sz w:val="25"/>
                <w:szCs w:val="25"/>
              </w:rPr>
              <w:tab/>
            </w:r>
            <w:r w:rsidR="00BC10F5">
              <w:rPr>
                <w:rFonts w:eastAsia="Times New Roman"/>
                <w:color w:val="000000"/>
                <w:sz w:val="25"/>
                <w:szCs w:val="25"/>
              </w:rPr>
              <w:t xml:space="preserve">Saskaņā ar  </w:t>
            </w:r>
            <w:r w:rsidR="006D03B1">
              <w:rPr>
                <w:rFonts w:eastAsia="Times New Roman"/>
                <w:color w:val="000000"/>
                <w:sz w:val="25"/>
                <w:szCs w:val="25"/>
              </w:rPr>
              <w:t>l</w:t>
            </w:r>
            <w:r w:rsidR="00BC10F5">
              <w:rPr>
                <w:rFonts w:eastAsia="Times New Roman"/>
                <w:color w:val="000000"/>
                <w:sz w:val="25"/>
                <w:szCs w:val="25"/>
              </w:rPr>
              <w:t>ikuma “</w:t>
            </w:r>
            <w:r w:rsidR="00BC10F5" w:rsidRPr="00475B54">
              <w:rPr>
                <w:rFonts w:eastAsia="Times New Roman"/>
                <w:color w:val="000000"/>
                <w:sz w:val="25"/>
                <w:szCs w:val="25"/>
              </w:rPr>
              <w:t>Par</w:t>
            </w:r>
            <w:r w:rsidR="00BC10F5">
              <w:rPr>
                <w:rFonts w:eastAsia="Times New Roman"/>
                <w:color w:val="000000"/>
                <w:sz w:val="25"/>
                <w:szCs w:val="25"/>
              </w:rPr>
              <w:t xml:space="preserve"> valsts budžetu 2014</w:t>
            </w:r>
            <w:r w:rsidR="00BC10F5" w:rsidRPr="00475B54">
              <w:rPr>
                <w:rFonts w:eastAsia="Times New Roman"/>
                <w:color w:val="000000"/>
                <w:sz w:val="25"/>
                <w:szCs w:val="25"/>
              </w:rPr>
              <w:t>.gadam” 33.panta 3.punktu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32.panta nosacījumus. Minētā norma arī nosaka, ka šādu apropriācijas pārdali atļauts veikt, ja Saeimas Budžeta un finanšu (nodokļu) komisija piecu dienu laikā no attiecīgās informācijas saņemšanas nav iebildusi pret apropriācijas pārdali.</w:t>
            </w:r>
          </w:p>
          <w:p w:rsidR="00475B54" w:rsidRPr="00180E6B" w:rsidRDefault="009C72DF" w:rsidP="006D03B1">
            <w:pPr>
              <w:ind w:left="132" w:right="127"/>
              <w:jc w:val="both"/>
              <w:rPr>
                <w:rFonts w:eastAsia="Times New Roman"/>
                <w:color w:val="000000"/>
                <w:sz w:val="25"/>
                <w:szCs w:val="25"/>
              </w:rPr>
            </w:pPr>
            <w:r>
              <w:rPr>
                <w:rFonts w:eastAsia="Times New Roman"/>
                <w:color w:val="000000"/>
                <w:sz w:val="25"/>
                <w:szCs w:val="25"/>
              </w:rPr>
              <w:tab/>
              <w:t xml:space="preserve">Ievērojot minēto, </w:t>
            </w:r>
            <w:r w:rsidR="000372DF">
              <w:rPr>
                <w:rFonts w:eastAsia="Times New Roman"/>
                <w:color w:val="000000"/>
                <w:sz w:val="25"/>
                <w:szCs w:val="25"/>
              </w:rPr>
              <w:t xml:space="preserve"> IZM ir izstrādājusi attiecīgu Ministru kabineta rīkojuma projektu. Ņemot vērā Latvijas Nacionālās sporta padomes 2014.gada 24.jūlija sēdē doto uzdevumu (</w:t>
            </w:r>
            <w:r w:rsidR="002E742C">
              <w:rPr>
                <w:rFonts w:eastAsia="Times New Roman"/>
                <w:color w:val="000000"/>
                <w:sz w:val="25"/>
                <w:szCs w:val="25"/>
              </w:rPr>
              <w:t>p</w:t>
            </w:r>
            <w:r w:rsidR="000372DF" w:rsidRPr="00EA5091">
              <w:rPr>
                <w:sz w:val="25"/>
                <w:szCs w:val="25"/>
              </w:rPr>
              <w:t xml:space="preserve">rot. </w:t>
            </w:r>
            <w:r w:rsidR="000372DF" w:rsidRPr="00EA5091">
              <w:rPr>
                <w:sz w:val="25"/>
                <w:szCs w:val="25"/>
              </w:rPr>
              <w:lastRenderedPageBreak/>
              <w:t>Nr.3 3.§, 3.</w:t>
            </w:r>
            <w:r w:rsidR="000372DF">
              <w:rPr>
                <w:sz w:val="25"/>
                <w:szCs w:val="25"/>
              </w:rPr>
              <w:t>4.2</w:t>
            </w:r>
            <w:r w:rsidR="000372DF" w:rsidRPr="00EA5091">
              <w:rPr>
                <w:sz w:val="25"/>
                <w:szCs w:val="25"/>
              </w:rPr>
              <w:t>.apakšpunkts)</w:t>
            </w:r>
            <w:r w:rsidR="000372DF">
              <w:rPr>
                <w:sz w:val="25"/>
                <w:szCs w:val="25"/>
              </w:rPr>
              <w:t xml:space="preserve">, </w:t>
            </w:r>
            <w:r w:rsidR="000372DF">
              <w:rPr>
                <w:rFonts w:eastAsia="Times New Roman"/>
                <w:color w:val="000000"/>
                <w:sz w:val="25"/>
                <w:szCs w:val="25"/>
              </w:rPr>
              <w:t xml:space="preserve">Ministru kabineta rīkojuma projektā </w:t>
            </w:r>
            <w:r w:rsidR="006D03B1">
              <w:rPr>
                <w:rFonts w:eastAsia="Times New Roman"/>
                <w:color w:val="000000"/>
                <w:sz w:val="25"/>
                <w:szCs w:val="25"/>
              </w:rPr>
              <w:t xml:space="preserve">(tā 4.punktā) </w:t>
            </w:r>
            <w:r w:rsidR="000372DF">
              <w:rPr>
                <w:rFonts w:eastAsia="Times New Roman"/>
                <w:color w:val="000000"/>
                <w:sz w:val="25"/>
                <w:szCs w:val="25"/>
              </w:rPr>
              <w:t xml:space="preserve">noteikts, ka </w:t>
            </w:r>
            <w:r w:rsidR="002E742C">
              <w:t xml:space="preserve"> </w:t>
            </w:r>
            <w:r w:rsidR="002E742C" w:rsidRPr="002E742C">
              <w:rPr>
                <w:rFonts w:eastAsia="Times New Roman"/>
                <w:color w:val="000000"/>
                <w:sz w:val="25"/>
                <w:szCs w:val="25"/>
              </w:rPr>
              <w:t>piešķirtie valsts budžeta līdzekļi ir jāizlieto līdz 2014.gada 31.decembrim, kā arī paredz</w:t>
            </w:r>
            <w:r w:rsidR="002E742C">
              <w:rPr>
                <w:rFonts w:eastAsia="Times New Roman"/>
                <w:color w:val="000000"/>
                <w:sz w:val="25"/>
                <w:szCs w:val="25"/>
              </w:rPr>
              <w:t>ēts</w:t>
            </w:r>
            <w:r w:rsidR="002E742C" w:rsidRPr="002E742C">
              <w:rPr>
                <w:rFonts w:eastAsia="Times New Roman"/>
                <w:color w:val="000000"/>
                <w:sz w:val="25"/>
                <w:szCs w:val="25"/>
              </w:rPr>
              <w:t xml:space="preserve"> uzdevum</w:t>
            </w:r>
            <w:r w:rsidR="002E742C">
              <w:rPr>
                <w:rFonts w:eastAsia="Times New Roman"/>
                <w:color w:val="000000"/>
                <w:sz w:val="25"/>
                <w:szCs w:val="25"/>
              </w:rPr>
              <w:t>s</w:t>
            </w:r>
            <w:r w:rsidR="002E742C" w:rsidRPr="002E742C">
              <w:rPr>
                <w:rFonts w:eastAsia="Times New Roman"/>
                <w:color w:val="000000"/>
                <w:sz w:val="25"/>
                <w:szCs w:val="25"/>
              </w:rPr>
              <w:t xml:space="preserve"> </w:t>
            </w:r>
            <w:r w:rsidR="002E742C">
              <w:rPr>
                <w:rFonts w:eastAsia="Times New Roman"/>
                <w:color w:val="000000"/>
                <w:sz w:val="25"/>
                <w:szCs w:val="25"/>
              </w:rPr>
              <w:t>IZM</w:t>
            </w:r>
            <w:r w:rsidR="002E742C" w:rsidRPr="002E742C">
              <w:rPr>
                <w:rFonts w:eastAsia="Times New Roman"/>
                <w:color w:val="000000"/>
                <w:sz w:val="25"/>
                <w:szCs w:val="25"/>
              </w:rPr>
              <w:t xml:space="preserve"> kontrolēt finansējuma izlietojumu atbilstoši mērķim.</w:t>
            </w:r>
            <w:r w:rsidR="00BC10F5">
              <w:rPr>
                <w:rFonts w:eastAsia="Times New Roman"/>
                <w:color w:val="000000"/>
                <w:sz w:val="25"/>
                <w:szCs w:val="25"/>
              </w:rPr>
              <w:t xml:space="preserve"> </w:t>
            </w:r>
          </w:p>
        </w:tc>
      </w:tr>
      <w:tr w:rsidR="00585B7B" w:rsidRPr="009F1E12" w:rsidTr="00464CD0">
        <w:trPr>
          <w:trHeight w:val="476"/>
        </w:trPr>
        <w:tc>
          <w:tcPr>
            <w:tcW w:w="998" w:type="dxa"/>
          </w:tcPr>
          <w:p w:rsidR="00585B7B" w:rsidRPr="009F1E12" w:rsidRDefault="00005A9D" w:rsidP="00BD696A">
            <w:pPr>
              <w:pStyle w:val="naiskr"/>
              <w:spacing w:before="0" w:after="0"/>
              <w:jc w:val="center"/>
              <w:rPr>
                <w:sz w:val="25"/>
                <w:szCs w:val="25"/>
              </w:rPr>
            </w:pPr>
            <w:r w:rsidRPr="009F1E12">
              <w:rPr>
                <w:sz w:val="25"/>
                <w:szCs w:val="25"/>
              </w:rPr>
              <w:lastRenderedPageBreak/>
              <w:t>3.</w:t>
            </w:r>
          </w:p>
        </w:tc>
        <w:tc>
          <w:tcPr>
            <w:tcW w:w="2541" w:type="dxa"/>
          </w:tcPr>
          <w:p w:rsidR="00585B7B" w:rsidRPr="009F1E12" w:rsidRDefault="00005A9D" w:rsidP="00916055">
            <w:pPr>
              <w:pStyle w:val="naiskr"/>
              <w:spacing w:before="0" w:after="0"/>
              <w:ind w:left="141"/>
              <w:rPr>
                <w:sz w:val="25"/>
                <w:szCs w:val="25"/>
              </w:rPr>
            </w:pPr>
            <w:r w:rsidRPr="009F1E12">
              <w:rPr>
                <w:sz w:val="25"/>
                <w:szCs w:val="25"/>
              </w:rPr>
              <w:t>Projekta izstrādē iesaistītās institūcijas</w:t>
            </w:r>
          </w:p>
        </w:tc>
        <w:tc>
          <w:tcPr>
            <w:tcW w:w="6658" w:type="dxa"/>
          </w:tcPr>
          <w:p w:rsidR="00643E6C" w:rsidRPr="00643E6C" w:rsidRDefault="00DC332F" w:rsidP="00DF03FB">
            <w:pPr>
              <w:ind w:left="82" w:right="141"/>
              <w:jc w:val="both"/>
              <w:rPr>
                <w:sz w:val="25"/>
                <w:szCs w:val="25"/>
              </w:rPr>
            </w:pPr>
            <w:r>
              <w:rPr>
                <w:sz w:val="25"/>
                <w:szCs w:val="25"/>
              </w:rPr>
              <w:t xml:space="preserve">Ministru kabineta rīkojuma projektu izstrādāja IZM. </w:t>
            </w:r>
            <w:r w:rsidR="008C68D2">
              <w:rPr>
                <w:sz w:val="25"/>
                <w:szCs w:val="25"/>
              </w:rPr>
              <w:t xml:space="preserve">Ņemot vērā to, ka Ministru kabineta rīkojuma projekts izstrādāts, ņemot vērā Latvijas </w:t>
            </w:r>
            <w:r w:rsidR="008C68D2" w:rsidRPr="008C68D2">
              <w:rPr>
                <w:sz w:val="25"/>
                <w:szCs w:val="25"/>
              </w:rPr>
              <w:t xml:space="preserve">Nacionālās sporta padomes 2014.gada 24.jūlija sēdē </w:t>
            </w:r>
            <w:r w:rsidR="008C68D2">
              <w:rPr>
                <w:sz w:val="25"/>
                <w:szCs w:val="25"/>
              </w:rPr>
              <w:t xml:space="preserve">Ministru kabinetam izteikto aicinājumu </w:t>
            </w:r>
            <w:r w:rsidR="008C68D2" w:rsidRPr="008C68D2">
              <w:rPr>
                <w:sz w:val="25"/>
                <w:szCs w:val="25"/>
              </w:rPr>
              <w:t xml:space="preserve">(prot. Nr.3 </w:t>
            </w:r>
            <w:r w:rsidR="00415D76">
              <w:rPr>
                <w:sz w:val="25"/>
                <w:szCs w:val="25"/>
              </w:rPr>
              <w:t>3</w:t>
            </w:r>
            <w:r w:rsidR="008C68D2" w:rsidRPr="008C68D2">
              <w:rPr>
                <w:sz w:val="25"/>
                <w:szCs w:val="25"/>
              </w:rPr>
              <w:t>.§., 3.3.</w:t>
            </w:r>
            <w:r w:rsidR="002F6EEF">
              <w:rPr>
                <w:sz w:val="25"/>
                <w:szCs w:val="25"/>
              </w:rPr>
              <w:t>apakšpunkts), papildus pasākumi sabiedrības iesaistei nebija nepieciešam</w:t>
            </w:r>
            <w:r w:rsidR="00DF03FB">
              <w:rPr>
                <w:sz w:val="25"/>
                <w:szCs w:val="25"/>
              </w:rPr>
              <w:t>i</w:t>
            </w:r>
            <w:r w:rsidR="002F6EEF">
              <w:rPr>
                <w:sz w:val="25"/>
                <w:szCs w:val="25"/>
              </w:rPr>
              <w:t>.</w:t>
            </w:r>
          </w:p>
        </w:tc>
      </w:tr>
      <w:tr w:rsidR="00585B7B" w:rsidRPr="009F1E12" w:rsidTr="00464CD0">
        <w:tc>
          <w:tcPr>
            <w:tcW w:w="998" w:type="dxa"/>
          </w:tcPr>
          <w:p w:rsidR="00585B7B" w:rsidRPr="009F1E12" w:rsidRDefault="00005A9D" w:rsidP="00BD696A">
            <w:pPr>
              <w:pStyle w:val="naiskr"/>
              <w:spacing w:before="0" w:after="0"/>
              <w:jc w:val="center"/>
              <w:rPr>
                <w:sz w:val="25"/>
                <w:szCs w:val="25"/>
              </w:rPr>
            </w:pPr>
            <w:r w:rsidRPr="009F1E12">
              <w:rPr>
                <w:sz w:val="25"/>
                <w:szCs w:val="25"/>
              </w:rPr>
              <w:t>4</w:t>
            </w:r>
            <w:r w:rsidR="00585B7B" w:rsidRPr="009F1E12">
              <w:rPr>
                <w:sz w:val="25"/>
                <w:szCs w:val="25"/>
              </w:rPr>
              <w:t>.</w:t>
            </w:r>
          </w:p>
        </w:tc>
        <w:tc>
          <w:tcPr>
            <w:tcW w:w="2541" w:type="dxa"/>
          </w:tcPr>
          <w:p w:rsidR="00585B7B" w:rsidRPr="009F1E12" w:rsidRDefault="00585B7B" w:rsidP="00916055">
            <w:pPr>
              <w:pStyle w:val="naiskr"/>
              <w:spacing w:before="0" w:after="0"/>
              <w:ind w:left="141"/>
              <w:rPr>
                <w:sz w:val="25"/>
                <w:szCs w:val="25"/>
              </w:rPr>
            </w:pPr>
            <w:r w:rsidRPr="009F1E12">
              <w:rPr>
                <w:sz w:val="25"/>
                <w:szCs w:val="25"/>
              </w:rPr>
              <w:t>Cita informācija</w:t>
            </w:r>
          </w:p>
        </w:tc>
        <w:tc>
          <w:tcPr>
            <w:tcW w:w="6658" w:type="dxa"/>
          </w:tcPr>
          <w:p w:rsidR="0002179F" w:rsidRDefault="00291AF4" w:rsidP="00291AF4">
            <w:pPr>
              <w:ind w:left="114" w:right="127"/>
              <w:jc w:val="both"/>
              <w:rPr>
                <w:sz w:val="25"/>
                <w:szCs w:val="25"/>
              </w:rPr>
            </w:pPr>
            <w:r>
              <w:rPr>
                <w:sz w:val="25"/>
                <w:szCs w:val="25"/>
              </w:rPr>
              <w:t>Ministru kabineta r</w:t>
            </w:r>
            <w:r w:rsidR="00E5461A" w:rsidRPr="007C6451">
              <w:rPr>
                <w:sz w:val="25"/>
                <w:szCs w:val="25"/>
              </w:rPr>
              <w:t xml:space="preserve">īkojuma projekts tiešā veidā attiecas uz </w:t>
            </w:r>
            <w:r w:rsidRPr="00291AF4">
              <w:rPr>
                <w:sz w:val="25"/>
                <w:szCs w:val="25"/>
              </w:rPr>
              <w:t xml:space="preserve">tūrisma, sporta un brīvā laika politiku (sporta politiku). Pastarpināti  </w:t>
            </w:r>
            <w:r>
              <w:rPr>
                <w:sz w:val="25"/>
                <w:szCs w:val="25"/>
              </w:rPr>
              <w:t xml:space="preserve"> Ministru kabineta r</w:t>
            </w:r>
            <w:r w:rsidRPr="007C6451">
              <w:rPr>
                <w:sz w:val="25"/>
                <w:szCs w:val="25"/>
              </w:rPr>
              <w:t xml:space="preserve">īkojuma projekts </w:t>
            </w:r>
            <w:r w:rsidRPr="00291AF4">
              <w:rPr>
                <w:sz w:val="25"/>
                <w:szCs w:val="25"/>
              </w:rPr>
              <w:t>attiecas uz budžeta un finanšu politiku.</w:t>
            </w:r>
          </w:p>
          <w:p w:rsidR="006A26FB" w:rsidRDefault="006A26FB" w:rsidP="00291AF4">
            <w:pPr>
              <w:ind w:left="114" w:right="127"/>
              <w:jc w:val="both"/>
              <w:rPr>
                <w:sz w:val="25"/>
                <w:szCs w:val="25"/>
              </w:rPr>
            </w:pPr>
          </w:p>
          <w:p w:rsidR="006A26FB" w:rsidRPr="009F1E12" w:rsidRDefault="006A26FB" w:rsidP="006A26FB">
            <w:pPr>
              <w:ind w:left="114" w:right="127"/>
              <w:jc w:val="both"/>
              <w:rPr>
                <w:sz w:val="25"/>
                <w:szCs w:val="25"/>
              </w:rPr>
            </w:pPr>
            <w:r>
              <w:rPr>
                <w:sz w:val="25"/>
                <w:szCs w:val="25"/>
              </w:rPr>
              <w:t>L</w:t>
            </w:r>
            <w:r w:rsidRPr="006A26FB">
              <w:rPr>
                <w:sz w:val="25"/>
                <w:szCs w:val="25"/>
              </w:rPr>
              <w:t xml:space="preserve">ai saistībā ar finansējuma pārdali netiktu samazināts kopējais Projekta īstenošanai paredzētais valsts budžeta finansējums, atbilstoši Latvijas Nacionālās sporta padomes 2014.gada 24.jūlija sēdē Ministru kabinetam izteiktajam aicinājumam (prot. Nr.3 3.§, 3.5.2.apakšpunkts) </w:t>
            </w:r>
            <w:r>
              <w:rPr>
                <w:sz w:val="25"/>
                <w:szCs w:val="25"/>
              </w:rPr>
              <w:t xml:space="preserve">ar Ziņojumu saistītajā Ministru kabineta sēdes protokollēmuma projektā (tā 3.2.apakšpunktā) paredzēts uzdevums Finanšu ministrijai </w:t>
            </w:r>
            <w:r w:rsidRPr="006A26FB">
              <w:rPr>
                <w:sz w:val="25"/>
                <w:szCs w:val="25"/>
              </w:rPr>
              <w:t xml:space="preserve">palielināt </w:t>
            </w:r>
            <w:r>
              <w:rPr>
                <w:sz w:val="25"/>
                <w:szCs w:val="25"/>
              </w:rPr>
              <w:t>IZM</w:t>
            </w:r>
            <w:r w:rsidRPr="006A26FB">
              <w:rPr>
                <w:sz w:val="25"/>
                <w:szCs w:val="25"/>
              </w:rPr>
              <w:t xml:space="preserve"> 2017.gada valsts pamatbudžeta bāzes izdevumus par 4 449 169 </w:t>
            </w:r>
            <w:r w:rsidRPr="006A26FB">
              <w:rPr>
                <w:i/>
                <w:sz w:val="25"/>
                <w:szCs w:val="25"/>
              </w:rPr>
              <w:t>euro</w:t>
            </w:r>
            <w:r w:rsidR="008D563E">
              <w:rPr>
                <w:sz w:val="25"/>
                <w:szCs w:val="25"/>
              </w:rPr>
              <w:t xml:space="preserve"> (t.i., </w:t>
            </w:r>
            <w:r w:rsidR="008D563E">
              <w:t xml:space="preserve"> </w:t>
            </w:r>
            <w:r w:rsidR="008D563E" w:rsidRPr="008D563E">
              <w:rPr>
                <w:sz w:val="25"/>
                <w:szCs w:val="25"/>
              </w:rPr>
              <w:t>proporcionāli citiem mērķiem pārdalīto līdzekļu</w:t>
            </w:r>
            <w:r w:rsidR="008D563E">
              <w:rPr>
                <w:sz w:val="25"/>
                <w:szCs w:val="25"/>
              </w:rPr>
              <w:t xml:space="preserve"> apmēram)</w:t>
            </w:r>
            <w:r w:rsidRPr="006A26FB">
              <w:rPr>
                <w:sz w:val="25"/>
                <w:szCs w:val="25"/>
              </w:rPr>
              <w:t>.</w:t>
            </w:r>
          </w:p>
        </w:tc>
      </w:tr>
    </w:tbl>
    <w:p w:rsidR="005134ED" w:rsidRDefault="005134ED" w:rsidP="009B774A">
      <w:pPr>
        <w:pStyle w:val="naisf"/>
        <w:tabs>
          <w:tab w:val="left" w:pos="3819"/>
        </w:tabs>
        <w:spacing w:before="0" w:after="0"/>
        <w:ind w:firstLine="0"/>
        <w:rPr>
          <w:sz w:val="26"/>
          <w:szCs w:val="26"/>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54"/>
        <w:gridCol w:w="1394"/>
        <w:gridCol w:w="1189"/>
        <w:gridCol w:w="1194"/>
        <w:gridCol w:w="1190"/>
      </w:tblGrid>
      <w:tr w:rsidR="009B774A" w:rsidRPr="00A94035" w:rsidTr="009B774A">
        <w:trPr>
          <w:trHeight w:val="361"/>
          <w:jc w:val="center"/>
        </w:trPr>
        <w:tc>
          <w:tcPr>
            <w:tcW w:w="10209" w:type="dxa"/>
            <w:gridSpan w:val="6"/>
            <w:vAlign w:val="center"/>
          </w:tcPr>
          <w:p w:rsidR="009B774A" w:rsidRPr="00A94035" w:rsidRDefault="009B774A" w:rsidP="001A0506">
            <w:pPr>
              <w:jc w:val="center"/>
              <w:rPr>
                <w:b/>
                <w:i/>
                <w:sz w:val="25"/>
                <w:szCs w:val="25"/>
              </w:rPr>
            </w:pPr>
            <w:r>
              <w:rPr>
                <w:sz w:val="26"/>
                <w:szCs w:val="26"/>
              </w:rPr>
              <w:br w:type="page"/>
            </w:r>
            <w:r w:rsidRPr="00A94035">
              <w:rPr>
                <w:sz w:val="25"/>
                <w:szCs w:val="25"/>
              </w:rPr>
              <w:br w:type="page"/>
            </w:r>
            <w:r w:rsidRPr="00A94035">
              <w:rPr>
                <w:b/>
                <w:sz w:val="25"/>
                <w:szCs w:val="25"/>
              </w:rPr>
              <w:t>III. Tiesību akta projekta ietekme uz valsts budžetu un pašvaldību budžetiem</w:t>
            </w:r>
          </w:p>
        </w:tc>
      </w:tr>
      <w:tr w:rsidR="009B774A" w:rsidRPr="00A94035" w:rsidTr="009B774A">
        <w:trPr>
          <w:jc w:val="center"/>
        </w:trPr>
        <w:tc>
          <w:tcPr>
            <w:tcW w:w="3688" w:type="dxa"/>
            <w:vMerge w:val="restart"/>
            <w:vAlign w:val="center"/>
          </w:tcPr>
          <w:p w:rsidR="009B774A" w:rsidRPr="00A94035" w:rsidRDefault="009B774A" w:rsidP="001A0506">
            <w:pPr>
              <w:jc w:val="center"/>
              <w:rPr>
                <w:b/>
                <w:sz w:val="25"/>
                <w:szCs w:val="25"/>
              </w:rPr>
            </w:pPr>
            <w:r w:rsidRPr="00A94035">
              <w:rPr>
                <w:b/>
                <w:sz w:val="25"/>
                <w:szCs w:val="25"/>
              </w:rPr>
              <w:t>Rādītāji</w:t>
            </w:r>
          </w:p>
        </w:tc>
        <w:tc>
          <w:tcPr>
            <w:tcW w:w="2948" w:type="dxa"/>
            <w:gridSpan w:val="2"/>
            <w:vMerge w:val="restart"/>
            <w:vAlign w:val="center"/>
          </w:tcPr>
          <w:p w:rsidR="009B774A" w:rsidRPr="00A94035" w:rsidRDefault="009B774A" w:rsidP="001A0506">
            <w:pPr>
              <w:jc w:val="center"/>
              <w:rPr>
                <w:b/>
                <w:sz w:val="25"/>
                <w:szCs w:val="25"/>
              </w:rPr>
            </w:pPr>
            <w:r w:rsidRPr="00A94035">
              <w:rPr>
                <w:b/>
                <w:sz w:val="25"/>
                <w:szCs w:val="25"/>
              </w:rPr>
              <w:t>2014</w:t>
            </w:r>
          </w:p>
        </w:tc>
        <w:tc>
          <w:tcPr>
            <w:tcW w:w="3573" w:type="dxa"/>
            <w:gridSpan w:val="3"/>
            <w:vAlign w:val="center"/>
          </w:tcPr>
          <w:p w:rsidR="009B774A" w:rsidRPr="00A94035" w:rsidRDefault="009B774A" w:rsidP="001A0506">
            <w:pPr>
              <w:jc w:val="center"/>
              <w:rPr>
                <w:b/>
                <w:i/>
                <w:sz w:val="25"/>
                <w:szCs w:val="25"/>
              </w:rPr>
            </w:pPr>
            <w:r w:rsidRPr="00A94035">
              <w:rPr>
                <w:sz w:val="25"/>
                <w:szCs w:val="25"/>
              </w:rPr>
              <w:t>Turpmākie trīs gadi (</w:t>
            </w:r>
            <w:r w:rsidRPr="00A94035">
              <w:rPr>
                <w:i/>
                <w:sz w:val="25"/>
                <w:szCs w:val="25"/>
              </w:rPr>
              <w:t>euro</w:t>
            </w:r>
            <w:r w:rsidRPr="00A94035">
              <w:rPr>
                <w:sz w:val="25"/>
                <w:szCs w:val="25"/>
              </w:rPr>
              <w:t>)</w:t>
            </w:r>
          </w:p>
        </w:tc>
      </w:tr>
      <w:tr w:rsidR="009B774A" w:rsidRPr="00A94035" w:rsidTr="009B774A">
        <w:trPr>
          <w:jc w:val="center"/>
        </w:trPr>
        <w:tc>
          <w:tcPr>
            <w:tcW w:w="3688" w:type="dxa"/>
            <w:vMerge/>
            <w:vAlign w:val="center"/>
          </w:tcPr>
          <w:p w:rsidR="009B774A" w:rsidRPr="00A94035" w:rsidRDefault="009B774A" w:rsidP="001A0506">
            <w:pPr>
              <w:jc w:val="center"/>
              <w:rPr>
                <w:b/>
                <w:i/>
                <w:sz w:val="25"/>
                <w:szCs w:val="25"/>
              </w:rPr>
            </w:pPr>
          </w:p>
        </w:tc>
        <w:tc>
          <w:tcPr>
            <w:tcW w:w="2948" w:type="dxa"/>
            <w:gridSpan w:val="2"/>
            <w:vMerge/>
            <w:vAlign w:val="center"/>
          </w:tcPr>
          <w:p w:rsidR="009B774A" w:rsidRPr="00A94035" w:rsidRDefault="009B774A" w:rsidP="001A0506">
            <w:pPr>
              <w:jc w:val="center"/>
              <w:rPr>
                <w:b/>
                <w:i/>
                <w:sz w:val="25"/>
                <w:szCs w:val="25"/>
              </w:rPr>
            </w:pPr>
          </w:p>
        </w:tc>
        <w:tc>
          <w:tcPr>
            <w:tcW w:w="1189" w:type="dxa"/>
            <w:vAlign w:val="center"/>
          </w:tcPr>
          <w:p w:rsidR="009B774A" w:rsidRPr="00A94035" w:rsidRDefault="009B774A" w:rsidP="001A0506">
            <w:pPr>
              <w:jc w:val="center"/>
              <w:rPr>
                <w:b/>
                <w:i/>
                <w:sz w:val="25"/>
                <w:szCs w:val="25"/>
              </w:rPr>
            </w:pPr>
            <w:r w:rsidRPr="00A94035">
              <w:rPr>
                <w:b/>
                <w:bCs/>
                <w:sz w:val="25"/>
                <w:szCs w:val="25"/>
              </w:rPr>
              <w:t>2015</w:t>
            </w:r>
          </w:p>
        </w:tc>
        <w:tc>
          <w:tcPr>
            <w:tcW w:w="1194" w:type="dxa"/>
            <w:vAlign w:val="center"/>
          </w:tcPr>
          <w:p w:rsidR="009B774A" w:rsidRPr="00A94035" w:rsidRDefault="009B774A" w:rsidP="001A0506">
            <w:pPr>
              <w:jc w:val="center"/>
              <w:rPr>
                <w:b/>
                <w:i/>
                <w:sz w:val="25"/>
                <w:szCs w:val="25"/>
              </w:rPr>
            </w:pPr>
            <w:r w:rsidRPr="00A94035">
              <w:rPr>
                <w:b/>
                <w:bCs/>
                <w:sz w:val="25"/>
                <w:szCs w:val="25"/>
              </w:rPr>
              <w:t>2016</w:t>
            </w:r>
          </w:p>
        </w:tc>
        <w:tc>
          <w:tcPr>
            <w:tcW w:w="1190" w:type="dxa"/>
            <w:vAlign w:val="center"/>
          </w:tcPr>
          <w:p w:rsidR="009B774A" w:rsidRPr="00A94035" w:rsidRDefault="009B774A" w:rsidP="001A0506">
            <w:pPr>
              <w:jc w:val="center"/>
              <w:rPr>
                <w:b/>
                <w:i/>
                <w:sz w:val="25"/>
                <w:szCs w:val="25"/>
              </w:rPr>
            </w:pPr>
            <w:r w:rsidRPr="00A94035">
              <w:rPr>
                <w:b/>
                <w:bCs/>
                <w:sz w:val="25"/>
                <w:szCs w:val="25"/>
              </w:rPr>
              <w:t>2017</w:t>
            </w:r>
          </w:p>
        </w:tc>
      </w:tr>
      <w:tr w:rsidR="009B774A" w:rsidRPr="00A94035" w:rsidTr="009B774A">
        <w:trPr>
          <w:jc w:val="center"/>
        </w:trPr>
        <w:tc>
          <w:tcPr>
            <w:tcW w:w="3688" w:type="dxa"/>
            <w:vMerge/>
            <w:vAlign w:val="center"/>
          </w:tcPr>
          <w:p w:rsidR="009B774A" w:rsidRPr="00A94035" w:rsidRDefault="009B774A" w:rsidP="001A0506">
            <w:pPr>
              <w:jc w:val="center"/>
              <w:rPr>
                <w:b/>
                <w:i/>
                <w:sz w:val="25"/>
                <w:szCs w:val="25"/>
              </w:rPr>
            </w:pPr>
          </w:p>
        </w:tc>
        <w:tc>
          <w:tcPr>
            <w:tcW w:w="1554" w:type="dxa"/>
            <w:vAlign w:val="center"/>
          </w:tcPr>
          <w:p w:rsidR="009B774A" w:rsidRPr="00A94035" w:rsidRDefault="009B774A" w:rsidP="001A0506">
            <w:pPr>
              <w:jc w:val="center"/>
              <w:rPr>
                <w:b/>
                <w:i/>
                <w:sz w:val="25"/>
                <w:szCs w:val="25"/>
              </w:rPr>
            </w:pPr>
            <w:r w:rsidRPr="00A94035">
              <w:rPr>
                <w:sz w:val="25"/>
                <w:szCs w:val="25"/>
              </w:rPr>
              <w:t>saskaņā ar valsts budžetu kārtējam gadam</w:t>
            </w:r>
          </w:p>
        </w:tc>
        <w:tc>
          <w:tcPr>
            <w:tcW w:w="1394" w:type="dxa"/>
            <w:vAlign w:val="center"/>
          </w:tcPr>
          <w:p w:rsidR="009B774A" w:rsidRPr="00A94035" w:rsidRDefault="009B774A" w:rsidP="001A0506">
            <w:pPr>
              <w:jc w:val="center"/>
              <w:rPr>
                <w:b/>
                <w:i/>
                <w:sz w:val="25"/>
                <w:szCs w:val="25"/>
              </w:rPr>
            </w:pPr>
            <w:r w:rsidRPr="00A94035">
              <w:rPr>
                <w:sz w:val="25"/>
                <w:szCs w:val="25"/>
              </w:rPr>
              <w:t>izmaiņas kārtējā gadā, salīdzinot ar budžetu kārtējam gadam</w:t>
            </w:r>
          </w:p>
        </w:tc>
        <w:tc>
          <w:tcPr>
            <w:tcW w:w="1189"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c>
          <w:tcPr>
            <w:tcW w:w="1194"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c>
          <w:tcPr>
            <w:tcW w:w="1190"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r>
      <w:tr w:rsidR="009B774A" w:rsidRPr="00A94035" w:rsidTr="009B774A">
        <w:trPr>
          <w:jc w:val="center"/>
        </w:trPr>
        <w:tc>
          <w:tcPr>
            <w:tcW w:w="3688" w:type="dxa"/>
            <w:vAlign w:val="center"/>
          </w:tcPr>
          <w:p w:rsidR="009B774A" w:rsidRPr="00A94035" w:rsidRDefault="009B774A" w:rsidP="001A0506">
            <w:pPr>
              <w:jc w:val="center"/>
              <w:rPr>
                <w:bCs/>
                <w:sz w:val="25"/>
                <w:szCs w:val="25"/>
              </w:rPr>
            </w:pPr>
            <w:r w:rsidRPr="00A94035">
              <w:rPr>
                <w:bCs/>
                <w:sz w:val="25"/>
                <w:szCs w:val="25"/>
              </w:rPr>
              <w:t>1</w:t>
            </w:r>
          </w:p>
        </w:tc>
        <w:tc>
          <w:tcPr>
            <w:tcW w:w="1554" w:type="dxa"/>
            <w:vAlign w:val="center"/>
          </w:tcPr>
          <w:p w:rsidR="009B774A" w:rsidRPr="00A94035" w:rsidRDefault="009B774A" w:rsidP="001A0506">
            <w:pPr>
              <w:jc w:val="center"/>
              <w:rPr>
                <w:bCs/>
                <w:sz w:val="25"/>
                <w:szCs w:val="25"/>
              </w:rPr>
            </w:pPr>
            <w:r w:rsidRPr="00A94035">
              <w:rPr>
                <w:bCs/>
                <w:sz w:val="25"/>
                <w:szCs w:val="25"/>
              </w:rPr>
              <w:t>2</w:t>
            </w:r>
          </w:p>
        </w:tc>
        <w:tc>
          <w:tcPr>
            <w:tcW w:w="1394" w:type="dxa"/>
            <w:vAlign w:val="center"/>
          </w:tcPr>
          <w:p w:rsidR="009B774A" w:rsidRPr="00A94035" w:rsidRDefault="009B774A" w:rsidP="001A0506">
            <w:pPr>
              <w:jc w:val="center"/>
              <w:rPr>
                <w:bCs/>
                <w:sz w:val="25"/>
                <w:szCs w:val="25"/>
              </w:rPr>
            </w:pPr>
            <w:r w:rsidRPr="00A94035">
              <w:rPr>
                <w:bCs/>
                <w:sz w:val="25"/>
                <w:szCs w:val="25"/>
              </w:rPr>
              <w:t>3</w:t>
            </w:r>
          </w:p>
        </w:tc>
        <w:tc>
          <w:tcPr>
            <w:tcW w:w="1189" w:type="dxa"/>
            <w:vAlign w:val="center"/>
          </w:tcPr>
          <w:p w:rsidR="009B774A" w:rsidRPr="00A94035" w:rsidRDefault="009B774A" w:rsidP="001A0506">
            <w:pPr>
              <w:jc w:val="center"/>
              <w:rPr>
                <w:bCs/>
                <w:sz w:val="25"/>
                <w:szCs w:val="25"/>
              </w:rPr>
            </w:pPr>
            <w:r w:rsidRPr="00A94035">
              <w:rPr>
                <w:bCs/>
                <w:sz w:val="25"/>
                <w:szCs w:val="25"/>
              </w:rPr>
              <w:t>4</w:t>
            </w:r>
          </w:p>
        </w:tc>
        <w:tc>
          <w:tcPr>
            <w:tcW w:w="1194" w:type="dxa"/>
            <w:vAlign w:val="center"/>
          </w:tcPr>
          <w:p w:rsidR="009B774A" w:rsidRPr="00A94035" w:rsidRDefault="009B774A" w:rsidP="001A0506">
            <w:pPr>
              <w:jc w:val="center"/>
              <w:rPr>
                <w:bCs/>
                <w:sz w:val="25"/>
                <w:szCs w:val="25"/>
              </w:rPr>
            </w:pPr>
            <w:r w:rsidRPr="00A94035">
              <w:rPr>
                <w:bCs/>
                <w:sz w:val="25"/>
                <w:szCs w:val="25"/>
              </w:rPr>
              <w:t>5</w:t>
            </w:r>
          </w:p>
        </w:tc>
        <w:tc>
          <w:tcPr>
            <w:tcW w:w="1190" w:type="dxa"/>
            <w:vAlign w:val="center"/>
          </w:tcPr>
          <w:p w:rsidR="009B774A" w:rsidRPr="00A94035" w:rsidRDefault="009B774A" w:rsidP="001A0506">
            <w:pPr>
              <w:jc w:val="center"/>
              <w:rPr>
                <w:bCs/>
                <w:sz w:val="25"/>
                <w:szCs w:val="25"/>
              </w:rPr>
            </w:pPr>
            <w:r w:rsidRPr="00A94035">
              <w:rPr>
                <w:bCs/>
                <w:sz w:val="25"/>
                <w:szCs w:val="25"/>
              </w:rPr>
              <w:t>6</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 Budžeta ieņēmumi:</w:t>
            </w:r>
          </w:p>
        </w:tc>
        <w:tc>
          <w:tcPr>
            <w:tcW w:w="1554" w:type="dxa"/>
          </w:tcPr>
          <w:p w:rsidR="0005209B" w:rsidRPr="00685E09" w:rsidRDefault="004A56AF" w:rsidP="0005209B">
            <w:pPr>
              <w:jc w:val="center"/>
              <w:rPr>
                <w:b/>
                <w:sz w:val="25"/>
                <w:szCs w:val="25"/>
              </w:rPr>
            </w:pPr>
            <w:r>
              <w:rPr>
                <w:b/>
                <w:sz w:val="25"/>
                <w:szCs w:val="25"/>
              </w:rPr>
              <w:t>0</w:t>
            </w:r>
          </w:p>
        </w:tc>
        <w:tc>
          <w:tcPr>
            <w:tcW w:w="1394" w:type="dxa"/>
          </w:tcPr>
          <w:p w:rsidR="0005209B" w:rsidRPr="00685E09" w:rsidRDefault="004A56AF" w:rsidP="007A1337">
            <w:pPr>
              <w:jc w:val="center"/>
              <w:rPr>
                <w:b/>
                <w:sz w:val="25"/>
                <w:szCs w:val="25"/>
              </w:rPr>
            </w:pPr>
            <w:r>
              <w:rPr>
                <w:b/>
                <w:sz w:val="25"/>
                <w:szCs w:val="25"/>
              </w:rPr>
              <w:t>0</w:t>
            </w:r>
          </w:p>
        </w:tc>
        <w:tc>
          <w:tcPr>
            <w:tcW w:w="1189" w:type="dxa"/>
          </w:tcPr>
          <w:p w:rsidR="0005209B" w:rsidRPr="00685E09" w:rsidRDefault="0005209B" w:rsidP="0005209B">
            <w:pPr>
              <w:jc w:val="center"/>
              <w:rPr>
                <w:b/>
                <w:sz w:val="25"/>
                <w:szCs w:val="25"/>
              </w:rPr>
            </w:pPr>
            <w:r w:rsidRPr="00685E09">
              <w:rPr>
                <w:b/>
                <w:sz w:val="25"/>
                <w:szCs w:val="25"/>
              </w:rPr>
              <w:t>0</w:t>
            </w:r>
          </w:p>
        </w:tc>
        <w:tc>
          <w:tcPr>
            <w:tcW w:w="1194" w:type="dxa"/>
          </w:tcPr>
          <w:p w:rsidR="0005209B" w:rsidRPr="00685E09" w:rsidRDefault="0005209B" w:rsidP="0005209B">
            <w:pPr>
              <w:jc w:val="center"/>
              <w:rPr>
                <w:b/>
                <w:sz w:val="25"/>
                <w:szCs w:val="25"/>
              </w:rPr>
            </w:pPr>
            <w:r w:rsidRPr="00685E09">
              <w:rPr>
                <w:b/>
                <w:sz w:val="25"/>
                <w:szCs w:val="25"/>
              </w:rPr>
              <w:t>0</w:t>
            </w:r>
          </w:p>
        </w:tc>
        <w:tc>
          <w:tcPr>
            <w:tcW w:w="1190" w:type="dxa"/>
          </w:tcPr>
          <w:p w:rsidR="0005209B" w:rsidRPr="00685E09" w:rsidRDefault="0005209B" w:rsidP="0005209B">
            <w:pPr>
              <w:jc w:val="center"/>
              <w:rPr>
                <w:b/>
                <w:sz w:val="25"/>
                <w:szCs w:val="25"/>
              </w:rPr>
            </w:pPr>
            <w:r w:rsidRPr="00685E09">
              <w:rPr>
                <w:b/>
                <w:sz w:val="25"/>
                <w:szCs w:val="25"/>
              </w:rPr>
              <w:t>0</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1.1. valsts pamatbudžets, tai skaitā ieņēmumi no maksas pakalpojumiem un citi pašu ieņēmumi</w:t>
            </w:r>
          </w:p>
        </w:tc>
        <w:tc>
          <w:tcPr>
            <w:tcW w:w="1554" w:type="dxa"/>
          </w:tcPr>
          <w:p w:rsidR="0005209B" w:rsidRPr="00685E09" w:rsidRDefault="0005209B" w:rsidP="0005209B">
            <w:pPr>
              <w:jc w:val="center"/>
              <w:rPr>
                <w:i/>
                <w:sz w:val="25"/>
                <w:szCs w:val="25"/>
              </w:rPr>
            </w:pPr>
          </w:p>
        </w:tc>
        <w:tc>
          <w:tcPr>
            <w:tcW w:w="1394" w:type="dxa"/>
          </w:tcPr>
          <w:p w:rsidR="0005209B" w:rsidRPr="00685E09" w:rsidRDefault="0005209B" w:rsidP="0005209B">
            <w:pPr>
              <w:jc w:val="center"/>
              <w:rPr>
                <w:i/>
                <w:sz w:val="25"/>
                <w:szCs w:val="25"/>
              </w:rPr>
            </w:pPr>
          </w:p>
        </w:tc>
        <w:tc>
          <w:tcPr>
            <w:tcW w:w="1189" w:type="dxa"/>
          </w:tcPr>
          <w:p w:rsidR="0005209B" w:rsidRPr="00685E09" w:rsidRDefault="0005209B" w:rsidP="0005209B">
            <w:pPr>
              <w:jc w:val="center"/>
              <w:rPr>
                <w:i/>
                <w:sz w:val="25"/>
                <w:szCs w:val="25"/>
              </w:rPr>
            </w:pPr>
          </w:p>
        </w:tc>
        <w:tc>
          <w:tcPr>
            <w:tcW w:w="1194" w:type="dxa"/>
          </w:tcPr>
          <w:p w:rsidR="0005209B" w:rsidRPr="00685E09" w:rsidRDefault="0005209B" w:rsidP="0005209B">
            <w:pPr>
              <w:jc w:val="center"/>
              <w:rPr>
                <w:i/>
                <w:sz w:val="25"/>
                <w:szCs w:val="25"/>
              </w:rPr>
            </w:pPr>
          </w:p>
        </w:tc>
        <w:tc>
          <w:tcPr>
            <w:tcW w:w="1190" w:type="dxa"/>
          </w:tcPr>
          <w:p w:rsidR="0005209B" w:rsidRPr="00685E09" w:rsidRDefault="0005209B" w:rsidP="0005209B">
            <w:pPr>
              <w:jc w:val="center"/>
              <w:rPr>
                <w:i/>
                <w:sz w:val="25"/>
                <w:szCs w:val="25"/>
              </w:rPr>
            </w:pPr>
          </w:p>
        </w:tc>
      </w:tr>
      <w:tr w:rsidR="009B774A" w:rsidRPr="00A94035" w:rsidTr="009B774A">
        <w:trPr>
          <w:jc w:val="center"/>
        </w:trPr>
        <w:tc>
          <w:tcPr>
            <w:tcW w:w="3688" w:type="dxa"/>
          </w:tcPr>
          <w:p w:rsidR="009B774A" w:rsidRPr="00A94035" w:rsidRDefault="009B774A" w:rsidP="001A0506">
            <w:pPr>
              <w:rPr>
                <w:i/>
                <w:sz w:val="25"/>
                <w:szCs w:val="25"/>
              </w:rPr>
            </w:pPr>
            <w:r w:rsidRPr="00A94035">
              <w:rPr>
                <w:sz w:val="25"/>
                <w:szCs w:val="25"/>
              </w:rPr>
              <w:t>1.2. valsts speciālais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i/>
                <w:sz w:val="25"/>
                <w:szCs w:val="25"/>
              </w:rPr>
            </w:pPr>
            <w:r w:rsidRPr="00A94035">
              <w:rPr>
                <w:sz w:val="25"/>
                <w:szCs w:val="25"/>
              </w:rPr>
              <w:t>1.3. pašvaldību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7A1337" w:rsidRPr="00A94035" w:rsidTr="009B774A">
        <w:trPr>
          <w:jc w:val="center"/>
        </w:trPr>
        <w:tc>
          <w:tcPr>
            <w:tcW w:w="3688" w:type="dxa"/>
          </w:tcPr>
          <w:p w:rsidR="007A1337" w:rsidRPr="00A94035" w:rsidRDefault="007A1337" w:rsidP="007A1337">
            <w:pPr>
              <w:rPr>
                <w:sz w:val="25"/>
                <w:szCs w:val="25"/>
              </w:rPr>
            </w:pPr>
            <w:r w:rsidRPr="00A94035">
              <w:rPr>
                <w:sz w:val="25"/>
                <w:szCs w:val="25"/>
              </w:rPr>
              <w:t>2. Budžeta izdevumi:</w:t>
            </w:r>
          </w:p>
        </w:tc>
        <w:tc>
          <w:tcPr>
            <w:tcW w:w="1554" w:type="dxa"/>
          </w:tcPr>
          <w:p w:rsidR="007A1337" w:rsidRPr="00685E09" w:rsidRDefault="007A1337" w:rsidP="007A1337">
            <w:pPr>
              <w:jc w:val="center"/>
              <w:rPr>
                <w:b/>
                <w:sz w:val="25"/>
                <w:szCs w:val="25"/>
              </w:rPr>
            </w:pPr>
            <w:r>
              <w:rPr>
                <w:b/>
                <w:sz w:val="25"/>
                <w:szCs w:val="25"/>
              </w:rPr>
              <w:t>0</w:t>
            </w:r>
          </w:p>
        </w:tc>
        <w:tc>
          <w:tcPr>
            <w:tcW w:w="1394" w:type="dxa"/>
          </w:tcPr>
          <w:p w:rsidR="007A1337" w:rsidRPr="00685E09" w:rsidRDefault="007A1337" w:rsidP="007A1337">
            <w:pPr>
              <w:jc w:val="center"/>
              <w:rPr>
                <w:b/>
                <w:sz w:val="25"/>
                <w:szCs w:val="25"/>
              </w:rPr>
            </w:pPr>
            <w:r>
              <w:rPr>
                <w:b/>
                <w:sz w:val="25"/>
                <w:szCs w:val="25"/>
              </w:rPr>
              <w:t>0</w:t>
            </w:r>
          </w:p>
        </w:tc>
        <w:tc>
          <w:tcPr>
            <w:tcW w:w="1189" w:type="dxa"/>
          </w:tcPr>
          <w:p w:rsidR="007A1337" w:rsidRPr="00685E09" w:rsidRDefault="007A1337" w:rsidP="007A1337">
            <w:pPr>
              <w:jc w:val="center"/>
              <w:rPr>
                <w:b/>
                <w:sz w:val="25"/>
                <w:szCs w:val="25"/>
              </w:rPr>
            </w:pPr>
            <w:r w:rsidRPr="00685E09">
              <w:rPr>
                <w:b/>
                <w:sz w:val="25"/>
                <w:szCs w:val="25"/>
              </w:rPr>
              <w:t>0</w:t>
            </w:r>
          </w:p>
        </w:tc>
        <w:tc>
          <w:tcPr>
            <w:tcW w:w="1194" w:type="dxa"/>
          </w:tcPr>
          <w:p w:rsidR="007A1337" w:rsidRPr="00685E09" w:rsidRDefault="007A1337" w:rsidP="007A1337">
            <w:pPr>
              <w:jc w:val="center"/>
              <w:rPr>
                <w:b/>
                <w:sz w:val="25"/>
                <w:szCs w:val="25"/>
              </w:rPr>
            </w:pPr>
            <w:r w:rsidRPr="00685E09">
              <w:rPr>
                <w:b/>
                <w:sz w:val="25"/>
                <w:szCs w:val="25"/>
              </w:rPr>
              <w:t>0</w:t>
            </w:r>
          </w:p>
        </w:tc>
        <w:tc>
          <w:tcPr>
            <w:tcW w:w="1190" w:type="dxa"/>
          </w:tcPr>
          <w:p w:rsidR="007A1337" w:rsidRPr="00685E09" w:rsidRDefault="007A1337" w:rsidP="007A1337">
            <w:pPr>
              <w:jc w:val="center"/>
              <w:rPr>
                <w:b/>
                <w:sz w:val="25"/>
                <w:szCs w:val="25"/>
              </w:rPr>
            </w:pPr>
            <w:r w:rsidRPr="00685E09">
              <w:rPr>
                <w:b/>
                <w:sz w:val="25"/>
                <w:szCs w:val="25"/>
              </w:rPr>
              <w:t>0</w:t>
            </w:r>
          </w:p>
        </w:tc>
      </w:tr>
      <w:tr w:rsidR="007A1337" w:rsidRPr="00A94035" w:rsidTr="009B774A">
        <w:trPr>
          <w:jc w:val="center"/>
        </w:trPr>
        <w:tc>
          <w:tcPr>
            <w:tcW w:w="3688" w:type="dxa"/>
          </w:tcPr>
          <w:p w:rsidR="007A1337" w:rsidRPr="00A94035" w:rsidRDefault="007A1337" w:rsidP="007A1337">
            <w:pPr>
              <w:rPr>
                <w:sz w:val="25"/>
                <w:szCs w:val="25"/>
              </w:rPr>
            </w:pPr>
            <w:r w:rsidRPr="00A94035">
              <w:rPr>
                <w:sz w:val="25"/>
                <w:szCs w:val="25"/>
              </w:rPr>
              <w:t>2.1. valsts pamatbudžets</w:t>
            </w:r>
          </w:p>
        </w:tc>
        <w:tc>
          <w:tcPr>
            <w:tcW w:w="1554" w:type="dxa"/>
          </w:tcPr>
          <w:p w:rsidR="007A1337" w:rsidRPr="00685E09" w:rsidRDefault="007A1337" w:rsidP="007A1337">
            <w:pPr>
              <w:jc w:val="center"/>
              <w:rPr>
                <w:i/>
                <w:sz w:val="25"/>
                <w:szCs w:val="25"/>
              </w:rPr>
            </w:pPr>
            <w:r>
              <w:rPr>
                <w:i/>
                <w:sz w:val="25"/>
                <w:szCs w:val="25"/>
              </w:rPr>
              <w:t>0</w:t>
            </w:r>
          </w:p>
        </w:tc>
        <w:tc>
          <w:tcPr>
            <w:tcW w:w="1394" w:type="dxa"/>
          </w:tcPr>
          <w:p w:rsidR="007A1337" w:rsidRPr="00685E09" w:rsidRDefault="007A1337" w:rsidP="007A1337">
            <w:pPr>
              <w:jc w:val="center"/>
              <w:rPr>
                <w:i/>
                <w:sz w:val="25"/>
                <w:szCs w:val="25"/>
              </w:rPr>
            </w:pPr>
            <w:r>
              <w:rPr>
                <w:i/>
                <w:sz w:val="25"/>
                <w:szCs w:val="25"/>
              </w:rPr>
              <w:t>0</w:t>
            </w:r>
          </w:p>
        </w:tc>
        <w:tc>
          <w:tcPr>
            <w:tcW w:w="1189" w:type="dxa"/>
          </w:tcPr>
          <w:p w:rsidR="007A1337" w:rsidRPr="00685E09" w:rsidRDefault="007A1337" w:rsidP="007A1337">
            <w:pPr>
              <w:jc w:val="center"/>
              <w:rPr>
                <w:i/>
                <w:sz w:val="25"/>
                <w:szCs w:val="25"/>
              </w:rPr>
            </w:pPr>
            <w:r w:rsidRPr="00685E09">
              <w:rPr>
                <w:i/>
                <w:sz w:val="25"/>
                <w:szCs w:val="25"/>
              </w:rPr>
              <w:t>0</w:t>
            </w:r>
          </w:p>
        </w:tc>
        <w:tc>
          <w:tcPr>
            <w:tcW w:w="1194" w:type="dxa"/>
          </w:tcPr>
          <w:p w:rsidR="007A1337" w:rsidRPr="00685E09" w:rsidRDefault="007A1337" w:rsidP="007A1337">
            <w:pPr>
              <w:jc w:val="center"/>
              <w:rPr>
                <w:i/>
                <w:sz w:val="25"/>
                <w:szCs w:val="25"/>
              </w:rPr>
            </w:pPr>
            <w:r w:rsidRPr="00685E09">
              <w:rPr>
                <w:i/>
                <w:sz w:val="25"/>
                <w:szCs w:val="25"/>
              </w:rPr>
              <w:t>0</w:t>
            </w:r>
          </w:p>
        </w:tc>
        <w:tc>
          <w:tcPr>
            <w:tcW w:w="1190" w:type="dxa"/>
          </w:tcPr>
          <w:p w:rsidR="007A1337" w:rsidRPr="00685E09" w:rsidRDefault="007A1337" w:rsidP="007A1337">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2.2. valsts speciālais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2.3. pašvaldību budžets </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7A1337" w:rsidRPr="00A94035" w:rsidTr="001A0506">
        <w:trPr>
          <w:jc w:val="center"/>
        </w:trPr>
        <w:tc>
          <w:tcPr>
            <w:tcW w:w="3688" w:type="dxa"/>
          </w:tcPr>
          <w:p w:rsidR="007A1337" w:rsidRPr="00A94035" w:rsidRDefault="007A1337" w:rsidP="007A1337">
            <w:pPr>
              <w:rPr>
                <w:sz w:val="25"/>
                <w:szCs w:val="25"/>
              </w:rPr>
            </w:pPr>
            <w:r w:rsidRPr="00A94035">
              <w:rPr>
                <w:sz w:val="25"/>
                <w:szCs w:val="25"/>
              </w:rPr>
              <w:lastRenderedPageBreak/>
              <w:t>3. Finansiālā ietekme:</w:t>
            </w:r>
          </w:p>
        </w:tc>
        <w:tc>
          <w:tcPr>
            <w:tcW w:w="1554" w:type="dxa"/>
            <w:shd w:val="clear" w:color="auto" w:fill="auto"/>
          </w:tcPr>
          <w:p w:rsidR="007A1337" w:rsidRPr="00685E09" w:rsidRDefault="004A56AF" w:rsidP="007A1337">
            <w:pPr>
              <w:jc w:val="center"/>
              <w:rPr>
                <w:b/>
                <w:sz w:val="25"/>
                <w:szCs w:val="25"/>
              </w:rPr>
            </w:pPr>
            <w:r>
              <w:rPr>
                <w:b/>
                <w:sz w:val="25"/>
                <w:szCs w:val="25"/>
              </w:rPr>
              <w:t>0</w:t>
            </w:r>
          </w:p>
        </w:tc>
        <w:tc>
          <w:tcPr>
            <w:tcW w:w="1394" w:type="dxa"/>
          </w:tcPr>
          <w:p w:rsidR="007A1337" w:rsidRPr="00685E09" w:rsidRDefault="004A56AF" w:rsidP="007A1337">
            <w:pPr>
              <w:jc w:val="center"/>
              <w:rPr>
                <w:b/>
                <w:sz w:val="25"/>
                <w:szCs w:val="25"/>
              </w:rPr>
            </w:pPr>
            <w:r>
              <w:rPr>
                <w:b/>
                <w:sz w:val="25"/>
                <w:szCs w:val="25"/>
              </w:rPr>
              <w:t>0</w:t>
            </w:r>
          </w:p>
        </w:tc>
        <w:tc>
          <w:tcPr>
            <w:tcW w:w="1189" w:type="dxa"/>
          </w:tcPr>
          <w:p w:rsidR="007A1337" w:rsidRPr="00685E09" w:rsidRDefault="007A1337" w:rsidP="007A1337">
            <w:pPr>
              <w:jc w:val="center"/>
              <w:rPr>
                <w:b/>
                <w:sz w:val="25"/>
                <w:szCs w:val="25"/>
              </w:rPr>
            </w:pPr>
            <w:r w:rsidRPr="00685E09">
              <w:rPr>
                <w:b/>
                <w:sz w:val="25"/>
                <w:szCs w:val="25"/>
              </w:rPr>
              <w:t>0</w:t>
            </w:r>
          </w:p>
        </w:tc>
        <w:tc>
          <w:tcPr>
            <w:tcW w:w="1194" w:type="dxa"/>
          </w:tcPr>
          <w:p w:rsidR="007A1337" w:rsidRPr="00685E09" w:rsidRDefault="007A1337" w:rsidP="007A1337">
            <w:pPr>
              <w:jc w:val="center"/>
              <w:rPr>
                <w:b/>
                <w:sz w:val="25"/>
                <w:szCs w:val="25"/>
              </w:rPr>
            </w:pPr>
            <w:r w:rsidRPr="00685E09">
              <w:rPr>
                <w:b/>
                <w:sz w:val="25"/>
                <w:szCs w:val="25"/>
              </w:rPr>
              <w:t>0</w:t>
            </w:r>
          </w:p>
        </w:tc>
        <w:tc>
          <w:tcPr>
            <w:tcW w:w="1190" w:type="dxa"/>
          </w:tcPr>
          <w:p w:rsidR="007A1337" w:rsidRPr="00685E09" w:rsidRDefault="007A1337" w:rsidP="007A1337">
            <w:pPr>
              <w:jc w:val="center"/>
              <w:rPr>
                <w:b/>
                <w:sz w:val="25"/>
                <w:szCs w:val="25"/>
              </w:rPr>
            </w:pPr>
            <w:r w:rsidRPr="00685E09">
              <w:rPr>
                <w:b/>
                <w:sz w:val="25"/>
                <w:szCs w:val="25"/>
              </w:rPr>
              <w:t>0</w:t>
            </w:r>
          </w:p>
        </w:tc>
      </w:tr>
      <w:tr w:rsidR="004A56AF" w:rsidRPr="00A94035" w:rsidTr="009B774A">
        <w:trPr>
          <w:jc w:val="center"/>
        </w:trPr>
        <w:tc>
          <w:tcPr>
            <w:tcW w:w="3688" w:type="dxa"/>
          </w:tcPr>
          <w:p w:rsidR="004A56AF" w:rsidRPr="00A94035" w:rsidRDefault="004A56AF" w:rsidP="004A56AF">
            <w:pPr>
              <w:rPr>
                <w:sz w:val="25"/>
                <w:szCs w:val="25"/>
              </w:rPr>
            </w:pPr>
            <w:r w:rsidRPr="00A94035">
              <w:rPr>
                <w:sz w:val="25"/>
                <w:szCs w:val="25"/>
              </w:rPr>
              <w:t>3.1. valsts pamatbudžets</w:t>
            </w:r>
          </w:p>
        </w:tc>
        <w:tc>
          <w:tcPr>
            <w:tcW w:w="1554" w:type="dxa"/>
            <w:shd w:val="clear" w:color="auto" w:fill="auto"/>
          </w:tcPr>
          <w:p w:rsidR="004A56AF" w:rsidRPr="00685E09" w:rsidRDefault="004A56AF" w:rsidP="004A56AF">
            <w:pPr>
              <w:jc w:val="center"/>
              <w:rPr>
                <w:i/>
                <w:sz w:val="25"/>
                <w:szCs w:val="25"/>
              </w:rPr>
            </w:pPr>
            <w:r>
              <w:rPr>
                <w:i/>
                <w:sz w:val="25"/>
                <w:szCs w:val="25"/>
              </w:rPr>
              <w:t>0</w:t>
            </w:r>
          </w:p>
        </w:tc>
        <w:tc>
          <w:tcPr>
            <w:tcW w:w="1394" w:type="dxa"/>
          </w:tcPr>
          <w:p w:rsidR="004A56AF" w:rsidRPr="00685E09" w:rsidRDefault="004A56AF" w:rsidP="004A56AF">
            <w:pPr>
              <w:jc w:val="center"/>
              <w:rPr>
                <w:i/>
                <w:sz w:val="25"/>
                <w:szCs w:val="25"/>
              </w:rPr>
            </w:pPr>
            <w:r>
              <w:rPr>
                <w:i/>
                <w:sz w:val="25"/>
                <w:szCs w:val="25"/>
              </w:rPr>
              <w:t>0</w:t>
            </w:r>
          </w:p>
        </w:tc>
        <w:tc>
          <w:tcPr>
            <w:tcW w:w="1189" w:type="dxa"/>
          </w:tcPr>
          <w:p w:rsidR="004A56AF" w:rsidRPr="00685E09" w:rsidRDefault="004A56AF" w:rsidP="004A56AF">
            <w:pPr>
              <w:jc w:val="center"/>
              <w:rPr>
                <w:i/>
                <w:sz w:val="25"/>
                <w:szCs w:val="25"/>
              </w:rPr>
            </w:pPr>
            <w:r w:rsidRPr="00685E09">
              <w:rPr>
                <w:i/>
                <w:sz w:val="25"/>
                <w:szCs w:val="25"/>
              </w:rPr>
              <w:t>0</w:t>
            </w:r>
          </w:p>
        </w:tc>
        <w:tc>
          <w:tcPr>
            <w:tcW w:w="1194" w:type="dxa"/>
          </w:tcPr>
          <w:p w:rsidR="004A56AF" w:rsidRPr="00685E09" w:rsidRDefault="004A56AF" w:rsidP="004A56AF">
            <w:pPr>
              <w:jc w:val="center"/>
              <w:rPr>
                <w:i/>
                <w:sz w:val="25"/>
                <w:szCs w:val="25"/>
              </w:rPr>
            </w:pPr>
            <w:r w:rsidRPr="00685E09">
              <w:rPr>
                <w:i/>
                <w:sz w:val="25"/>
                <w:szCs w:val="25"/>
              </w:rPr>
              <w:t>0</w:t>
            </w:r>
          </w:p>
        </w:tc>
        <w:tc>
          <w:tcPr>
            <w:tcW w:w="1190" w:type="dxa"/>
          </w:tcPr>
          <w:p w:rsidR="004A56AF" w:rsidRPr="00685E09" w:rsidRDefault="004A56AF" w:rsidP="004A56AF">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3.2. speciālais budžets</w:t>
            </w:r>
          </w:p>
        </w:tc>
        <w:tc>
          <w:tcPr>
            <w:tcW w:w="1554" w:type="dxa"/>
            <w:shd w:val="clear" w:color="auto" w:fill="auto"/>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3.3. pašvaldību budžets </w:t>
            </w:r>
          </w:p>
        </w:tc>
        <w:tc>
          <w:tcPr>
            <w:tcW w:w="1554" w:type="dxa"/>
            <w:shd w:val="clear" w:color="auto" w:fill="auto"/>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vMerge w:val="restart"/>
          </w:tcPr>
          <w:p w:rsidR="009B774A" w:rsidRPr="00A94035" w:rsidRDefault="009B774A" w:rsidP="001A0506">
            <w:pPr>
              <w:rPr>
                <w:sz w:val="25"/>
                <w:szCs w:val="25"/>
              </w:rPr>
            </w:pPr>
            <w:r w:rsidRPr="00A94035">
              <w:rPr>
                <w:sz w:val="25"/>
                <w:szCs w:val="25"/>
              </w:rPr>
              <w:t>4. Finanšu līdzekļi papildu izdevumu finansēšanai (kompensējošu izdevumu samazinājumu norāda ar "+" zīmi)</w:t>
            </w:r>
          </w:p>
        </w:tc>
        <w:tc>
          <w:tcPr>
            <w:tcW w:w="1554" w:type="dxa"/>
            <w:vMerge w:val="restart"/>
          </w:tcPr>
          <w:p w:rsidR="009B774A" w:rsidRPr="00A94035" w:rsidRDefault="009B774A" w:rsidP="001A0506">
            <w:pPr>
              <w:jc w:val="center"/>
              <w:rPr>
                <w:i/>
                <w:sz w:val="25"/>
                <w:szCs w:val="25"/>
              </w:rPr>
            </w:pPr>
            <w:r w:rsidRPr="00A94035">
              <w:rPr>
                <w:sz w:val="25"/>
                <w:szCs w:val="25"/>
              </w:rPr>
              <w:t>X</w:t>
            </w:r>
          </w:p>
        </w:tc>
        <w:tc>
          <w:tcPr>
            <w:tcW w:w="1394" w:type="dxa"/>
          </w:tcPr>
          <w:p w:rsidR="009B774A" w:rsidRPr="00A94035" w:rsidRDefault="007A1337" w:rsidP="001A0506">
            <w:pPr>
              <w:jc w:val="center"/>
              <w:rPr>
                <w:sz w:val="25"/>
                <w:szCs w:val="25"/>
              </w:rPr>
            </w:pPr>
            <w:r>
              <w:rPr>
                <w:sz w:val="25"/>
                <w:szCs w:val="25"/>
              </w:rPr>
              <w:t>0</w:t>
            </w:r>
          </w:p>
        </w:tc>
        <w:tc>
          <w:tcPr>
            <w:tcW w:w="1189" w:type="dxa"/>
          </w:tcPr>
          <w:p w:rsidR="009B774A" w:rsidRPr="00A94035" w:rsidRDefault="009B774A" w:rsidP="001A0506">
            <w:pPr>
              <w:jc w:val="center"/>
              <w:rPr>
                <w:sz w:val="25"/>
                <w:szCs w:val="25"/>
              </w:rPr>
            </w:pPr>
            <w:r w:rsidRPr="00A94035">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vMerge/>
          </w:tcPr>
          <w:p w:rsidR="009B774A" w:rsidRPr="00A94035" w:rsidRDefault="009B774A" w:rsidP="001A0506">
            <w:pPr>
              <w:rPr>
                <w:sz w:val="25"/>
                <w:szCs w:val="25"/>
              </w:rPr>
            </w:pPr>
          </w:p>
        </w:tc>
        <w:tc>
          <w:tcPr>
            <w:tcW w:w="1554" w:type="dxa"/>
            <w:vMerge/>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vMerge/>
          </w:tcPr>
          <w:p w:rsidR="009B774A" w:rsidRPr="00A94035" w:rsidRDefault="009B774A" w:rsidP="001A0506">
            <w:pPr>
              <w:rPr>
                <w:sz w:val="25"/>
                <w:szCs w:val="25"/>
              </w:rPr>
            </w:pPr>
          </w:p>
        </w:tc>
        <w:tc>
          <w:tcPr>
            <w:tcW w:w="1554" w:type="dxa"/>
            <w:vMerge/>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 Precizēta finansiālā ietekme:</w:t>
            </w:r>
          </w:p>
        </w:tc>
        <w:tc>
          <w:tcPr>
            <w:tcW w:w="1554" w:type="dxa"/>
            <w:vMerge w:val="restart"/>
          </w:tcPr>
          <w:p w:rsidR="009B774A" w:rsidRPr="00A94035" w:rsidRDefault="009B774A" w:rsidP="001A0506">
            <w:pPr>
              <w:jc w:val="center"/>
              <w:rPr>
                <w:i/>
                <w:sz w:val="25"/>
                <w:szCs w:val="25"/>
              </w:rPr>
            </w:pPr>
            <w:r w:rsidRPr="00A94035">
              <w:rPr>
                <w:sz w:val="25"/>
                <w:szCs w:val="25"/>
              </w:rPr>
              <w:t>X</w:t>
            </w:r>
          </w:p>
        </w:tc>
        <w:tc>
          <w:tcPr>
            <w:tcW w:w="1394" w:type="dxa"/>
          </w:tcPr>
          <w:p w:rsidR="009B774A" w:rsidRPr="00A94035" w:rsidRDefault="009B774A" w:rsidP="001A0506">
            <w:pPr>
              <w:jc w:val="center"/>
              <w:rPr>
                <w:sz w:val="25"/>
                <w:szCs w:val="25"/>
              </w:rPr>
            </w:pPr>
            <w:r w:rsidRPr="00A94035">
              <w:rPr>
                <w:sz w:val="25"/>
                <w:szCs w:val="25"/>
              </w:rPr>
              <w:t>0</w:t>
            </w:r>
          </w:p>
        </w:tc>
        <w:tc>
          <w:tcPr>
            <w:tcW w:w="1189" w:type="dxa"/>
          </w:tcPr>
          <w:p w:rsidR="009B774A" w:rsidRPr="00A94035" w:rsidRDefault="009B774A" w:rsidP="001A0506">
            <w:pPr>
              <w:jc w:val="center"/>
              <w:rPr>
                <w:sz w:val="25"/>
                <w:szCs w:val="25"/>
              </w:rPr>
            </w:pPr>
            <w:r>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5.1. valsts pamatbudžets</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r w:rsidRPr="00A94035">
              <w:rPr>
                <w:sz w:val="25"/>
                <w:szCs w:val="25"/>
              </w:rPr>
              <w:t>0</w:t>
            </w:r>
          </w:p>
        </w:tc>
        <w:tc>
          <w:tcPr>
            <w:tcW w:w="1189" w:type="dxa"/>
          </w:tcPr>
          <w:p w:rsidR="009B774A" w:rsidRPr="00A94035" w:rsidRDefault="009B774A" w:rsidP="001A0506">
            <w:pPr>
              <w:jc w:val="center"/>
              <w:rPr>
                <w:sz w:val="25"/>
                <w:szCs w:val="25"/>
              </w:rPr>
            </w:pPr>
            <w:r>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5.2. speciālais budžets</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5.3. pašvaldību budžets </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 Detalizēts ieņēmumu un izdevumu aprēķins (ja nepie</w:t>
            </w:r>
            <w:r w:rsidRPr="00A94035">
              <w:rPr>
                <w:sz w:val="25"/>
                <w:szCs w:val="25"/>
              </w:rPr>
              <w:softHyphen/>
              <w:t>ciešams, detalizētu ieņēmumu un izdevumu aprēķinu var pie</w:t>
            </w:r>
            <w:r w:rsidRPr="00A94035">
              <w:rPr>
                <w:sz w:val="25"/>
                <w:szCs w:val="25"/>
              </w:rPr>
              <w:softHyphen/>
              <w:t>vienot anotācijas pielikumā):</w:t>
            </w:r>
          </w:p>
        </w:tc>
        <w:tc>
          <w:tcPr>
            <w:tcW w:w="6521" w:type="dxa"/>
            <w:gridSpan w:val="5"/>
            <w:vMerge w:val="restart"/>
            <w:shd w:val="clear" w:color="auto" w:fill="auto"/>
          </w:tcPr>
          <w:p w:rsidR="005134ED" w:rsidRPr="00D90152" w:rsidRDefault="00D90152" w:rsidP="00760EF9">
            <w:pPr>
              <w:jc w:val="both"/>
              <w:rPr>
                <w:sz w:val="25"/>
                <w:szCs w:val="25"/>
              </w:rPr>
            </w:pPr>
            <w:r w:rsidRPr="00D90152">
              <w:rPr>
                <w:sz w:val="25"/>
                <w:szCs w:val="25"/>
              </w:rPr>
              <w:t xml:space="preserve">Izdevumi 2014.gada valsts budžeta programmas 09.00.00 “Sports” apakšprogrammā 09.10.00 “Murjāņu sporta ģimnāzija” par </w:t>
            </w:r>
            <w:r w:rsidRPr="00D90152">
              <w:rPr>
                <w:sz w:val="25"/>
                <w:szCs w:val="25"/>
                <w:lang w:eastAsia="en-US"/>
              </w:rPr>
              <w:t>4</w:t>
            </w:r>
            <w:r w:rsidR="00760EF9">
              <w:rPr>
                <w:sz w:val="25"/>
                <w:szCs w:val="25"/>
                <w:lang w:eastAsia="en-US"/>
              </w:rPr>
              <w:t>`</w:t>
            </w:r>
            <w:r w:rsidRPr="00D90152">
              <w:rPr>
                <w:sz w:val="25"/>
                <w:szCs w:val="25"/>
                <w:lang w:eastAsia="en-US"/>
              </w:rPr>
              <w:t>449</w:t>
            </w:r>
            <w:r w:rsidR="00760EF9">
              <w:rPr>
                <w:sz w:val="25"/>
                <w:szCs w:val="25"/>
                <w:lang w:eastAsia="en-US"/>
              </w:rPr>
              <w:t>`</w:t>
            </w:r>
            <w:r w:rsidRPr="00D90152">
              <w:rPr>
                <w:sz w:val="25"/>
                <w:szCs w:val="25"/>
                <w:lang w:eastAsia="en-US"/>
              </w:rPr>
              <w:t xml:space="preserve">169 </w:t>
            </w:r>
            <w:r w:rsidRPr="00D90152">
              <w:rPr>
                <w:i/>
                <w:sz w:val="25"/>
                <w:szCs w:val="25"/>
                <w:lang w:eastAsia="en-US"/>
              </w:rPr>
              <w:t>euro</w:t>
            </w:r>
            <w:r w:rsidRPr="00D90152">
              <w:rPr>
                <w:sz w:val="25"/>
                <w:szCs w:val="25"/>
                <w:lang w:eastAsia="en-US"/>
              </w:rPr>
              <w:t xml:space="preserve"> </w:t>
            </w:r>
            <w:r w:rsidRPr="00D90152">
              <w:rPr>
                <w:sz w:val="25"/>
                <w:szCs w:val="25"/>
              </w:rPr>
              <w:t xml:space="preserve">samazināsies, bet attiecīgi par </w:t>
            </w:r>
            <w:r w:rsidR="005D2257">
              <w:rPr>
                <w:sz w:val="25"/>
                <w:szCs w:val="25"/>
              </w:rPr>
              <w:br/>
            </w:r>
            <w:r w:rsidRPr="00D90152">
              <w:rPr>
                <w:sz w:val="25"/>
                <w:szCs w:val="25"/>
                <w:lang w:eastAsia="en-US"/>
              </w:rPr>
              <w:t>4</w:t>
            </w:r>
            <w:r w:rsidR="00760EF9">
              <w:rPr>
                <w:sz w:val="25"/>
                <w:szCs w:val="25"/>
                <w:lang w:eastAsia="en-US"/>
              </w:rPr>
              <w:t>`</w:t>
            </w:r>
            <w:r w:rsidRPr="00D90152">
              <w:rPr>
                <w:sz w:val="25"/>
                <w:szCs w:val="25"/>
                <w:lang w:eastAsia="en-US"/>
              </w:rPr>
              <w:t>449</w:t>
            </w:r>
            <w:r w:rsidR="00760EF9">
              <w:rPr>
                <w:sz w:val="25"/>
                <w:szCs w:val="25"/>
                <w:lang w:eastAsia="en-US"/>
              </w:rPr>
              <w:t xml:space="preserve">`169 </w:t>
            </w:r>
            <w:r w:rsidRPr="00D90152">
              <w:rPr>
                <w:i/>
                <w:sz w:val="25"/>
                <w:szCs w:val="25"/>
                <w:lang w:eastAsia="en-US"/>
              </w:rPr>
              <w:t>euro</w:t>
            </w:r>
            <w:r w:rsidRPr="00D90152">
              <w:rPr>
                <w:sz w:val="25"/>
                <w:szCs w:val="25"/>
                <w:lang w:eastAsia="en-US"/>
              </w:rPr>
              <w:t xml:space="preserve"> </w:t>
            </w:r>
            <w:r w:rsidRPr="00D90152">
              <w:rPr>
                <w:sz w:val="25"/>
                <w:szCs w:val="25"/>
              </w:rPr>
              <w:t>palielināsies 2014.gada valsts budžeta programmas 09.00.00 “Sports” apakšprogrammā 09.04</w:t>
            </w:r>
            <w:r w:rsidR="005D2257">
              <w:rPr>
                <w:sz w:val="25"/>
                <w:szCs w:val="25"/>
              </w:rPr>
              <w:t>.00 “</w:t>
            </w:r>
            <w:r w:rsidRPr="00D90152">
              <w:rPr>
                <w:sz w:val="25"/>
                <w:szCs w:val="25"/>
              </w:rPr>
              <w:t>Sporta būves” paredzētie līdzekļi.</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6.1. detalizēts ieņēmumu aprēķins</w:t>
            </w:r>
          </w:p>
        </w:tc>
        <w:tc>
          <w:tcPr>
            <w:tcW w:w="6521" w:type="dxa"/>
            <w:gridSpan w:val="5"/>
            <w:vMerge/>
            <w:shd w:val="clear" w:color="auto" w:fill="auto"/>
          </w:tcPr>
          <w:p w:rsidR="009B774A" w:rsidRPr="00A94035" w:rsidRDefault="009B774A" w:rsidP="001A0506">
            <w:pPr>
              <w:rPr>
                <w:b/>
                <w:i/>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6.2. detalizēts izdevumu aprēķins</w:t>
            </w:r>
          </w:p>
        </w:tc>
        <w:tc>
          <w:tcPr>
            <w:tcW w:w="6521" w:type="dxa"/>
            <w:gridSpan w:val="5"/>
            <w:vMerge/>
            <w:shd w:val="clear" w:color="auto" w:fill="auto"/>
          </w:tcPr>
          <w:p w:rsidR="009B774A" w:rsidRPr="00A94035" w:rsidRDefault="009B774A" w:rsidP="001A0506">
            <w:pPr>
              <w:rPr>
                <w:b/>
                <w:i/>
                <w:sz w:val="25"/>
                <w:szCs w:val="25"/>
              </w:rPr>
            </w:pPr>
          </w:p>
        </w:tc>
      </w:tr>
      <w:tr w:rsidR="009B774A" w:rsidRPr="00A94035" w:rsidTr="0012249E">
        <w:trPr>
          <w:trHeight w:val="399"/>
          <w:jc w:val="center"/>
        </w:trPr>
        <w:tc>
          <w:tcPr>
            <w:tcW w:w="3688" w:type="dxa"/>
          </w:tcPr>
          <w:p w:rsidR="009B774A" w:rsidRPr="00A94035" w:rsidRDefault="009B774A" w:rsidP="001A0506">
            <w:pPr>
              <w:rPr>
                <w:sz w:val="25"/>
                <w:szCs w:val="25"/>
              </w:rPr>
            </w:pPr>
            <w:r w:rsidRPr="00A94035">
              <w:rPr>
                <w:sz w:val="25"/>
                <w:szCs w:val="25"/>
              </w:rPr>
              <w:t>7. Cita informācija</w:t>
            </w:r>
          </w:p>
        </w:tc>
        <w:tc>
          <w:tcPr>
            <w:tcW w:w="6521" w:type="dxa"/>
            <w:gridSpan w:val="5"/>
            <w:shd w:val="clear" w:color="auto" w:fill="auto"/>
          </w:tcPr>
          <w:p w:rsidR="009B774A" w:rsidRPr="00C63403" w:rsidRDefault="00D26C8A" w:rsidP="00D26C8A">
            <w:pPr>
              <w:jc w:val="both"/>
              <w:rPr>
                <w:sz w:val="25"/>
                <w:szCs w:val="25"/>
              </w:rPr>
            </w:pPr>
            <w:r w:rsidRPr="00D26C8A">
              <w:rPr>
                <w:sz w:val="25"/>
                <w:szCs w:val="25"/>
              </w:rPr>
              <w:t xml:space="preserve">Pēc </w:t>
            </w:r>
            <w:r>
              <w:rPr>
                <w:sz w:val="25"/>
                <w:szCs w:val="25"/>
              </w:rPr>
              <w:t xml:space="preserve">Ministru kabineta rīkojuma </w:t>
            </w:r>
            <w:r w:rsidRPr="00D26C8A">
              <w:rPr>
                <w:sz w:val="25"/>
                <w:szCs w:val="25"/>
              </w:rPr>
              <w:t xml:space="preserve">projekta pieņemšanas </w:t>
            </w:r>
            <w:r>
              <w:rPr>
                <w:sz w:val="25"/>
                <w:szCs w:val="25"/>
              </w:rPr>
              <w:t>IZM</w:t>
            </w:r>
            <w:r w:rsidRPr="00D26C8A">
              <w:rPr>
                <w:sz w:val="25"/>
                <w:szCs w:val="25"/>
              </w:rPr>
              <w:t xml:space="preserve"> normatīvajos aktos noteiktā kārtībā sagatavos un iesniegs Finanšu ministrijā pieprasījumu valsts budžeta apropriācijas pārdalei.</w:t>
            </w:r>
          </w:p>
        </w:tc>
      </w:tr>
    </w:tbl>
    <w:p w:rsidR="009B774A" w:rsidRDefault="009B774A" w:rsidP="009B774A">
      <w:pPr>
        <w:pStyle w:val="naisf"/>
        <w:tabs>
          <w:tab w:val="left" w:pos="3819"/>
        </w:tabs>
        <w:spacing w:before="0" w:after="0"/>
        <w:ind w:firstLine="0"/>
        <w:rPr>
          <w:sz w:val="26"/>
          <w:szCs w:val="26"/>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w:t>
      </w:r>
      <w:r w:rsidR="006F5778">
        <w:rPr>
          <w:i/>
          <w:sz w:val="26"/>
          <w:szCs w:val="26"/>
        </w:rPr>
        <w:t xml:space="preserve">IV, </w:t>
      </w:r>
      <w:r w:rsidR="0002179F" w:rsidRPr="000B3EC8">
        <w:rPr>
          <w:i/>
          <w:sz w:val="26"/>
          <w:szCs w:val="26"/>
        </w:rPr>
        <w:t xml:space="preserve">V, VI un VII </w:t>
      </w:r>
      <w:r w:rsidRPr="000B3EC8">
        <w:rPr>
          <w:i/>
          <w:sz w:val="26"/>
          <w:szCs w:val="26"/>
        </w:rPr>
        <w:t xml:space="preserve">sadaļa – </w:t>
      </w:r>
      <w:r w:rsidR="00464CD0">
        <w:rPr>
          <w:i/>
          <w:sz w:val="26"/>
          <w:szCs w:val="26"/>
        </w:rPr>
        <w:t>Ministru kabineta r</w:t>
      </w:r>
      <w:r w:rsidRPr="000B3EC8">
        <w:rPr>
          <w:i/>
          <w:sz w:val="26"/>
          <w:szCs w:val="26"/>
        </w:rPr>
        <w:t>īkojuma projekts šīs jomas neskar.</w:t>
      </w:r>
    </w:p>
    <w:p w:rsidR="00585B7B" w:rsidRDefault="00585B7B" w:rsidP="00D96FCD">
      <w:pPr>
        <w:rPr>
          <w:sz w:val="26"/>
          <w:szCs w:val="26"/>
        </w:rPr>
      </w:pPr>
    </w:p>
    <w:p w:rsidR="009D2B33" w:rsidRPr="00C13B05" w:rsidRDefault="009D2B33"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005A9D">
        <w:rPr>
          <w:sz w:val="26"/>
          <w:szCs w:val="26"/>
        </w:rPr>
        <w:t>I</w:t>
      </w:r>
      <w:r w:rsidR="002F3C73">
        <w:rPr>
          <w:sz w:val="26"/>
          <w:szCs w:val="26"/>
        </w:rPr>
        <w:t xml:space="preserve">na </w:t>
      </w:r>
      <w:r w:rsidR="00005A9D">
        <w:rPr>
          <w:sz w:val="26"/>
          <w:szCs w:val="26"/>
        </w:rPr>
        <w:t>Druviete</w:t>
      </w:r>
    </w:p>
    <w:p w:rsidR="00585B7B" w:rsidRPr="00D10407" w:rsidRDefault="00585B7B" w:rsidP="00D96FCD">
      <w:pPr>
        <w:rPr>
          <w:sz w:val="26"/>
          <w:szCs w:val="26"/>
        </w:rPr>
      </w:pPr>
    </w:p>
    <w:p w:rsidR="004560F5" w:rsidRPr="00D10407" w:rsidRDefault="004560F5" w:rsidP="00D96FCD">
      <w:pPr>
        <w:rPr>
          <w:sz w:val="26"/>
          <w:szCs w:val="26"/>
        </w:rPr>
      </w:pPr>
    </w:p>
    <w:p w:rsidR="00803311" w:rsidRDefault="00803311" w:rsidP="00D10407">
      <w:pPr>
        <w:ind w:firstLine="720"/>
        <w:jc w:val="both"/>
        <w:rPr>
          <w:sz w:val="26"/>
          <w:szCs w:val="26"/>
        </w:rPr>
      </w:pPr>
      <w:r>
        <w:rPr>
          <w:sz w:val="26"/>
          <w:szCs w:val="26"/>
        </w:rPr>
        <w:t>Vizē:</w:t>
      </w:r>
    </w:p>
    <w:p w:rsidR="00D10407" w:rsidRPr="00D10407" w:rsidRDefault="00D10407" w:rsidP="00D10407">
      <w:pPr>
        <w:ind w:firstLine="720"/>
        <w:jc w:val="both"/>
        <w:rPr>
          <w:sz w:val="26"/>
          <w:szCs w:val="26"/>
        </w:rPr>
      </w:pPr>
      <w:r w:rsidRPr="00D10407">
        <w:rPr>
          <w:sz w:val="26"/>
          <w:szCs w:val="26"/>
        </w:rPr>
        <w:t>Sporta departamenta</w:t>
      </w:r>
    </w:p>
    <w:p w:rsidR="00D10407" w:rsidRPr="00D10407" w:rsidRDefault="00D10407" w:rsidP="00D10407">
      <w:pPr>
        <w:ind w:firstLine="720"/>
        <w:jc w:val="both"/>
        <w:rPr>
          <w:sz w:val="26"/>
          <w:szCs w:val="26"/>
        </w:rPr>
      </w:pPr>
      <w:r w:rsidRPr="00D10407">
        <w:rPr>
          <w:sz w:val="26"/>
          <w:szCs w:val="26"/>
        </w:rPr>
        <w:t>direktora vietnieks</w:t>
      </w:r>
      <w:r w:rsidRPr="00D10407">
        <w:rPr>
          <w:sz w:val="26"/>
          <w:szCs w:val="26"/>
        </w:rPr>
        <w:tab/>
      </w:r>
      <w:r w:rsidRPr="00D10407">
        <w:rPr>
          <w:sz w:val="26"/>
          <w:szCs w:val="26"/>
        </w:rPr>
        <w:tab/>
      </w:r>
      <w:r w:rsidRPr="00D10407">
        <w:rPr>
          <w:sz w:val="26"/>
          <w:szCs w:val="26"/>
        </w:rPr>
        <w:tab/>
      </w:r>
      <w:r w:rsidRPr="00D10407">
        <w:rPr>
          <w:sz w:val="26"/>
          <w:szCs w:val="26"/>
        </w:rPr>
        <w:tab/>
      </w:r>
      <w:r w:rsidRPr="00D10407">
        <w:rPr>
          <w:sz w:val="26"/>
          <w:szCs w:val="26"/>
        </w:rPr>
        <w:tab/>
      </w:r>
      <w:r w:rsidRPr="00D10407">
        <w:rPr>
          <w:sz w:val="26"/>
          <w:szCs w:val="26"/>
        </w:rPr>
        <w:tab/>
        <w:t xml:space="preserve">     </w:t>
      </w:r>
      <w:r>
        <w:rPr>
          <w:sz w:val="26"/>
          <w:szCs w:val="26"/>
        </w:rPr>
        <w:tab/>
      </w:r>
      <w:r w:rsidRPr="00D10407">
        <w:rPr>
          <w:sz w:val="26"/>
          <w:szCs w:val="26"/>
        </w:rPr>
        <w:t>Edgars Severs</w:t>
      </w:r>
    </w:p>
    <w:p w:rsidR="00C451CB" w:rsidRPr="00D10407" w:rsidRDefault="00C451CB" w:rsidP="00D96FCD">
      <w:pPr>
        <w:jc w:val="both"/>
        <w:rPr>
          <w:sz w:val="26"/>
          <w:szCs w:val="26"/>
        </w:rPr>
      </w:pPr>
    </w:p>
    <w:p w:rsidR="005134ED" w:rsidRDefault="005134ED" w:rsidP="00D96FCD">
      <w:pPr>
        <w:jc w:val="both"/>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2F3C73" w:rsidRPr="002F3C73" w:rsidRDefault="00A17D77" w:rsidP="002F3C73">
      <w:pPr>
        <w:ind w:left="720"/>
        <w:rPr>
          <w:sz w:val="22"/>
          <w:szCs w:val="22"/>
        </w:rPr>
      </w:pPr>
      <w:r>
        <w:rPr>
          <w:sz w:val="22"/>
          <w:szCs w:val="22"/>
        </w:rPr>
        <w:t>28</w:t>
      </w:r>
      <w:r w:rsidR="0053293C">
        <w:rPr>
          <w:sz w:val="22"/>
          <w:szCs w:val="22"/>
        </w:rPr>
        <w:t>.0</w:t>
      </w:r>
      <w:r>
        <w:rPr>
          <w:sz w:val="22"/>
          <w:szCs w:val="22"/>
        </w:rPr>
        <w:t>7</w:t>
      </w:r>
      <w:r w:rsidR="0053293C">
        <w:rPr>
          <w:sz w:val="22"/>
          <w:szCs w:val="22"/>
        </w:rPr>
        <w:t xml:space="preserve">.2014. </w:t>
      </w:r>
      <w:r w:rsidR="00D10407">
        <w:rPr>
          <w:sz w:val="22"/>
          <w:szCs w:val="22"/>
        </w:rPr>
        <w:t>12</w:t>
      </w:r>
      <w:r w:rsidR="00C602CC">
        <w:rPr>
          <w:sz w:val="22"/>
          <w:szCs w:val="22"/>
        </w:rPr>
        <w:t>:</w:t>
      </w:r>
      <w:r w:rsidR="00803311">
        <w:rPr>
          <w:sz w:val="22"/>
          <w:szCs w:val="22"/>
        </w:rPr>
        <w:t>5</w:t>
      </w:r>
      <w:r w:rsidR="00D10407">
        <w:rPr>
          <w:sz w:val="22"/>
          <w:szCs w:val="22"/>
        </w:rPr>
        <w:t>8</w:t>
      </w:r>
    </w:p>
    <w:p w:rsidR="002F3C73" w:rsidRPr="002F3C73" w:rsidRDefault="00803311" w:rsidP="002F3C73">
      <w:pPr>
        <w:ind w:left="720"/>
        <w:rPr>
          <w:sz w:val="22"/>
          <w:szCs w:val="22"/>
        </w:rPr>
      </w:pPr>
      <w:r>
        <w:rPr>
          <w:sz w:val="22"/>
          <w:szCs w:val="22"/>
        </w:rPr>
        <w:t>1112</w:t>
      </w:r>
      <w:bookmarkStart w:id="3" w:name="_GoBack"/>
      <w:bookmarkEnd w:id="3"/>
    </w:p>
    <w:p w:rsidR="002F3C73" w:rsidRPr="002F3C73" w:rsidRDefault="002F3C73" w:rsidP="002F3C73">
      <w:pPr>
        <w:ind w:left="720"/>
        <w:rPr>
          <w:sz w:val="22"/>
          <w:szCs w:val="22"/>
        </w:rPr>
      </w:pPr>
      <w:r w:rsidRPr="002F3C73">
        <w:rPr>
          <w:sz w:val="22"/>
          <w:szCs w:val="22"/>
        </w:rPr>
        <w:t>Izglītības un zinātnes ministrijas</w:t>
      </w:r>
    </w:p>
    <w:p w:rsidR="002F3C73" w:rsidRPr="002F3C73" w:rsidRDefault="002F3C73" w:rsidP="002F3C73">
      <w:pPr>
        <w:ind w:left="720"/>
        <w:rPr>
          <w:sz w:val="22"/>
          <w:szCs w:val="22"/>
        </w:rPr>
      </w:pPr>
      <w:r w:rsidRPr="002F3C73">
        <w:rPr>
          <w:sz w:val="22"/>
          <w:szCs w:val="22"/>
        </w:rPr>
        <w:t>Sporta departamenta</w:t>
      </w:r>
    </w:p>
    <w:p w:rsidR="002F3C73" w:rsidRPr="002F3C73" w:rsidRDefault="002F3C73" w:rsidP="002F3C73">
      <w:pPr>
        <w:ind w:left="720"/>
        <w:rPr>
          <w:sz w:val="22"/>
          <w:szCs w:val="22"/>
        </w:rPr>
      </w:pPr>
      <w:r w:rsidRPr="002F3C73">
        <w:rPr>
          <w:sz w:val="22"/>
          <w:szCs w:val="22"/>
        </w:rPr>
        <w:t>direktora vietnieks E.Severs</w:t>
      </w:r>
    </w:p>
    <w:p w:rsidR="00763103" w:rsidRPr="00763103" w:rsidRDefault="002F3C73" w:rsidP="00B87192">
      <w:pPr>
        <w:ind w:left="720"/>
        <w:rPr>
          <w:sz w:val="22"/>
          <w:szCs w:val="22"/>
        </w:rPr>
      </w:pPr>
      <w:r w:rsidRPr="002F3C73">
        <w:rPr>
          <w:sz w:val="22"/>
          <w:szCs w:val="22"/>
        </w:rPr>
        <w:t>67047935, edgars.severs@izm.gov.lv</w:t>
      </w:r>
    </w:p>
    <w:sectPr w:rsidR="00763103" w:rsidRPr="00763103" w:rsidSect="00760A85">
      <w:headerReference w:type="default" r:id="rId8"/>
      <w:footerReference w:type="default" r:id="rId9"/>
      <w:footerReference w:type="first" r:id="rId10"/>
      <w:pgSz w:w="11906" w:h="16838" w:code="9"/>
      <w:pgMar w:top="1115" w:right="1134" w:bottom="1134" w:left="1701"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43" w:rsidRDefault="00BC7743" w:rsidP="00123E9B">
      <w:r>
        <w:separator/>
      </w:r>
    </w:p>
  </w:endnote>
  <w:endnote w:type="continuationSeparator" w:id="0">
    <w:p w:rsidR="00BC7743" w:rsidRDefault="00BC774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A17D77" w:rsidRDefault="00A17D77" w:rsidP="00A17D77">
    <w:pPr>
      <w:ind w:left="-567" w:right="-568"/>
      <w:jc w:val="both"/>
      <w:rPr>
        <w:sz w:val="22"/>
        <w:szCs w:val="22"/>
      </w:rPr>
    </w:pPr>
    <w:r>
      <w:rPr>
        <w:sz w:val="22"/>
        <w:szCs w:val="22"/>
      </w:rPr>
      <w:t>IZMAnot_280714_pardale</w:t>
    </w:r>
    <w:r w:rsidRPr="004816F6">
      <w:rPr>
        <w:sz w:val="22"/>
        <w:szCs w:val="22"/>
      </w:rPr>
      <w:t xml:space="preserve">; Ministru kabineta rīkojuma projekta </w:t>
    </w:r>
    <w:r>
      <w:rPr>
        <w:sz w:val="22"/>
        <w:szCs w:val="22"/>
      </w:rPr>
      <w:t>“</w:t>
    </w:r>
    <w:r w:rsidRPr="00A17D77">
      <w:rPr>
        <w:sz w:val="22"/>
        <w:szCs w:val="22"/>
      </w:rPr>
      <w:t>Par Murjāņu sporta ģimnāzijas esošo būvju rekonstrukcijas un multifunkcionālas slēgtas sporta manēžas būvniecības projekta īstenošanai 2014.gadā paredzēto valsts budžeta līdzekļu pārdali</w:t>
    </w:r>
    <w:r w:rsidRPr="004816F6">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A17D77">
    <w:pPr>
      <w:ind w:left="-567" w:right="-568"/>
      <w:jc w:val="both"/>
      <w:rPr>
        <w:sz w:val="22"/>
        <w:szCs w:val="22"/>
      </w:rPr>
    </w:pPr>
    <w:r>
      <w:rPr>
        <w:sz w:val="22"/>
        <w:szCs w:val="22"/>
      </w:rPr>
      <w:t>IZMAnot_</w:t>
    </w:r>
    <w:r w:rsidR="00A17D77">
      <w:rPr>
        <w:sz w:val="22"/>
        <w:szCs w:val="22"/>
      </w:rPr>
      <w:t>280714</w:t>
    </w:r>
    <w:r>
      <w:rPr>
        <w:sz w:val="22"/>
        <w:szCs w:val="22"/>
      </w:rPr>
      <w:t>_</w:t>
    </w:r>
    <w:r w:rsidR="00A17D77">
      <w:rPr>
        <w:sz w:val="22"/>
        <w:szCs w:val="22"/>
      </w:rPr>
      <w:t>pardale</w:t>
    </w:r>
    <w:r w:rsidRPr="004816F6">
      <w:rPr>
        <w:sz w:val="22"/>
        <w:szCs w:val="22"/>
      </w:rPr>
      <w:t xml:space="preserve">; Ministru kabineta rīkojuma projekta </w:t>
    </w:r>
    <w:r>
      <w:rPr>
        <w:sz w:val="22"/>
        <w:szCs w:val="22"/>
      </w:rPr>
      <w:t>“</w:t>
    </w:r>
    <w:r w:rsidR="00A17D77" w:rsidRPr="00A17D77">
      <w:rPr>
        <w:sz w:val="22"/>
        <w:szCs w:val="22"/>
      </w:rPr>
      <w:t>Par Murjāņu sporta ģimnāzijas esošo būvju rekonstrukcijas un multifunkcionālas slēgtas sporta manēžas būvniecības projekta īstenošanai 2014.gadā paredzēto valsts budžeta līdzekļu pārdali</w:t>
    </w:r>
    <w:r w:rsidRPr="004816F6">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43" w:rsidRDefault="00BC7743" w:rsidP="00123E9B">
      <w:r>
        <w:separator/>
      </w:r>
    </w:p>
  </w:footnote>
  <w:footnote w:type="continuationSeparator" w:id="0">
    <w:p w:rsidR="00BC7743" w:rsidRDefault="00BC7743"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803311">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5">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6">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8">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8"/>
  </w:num>
  <w:num w:numId="3">
    <w:abstractNumId w:val="7"/>
  </w:num>
  <w:num w:numId="4">
    <w:abstractNumId w:val="10"/>
  </w:num>
  <w:num w:numId="5">
    <w:abstractNumId w:val="5"/>
  </w:num>
  <w:num w:numId="6">
    <w:abstractNumId w:val="6"/>
  </w:num>
  <w:num w:numId="7">
    <w:abstractNumId w:val="1"/>
  </w:num>
  <w:num w:numId="8">
    <w:abstractNumId w:val="0"/>
  </w:num>
  <w:num w:numId="9">
    <w:abstractNumId w:val="3"/>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777F6"/>
    <w:rsid w:val="00080CC1"/>
    <w:rsid w:val="00081477"/>
    <w:rsid w:val="00081CE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6D87"/>
    <w:rsid w:val="001376F8"/>
    <w:rsid w:val="00137FAC"/>
    <w:rsid w:val="001413A9"/>
    <w:rsid w:val="00143747"/>
    <w:rsid w:val="00147CBF"/>
    <w:rsid w:val="00147D9A"/>
    <w:rsid w:val="00150D62"/>
    <w:rsid w:val="00152C87"/>
    <w:rsid w:val="00156760"/>
    <w:rsid w:val="00157F12"/>
    <w:rsid w:val="00161261"/>
    <w:rsid w:val="0016142A"/>
    <w:rsid w:val="00162670"/>
    <w:rsid w:val="001673FC"/>
    <w:rsid w:val="00172A25"/>
    <w:rsid w:val="0017384A"/>
    <w:rsid w:val="00174AEB"/>
    <w:rsid w:val="00175071"/>
    <w:rsid w:val="00180E6B"/>
    <w:rsid w:val="00181D00"/>
    <w:rsid w:val="001824F8"/>
    <w:rsid w:val="001828B2"/>
    <w:rsid w:val="0018329D"/>
    <w:rsid w:val="001838EC"/>
    <w:rsid w:val="00184814"/>
    <w:rsid w:val="00186DF5"/>
    <w:rsid w:val="001904B3"/>
    <w:rsid w:val="00193178"/>
    <w:rsid w:val="00194724"/>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548E"/>
    <w:rsid w:val="001B657F"/>
    <w:rsid w:val="001C15CD"/>
    <w:rsid w:val="001C20B9"/>
    <w:rsid w:val="001C2FDE"/>
    <w:rsid w:val="001C403D"/>
    <w:rsid w:val="001C4BA3"/>
    <w:rsid w:val="001C5FC4"/>
    <w:rsid w:val="001C60B1"/>
    <w:rsid w:val="001C77E5"/>
    <w:rsid w:val="001D0913"/>
    <w:rsid w:val="001D17EA"/>
    <w:rsid w:val="001D1F6A"/>
    <w:rsid w:val="001D3147"/>
    <w:rsid w:val="001D4A15"/>
    <w:rsid w:val="001D7C74"/>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457B"/>
    <w:rsid w:val="0025458A"/>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791A"/>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D56"/>
    <w:rsid w:val="002B5C0B"/>
    <w:rsid w:val="002B6351"/>
    <w:rsid w:val="002B6933"/>
    <w:rsid w:val="002B784B"/>
    <w:rsid w:val="002C0946"/>
    <w:rsid w:val="002C2590"/>
    <w:rsid w:val="002C2C3F"/>
    <w:rsid w:val="002C50CA"/>
    <w:rsid w:val="002C602F"/>
    <w:rsid w:val="002C7C2B"/>
    <w:rsid w:val="002D4F98"/>
    <w:rsid w:val="002D50D6"/>
    <w:rsid w:val="002D5DA0"/>
    <w:rsid w:val="002D77A9"/>
    <w:rsid w:val="002E011D"/>
    <w:rsid w:val="002E0B47"/>
    <w:rsid w:val="002E0BB9"/>
    <w:rsid w:val="002E40BB"/>
    <w:rsid w:val="002E6A3D"/>
    <w:rsid w:val="002E742C"/>
    <w:rsid w:val="002F120E"/>
    <w:rsid w:val="002F25B0"/>
    <w:rsid w:val="002F3C73"/>
    <w:rsid w:val="002F4472"/>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957"/>
    <w:rsid w:val="003705EF"/>
    <w:rsid w:val="003719EC"/>
    <w:rsid w:val="00376CEF"/>
    <w:rsid w:val="003773F8"/>
    <w:rsid w:val="00381A75"/>
    <w:rsid w:val="00383F46"/>
    <w:rsid w:val="00386F10"/>
    <w:rsid w:val="003900A2"/>
    <w:rsid w:val="003905CA"/>
    <w:rsid w:val="003906FF"/>
    <w:rsid w:val="00393529"/>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691E"/>
    <w:rsid w:val="003D01AF"/>
    <w:rsid w:val="003D4908"/>
    <w:rsid w:val="003D7335"/>
    <w:rsid w:val="003E40B5"/>
    <w:rsid w:val="003E4A67"/>
    <w:rsid w:val="003E4DD8"/>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637"/>
    <w:rsid w:val="0047336E"/>
    <w:rsid w:val="00474099"/>
    <w:rsid w:val="004751C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F56"/>
    <w:rsid w:val="004A2074"/>
    <w:rsid w:val="004A2665"/>
    <w:rsid w:val="004A56AF"/>
    <w:rsid w:val="004A5933"/>
    <w:rsid w:val="004A6A93"/>
    <w:rsid w:val="004A6E2E"/>
    <w:rsid w:val="004B0198"/>
    <w:rsid w:val="004B3DE6"/>
    <w:rsid w:val="004B550F"/>
    <w:rsid w:val="004B617C"/>
    <w:rsid w:val="004B7C13"/>
    <w:rsid w:val="004C164B"/>
    <w:rsid w:val="004C3E95"/>
    <w:rsid w:val="004C673C"/>
    <w:rsid w:val="004C6E14"/>
    <w:rsid w:val="004C7662"/>
    <w:rsid w:val="004D202D"/>
    <w:rsid w:val="004D3922"/>
    <w:rsid w:val="004D40E3"/>
    <w:rsid w:val="004D5BFB"/>
    <w:rsid w:val="004D6A71"/>
    <w:rsid w:val="004E0F6A"/>
    <w:rsid w:val="004E12FF"/>
    <w:rsid w:val="004E4B60"/>
    <w:rsid w:val="004E607D"/>
    <w:rsid w:val="004F14C5"/>
    <w:rsid w:val="004F3806"/>
    <w:rsid w:val="004F3D0D"/>
    <w:rsid w:val="004F788C"/>
    <w:rsid w:val="00503618"/>
    <w:rsid w:val="00504DBF"/>
    <w:rsid w:val="00506F79"/>
    <w:rsid w:val="005134ED"/>
    <w:rsid w:val="00514C25"/>
    <w:rsid w:val="005161C9"/>
    <w:rsid w:val="00516733"/>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4B2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B61"/>
    <w:rsid w:val="005D6B8A"/>
    <w:rsid w:val="005E40D9"/>
    <w:rsid w:val="005E4159"/>
    <w:rsid w:val="005E4DF4"/>
    <w:rsid w:val="005F22A7"/>
    <w:rsid w:val="005F3AA1"/>
    <w:rsid w:val="005F6A42"/>
    <w:rsid w:val="00600E72"/>
    <w:rsid w:val="0060231D"/>
    <w:rsid w:val="00604944"/>
    <w:rsid w:val="00605A33"/>
    <w:rsid w:val="00606918"/>
    <w:rsid w:val="006107D6"/>
    <w:rsid w:val="0061090E"/>
    <w:rsid w:val="00615FD8"/>
    <w:rsid w:val="00616477"/>
    <w:rsid w:val="00617D7A"/>
    <w:rsid w:val="00620CAE"/>
    <w:rsid w:val="006213D4"/>
    <w:rsid w:val="0062334B"/>
    <w:rsid w:val="006234D3"/>
    <w:rsid w:val="00624591"/>
    <w:rsid w:val="00625948"/>
    <w:rsid w:val="00625AC4"/>
    <w:rsid w:val="00626634"/>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827"/>
    <w:rsid w:val="00672CAB"/>
    <w:rsid w:val="00676453"/>
    <w:rsid w:val="00676573"/>
    <w:rsid w:val="006769A6"/>
    <w:rsid w:val="00682170"/>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792B"/>
    <w:rsid w:val="006A7A10"/>
    <w:rsid w:val="006A7BBB"/>
    <w:rsid w:val="006B0031"/>
    <w:rsid w:val="006B01F8"/>
    <w:rsid w:val="006B1546"/>
    <w:rsid w:val="006B2095"/>
    <w:rsid w:val="006B232C"/>
    <w:rsid w:val="006B25C7"/>
    <w:rsid w:val="006B5FDC"/>
    <w:rsid w:val="006B76EE"/>
    <w:rsid w:val="006C1D18"/>
    <w:rsid w:val="006D03B1"/>
    <w:rsid w:val="006D531B"/>
    <w:rsid w:val="006D5A81"/>
    <w:rsid w:val="006D6BB4"/>
    <w:rsid w:val="006D759A"/>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8A0"/>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5877"/>
    <w:rsid w:val="007C590D"/>
    <w:rsid w:val="007C5E55"/>
    <w:rsid w:val="007C6451"/>
    <w:rsid w:val="007E2464"/>
    <w:rsid w:val="007E36FC"/>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1654C"/>
    <w:rsid w:val="00816572"/>
    <w:rsid w:val="0081704B"/>
    <w:rsid w:val="008212A7"/>
    <w:rsid w:val="008221C8"/>
    <w:rsid w:val="0082231A"/>
    <w:rsid w:val="008243FF"/>
    <w:rsid w:val="00830DCA"/>
    <w:rsid w:val="00831A72"/>
    <w:rsid w:val="00832B1D"/>
    <w:rsid w:val="00833325"/>
    <w:rsid w:val="00833D7A"/>
    <w:rsid w:val="00834B1C"/>
    <w:rsid w:val="0083519C"/>
    <w:rsid w:val="008367F4"/>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80012"/>
    <w:rsid w:val="00882419"/>
    <w:rsid w:val="0088273C"/>
    <w:rsid w:val="00884A65"/>
    <w:rsid w:val="00887353"/>
    <w:rsid w:val="0089266F"/>
    <w:rsid w:val="00892CEB"/>
    <w:rsid w:val="00892DC2"/>
    <w:rsid w:val="0089323C"/>
    <w:rsid w:val="00893CD2"/>
    <w:rsid w:val="008A17E9"/>
    <w:rsid w:val="008A60A4"/>
    <w:rsid w:val="008B2279"/>
    <w:rsid w:val="008B27BF"/>
    <w:rsid w:val="008B50AE"/>
    <w:rsid w:val="008B53EA"/>
    <w:rsid w:val="008B55F4"/>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5CF2"/>
    <w:rsid w:val="008F62DB"/>
    <w:rsid w:val="008F643F"/>
    <w:rsid w:val="00901B63"/>
    <w:rsid w:val="00902EBE"/>
    <w:rsid w:val="00903206"/>
    <w:rsid w:val="009063BF"/>
    <w:rsid w:val="00907E6F"/>
    <w:rsid w:val="00910FB5"/>
    <w:rsid w:val="0091172F"/>
    <w:rsid w:val="009122A7"/>
    <w:rsid w:val="00913388"/>
    <w:rsid w:val="009146B5"/>
    <w:rsid w:val="00916055"/>
    <w:rsid w:val="0091656C"/>
    <w:rsid w:val="009179FA"/>
    <w:rsid w:val="0092093A"/>
    <w:rsid w:val="00920AFE"/>
    <w:rsid w:val="009212E2"/>
    <w:rsid w:val="00921F54"/>
    <w:rsid w:val="00923486"/>
    <w:rsid w:val="009254BE"/>
    <w:rsid w:val="00930905"/>
    <w:rsid w:val="009321E2"/>
    <w:rsid w:val="009343C2"/>
    <w:rsid w:val="00935F6C"/>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6CDB"/>
    <w:rsid w:val="009848C9"/>
    <w:rsid w:val="009849CF"/>
    <w:rsid w:val="009879C2"/>
    <w:rsid w:val="00987CF4"/>
    <w:rsid w:val="00991790"/>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5244"/>
    <w:rsid w:val="009F5B27"/>
    <w:rsid w:val="009F641D"/>
    <w:rsid w:val="009F65C9"/>
    <w:rsid w:val="009F6AC7"/>
    <w:rsid w:val="00A07D34"/>
    <w:rsid w:val="00A10BB0"/>
    <w:rsid w:val="00A13034"/>
    <w:rsid w:val="00A1339D"/>
    <w:rsid w:val="00A13445"/>
    <w:rsid w:val="00A13CB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30D"/>
    <w:rsid w:val="00A7205F"/>
    <w:rsid w:val="00A720FA"/>
    <w:rsid w:val="00A7341A"/>
    <w:rsid w:val="00A739AB"/>
    <w:rsid w:val="00A75FB6"/>
    <w:rsid w:val="00A81A75"/>
    <w:rsid w:val="00A820BD"/>
    <w:rsid w:val="00A8540A"/>
    <w:rsid w:val="00A8706A"/>
    <w:rsid w:val="00A877FE"/>
    <w:rsid w:val="00A9391C"/>
    <w:rsid w:val="00A94CC5"/>
    <w:rsid w:val="00A960A0"/>
    <w:rsid w:val="00AA0527"/>
    <w:rsid w:val="00AA170E"/>
    <w:rsid w:val="00AA2CC8"/>
    <w:rsid w:val="00AA3C68"/>
    <w:rsid w:val="00AA4269"/>
    <w:rsid w:val="00AA4363"/>
    <w:rsid w:val="00AA5CA7"/>
    <w:rsid w:val="00AB1ED1"/>
    <w:rsid w:val="00AB1FD4"/>
    <w:rsid w:val="00AB3339"/>
    <w:rsid w:val="00AB3A31"/>
    <w:rsid w:val="00AB656C"/>
    <w:rsid w:val="00AB7722"/>
    <w:rsid w:val="00AC4230"/>
    <w:rsid w:val="00AC624B"/>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425E"/>
    <w:rsid w:val="00B244D4"/>
    <w:rsid w:val="00B25F1D"/>
    <w:rsid w:val="00B2782A"/>
    <w:rsid w:val="00B324F4"/>
    <w:rsid w:val="00B336D8"/>
    <w:rsid w:val="00B34BFA"/>
    <w:rsid w:val="00B356A4"/>
    <w:rsid w:val="00B411EC"/>
    <w:rsid w:val="00B41C0A"/>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4628"/>
    <w:rsid w:val="00B760A2"/>
    <w:rsid w:val="00B77651"/>
    <w:rsid w:val="00B80C47"/>
    <w:rsid w:val="00B81322"/>
    <w:rsid w:val="00B857B3"/>
    <w:rsid w:val="00B862CD"/>
    <w:rsid w:val="00B86487"/>
    <w:rsid w:val="00B87192"/>
    <w:rsid w:val="00B92E1A"/>
    <w:rsid w:val="00B94951"/>
    <w:rsid w:val="00B95D33"/>
    <w:rsid w:val="00B96B6E"/>
    <w:rsid w:val="00B96CA3"/>
    <w:rsid w:val="00B97591"/>
    <w:rsid w:val="00BA006C"/>
    <w:rsid w:val="00BA20B0"/>
    <w:rsid w:val="00BA3159"/>
    <w:rsid w:val="00BA372F"/>
    <w:rsid w:val="00BA5CA2"/>
    <w:rsid w:val="00BA6305"/>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D54"/>
    <w:rsid w:val="00BE70E1"/>
    <w:rsid w:val="00BF0939"/>
    <w:rsid w:val="00BF0C10"/>
    <w:rsid w:val="00BF1719"/>
    <w:rsid w:val="00BF29D7"/>
    <w:rsid w:val="00BF4049"/>
    <w:rsid w:val="00BF482E"/>
    <w:rsid w:val="00BF48DB"/>
    <w:rsid w:val="00BF4B8B"/>
    <w:rsid w:val="00BF5486"/>
    <w:rsid w:val="00BF6FE8"/>
    <w:rsid w:val="00BF7C57"/>
    <w:rsid w:val="00C01EB4"/>
    <w:rsid w:val="00C03731"/>
    <w:rsid w:val="00C03839"/>
    <w:rsid w:val="00C048B3"/>
    <w:rsid w:val="00C06955"/>
    <w:rsid w:val="00C11016"/>
    <w:rsid w:val="00C13B05"/>
    <w:rsid w:val="00C1447B"/>
    <w:rsid w:val="00C17CB6"/>
    <w:rsid w:val="00C221FB"/>
    <w:rsid w:val="00C23CCC"/>
    <w:rsid w:val="00C24859"/>
    <w:rsid w:val="00C25CDA"/>
    <w:rsid w:val="00C301CF"/>
    <w:rsid w:val="00C309F0"/>
    <w:rsid w:val="00C30CED"/>
    <w:rsid w:val="00C31183"/>
    <w:rsid w:val="00C31C0D"/>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41C9"/>
    <w:rsid w:val="00CA636D"/>
    <w:rsid w:val="00CA6985"/>
    <w:rsid w:val="00CA7F67"/>
    <w:rsid w:val="00CB15EC"/>
    <w:rsid w:val="00CB483C"/>
    <w:rsid w:val="00CB5545"/>
    <w:rsid w:val="00CB5F57"/>
    <w:rsid w:val="00CB6605"/>
    <w:rsid w:val="00CB7A72"/>
    <w:rsid w:val="00CC0D14"/>
    <w:rsid w:val="00CC3E80"/>
    <w:rsid w:val="00CC49D6"/>
    <w:rsid w:val="00CC5FD9"/>
    <w:rsid w:val="00CC7F63"/>
    <w:rsid w:val="00CD39F8"/>
    <w:rsid w:val="00CD5672"/>
    <w:rsid w:val="00CD7C93"/>
    <w:rsid w:val="00CE0B01"/>
    <w:rsid w:val="00CE133F"/>
    <w:rsid w:val="00CE2B81"/>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42B6"/>
    <w:rsid w:val="00D152FB"/>
    <w:rsid w:val="00D20F65"/>
    <w:rsid w:val="00D215ED"/>
    <w:rsid w:val="00D24CBA"/>
    <w:rsid w:val="00D26C8A"/>
    <w:rsid w:val="00D30434"/>
    <w:rsid w:val="00D312C9"/>
    <w:rsid w:val="00D31A61"/>
    <w:rsid w:val="00D323CD"/>
    <w:rsid w:val="00D32A64"/>
    <w:rsid w:val="00D33C6F"/>
    <w:rsid w:val="00D3445B"/>
    <w:rsid w:val="00D34CD2"/>
    <w:rsid w:val="00D35AF6"/>
    <w:rsid w:val="00D361DC"/>
    <w:rsid w:val="00D364D3"/>
    <w:rsid w:val="00D4125D"/>
    <w:rsid w:val="00D43C39"/>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4EAF"/>
    <w:rsid w:val="00D850A4"/>
    <w:rsid w:val="00D856AD"/>
    <w:rsid w:val="00D85715"/>
    <w:rsid w:val="00D90152"/>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44D5"/>
    <w:rsid w:val="00DF4AB3"/>
    <w:rsid w:val="00DF5003"/>
    <w:rsid w:val="00DF5249"/>
    <w:rsid w:val="00DF5932"/>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3208"/>
    <w:rsid w:val="00EB7D72"/>
    <w:rsid w:val="00EC0598"/>
    <w:rsid w:val="00EC0869"/>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4AFB"/>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35D0"/>
    <w:rsid w:val="00FD681B"/>
    <w:rsid w:val="00FD7331"/>
    <w:rsid w:val="00FE0E03"/>
    <w:rsid w:val="00FE3414"/>
    <w:rsid w:val="00FE3673"/>
    <w:rsid w:val="00FF049C"/>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DA054-9664-4724-A925-80FF5F67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5786</Words>
  <Characters>3299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projekts "Par Murjāņu sporta ģimnāzijas esošo būvju rekonstrukcijas un multifunkcionālas slēgtas sporta manēžas būvniecības projekta īstenošanai 2014.gadā paredzēto valsts budžeta līdzekļu pārdali"</vt:lpstr>
    </vt:vector>
  </TitlesOfParts>
  <Company>Izglītības un zinātnes ministrija, Sporta departaments</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Murjāņu sporta ģimnāzijas esošo būvju rekonstrukcijas un multifunkcionālas slēgtas sporta manēžas būvniecības projekta īstenošanai 2014.gadā paredzēto valsts budžeta līdzekļu pārdali"</dc:title>
  <dc:subject>Sākotnējās ietekmes novērtējuma ziņojums (anotācija)</dc:subject>
  <dc:creator>Edgars Severs</dc:creator>
  <cp:keywords/>
  <dc:description/>
  <cp:lastModifiedBy>Edgars Severs</cp:lastModifiedBy>
  <cp:revision>39</cp:revision>
  <cp:lastPrinted>2012-05-15T10:00:00Z</cp:lastPrinted>
  <dcterms:created xsi:type="dcterms:W3CDTF">2014-07-27T22:10:00Z</dcterms:created>
  <dcterms:modified xsi:type="dcterms:W3CDTF">2014-07-28T09:58:00Z</dcterms:modified>
</cp:coreProperties>
</file>