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DA" w:rsidRPr="005F0A83" w:rsidRDefault="00FD2051" w:rsidP="0023637C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F0A83">
        <w:rPr>
          <w:b/>
          <w:bCs/>
          <w:sz w:val="26"/>
          <w:szCs w:val="26"/>
        </w:rPr>
        <w:t>Ministru kabineta noteikumu projekta</w:t>
      </w:r>
    </w:p>
    <w:p w:rsidR="00922360" w:rsidRPr="005F0A83" w:rsidRDefault="00922360" w:rsidP="007514DA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F0A83">
        <w:rPr>
          <w:b/>
          <w:bCs/>
          <w:sz w:val="26"/>
          <w:szCs w:val="26"/>
        </w:rPr>
        <w:t>„</w:t>
      </w:r>
      <w:r w:rsidRPr="005F0A83">
        <w:rPr>
          <w:rStyle w:val="Strong"/>
          <w:bCs w:val="0"/>
          <w:sz w:val="26"/>
          <w:szCs w:val="26"/>
        </w:rPr>
        <w:t xml:space="preserve">Grozījumi </w:t>
      </w:r>
      <w:r w:rsidRPr="005F0A83">
        <w:rPr>
          <w:rStyle w:val="Strong"/>
          <w:sz w:val="26"/>
          <w:szCs w:val="26"/>
        </w:rPr>
        <w:t>Ministru kabineta</w:t>
      </w:r>
      <w:r w:rsidRPr="005F0A83">
        <w:rPr>
          <w:rStyle w:val="Strong"/>
          <w:b w:val="0"/>
          <w:sz w:val="26"/>
          <w:szCs w:val="26"/>
        </w:rPr>
        <w:t xml:space="preserve"> </w:t>
      </w:r>
      <w:r w:rsidRPr="005F0A83">
        <w:rPr>
          <w:b/>
          <w:bCs/>
          <w:sz w:val="26"/>
          <w:szCs w:val="26"/>
        </w:rPr>
        <w:t>2011.gada 5.jūlija</w:t>
      </w:r>
      <w:r w:rsidRPr="005F0A83">
        <w:rPr>
          <w:rStyle w:val="Strong"/>
          <w:b w:val="0"/>
          <w:sz w:val="26"/>
          <w:szCs w:val="26"/>
        </w:rPr>
        <w:t xml:space="preserve"> </w:t>
      </w:r>
      <w:r w:rsidRPr="005F0A83">
        <w:rPr>
          <w:rStyle w:val="Strong"/>
          <w:sz w:val="26"/>
          <w:szCs w:val="26"/>
        </w:rPr>
        <w:t>noteikumos Nr.523</w:t>
      </w:r>
      <w:r w:rsidRPr="005F0A83">
        <w:rPr>
          <w:rStyle w:val="Strong"/>
          <w:b w:val="0"/>
          <w:sz w:val="26"/>
          <w:szCs w:val="26"/>
        </w:rPr>
        <w:t xml:space="preserve"> </w:t>
      </w:r>
      <w:r w:rsidRPr="005F0A83">
        <w:rPr>
          <w:rStyle w:val="Strong"/>
          <w:sz w:val="26"/>
          <w:szCs w:val="26"/>
        </w:rPr>
        <w:t>„</w:t>
      </w:r>
      <w:r w:rsidRPr="005F0A83">
        <w:rPr>
          <w:b/>
          <w:bCs/>
          <w:sz w:val="26"/>
          <w:szCs w:val="26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Pr="005F0A83">
        <w:rPr>
          <w:rStyle w:val="Strong"/>
          <w:bCs w:val="0"/>
          <w:sz w:val="26"/>
          <w:szCs w:val="26"/>
        </w:rPr>
        <w:t>””</w:t>
      </w:r>
    </w:p>
    <w:p w:rsidR="00FD2051" w:rsidRPr="005F0A83" w:rsidRDefault="00FD2051" w:rsidP="007514DA">
      <w:pPr>
        <w:jc w:val="center"/>
        <w:rPr>
          <w:b/>
          <w:bCs/>
          <w:sz w:val="26"/>
          <w:szCs w:val="26"/>
        </w:rPr>
      </w:pPr>
      <w:r w:rsidRPr="005F0A83">
        <w:rPr>
          <w:b/>
          <w:bCs/>
          <w:sz w:val="26"/>
          <w:szCs w:val="26"/>
        </w:rPr>
        <w:t>sākotnējās ietekmes novērtējuma ziņojums (anotācija)</w:t>
      </w:r>
    </w:p>
    <w:p w:rsidR="00FD2051" w:rsidRPr="005F0A83" w:rsidRDefault="00FD2051" w:rsidP="00784718">
      <w:pPr>
        <w:jc w:val="both"/>
        <w:rPr>
          <w:b/>
          <w:bCs/>
          <w:sz w:val="26"/>
          <w:szCs w:val="26"/>
        </w:rPr>
      </w:pPr>
    </w:p>
    <w:tbl>
      <w:tblPr>
        <w:tblW w:w="5148" w:type="pct"/>
        <w:tblInd w:w="-1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65"/>
        <w:gridCol w:w="2670"/>
        <w:gridCol w:w="6174"/>
      </w:tblGrid>
      <w:tr w:rsidR="00FD2051" w:rsidRPr="002A3A9B" w:rsidTr="00BC4F9D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051" w:rsidRPr="002A3A9B" w:rsidRDefault="00FD2051" w:rsidP="00BB70D1">
            <w:pPr>
              <w:jc w:val="center"/>
              <w:rPr>
                <w:sz w:val="26"/>
                <w:szCs w:val="26"/>
              </w:rPr>
            </w:pPr>
            <w:r w:rsidRPr="002A3A9B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FD2051" w:rsidRPr="002A3A9B" w:rsidTr="00BC4F9D"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051" w:rsidRPr="002A3A9B" w:rsidRDefault="00FD2051" w:rsidP="00784718">
            <w:pPr>
              <w:jc w:val="both"/>
              <w:rPr>
                <w:sz w:val="26"/>
                <w:szCs w:val="26"/>
              </w:rPr>
            </w:pPr>
            <w:r w:rsidRPr="002A3A9B">
              <w:rPr>
                <w:sz w:val="26"/>
                <w:szCs w:val="26"/>
              </w:rPr>
              <w:t>1.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051" w:rsidRPr="002A3A9B" w:rsidRDefault="00FD2051" w:rsidP="00784718">
            <w:pPr>
              <w:jc w:val="both"/>
              <w:rPr>
                <w:sz w:val="26"/>
                <w:szCs w:val="26"/>
              </w:rPr>
            </w:pPr>
            <w:r w:rsidRPr="002A3A9B">
              <w:rPr>
                <w:sz w:val="26"/>
                <w:szCs w:val="26"/>
              </w:rPr>
              <w:t>Pamatojums</w:t>
            </w:r>
          </w:p>
        </w:tc>
        <w:tc>
          <w:tcPr>
            <w:tcW w:w="3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A9B" w:rsidRPr="002A3A9B" w:rsidRDefault="007514DA" w:rsidP="002239DC">
            <w:pPr>
              <w:jc w:val="both"/>
              <w:rPr>
                <w:sz w:val="26"/>
                <w:szCs w:val="26"/>
              </w:rPr>
            </w:pPr>
            <w:r w:rsidRPr="002A3A9B">
              <w:rPr>
                <w:sz w:val="26"/>
                <w:szCs w:val="26"/>
              </w:rPr>
              <w:t xml:space="preserve">Ministru kabineta noteikumu projekts </w:t>
            </w:r>
            <w:r w:rsidRPr="002A3A9B">
              <w:rPr>
                <w:bCs/>
                <w:sz w:val="26"/>
                <w:szCs w:val="26"/>
              </w:rPr>
              <w:t>„</w:t>
            </w:r>
            <w:r w:rsidRPr="002A3A9B">
              <w:rPr>
                <w:rStyle w:val="Strong"/>
                <w:b w:val="0"/>
                <w:bCs w:val="0"/>
                <w:sz w:val="26"/>
                <w:szCs w:val="26"/>
              </w:rPr>
              <w:t xml:space="preserve">Grozījumi </w:t>
            </w:r>
            <w:r w:rsidRPr="002A3A9B">
              <w:rPr>
                <w:rStyle w:val="Strong"/>
                <w:b w:val="0"/>
                <w:sz w:val="26"/>
                <w:szCs w:val="26"/>
              </w:rPr>
              <w:t xml:space="preserve">Ministru kabineta </w:t>
            </w:r>
            <w:r w:rsidRPr="002A3A9B">
              <w:rPr>
                <w:bCs/>
                <w:sz w:val="26"/>
                <w:szCs w:val="26"/>
              </w:rPr>
              <w:t>2011.gada 5.jūlija</w:t>
            </w:r>
            <w:r w:rsidRPr="002A3A9B">
              <w:rPr>
                <w:rStyle w:val="Strong"/>
                <w:b w:val="0"/>
                <w:sz w:val="26"/>
                <w:szCs w:val="26"/>
              </w:rPr>
              <w:t xml:space="preserve"> noteikumos Nr.523 „</w:t>
            </w:r>
            <w:r w:rsidRPr="002A3A9B">
              <w:rPr>
                <w:bCs/>
                <w:sz w:val="26"/>
                <w:szCs w:val="26"/>
              </w:rPr>
              <w:t>Kārtība,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 w:rsidRPr="002A3A9B">
              <w:rPr>
                <w:rStyle w:val="Strong"/>
                <w:b w:val="0"/>
                <w:bCs w:val="0"/>
                <w:sz w:val="26"/>
                <w:szCs w:val="26"/>
              </w:rPr>
              <w:t>”</w:t>
            </w:r>
            <w:r w:rsidRPr="002A3A9B">
              <w:rPr>
                <w:sz w:val="26"/>
                <w:szCs w:val="26"/>
              </w:rPr>
              <w:t xml:space="preserve"> (turpmāk – p</w:t>
            </w:r>
            <w:r w:rsidR="002A3A9B" w:rsidRPr="002A3A9B">
              <w:rPr>
                <w:sz w:val="26"/>
                <w:szCs w:val="26"/>
              </w:rPr>
              <w:t>rojekts) sagatavots:</w:t>
            </w:r>
          </w:p>
          <w:p w:rsidR="00BC4F9D" w:rsidRPr="002A3A9B" w:rsidRDefault="00E10106" w:rsidP="002A3A9B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3A9B">
              <w:rPr>
                <w:rFonts w:ascii="Times New Roman" w:hAnsi="Times New Roman"/>
                <w:sz w:val="26"/>
                <w:szCs w:val="26"/>
              </w:rPr>
              <w:t>saskaņā ar</w:t>
            </w:r>
            <w:r w:rsidR="00F2611D" w:rsidRPr="002A3A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409E" w:rsidRPr="002A3A9B">
              <w:rPr>
                <w:rFonts w:ascii="Times New Roman" w:hAnsi="Times New Roman"/>
                <w:sz w:val="26"/>
                <w:szCs w:val="26"/>
              </w:rPr>
              <w:t>S</w:t>
            </w:r>
            <w:r w:rsidR="00F6759F" w:rsidRPr="002A3A9B">
              <w:rPr>
                <w:rFonts w:ascii="Times New Roman" w:hAnsi="Times New Roman"/>
                <w:sz w:val="26"/>
                <w:szCs w:val="26"/>
              </w:rPr>
              <w:t>adarbības Memorandu, ko 2012.gada 4.jūlijā parakstīja Izglītības un zinātnes ministrija,  Latvijas izglītības un zinātnes darbinieku arodbiedrība un arodbiedrība "Latvijas izglītības vadītāju a</w:t>
            </w:r>
            <w:r w:rsidR="00802B86" w:rsidRPr="002A3A9B">
              <w:rPr>
                <w:rFonts w:ascii="Times New Roman" w:hAnsi="Times New Roman"/>
                <w:sz w:val="26"/>
                <w:szCs w:val="26"/>
              </w:rPr>
              <w:t>sociācija"</w:t>
            </w:r>
            <w:r w:rsidR="00F6759F" w:rsidRPr="002A3A9B">
              <w:rPr>
                <w:rFonts w:ascii="Times New Roman" w:hAnsi="Times New Roman"/>
                <w:sz w:val="26"/>
                <w:szCs w:val="26"/>
              </w:rPr>
              <w:t xml:space="preserve">, un </w:t>
            </w:r>
            <w:r w:rsidR="00802B86" w:rsidRPr="002A3A9B">
              <w:rPr>
                <w:rFonts w:ascii="Times New Roman" w:hAnsi="Times New Roman"/>
                <w:sz w:val="26"/>
                <w:szCs w:val="26"/>
              </w:rPr>
              <w:t xml:space="preserve">saskaņā ar to </w:t>
            </w:r>
            <w:r w:rsidR="00F6759F" w:rsidRPr="002A3A9B">
              <w:rPr>
                <w:rFonts w:ascii="Times New Roman" w:hAnsi="Times New Roman"/>
                <w:sz w:val="26"/>
                <w:szCs w:val="26"/>
              </w:rPr>
              <w:t>i</w:t>
            </w:r>
            <w:r w:rsidR="009D6160" w:rsidRPr="002A3A9B">
              <w:rPr>
                <w:rFonts w:ascii="Times New Roman" w:hAnsi="Times New Roman"/>
                <w:sz w:val="26"/>
                <w:szCs w:val="26"/>
              </w:rPr>
              <w:t>zstrādāto  Informatīvo ziņojumu</w:t>
            </w:r>
            <w:r w:rsidR="002239DC" w:rsidRPr="002A3A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759F" w:rsidRPr="002A3A9B">
              <w:rPr>
                <w:rFonts w:ascii="Times New Roman" w:hAnsi="Times New Roman"/>
                <w:sz w:val="26"/>
                <w:szCs w:val="26"/>
              </w:rPr>
              <w:t>„Vispārējās un profesionālās izglītības pedagogu motivācijas, atalgojuma un profesionālās darbības kvalitātes novērtēšanas sistēmas sasaistes program</w:t>
            </w:r>
            <w:r w:rsidR="002239DC" w:rsidRPr="002A3A9B">
              <w:rPr>
                <w:rFonts w:ascii="Times New Roman" w:hAnsi="Times New Roman"/>
                <w:sz w:val="26"/>
                <w:szCs w:val="26"/>
              </w:rPr>
              <w:t xml:space="preserve">ma”, tās izstrāde un ieviešana”, </w:t>
            </w:r>
            <w:r w:rsidR="009D6160" w:rsidRPr="002A3A9B">
              <w:rPr>
                <w:rFonts w:ascii="Times New Roman" w:hAnsi="Times New Roman"/>
                <w:sz w:val="26"/>
                <w:szCs w:val="26"/>
              </w:rPr>
              <w:t xml:space="preserve">kas </w:t>
            </w:r>
            <w:r w:rsidR="00F6759F" w:rsidRPr="002A3A9B">
              <w:rPr>
                <w:rFonts w:ascii="Times New Roman" w:hAnsi="Times New Roman"/>
                <w:sz w:val="26"/>
                <w:szCs w:val="26"/>
              </w:rPr>
              <w:t>pieņemt</w:t>
            </w:r>
            <w:r w:rsidR="009D6160" w:rsidRPr="002A3A9B">
              <w:rPr>
                <w:rFonts w:ascii="Times New Roman" w:hAnsi="Times New Roman"/>
                <w:sz w:val="26"/>
                <w:szCs w:val="26"/>
              </w:rPr>
              <w:t>a</w:t>
            </w:r>
            <w:r w:rsidR="00F6759F" w:rsidRPr="002A3A9B">
              <w:rPr>
                <w:rFonts w:ascii="Times New Roman" w:hAnsi="Times New Roman"/>
                <w:sz w:val="26"/>
                <w:szCs w:val="26"/>
              </w:rPr>
              <w:t xml:space="preserve"> zināšanai Ministru k</w:t>
            </w:r>
            <w:r w:rsidR="009D6160" w:rsidRPr="002A3A9B">
              <w:rPr>
                <w:rFonts w:ascii="Times New Roman" w:hAnsi="Times New Roman"/>
                <w:sz w:val="26"/>
                <w:szCs w:val="26"/>
              </w:rPr>
              <w:t>abineta 2013.gada 28.maija sēdē</w:t>
            </w:r>
            <w:r w:rsidR="002A3A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3A9B" w:rsidRPr="00DF22AC" w:rsidRDefault="002A3A9B" w:rsidP="002239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3A9B">
              <w:rPr>
                <w:rFonts w:ascii="Times New Roman" w:hAnsi="Times New Roman"/>
                <w:sz w:val="26"/>
                <w:szCs w:val="26"/>
              </w:rPr>
              <w:t xml:space="preserve">ar grozījumiem </w:t>
            </w:r>
            <w:r w:rsidRPr="002A3A9B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Ministru kabineta 2009.gada 28.jūlija noteikumos Nr.836</w:t>
            </w:r>
            <w:r w:rsidRPr="002A3A9B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„</w:t>
            </w:r>
            <w:r w:rsidRPr="002A3A9B">
              <w:rPr>
                <w:rFonts w:ascii="Times New Roman" w:hAnsi="Times New Roman"/>
                <w:sz w:val="26"/>
                <w:szCs w:val="26"/>
              </w:rPr>
              <w:t>Pedagogu darba samaksas noteikumi”.</w:t>
            </w:r>
          </w:p>
        </w:tc>
      </w:tr>
      <w:tr w:rsidR="00D0421B" w:rsidRPr="005F0A83" w:rsidTr="00BC4F9D"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21B" w:rsidRPr="005F0A83" w:rsidRDefault="00D0421B" w:rsidP="00784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21B" w:rsidRPr="00D0421B" w:rsidRDefault="00D0421B" w:rsidP="00784718">
            <w:pPr>
              <w:jc w:val="both"/>
              <w:rPr>
                <w:sz w:val="26"/>
                <w:szCs w:val="26"/>
              </w:rPr>
            </w:pPr>
            <w:r w:rsidRPr="00D0421B">
              <w:rPr>
                <w:color w:val="414142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0A" w:rsidRPr="007C590A" w:rsidRDefault="007C590A" w:rsidP="007C590A">
            <w:pPr>
              <w:ind w:left="107"/>
              <w:jc w:val="both"/>
              <w:rPr>
                <w:sz w:val="26"/>
                <w:szCs w:val="26"/>
              </w:rPr>
            </w:pPr>
            <w:r w:rsidRPr="00D0421B">
              <w:rPr>
                <w:sz w:val="26"/>
                <w:szCs w:val="26"/>
              </w:rPr>
              <w:t>Motivācijas programmas 5.punkts nosaka, ka</w:t>
            </w:r>
            <w:r w:rsidR="0023637C">
              <w:rPr>
                <w:sz w:val="26"/>
                <w:szCs w:val="26"/>
              </w:rPr>
              <w:t>,</w:t>
            </w:r>
            <w:r w:rsidRPr="00D0421B">
              <w:rPr>
                <w:sz w:val="26"/>
                <w:szCs w:val="26"/>
              </w:rPr>
              <w:t xml:space="preserve"> sākot no 2014.gada 1.septembra</w:t>
            </w:r>
            <w:r w:rsidR="0023637C">
              <w:rPr>
                <w:sz w:val="26"/>
                <w:szCs w:val="26"/>
              </w:rPr>
              <w:t>,</w:t>
            </w:r>
            <w:r w:rsidRPr="00D0421B">
              <w:rPr>
                <w:sz w:val="26"/>
                <w:szCs w:val="26"/>
              </w:rPr>
              <w:t xml:space="preserve"> tiek </w:t>
            </w:r>
            <w:r w:rsidR="0023637C">
              <w:rPr>
                <w:sz w:val="26"/>
                <w:szCs w:val="26"/>
              </w:rPr>
              <w:t>veikta</w:t>
            </w:r>
            <w:r w:rsidRPr="00D0421B">
              <w:rPr>
                <w:sz w:val="26"/>
                <w:szCs w:val="26"/>
              </w:rPr>
              <w:t xml:space="preserve"> pedagogu darba samaksas diferenciācija atbilstīgi  pedagogu profesionālās darbības kvalitātes novērtēšanas rezultātiem</w:t>
            </w:r>
            <w:r>
              <w:rPr>
                <w:sz w:val="26"/>
                <w:szCs w:val="26"/>
              </w:rPr>
              <w:t>,</w:t>
            </w:r>
            <w:r w:rsidRPr="007C590A">
              <w:rPr>
                <w:sz w:val="26"/>
                <w:szCs w:val="26"/>
              </w:rPr>
              <w:t xml:space="preserve"> jo līdz </w:t>
            </w:r>
            <w:r w:rsidR="0023637C">
              <w:rPr>
                <w:sz w:val="26"/>
                <w:szCs w:val="26"/>
              </w:rPr>
              <w:t>minētajam datumam</w:t>
            </w:r>
            <w:r w:rsidRPr="007C590A">
              <w:rPr>
                <w:sz w:val="26"/>
                <w:szCs w:val="26"/>
              </w:rPr>
              <w:t xml:space="preserve"> piemaksu par darba kvalitāti saņēma tikai </w:t>
            </w:r>
            <w:r w:rsidRPr="007C590A">
              <w:rPr>
                <w:bCs/>
                <w:sz w:val="26"/>
                <w:szCs w:val="26"/>
              </w:rPr>
              <w:t xml:space="preserve">Eiropas Sociālā fonda projektā „Pedagogu konkurētspējas veicināšana izglītības sistēmas optimizācijas apstākļos” </w:t>
            </w:r>
            <w:r w:rsidRPr="007C590A">
              <w:rPr>
                <w:sz w:val="26"/>
                <w:szCs w:val="26"/>
              </w:rPr>
              <w:t xml:space="preserve"> pakāpes ieguvušie pedagogi.</w:t>
            </w:r>
          </w:p>
          <w:p w:rsidR="007C590A" w:rsidRDefault="007C590A" w:rsidP="007C590A">
            <w:pPr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Tādēļ nepieciešams atbilstošs tiesiskais regulējums visos normatīvajos aktos, kas nosaka pedagogu darba samaksas aprēķināšanas kārtību, lai </w:t>
            </w:r>
            <w:r w:rsidRPr="007C590A">
              <w:rPr>
                <w:sz w:val="26"/>
                <w:szCs w:val="26"/>
              </w:rPr>
              <w:t>ap</w:t>
            </w:r>
            <w:r w:rsidR="00D0421B" w:rsidRPr="007C590A">
              <w:rPr>
                <w:sz w:val="26"/>
                <w:szCs w:val="26"/>
              </w:rPr>
              <w:t>tver</w:t>
            </w:r>
            <w:r>
              <w:rPr>
                <w:sz w:val="26"/>
                <w:szCs w:val="26"/>
              </w:rPr>
              <w:t>tu</w:t>
            </w:r>
            <w:r w:rsidR="00D0421B" w:rsidRPr="007C590A">
              <w:rPr>
                <w:sz w:val="26"/>
                <w:szCs w:val="26"/>
              </w:rPr>
              <w:t xml:space="preserve"> visus pedagogus, kuri </w:t>
            </w:r>
            <w:r>
              <w:rPr>
                <w:sz w:val="26"/>
                <w:szCs w:val="26"/>
              </w:rPr>
              <w:t xml:space="preserve">līdz 2014.gada 1.septembrim </w:t>
            </w:r>
            <w:r w:rsidR="00D0421B" w:rsidRPr="007C590A">
              <w:rPr>
                <w:sz w:val="26"/>
                <w:szCs w:val="26"/>
              </w:rPr>
              <w:t xml:space="preserve">ieguvuši </w:t>
            </w:r>
            <w:r w:rsidRPr="007C590A">
              <w:rPr>
                <w:sz w:val="26"/>
                <w:szCs w:val="26"/>
              </w:rPr>
              <w:t xml:space="preserve">kvalitātes </w:t>
            </w:r>
            <w:r w:rsidR="00D0421B" w:rsidRPr="007C590A">
              <w:rPr>
                <w:sz w:val="26"/>
                <w:szCs w:val="26"/>
              </w:rPr>
              <w:t>pakāpes</w:t>
            </w:r>
            <w:r w:rsidR="00E34F72">
              <w:rPr>
                <w:sz w:val="26"/>
                <w:szCs w:val="26"/>
              </w:rPr>
              <w:t xml:space="preserve">, </w:t>
            </w:r>
            <w:r w:rsidR="00E34F72">
              <w:rPr>
                <w:sz w:val="26"/>
                <w:szCs w:val="26"/>
              </w:rPr>
              <w:lastRenderedPageBreak/>
              <w:t xml:space="preserve">kā arī noteiktu vienotu piemaksas aprēķināšanas </w:t>
            </w:r>
            <w:r w:rsidR="00802B86">
              <w:rPr>
                <w:sz w:val="26"/>
                <w:szCs w:val="26"/>
              </w:rPr>
              <w:t xml:space="preserve">veidu, jo </w:t>
            </w:r>
            <w:r w:rsidR="002A3A9B">
              <w:rPr>
                <w:sz w:val="26"/>
                <w:szCs w:val="26"/>
              </w:rPr>
              <w:t>2014.gada 17.jūnijā izdarīti grozījumi</w:t>
            </w:r>
            <w:r w:rsidR="00802B86">
              <w:rPr>
                <w:sz w:val="26"/>
                <w:szCs w:val="26"/>
              </w:rPr>
              <w:t xml:space="preserve"> </w:t>
            </w:r>
            <w:r w:rsidR="00802B86" w:rsidRPr="005F0A83">
              <w:rPr>
                <w:rStyle w:val="Strong"/>
                <w:b w:val="0"/>
                <w:sz w:val="26"/>
                <w:szCs w:val="26"/>
              </w:rPr>
              <w:t>Ministru kabineta 2009.gada 28.jūlija noteikum</w:t>
            </w:r>
            <w:r w:rsidR="00802B86">
              <w:rPr>
                <w:rStyle w:val="Strong"/>
                <w:b w:val="0"/>
                <w:sz w:val="26"/>
                <w:szCs w:val="26"/>
              </w:rPr>
              <w:t>os</w:t>
            </w:r>
            <w:r w:rsidR="00802B86" w:rsidRPr="005F0A83">
              <w:rPr>
                <w:rStyle w:val="Strong"/>
                <w:b w:val="0"/>
                <w:sz w:val="26"/>
                <w:szCs w:val="26"/>
              </w:rPr>
              <w:t xml:space="preserve"> Nr.836</w:t>
            </w:r>
            <w:r w:rsidR="00802B86" w:rsidRPr="005F0A83">
              <w:rPr>
                <w:rStyle w:val="Strong"/>
                <w:sz w:val="26"/>
                <w:szCs w:val="26"/>
              </w:rPr>
              <w:t xml:space="preserve"> „</w:t>
            </w:r>
            <w:r w:rsidR="00802B86" w:rsidRPr="005F0A83">
              <w:rPr>
                <w:sz w:val="26"/>
                <w:szCs w:val="26"/>
              </w:rPr>
              <w:t>Pedagogu darba samaksas noteikumi</w:t>
            </w:r>
            <w:r w:rsidR="00802B86">
              <w:rPr>
                <w:sz w:val="26"/>
                <w:szCs w:val="26"/>
              </w:rPr>
              <w:t>”</w:t>
            </w:r>
            <w:r w:rsidR="002A3A9B">
              <w:rPr>
                <w:sz w:val="26"/>
                <w:szCs w:val="26"/>
              </w:rPr>
              <w:t xml:space="preserve"> (Ministru kabineta sēdes prot. Nr. 33 87.§).</w:t>
            </w:r>
            <w:r w:rsidR="00802B86">
              <w:rPr>
                <w:sz w:val="26"/>
                <w:szCs w:val="26"/>
              </w:rPr>
              <w:t xml:space="preserve"> </w:t>
            </w:r>
          </w:p>
          <w:p w:rsidR="007C590A" w:rsidRDefault="007C590A" w:rsidP="007C590A">
            <w:pPr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Projektā precizēts:</w:t>
            </w:r>
          </w:p>
          <w:p w:rsidR="00D0421B" w:rsidRDefault="007C590A" w:rsidP="007C590A">
            <w:pPr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1)pedagogu loks, kuriem aprēķināma piemaksa par iegūto   </w:t>
            </w:r>
            <w:r w:rsidRPr="00BC4F9D">
              <w:rPr>
                <w:sz w:val="26"/>
                <w:szCs w:val="26"/>
                <w:highlight w:val="yellow"/>
              </w:rPr>
              <w:t xml:space="preserve"> </w:t>
            </w:r>
            <w:r w:rsidRPr="007C590A">
              <w:rPr>
                <w:sz w:val="26"/>
                <w:szCs w:val="26"/>
              </w:rPr>
              <w:t>profesionālās darbības kvalitātes novērtēšanas</w:t>
            </w:r>
            <w:r w:rsidR="00D0421B" w:rsidRPr="007C59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pakāpi;</w:t>
            </w:r>
          </w:p>
          <w:p w:rsidR="007C590A" w:rsidRPr="00BC4F9D" w:rsidRDefault="007C590A" w:rsidP="00802B86">
            <w:pPr>
              <w:ind w:left="107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2)</w:t>
            </w:r>
            <w:r w:rsidR="00802B86">
              <w:rPr>
                <w:sz w:val="26"/>
                <w:szCs w:val="26"/>
              </w:rPr>
              <w:t xml:space="preserve"> noteikts </w:t>
            </w:r>
            <w:r w:rsidR="00E34F72">
              <w:rPr>
                <w:sz w:val="26"/>
                <w:szCs w:val="26"/>
              </w:rPr>
              <w:t xml:space="preserve">aprēķina </w:t>
            </w:r>
            <w:r w:rsidR="00802B86">
              <w:rPr>
                <w:sz w:val="26"/>
                <w:szCs w:val="26"/>
              </w:rPr>
              <w:t>veids</w:t>
            </w:r>
            <w:r w:rsidR="00E34F72">
              <w:rPr>
                <w:sz w:val="26"/>
                <w:szCs w:val="26"/>
              </w:rPr>
              <w:t xml:space="preserve"> atbilstoši </w:t>
            </w:r>
            <w:r w:rsidR="00E34F72" w:rsidRPr="005F0A83">
              <w:rPr>
                <w:rStyle w:val="Strong"/>
                <w:b w:val="0"/>
                <w:sz w:val="26"/>
                <w:szCs w:val="26"/>
              </w:rPr>
              <w:t>Ministru kabineta 2009.gada 28.jūlija noteikum</w:t>
            </w:r>
            <w:r w:rsidR="00E34F72">
              <w:rPr>
                <w:rStyle w:val="Strong"/>
                <w:b w:val="0"/>
                <w:sz w:val="26"/>
                <w:szCs w:val="26"/>
              </w:rPr>
              <w:t>iem</w:t>
            </w:r>
            <w:r w:rsidR="00E34F72" w:rsidRPr="005F0A83">
              <w:rPr>
                <w:rStyle w:val="Strong"/>
                <w:b w:val="0"/>
                <w:sz w:val="26"/>
                <w:szCs w:val="26"/>
              </w:rPr>
              <w:t xml:space="preserve"> Nr.836</w:t>
            </w:r>
            <w:r w:rsidR="00E34F72" w:rsidRPr="005F0A83">
              <w:rPr>
                <w:rStyle w:val="Strong"/>
                <w:sz w:val="26"/>
                <w:szCs w:val="26"/>
              </w:rPr>
              <w:t xml:space="preserve"> „</w:t>
            </w:r>
            <w:r w:rsidR="00E34F72" w:rsidRPr="005F0A83">
              <w:rPr>
                <w:sz w:val="26"/>
                <w:szCs w:val="26"/>
              </w:rPr>
              <w:t>Pedagogu darba samaksas noteikumi</w:t>
            </w:r>
            <w:r w:rsidR="00E34F72">
              <w:rPr>
                <w:sz w:val="26"/>
                <w:szCs w:val="26"/>
              </w:rPr>
              <w:t>”.</w:t>
            </w:r>
          </w:p>
        </w:tc>
      </w:tr>
      <w:tr w:rsidR="00FD2051" w:rsidRPr="005F0A83" w:rsidTr="00BC4F9D"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051" w:rsidRPr="005F0A83" w:rsidRDefault="00C64739" w:rsidP="00784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FD2051" w:rsidRPr="005F0A83">
              <w:rPr>
                <w:sz w:val="26"/>
                <w:szCs w:val="26"/>
              </w:rPr>
              <w:t>.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051" w:rsidRPr="005F0A83" w:rsidRDefault="00FD2051" w:rsidP="00784718">
            <w:pPr>
              <w:jc w:val="both"/>
              <w:rPr>
                <w:sz w:val="26"/>
                <w:szCs w:val="26"/>
              </w:rPr>
            </w:pPr>
            <w:r w:rsidRPr="005F0A83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051" w:rsidRPr="005F0A83" w:rsidRDefault="00D84B2D" w:rsidP="00F2642D">
            <w:pPr>
              <w:jc w:val="both"/>
              <w:rPr>
                <w:sz w:val="26"/>
                <w:szCs w:val="26"/>
              </w:rPr>
            </w:pPr>
            <w:r w:rsidRPr="005F0A83">
              <w:rPr>
                <w:sz w:val="26"/>
                <w:szCs w:val="26"/>
              </w:rPr>
              <w:t xml:space="preserve">Izglītības un zinātnes ministrija. </w:t>
            </w:r>
            <w:r w:rsidR="00C44406" w:rsidRPr="005F0A83">
              <w:rPr>
                <w:sz w:val="26"/>
                <w:szCs w:val="26"/>
              </w:rPr>
              <w:t xml:space="preserve"> </w:t>
            </w:r>
          </w:p>
        </w:tc>
      </w:tr>
      <w:tr w:rsidR="0094792C" w:rsidRPr="005F0A83" w:rsidTr="00BC4F9D"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92C" w:rsidRPr="005F0A83" w:rsidRDefault="00C64739" w:rsidP="00784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4792C" w:rsidRPr="005F0A83">
              <w:rPr>
                <w:sz w:val="26"/>
                <w:szCs w:val="26"/>
              </w:rPr>
              <w:t>.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92C" w:rsidRPr="005F0A83" w:rsidRDefault="0094792C" w:rsidP="00784718">
            <w:pPr>
              <w:jc w:val="both"/>
              <w:rPr>
                <w:sz w:val="26"/>
                <w:szCs w:val="26"/>
              </w:rPr>
            </w:pPr>
            <w:r w:rsidRPr="005F0A83">
              <w:rPr>
                <w:sz w:val="26"/>
                <w:szCs w:val="26"/>
              </w:rPr>
              <w:t>Cita informācija</w:t>
            </w:r>
          </w:p>
        </w:tc>
        <w:tc>
          <w:tcPr>
            <w:tcW w:w="3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92C" w:rsidRPr="005F0A83" w:rsidRDefault="00E9575B" w:rsidP="00DF22AC">
            <w:pPr>
              <w:ind w:left="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Aprēķins par finansējumu, kas nepieciešams, lai nodrošinātu piemaksas pedagogiem,</w:t>
            </w:r>
            <w:r w:rsidRPr="007C590A">
              <w:rPr>
                <w:sz w:val="26"/>
                <w:szCs w:val="26"/>
              </w:rPr>
              <w:t xml:space="preserve"> kuri </w:t>
            </w:r>
            <w:r>
              <w:rPr>
                <w:sz w:val="26"/>
                <w:szCs w:val="26"/>
              </w:rPr>
              <w:t xml:space="preserve">līdz 2014.gada 1.septembrim </w:t>
            </w:r>
            <w:r w:rsidRPr="007C590A">
              <w:rPr>
                <w:sz w:val="26"/>
                <w:szCs w:val="26"/>
              </w:rPr>
              <w:t>ieguvuši kvalitātes pakāpes</w:t>
            </w:r>
            <w:r>
              <w:rPr>
                <w:sz w:val="26"/>
                <w:szCs w:val="26"/>
              </w:rPr>
              <w:t xml:space="preserve">, pievienots Ministru kabineta noteikumu projektam </w:t>
            </w:r>
            <w:r w:rsidRPr="00E9575B">
              <w:rPr>
                <w:rStyle w:val="Strong"/>
                <w:b w:val="0"/>
                <w:sz w:val="26"/>
                <w:szCs w:val="26"/>
              </w:rPr>
              <w:t>„G</w:t>
            </w:r>
            <w:r>
              <w:rPr>
                <w:sz w:val="26"/>
                <w:szCs w:val="26"/>
              </w:rPr>
              <w:t xml:space="preserve">rozījumi </w:t>
            </w:r>
            <w:r w:rsidRPr="005F0A83">
              <w:rPr>
                <w:rStyle w:val="Strong"/>
                <w:b w:val="0"/>
                <w:sz w:val="26"/>
                <w:szCs w:val="26"/>
              </w:rPr>
              <w:t>Ministru kabineta 2009.gada 28.jūlija noteikum</w:t>
            </w:r>
            <w:r>
              <w:rPr>
                <w:rStyle w:val="Strong"/>
                <w:b w:val="0"/>
                <w:sz w:val="26"/>
                <w:szCs w:val="26"/>
              </w:rPr>
              <w:t>os</w:t>
            </w:r>
            <w:r w:rsidRPr="005F0A83">
              <w:rPr>
                <w:rStyle w:val="Strong"/>
                <w:b w:val="0"/>
                <w:sz w:val="26"/>
                <w:szCs w:val="26"/>
              </w:rPr>
              <w:t xml:space="preserve"> Nr.836</w:t>
            </w:r>
            <w:r w:rsidRPr="005F0A83">
              <w:rPr>
                <w:rStyle w:val="Strong"/>
                <w:sz w:val="26"/>
                <w:szCs w:val="26"/>
              </w:rPr>
              <w:t xml:space="preserve"> „</w:t>
            </w:r>
            <w:r w:rsidRPr="005F0A83">
              <w:rPr>
                <w:sz w:val="26"/>
                <w:szCs w:val="26"/>
              </w:rPr>
              <w:t>Pedagogu darba samaksas noteikumi</w:t>
            </w:r>
            <w:r>
              <w:rPr>
                <w:sz w:val="26"/>
                <w:szCs w:val="26"/>
              </w:rPr>
              <w:t>””, kas</w:t>
            </w:r>
            <w:r w:rsidR="002A3A9B">
              <w:rPr>
                <w:sz w:val="26"/>
                <w:szCs w:val="26"/>
              </w:rPr>
              <w:t xml:space="preserve"> akceptēti Ministru kabinetā 20</w:t>
            </w:r>
            <w:r>
              <w:rPr>
                <w:sz w:val="26"/>
                <w:szCs w:val="26"/>
              </w:rPr>
              <w:t>14.gada 17.jūnijā</w:t>
            </w:r>
            <w:r w:rsidR="002A3A9B">
              <w:rPr>
                <w:sz w:val="26"/>
                <w:szCs w:val="26"/>
              </w:rPr>
              <w:t>.</w:t>
            </w:r>
            <w:r w:rsidR="00DF22AC" w:rsidRPr="00794D84">
              <w:rPr>
                <w:bCs/>
                <w:iCs/>
              </w:rPr>
              <w:t xml:space="preserve"> </w:t>
            </w:r>
            <w:r w:rsidR="00DF22AC" w:rsidRPr="00DF22AC">
              <w:rPr>
                <w:bCs/>
                <w:iCs/>
                <w:sz w:val="26"/>
                <w:szCs w:val="26"/>
              </w:rPr>
              <w:t xml:space="preserve">Atbilstoši </w:t>
            </w:r>
            <w:r w:rsidR="00DF22AC" w:rsidRPr="00DF22AC">
              <w:rPr>
                <w:sz w:val="26"/>
                <w:szCs w:val="26"/>
              </w:rPr>
              <w:t>Ministru kabineta 2014.gada 17.jūnija</w:t>
            </w:r>
            <w:r w:rsidR="00DF22AC" w:rsidRPr="00DF22AC">
              <w:rPr>
                <w:sz w:val="26"/>
                <w:szCs w:val="26"/>
                <w:shd w:val="clear" w:color="auto" w:fill="FFFFFF"/>
              </w:rPr>
              <w:t xml:space="preserve"> sēdes lēmumam (prot.Nr.33, </w:t>
            </w:r>
            <w:bookmarkStart w:id="0" w:name="97"/>
            <w:r w:rsidR="00DF22AC" w:rsidRPr="00DF22AC">
              <w:rPr>
                <w:bCs/>
                <w:sz w:val="26"/>
                <w:szCs w:val="26"/>
                <w:shd w:val="clear" w:color="auto" w:fill="FFFFFF"/>
              </w:rPr>
              <w:t>97.§</w:t>
            </w:r>
            <w:bookmarkEnd w:id="0"/>
            <w:r w:rsidR="00DF22AC" w:rsidRPr="00DF22AC">
              <w:rPr>
                <w:bCs/>
                <w:sz w:val="26"/>
                <w:szCs w:val="26"/>
                <w:shd w:val="clear" w:color="auto" w:fill="FFFFFF"/>
              </w:rPr>
              <w:t>, 2.punkts)</w:t>
            </w:r>
            <w:r w:rsidR="00DF22AC" w:rsidRPr="00DF22AC">
              <w:rPr>
                <w:sz w:val="26"/>
                <w:szCs w:val="26"/>
                <w:shd w:val="clear" w:color="auto" w:fill="FFFFFF"/>
              </w:rPr>
              <w:t xml:space="preserve"> finansējums noteikumu projekta normu izpildei tiks nodrošināts Izglītības un zinātnes ministrijas un 62.resora “Mērķdotācijas pašvaldībām” esošā finansējuma ietvaros</w:t>
            </w:r>
            <w:r w:rsidR="00DF22AC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FD32B2" w:rsidRPr="005F0A83" w:rsidRDefault="00FD32B2" w:rsidP="00784718">
      <w:pPr>
        <w:jc w:val="both"/>
        <w:rPr>
          <w:sz w:val="26"/>
          <w:szCs w:val="26"/>
          <w:highlight w:val="red"/>
        </w:rPr>
      </w:pPr>
    </w:p>
    <w:tbl>
      <w:tblPr>
        <w:tblpPr w:leftFromText="180" w:rightFromText="180" w:vertAnchor="text" w:horzAnchor="margin" w:tblpXSpec="center" w:tblpY="149"/>
        <w:tblW w:w="94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"/>
        <w:gridCol w:w="3338"/>
        <w:gridCol w:w="5670"/>
      </w:tblGrid>
      <w:tr w:rsidR="0004747D" w:rsidRPr="00502577" w:rsidTr="003658E9">
        <w:trPr>
          <w:tblCellSpacing w:w="0" w:type="dxa"/>
        </w:trPr>
        <w:tc>
          <w:tcPr>
            <w:tcW w:w="9423" w:type="dxa"/>
            <w:gridSpan w:val="3"/>
            <w:vAlign w:val="center"/>
          </w:tcPr>
          <w:p w:rsidR="0004747D" w:rsidRPr="00502577" w:rsidRDefault="0004747D" w:rsidP="00C64739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 xml:space="preserve">II. </w:t>
            </w:r>
            <w:r w:rsidR="00C64739" w:rsidRPr="00502577">
              <w:rPr>
                <w:b w:val="0"/>
                <w:bCs w:val="0"/>
                <w:color w:val="414142"/>
                <w:sz w:val="26"/>
                <w:szCs w:val="26"/>
              </w:rPr>
              <w:t xml:space="preserve"> </w:t>
            </w:r>
            <w:r w:rsidR="00C64739" w:rsidRPr="00502577">
              <w:rPr>
                <w:bCs w:val="0"/>
                <w:color w:val="414142"/>
                <w:sz w:val="26"/>
                <w:szCs w:val="26"/>
              </w:rPr>
              <w:t>Tiesību akta projekta ietekme uz sabiedrību, tautsaimniecības attīstību un administratīvo slogu</w:t>
            </w:r>
          </w:p>
        </w:tc>
      </w:tr>
      <w:tr w:rsidR="0004747D" w:rsidRPr="00502577" w:rsidTr="003658E9">
        <w:trPr>
          <w:trHeight w:val="467"/>
          <w:tblCellSpacing w:w="0" w:type="dxa"/>
        </w:trPr>
        <w:tc>
          <w:tcPr>
            <w:tcW w:w="415" w:type="dxa"/>
            <w:vAlign w:val="center"/>
          </w:tcPr>
          <w:p w:rsidR="0004747D" w:rsidRPr="00502577" w:rsidRDefault="0004747D" w:rsidP="00A8486B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1.</w:t>
            </w:r>
          </w:p>
        </w:tc>
        <w:tc>
          <w:tcPr>
            <w:tcW w:w="3338" w:type="dxa"/>
            <w:vAlign w:val="center"/>
          </w:tcPr>
          <w:p w:rsidR="0004747D" w:rsidRPr="00502577" w:rsidRDefault="00502577" w:rsidP="00A8486B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02577">
              <w:rPr>
                <w:color w:val="414142"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5670" w:type="dxa"/>
            <w:vAlign w:val="center"/>
          </w:tcPr>
          <w:p w:rsidR="0004747D" w:rsidRPr="00502577" w:rsidRDefault="0004747D" w:rsidP="00026CA7">
            <w:pPr>
              <w:jc w:val="both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Noteikumu projekta tiesiskais regulējums attiecas uz</w:t>
            </w:r>
            <w:r w:rsidR="001F65B1" w:rsidRPr="00502577">
              <w:rPr>
                <w:sz w:val="26"/>
                <w:szCs w:val="26"/>
              </w:rPr>
              <w:t xml:space="preserve"> </w:t>
            </w:r>
            <w:r w:rsidR="00026CA7">
              <w:rPr>
                <w:sz w:val="26"/>
                <w:szCs w:val="26"/>
              </w:rPr>
              <w:t>46 (28 – 3.pakāpe, 17 – 4.pakāpe, 1- 5.pakāpe)</w:t>
            </w:r>
            <w:r w:rsidR="00007D06" w:rsidRPr="00502577">
              <w:rPr>
                <w:sz w:val="26"/>
                <w:szCs w:val="26"/>
              </w:rPr>
              <w:t xml:space="preserve"> pašvaldību</w:t>
            </w:r>
            <w:r w:rsidR="001F65B1" w:rsidRPr="00502577">
              <w:rPr>
                <w:sz w:val="26"/>
                <w:szCs w:val="26"/>
              </w:rPr>
              <w:t xml:space="preserve"> </w:t>
            </w:r>
            <w:r w:rsidRPr="00502577">
              <w:rPr>
                <w:sz w:val="26"/>
                <w:szCs w:val="26"/>
              </w:rPr>
              <w:t xml:space="preserve">profesionālās izglītības iestāžu </w:t>
            </w:r>
            <w:r w:rsidR="00007D06" w:rsidRPr="00502577">
              <w:rPr>
                <w:sz w:val="26"/>
                <w:szCs w:val="26"/>
              </w:rPr>
              <w:t>pedagog</w:t>
            </w:r>
            <w:r w:rsidR="001F65B1" w:rsidRPr="00502577">
              <w:rPr>
                <w:sz w:val="26"/>
                <w:szCs w:val="26"/>
              </w:rPr>
              <w:t>iem.</w:t>
            </w:r>
          </w:p>
        </w:tc>
      </w:tr>
      <w:tr w:rsidR="0004747D" w:rsidRPr="00502577" w:rsidTr="003658E9">
        <w:trPr>
          <w:trHeight w:val="523"/>
          <w:tblCellSpacing w:w="0" w:type="dxa"/>
        </w:trPr>
        <w:tc>
          <w:tcPr>
            <w:tcW w:w="415" w:type="dxa"/>
            <w:vAlign w:val="center"/>
          </w:tcPr>
          <w:p w:rsidR="0004747D" w:rsidRPr="00502577" w:rsidRDefault="0004747D" w:rsidP="00A8486B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2.</w:t>
            </w:r>
          </w:p>
        </w:tc>
        <w:tc>
          <w:tcPr>
            <w:tcW w:w="3338" w:type="dxa"/>
            <w:vAlign w:val="center"/>
          </w:tcPr>
          <w:p w:rsidR="0004747D" w:rsidRPr="00502577" w:rsidRDefault="00502577" w:rsidP="00A8486B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02577">
              <w:rPr>
                <w:color w:val="414142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670" w:type="dxa"/>
            <w:vAlign w:val="center"/>
          </w:tcPr>
          <w:p w:rsidR="0004747D" w:rsidRPr="00502577" w:rsidRDefault="00502577" w:rsidP="00A8486B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Sabiedrības grupām un institūcijām projekta tiesiskais regulējums nemaina tiesības un pienākumus, kā arī veicamās darbības</w:t>
            </w:r>
            <w:r w:rsidR="0004747D" w:rsidRPr="00502577">
              <w:rPr>
                <w:sz w:val="26"/>
                <w:szCs w:val="26"/>
              </w:rPr>
              <w:t>.</w:t>
            </w:r>
          </w:p>
        </w:tc>
      </w:tr>
      <w:tr w:rsidR="0004747D" w:rsidRPr="00502577" w:rsidTr="003658E9">
        <w:trPr>
          <w:trHeight w:val="517"/>
          <w:tblCellSpacing w:w="0" w:type="dxa"/>
        </w:trPr>
        <w:tc>
          <w:tcPr>
            <w:tcW w:w="415" w:type="dxa"/>
            <w:vAlign w:val="center"/>
          </w:tcPr>
          <w:p w:rsidR="0004747D" w:rsidRPr="00502577" w:rsidRDefault="0004747D" w:rsidP="00A8486B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3.</w:t>
            </w:r>
          </w:p>
        </w:tc>
        <w:tc>
          <w:tcPr>
            <w:tcW w:w="3338" w:type="dxa"/>
            <w:vAlign w:val="center"/>
          </w:tcPr>
          <w:p w:rsidR="0004747D" w:rsidRPr="00502577" w:rsidRDefault="00502577" w:rsidP="00A8486B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02577">
              <w:rPr>
                <w:color w:val="414142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670" w:type="dxa"/>
            <w:vAlign w:val="center"/>
          </w:tcPr>
          <w:p w:rsidR="0004747D" w:rsidRPr="00502577" w:rsidRDefault="00C33FE3" w:rsidP="000D101A">
            <w:pPr>
              <w:pStyle w:val="naiskr"/>
              <w:spacing w:before="0" w:after="0"/>
              <w:jc w:val="both"/>
              <w:rPr>
                <w:i/>
                <w:iCs/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 xml:space="preserve">Projekta īstenošana tiek nodrošināta </w:t>
            </w:r>
            <w:r w:rsidR="00A22B5E" w:rsidRPr="00502577">
              <w:rPr>
                <w:sz w:val="26"/>
                <w:szCs w:val="26"/>
              </w:rPr>
              <w:t xml:space="preserve"> apstiprinātā budžeta ietvaros.</w:t>
            </w:r>
          </w:p>
        </w:tc>
      </w:tr>
      <w:tr w:rsidR="0004747D" w:rsidRPr="00502577" w:rsidTr="003658E9">
        <w:trPr>
          <w:tblCellSpacing w:w="0" w:type="dxa"/>
        </w:trPr>
        <w:tc>
          <w:tcPr>
            <w:tcW w:w="415" w:type="dxa"/>
            <w:vAlign w:val="center"/>
          </w:tcPr>
          <w:p w:rsidR="0004747D" w:rsidRPr="00502577" w:rsidRDefault="00502577" w:rsidP="00A8486B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4</w:t>
            </w:r>
            <w:r w:rsidR="0004747D" w:rsidRPr="00502577">
              <w:rPr>
                <w:sz w:val="26"/>
                <w:szCs w:val="26"/>
              </w:rPr>
              <w:t>.</w:t>
            </w:r>
          </w:p>
        </w:tc>
        <w:tc>
          <w:tcPr>
            <w:tcW w:w="3338" w:type="dxa"/>
            <w:vAlign w:val="center"/>
          </w:tcPr>
          <w:p w:rsidR="0004747D" w:rsidRPr="00502577" w:rsidRDefault="0004747D" w:rsidP="00A8486B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>Cita informācija.</w:t>
            </w:r>
          </w:p>
        </w:tc>
        <w:tc>
          <w:tcPr>
            <w:tcW w:w="5670" w:type="dxa"/>
            <w:vAlign w:val="center"/>
          </w:tcPr>
          <w:p w:rsidR="0004747D" w:rsidRPr="00502577" w:rsidRDefault="0004747D" w:rsidP="00A8486B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502577">
              <w:rPr>
                <w:sz w:val="26"/>
                <w:szCs w:val="26"/>
              </w:rPr>
              <w:t xml:space="preserve"> Nav.</w:t>
            </w:r>
          </w:p>
        </w:tc>
      </w:tr>
    </w:tbl>
    <w:p w:rsidR="00DF22AC" w:rsidRDefault="00DF22AC" w:rsidP="0085528C">
      <w:pPr>
        <w:rPr>
          <w:sz w:val="26"/>
          <w:szCs w:val="26"/>
        </w:rPr>
      </w:pPr>
    </w:p>
    <w:p w:rsidR="00DF22AC" w:rsidRDefault="00DF22AC" w:rsidP="0085528C">
      <w:pPr>
        <w:rPr>
          <w:sz w:val="26"/>
          <w:szCs w:val="26"/>
        </w:rPr>
      </w:pPr>
    </w:p>
    <w:p w:rsidR="00DF22AC" w:rsidRDefault="00DF22AC" w:rsidP="0085528C">
      <w:pPr>
        <w:rPr>
          <w:sz w:val="26"/>
          <w:szCs w:val="26"/>
        </w:rPr>
      </w:pPr>
    </w:p>
    <w:p w:rsidR="00DF22AC" w:rsidRDefault="00DF22AC" w:rsidP="0085528C">
      <w:pPr>
        <w:rPr>
          <w:sz w:val="26"/>
          <w:szCs w:val="26"/>
        </w:rPr>
      </w:pPr>
    </w:p>
    <w:tbl>
      <w:tblPr>
        <w:tblW w:w="52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11"/>
        <w:gridCol w:w="3401"/>
        <w:gridCol w:w="5685"/>
      </w:tblGrid>
      <w:tr w:rsidR="00AC4BD6" w:rsidRPr="005F0A83" w:rsidTr="00CA60F3">
        <w:trPr>
          <w:jc w:val="center"/>
        </w:trPr>
        <w:tc>
          <w:tcPr>
            <w:tcW w:w="5000" w:type="pct"/>
            <w:gridSpan w:val="3"/>
          </w:tcPr>
          <w:p w:rsidR="00AC4BD6" w:rsidRPr="00AC4BD6" w:rsidRDefault="00AC4BD6" w:rsidP="00CA60F3">
            <w:pPr>
              <w:pStyle w:val="naisno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</w:t>
            </w:r>
            <w:r w:rsidRPr="00AC4BD6">
              <w:rPr>
                <w:sz w:val="26"/>
                <w:szCs w:val="26"/>
              </w:rPr>
              <w:t xml:space="preserve">. Tiesību akta projekta </w:t>
            </w:r>
            <w:r w:rsidRPr="00AC4BD6">
              <w:rPr>
                <w:bCs w:val="0"/>
                <w:color w:val="414142"/>
                <w:sz w:val="26"/>
                <w:szCs w:val="26"/>
              </w:rPr>
              <w:t>izpildes nodrošināšana un tās ietekme uz institūcijām</w:t>
            </w:r>
          </w:p>
        </w:tc>
      </w:tr>
      <w:tr w:rsidR="00AC4BD6" w:rsidRPr="005F0A83" w:rsidTr="002239DC">
        <w:trPr>
          <w:trHeight w:val="673"/>
          <w:jc w:val="center"/>
        </w:trPr>
        <w:tc>
          <w:tcPr>
            <w:tcW w:w="216" w:type="pct"/>
            <w:tcBorders>
              <w:right w:val="single" w:sz="12" w:space="0" w:color="auto"/>
            </w:tcBorders>
          </w:tcPr>
          <w:p w:rsidR="00AC4BD6" w:rsidRPr="005F0A83" w:rsidRDefault="00AC4BD6" w:rsidP="00CA60F3">
            <w:pPr>
              <w:pStyle w:val="naiskr"/>
              <w:tabs>
                <w:tab w:val="left" w:pos="2628"/>
              </w:tabs>
              <w:spacing w:before="0" w:after="0"/>
              <w:rPr>
                <w:sz w:val="26"/>
                <w:szCs w:val="26"/>
              </w:rPr>
            </w:pPr>
            <w:r w:rsidRPr="005F0A83">
              <w:rPr>
                <w:sz w:val="26"/>
                <w:szCs w:val="26"/>
              </w:rPr>
              <w:t>1.</w:t>
            </w:r>
          </w:p>
        </w:tc>
        <w:tc>
          <w:tcPr>
            <w:tcW w:w="1791" w:type="pct"/>
            <w:tcBorders>
              <w:left w:val="single" w:sz="12" w:space="0" w:color="auto"/>
              <w:right w:val="single" w:sz="12" w:space="0" w:color="auto"/>
            </w:tcBorders>
          </w:tcPr>
          <w:p w:rsidR="00AC4BD6" w:rsidRPr="00AC4BD6" w:rsidRDefault="00AC4BD6" w:rsidP="00CA60F3">
            <w:pPr>
              <w:pStyle w:val="naiskr"/>
              <w:tabs>
                <w:tab w:val="left" w:pos="2628"/>
              </w:tabs>
              <w:spacing w:before="0" w:after="0"/>
              <w:rPr>
                <w:sz w:val="26"/>
                <w:szCs w:val="26"/>
              </w:rPr>
            </w:pPr>
            <w:r w:rsidRPr="00AC4BD6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993" w:type="pct"/>
            <w:tcBorders>
              <w:left w:val="single" w:sz="12" w:space="0" w:color="auto"/>
            </w:tcBorders>
          </w:tcPr>
          <w:p w:rsidR="00AC4BD6" w:rsidRPr="00AC4BD6" w:rsidRDefault="00AC4BD6" w:rsidP="00223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Tiesību akta projekta izpildē iesaistīta Izglītības un zinātnes ministrija, Kultūras ministrija, </w:t>
            </w:r>
            <w:r w:rsidR="002239DC">
              <w:rPr>
                <w:sz w:val="26"/>
                <w:szCs w:val="26"/>
              </w:rPr>
              <w:t>desmit</w:t>
            </w:r>
            <w:r w:rsidR="00E76A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pašvaldību profesionālās izglītības iestādes.</w:t>
            </w:r>
          </w:p>
        </w:tc>
      </w:tr>
      <w:tr w:rsidR="00AC4BD6" w:rsidRPr="005F0A83" w:rsidTr="002239DC">
        <w:trPr>
          <w:jc w:val="center"/>
        </w:trPr>
        <w:tc>
          <w:tcPr>
            <w:tcW w:w="216" w:type="pct"/>
            <w:tcBorders>
              <w:right w:val="single" w:sz="12" w:space="0" w:color="auto"/>
            </w:tcBorders>
          </w:tcPr>
          <w:p w:rsidR="00AC4BD6" w:rsidRPr="005F0A83" w:rsidRDefault="00AC4BD6" w:rsidP="00CA60F3">
            <w:pPr>
              <w:pStyle w:val="naiskr"/>
              <w:tabs>
                <w:tab w:val="left" w:pos="2628"/>
              </w:tabs>
              <w:spacing w:before="0" w:after="0"/>
              <w:rPr>
                <w:sz w:val="26"/>
                <w:szCs w:val="26"/>
              </w:rPr>
            </w:pPr>
            <w:r w:rsidRPr="005F0A83">
              <w:rPr>
                <w:sz w:val="26"/>
                <w:szCs w:val="26"/>
              </w:rPr>
              <w:t>2.</w:t>
            </w:r>
          </w:p>
        </w:tc>
        <w:tc>
          <w:tcPr>
            <w:tcW w:w="1791" w:type="pct"/>
            <w:tcBorders>
              <w:left w:val="single" w:sz="12" w:space="0" w:color="auto"/>
              <w:right w:val="single" w:sz="12" w:space="0" w:color="auto"/>
            </w:tcBorders>
          </w:tcPr>
          <w:p w:rsidR="00AC4BD6" w:rsidRPr="00AC4BD6" w:rsidRDefault="00AC4BD6" w:rsidP="00AC4BD6">
            <w:pPr>
              <w:rPr>
                <w:rFonts w:eastAsia="Times New Roman"/>
                <w:sz w:val="26"/>
                <w:szCs w:val="26"/>
              </w:rPr>
            </w:pPr>
            <w:r w:rsidRPr="00AC4BD6">
              <w:rPr>
                <w:rFonts w:eastAsia="Times New Roman"/>
                <w:sz w:val="26"/>
                <w:szCs w:val="26"/>
              </w:rPr>
              <w:t xml:space="preserve">Projekta izpildes ietekme uz pārvaldes funkcijām un institucionālo struktūru. </w:t>
            </w:r>
          </w:p>
          <w:p w:rsidR="00AC4BD6" w:rsidRPr="00AC4BD6" w:rsidRDefault="00AC4BD6" w:rsidP="00AC4BD6">
            <w:pPr>
              <w:pStyle w:val="naiskr"/>
              <w:tabs>
                <w:tab w:val="left" w:pos="2628"/>
              </w:tabs>
              <w:spacing w:before="0" w:after="0"/>
              <w:rPr>
                <w:sz w:val="26"/>
                <w:szCs w:val="26"/>
              </w:rPr>
            </w:pPr>
            <w:r w:rsidRPr="00AC4BD6">
              <w:rPr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93" w:type="pct"/>
            <w:tcBorders>
              <w:left w:val="single" w:sz="12" w:space="0" w:color="auto"/>
            </w:tcBorders>
          </w:tcPr>
          <w:p w:rsidR="00AC4BD6" w:rsidRPr="00AC4BD6" w:rsidRDefault="00E76A77" w:rsidP="00E76A77">
            <w:pPr>
              <w:pStyle w:val="naisc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izpilde neietekmē pārvaldes funkcijas un institucionālo struktūru, kā arī cilvēkresursus.</w:t>
            </w:r>
          </w:p>
        </w:tc>
      </w:tr>
      <w:tr w:rsidR="00AC4BD6" w:rsidRPr="005F0A83" w:rsidTr="002239DC">
        <w:trPr>
          <w:jc w:val="center"/>
        </w:trPr>
        <w:tc>
          <w:tcPr>
            <w:tcW w:w="216" w:type="pct"/>
            <w:tcBorders>
              <w:right w:val="single" w:sz="12" w:space="0" w:color="auto"/>
            </w:tcBorders>
          </w:tcPr>
          <w:p w:rsidR="00AC4BD6" w:rsidRPr="005F0A83" w:rsidRDefault="00AC4BD6" w:rsidP="00AC4BD6">
            <w:pPr>
              <w:pStyle w:val="naiskr"/>
              <w:tabs>
                <w:tab w:val="left" w:pos="2628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91" w:type="pct"/>
            <w:tcBorders>
              <w:left w:val="single" w:sz="12" w:space="0" w:color="auto"/>
              <w:right w:val="single" w:sz="12" w:space="0" w:color="auto"/>
            </w:tcBorders>
          </w:tcPr>
          <w:p w:rsidR="00AC4BD6" w:rsidRPr="00AC4BD6" w:rsidRDefault="00AC4BD6" w:rsidP="00AC4BD6">
            <w:pPr>
              <w:pStyle w:val="naiskr"/>
              <w:tabs>
                <w:tab w:val="left" w:pos="2628"/>
              </w:tabs>
              <w:spacing w:before="0" w:after="0"/>
              <w:rPr>
                <w:sz w:val="26"/>
                <w:szCs w:val="26"/>
              </w:rPr>
            </w:pPr>
            <w:r w:rsidRPr="00AC4BD6">
              <w:rPr>
                <w:sz w:val="26"/>
                <w:szCs w:val="26"/>
              </w:rPr>
              <w:t>Cita informācija</w:t>
            </w:r>
          </w:p>
        </w:tc>
        <w:tc>
          <w:tcPr>
            <w:tcW w:w="2993" w:type="pct"/>
            <w:tcBorders>
              <w:left w:val="single" w:sz="12" w:space="0" w:color="auto"/>
            </w:tcBorders>
          </w:tcPr>
          <w:p w:rsidR="00AC4BD6" w:rsidRPr="00AC4BD6" w:rsidRDefault="00AC4BD6" w:rsidP="00AC4BD6">
            <w:pPr>
              <w:pStyle w:val="naisc"/>
              <w:spacing w:before="0" w:after="0"/>
              <w:jc w:val="both"/>
              <w:rPr>
                <w:sz w:val="26"/>
                <w:szCs w:val="26"/>
              </w:rPr>
            </w:pPr>
            <w:r w:rsidRPr="00AC4BD6">
              <w:rPr>
                <w:sz w:val="26"/>
                <w:szCs w:val="26"/>
              </w:rPr>
              <w:t>Nav.</w:t>
            </w:r>
          </w:p>
        </w:tc>
      </w:tr>
    </w:tbl>
    <w:p w:rsidR="00AC4BD6" w:rsidRPr="005F0A83" w:rsidRDefault="00AC4BD6" w:rsidP="00E76A77">
      <w:pPr>
        <w:rPr>
          <w:sz w:val="26"/>
          <w:szCs w:val="26"/>
        </w:rPr>
      </w:pPr>
    </w:p>
    <w:p w:rsidR="00FD32B2" w:rsidRPr="005F0A83" w:rsidRDefault="00FD32B2" w:rsidP="00FD32B2">
      <w:pPr>
        <w:jc w:val="center"/>
        <w:rPr>
          <w:sz w:val="26"/>
          <w:szCs w:val="26"/>
        </w:rPr>
      </w:pPr>
      <w:r w:rsidRPr="005F0A83">
        <w:rPr>
          <w:sz w:val="26"/>
          <w:szCs w:val="26"/>
        </w:rPr>
        <w:t>Anotācijas</w:t>
      </w:r>
      <w:r w:rsidR="00E9575B">
        <w:rPr>
          <w:sz w:val="26"/>
          <w:szCs w:val="26"/>
        </w:rPr>
        <w:t xml:space="preserve"> III,</w:t>
      </w:r>
      <w:r w:rsidR="003658E9" w:rsidRPr="005F0A83">
        <w:rPr>
          <w:sz w:val="26"/>
          <w:szCs w:val="26"/>
        </w:rPr>
        <w:t xml:space="preserve"> </w:t>
      </w:r>
      <w:r w:rsidR="002239DC">
        <w:rPr>
          <w:sz w:val="26"/>
          <w:szCs w:val="26"/>
        </w:rPr>
        <w:t>I</w:t>
      </w:r>
      <w:r w:rsidR="0085528C">
        <w:rPr>
          <w:sz w:val="26"/>
          <w:szCs w:val="26"/>
        </w:rPr>
        <w:t>V,</w:t>
      </w:r>
      <w:r w:rsidR="003658E9" w:rsidRPr="005F0A83">
        <w:rPr>
          <w:sz w:val="26"/>
          <w:szCs w:val="26"/>
        </w:rPr>
        <w:t xml:space="preserve">V, </w:t>
      </w:r>
      <w:r w:rsidRPr="005F0A83">
        <w:rPr>
          <w:sz w:val="26"/>
          <w:szCs w:val="26"/>
        </w:rPr>
        <w:t>VI sadaļa – projekts šīs jomas neskar.</w:t>
      </w:r>
    </w:p>
    <w:p w:rsidR="007B517C" w:rsidRDefault="007B517C" w:rsidP="00784718">
      <w:pPr>
        <w:jc w:val="both"/>
        <w:rPr>
          <w:sz w:val="26"/>
          <w:szCs w:val="26"/>
        </w:rPr>
      </w:pPr>
    </w:p>
    <w:p w:rsidR="00E76A77" w:rsidRPr="00626010" w:rsidRDefault="00E76A77" w:rsidP="00784718">
      <w:pPr>
        <w:jc w:val="both"/>
        <w:rPr>
          <w:sz w:val="26"/>
          <w:szCs w:val="26"/>
        </w:rPr>
      </w:pPr>
    </w:p>
    <w:p w:rsidR="00FD2051" w:rsidRPr="005F0A83" w:rsidRDefault="00626010" w:rsidP="0023637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14B76">
        <w:rPr>
          <w:sz w:val="26"/>
          <w:szCs w:val="26"/>
        </w:rPr>
        <w:t>Izglītības un zinātnes ministre</w:t>
      </w:r>
      <w:r w:rsidR="00BC4F9D">
        <w:rPr>
          <w:sz w:val="26"/>
          <w:szCs w:val="26"/>
        </w:rPr>
        <w:tab/>
      </w:r>
      <w:r w:rsidR="00BC4F9D">
        <w:rPr>
          <w:sz w:val="26"/>
          <w:szCs w:val="26"/>
        </w:rPr>
        <w:tab/>
      </w:r>
      <w:r w:rsidR="00BC4F9D">
        <w:rPr>
          <w:sz w:val="26"/>
          <w:szCs w:val="26"/>
        </w:rPr>
        <w:tab/>
      </w:r>
      <w:r w:rsidR="00BC4F9D">
        <w:rPr>
          <w:sz w:val="26"/>
          <w:szCs w:val="26"/>
        </w:rPr>
        <w:tab/>
        <w:t xml:space="preserve">      </w:t>
      </w:r>
      <w:r w:rsidR="00614B76">
        <w:rPr>
          <w:sz w:val="26"/>
          <w:szCs w:val="26"/>
        </w:rPr>
        <w:t xml:space="preserve">    </w:t>
      </w:r>
      <w:r w:rsidRPr="00626010">
        <w:rPr>
          <w:sz w:val="26"/>
          <w:szCs w:val="26"/>
        </w:rPr>
        <w:t xml:space="preserve"> </w:t>
      </w:r>
      <w:r w:rsidR="00BC4F9D">
        <w:rPr>
          <w:sz w:val="26"/>
          <w:szCs w:val="26"/>
        </w:rPr>
        <w:t>I.Druviete</w:t>
      </w:r>
      <w:r w:rsidRPr="00626010">
        <w:rPr>
          <w:sz w:val="26"/>
          <w:szCs w:val="26"/>
        </w:rPr>
        <w:t xml:space="preserve">      </w:t>
      </w:r>
    </w:p>
    <w:p w:rsidR="00482FB8" w:rsidRDefault="00482FB8" w:rsidP="00784718">
      <w:pPr>
        <w:jc w:val="both"/>
        <w:rPr>
          <w:sz w:val="26"/>
          <w:szCs w:val="26"/>
        </w:rPr>
      </w:pPr>
    </w:p>
    <w:p w:rsidR="00E76A77" w:rsidRPr="005F0A83" w:rsidRDefault="00E76A77" w:rsidP="00784718">
      <w:pPr>
        <w:jc w:val="both"/>
        <w:rPr>
          <w:sz w:val="26"/>
          <w:szCs w:val="26"/>
        </w:rPr>
      </w:pPr>
    </w:p>
    <w:p w:rsidR="00AF1E2C" w:rsidRPr="00AF1E2C" w:rsidRDefault="00AF1E2C" w:rsidP="00AF1E2C">
      <w:pPr>
        <w:pStyle w:val="NormalWeb"/>
        <w:spacing w:before="0" w:beforeAutospacing="0" w:after="0" w:afterAutospacing="0"/>
        <w:ind w:left="720"/>
        <w:rPr>
          <w:sz w:val="26"/>
          <w:szCs w:val="26"/>
        </w:rPr>
      </w:pPr>
      <w:r w:rsidRPr="00AF1E2C">
        <w:rPr>
          <w:color w:val="000000"/>
          <w:sz w:val="26"/>
          <w:szCs w:val="26"/>
        </w:rPr>
        <w:t>Valsts sekretār</w:t>
      </w:r>
      <w:r w:rsidR="002B29DB">
        <w:rPr>
          <w:color w:val="000000"/>
          <w:sz w:val="26"/>
          <w:szCs w:val="26"/>
        </w:rPr>
        <w:t>e                                                                           S.Liepiņa</w:t>
      </w:r>
      <w:r w:rsidRPr="00AF1E2C">
        <w:rPr>
          <w:color w:val="000000"/>
          <w:sz w:val="26"/>
          <w:szCs w:val="26"/>
        </w:rPr>
        <w:br/>
      </w:r>
    </w:p>
    <w:p w:rsidR="0023637C" w:rsidRDefault="0023637C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Default="00E76A77" w:rsidP="00FF7AD8">
      <w:pPr>
        <w:jc w:val="both"/>
        <w:rPr>
          <w:sz w:val="26"/>
          <w:szCs w:val="26"/>
        </w:rPr>
      </w:pPr>
    </w:p>
    <w:p w:rsidR="00E76A77" w:rsidRPr="005F0A83" w:rsidRDefault="00E76A77" w:rsidP="00FF7AD8">
      <w:pPr>
        <w:jc w:val="both"/>
        <w:rPr>
          <w:sz w:val="26"/>
          <w:szCs w:val="26"/>
        </w:rPr>
      </w:pPr>
    </w:p>
    <w:p w:rsidR="00FD2051" w:rsidRPr="005F0A83" w:rsidRDefault="00DF22AC" w:rsidP="0023637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29.</w:t>
      </w:r>
      <w:r w:rsidR="00E9575B">
        <w:rPr>
          <w:sz w:val="20"/>
          <w:szCs w:val="20"/>
        </w:rPr>
        <w:t>07</w:t>
      </w:r>
      <w:r w:rsidR="00FD2051" w:rsidRPr="005F0A83">
        <w:rPr>
          <w:sz w:val="20"/>
          <w:szCs w:val="20"/>
        </w:rPr>
        <w:t>.</w:t>
      </w:r>
      <w:r w:rsidR="007A71F1" w:rsidRPr="005F0A83">
        <w:rPr>
          <w:sz w:val="20"/>
          <w:szCs w:val="20"/>
        </w:rPr>
        <w:t>20</w:t>
      </w:r>
      <w:r w:rsidR="00FD2051" w:rsidRPr="005F0A83">
        <w:rPr>
          <w:sz w:val="20"/>
          <w:szCs w:val="20"/>
        </w:rPr>
        <w:t>1</w:t>
      </w:r>
      <w:r w:rsidR="00BC4F9D">
        <w:rPr>
          <w:sz w:val="20"/>
          <w:szCs w:val="20"/>
        </w:rPr>
        <w:t>4</w:t>
      </w:r>
      <w:r w:rsidR="00801CB0" w:rsidRPr="005F0A83">
        <w:rPr>
          <w:sz w:val="20"/>
          <w:szCs w:val="20"/>
        </w:rPr>
        <w:t xml:space="preserve"> </w:t>
      </w:r>
      <w:r w:rsidR="00BC4F9D">
        <w:rPr>
          <w:sz w:val="20"/>
          <w:szCs w:val="20"/>
        </w:rPr>
        <w:t>1</w:t>
      </w:r>
      <w:r w:rsidR="00E9575B">
        <w:rPr>
          <w:sz w:val="20"/>
          <w:szCs w:val="20"/>
        </w:rPr>
        <w:t>0</w:t>
      </w:r>
      <w:r w:rsidR="00CB4E67" w:rsidRPr="005F0A83">
        <w:rPr>
          <w:sz w:val="20"/>
          <w:szCs w:val="20"/>
        </w:rPr>
        <w:t>:</w:t>
      </w:r>
      <w:r w:rsidR="0095534C">
        <w:rPr>
          <w:sz w:val="20"/>
          <w:szCs w:val="20"/>
        </w:rPr>
        <w:t>10</w:t>
      </w:r>
    </w:p>
    <w:p w:rsidR="00FD2051" w:rsidRPr="005F0A83" w:rsidRDefault="00026CA7" w:rsidP="0023637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B29DB">
        <w:rPr>
          <w:sz w:val="20"/>
          <w:szCs w:val="20"/>
        </w:rPr>
        <w:t>5</w:t>
      </w:r>
      <w:bookmarkStart w:id="1" w:name="_GoBack"/>
      <w:bookmarkEnd w:id="1"/>
      <w:r w:rsidR="00DF22AC">
        <w:rPr>
          <w:sz w:val="20"/>
          <w:szCs w:val="20"/>
        </w:rPr>
        <w:t>5</w:t>
      </w:r>
    </w:p>
    <w:p w:rsidR="00B04630" w:rsidRPr="0023637C" w:rsidRDefault="00027C17" w:rsidP="0023637C">
      <w:pPr>
        <w:ind w:firstLine="720"/>
        <w:jc w:val="both"/>
        <w:rPr>
          <w:sz w:val="20"/>
          <w:szCs w:val="20"/>
        </w:rPr>
      </w:pPr>
      <w:r w:rsidRPr="005F0A83">
        <w:rPr>
          <w:sz w:val="20"/>
          <w:szCs w:val="20"/>
        </w:rPr>
        <w:t>A.Āboliņa</w:t>
      </w:r>
      <w:r w:rsidR="0023637C">
        <w:rPr>
          <w:sz w:val="20"/>
          <w:szCs w:val="20"/>
        </w:rPr>
        <w:t xml:space="preserve">, </w:t>
      </w:r>
      <w:r w:rsidR="00FD2051" w:rsidRPr="005F0A83">
        <w:rPr>
          <w:sz w:val="20"/>
          <w:szCs w:val="20"/>
        </w:rPr>
        <w:t>67047</w:t>
      </w:r>
      <w:r w:rsidRPr="005F0A83">
        <w:rPr>
          <w:sz w:val="20"/>
          <w:szCs w:val="20"/>
        </w:rPr>
        <w:t>930</w:t>
      </w:r>
      <w:r w:rsidR="00FD2051" w:rsidRPr="005F0A83">
        <w:rPr>
          <w:sz w:val="20"/>
          <w:szCs w:val="20"/>
        </w:rPr>
        <w:t xml:space="preserve">, </w:t>
      </w:r>
      <w:r w:rsidRPr="0023637C">
        <w:rPr>
          <w:sz w:val="20"/>
          <w:szCs w:val="20"/>
        </w:rPr>
        <w:t>anita.abolina@izm.gov.lv</w:t>
      </w:r>
    </w:p>
    <w:sectPr w:rsidR="00B04630" w:rsidRPr="0023637C" w:rsidSect="00C07A3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ED" w:rsidRDefault="00B730ED" w:rsidP="000C0374">
      <w:r>
        <w:separator/>
      </w:r>
    </w:p>
  </w:endnote>
  <w:endnote w:type="continuationSeparator" w:id="0">
    <w:p w:rsidR="00B730ED" w:rsidRDefault="00B730ED" w:rsidP="000C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30" w:rsidRPr="007012E3" w:rsidRDefault="00B04630" w:rsidP="00922360">
    <w:pPr>
      <w:pStyle w:val="NormalWeb"/>
      <w:spacing w:before="0" w:beforeAutospacing="0" w:after="0" w:afterAutospacing="0"/>
      <w:jc w:val="both"/>
      <w:rPr>
        <w:b/>
        <w:bCs/>
        <w:sz w:val="28"/>
        <w:szCs w:val="28"/>
      </w:rPr>
    </w:pPr>
    <w:r w:rsidRPr="007012E3">
      <w:rPr>
        <w:sz w:val="22"/>
        <w:szCs w:val="22"/>
      </w:rPr>
      <w:t>IZMAnot_</w:t>
    </w:r>
    <w:r w:rsidR="00DF22AC">
      <w:rPr>
        <w:sz w:val="22"/>
        <w:szCs w:val="22"/>
      </w:rPr>
      <w:t>29</w:t>
    </w:r>
    <w:r w:rsidR="00E9575B">
      <w:rPr>
        <w:sz w:val="22"/>
        <w:szCs w:val="22"/>
      </w:rPr>
      <w:t>07</w:t>
    </w:r>
    <w:r w:rsidR="00D0421B">
      <w:rPr>
        <w:sz w:val="22"/>
        <w:szCs w:val="22"/>
      </w:rPr>
      <w:t>14</w:t>
    </w:r>
    <w:r w:rsidRPr="007012E3">
      <w:rPr>
        <w:sz w:val="22"/>
        <w:szCs w:val="22"/>
      </w:rPr>
      <w:t>_523groz;</w:t>
    </w:r>
    <w:r w:rsidRPr="007012E3">
      <w:rPr>
        <w:b/>
        <w:bCs/>
        <w:sz w:val="22"/>
        <w:szCs w:val="22"/>
      </w:rPr>
      <w:t xml:space="preserve"> </w:t>
    </w:r>
    <w:r w:rsidRPr="007012E3">
      <w:rPr>
        <w:rStyle w:val="Strong"/>
        <w:b w:val="0"/>
        <w:bCs w:val="0"/>
        <w:sz w:val="22"/>
        <w:szCs w:val="22"/>
      </w:rPr>
      <w:t xml:space="preserve">Grozījumi </w:t>
    </w:r>
    <w:r w:rsidRPr="007012E3">
      <w:rPr>
        <w:rStyle w:val="Strong"/>
        <w:b w:val="0"/>
        <w:sz w:val="22"/>
        <w:szCs w:val="22"/>
      </w:rPr>
      <w:t xml:space="preserve">Ministru kabineta </w:t>
    </w:r>
    <w:r w:rsidRPr="007012E3">
      <w:rPr>
        <w:bCs/>
        <w:sz w:val="22"/>
        <w:szCs w:val="22"/>
      </w:rPr>
      <w:t>2011.gada 5.jūlija</w:t>
    </w:r>
    <w:r w:rsidRPr="007012E3">
      <w:rPr>
        <w:rStyle w:val="Strong"/>
        <w:b w:val="0"/>
        <w:sz w:val="22"/>
        <w:szCs w:val="22"/>
      </w:rPr>
      <w:t xml:space="preserve"> noteikumos Nr.523 „</w:t>
    </w:r>
    <w:r w:rsidRPr="007012E3">
      <w:rPr>
        <w:bCs/>
        <w:sz w:val="22"/>
        <w:szCs w:val="22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7012E3">
      <w:rPr>
        <w:rStyle w:val="Strong"/>
        <w:b w:val="0"/>
        <w:bCs w:val="0"/>
        <w:sz w:val="22"/>
        <w:szCs w:val="22"/>
      </w:rPr>
      <w:t>”</w:t>
    </w:r>
    <w:r w:rsidRPr="007012E3">
      <w:rPr>
        <w:rStyle w:val="Strong"/>
        <w:sz w:val="28"/>
        <w:szCs w:val="28"/>
      </w:rPr>
      <w:t xml:space="preserve"> </w:t>
    </w:r>
    <w:r w:rsidRPr="007012E3">
      <w:rPr>
        <w:sz w:val="22"/>
        <w:szCs w:val="22"/>
      </w:rPr>
      <w:t>sākotnējās ietekmes novērtējuma ziņojums (anotācija)</w:t>
    </w:r>
  </w:p>
  <w:p w:rsidR="00B04630" w:rsidRPr="00922360" w:rsidRDefault="00B04630" w:rsidP="0092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30" w:rsidRDefault="00B04630" w:rsidP="005F3BC4">
    <w:pPr>
      <w:jc w:val="both"/>
      <w:rPr>
        <w:sz w:val="22"/>
        <w:szCs w:val="22"/>
      </w:rPr>
    </w:pPr>
  </w:p>
  <w:p w:rsidR="00B04630" w:rsidRPr="007012E3" w:rsidRDefault="00B04630" w:rsidP="00922360">
    <w:pPr>
      <w:pStyle w:val="NormalWeb"/>
      <w:spacing w:before="0" w:beforeAutospacing="0" w:after="0" w:afterAutospacing="0"/>
      <w:jc w:val="both"/>
      <w:rPr>
        <w:b/>
        <w:bCs/>
        <w:sz w:val="28"/>
        <w:szCs w:val="28"/>
      </w:rPr>
    </w:pPr>
    <w:r w:rsidRPr="007012E3">
      <w:rPr>
        <w:sz w:val="22"/>
        <w:szCs w:val="22"/>
      </w:rPr>
      <w:t>IZMAnot_</w:t>
    </w:r>
    <w:r w:rsidR="00DF22AC">
      <w:rPr>
        <w:sz w:val="22"/>
        <w:szCs w:val="22"/>
      </w:rPr>
      <w:t>29</w:t>
    </w:r>
    <w:r w:rsidR="00E9575B">
      <w:rPr>
        <w:sz w:val="22"/>
        <w:szCs w:val="22"/>
      </w:rPr>
      <w:t>07</w:t>
    </w:r>
    <w:r w:rsidRPr="007012E3">
      <w:rPr>
        <w:sz w:val="22"/>
        <w:szCs w:val="22"/>
      </w:rPr>
      <w:t>1</w:t>
    </w:r>
    <w:r w:rsidR="00502577">
      <w:rPr>
        <w:sz w:val="22"/>
        <w:szCs w:val="22"/>
      </w:rPr>
      <w:t>4</w:t>
    </w:r>
    <w:r w:rsidRPr="007012E3">
      <w:rPr>
        <w:sz w:val="22"/>
        <w:szCs w:val="22"/>
      </w:rPr>
      <w:t>_523groz;</w:t>
    </w:r>
    <w:r w:rsidRPr="007012E3">
      <w:rPr>
        <w:b/>
        <w:bCs/>
        <w:sz w:val="22"/>
        <w:szCs w:val="22"/>
      </w:rPr>
      <w:t xml:space="preserve"> </w:t>
    </w:r>
    <w:r w:rsidRPr="007012E3">
      <w:rPr>
        <w:rStyle w:val="Strong"/>
        <w:b w:val="0"/>
        <w:bCs w:val="0"/>
        <w:sz w:val="22"/>
        <w:szCs w:val="22"/>
      </w:rPr>
      <w:t xml:space="preserve">Grozījumi </w:t>
    </w:r>
    <w:r w:rsidRPr="007012E3">
      <w:rPr>
        <w:rStyle w:val="Strong"/>
        <w:b w:val="0"/>
        <w:sz w:val="22"/>
        <w:szCs w:val="22"/>
      </w:rPr>
      <w:t xml:space="preserve">Ministru kabineta </w:t>
    </w:r>
    <w:r w:rsidRPr="007012E3">
      <w:rPr>
        <w:bCs/>
        <w:sz w:val="22"/>
        <w:szCs w:val="22"/>
      </w:rPr>
      <w:t>2011.gada 5.jūlija</w:t>
    </w:r>
    <w:r w:rsidRPr="007012E3">
      <w:rPr>
        <w:rStyle w:val="Strong"/>
        <w:b w:val="0"/>
        <w:sz w:val="22"/>
        <w:szCs w:val="22"/>
      </w:rPr>
      <w:t xml:space="preserve"> noteikumos Nr.523 „</w:t>
    </w:r>
    <w:r w:rsidRPr="007012E3">
      <w:rPr>
        <w:bCs/>
        <w:sz w:val="22"/>
        <w:szCs w:val="22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7012E3">
      <w:rPr>
        <w:rStyle w:val="Strong"/>
        <w:b w:val="0"/>
        <w:bCs w:val="0"/>
        <w:sz w:val="22"/>
        <w:szCs w:val="22"/>
      </w:rPr>
      <w:t>”</w:t>
    </w:r>
    <w:r w:rsidRPr="007012E3">
      <w:rPr>
        <w:rStyle w:val="Strong"/>
        <w:sz w:val="28"/>
        <w:szCs w:val="28"/>
      </w:rPr>
      <w:t xml:space="preserve"> </w:t>
    </w:r>
    <w:r w:rsidRPr="007012E3">
      <w:rPr>
        <w:sz w:val="22"/>
        <w:szCs w:val="22"/>
      </w:rPr>
      <w:t>sākotnējās ietekmes novērtējuma ziņojums (anotācija)</w:t>
    </w:r>
  </w:p>
  <w:p w:rsidR="00B04630" w:rsidRPr="007E5F59" w:rsidRDefault="00B04630" w:rsidP="00450EEA">
    <w:pPr>
      <w:pStyle w:val="Footer"/>
      <w:jc w:val="both"/>
    </w:pPr>
  </w:p>
  <w:p w:rsidR="00B04630" w:rsidRPr="007E5F59" w:rsidRDefault="00B04630" w:rsidP="007E5F5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ED" w:rsidRDefault="00B730ED" w:rsidP="000C0374">
      <w:r>
        <w:separator/>
      </w:r>
    </w:p>
  </w:footnote>
  <w:footnote w:type="continuationSeparator" w:id="0">
    <w:p w:rsidR="00B730ED" w:rsidRDefault="00B730ED" w:rsidP="000C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30" w:rsidRDefault="00B04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9DB">
      <w:rPr>
        <w:rStyle w:val="PageNumber"/>
        <w:noProof/>
      </w:rPr>
      <w:t>2</w:t>
    </w:r>
    <w:r>
      <w:rPr>
        <w:rStyle w:val="PageNumber"/>
      </w:rPr>
      <w:fldChar w:fldCharType="end"/>
    </w:r>
  </w:p>
  <w:p w:rsidR="00B04630" w:rsidRDefault="00B04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CC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92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F02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043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A4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8A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C3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A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1ECDE3E"/>
    <w:lvl w:ilvl="0">
      <w:numFmt w:val="bullet"/>
      <w:lvlText w:val="*"/>
      <w:lvlJc w:val="left"/>
    </w:lvl>
  </w:abstractNum>
  <w:abstractNum w:abstractNumId="11">
    <w:nsid w:val="008E0160"/>
    <w:multiLevelType w:val="hybridMultilevel"/>
    <w:tmpl w:val="2FA07372"/>
    <w:lvl w:ilvl="0" w:tplc="87B49F9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3C253DD"/>
    <w:multiLevelType w:val="hybridMultilevel"/>
    <w:tmpl w:val="5840F6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73FE6"/>
    <w:multiLevelType w:val="hybridMultilevel"/>
    <w:tmpl w:val="C666D1D6"/>
    <w:lvl w:ilvl="0" w:tplc="66926DD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3548E"/>
    <w:multiLevelType w:val="hybridMultilevel"/>
    <w:tmpl w:val="D88AA966"/>
    <w:lvl w:ilvl="0" w:tplc="C398256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806BC"/>
    <w:multiLevelType w:val="hybridMultilevel"/>
    <w:tmpl w:val="DEF6047C"/>
    <w:lvl w:ilvl="0" w:tplc="5928E4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2025C"/>
    <w:multiLevelType w:val="hybridMultilevel"/>
    <w:tmpl w:val="4C1058D6"/>
    <w:lvl w:ilvl="0" w:tplc="9EEAFA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775C"/>
    <w:multiLevelType w:val="hybridMultilevel"/>
    <w:tmpl w:val="C8388AF8"/>
    <w:lvl w:ilvl="0" w:tplc="5232CF1E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D46A27"/>
    <w:multiLevelType w:val="hybridMultilevel"/>
    <w:tmpl w:val="0E148E54"/>
    <w:lvl w:ilvl="0" w:tplc="30B044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0742C"/>
    <w:multiLevelType w:val="hybridMultilevel"/>
    <w:tmpl w:val="890E849A"/>
    <w:lvl w:ilvl="0" w:tplc="0290C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A1411"/>
    <w:multiLevelType w:val="hybridMultilevel"/>
    <w:tmpl w:val="C632FBD2"/>
    <w:lvl w:ilvl="0" w:tplc="0F20ACF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2434F"/>
    <w:multiLevelType w:val="hybridMultilevel"/>
    <w:tmpl w:val="2B2C9970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2A06AD"/>
    <w:multiLevelType w:val="hybridMultilevel"/>
    <w:tmpl w:val="F650140E"/>
    <w:lvl w:ilvl="0" w:tplc="0F1C188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8A0E90"/>
    <w:multiLevelType w:val="hybridMultilevel"/>
    <w:tmpl w:val="3FCE1654"/>
    <w:lvl w:ilvl="0" w:tplc="84844E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2B59C7"/>
    <w:multiLevelType w:val="hybridMultilevel"/>
    <w:tmpl w:val="7D4675A8"/>
    <w:lvl w:ilvl="0" w:tplc="87241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4"/>
  </w:num>
  <w:num w:numId="16">
    <w:abstractNumId w:val="23"/>
  </w:num>
  <w:num w:numId="17">
    <w:abstractNumId w:val="20"/>
  </w:num>
  <w:num w:numId="18">
    <w:abstractNumId w:val="14"/>
  </w:num>
  <w:num w:numId="19">
    <w:abstractNumId w:val="13"/>
  </w:num>
  <w:num w:numId="20">
    <w:abstractNumId w:val="22"/>
  </w:num>
  <w:num w:numId="21">
    <w:abstractNumId w:val="15"/>
  </w:num>
  <w:num w:numId="2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8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4"/>
    <w:rsid w:val="000001A4"/>
    <w:rsid w:val="00003ED9"/>
    <w:rsid w:val="00007A68"/>
    <w:rsid w:val="00007D06"/>
    <w:rsid w:val="00014FAC"/>
    <w:rsid w:val="000171CE"/>
    <w:rsid w:val="000216B4"/>
    <w:rsid w:val="00023341"/>
    <w:rsid w:val="000233C5"/>
    <w:rsid w:val="00024FBE"/>
    <w:rsid w:val="00025F90"/>
    <w:rsid w:val="00026CA7"/>
    <w:rsid w:val="00027504"/>
    <w:rsid w:val="00027C17"/>
    <w:rsid w:val="00030350"/>
    <w:rsid w:val="000330A2"/>
    <w:rsid w:val="000332A8"/>
    <w:rsid w:val="0003376D"/>
    <w:rsid w:val="000416DF"/>
    <w:rsid w:val="00044640"/>
    <w:rsid w:val="00045F4E"/>
    <w:rsid w:val="00046A9F"/>
    <w:rsid w:val="0004747D"/>
    <w:rsid w:val="000516EB"/>
    <w:rsid w:val="00055673"/>
    <w:rsid w:val="0005598A"/>
    <w:rsid w:val="00055A1F"/>
    <w:rsid w:val="00056592"/>
    <w:rsid w:val="00057919"/>
    <w:rsid w:val="00060832"/>
    <w:rsid w:val="00061C1D"/>
    <w:rsid w:val="000633CB"/>
    <w:rsid w:val="00063419"/>
    <w:rsid w:val="00065AD4"/>
    <w:rsid w:val="0006622E"/>
    <w:rsid w:val="000664B0"/>
    <w:rsid w:val="00080DF4"/>
    <w:rsid w:val="00081C4F"/>
    <w:rsid w:val="000845A3"/>
    <w:rsid w:val="00084A3D"/>
    <w:rsid w:val="0008554C"/>
    <w:rsid w:val="00086D86"/>
    <w:rsid w:val="0009092B"/>
    <w:rsid w:val="000932F1"/>
    <w:rsid w:val="00096918"/>
    <w:rsid w:val="00097C15"/>
    <w:rsid w:val="000A251B"/>
    <w:rsid w:val="000A2CFE"/>
    <w:rsid w:val="000A58CF"/>
    <w:rsid w:val="000B16A5"/>
    <w:rsid w:val="000B19A5"/>
    <w:rsid w:val="000B2D20"/>
    <w:rsid w:val="000B4486"/>
    <w:rsid w:val="000B64C9"/>
    <w:rsid w:val="000C0374"/>
    <w:rsid w:val="000C0C81"/>
    <w:rsid w:val="000C5A58"/>
    <w:rsid w:val="000D0099"/>
    <w:rsid w:val="000D101A"/>
    <w:rsid w:val="000D18DE"/>
    <w:rsid w:val="000E2396"/>
    <w:rsid w:val="000E609E"/>
    <w:rsid w:val="000F01CB"/>
    <w:rsid w:val="000F4907"/>
    <w:rsid w:val="000F7497"/>
    <w:rsid w:val="00105BA3"/>
    <w:rsid w:val="001118D8"/>
    <w:rsid w:val="00112646"/>
    <w:rsid w:val="00112A98"/>
    <w:rsid w:val="00113D33"/>
    <w:rsid w:val="001231D8"/>
    <w:rsid w:val="00123D85"/>
    <w:rsid w:val="00124F55"/>
    <w:rsid w:val="00126E5C"/>
    <w:rsid w:val="0012731C"/>
    <w:rsid w:val="00127816"/>
    <w:rsid w:val="001303E3"/>
    <w:rsid w:val="001327AB"/>
    <w:rsid w:val="0014011A"/>
    <w:rsid w:val="001458C1"/>
    <w:rsid w:val="00154FD1"/>
    <w:rsid w:val="00156DCD"/>
    <w:rsid w:val="00160566"/>
    <w:rsid w:val="001627CE"/>
    <w:rsid w:val="00164463"/>
    <w:rsid w:val="00166A9E"/>
    <w:rsid w:val="00170304"/>
    <w:rsid w:val="0017465A"/>
    <w:rsid w:val="0017486A"/>
    <w:rsid w:val="00175E3D"/>
    <w:rsid w:val="001801C0"/>
    <w:rsid w:val="001825F7"/>
    <w:rsid w:val="00184BF7"/>
    <w:rsid w:val="00195559"/>
    <w:rsid w:val="0019700F"/>
    <w:rsid w:val="0019703E"/>
    <w:rsid w:val="001A48E2"/>
    <w:rsid w:val="001A6B53"/>
    <w:rsid w:val="001B0498"/>
    <w:rsid w:val="001B3FA1"/>
    <w:rsid w:val="001B5270"/>
    <w:rsid w:val="001B7495"/>
    <w:rsid w:val="001C38D1"/>
    <w:rsid w:val="001C5E0E"/>
    <w:rsid w:val="001C7F0C"/>
    <w:rsid w:val="001D0F8F"/>
    <w:rsid w:val="001D2162"/>
    <w:rsid w:val="001E217D"/>
    <w:rsid w:val="001E2E37"/>
    <w:rsid w:val="001E40F6"/>
    <w:rsid w:val="001F0430"/>
    <w:rsid w:val="001F65B1"/>
    <w:rsid w:val="001F6719"/>
    <w:rsid w:val="001F6D24"/>
    <w:rsid w:val="002025D8"/>
    <w:rsid w:val="00202A78"/>
    <w:rsid w:val="00203099"/>
    <w:rsid w:val="00204612"/>
    <w:rsid w:val="002057B0"/>
    <w:rsid w:val="00206191"/>
    <w:rsid w:val="00206D92"/>
    <w:rsid w:val="00210214"/>
    <w:rsid w:val="00211D7B"/>
    <w:rsid w:val="002125CD"/>
    <w:rsid w:val="002137CF"/>
    <w:rsid w:val="00217B70"/>
    <w:rsid w:val="0022086F"/>
    <w:rsid w:val="00222F83"/>
    <w:rsid w:val="002239DC"/>
    <w:rsid w:val="00226157"/>
    <w:rsid w:val="002262E7"/>
    <w:rsid w:val="0023273D"/>
    <w:rsid w:val="002336FB"/>
    <w:rsid w:val="0023433D"/>
    <w:rsid w:val="0023637C"/>
    <w:rsid w:val="00237FD4"/>
    <w:rsid w:val="00241436"/>
    <w:rsid w:val="00241B00"/>
    <w:rsid w:val="00241C4E"/>
    <w:rsid w:val="00242F5D"/>
    <w:rsid w:val="002437B7"/>
    <w:rsid w:val="00247981"/>
    <w:rsid w:val="00251D64"/>
    <w:rsid w:val="00252DB1"/>
    <w:rsid w:val="00252E70"/>
    <w:rsid w:val="00263BA1"/>
    <w:rsid w:val="00267899"/>
    <w:rsid w:val="002702DA"/>
    <w:rsid w:val="00274C7B"/>
    <w:rsid w:val="00280113"/>
    <w:rsid w:val="00281CEB"/>
    <w:rsid w:val="00282CF7"/>
    <w:rsid w:val="00282D8F"/>
    <w:rsid w:val="00283FEA"/>
    <w:rsid w:val="0028450E"/>
    <w:rsid w:val="002863DE"/>
    <w:rsid w:val="002879D1"/>
    <w:rsid w:val="00290A07"/>
    <w:rsid w:val="00291FD1"/>
    <w:rsid w:val="00292EAE"/>
    <w:rsid w:val="00293F51"/>
    <w:rsid w:val="00294E0E"/>
    <w:rsid w:val="00297F18"/>
    <w:rsid w:val="002A3A9B"/>
    <w:rsid w:val="002A3EC4"/>
    <w:rsid w:val="002A65F0"/>
    <w:rsid w:val="002A785F"/>
    <w:rsid w:val="002A7F1B"/>
    <w:rsid w:val="002B2377"/>
    <w:rsid w:val="002B29DB"/>
    <w:rsid w:val="002B5C77"/>
    <w:rsid w:val="002B5EE2"/>
    <w:rsid w:val="002B5EFC"/>
    <w:rsid w:val="002B7074"/>
    <w:rsid w:val="002C1252"/>
    <w:rsid w:val="002C58E7"/>
    <w:rsid w:val="002C5F7B"/>
    <w:rsid w:val="002D41BA"/>
    <w:rsid w:val="002D4A25"/>
    <w:rsid w:val="002D7023"/>
    <w:rsid w:val="002D771F"/>
    <w:rsid w:val="002E2ADD"/>
    <w:rsid w:val="002E5CDC"/>
    <w:rsid w:val="002E5F45"/>
    <w:rsid w:val="002E65AF"/>
    <w:rsid w:val="002F0E54"/>
    <w:rsid w:val="002F47C2"/>
    <w:rsid w:val="002F51AE"/>
    <w:rsid w:val="002F6009"/>
    <w:rsid w:val="002F69FE"/>
    <w:rsid w:val="002F72C9"/>
    <w:rsid w:val="002F7D60"/>
    <w:rsid w:val="00300C30"/>
    <w:rsid w:val="00304298"/>
    <w:rsid w:val="00307CB2"/>
    <w:rsid w:val="00312070"/>
    <w:rsid w:val="00314B32"/>
    <w:rsid w:val="003155D8"/>
    <w:rsid w:val="0031613F"/>
    <w:rsid w:val="003218B1"/>
    <w:rsid w:val="0032260D"/>
    <w:rsid w:val="0032416F"/>
    <w:rsid w:val="0033461F"/>
    <w:rsid w:val="0033482E"/>
    <w:rsid w:val="00337572"/>
    <w:rsid w:val="00346A11"/>
    <w:rsid w:val="00354CD4"/>
    <w:rsid w:val="003602EC"/>
    <w:rsid w:val="003658E9"/>
    <w:rsid w:val="003679D4"/>
    <w:rsid w:val="00367F4C"/>
    <w:rsid w:val="00371F6E"/>
    <w:rsid w:val="00373A94"/>
    <w:rsid w:val="00373F32"/>
    <w:rsid w:val="00380698"/>
    <w:rsid w:val="00380ECC"/>
    <w:rsid w:val="00384E99"/>
    <w:rsid w:val="003854FF"/>
    <w:rsid w:val="00386F73"/>
    <w:rsid w:val="00396C9E"/>
    <w:rsid w:val="003971C1"/>
    <w:rsid w:val="003A05BE"/>
    <w:rsid w:val="003A3C87"/>
    <w:rsid w:val="003A4141"/>
    <w:rsid w:val="003A5521"/>
    <w:rsid w:val="003A5E8E"/>
    <w:rsid w:val="003A6337"/>
    <w:rsid w:val="003A7234"/>
    <w:rsid w:val="003B6013"/>
    <w:rsid w:val="003C068B"/>
    <w:rsid w:val="003C0D2E"/>
    <w:rsid w:val="003C787A"/>
    <w:rsid w:val="003D409E"/>
    <w:rsid w:val="003D4949"/>
    <w:rsid w:val="003D51B0"/>
    <w:rsid w:val="003D6706"/>
    <w:rsid w:val="003D7714"/>
    <w:rsid w:val="003E02B8"/>
    <w:rsid w:val="003E3CD5"/>
    <w:rsid w:val="003E5037"/>
    <w:rsid w:val="003E5729"/>
    <w:rsid w:val="003E6734"/>
    <w:rsid w:val="003E7FA2"/>
    <w:rsid w:val="003F25B0"/>
    <w:rsid w:val="003F544B"/>
    <w:rsid w:val="00401239"/>
    <w:rsid w:val="004044F8"/>
    <w:rsid w:val="00404800"/>
    <w:rsid w:val="00406EC7"/>
    <w:rsid w:val="00412A17"/>
    <w:rsid w:val="00412DEB"/>
    <w:rsid w:val="00412F2D"/>
    <w:rsid w:val="00413DD7"/>
    <w:rsid w:val="0041652B"/>
    <w:rsid w:val="004208E2"/>
    <w:rsid w:val="004264AC"/>
    <w:rsid w:val="004265E8"/>
    <w:rsid w:val="00430AB3"/>
    <w:rsid w:val="0044105F"/>
    <w:rsid w:val="00441CDA"/>
    <w:rsid w:val="00442961"/>
    <w:rsid w:val="00445F80"/>
    <w:rsid w:val="00450EEA"/>
    <w:rsid w:val="004512FF"/>
    <w:rsid w:val="00455011"/>
    <w:rsid w:val="004603AD"/>
    <w:rsid w:val="00462764"/>
    <w:rsid w:val="00463C00"/>
    <w:rsid w:val="00470D48"/>
    <w:rsid w:val="00472758"/>
    <w:rsid w:val="00474C27"/>
    <w:rsid w:val="00476462"/>
    <w:rsid w:val="00480396"/>
    <w:rsid w:val="00480482"/>
    <w:rsid w:val="00480C07"/>
    <w:rsid w:val="004810D8"/>
    <w:rsid w:val="00481B2B"/>
    <w:rsid w:val="0048201A"/>
    <w:rsid w:val="00482FB8"/>
    <w:rsid w:val="0048367B"/>
    <w:rsid w:val="00483DDB"/>
    <w:rsid w:val="00485BD3"/>
    <w:rsid w:val="004A04B4"/>
    <w:rsid w:val="004A33D7"/>
    <w:rsid w:val="004A49F9"/>
    <w:rsid w:val="004B009B"/>
    <w:rsid w:val="004B05DE"/>
    <w:rsid w:val="004B13BB"/>
    <w:rsid w:val="004B3657"/>
    <w:rsid w:val="004B3910"/>
    <w:rsid w:val="004B3D05"/>
    <w:rsid w:val="004B4295"/>
    <w:rsid w:val="004B4951"/>
    <w:rsid w:val="004B6207"/>
    <w:rsid w:val="004C0426"/>
    <w:rsid w:val="004C09BF"/>
    <w:rsid w:val="004C4DDE"/>
    <w:rsid w:val="004D0D33"/>
    <w:rsid w:val="004D3169"/>
    <w:rsid w:val="004D34FF"/>
    <w:rsid w:val="004D767D"/>
    <w:rsid w:val="004E053A"/>
    <w:rsid w:val="004E1DF8"/>
    <w:rsid w:val="004E2963"/>
    <w:rsid w:val="004E3E84"/>
    <w:rsid w:val="004E66D8"/>
    <w:rsid w:val="004E77D7"/>
    <w:rsid w:val="004F26A6"/>
    <w:rsid w:val="00501550"/>
    <w:rsid w:val="00502092"/>
    <w:rsid w:val="00502577"/>
    <w:rsid w:val="00510415"/>
    <w:rsid w:val="0051247E"/>
    <w:rsid w:val="005168BA"/>
    <w:rsid w:val="00517F10"/>
    <w:rsid w:val="00520A64"/>
    <w:rsid w:val="0052649E"/>
    <w:rsid w:val="00527003"/>
    <w:rsid w:val="00527EAA"/>
    <w:rsid w:val="00532435"/>
    <w:rsid w:val="0053445E"/>
    <w:rsid w:val="0053480F"/>
    <w:rsid w:val="00535B29"/>
    <w:rsid w:val="005360F7"/>
    <w:rsid w:val="00537ADA"/>
    <w:rsid w:val="00543566"/>
    <w:rsid w:val="0055152E"/>
    <w:rsid w:val="00553D3C"/>
    <w:rsid w:val="00557BA8"/>
    <w:rsid w:val="00557F91"/>
    <w:rsid w:val="00563520"/>
    <w:rsid w:val="00563660"/>
    <w:rsid w:val="0056490B"/>
    <w:rsid w:val="005677AF"/>
    <w:rsid w:val="00577118"/>
    <w:rsid w:val="00577492"/>
    <w:rsid w:val="00580E82"/>
    <w:rsid w:val="00580FA0"/>
    <w:rsid w:val="00582750"/>
    <w:rsid w:val="00583A95"/>
    <w:rsid w:val="00583B35"/>
    <w:rsid w:val="005843A5"/>
    <w:rsid w:val="005863AA"/>
    <w:rsid w:val="0058649E"/>
    <w:rsid w:val="005864CA"/>
    <w:rsid w:val="00587A9A"/>
    <w:rsid w:val="00587CEA"/>
    <w:rsid w:val="005901F9"/>
    <w:rsid w:val="00590593"/>
    <w:rsid w:val="00593098"/>
    <w:rsid w:val="00594BBD"/>
    <w:rsid w:val="00594BD4"/>
    <w:rsid w:val="005A0E2F"/>
    <w:rsid w:val="005A171B"/>
    <w:rsid w:val="005A1E6E"/>
    <w:rsid w:val="005A2020"/>
    <w:rsid w:val="005B38EB"/>
    <w:rsid w:val="005B3F68"/>
    <w:rsid w:val="005B50E6"/>
    <w:rsid w:val="005C2AA4"/>
    <w:rsid w:val="005C5482"/>
    <w:rsid w:val="005C78C8"/>
    <w:rsid w:val="005C7B4A"/>
    <w:rsid w:val="005D59D4"/>
    <w:rsid w:val="005E3CEE"/>
    <w:rsid w:val="005E57E4"/>
    <w:rsid w:val="005F0A83"/>
    <w:rsid w:val="005F16DA"/>
    <w:rsid w:val="005F3BC4"/>
    <w:rsid w:val="005F3E85"/>
    <w:rsid w:val="005F4136"/>
    <w:rsid w:val="005F6E06"/>
    <w:rsid w:val="005F7200"/>
    <w:rsid w:val="005F7575"/>
    <w:rsid w:val="00600992"/>
    <w:rsid w:val="00602830"/>
    <w:rsid w:val="00603A8A"/>
    <w:rsid w:val="006104EA"/>
    <w:rsid w:val="0061082B"/>
    <w:rsid w:val="0061142F"/>
    <w:rsid w:val="00614A66"/>
    <w:rsid w:val="00614B76"/>
    <w:rsid w:val="00614DBC"/>
    <w:rsid w:val="00620C85"/>
    <w:rsid w:val="00624E88"/>
    <w:rsid w:val="00626010"/>
    <w:rsid w:val="00630CF8"/>
    <w:rsid w:val="00634176"/>
    <w:rsid w:val="006346F9"/>
    <w:rsid w:val="00634F7F"/>
    <w:rsid w:val="006367FC"/>
    <w:rsid w:val="006405B4"/>
    <w:rsid w:val="00641544"/>
    <w:rsid w:val="00641D2C"/>
    <w:rsid w:val="006424D4"/>
    <w:rsid w:val="006429E3"/>
    <w:rsid w:val="00643255"/>
    <w:rsid w:val="00644BDF"/>
    <w:rsid w:val="00644D20"/>
    <w:rsid w:val="006454EE"/>
    <w:rsid w:val="00647DCB"/>
    <w:rsid w:val="00654C4B"/>
    <w:rsid w:val="006611A5"/>
    <w:rsid w:val="006613E0"/>
    <w:rsid w:val="00662B42"/>
    <w:rsid w:val="00662E9E"/>
    <w:rsid w:val="00671EA2"/>
    <w:rsid w:val="006722BE"/>
    <w:rsid w:val="00673B48"/>
    <w:rsid w:val="00673CEC"/>
    <w:rsid w:val="00673DBD"/>
    <w:rsid w:val="006752AD"/>
    <w:rsid w:val="006760BA"/>
    <w:rsid w:val="00680C3E"/>
    <w:rsid w:val="00681F91"/>
    <w:rsid w:val="006838FE"/>
    <w:rsid w:val="006900C1"/>
    <w:rsid w:val="00690929"/>
    <w:rsid w:val="00690A70"/>
    <w:rsid w:val="00691CF7"/>
    <w:rsid w:val="00692B0A"/>
    <w:rsid w:val="006A04AE"/>
    <w:rsid w:val="006A27BF"/>
    <w:rsid w:val="006A562C"/>
    <w:rsid w:val="006A5935"/>
    <w:rsid w:val="006A6353"/>
    <w:rsid w:val="006B2000"/>
    <w:rsid w:val="006B2759"/>
    <w:rsid w:val="006B372F"/>
    <w:rsid w:val="006B3BEB"/>
    <w:rsid w:val="006B603B"/>
    <w:rsid w:val="006B734E"/>
    <w:rsid w:val="006C03EE"/>
    <w:rsid w:val="006C21B7"/>
    <w:rsid w:val="006C2B38"/>
    <w:rsid w:val="006C2D5F"/>
    <w:rsid w:val="006C6C61"/>
    <w:rsid w:val="006D108B"/>
    <w:rsid w:val="006D15E8"/>
    <w:rsid w:val="006D28FB"/>
    <w:rsid w:val="006D4124"/>
    <w:rsid w:val="006D5861"/>
    <w:rsid w:val="006D6975"/>
    <w:rsid w:val="006D760C"/>
    <w:rsid w:val="006E3AC5"/>
    <w:rsid w:val="006E4AA8"/>
    <w:rsid w:val="006E4C97"/>
    <w:rsid w:val="006E5CCF"/>
    <w:rsid w:val="006F122C"/>
    <w:rsid w:val="006F1F5D"/>
    <w:rsid w:val="006F22F2"/>
    <w:rsid w:val="006F5D23"/>
    <w:rsid w:val="00701015"/>
    <w:rsid w:val="00701292"/>
    <w:rsid w:val="007012E3"/>
    <w:rsid w:val="00705C26"/>
    <w:rsid w:val="00707CD1"/>
    <w:rsid w:val="0071194F"/>
    <w:rsid w:val="007130EC"/>
    <w:rsid w:val="00713690"/>
    <w:rsid w:val="00713FD7"/>
    <w:rsid w:val="0072232E"/>
    <w:rsid w:val="00722F08"/>
    <w:rsid w:val="00723110"/>
    <w:rsid w:val="007251A8"/>
    <w:rsid w:val="00726663"/>
    <w:rsid w:val="00726BE1"/>
    <w:rsid w:val="00730342"/>
    <w:rsid w:val="00732FDA"/>
    <w:rsid w:val="00734A85"/>
    <w:rsid w:val="00735F9D"/>
    <w:rsid w:val="00745156"/>
    <w:rsid w:val="007514DA"/>
    <w:rsid w:val="00752DFA"/>
    <w:rsid w:val="00755271"/>
    <w:rsid w:val="00756255"/>
    <w:rsid w:val="0075656A"/>
    <w:rsid w:val="0075718A"/>
    <w:rsid w:val="00757750"/>
    <w:rsid w:val="00757C15"/>
    <w:rsid w:val="0076005D"/>
    <w:rsid w:val="007606AF"/>
    <w:rsid w:val="0076486B"/>
    <w:rsid w:val="007700F9"/>
    <w:rsid w:val="0077027B"/>
    <w:rsid w:val="00772503"/>
    <w:rsid w:val="0077312F"/>
    <w:rsid w:val="007735B0"/>
    <w:rsid w:val="00776AD2"/>
    <w:rsid w:val="00776B38"/>
    <w:rsid w:val="00776C8D"/>
    <w:rsid w:val="00776E65"/>
    <w:rsid w:val="00777621"/>
    <w:rsid w:val="00781852"/>
    <w:rsid w:val="00781FF6"/>
    <w:rsid w:val="00783D9D"/>
    <w:rsid w:val="00783DF4"/>
    <w:rsid w:val="00784718"/>
    <w:rsid w:val="007864E1"/>
    <w:rsid w:val="00786882"/>
    <w:rsid w:val="00787B78"/>
    <w:rsid w:val="00790111"/>
    <w:rsid w:val="0079215E"/>
    <w:rsid w:val="00794320"/>
    <w:rsid w:val="00796AB4"/>
    <w:rsid w:val="007976B6"/>
    <w:rsid w:val="007A1F86"/>
    <w:rsid w:val="007A231C"/>
    <w:rsid w:val="007A40A7"/>
    <w:rsid w:val="007A4765"/>
    <w:rsid w:val="007A4AFB"/>
    <w:rsid w:val="007A651A"/>
    <w:rsid w:val="007A71F1"/>
    <w:rsid w:val="007B1AA8"/>
    <w:rsid w:val="007B3B5D"/>
    <w:rsid w:val="007B41D7"/>
    <w:rsid w:val="007B422D"/>
    <w:rsid w:val="007B517C"/>
    <w:rsid w:val="007B72CB"/>
    <w:rsid w:val="007B79D3"/>
    <w:rsid w:val="007C09D8"/>
    <w:rsid w:val="007C238F"/>
    <w:rsid w:val="007C308C"/>
    <w:rsid w:val="007C43B6"/>
    <w:rsid w:val="007C45FA"/>
    <w:rsid w:val="007C590A"/>
    <w:rsid w:val="007C590F"/>
    <w:rsid w:val="007C7972"/>
    <w:rsid w:val="007D02F3"/>
    <w:rsid w:val="007D089E"/>
    <w:rsid w:val="007D17BD"/>
    <w:rsid w:val="007D4501"/>
    <w:rsid w:val="007D764E"/>
    <w:rsid w:val="007E5EEC"/>
    <w:rsid w:val="007E5F59"/>
    <w:rsid w:val="007E6DB3"/>
    <w:rsid w:val="007F1BAF"/>
    <w:rsid w:val="007F28A6"/>
    <w:rsid w:val="007F31CD"/>
    <w:rsid w:val="007F4C60"/>
    <w:rsid w:val="007F6660"/>
    <w:rsid w:val="007F7F88"/>
    <w:rsid w:val="0080063C"/>
    <w:rsid w:val="00801B15"/>
    <w:rsid w:val="00801CB0"/>
    <w:rsid w:val="00802A65"/>
    <w:rsid w:val="00802B86"/>
    <w:rsid w:val="0080400D"/>
    <w:rsid w:val="008109CB"/>
    <w:rsid w:val="008135DC"/>
    <w:rsid w:val="0081787E"/>
    <w:rsid w:val="00817C68"/>
    <w:rsid w:val="00817DB5"/>
    <w:rsid w:val="00817E06"/>
    <w:rsid w:val="00820A5D"/>
    <w:rsid w:val="008216FB"/>
    <w:rsid w:val="00822149"/>
    <w:rsid w:val="00823D34"/>
    <w:rsid w:val="00826902"/>
    <w:rsid w:val="0083556C"/>
    <w:rsid w:val="00835ED8"/>
    <w:rsid w:val="00837119"/>
    <w:rsid w:val="00841AAB"/>
    <w:rsid w:val="00842EF0"/>
    <w:rsid w:val="008445FF"/>
    <w:rsid w:val="00844DEB"/>
    <w:rsid w:val="00846731"/>
    <w:rsid w:val="00850806"/>
    <w:rsid w:val="00852985"/>
    <w:rsid w:val="00854277"/>
    <w:rsid w:val="0085528C"/>
    <w:rsid w:val="008561C6"/>
    <w:rsid w:val="00861103"/>
    <w:rsid w:val="00861241"/>
    <w:rsid w:val="00862296"/>
    <w:rsid w:val="008625E0"/>
    <w:rsid w:val="00867C10"/>
    <w:rsid w:val="00867CA1"/>
    <w:rsid w:val="00874735"/>
    <w:rsid w:val="008759EF"/>
    <w:rsid w:val="00877325"/>
    <w:rsid w:val="008822F0"/>
    <w:rsid w:val="008868E9"/>
    <w:rsid w:val="00887AA0"/>
    <w:rsid w:val="008922CC"/>
    <w:rsid w:val="00892F86"/>
    <w:rsid w:val="00894C83"/>
    <w:rsid w:val="008960B7"/>
    <w:rsid w:val="00896F10"/>
    <w:rsid w:val="008A1FA4"/>
    <w:rsid w:val="008A2025"/>
    <w:rsid w:val="008A4A4F"/>
    <w:rsid w:val="008A56EB"/>
    <w:rsid w:val="008B32AD"/>
    <w:rsid w:val="008B36E3"/>
    <w:rsid w:val="008B576D"/>
    <w:rsid w:val="008B5F0A"/>
    <w:rsid w:val="008B6340"/>
    <w:rsid w:val="008C018C"/>
    <w:rsid w:val="008C0498"/>
    <w:rsid w:val="008C0D74"/>
    <w:rsid w:val="008C283A"/>
    <w:rsid w:val="008C38C9"/>
    <w:rsid w:val="008C4B5B"/>
    <w:rsid w:val="008C6D60"/>
    <w:rsid w:val="008C79C3"/>
    <w:rsid w:val="008D41F2"/>
    <w:rsid w:val="008D4F6D"/>
    <w:rsid w:val="008D4F8A"/>
    <w:rsid w:val="008E0DC4"/>
    <w:rsid w:val="008E659F"/>
    <w:rsid w:val="008E6723"/>
    <w:rsid w:val="008E7E12"/>
    <w:rsid w:val="008F0E95"/>
    <w:rsid w:val="008F2498"/>
    <w:rsid w:val="008F5A87"/>
    <w:rsid w:val="008F7DEE"/>
    <w:rsid w:val="00902EE1"/>
    <w:rsid w:val="00903718"/>
    <w:rsid w:val="009051C4"/>
    <w:rsid w:val="00905B1E"/>
    <w:rsid w:val="009078DF"/>
    <w:rsid w:val="009120F4"/>
    <w:rsid w:val="00913712"/>
    <w:rsid w:val="00920680"/>
    <w:rsid w:val="009217AE"/>
    <w:rsid w:val="00922360"/>
    <w:rsid w:val="009240ED"/>
    <w:rsid w:val="00927E9F"/>
    <w:rsid w:val="00930851"/>
    <w:rsid w:val="009319CC"/>
    <w:rsid w:val="009324D3"/>
    <w:rsid w:val="009359F2"/>
    <w:rsid w:val="00936251"/>
    <w:rsid w:val="00936CB7"/>
    <w:rsid w:val="009371E1"/>
    <w:rsid w:val="00942187"/>
    <w:rsid w:val="0094537D"/>
    <w:rsid w:val="0094792C"/>
    <w:rsid w:val="00950035"/>
    <w:rsid w:val="00951195"/>
    <w:rsid w:val="0095196A"/>
    <w:rsid w:val="0095534C"/>
    <w:rsid w:val="00955803"/>
    <w:rsid w:val="00955B32"/>
    <w:rsid w:val="009572F5"/>
    <w:rsid w:val="00962A38"/>
    <w:rsid w:val="00967BE9"/>
    <w:rsid w:val="00971F05"/>
    <w:rsid w:val="00976481"/>
    <w:rsid w:val="009770D8"/>
    <w:rsid w:val="00977CD8"/>
    <w:rsid w:val="009804A2"/>
    <w:rsid w:val="00980A26"/>
    <w:rsid w:val="00981576"/>
    <w:rsid w:val="00982F32"/>
    <w:rsid w:val="00983BB0"/>
    <w:rsid w:val="00984595"/>
    <w:rsid w:val="00986186"/>
    <w:rsid w:val="00990F1D"/>
    <w:rsid w:val="0099269D"/>
    <w:rsid w:val="00993A0A"/>
    <w:rsid w:val="009940D1"/>
    <w:rsid w:val="00995ABD"/>
    <w:rsid w:val="009962DF"/>
    <w:rsid w:val="00996ADF"/>
    <w:rsid w:val="00997CC6"/>
    <w:rsid w:val="009A29E2"/>
    <w:rsid w:val="009A6828"/>
    <w:rsid w:val="009A6BBB"/>
    <w:rsid w:val="009B1195"/>
    <w:rsid w:val="009B29E0"/>
    <w:rsid w:val="009B607C"/>
    <w:rsid w:val="009C4BF9"/>
    <w:rsid w:val="009D097C"/>
    <w:rsid w:val="009D3AFD"/>
    <w:rsid w:val="009D4EAC"/>
    <w:rsid w:val="009D56EA"/>
    <w:rsid w:val="009D587B"/>
    <w:rsid w:val="009D6160"/>
    <w:rsid w:val="009E2246"/>
    <w:rsid w:val="009E23BC"/>
    <w:rsid w:val="009E2929"/>
    <w:rsid w:val="009E7005"/>
    <w:rsid w:val="009E7AA6"/>
    <w:rsid w:val="009E7C90"/>
    <w:rsid w:val="009E7EBF"/>
    <w:rsid w:val="009F0522"/>
    <w:rsid w:val="009F487E"/>
    <w:rsid w:val="009F50FB"/>
    <w:rsid w:val="009F6E05"/>
    <w:rsid w:val="00A03875"/>
    <w:rsid w:val="00A17814"/>
    <w:rsid w:val="00A20475"/>
    <w:rsid w:val="00A219FE"/>
    <w:rsid w:val="00A22B5E"/>
    <w:rsid w:val="00A238EF"/>
    <w:rsid w:val="00A24F2F"/>
    <w:rsid w:val="00A263CF"/>
    <w:rsid w:val="00A2685D"/>
    <w:rsid w:val="00A26873"/>
    <w:rsid w:val="00A31DF4"/>
    <w:rsid w:val="00A3382C"/>
    <w:rsid w:val="00A36273"/>
    <w:rsid w:val="00A40289"/>
    <w:rsid w:val="00A41078"/>
    <w:rsid w:val="00A47D9F"/>
    <w:rsid w:val="00A47DF2"/>
    <w:rsid w:val="00A5117B"/>
    <w:rsid w:val="00A52733"/>
    <w:rsid w:val="00A52815"/>
    <w:rsid w:val="00A53FF6"/>
    <w:rsid w:val="00A55E66"/>
    <w:rsid w:val="00A56ED3"/>
    <w:rsid w:val="00A62918"/>
    <w:rsid w:val="00A63342"/>
    <w:rsid w:val="00A64CBD"/>
    <w:rsid w:val="00A6531B"/>
    <w:rsid w:val="00A65C22"/>
    <w:rsid w:val="00A723E8"/>
    <w:rsid w:val="00A73A80"/>
    <w:rsid w:val="00A73DA0"/>
    <w:rsid w:val="00A75308"/>
    <w:rsid w:val="00A7595E"/>
    <w:rsid w:val="00A771A4"/>
    <w:rsid w:val="00A80B8D"/>
    <w:rsid w:val="00A81DBD"/>
    <w:rsid w:val="00A827D0"/>
    <w:rsid w:val="00A828EB"/>
    <w:rsid w:val="00A8414D"/>
    <w:rsid w:val="00A8486B"/>
    <w:rsid w:val="00A9078F"/>
    <w:rsid w:val="00A9238B"/>
    <w:rsid w:val="00A94115"/>
    <w:rsid w:val="00AA3E3B"/>
    <w:rsid w:val="00AA47D3"/>
    <w:rsid w:val="00AB00C1"/>
    <w:rsid w:val="00AC02AB"/>
    <w:rsid w:val="00AC2131"/>
    <w:rsid w:val="00AC425C"/>
    <w:rsid w:val="00AC4BD6"/>
    <w:rsid w:val="00AC62F8"/>
    <w:rsid w:val="00AD0A13"/>
    <w:rsid w:val="00AD1654"/>
    <w:rsid w:val="00AD1DB0"/>
    <w:rsid w:val="00AD4283"/>
    <w:rsid w:val="00AE0749"/>
    <w:rsid w:val="00AE365C"/>
    <w:rsid w:val="00AE3CCE"/>
    <w:rsid w:val="00AE49C4"/>
    <w:rsid w:val="00AF1357"/>
    <w:rsid w:val="00AF1E2C"/>
    <w:rsid w:val="00AF587B"/>
    <w:rsid w:val="00B00D05"/>
    <w:rsid w:val="00B04630"/>
    <w:rsid w:val="00B11128"/>
    <w:rsid w:val="00B15837"/>
    <w:rsid w:val="00B15CC9"/>
    <w:rsid w:val="00B26853"/>
    <w:rsid w:val="00B31DA1"/>
    <w:rsid w:val="00B31E5C"/>
    <w:rsid w:val="00B37120"/>
    <w:rsid w:val="00B44C9E"/>
    <w:rsid w:val="00B502E6"/>
    <w:rsid w:val="00B51D49"/>
    <w:rsid w:val="00B53754"/>
    <w:rsid w:val="00B53D48"/>
    <w:rsid w:val="00B57787"/>
    <w:rsid w:val="00B62155"/>
    <w:rsid w:val="00B64D80"/>
    <w:rsid w:val="00B654AA"/>
    <w:rsid w:val="00B65B5F"/>
    <w:rsid w:val="00B67198"/>
    <w:rsid w:val="00B70032"/>
    <w:rsid w:val="00B71352"/>
    <w:rsid w:val="00B7282E"/>
    <w:rsid w:val="00B730ED"/>
    <w:rsid w:val="00B747EF"/>
    <w:rsid w:val="00B74DF4"/>
    <w:rsid w:val="00B82839"/>
    <w:rsid w:val="00B8334F"/>
    <w:rsid w:val="00B84ADC"/>
    <w:rsid w:val="00B857F5"/>
    <w:rsid w:val="00B85D39"/>
    <w:rsid w:val="00B86E9C"/>
    <w:rsid w:val="00B94204"/>
    <w:rsid w:val="00BA1683"/>
    <w:rsid w:val="00BA4933"/>
    <w:rsid w:val="00BA559A"/>
    <w:rsid w:val="00BB02F7"/>
    <w:rsid w:val="00BB11D4"/>
    <w:rsid w:val="00BB2455"/>
    <w:rsid w:val="00BB283E"/>
    <w:rsid w:val="00BB60A8"/>
    <w:rsid w:val="00BB70D1"/>
    <w:rsid w:val="00BC1C2D"/>
    <w:rsid w:val="00BC3257"/>
    <w:rsid w:val="00BC355F"/>
    <w:rsid w:val="00BC438A"/>
    <w:rsid w:val="00BC4F9D"/>
    <w:rsid w:val="00BD0DEF"/>
    <w:rsid w:val="00BD2CCC"/>
    <w:rsid w:val="00BD38C6"/>
    <w:rsid w:val="00BD4664"/>
    <w:rsid w:val="00BD4820"/>
    <w:rsid w:val="00BD74CB"/>
    <w:rsid w:val="00BE0030"/>
    <w:rsid w:val="00BF27CB"/>
    <w:rsid w:val="00BF28D2"/>
    <w:rsid w:val="00BF54E2"/>
    <w:rsid w:val="00BF56D8"/>
    <w:rsid w:val="00BF5B2B"/>
    <w:rsid w:val="00BF60FE"/>
    <w:rsid w:val="00C01B15"/>
    <w:rsid w:val="00C028DE"/>
    <w:rsid w:val="00C029BA"/>
    <w:rsid w:val="00C02B36"/>
    <w:rsid w:val="00C02C6B"/>
    <w:rsid w:val="00C02D88"/>
    <w:rsid w:val="00C03BCE"/>
    <w:rsid w:val="00C04356"/>
    <w:rsid w:val="00C07479"/>
    <w:rsid w:val="00C07A3B"/>
    <w:rsid w:val="00C07D1F"/>
    <w:rsid w:val="00C12B2F"/>
    <w:rsid w:val="00C13225"/>
    <w:rsid w:val="00C14322"/>
    <w:rsid w:val="00C17C32"/>
    <w:rsid w:val="00C239A7"/>
    <w:rsid w:val="00C25BB6"/>
    <w:rsid w:val="00C26FFD"/>
    <w:rsid w:val="00C328F5"/>
    <w:rsid w:val="00C32FE0"/>
    <w:rsid w:val="00C334AC"/>
    <w:rsid w:val="00C33FE3"/>
    <w:rsid w:val="00C34CB0"/>
    <w:rsid w:val="00C34E62"/>
    <w:rsid w:val="00C355C2"/>
    <w:rsid w:val="00C35AF9"/>
    <w:rsid w:val="00C376BB"/>
    <w:rsid w:val="00C37C5F"/>
    <w:rsid w:val="00C41B75"/>
    <w:rsid w:val="00C4270E"/>
    <w:rsid w:val="00C43F34"/>
    <w:rsid w:val="00C43FE9"/>
    <w:rsid w:val="00C44406"/>
    <w:rsid w:val="00C51640"/>
    <w:rsid w:val="00C52224"/>
    <w:rsid w:val="00C526D8"/>
    <w:rsid w:val="00C56070"/>
    <w:rsid w:val="00C56392"/>
    <w:rsid w:val="00C57007"/>
    <w:rsid w:val="00C60580"/>
    <w:rsid w:val="00C616D4"/>
    <w:rsid w:val="00C61AFD"/>
    <w:rsid w:val="00C63462"/>
    <w:rsid w:val="00C64739"/>
    <w:rsid w:val="00C666F8"/>
    <w:rsid w:val="00C71242"/>
    <w:rsid w:val="00C723D4"/>
    <w:rsid w:val="00C7337A"/>
    <w:rsid w:val="00C75228"/>
    <w:rsid w:val="00C759C5"/>
    <w:rsid w:val="00C80AEC"/>
    <w:rsid w:val="00C82B0F"/>
    <w:rsid w:val="00C8482E"/>
    <w:rsid w:val="00C84F09"/>
    <w:rsid w:val="00C86C34"/>
    <w:rsid w:val="00C90BBA"/>
    <w:rsid w:val="00C9331C"/>
    <w:rsid w:val="00C93E4E"/>
    <w:rsid w:val="00C96046"/>
    <w:rsid w:val="00CA0A8E"/>
    <w:rsid w:val="00CA0FA4"/>
    <w:rsid w:val="00CA18BE"/>
    <w:rsid w:val="00CA2433"/>
    <w:rsid w:val="00CA4631"/>
    <w:rsid w:val="00CA5885"/>
    <w:rsid w:val="00CB0916"/>
    <w:rsid w:val="00CB2CA1"/>
    <w:rsid w:val="00CB2ECD"/>
    <w:rsid w:val="00CB41C6"/>
    <w:rsid w:val="00CB4828"/>
    <w:rsid w:val="00CB49CC"/>
    <w:rsid w:val="00CB4E67"/>
    <w:rsid w:val="00CB6FD7"/>
    <w:rsid w:val="00CB7E23"/>
    <w:rsid w:val="00CC5D14"/>
    <w:rsid w:val="00CC70E0"/>
    <w:rsid w:val="00CD5C38"/>
    <w:rsid w:val="00CD6113"/>
    <w:rsid w:val="00CD6BD8"/>
    <w:rsid w:val="00CE0E95"/>
    <w:rsid w:val="00CE1542"/>
    <w:rsid w:val="00CE54FA"/>
    <w:rsid w:val="00CE7391"/>
    <w:rsid w:val="00CE7888"/>
    <w:rsid w:val="00CF1BB1"/>
    <w:rsid w:val="00CF257A"/>
    <w:rsid w:val="00CF32D3"/>
    <w:rsid w:val="00CF3AB5"/>
    <w:rsid w:val="00CF5D5D"/>
    <w:rsid w:val="00D0421B"/>
    <w:rsid w:val="00D057A5"/>
    <w:rsid w:val="00D07414"/>
    <w:rsid w:val="00D13A59"/>
    <w:rsid w:val="00D14929"/>
    <w:rsid w:val="00D15EB7"/>
    <w:rsid w:val="00D16F2D"/>
    <w:rsid w:val="00D17865"/>
    <w:rsid w:val="00D22F94"/>
    <w:rsid w:val="00D2392D"/>
    <w:rsid w:val="00D253FF"/>
    <w:rsid w:val="00D25C0C"/>
    <w:rsid w:val="00D314B1"/>
    <w:rsid w:val="00D379CA"/>
    <w:rsid w:val="00D41C38"/>
    <w:rsid w:val="00D50289"/>
    <w:rsid w:val="00D50D61"/>
    <w:rsid w:val="00D50D9B"/>
    <w:rsid w:val="00D55692"/>
    <w:rsid w:val="00D578BE"/>
    <w:rsid w:val="00D629C5"/>
    <w:rsid w:val="00D637E3"/>
    <w:rsid w:val="00D63BAD"/>
    <w:rsid w:val="00D63C1E"/>
    <w:rsid w:val="00D65427"/>
    <w:rsid w:val="00D66679"/>
    <w:rsid w:val="00D6775B"/>
    <w:rsid w:val="00D71D3E"/>
    <w:rsid w:val="00D744AB"/>
    <w:rsid w:val="00D74760"/>
    <w:rsid w:val="00D7604A"/>
    <w:rsid w:val="00D7619A"/>
    <w:rsid w:val="00D76843"/>
    <w:rsid w:val="00D77173"/>
    <w:rsid w:val="00D774F5"/>
    <w:rsid w:val="00D8132D"/>
    <w:rsid w:val="00D827FD"/>
    <w:rsid w:val="00D84B2D"/>
    <w:rsid w:val="00D9292C"/>
    <w:rsid w:val="00DA214A"/>
    <w:rsid w:val="00DA2EA4"/>
    <w:rsid w:val="00DA6D6D"/>
    <w:rsid w:val="00DA7010"/>
    <w:rsid w:val="00DB0666"/>
    <w:rsid w:val="00DB2A7C"/>
    <w:rsid w:val="00DB4430"/>
    <w:rsid w:val="00DB6095"/>
    <w:rsid w:val="00DB6823"/>
    <w:rsid w:val="00DB7A78"/>
    <w:rsid w:val="00DC1C6D"/>
    <w:rsid w:val="00DC34CA"/>
    <w:rsid w:val="00DC3F03"/>
    <w:rsid w:val="00DC46F9"/>
    <w:rsid w:val="00DC5436"/>
    <w:rsid w:val="00DD0CF5"/>
    <w:rsid w:val="00DD3041"/>
    <w:rsid w:val="00DD425A"/>
    <w:rsid w:val="00DD53D6"/>
    <w:rsid w:val="00DD6621"/>
    <w:rsid w:val="00DD6B68"/>
    <w:rsid w:val="00DE0364"/>
    <w:rsid w:val="00DE2B55"/>
    <w:rsid w:val="00DE3A86"/>
    <w:rsid w:val="00DE5BE9"/>
    <w:rsid w:val="00DE760C"/>
    <w:rsid w:val="00DF22A3"/>
    <w:rsid w:val="00DF22AC"/>
    <w:rsid w:val="00DF2F8A"/>
    <w:rsid w:val="00DF433C"/>
    <w:rsid w:val="00DF6284"/>
    <w:rsid w:val="00E062DC"/>
    <w:rsid w:val="00E10106"/>
    <w:rsid w:val="00E13450"/>
    <w:rsid w:val="00E22989"/>
    <w:rsid w:val="00E24E03"/>
    <w:rsid w:val="00E24E0D"/>
    <w:rsid w:val="00E24EFF"/>
    <w:rsid w:val="00E272AD"/>
    <w:rsid w:val="00E32A22"/>
    <w:rsid w:val="00E333A8"/>
    <w:rsid w:val="00E34F72"/>
    <w:rsid w:val="00E350E6"/>
    <w:rsid w:val="00E358EB"/>
    <w:rsid w:val="00E35EB2"/>
    <w:rsid w:val="00E444BF"/>
    <w:rsid w:val="00E45B7B"/>
    <w:rsid w:val="00E46EFF"/>
    <w:rsid w:val="00E4785A"/>
    <w:rsid w:val="00E47B50"/>
    <w:rsid w:val="00E47EF1"/>
    <w:rsid w:val="00E53ED2"/>
    <w:rsid w:val="00E5588A"/>
    <w:rsid w:val="00E64EEF"/>
    <w:rsid w:val="00E70A54"/>
    <w:rsid w:val="00E70D91"/>
    <w:rsid w:val="00E71616"/>
    <w:rsid w:val="00E71A05"/>
    <w:rsid w:val="00E75670"/>
    <w:rsid w:val="00E75804"/>
    <w:rsid w:val="00E75D77"/>
    <w:rsid w:val="00E76A77"/>
    <w:rsid w:val="00E819DF"/>
    <w:rsid w:val="00E81C26"/>
    <w:rsid w:val="00E8479E"/>
    <w:rsid w:val="00E86523"/>
    <w:rsid w:val="00E87749"/>
    <w:rsid w:val="00E878C3"/>
    <w:rsid w:val="00E9575B"/>
    <w:rsid w:val="00E96770"/>
    <w:rsid w:val="00E97C12"/>
    <w:rsid w:val="00EA100C"/>
    <w:rsid w:val="00EA3E16"/>
    <w:rsid w:val="00EA6F04"/>
    <w:rsid w:val="00EB0D48"/>
    <w:rsid w:val="00EB1CA4"/>
    <w:rsid w:val="00EB453A"/>
    <w:rsid w:val="00EB6C36"/>
    <w:rsid w:val="00EB6E06"/>
    <w:rsid w:val="00EC07E4"/>
    <w:rsid w:val="00EC1A8F"/>
    <w:rsid w:val="00EC5E08"/>
    <w:rsid w:val="00EC6834"/>
    <w:rsid w:val="00EC6B0A"/>
    <w:rsid w:val="00ED21D0"/>
    <w:rsid w:val="00ED390C"/>
    <w:rsid w:val="00ED65F3"/>
    <w:rsid w:val="00ED6883"/>
    <w:rsid w:val="00ED7BF3"/>
    <w:rsid w:val="00EE0B74"/>
    <w:rsid w:val="00EE1C00"/>
    <w:rsid w:val="00EE26F6"/>
    <w:rsid w:val="00EE3E56"/>
    <w:rsid w:val="00EE4A40"/>
    <w:rsid w:val="00EE5D73"/>
    <w:rsid w:val="00EE5E3B"/>
    <w:rsid w:val="00EE628D"/>
    <w:rsid w:val="00EF15EC"/>
    <w:rsid w:val="00EF29E3"/>
    <w:rsid w:val="00EF2C10"/>
    <w:rsid w:val="00EF474C"/>
    <w:rsid w:val="00F00C0D"/>
    <w:rsid w:val="00F00E9B"/>
    <w:rsid w:val="00F02294"/>
    <w:rsid w:val="00F06057"/>
    <w:rsid w:val="00F06F4A"/>
    <w:rsid w:val="00F0755B"/>
    <w:rsid w:val="00F07D55"/>
    <w:rsid w:val="00F14119"/>
    <w:rsid w:val="00F14EA2"/>
    <w:rsid w:val="00F16941"/>
    <w:rsid w:val="00F20EBB"/>
    <w:rsid w:val="00F21019"/>
    <w:rsid w:val="00F21575"/>
    <w:rsid w:val="00F21990"/>
    <w:rsid w:val="00F22A9C"/>
    <w:rsid w:val="00F22D5F"/>
    <w:rsid w:val="00F2312C"/>
    <w:rsid w:val="00F243E6"/>
    <w:rsid w:val="00F2611D"/>
    <w:rsid w:val="00F2642D"/>
    <w:rsid w:val="00F31E2A"/>
    <w:rsid w:val="00F32C61"/>
    <w:rsid w:val="00F3359E"/>
    <w:rsid w:val="00F34E04"/>
    <w:rsid w:val="00F36E8B"/>
    <w:rsid w:val="00F41F96"/>
    <w:rsid w:val="00F42CB9"/>
    <w:rsid w:val="00F4348C"/>
    <w:rsid w:val="00F44FF0"/>
    <w:rsid w:val="00F47F15"/>
    <w:rsid w:val="00F50A35"/>
    <w:rsid w:val="00F50F72"/>
    <w:rsid w:val="00F52F71"/>
    <w:rsid w:val="00F63F0A"/>
    <w:rsid w:val="00F64C13"/>
    <w:rsid w:val="00F6759F"/>
    <w:rsid w:val="00F722B8"/>
    <w:rsid w:val="00F74DA1"/>
    <w:rsid w:val="00F80E0B"/>
    <w:rsid w:val="00F83340"/>
    <w:rsid w:val="00F84005"/>
    <w:rsid w:val="00F84241"/>
    <w:rsid w:val="00F91D28"/>
    <w:rsid w:val="00F92109"/>
    <w:rsid w:val="00F93211"/>
    <w:rsid w:val="00F938C6"/>
    <w:rsid w:val="00FA502B"/>
    <w:rsid w:val="00FB05BB"/>
    <w:rsid w:val="00FB236E"/>
    <w:rsid w:val="00FB6053"/>
    <w:rsid w:val="00FB6719"/>
    <w:rsid w:val="00FC11D0"/>
    <w:rsid w:val="00FC6672"/>
    <w:rsid w:val="00FD0E15"/>
    <w:rsid w:val="00FD2051"/>
    <w:rsid w:val="00FD2F9F"/>
    <w:rsid w:val="00FD32B2"/>
    <w:rsid w:val="00FD59B6"/>
    <w:rsid w:val="00FE0925"/>
    <w:rsid w:val="00FE193E"/>
    <w:rsid w:val="00FE2F88"/>
    <w:rsid w:val="00FE4709"/>
    <w:rsid w:val="00FF1803"/>
    <w:rsid w:val="00FF5474"/>
    <w:rsid w:val="00FF61FE"/>
    <w:rsid w:val="00FF6CF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35B7E6-DAF6-4B3A-B2A1-58A20C1B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0C0374"/>
    <w:pPr>
      <w:spacing w:before="75" w:after="75"/>
      <w:jc w:val="center"/>
    </w:pPr>
  </w:style>
  <w:style w:type="character" w:styleId="Hyperlink">
    <w:name w:val="Hyperlink"/>
    <w:basedOn w:val="DefaultParagraphFont"/>
    <w:rsid w:val="000C03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0C0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C0374"/>
    <w:rPr>
      <w:rFonts w:eastAsia="Times New Roman" w:cs="Times New Roman"/>
      <w:lang w:eastAsia="lv-LV"/>
    </w:rPr>
  </w:style>
  <w:style w:type="paragraph" w:styleId="Footer">
    <w:name w:val="footer"/>
    <w:basedOn w:val="Normal"/>
    <w:link w:val="FooterChar"/>
    <w:semiHidden/>
    <w:rsid w:val="000C0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C0374"/>
    <w:rPr>
      <w:rFonts w:eastAsia="Times New Roman" w:cs="Times New Roman"/>
      <w:lang w:eastAsia="lv-LV"/>
    </w:rPr>
  </w:style>
  <w:style w:type="paragraph" w:customStyle="1" w:styleId="naisf">
    <w:name w:val="naisf"/>
    <w:basedOn w:val="Normal"/>
    <w:rsid w:val="000C0374"/>
    <w:pPr>
      <w:spacing w:before="100" w:after="10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semiHidden/>
    <w:rsid w:val="000C0374"/>
    <w:rPr>
      <w:rFonts w:cs="Times New Roman"/>
    </w:rPr>
  </w:style>
  <w:style w:type="paragraph" w:customStyle="1" w:styleId="tvhtml">
    <w:name w:val="tv_html"/>
    <w:basedOn w:val="Normal"/>
    <w:rsid w:val="0075718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Char">
    <w:name w:val="Char"/>
    <w:basedOn w:val="Normal"/>
    <w:rsid w:val="00472758"/>
    <w:rPr>
      <w:lang w:val="pl-PL" w:eastAsia="pl-PL"/>
    </w:rPr>
  </w:style>
  <w:style w:type="character" w:styleId="CommentReference">
    <w:name w:val="annotation reference"/>
    <w:basedOn w:val="DefaultParagraphFont"/>
    <w:semiHidden/>
    <w:rsid w:val="00C34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4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4E6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34E62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C3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34E62"/>
    <w:rPr>
      <w:rFonts w:ascii="Tahoma" w:hAnsi="Tahoma" w:cs="Tahoma"/>
      <w:sz w:val="16"/>
      <w:szCs w:val="16"/>
    </w:rPr>
  </w:style>
  <w:style w:type="character" w:customStyle="1" w:styleId="tvdoctopindex1">
    <w:name w:val="tv_doc_top_index1"/>
    <w:basedOn w:val="DefaultParagraphFont"/>
    <w:rsid w:val="006611A5"/>
    <w:rPr>
      <w:rFonts w:cs="Times New Roman"/>
      <w:color w:val="auto"/>
      <w:sz w:val="18"/>
      <w:szCs w:val="18"/>
    </w:rPr>
  </w:style>
  <w:style w:type="paragraph" w:styleId="BodyTextIndent2">
    <w:name w:val="Body Text Indent 2"/>
    <w:basedOn w:val="Normal"/>
    <w:link w:val="BodyTextIndent2Char"/>
    <w:rsid w:val="00337572"/>
    <w:pPr>
      <w:suppressAutoHyphens/>
      <w:spacing w:after="120"/>
      <w:ind w:firstLine="709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locked/>
    <w:rsid w:val="00337572"/>
    <w:rPr>
      <w:rFonts w:eastAsia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qFormat/>
    <w:rsid w:val="003375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qFormat/>
    <w:rsid w:val="00E71616"/>
    <w:rPr>
      <w:sz w:val="24"/>
      <w:szCs w:val="24"/>
      <w:lang w:val="en-GB" w:eastAsia="en-US"/>
    </w:rPr>
  </w:style>
  <w:style w:type="paragraph" w:customStyle="1" w:styleId="RakstzRakstz8">
    <w:name w:val="Rakstz. Rakstz.8"/>
    <w:basedOn w:val="Normal"/>
    <w:rsid w:val="005635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97C15"/>
    <w:pPr>
      <w:spacing w:before="100" w:beforeAutospacing="1" w:after="100" w:afterAutospacing="1"/>
    </w:pPr>
    <w:rPr>
      <w:lang w:eastAsia="en-US"/>
    </w:rPr>
  </w:style>
  <w:style w:type="paragraph" w:customStyle="1" w:styleId="CharCharRakstzRakstz">
    <w:name w:val="Char Char Rakstz. Rakstz."/>
    <w:basedOn w:val="Normal"/>
    <w:rsid w:val="00CF3AB5"/>
    <w:pPr>
      <w:spacing w:before="40"/>
    </w:pPr>
    <w:rPr>
      <w:rFonts w:eastAsia="Times New Roman"/>
      <w:sz w:val="20"/>
      <w:szCs w:val="20"/>
      <w:lang w:val="pl-PL" w:eastAsia="pl-PL"/>
    </w:rPr>
  </w:style>
  <w:style w:type="paragraph" w:customStyle="1" w:styleId="CharCharRakstzRakstz1">
    <w:name w:val="Char Char Rakstz. Rakstz.1"/>
    <w:basedOn w:val="Normal"/>
    <w:rsid w:val="004D767D"/>
    <w:pPr>
      <w:spacing w:before="40"/>
    </w:pPr>
    <w:rPr>
      <w:rFonts w:eastAsia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346A11"/>
    <w:rPr>
      <w:b/>
      <w:bCs/>
    </w:rPr>
  </w:style>
  <w:style w:type="character" w:styleId="Emphasis">
    <w:name w:val="Emphasis"/>
    <w:basedOn w:val="DefaultParagraphFont"/>
    <w:qFormat/>
    <w:locked/>
    <w:rsid w:val="005E3CEE"/>
    <w:rPr>
      <w:i/>
      <w:iCs/>
    </w:rPr>
  </w:style>
  <w:style w:type="paragraph" w:customStyle="1" w:styleId="Default">
    <w:name w:val="Default"/>
    <w:rsid w:val="00D16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nod">
    <w:name w:val="naisnod"/>
    <w:basedOn w:val="Normal"/>
    <w:uiPriority w:val="99"/>
    <w:rsid w:val="0004747D"/>
    <w:pPr>
      <w:spacing w:before="150" w:after="150"/>
      <w:jc w:val="center"/>
    </w:pPr>
    <w:rPr>
      <w:rFonts w:eastAsia="Times New Roman"/>
      <w:b/>
      <w:bCs/>
    </w:rPr>
  </w:style>
  <w:style w:type="paragraph" w:customStyle="1" w:styleId="naiskr">
    <w:name w:val="naiskr"/>
    <w:basedOn w:val="Normal"/>
    <w:uiPriority w:val="99"/>
    <w:rsid w:val="0004747D"/>
    <w:pPr>
      <w:spacing w:before="75" w:after="75"/>
    </w:pPr>
    <w:rPr>
      <w:rFonts w:eastAsia="Times New Roman"/>
    </w:rPr>
  </w:style>
  <w:style w:type="paragraph" w:customStyle="1" w:styleId="labojumupamats1">
    <w:name w:val="labojumu_pamats1"/>
    <w:basedOn w:val="Normal"/>
    <w:rsid w:val="00B04630"/>
    <w:pPr>
      <w:spacing w:before="45" w:line="360" w:lineRule="auto"/>
      <w:ind w:firstLine="300"/>
    </w:pPr>
    <w:rPr>
      <w:rFonts w:eastAsia="Times New Roman"/>
      <w:i/>
      <w:iCs/>
      <w:color w:val="414142"/>
      <w:sz w:val="20"/>
      <w:szCs w:val="20"/>
    </w:rPr>
  </w:style>
  <w:style w:type="character" w:customStyle="1" w:styleId="spelle">
    <w:name w:val="spelle"/>
    <w:basedOn w:val="DefaultParagraphFont"/>
    <w:rsid w:val="005F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7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0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11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47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BDA4-B98D-4E2C-9F9E-56958CD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3209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2011.gada 5.jūlija noteikumos Nr.523.</vt:lpstr>
      <vt:lpstr>Grozījumi Ministru kabineta 2007.gada 2.oktobra noteikumos Nr.655 "Noteikumi par profesionālās izglītības programmu īstenošanas izmaksu minimumu uz vienu izglītojamo"  </vt:lpstr>
    </vt:vector>
  </TitlesOfParts>
  <Manager>J.Gaigals</Manager>
  <Company>IZM</Company>
  <LinksUpToDate>false</LinksUpToDate>
  <CharactersWithSpaces>5029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2011.gada 5.jūlija noteikumos Nr.523.</dc:title>
  <dc:subject>Ministru kabineta noteikumu projekta anotācija</dc:subject>
  <dc:creator>Anita Āboliņa</dc:creator>
  <cp:keywords>773</cp:keywords>
  <dc:description/>
  <cp:lastModifiedBy>Anita Āboliņa</cp:lastModifiedBy>
  <cp:revision>5</cp:revision>
  <cp:lastPrinted>2013-08-29T14:24:00Z</cp:lastPrinted>
  <dcterms:created xsi:type="dcterms:W3CDTF">2014-07-29T13:32:00Z</dcterms:created>
  <dcterms:modified xsi:type="dcterms:W3CDTF">2014-08-01T10:04:00Z</dcterms:modified>
</cp:coreProperties>
</file>