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CC7A5" w14:textId="77777777" w:rsidR="00835841" w:rsidRPr="002A2E82" w:rsidRDefault="00835841" w:rsidP="000F3F4A">
      <w:pPr>
        <w:jc w:val="center"/>
        <w:rPr>
          <w:b/>
          <w:bCs/>
          <w:sz w:val="28"/>
          <w:szCs w:val="28"/>
        </w:rPr>
      </w:pPr>
      <w:bookmarkStart w:id="0" w:name="OLE_LINK1"/>
      <w:bookmarkStart w:id="1" w:name="OLE_LINK2"/>
      <w:r w:rsidRPr="002A2E82">
        <w:rPr>
          <w:b/>
          <w:bCs/>
          <w:sz w:val="28"/>
          <w:szCs w:val="28"/>
        </w:rPr>
        <w:t>Ministru kabineta noteikumu projekta</w:t>
      </w:r>
    </w:p>
    <w:bookmarkEnd w:id="0"/>
    <w:bookmarkEnd w:id="1"/>
    <w:p w14:paraId="15D3EC32" w14:textId="77777777" w:rsidR="00835841" w:rsidRPr="002A2E82" w:rsidRDefault="00835841" w:rsidP="00835841">
      <w:pPr>
        <w:jc w:val="center"/>
      </w:pPr>
      <w:r w:rsidRPr="008C6884">
        <w:rPr>
          <w:b/>
          <w:bCs/>
          <w:sz w:val="28"/>
          <w:szCs w:val="28"/>
        </w:rPr>
        <w:t>„Grozījum</w:t>
      </w:r>
      <w:r w:rsidR="00EC0D8E">
        <w:rPr>
          <w:b/>
          <w:bCs/>
          <w:sz w:val="28"/>
          <w:szCs w:val="28"/>
        </w:rPr>
        <w:t>i</w:t>
      </w:r>
      <w:r w:rsidRPr="008C6884">
        <w:rPr>
          <w:b/>
          <w:bCs/>
          <w:sz w:val="28"/>
          <w:szCs w:val="28"/>
        </w:rPr>
        <w:t xml:space="preserve"> Ministru kabineta 2010.gada 28.decembra noteikumos Nr.1206 „Kārtība, kādā aprēķina, piešķir un izlieto valsts budžetā paredzētos līdzekļus pašvaldībām pamatizglītības iestādes skolēnu ēdināšanai</w:t>
      </w:r>
      <w:r>
        <w:rPr>
          <w:b/>
          <w:bCs/>
          <w:sz w:val="28"/>
          <w:szCs w:val="28"/>
        </w:rPr>
        <w:t>”</w:t>
      </w:r>
      <w:r w:rsidRPr="008C6884">
        <w:rPr>
          <w:b/>
          <w:bCs/>
          <w:sz w:val="28"/>
          <w:szCs w:val="28"/>
        </w:rPr>
        <w:t>”</w:t>
      </w:r>
      <w:r w:rsidRPr="00B47924">
        <w:t xml:space="preserve"> </w:t>
      </w:r>
      <w:r w:rsidRPr="00B47924">
        <w:rPr>
          <w:b/>
          <w:bCs/>
          <w:sz w:val="28"/>
          <w:szCs w:val="28"/>
        </w:rPr>
        <w:t>sākotnējās ietekmes novērtējuma ziņojums (anotācija)</w:t>
      </w:r>
    </w:p>
    <w:tbl>
      <w:tblPr>
        <w:tblpPr w:leftFromText="180" w:rightFromText="180" w:vertAnchor="text" w:horzAnchor="margin" w:tblpXSpec="center" w:tblpY="149"/>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7"/>
        <w:gridCol w:w="2574"/>
        <w:gridCol w:w="6095"/>
      </w:tblGrid>
      <w:tr w:rsidR="00852042" w:rsidRPr="004703B5" w14:paraId="1F1C2A56" w14:textId="77777777" w:rsidTr="006F1998">
        <w:tc>
          <w:tcPr>
            <w:tcW w:w="9936" w:type="dxa"/>
            <w:gridSpan w:val="3"/>
            <w:vAlign w:val="center"/>
          </w:tcPr>
          <w:p w14:paraId="7E18F92D" w14:textId="77777777" w:rsidR="00852042" w:rsidRPr="004703B5" w:rsidRDefault="00852042" w:rsidP="006C4607">
            <w:pPr>
              <w:pStyle w:val="naisnod"/>
              <w:spacing w:before="0" w:after="0"/>
              <w:rPr>
                <w:sz w:val="28"/>
                <w:szCs w:val="28"/>
              </w:rPr>
            </w:pPr>
            <w:r w:rsidRPr="004703B5">
              <w:rPr>
                <w:sz w:val="28"/>
                <w:szCs w:val="28"/>
              </w:rPr>
              <w:t>I</w:t>
            </w:r>
            <w:r w:rsidR="000941C5" w:rsidRPr="004703B5">
              <w:rPr>
                <w:sz w:val="28"/>
                <w:szCs w:val="28"/>
              </w:rPr>
              <w:t>.</w:t>
            </w:r>
            <w:r w:rsidRPr="004703B5">
              <w:rPr>
                <w:sz w:val="28"/>
                <w:szCs w:val="28"/>
              </w:rPr>
              <w:t xml:space="preserve"> Tiesību akta </w:t>
            </w:r>
            <w:r w:rsidR="002E3FF4" w:rsidRPr="004703B5">
              <w:rPr>
                <w:sz w:val="28"/>
                <w:szCs w:val="28"/>
              </w:rPr>
              <w:t xml:space="preserve">projekta </w:t>
            </w:r>
            <w:r w:rsidRPr="004703B5">
              <w:rPr>
                <w:sz w:val="28"/>
                <w:szCs w:val="28"/>
              </w:rPr>
              <w:t>izstrādes nepieciešamība</w:t>
            </w:r>
          </w:p>
        </w:tc>
      </w:tr>
      <w:tr w:rsidR="00262E2B" w:rsidRPr="004703B5" w14:paraId="1FF0A56D" w14:textId="77777777" w:rsidTr="006F1998">
        <w:trPr>
          <w:trHeight w:val="630"/>
        </w:trPr>
        <w:tc>
          <w:tcPr>
            <w:tcW w:w="1267" w:type="dxa"/>
          </w:tcPr>
          <w:p w14:paraId="1690E9CE" w14:textId="77777777" w:rsidR="00262E2B" w:rsidRPr="004703B5" w:rsidRDefault="00262E2B" w:rsidP="004703B5">
            <w:pPr>
              <w:pStyle w:val="naiskr"/>
              <w:spacing w:before="0" w:after="0"/>
              <w:jc w:val="center"/>
              <w:rPr>
                <w:sz w:val="28"/>
                <w:szCs w:val="28"/>
              </w:rPr>
            </w:pPr>
            <w:r w:rsidRPr="004703B5">
              <w:rPr>
                <w:sz w:val="28"/>
                <w:szCs w:val="28"/>
              </w:rPr>
              <w:t>1.</w:t>
            </w:r>
          </w:p>
        </w:tc>
        <w:tc>
          <w:tcPr>
            <w:tcW w:w="2574" w:type="dxa"/>
          </w:tcPr>
          <w:p w14:paraId="50663F07" w14:textId="2D3D8618" w:rsidR="007A72F5" w:rsidRDefault="002D7F54" w:rsidP="006C4607">
            <w:pPr>
              <w:pStyle w:val="naiskr"/>
              <w:spacing w:before="0" w:after="0"/>
              <w:ind w:hanging="10"/>
              <w:rPr>
                <w:iCs/>
                <w:sz w:val="28"/>
                <w:szCs w:val="28"/>
              </w:rPr>
            </w:pPr>
            <w:r w:rsidRPr="004703B5">
              <w:rPr>
                <w:iCs/>
                <w:sz w:val="28"/>
                <w:szCs w:val="28"/>
              </w:rPr>
              <w:t>Pamatojums</w:t>
            </w:r>
          </w:p>
          <w:p w14:paraId="27C7076B" w14:textId="77777777" w:rsidR="007A72F5" w:rsidRPr="007A72F5" w:rsidRDefault="007A72F5" w:rsidP="007A72F5"/>
          <w:p w14:paraId="224B74AC" w14:textId="77777777" w:rsidR="007A72F5" w:rsidRPr="007A72F5" w:rsidRDefault="007A72F5" w:rsidP="007A72F5"/>
          <w:p w14:paraId="5D3A2A12" w14:textId="77777777" w:rsidR="007A72F5" w:rsidRPr="007A72F5" w:rsidRDefault="007A72F5" w:rsidP="007A72F5"/>
          <w:p w14:paraId="3A6F574E" w14:textId="77777777" w:rsidR="007A72F5" w:rsidRPr="007A72F5" w:rsidRDefault="007A72F5" w:rsidP="007A72F5"/>
          <w:p w14:paraId="138213A5" w14:textId="77777777" w:rsidR="007A72F5" w:rsidRPr="007A72F5" w:rsidRDefault="007A72F5" w:rsidP="007A72F5"/>
          <w:p w14:paraId="0EAC0049" w14:textId="77777777" w:rsidR="007A72F5" w:rsidRPr="007A72F5" w:rsidRDefault="007A72F5" w:rsidP="007A72F5"/>
          <w:p w14:paraId="752CD780" w14:textId="77777777" w:rsidR="007A72F5" w:rsidRPr="007A72F5" w:rsidRDefault="007A72F5" w:rsidP="007A72F5"/>
          <w:p w14:paraId="2C4E226F" w14:textId="545452B1" w:rsidR="007A72F5" w:rsidRDefault="007A72F5" w:rsidP="00B37D08">
            <w:pPr>
              <w:jc w:val="center"/>
            </w:pPr>
          </w:p>
          <w:p w14:paraId="41F5409E" w14:textId="77777777" w:rsidR="00262E2B" w:rsidRPr="007A72F5" w:rsidRDefault="00262E2B" w:rsidP="007A72F5"/>
        </w:tc>
        <w:tc>
          <w:tcPr>
            <w:tcW w:w="6095" w:type="dxa"/>
          </w:tcPr>
          <w:p w14:paraId="7D8CDC69" w14:textId="5443E1B1" w:rsidR="00262E2B" w:rsidRPr="00B63B0A" w:rsidRDefault="000B29BD" w:rsidP="003800FA">
            <w:pPr>
              <w:pStyle w:val="naiskr"/>
              <w:spacing w:before="0" w:after="0"/>
              <w:ind w:left="142" w:right="222"/>
              <w:jc w:val="both"/>
              <w:rPr>
                <w:iCs/>
                <w:color w:val="414142"/>
                <w:sz w:val="28"/>
                <w:szCs w:val="28"/>
              </w:rPr>
            </w:pPr>
            <w:r w:rsidRPr="000B29BD">
              <w:rPr>
                <w:sz w:val="28"/>
                <w:szCs w:val="28"/>
              </w:rPr>
              <w:t xml:space="preserve">Ministru kabineta noteikumu projekts „Grozījumi Ministru kabineta 2010.gada 28.decembra noteikumos Nr.1206 „Kārtība, kādā aprēķina, piešķir un izlieto valsts budžetā paredzētos līdzekļus pašvaldībām pamatizglītības iestādes skolēnu ēdināšanai”” (turpmāk – noteikumu projekts) izstrādāts saskaņā </w:t>
            </w:r>
            <w:r w:rsidR="003800FA" w:rsidRPr="007A72F5">
              <w:rPr>
                <w:sz w:val="28"/>
                <w:szCs w:val="28"/>
              </w:rPr>
              <w:t>ar</w:t>
            </w:r>
            <w:r w:rsidR="003800FA">
              <w:rPr>
                <w:rFonts w:ascii="Arial" w:hAnsi="Arial" w:cs="Arial"/>
                <w:i/>
                <w:iCs/>
                <w:color w:val="414142"/>
              </w:rPr>
              <w:t xml:space="preserve"> </w:t>
            </w:r>
            <w:hyperlink r:id="rId8" w:tgtFrame="_blank" w:history="1">
              <w:r w:rsidR="003800FA" w:rsidRPr="007A72F5">
                <w:rPr>
                  <w:sz w:val="28"/>
                  <w:szCs w:val="28"/>
                </w:rPr>
                <w:t>Bērnu tiesību aizsardzības likuma</w:t>
              </w:r>
            </w:hyperlink>
            <w:r w:rsidR="003800FA" w:rsidRPr="007A72F5">
              <w:rPr>
                <w:sz w:val="28"/>
                <w:szCs w:val="28"/>
              </w:rPr>
              <w:t xml:space="preserve"> </w:t>
            </w:r>
            <w:hyperlink r:id="rId9" w:anchor="p61" w:tgtFrame="_blank" w:history="1">
              <w:r w:rsidR="003800FA" w:rsidRPr="007A72F5">
                <w:rPr>
                  <w:sz w:val="28"/>
                  <w:szCs w:val="28"/>
                </w:rPr>
                <w:t>61.panta</w:t>
              </w:r>
            </w:hyperlink>
            <w:r w:rsidR="003800FA" w:rsidRPr="007A72F5">
              <w:rPr>
                <w:sz w:val="28"/>
                <w:szCs w:val="28"/>
              </w:rPr>
              <w:t xml:space="preserve"> 7.punktu</w:t>
            </w:r>
            <w:r w:rsidR="003800FA" w:rsidRPr="000B29BD">
              <w:rPr>
                <w:sz w:val="28"/>
                <w:szCs w:val="28"/>
              </w:rPr>
              <w:t xml:space="preserve"> </w:t>
            </w:r>
            <w:r w:rsidR="003800FA">
              <w:rPr>
                <w:sz w:val="28"/>
                <w:szCs w:val="28"/>
              </w:rPr>
              <w:t>un</w:t>
            </w:r>
            <w:r w:rsidRPr="000B29BD">
              <w:rPr>
                <w:sz w:val="28"/>
                <w:szCs w:val="28"/>
              </w:rPr>
              <w:t xml:space="preserve"> Ministru kabineta 2013.gada 1.oktobra sēdes </w:t>
            </w:r>
            <w:proofErr w:type="spellStart"/>
            <w:r w:rsidRPr="000B29BD">
              <w:rPr>
                <w:sz w:val="28"/>
                <w:szCs w:val="28"/>
              </w:rPr>
              <w:t>protokollēmuma</w:t>
            </w:r>
            <w:proofErr w:type="spellEnd"/>
            <w:r w:rsidRPr="000B29BD">
              <w:rPr>
                <w:sz w:val="28"/>
                <w:szCs w:val="28"/>
              </w:rPr>
              <w:t xml:space="preserve"> (prot. Nr.51 50.§) “</w:t>
            </w:r>
            <w:proofErr w:type="spellStart"/>
            <w:r w:rsidRPr="000B29BD">
              <w:rPr>
                <w:sz w:val="28"/>
                <w:szCs w:val="28"/>
              </w:rPr>
              <w:t>Protokollēmuma</w:t>
            </w:r>
            <w:proofErr w:type="spellEnd"/>
            <w:r w:rsidRPr="000B29BD">
              <w:rPr>
                <w:sz w:val="28"/>
                <w:szCs w:val="28"/>
              </w:rPr>
              <w:t xml:space="preserve"> projekts “Par demogrāfijas atbalsta pasākumiem 2014.gadā”” 3.punktu, kurā noteikts, ka ar 2014.gada 1.septembri valsts apmaksā brīvpusdienas arī 3.klases skolēniem, un 4.punktu, kurā noteikts, ka ar 2014.gada 1.septembri tiek palielināta valsts dotācija 1.-3.klases skolēnu brīvpusdienām no 1,14 </w:t>
            </w:r>
            <w:proofErr w:type="spellStart"/>
            <w:r w:rsidRPr="00DF5F47">
              <w:rPr>
                <w:i/>
                <w:sz w:val="28"/>
                <w:szCs w:val="28"/>
              </w:rPr>
              <w:t>euro</w:t>
            </w:r>
            <w:proofErr w:type="spellEnd"/>
            <w:r w:rsidRPr="000B29BD">
              <w:rPr>
                <w:sz w:val="28"/>
                <w:szCs w:val="28"/>
              </w:rPr>
              <w:t xml:space="preserve"> uz 1,42 </w:t>
            </w:r>
            <w:proofErr w:type="spellStart"/>
            <w:r w:rsidRPr="00DF5F47">
              <w:rPr>
                <w:i/>
                <w:sz w:val="28"/>
                <w:szCs w:val="28"/>
              </w:rPr>
              <w:t>euro</w:t>
            </w:r>
            <w:proofErr w:type="spellEnd"/>
            <w:r w:rsidRPr="000B29BD">
              <w:rPr>
                <w:sz w:val="28"/>
                <w:szCs w:val="28"/>
              </w:rPr>
              <w:t>.</w:t>
            </w:r>
          </w:p>
        </w:tc>
      </w:tr>
      <w:tr w:rsidR="00262E2B" w:rsidRPr="004703B5" w14:paraId="5441BD67" w14:textId="77777777" w:rsidTr="006F1998">
        <w:trPr>
          <w:trHeight w:val="472"/>
        </w:trPr>
        <w:tc>
          <w:tcPr>
            <w:tcW w:w="1267" w:type="dxa"/>
          </w:tcPr>
          <w:p w14:paraId="6E07150C" w14:textId="77777777" w:rsidR="00262E2B" w:rsidRPr="004703B5" w:rsidRDefault="00262E2B" w:rsidP="004703B5">
            <w:pPr>
              <w:pStyle w:val="naiskr"/>
              <w:spacing w:before="0" w:after="0"/>
              <w:jc w:val="center"/>
              <w:rPr>
                <w:sz w:val="28"/>
                <w:szCs w:val="28"/>
              </w:rPr>
            </w:pPr>
            <w:r w:rsidRPr="004703B5">
              <w:rPr>
                <w:sz w:val="28"/>
                <w:szCs w:val="28"/>
              </w:rPr>
              <w:t>2.</w:t>
            </w:r>
          </w:p>
        </w:tc>
        <w:tc>
          <w:tcPr>
            <w:tcW w:w="2574" w:type="dxa"/>
          </w:tcPr>
          <w:p w14:paraId="20BF4E05" w14:textId="77777777" w:rsidR="003F07A7" w:rsidRPr="004703B5" w:rsidRDefault="009E7A57" w:rsidP="008A78C3">
            <w:pPr>
              <w:pStyle w:val="naiskr"/>
              <w:spacing w:before="0" w:after="0"/>
              <w:ind w:hanging="10"/>
              <w:rPr>
                <w:sz w:val="28"/>
                <w:szCs w:val="28"/>
              </w:rPr>
            </w:pPr>
            <w:r w:rsidRPr="008A78C3">
              <w:rPr>
                <w:iCs/>
                <w:sz w:val="28"/>
                <w:szCs w:val="28"/>
              </w:rPr>
              <w:t>Pašreizējā situācija un problēmas, kuru risināšanai tiesību akta projekts izstrādāts, tiesiskā regulējuma mērķis un būtība</w:t>
            </w:r>
          </w:p>
        </w:tc>
        <w:tc>
          <w:tcPr>
            <w:tcW w:w="6095" w:type="dxa"/>
          </w:tcPr>
          <w:p w14:paraId="6620D594" w14:textId="77777777" w:rsidR="00894787" w:rsidRPr="007A72F5" w:rsidRDefault="00894787" w:rsidP="007A72F5">
            <w:pPr>
              <w:pStyle w:val="CommentText"/>
              <w:ind w:firstLine="417"/>
              <w:jc w:val="both"/>
              <w:rPr>
                <w:sz w:val="28"/>
                <w:szCs w:val="28"/>
              </w:rPr>
            </w:pPr>
            <w:r>
              <w:rPr>
                <w:rFonts w:ascii="Arial" w:hAnsi="Arial" w:cs="Arial"/>
                <w:i/>
                <w:iCs/>
                <w:color w:val="414142"/>
              </w:rPr>
              <w:t xml:space="preserve"> </w:t>
            </w:r>
            <w:r w:rsidRPr="007A72F5">
              <w:rPr>
                <w:iCs/>
                <w:sz w:val="28"/>
                <w:szCs w:val="28"/>
              </w:rPr>
              <w:t xml:space="preserve">Saskaņā ar Bērnu tiesību aizsardzības likuma </w:t>
            </w:r>
            <w:hyperlink r:id="rId10" w:anchor="p61" w:tgtFrame="_blank" w:history="1">
              <w:r w:rsidRPr="007A72F5">
                <w:rPr>
                  <w:iCs/>
                  <w:sz w:val="28"/>
                  <w:szCs w:val="28"/>
                </w:rPr>
                <w:t>61.panta</w:t>
              </w:r>
            </w:hyperlink>
            <w:r w:rsidRPr="007A72F5">
              <w:rPr>
                <w:iCs/>
                <w:sz w:val="28"/>
                <w:szCs w:val="28"/>
              </w:rPr>
              <w:t xml:space="preserve"> 7.punktu</w:t>
            </w:r>
            <w:r w:rsidRPr="007A72F5">
              <w:rPr>
                <w:i/>
                <w:iCs/>
                <w:sz w:val="28"/>
                <w:szCs w:val="28"/>
              </w:rPr>
              <w:t xml:space="preserve"> </w:t>
            </w:r>
            <w:r w:rsidRPr="007A72F5">
              <w:rPr>
                <w:sz w:val="28"/>
                <w:szCs w:val="28"/>
              </w:rPr>
              <w:t>Ministru kabinets nosaka kārtību, kādā aprēķina, piešķir un izlieto valsts budžetā paredzētos līdzekļus pašvaldībām pamatizglītības iestādes skolēnu ēdināšanai, un šo valsts budžeta līdzekļu izlietošanas apmēru vienam skolēnam dienā.</w:t>
            </w:r>
          </w:p>
          <w:p w14:paraId="14AE7EB6" w14:textId="61B2F623" w:rsidR="003D02B3" w:rsidRPr="005773C3" w:rsidRDefault="00894787" w:rsidP="009F1FCD">
            <w:pPr>
              <w:pStyle w:val="naiskr"/>
              <w:spacing w:before="0" w:after="0"/>
              <w:ind w:right="222" w:firstLine="407"/>
              <w:jc w:val="both"/>
              <w:rPr>
                <w:sz w:val="28"/>
                <w:szCs w:val="28"/>
              </w:rPr>
            </w:pPr>
            <w:r>
              <w:rPr>
                <w:sz w:val="28"/>
                <w:szCs w:val="28"/>
              </w:rPr>
              <w:t xml:space="preserve">Šobrīd </w:t>
            </w:r>
            <w:r w:rsidR="00835841" w:rsidRPr="00B63B0A">
              <w:rPr>
                <w:sz w:val="28"/>
                <w:szCs w:val="28"/>
              </w:rPr>
              <w:t>Ministru kabineta 2010.gada 28.decembra noteikumos Nr.1206 „Kārtība, kādā aprēķina, piešķir un izlieto valsts budžetā paredzētos līdzekļus pašvaldībām pamatizglītības iestādes skolēnu ēdināšanai”</w:t>
            </w:r>
            <w:r w:rsidR="00F0233E">
              <w:rPr>
                <w:sz w:val="28"/>
                <w:szCs w:val="28"/>
              </w:rPr>
              <w:t xml:space="preserve"> (turpmāk – MK noteikumi Nr.1206) </w:t>
            </w:r>
            <w:r w:rsidR="00835841" w:rsidRPr="00B63B0A">
              <w:rPr>
                <w:sz w:val="28"/>
                <w:szCs w:val="28"/>
              </w:rPr>
              <w:t xml:space="preserve"> valsts budžeta līdzekļu apmērs viena 1. un 2.klases izglītojamā ēdināšanai dienā noteikts 1,14 </w:t>
            </w:r>
            <w:proofErr w:type="spellStart"/>
            <w:r w:rsidR="00DF5F47" w:rsidRPr="007A72F5">
              <w:rPr>
                <w:i/>
                <w:sz w:val="28"/>
                <w:szCs w:val="28"/>
              </w:rPr>
              <w:t>euro</w:t>
            </w:r>
            <w:proofErr w:type="spellEnd"/>
            <w:r>
              <w:rPr>
                <w:sz w:val="28"/>
                <w:szCs w:val="28"/>
              </w:rPr>
              <w:t xml:space="preserve"> apmērā</w:t>
            </w:r>
            <w:r w:rsidR="004E3DF4" w:rsidRPr="005773C3">
              <w:rPr>
                <w:sz w:val="28"/>
                <w:szCs w:val="28"/>
              </w:rPr>
              <w:t>.</w:t>
            </w:r>
            <w:r w:rsidR="000B29BD" w:rsidRPr="005773C3">
              <w:rPr>
                <w:sz w:val="28"/>
                <w:szCs w:val="28"/>
              </w:rPr>
              <w:t xml:space="preserve"> </w:t>
            </w:r>
            <w:r w:rsidR="00F0233E">
              <w:rPr>
                <w:sz w:val="28"/>
                <w:szCs w:val="28"/>
              </w:rPr>
              <w:t>MK n</w:t>
            </w:r>
            <w:r w:rsidR="004E3DF4" w:rsidRPr="005773C3">
              <w:rPr>
                <w:sz w:val="28"/>
                <w:szCs w:val="28"/>
              </w:rPr>
              <w:t xml:space="preserve">oteikumi </w:t>
            </w:r>
            <w:r w:rsidR="00F0233E">
              <w:rPr>
                <w:sz w:val="28"/>
                <w:szCs w:val="28"/>
              </w:rPr>
              <w:t xml:space="preserve">Nr.1206 </w:t>
            </w:r>
            <w:r w:rsidR="004E3DF4" w:rsidRPr="005773C3">
              <w:rPr>
                <w:sz w:val="28"/>
                <w:szCs w:val="28"/>
              </w:rPr>
              <w:t>paredz arī prasības vienas dienas pusdienu ēdienkartei.</w:t>
            </w:r>
          </w:p>
          <w:p w14:paraId="053FCDD5" w14:textId="77777777" w:rsidR="002B0C89" w:rsidRPr="002F3EA8" w:rsidRDefault="000D611A" w:rsidP="009F1FCD">
            <w:pPr>
              <w:pStyle w:val="naiskr"/>
              <w:spacing w:before="0" w:after="0"/>
              <w:ind w:right="222" w:firstLine="407"/>
              <w:jc w:val="both"/>
              <w:rPr>
                <w:sz w:val="28"/>
                <w:szCs w:val="28"/>
              </w:rPr>
            </w:pPr>
            <w:r w:rsidRPr="005773C3">
              <w:rPr>
                <w:sz w:val="28"/>
                <w:szCs w:val="28"/>
              </w:rPr>
              <w:lastRenderedPageBreak/>
              <w:t xml:space="preserve">Savukārt 2012.gada 13.martā ir pieņemti Ministru kabineta noteikumi Nr.172 </w:t>
            </w:r>
            <w:r w:rsidR="0001163B" w:rsidRPr="00B63B0A">
              <w:rPr>
                <w:sz w:val="28"/>
                <w:szCs w:val="28"/>
              </w:rPr>
              <w:t>„</w:t>
            </w:r>
            <w:r w:rsidRPr="00B63B0A">
              <w:rPr>
                <w:sz w:val="28"/>
                <w:szCs w:val="28"/>
              </w:rPr>
              <w:t>Noteikumi par uztura normām izglītības iestāžu izglītojamiem, sociālās aprūpes un sociālās rehabilitācijas institūciju klientiem un ārstniecības iestāžu pacientiem”</w:t>
            </w:r>
            <w:r>
              <w:rPr>
                <w:sz w:val="28"/>
                <w:szCs w:val="28"/>
              </w:rPr>
              <w:t>, kuros ir noteiktas prasības pusdienu ēdienkartei 1.-12.klases skolēniem, kā arī noteiktas enerģētiskās vērtības un uzturvielu normas, iekļaujamie un izslēdzamie pārtikas produkti.</w:t>
            </w:r>
            <w:r w:rsidR="00EC0D8E">
              <w:rPr>
                <w:sz w:val="28"/>
                <w:szCs w:val="28"/>
              </w:rPr>
              <w:t xml:space="preserve"> Abos iepriekšminētajos normatīvajos aktos noteiktās prasības atšķiras</w:t>
            </w:r>
            <w:r w:rsidR="00492596">
              <w:rPr>
                <w:sz w:val="28"/>
                <w:szCs w:val="28"/>
              </w:rPr>
              <w:t>, tādējādi apgrūtinot ēdienkaršu sastādīšanu izglītības iestādēm un tajās strādājošajiem</w:t>
            </w:r>
            <w:r w:rsidR="005720AD">
              <w:rPr>
                <w:sz w:val="28"/>
                <w:szCs w:val="28"/>
              </w:rPr>
              <w:t xml:space="preserve"> </w:t>
            </w:r>
            <w:r w:rsidR="00492596">
              <w:rPr>
                <w:sz w:val="28"/>
                <w:szCs w:val="28"/>
              </w:rPr>
              <w:t>ēdināšanas uzņēmumiem.</w:t>
            </w:r>
            <w:r w:rsidR="008B75B9" w:rsidRPr="002F3EA8">
              <w:rPr>
                <w:sz w:val="28"/>
                <w:szCs w:val="28"/>
              </w:rPr>
              <w:t xml:space="preserve"> </w:t>
            </w:r>
          </w:p>
          <w:p w14:paraId="7BC82351" w14:textId="2DCD64B5" w:rsidR="003D02B3" w:rsidRDefault="003D02B3" w:rsidP="00136B4C">
            <w:pPr>
              <w:pStyle w:val="naiskr"/>
              <w:spacing w:before="0" w:after="0"/>
              <w:ind w:right="222" w:firstLine="407"/>
              <w:jc w:val="both"/>
              <w:rPr>
                <w:sz w:val="28"/>
                <w:szCs w:val="28"/>
              </w:rPr>
            </w:pPr>
            <w:r w:rsidRPr="00B63B0A">
              <w:rPr>
                <w:sz w:val="28"/>
                <w:szCs w:val="28"/>
              </w:rPr>
              <w:t>Noteikumu projekts</w:t>
            </w:r>
            <w:r w:rsidR="00F0233E">
              <w:rPr>
                <w:sz w:val="28"/>
                <w:szCs w:val="28"/>
              </w:rPr>
              <w:t xml:space="preserve"> ar mācību gada sākumu (2014.gada 1.septembri)</w:t>
            </w:r>
            <w:r w:rsidR="00F0233E" w:rsidRPr="00B63B0A">
              <w:rPr>
                <w:sz w:val="28"/>
                <w:szCs w:val="28"/>
              </w:rPr>
              <w:t xml:space="preserve"> </w:t>
            </w:r>
            <w:r w:rsidRPr="00B63B0A">
              <w:rPr>
                <w:sz w:val="28"/>
                <w:szCs w:val="28"/>
              </w:rPr>
              <w:t>paredz</w:t>
            </w:r>
            <w:r>
              <w:rPr>
                <w:sz w:val="28"/>
                <w:szCs w:val="28"/>
              </w:rPr>
              <w:t>:</w:t>
            </w:r>
          </w:p>
          <w:p w14:paraId="47FFCA72" w14:textId="77777777" w:rsidR="003D02B3" w:rsidRDefault="003D02B3" w:rsidP="009F1FCD">
            <w:pPr>
              <w:pStyle w:val="naiskr"/>
              <w:numPr>
                <w:ilvl w:val="0"/>
                <w:numId w:val="18"/>
              </w:numPr>
              <w:spacing w:before="0" w:after="0"/>
              <w:ind w:left="123" w:right="222" w:hanging="123"/>
              <w:jc w:val="both"/>
              <w:rPr>
                <w:sz w:val="28"/>
                <w:szCs w:val="28"/>
              </w:rPr>
            </w:pPr>
            <w:r>
              <w:rPr>
                <w:sz w:val="28"/>
                <w:szCs w:val="28"/>
              </w:rPr>
              <w:t xml:space="preserve">palielināt valsts budžeta līdzekļu apmēru viena izglītojamā ēdināšanai dienā no 1,14 </w:t>
            </w:r>
            <w:proofErr w:type="spellStart"/>
            <w:r w:rsidRPr="005773C3">
              <w:rPr>
                <w:sz w:val="28"/>
                <w:szCs w:val="28"/>
              </w:rPr>
              <w:t>euro</w:t>
            </w:r>
            <w:proofErr w:type="spellEnd"/>
            <w:r>
              <w:rPr>
                <w:sz w:val="28"/>
                <w:szCs w:val="28"/>
              </w:rPr>
              <w:t xml:space="preserve"> līdz </w:t>
            </w:r>
            <w:r w:rsidRPr="00B63B0A">
              <w:rPr>
                <w:sz w:val="28"/>
                <w:szCs w:val="28"/>
              </w:rPr>
              <w:t xml:space="preserve">1,42 </w:t>
            </w:r>
            <w:proofErr w:type="spellStart"/>
            <w:r w:rsidRPr="005773C3">
              <w:rPr>
                <w:sz w:val="28"/>
                <w:szCs w:val="28"/>
              </w:rPr>
              <w:t>euro</w:t>
            </w:r>
            <w:proofErr w:type="spellEnd"/>
            <w:r>
              <w:rPr>
                <w:sz w:val="28"/>
                <w:szCs w:val="28"/>
              </w:rPr>
              <w:t>;</w:t>
            </w:r>
          </w:p>
          <w:p w14:paraId="3B06402C" w14:textId="77777777" w:rsidR="003D02B3" w:rsidRDefault="003D02B3" w:rsidP="003D02B3">
            <w:pPr>
              <w:pStyle w:val="naiskr"/>
              <w:numPr>
                <w:ilvl w:val="0"/>
                <w:numId w:val="18"/>
              </w:numPr>
              <w:spacing w:before="0" w:after="0"/>
              <w:ind w:right="222"/>
              <w:jc w:val="both"/>
              <w:rPr>
                <w:sz w:val="28"/>
                <w:szCs w:val="28"/>
              </w:rPr>
            </w:pPr>
            <w:r>
              <w:rPr>
                <w:sz w:val="28"/>
                <w:szCs w:val="28"/>
              </w:rPr>
              <w:t>piešķirt valsts budžeta līdzekļus arī 3.klases izglītojamo ēdināšanai;</w:t>
            </w:r>
          </w:p>
          <w:p w14:paraId="79D899C5" w14:textId="1FB65D85" w:rsidR="00F4742E" w:rsidRDefault="00F4742E" w:rsidP="00F4742E">
            <w:pPr>
              <w:pStyle w:val="naiskr"/>
              <w:numPr>
                <w:ilvl w:val="0"/>
                <w:numId w:val="18"/>
              </w:numPr>
              <w:spacing w:before="0" w:after="0"/>
              <w:ind w:right="222"/>
              <w:jc w:val="both"/>
              <w:rPr>
                <w:sz w:val="28"/>
                <w:szCs w:val="28"/>
              </w:rPr>
            </w:pPr>
            <w:r w:rsidRPr="002B0C89">
              <w:rPr>
                <w:sz w:val="28"/>
                <w:szCs w:val="28"/>
              </w:rPr>
              <w:t xml:space="preserve">svītrot </w:t>
            </w:r>
            <w:r w:rsidR="00F0233E">
              <w:rPr>
                <w:sz w:val="28"/>
                <w:szCs w:val="28"/>
              </w:rPr>
              <w:t>MK noteikumu Nr.1206</w:t>
            </w:r>
            <w:r w:rsidRPr="002B0C89">
              <w:rPr>
                <w:sz w:val="28"/>
                <w:szCs w:val="28"/>
              </w:rPr>
              <w:t xml:space="preserve"> 4. un </w:t>
            </w:r>
            <w:r w:rsidR="00F0233E">
              <w:rPr>
                <w:sz w:val="28"/>
                <w:szCs w:val="28"/>
              </w:rPr>
              <w:t>9.pu</w:t>
            </w:r>
            <w:r w:rsidRPr="002B0C89">
              <w:rPr>
                <w:sz w:val="28"/>
                <w:szCs w:val="28"/>
              </w:rPr>
              <w:t xml:space="preserve">nktu, jo Bērnu tiesību aizsardzības likuma 61.panta 7.punkts paredz Ministru kabinetam noteikt </w:t>
            </w:r>
            <w:r w:rsidRPr="005773C3">
              <w:rPr>
                <w:sz w:val="28"/>
                <w:szCs w:val="28"/>
              </w:rPr>
              <w:t xml:space="preserve"> </w:t>
            </w:r>
            <w:r w:rsidRPr="002B0C89">
              <w:rPr>
                <w:sz w:val="28"/>
                <w:szCs w:val="28"/>
              </w:rPr>
              <w:t>kārtību kādā aprēķina, piešķir un izlieto valsts budžetā paredzētos</w:t>
            </w:r>
            <w:r w:rsidRPr="005773C3">
              <w:rPr>
                <w:sz w:val="28"/>
                <w:szCs w:val="28"/>
              </w:rPr>
              <w:t xml:space="preserve"> </w:t>
            </w:r>
            <w:r w:rsidRPr="002B0C89">
              <w:rPr>
                <w:sz w:val="28"/>
                <w:szCs w:val="28"/>
              </w:rPr>
              <w:t>līdzekļus pašvaldībām pamatizglītības iestādes skolēnu ēdināšanai, un šo valsts budžeta līdzekļu izlietošanas apmēru vienam skolēnam dienā. Savukārt</w:t>
            </w:r>
            <w:r>
              <w:rPr>
                <w:sz w:val="28"/>
                <w:szCs w:val="28"/>
              </w:rPr>
              <w:t xml:space="preserve"> </w:t>
            </w:r>
            <w:r w:rsidRPr="00B63B0A">
              <w:rPr>
                <w:sz w:val="28"/>
                <w:szCs w:val="28"/>
              </w:rPr>
              <w:t>Ministru kabineta 201</w:t>
            </w:r>
            <w:r>
              <w:rPr>
                <w:sz w:val="28"/>
                <w:szCs w:val="28"/>
              </w:rPr>
              <w:t>3</w:t>
            </w:r>
            <w:r w:rsidRPr="00B63B0A">
              <w:rPr>
                <w:sz w:val="28"/>
                <w:szCs w:val="28"/>
              </w:rPr>
              <w:t xml:space="preserve">.gada </w:t>
            </w:r>
            <w:r>
              <w:rPr>
                <w:sz w:val="28"/>
                <w:szCs w:val="28"/>
              </w:rPr>
              <w:t>17</w:t>
            </w:r>
            <w:r w:rsidRPr="00B63B0A">
              <w:rPr>
                <w:sz w:val="28"/>
                <w:szCs w:val="28"/>
              </w:rPr>
              <w:t>.</w:t>
            </w:r>
            <w:r>
              <w:rPr>
                <w:sz w:val="28"/>
                <w:szCs w:val="28"/>
              </w:rPr>
              <w:t>sept</w:t>
            </w:r>
            <w:r w:rsidRPr="00B63B0A">
              <w:rPr>
                <w:sz w:val="28"/>
                <w:szCs w:val="28"/>
              </w:rPr>
              <w:t>embra noteikumos Nr.</w:t>
            </w:r>
            <w:r>
              <w:rPr>
                <w:sz w:val="28"/>
                <w:szCs w:val="28"/>
              </w:rPr>
              <w:t>890 “</w:t>
            </w:r>
            <w:r w:rsidRPr="005773C3">
              <w:rPr>
                <w:sz w:val="28"/>
                <w:szCs w:val="28"/>
              </w:rPr>
              <w:t>Higiēnas prasības bērnu uzraudzības pakalpojuma sniedzējiem un izglītības iestādēm, kas īsteno pirmsskolas izglītības programmu</w:t>
            </w:r>
            <w:r>
              <w:rPr>
                <w:sz w:val="28"/>
                <w:szCs w:val="28"/>
              </w:rPr>
              <w:t xml:space="preserve">” un </w:t>
            </w:r>
            <w:r w:rsidRPr="00B63B0A">
              <w:rPr>
                <w:sz w:val="28"/>
                <w:szCs w:val="28"/>
              </w:rPr>
              <w:t xml:space="preserve"> Ministru kabineta 20</w:t>
            </w:r>
            <w:r>
              <w:rPr>
                <w:sz w:val="28"/>
                <w:szCs w:val="28"/>
              </w:rPr>
              <w:t>02</w:t>
            </w:r>
            <w:r w:rsidRPr="00B63B0A">
              <w:rPr>
                <w:sz w:val="28"/>
                <w:szCs w:val="28"/>
              </w:rPr>
              <w:t xml:space="preserve">.gada </w:t>
            </w:r>
            <w:r>
              <w:rPr>
                <w:sz w:val="28"/>
                <w:szCs w:val="28"/>
              </w:rPr>
              <w:t>27</w:t>
            </w:r>
            <w:r w:rsidRPr="00B63B0A">
              <w:rPr>
                <w:sz w:val="28"/>
                <w:szCs w:val="28"/>
              </w:rPr>
              <w:t>.</w:t>
            </w:r>
            <w:r>
              <w:rPr>
                <w:sz w:val="28"/>
                <w:szCs w:val="28"/>
              </w:rPr>
              <w:t>dec</w:t>
            </w:r>
            <w:r w:rsidRPr="00B63B0A">
              <w:rPr>
                <w:sz w:val="28"/>
                <w:szCs w:val="28"/>
              </w:rPr>
              <w:t>embra noteikumos Nr.</w:t>
            </w:r>
            <w:r>
              <w:rPr>
                <w:sz w:val="28"/>
                <w:szCs w:val="28"/>
              </w:rPr>
              <w:t>890 “</w:t>
            </w:r>
            <w:r w:rsidRPr="005773C3">
              <w:rPr>
                <w:sz w:val="28"/>
                <w:szCs w:val="28"/>
              </w:rPr>
              <w:t>Higiēnas prasības vispārējās pamatizglītības, vispārējās vidējās izglītības un profesionālās izglītības iestādēm</w:t>
            </w:r>
            <w:r>
              <w:rPr>
                <w:sz w:val="28"/>
                <w:szCs w:val="28"/>
              </w:rPr>
              <w:t>” nosaka Pārtikas un veterinārā dienesta kompetenci;</w:t>
            </w:r>
          </w:p>
          <w:p w14:paraId="059006D7" w14:textId="77777777" w:rsidR="00597BAF" w:rsidRDefault="00597BAF" w:rsidP="00F4742E">
            <w:pPr>
              <w:pStyle w:val="naiskr"/>
              <w:numPr>
                <w:ilvl w:val="0"/>
                <w:numId w:val="18"/>
              </w:numPr>
              <w:spacing w:before="0" w:after="0"/>
              <w:ind w:right="222"/>
              <w:jc w:val="both"/>
              <w:rPr>
                <w:sz w:val="28"/>
                <w:szCs w:val="28"/>
              </w:rPr>
            </w:pPr>
            <w:r>
              <w:rPr>
                <w:sz w:val="28"/>
                <w:szCs w:val="28"/>
              </w:rPr>
              <w:t>noteikt pārskata par valsts budžeta līdzekļu izlietojumu iesniegšanas termiņa un veida izmaiņas, lai atvieglotu novadu pašvaldībām atskaitīšanās kārtību.</w:t>
            </w:r>
          </w:p>
          <w:p w14:paraId="01632BB8" w14:textId="17424B0A" w:rsidR="004775D6" w:rsidRPr="002B0C89" w:rsidRDefault="004775D6" w:rsidP="009F1FCD">
            <w:pPr>
              <w:pStyle w:val="naiskr"/>
              <w:spacing w:before="0" w:after="0"/>
              <w:ind w:right="222" w:firstLine="407"/>
              <w:jc w:val="both"/>
              <w:rPr>
                <w:sz w:val="28"/>
                <w:szCs w:val="28"/>
              </w:rPr>
            </w:pPr>
            <w:r w:rsidRPr="002F3EA8">
              <w:rPr>
                <w:sz w:val="28"/>
                <w:szCs w:val="28"/>
              </w:rPr>
              <w:lastRenderedPageBreak/>
              <w:t>V</w:t>
            </w:r>
            <w:r w:rsidRPr="005773C3">
              <w:rPr>
                <w:sz w:val="28"/>
                <w:szCs w:val="28"/>
              </w:rPr>
              <w:t xml:space="preserve">alsts budžetā </w:t>
            </w:r>
            <w:r w:rsidRPr="002F3EA8">
              <w:rPr>
                <w:sz w:val="28"/>
                <w:szCs w:val="28"/>
              </w:rPr>
              <w:t>pamatizglītības klašu izglītojamo ēdināšanai</w:t>
            </w:r>
            <w:r w:rsidRPr="005773C3">
              <w:rPr>
                <w:sz w:val="28"/>
                <w:szCs w:val="28"/>
              </w:rPr>
              <w:t xml:space="preserve"> finansējums netiek piešķirts pietiekošā apmērā, tomēr katru gadu finansējums šim mērķim tiek palielināts, ņemot vērā valsts budžeta iespējas. </w:t>
            </w:r>
            <w:r w:rsidR="002E01C8">
              <w:rPr>
                <w:sz w:val="28"/>
                <w:szCs w:val="28"/>
              </w:rPr>
              <w:t xml:space="preserve"> </w:t>
            </w:r>
            <w:r w:rsidR="002E01C8" w:rsidRPr="00FA386E">
              <w:rPr>
                <w:sz w:val="28"/>
                <w:szCs w:val="28"/>
              </w:rPr>
              <w:t>Par pārējo skolēnu ēdināšanas finansēšanu lemj izglītības iestādes dibinātājs</w:t>
            </w:r>
            <w:r w:rsidR="005479FC" w:rsidRPr="00FA386E">
              <w:rPr>
                <w:sz w:val="28"/>
                <w:szCs w:val="28"/>
              </w:rPr>
              <w:t xml:space="preserve">. Atbilstoši Izglītības likuma 17.panta </w:t>
            </w:r>
            <w:r w:rsidR="00FA386E" w:rsidRPr="00FA386E">
              <w:rPr>
                <w:sz w:val="28"/>
                <w:szCs w:val="28"/>
              </w:rPr>
              <w:t>trešās daļas</w:t>
            </w:r>
            <w:r w:rsidR="005479FC" w:rsidRPr="00FA386E">
              <w:rPr>
                <w:sz w:val="28"/>
                <w:szCs w:val="28"/>
              </w:rPr>
              <w:t xml:space="preserve"> 21.punktā noteiktajai kompetencei pašvaldības nosaka pabalstu un cit</w:t>
            </w:r>
            <w:r w:rsidR="00FA386E" w:rsidRPr="00FA386E">
              <w:rPr>
                <w:sz w:val="28"/>
                <w:szCs w:val="28"/>
              </w:rPr>
              <w:t>a</w:t>
            </w:r>
            <w:r w:rsidR="005479FC" w:rsidRPr="00FA386E">
              <w:rPr>
                <w:sz w:val="28"/>
                <w:szCs w:val="28"/>
              </w:rPr>
              <w:t xml:space="preserve"> veid</w:t>
            </w:r>
            <w:r w:rsidR="00FA386E" w:rsidRPr="00FA386E">
              <w:rPr>
                <w:sz w:val="28"/>
                <w:szCs w:val="28"/>
              </w:rPr>
              <w:t>a</w:t>
            </w:r>
            <w:r w:rsidR="005479FC" w:rsidRPr="00FA386E">
              <w:rPr>
                <w:sz w:val="28"/>
                <w:szCs w:val="28"/>
              </w:rPr>
              <w:t xml:space="preserve"> materiālās palīdzības apmēru (t.sk. brīvpusdienas) un piešķiršanas kārtību izglītojamajiem tās padotībā esošās izglītības iestādēs.</w:t>
            </w:r>
            <w:r w:rsidR="002E01C8" w:rsidRPr="00FA386E">
              <w:rPr>
                <w:sz w:val="28"/>
                <w:szCs w:val="28"/>
              </w:rPr>
              <w:t xml:space="preserve"> </w:t>
            </w:r>
            <w:r w:rsidRPr="00FA386E">
              <w:rPr>
                <w:sz w:val="28"/>
                <w:szCs w:val="28"/>
              </w:rPr>
              <w:t xml:space="preserve">Šobrīd Demogrāfijas lietu padome plāno skatīt jautājumu par </w:t>
            </w:r>
            <w:r w:rsidR="00202A8A" w:rsidRPr="00FA386E">
              <w:rPr>
                <w:sz w:val="28"/>
                <w:szCs w:val="28"/>
              </w:rPr>
              <w:t xml:space="preserve">nepieciešamību nodrošināt </w:t>
            </w:r>
            <w:r w:rsidR="003800FA" w:rsidRPr="00FA386E">
              <w:rPr>
                <w:sz w:val="28"/>
                <w:szCs w:val="28"/>
              </w:rPr>
              <w:t>bezmaksas pusdien</w:t>
            </w:r>
            <w:r w:rsidR="00202A8A" w:rsidRPr="00FA386E">
              <w:rPr>
                <w:sz w:val="28"/>
                <w:szCs w:val="28"/>
              </w:rPr>
              <w:t>as</w:t>
            </w:r>
            <w:r w:rsidR="003800FA" w:rsidRPr="00FA386E">
              <w:rPr>
                <w:sz w:val="28"/>
                <w:szCs w:val="28"/>
              </w:rPr>
              <w:t xml:space="preserve"> visiem skolēniem līdz</w:t>
            </w:r>
            <w:r w:rsidR="003800FA">
              <w:rPr>
                <w:sz w:val="28"/>
                <w:szCs w:val="28"/>
              </w:rPr>
              <w:t xml:space="preserve"> 9.klasei ieskaitot, vai arī ieskaitot vidusskolas klases</w:t>
            </w:r>
            <w:r w:rsidRPr="005773C3">
              <w:rPr>
                <w:sz w:val="28"/>
                <w:szCs w:val="28"/>
              </w:rPr>
              <w:t xml:space="preserve">. Pēc valdības lēmuma par papildus finansējuma piešķiršanu tiks pilnveidoti Ministru kabineta noteikumi, lai tie pēc iespējas pilnīgāk atbilstu </w:t>
            </w:r>
            <w:r w:rsidRPr="000C20BE">
              <w:rPr>
                <w:sz w:val="28"/>
                <w:szCs w:val="28"/>
              </w:rPr>
              <w:t>Bērnu tiesību aizsardzības likuma 61.panta 7.punktā ietvertajam pilnvarojumam.</w:t>
            </w:r>
            <w:r w:rsidR="003800FA">
              <w:rPr>
                <w:sz w:val="28"/>
                <w:szCs w:val="28"/>
              </w:rPr>
              <w:t xml:space="preserve"> </w:t>
            </w:r>
          </w:p>
          <w:p w14:paraId="5490DB81" w14:textId="77777777" w:rsidR="007C0EF2" w:rsidRPr="00B63B0A" w:rsidRDefault="007C0EF2" w:rsidP="002B0C89">
            <w:pPr>
              <w:pStyle w:val="naiskr"/>
              <w:spacing w:before="0" w:after="0"/>
              <w:ind w:left="502" w:right="222"/>
              <w:jc w:val="both"/>
              <w:rPr>
                <w:sz w:val="28"/>
                <w:szCs w:val="28"/>
              </w:rPr>
            </w:pPr>
          </w:p>
        </w:tc>
      </w:tr>
      <w:tr w:rsidR="00262E2B" w:rsidRPr="004703B5" w14:paraId="2BF1EBF1" w14:textId="77777777" w:rsidTr="006F1998">
        <w:trPr>
          <w:trHeight w:val="1071"/>
        </w:trPr>
        <w:tc>
          <w:tcPr>
            <w:tcW w:w="1267" w:type="dxa"/>
          </w:tcPr>
          <w:p w14:paraId="790C000A" w14:textId="77777777" w:rsidR="00262E2B" w:rsidRPr="004703B5" w:rsidRDefault="00262E2B" w:rsidP="004703B5">
            <w:pPr>
              <w:pStyle w:val="naiskr"/>
              <w:spacing w:before="0" w:after="0"/>
              <w:jc w:val="center"/>
              <w:rPr>
                <w:sz w:val="28"/>
                <w:szCs w:val="28"/>
              </w:rPr>
            </w:pPr>
            <w:r w:rsidRPr="004703B5">
              <w:rPr>
                <w:sz w:val="28"/>
                <w:szCs w:val="28"/>
              </w:rPr>
              <w:lastRenderedPageBreak/>
              <w:t>3.</w:t>
            </w:r>
          </w:p>
        </w:tc>
        <w:tc>
          <w:tcPr>
            <w:tcW w:w="2574" w:type="dxa"/>
          </w:tcPr>
          <w:p w14:paraId="5C6A87DA" w14:textId="77777777" w:rsidR="00262E2B" w:rsidRPr="004703B5" w:rsidRDefault="009E7A57" w:rsidP="006C4607">
            <w:pPr>
              <w:pStyle w:val="naiskr"/>
              <w:spacing w:before="0" w:after="0"/>
              <w:rPr>
                <w:sz w:val="28"/>
                <w:szCs w:val="28"/>
              </w:rPr>
            </w:pPr>
            <w:r w:rsidRPr="004703B5">
              <w:rPr>
                <w:sz w:val="28"/>
                <w:szCs w:val="28"/>
              </w:rPr>
              <w:t>Projekta izstrādē iesaistītās institūcijas</w:t>
            </w:r>
          </w:p>
        </w:tc>
        <w:tc>
          <w:tcPr>
            <w:tcW w:w="6095" w:type="dxa"/>
          </w:tcPr>
          <w:p w14:paraId="7DEA98B9" w14:textId="77777777" w:rsidR="00D20FF4" w:rsidRPr="00B63B0A" w:rsidRDefault="009E7A57" w:rsidP="007E5744">
            <w:pPr>
              <w:pStyle w:val="FootnoteText"/>
              <w:ind w:left="142" w:right="222"/>
              <w:rPr>
                <w:sz w:val="28"/>
                <w:szCs w:val="28"/>
              </w:rPr>
            </w:pPr>
            <w:r w:rsidRPr="00B63B0A">
              <w:rPr>
                <w:sz w:val="28"/>
                <w:szCs w:val="28"/>
              </w:rPr>
              <w:t>Izglītības un zinātnes ministrija un Veselības ministrija.</w:t>
            </w:r>
          </w:p>
        </w:tc>
      </w:tr>
      <w:tr w:rsidR="00262E2B" w:rsidRPr="004703B5" w14:paraId="355C9AA2" w14:textId="77777777" w:rsidTr="006F1998">
        <w:trPr>
          <w:trHeight w:val="384"/>
        </w:trPr>
        <w:tc>
          <w:tcPr>
            <w:tcW w:w="1267" w:type="dxa"/>
          </w:tcPr>
          <w:p w14:paraId="7AF54467" w14:textId="77777777" w:rsidR="00262E2B" w:rsidRPr="004703B5" w:rsidRDefault="00262E2B" w:rsidP="004703B5">
            <w:pPr>
              <w:pStyle w:val="naiskr"/>
              <w:spacing w:before="0" w:after="0"/>
              <w:jc w:val="center"/>
              <w:rPr>
                <w:sz w:val="28"/>
                <w:szCs w:val="28"/>
              </w:rPr>
            </w:pPr>
            <w:r w:rsidRPr="004703B5">
              <w:rPr>
                <w:sz w:val="28"/>
                <w:szCs w:val="28"/>
              </w:rPr>
              <w:t>4.</w:t>
            </w:r>
          </w:p>
        </w:tc>
        <w:tc>
          <w:tcPr>
            <w:tcW w:w="2574" w:type="dxa"/>
          </w:tcPr>
          <w:p w14:paraId="2E4E2B0A" w14:textId="77777777" w:rsidR="00B214E7" w:rsidRPr="004703B5" w:rsidRDefault="009E7A57" w:rsidP="009E7A57">
            <w:pPr>
              <w:pStyle w:val="naiskr"/>
              <w:spacing w:before="0" w:after="0"/>
              <w:rPr>
                <w:sz w:val="28"/>
                <w:szCs w:val="28"/>
              </w:rPr>
            </w:pPr>
            <w:r w:rsidRPr="004703B5">
              <w:rPr>
                <w:sz w:val="28"/>
                <w:szCs w:val="28"/>
              </w:rPr>
              <w:t>Cita informācija</w:t>
            </w:r>
          </w:p>
        </w:tc>
        <w:tc>
          <w:tcPr>
            <w:tcW w:w="6095" w:type="dxa"/>
          </w:tcPr>
          <w:p w14:paraId="07D5EFC9" w14:textId="77777777" w:rsidR="00ED0560" w:rsidRPr="00B63B0A" w:rsidRDefault="009E7A57" w:rsidP="007478B4">
            <w:pPr>
              <w:pStyle w:val="FootnoteText"/>
              <w:ind w:left="142" w:right="222"/>
              <w:rPr>
                <w:sz w:val="28"/>
                <w:szCs w:val="28"/>
              </w:rPr>
            </w:pPr>
            <w:r>
              <w:rPr>
                <w:sz w:val="28"/>
                <w:szCs w:val="28"/>
              </w:rPr>
              <w:t>Nav.</w:t>
            </w:r>
          </w:p>
        </w:tc>
      </w:tr>
    </w:tbl>
    <w:p w14:paraId="3CA4FD90" w14:textId="77777777" w:rsidR="00156CDB" w:rsidRPr="00C06DA0" w:rsidRDefault="00156CDB" w:rsidP="006F1998">
      <w:pPr>
        <w:pStyle w:val="naisf"/>
        <w:spacing w:before="0" w:after="0"/>
        <w:ind w:firstLine="0"/>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552"/>
        <w:gridCol w:w="6814"/>
      </w:tblGrid>
      <w:tr w:rsidR="0062298A" w:rsidRPr="004703B5" w14:paraId="3FBB41AE" w14:textId="77777777" w:rsidTr="00DC18F1">
        <w:tc>
          <w:tcPr>
            <w:tcW w:w="9928" w:type="dxa"/>
            <w:gridSpan w:val="3"/>
            <w:vAlign w:val="center"/>
          </w:tcPr>
          <w:p w14:paraId="20A04672" w14:textId="77777777" w:rsidR="0062298A" w:rsidRPr="004703B5" w:rsidRDefault="0062298A" w:rsidP="006C4607">
            <w:pPr>
              <w:pStyle w:val="naisnod"/>
              <w:spacing w:before="0" w:after="0"/>
              <w:rPr>
                <w:sz w:val="28"/>
                <w:szCs w:val="28"/>
              </w:rPr>
            </w:pPr>
            <w:r w:rsidRPr="004703B5">
              <w:rPr>
                <w:sz w:val="28"/>
                <w:szCs w:val="28"/>
              </w:rPr>
              <w:t>II</w:t>
            </w:r>
            <w:r w:rsidR="000941C5" w:rsidRPr="004703B5">
              <w:rPr>
                <w:sz w:val="28"/>
                <w:szCs w:val="28"/>
              </w:rPr>
              <w:t>.</w:t>
            </w:r>
            <w:r w:rsidRPr="004703B5">
              <w:rPr>
                <w:sz w:val="28"/>
                <w:szCs w:val="28"/>
              </w:rPr>
              <w:t xml:space="preserve"> </w:t>
            </w:r>
            <w:r w:rsidR="004B2790">
              <w:rPr>
                <w:rFonts w:ascii="Arial" w:hAnsi="Arial" w:cs="Arial"/>
                <w:b w:val="0"/>
                <w:bCs w:val="0"/>
                <w:color w:val="414142"/>
                <w:sz w:val="20"/>
                <w:szCs w:val="20"/>
              </w:rPr>
              <w:t xml:space="preserve"> </w:t>
            </w:r>
            <w:r w:rsidR="004B2790" w:rsidRPr="004B2790">
              <w:rPr>
                <w:sz w:val="28"/>
                <w:szCs w:val="28"/>
              </w:rPr>
              <w:t>Tiesību akta projekta ietekme uz sabiedrību, tautsaimniecības attīstību un administratīvo slogu</w:t>
            </w:r>
          </w:p>
        </w:tc>
      </w:tr>
      <w:tr w:rsidR="0062298A" w:rsidRPr="004703B5" w14:paraId="643AFFF9" w14:textId="77777777" w:rsidTr="00056307">
        <w:trPr>
          <w:trHeight w:val="467"/>
        </w:trPr>
        <w:tc>
          <w:tcPr>
            <w:tcW w:w="562" w:type="dxa"/>
          </w:tcPr>
          <w:p w14:paraId="0DD387E1" w14:textId="77777777" w:rsidR="0062298A" w:rsidRPr="004703B5" w:rsidRDefault="0062298A" w:rsidP="004703B5">
            <w:pPr>
              <w:pStyle w:val="naiskr"/>
              <w:spacing w:before="0" w:after="0"/>
              <w:jc w:val="center"/>
              <w:rPr>
                <w:sz w:val="28"/>
                <w:szCs w:val="28"/>
              </w:rPr>
            </w:pPr>
            <w:r w:rsidRPr="004703B5">
              <w:rPr>
                <w:sz w:val="28"/>
                <w:szCs w:val="28"/>
              </w:rPr>
              <w:t>1.</w:t>
            </w:r>
          </w:p>
        </w:tc>
        <w:tc>
          <w:tcPr>
            <w:tcW w:w="2552" w:type="dxa"/>
          </w:tcPr>
          <w:p w14:paraId="07108A26" w14:textId="77777777" w:rsidR="0062298A" w:rsidRPr="004703B5" w:rsidRDefault="004B2790" w:rsidP="004B2790">
            <w:pPr>
              <w:pStyle w:val="CommentText"/>
              <w:ind w:left="152" w:right="284"/>
              <w:jc w:val="both"/>
              <w:rPr>
                <w:sz w:val="28"/>
                <w:szCs w:val="28"/>
              </w:rPr>
            </w:pPr>
            <w:r w:rsidRPr="004B2790">
              <w:rPr>
                <w:sz w:val="28"/>
                <w:szCs w:val="28"/>
              </w:rPr>
              <w:t xml:space="preserve">Sabiedrības </w:t>
            </w:r>
            <w:proofErr w:type="spellStart"/>
            <w:r w:rsidRPr="004B2790">
              <w:rPr>
                <w:sz w:val="28"/>
                <w:szCs w:val="28"/>
              </w:rPr>
              <w:t>mērķgrupas</w:t>
            </w:r>
            <w:proofErr w:type="spellEnd"/>
            <w:r w:rsidRPr="004B2790">
              <w:rPr>
                <w:sz w:val="28"/>
                <w:szCs w:val="28"/>
              </w:rPr>
              <w:t>, kuras tiesiskais regulējums ietekmē vai varētu ietekmēt</w:t>
            </w:r>
          </w:p>
        </w:tc>
        <w:tc>
          <w:tcPr>
            <w:tcW w:w="6814" w:type="dxa"/>
            <w:shd w:val="clear" w:color="auto" w:fill="auto"/>
          </w:tcPr>
          <w:p w14:paraId="20908B41" w14:textId="77777777" w:rsidR="0087662B" w:rsidRPr="004703B5" w:rsidRDefault="00EF1826" w:rsidP="00132E75">
            <w:pPr>
              <w:pStyle w:val="CommentText"/>
              <w:ind w:left="152" w:right="284"/>
              <w:jc w:val="both"/>
              <w:rPr>
                <w:sz w:val="28"/>
                <w:szCs w:val="28"/>
              </w:rPr>
            </w:pPr>
            <w:r w:rsidRPr="00056307">
              <w:rPr>
                <w:sz w:val="28"/>
                <w:szCs w:val="28"/>
              </w:rPr>
              <w:t xml:space="preserve">Pēc </w:t>
            </w:r>
            <w:r w:rsidR="008E334C" w:rsidRPr="00056307">
              <w:rPr>
                <w:sz w:val="28"/>
                <w:szCs w:val="28"/>
              </w:rPr>
              <w:t xml:space="preserve">Centrālās statistikas pārvaldes un </w:t>
            </w:r>
            <w:r w:rsidRPr="00056307">
              <w:rPr>
                <w:sz w:val="28"/>
                <w:szCs w:val="28"/>
              </w:rPr>
              <w:t>Valsts izglītības informācijas sistēmas datiem</w:t>
            </w:r>
            <w:r w:rsidR="008E334C" w:rsidRPr="00056307">
              <w:rPr>
                <w:sz w:val="28"/>
                <w:szCs w:val="28"/>
              </w:rPr>
              <w:t xml:space="preserve"> </w:t>
            </w:r>
            <w:r w:rsidRPr="00056307">
              <w:rPr>
                <w:sz w:val="28"/>
                <w:szCs w:val="28"/>
              </w:rPr>
              <w:t xml:space="preserve">2014./2015.mācību gadā </w:t>
            </w:r>
            <w:r w:rsidR="00D962A5" w:rsidRPr="00056307">
              <w:rPr>
                <w:sz w:val="28"/>
                <w:szCs w:val="28"/>
              </w:rPr>
              <w:t xml:space="preserve">1., 2. un </w:t>
            </w:r>
            <w:r w:rsidRPr="00056307">
              <w:rPr>
                <w:sz w:val="28"/>
                <w:szCs w:val="28"/>
              </w:rPr>
              <w:t xml:space="preserve">3.klasē vispārējās pamatizglītības un vispārējās vidējās izglītības iestādēs mācīsies </w:t>
            </w:r>
            <w:r w:rsidR="00D962A5" w:rsidRPr="00056307">
              <w:rPr>
                <w:sz w:val="28"/>
                <w:szCs w:val="28"/>
              </w:rPr>
              <w:t>61 212</w:t>
            </w:r>
            <w:r w:rsidRPr="00056307">
              <w:rPr>
                <w:sz w:val="28"/>
                <w:szCs w:val="28"/>
              </w:rPr>
              <w:t xml:space="preserve"> izglītojamie</w:t>
            </w:r>
            <w:r w:rsidR="00A26DBF" w:rsidRPr="00056307">
              <w:rPr>
                <w:sz w:val="28"/>
                <w:szCs w:val="28"/>
              </w:rPr>
              <w:t>,</w:t>
            </w:r>
            <w:r w:rsidRPr="00056307">
              <w:rPr>
                <w:sz w:val="28"/>
                <w:szCs w:val="28"/>
              </w:rPr>
              <w:t xml:space="preserve"> 2015./2016.mācību gadā </w:t>
            </w:r>
            <w:r w:rsidR="00A26DBF" w:rsidRPr="00056307">
              <w:rPr>
                <w:sz w:val="28"/>
                <w:szCs w:val="28"/>
              </w:rPr>
              <w:t xml:space="preserve">- </w:t>
            </w:r>
            <w:r w:rsidR="00D962A5" w:rsidRPr="00056307">
              <w:rPr>
                <w:sz w:val="28"/>
                <w:szCs w:val="28"/>
              </w:rPr>
              <w:t>64 938</w:t>
            </w:r>
            <w:r w:rsidRPr="00056307">
              <w:rPr>
                <w:sz w:val="28"/>
                <w:szCs w:val="28"/>
              </w:rPr>
              <w:t xml:space="preserve"> izglītojamie</w:t>
            </w:r>
            <w:r w:rsidR="00132E75">
              <w:rPr>
                <w:sz w:val="28"/>
                <w:szCs w:val="28"/>
              </w:rPr>
              <w:t xml:space="preserve">, 2016./2017.mācību gadā </w:t>
            </w:r>
            <w:r w:rsidR="00132E75" w:rsidRPr="00056307">
              <w:rPr>
                <w:sz w:val="28"/>
                <w:szCs w:val="28"/>
              </w:rPr>
              <w:t>-</w:t>
            </w:r>
            <w:r w:rsidR="00132E75">
              <w:rPr>
                <w:sz w:val="28"/>
                <w:szCs w:val="28"/>
              </w:rPr>
              <w:t xml:space="preserve"> 65 630 izglītojamie</w:t>
            </w:r>
            <w:r w:rsidR="00056307">
              <w:rPr>
                <w:sz w:val="28"/>
                <w:szCs w:val="28"/>
              </w:rPr>
              <w:t xml:space="preserve"> un 2017./</w:t>
            </w:r>
            <w:r w:rsidR="00A26DBF" w:rsidRPr="00056307">
              <w:rPr>
                <w:sz w:val="28"/>
                <w:szCs w:val="28"/>
              </w:rPr>
              <w:t xml:space="preserve">2018.mācību gadā </w:t>
            </w:r>
            <w:r w:rsidR="005720AD">
              <w:rPr>
                <w:sz w:val="28"/>
                <w:szCs w:val="28"/>
              </w:rPr>
              <w:t>-</w:t>
            </w:r>
            <w:r w:rsidR="00A26DBF" w:rsidRPr="00056307">
              <w:rPr>
                <w:sz w:val="28"/>
                <w:szCs w:val="28"/>
              </w:rPr>
              <w:t xml:space="preserve"> 6</w:t>
            </w:r>
            <w:r w:rsidR="00132E75">
              <w:rPr>
                <w:sz w:val="28"/>
                <w:szCs w:val="28"/>
              </w:rPr>
              <w:t>2</w:t>
            </w:r>
            <w:r w:rsidR="00A26DBF" w:rsidRPr="00056307">
              <w:rPr>
                <w:sz w:val="28"/>
                <w:szCs w:val="28"/>
              </w:rPr>
              <w:t> </w:t>
            </w:r>
            <w:r w:rsidR="00132E75">
              <w:rPr>
                <w:sz w:val="28"/>
                <w:szCs w:val="28"/>
              </w:rPr>
              <w:t>814</w:t>
            </w:r>
            <w:r w:rsidR="00A26DBF" w:rsidRPr="00056307">
              <w:rPr>
                <w:sz w:val="28"/>
                <w:szCs w:val="28"/>
              </w:rPr>
              <w:t xml:space="preserve"> izglītojamie</w:t>
            </w:r>
            <w:r w:rsidRPr="00056307">
              <w:rPr>
                <w:sz w:val="28"/>
                <w:szCs w:val="28"/>
              </w:rPr>
              <w:t>.</w:t>
            </w:r>
            <w:r w:rsidR="00B500CC">
              <w:rPr>
                <w:sz w:val="28"/>
                <w:szCs w:val="28"/>
              </w:rPr>
              <w:t xml:space="preserve"> Pašvaldību iestāžu darbinieki.</w:t>
            </w:r>
          </w:p>
        </w:tc>
      </w:tr>
      <w:tr w:rsidR="0062298A" w:rsidRPr="004703B5" w14:paraId="5E9DECB3" w14:textId="77777777" w:rsidTr="00DC18F1">
        <w:trPr>
          <w:trHeight w:val="523"/>
        </w:trPr>
        <w:tc>
          <w:tcPr>
            <w:tcW w:w="562" w:type="dxa"/>
          </w:tcPr>
          <w:p w14:paraId="467AD89C" w14:textId="77777777" w:rsidR="0062298A" w:rsidRPr="004703B5" w:rsidRDefault="0062298A" w:rsidP="004703B5">
            <w:pPr>
              <w:pStyle w:val="naiskr"/>
              <w:spacing w:before="0" w:after="0"/>
              <w:jc w:val="center"/>
              <w:rPr>
                <w:sz w:val="28"/>
                <w:szCs w:val="28"/>
              </w:rPr>
            </w:pPr>
            <w:r w:rsidRPr="004703B5">
              <w:rPr>
                <w:sz w:val="28"/>
                <w:szCs w:val="28"/>
              </w:rPr>
              <w:t>2.</w:t>
            </w:r>
          </w:p>
        </w:tc>
        <w:tc>
          <w:tcPr>
            <w:tcW w:w="2552" w:type="dxa"/>
          </w:tcPr>
          <w:p w14:paraId="71D4BAC0" w14:textId="77777777" w:rsidR="00C1133D" w:rsidRPr="004703B5" w:rsidRDefault="004B2790" w:rsidP="006C4607">
            <w:pPr>
              <w:pStyle w:val="naiskr"/>
              <w:spacing w:before="0" w:after="0"/>
              <w:rPr>
                <w:sz w:val="28"/>
                <w:szCs w:val="28"/>
              </w:rPr>
            </w:pPr>
            <w:r w:rsidRPr="00D83656">
              <w:rPr>
                <w:sz w:val="28"/>
                <w:szCs w:val="28"/>
              </w:rPr>
              <w:t>Tiesiskā regulējuma ietekme uz tautsaimniecību un administratīvo slogu</w:t>
            </w:r>
          </w:p>
        </w:tc>
        <w:tc>
          <w:tcPr>
            <w:tcW w:w="6814" w:type="dxa"/>
          </w:tcPr>
          <w:p w14:paraId="090D4F0A" w14:textId="0E7A4A10" w:rsidR="00411E64" w:rsidRPr="00FB600B" w:rsidRDefault="00B500CC" w:rsidP="007A72F5">
            <w:pPr>
              <w:tabs>
                <w:tab w:val="left" w:pos="1335"/>
              </w:tabs>
            </w:pPr>
            <w:r>
              <w:rPr>
                <w:sz w:val="28"/>
                <w:szCs w:val="28"/>
              </w:rPr>
              <w:t>Tiesiskais regulējums samazina administratīvo slogu</w:t>
            </w:r>
            <w:r w:rsidR="00DB1B16">
              <w:rPr>
                <w:sz w:val="28"/>
                <w:szCs w:val="28"/>
              </w:rPr>
              <w:t xml:space="preserve"> pašvaldībām</w:t>
            </w:r>
            <w:r w:rsidR="00184EAD">
              <w:t>.</w:t>
            </w:r>
          </w:p>
        </w:tc>
      </w:tr>
      <w:tr w:rsidR="0062298A" w:rsidRPr="004703B5" w14:paraId="1F9F57E7" w14:textId="77777777" w:rsidTr="00DC18F1">
        <w:trPr>
          <w:trHeight w:val="517"/>
        </w:trPr>
        <w:tc>
          <w:tcPr>
            <w:tcW w:w="562" w:type="dxa"/>
          </w:tcPr>
          <w:p w14:paraId="6B8E8676" w14:textId="77777777" w:rsidR="0062298A" w:rsidRPr="004703B5" w:rsidRDefault="0062298A" w:rsidP="004703B5">
            <w:pPr>
              <w:pStyle w:val="naiskr"/>
              <w:spacing w:before="0" w:after="0"/>
              <w:jc w:val="center"/>
              <w:rPr>
                <w:sz w:val="28"/>
                <w:szCs w:val="28"/>
              </w:rPr>
            </w:pPr>
            <w:r w:rsidRPr="004703B5">
              <w:rPr>
                <w:sz w:val="28"/>
                <w:szCs w:val="28"/>
              </w:rPr>
              <w:lastRenderedPageBreak/>
              <w:t>3.</w:t>
            </w:r>
          </w:p>
        </w:tc>
        <w:tc>
          <w:tcPr>
            <w:tcW w:w="2552" w:type="dxa"/>
          </w:tcPr>
          <w:p w14:paraId="55C94B3C" w14:textId="77777777" w:rsidR="00C1133D" w:rsidRPr="004703B5" w:rsidRDefault="004B2790" w:rsidP="006C4607">
            <w:pPr>
              <w:pStyle w:val="naiskr"/>
              <w:spacing w:before="0" w:after="0"/>
              <w:rPr>
                <w:sz w:val="28"/>
                <w:szCs w:val="28"/>
              </w:rPr>
            </w:pPr>
            <w:r w:rsidRPr="00D83656">
              <w:rPr>
                <w:sz w:val="28"/>
                <w:szCs w:val="28"/>
              </w:rPr>
              <w:t>Administratīvo izmaksu monetārs novērtējums</w:t>
            </w:r>
          </w:p>
        </w:tc>
        <w:tc>
          <w:tcPr>
            <w:tcW w:w="6814" w:type="dxa"/>
          </w:tcPr>
          <w:p w14:paraId="26582C11" w14:textId="77777777" w:rsidR="00AF151D" w:rsidRPr="004703B5" w:rsidRDefault="00B24DB7" w:rsidP="005720AD">
            <w:pPr>
              <w:pStyle w:val="CommentText"/>
              <w:ind w:left="152" w:right="284"/>
              <w:jc w:val="both"/>
              <w:rPr>
                <w:sz w:val="28"/>
                <w:szCs w:val="28"/>
              </w:rPr>
            </w:pPr>
            <w:r w:rsidRPr="00056307">
              <w:rPr>
                <w:sz w:val="28"/>
                <w:szCs w:val="28"/>
              </w:rPr>
              <w:t>Noteikumu projekts šo jomu neskar.</w:t>
            </w:r>
          </w:p>
        </w:tc>
      </w:tr>
      <w:tr w:rsidR="00C27A08" w:rsidRPr="005720AD" w14:paraId="35915D26" w14:textId="77777777" w:rsidTr="00F47B23">
        <w:trPr>
          <w:trHeight w:val="517"/>
        </w:trPr>
        <w:tc>
          <w:tcPr>
            <w:tcW w:w="562" w:type="dxa"/>
          </w:tcPr>
          <w:p w14:paraId="3EFBF696" w14:textId="77777777" w:rsidR="00C27A08" w:rsidRPr="004703B5" w:rsidRDefault="00C27A08" w:rsidP="005720AD">
            <w:pPr>
              <w:pStyle w:val="naisf"/>
              <w:tabs>
                <w:tab w:val="left" w:pos="4644"/>
              </w:tabs>
              <w:spacing w:before="0" w:after="0"/>
              <w:ind w:firstLine="0"/>
              <w:rPr>
                <w:sz w:val="28"/>
                <w:szCs w:val="28"/>
              </w:rPr>
            </w:pPr>
            <w:r w:rsidRPr="004703B5">
              <w:rPr>
                <w:sz w:val="28"/>
                <w:szCs w:val="28"/>
              </w:rPr>
              <w:t>4.</w:t>
            </w:r>
          </w:p>
        </w:tc>
        <w:tc>
          <w:tcPr>
            <w:tcW w:w="2552" w:type="dxa"/>
          </w:tcPr>
          <w:p w14:paraId="632F9EC6" w14:textId="77777777" w:rsidR="00C27A08" w:rsidRPr="004703B5" w:rsidRDefault="00D83656" w:rsidP="005720AD">
            <w:pPr>
              <w:pStyle w:val="naisf"/>
              <w:tabs>
                <w:tab w:val="left" w:pos="4644"/>
              </w:tabs>
              <w:spacing w:before="0" w:after="0"/>
              <w:ind w:firstLine="0"/>
              <w:rPr>
                <w:sz w:val="28"/>
                <w:szCs w:val="28"/>
              </w:rPr>
            </w:pPr>
            <w:r w:rsidRPr="004703B5">
              <w:rPr>
                <w:sz w:val="28"/>
                <w:szCs w:val="28"/>
              </w:rPr>
              <w:t>Cita informācija</w:t>
            </w:r>
          </w:p>
        </w:tc>
        <w:tc>
          <w:tcPr>
            <w:tcW w:w="6814" w:type="dxa"/>
            <w:shd w:val="clear" w:color="auto" w:fill="auto"/>
          </w:tcPr>
          <w:p w14:paraId="34EAFA4E" w14:textId="77777777" w:rsidR="00DC18F1" w:rsidRPr="004703B5" w:rsidRDefault="00F05EBB" w:rsidP="006A6313">
            <w:pPr>
              <w:pStyle w:val="CommentText"/>
              <w:ind w:left="152" w:right="284"/>
              <w:jc w:val="both"/>
              <w:rPr>
                <w:sz w:val="28"/>
                <w:szCs w:val="28"/>
              </w:rPr>
            </w:pPr>
            <w:r w:rsidRPr="005720AD">
              <w:rPr>
                <w:sz w:val="28"/>
                <w:szCs w:val="28"/>
              </w:rPr>
              <w:t>Tiks palielināts sniegtā atbalsts apmērs ģimenēm, kurās bērni apmeklē 1., 2. un 3.klasi.</w:t>
            </w:r>
          </w:p>
        </w:tc>
      </w:tr>
    </w:tbl>
    <w:p w14:paraId="24AF5A57" w14:textId="77777777" w:rsidR="008C5649" w:rsidRPr="005720AD" w:rsidRDefault="008C5649" w:rsidP="005720AD">
      <w:pPr>
        <w:pStyle w:val="naisf"/>
        <w:tabs>
          <w:tab w:val="left" w:pos="4644"/>
        </w:tabs>
        <w:spacing w:before="0" w:after="0"/>
        <w:ind w:firstLine="0"/>
        <w:rPr>
          <w:sz w:val="28"/>
          <w:szCs w:val="28"/>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720"/>
        <w:gridCol w:w="1826"/>
        <w:gridCol w:w="1737"/>
        <w:gridCol w:w="1701"/>
        <w:gridCol w:w="1523"/>
      </w:tblGrid>
      <w:tr w:rsidR="002C1869" w:rsidRPr="004703B5" w14:paraId="31FE431E" w14:textId="77777777" w:rsidTr="003C33F4">
        <w:trPr>
          <w:trHeight w:val="410"/>
          <w:jc w:val="center"/>
        </w:trPr>
        <w:tc>
          <w:tcPr>
            <w:tcW w:w="10419" w:type="dxa"/>
            <w:gridSpan w:val="6"/>
          </w:tcPr>
          <w:p w14:paraId="762985C8" w14:textId="77777777" w:rsidR="002C1869" w:rsidRPr="004703B5" w:rsidRDefault="002C1869" w:rsidP="00AB4263">
            <w:pPr>
              <w:pStyle w:val="naisnod"/>
              <w:spacing w:before="0" w:after="0"/>
              <w:rPr>
                <w:i/>
                <w:sz w:val="28"/>
                <w:szCs w:val="28"/>
              </w:rPr>
            </w:pPr>
            <w:r w:rsidRPr="004703B5">
              <w:rPr>
                <w:sz w:val="28"/>
                <w:szCs w:val="28"/>
              </w:rPr>
              <w:br w:type="page"/>
              <w:t>III. Tiesību akta projekta ietekme uz valsts budžetu un pašvaldību budžetiem</w:t>
            </w:r>
          </w:p>
        </w:tc>
      </w:tr>
      <w:tr w:rsidR="002C1869" w:rsidRPr="004703B5" w14:paraId="38E6CF4E" w14:textId="77777777" w:rsidTr="003C33F4">
        <w:trPr>
          <w:jc w:val="center"/>
        </w:trPr>
        <w:tc>
          <w:tcPr>
            <w:tcW w:w="1912" w:type="dxa"/>
            <w:vMerge w:val="restart"/>
            <w:vAlign w:val="center"/>
          </w:tcPr>
          <w:p w14:paraId="02619A50" w14:textId="77777777" w:rsidR="002C1869" w:rsidRPr="004703B5" w:rsidRDefault="002C1869" w:rsidP="00AB4263">
            <w:pPr>
              <w:pStyle w:val="naisf"/>
              <w:spacing w:before="0" w:after="0"/>
              <w:ind w:firstLine="0"/>
              <w:jc w:val="center"/>
              <w:rPr>
                <w:b/>
                <w:sz w:val="28"/>
                <w:szCs w:val="28"/>
              </w:rPr>
            </w:pPr>
            <w:r w:rsidRPr="004703B5">
              <w:rPr>
                <w:b/>
                <w:sz w:val="28"/>
                <w:szCs w:val="28"/>
              </w:rPr>
              <w:t>Rādītāji</w:t>
            </w:r>
          </w:p>
        </w:tc>
        <w:tc>
          <w:tcPr>
            <w:tcW w:w="3546" w:type="dxa"/>
            <w:gridSpan w:val="2"/>
            <w:vMerge w:val="restart"/>
            <w:vAlign w:val="center"/>
          </w:tcPr>
          <w:p w14:paraId="75699C51" w14:textId="77777777" w:rsidR="002C1869" w:rsidRPr="004703B5" w:rsidRDefault="0048001A" w:rsidP="00D83656">
            <w:pPr>
              <w:pStyle w:val="naisf"/>
              <w:spacing w:before="0" w:after="0"/>
              <w:ind w:firstLine="0"/>
              <w:jc w:val="center"/>
              <w:rPr>
                <w:b/>
                <w:sz w:val="28"/>
                <w:szCs w:val="28"/>
              </w:rPr>
            </w:pPr>
            <w:r w:rsidRPr="004703B5">
              <w:rPr>
                <w:b/>
                <w:sz w:val="28"/>
                <w:szCs w:val="28"/>
              </w:rPr>
              <w:t>2014.</w:t>
            </w:r>
            <w:r w:rsidR="002C1869" w:rsidRPr="004703B5">
              <w:rPr>
                <w:b/>
                <w:sz w:val="28"/>
                <w:szCs w:val="28"/>
              </w:rPr>
              <w:t xml:space="preserve"> gads</w:t>
            </w:r>
            <w:r w:rsidR="00800FEE" w:rsidRPr="004703B5">
              <w:rPr>
                <w:b/>
                <w:sz w:val="28"/>
                <w:szCs w:val="28"/>
              </w:rPr>
              <w:t xml:space="preserve"> </w:t>
            </w:r>
          </w:p>
        </w:tc>
        <w:tc>
          <w:tcPr>
            <w:tcW w:w="4961" w:type="dxa"/>
            <w:gridSpan w:val="3"/>
            <w:vAlign w:val="center"/>
          </w:tcPr>
          <w:p w14:paraId="6F9EC48A" w14:textId="77777777" w:rsidR="002C1869" w:rsidRPr="004703B5" w:rsidRDefault="002C1869" w:rsidP="00D83656">
            <w:pPr>
              <w:pStyle w:val="naisf"/>
              <w:spacing w:before="0" w:after="0"/>
              <w:ind w:firstLine="0"/>
              <w:jc w:val="center"/>
              <w:rPr>
                <w:b/>
                <w:i/>
                <w:sz w:val="28"/>
                <w:szCs w:val="28"/>
              </w:rPr>
            </w:pPr>
            <w:r w:rsidRPr="004703B5">
              <w:rPr>
                <w:sz w:val="28"/>
                <w:szCs w:val="28"/>
              </w:rPr>
              <w:t>Turpmākie trīs gadi (</w:t>
            </w:r>
            <w:proofErr w:type="spellStart"/>
            <w:r w:rsidR="00920A89" w:rsidRPr="004703B5">
              <w:rPr>
                <w:i/>
                <w:sz w:val="28"/>
                <w:szCs w:val="28"/>
              </w:rPr>
              <w:t>euro</w:t>
            </w:r>
            <w:proofErr w:type="spellEnd"/>
            <w:r w:rsidRPr="004703B5">
              <w:rPr>
                <w:sz w:val="28"/>
                <w:szCs w:val="28"/>
              </w:rPr>
              <w:t>)</w:t>
            </w:r>
          </w:p>
        </w:tc>
      </w:tr>
      <w:tr w:rsidR="002C1869" w:rsidRPr="004703B5" w14:paraId="1AC29E65" w14:textId="77777777" w:rsidTr="00D83656">
        <w:trPr>
          <w:jc w:val="center"/>
        </w:trPr>
        <w:tc>
          <w:tcPr>
            <w:tcW w:w="1912" w:type="dxa"/>
            <w:vMerge/>
            <w:vAlign w:val="center"/>
          </w:tcPr>
          <w:p w14:paraId="09ABAFD7" w14:textId="77777777" w:rsidR="002C1869" w:rsidRPr="004703B5" w:rsidRDefault="002C1869" w:rsidP="00AB4263">
            <w:pPr>
              <w:pStyle w:val="naisf"/>
              <w:spacing w:before="0" w:after="0"/>
              <w:ind w:firstLine="0"/>
              <w:jc w:val="center"/>
              <w:rPr>
                <w:b/>
                <w:i/>
                <w:sz w:val="28"/>
                <w:szCs w:val="28"/>
              </w:rPr>
            </w:pPr>
          </w:p>
        </w:tc>
        <w:tc>
          <w:tcPr>
            <w:tcW w:w="3546" w:type="dxa"/>
            <w:gridSpan w:val="2"/>
            <w:vMerge/>
            <w:vAlign w:val="center"/>
          </w:tcPr>
          <w:p w14:paraId="1A85900B" w14:textId="77777777" w:rsidR="002C1869" w:rsidRPr="004703B5" w:rsidRDefault="002C1869" w:rsidP="00AB4263">
            <w:pPr>
              <w:pStyle w:val="naisf"/>
              <w:spacing w:before="0" w:after="0"/>
              <w:ind w:firstLine="0"/>
              <w:jc w:val="center"/>
              <w:rPr>
                <w:b/>
                <w:i/>
                <w:sz w:val="28"/>
                <w:szCs w:val="28"/>
              </w:rPr>
            </w:pPr>
          </w:p>
        </w:tc>
        <w:tc>
          <w:tcPr>
            <w:tcW w:w="1737" w:type="dxa"/>
            <w:vAlign w:val="center"/>
          </w:tcPr>
          <w:p w14:paraId="10F3ADAC" w14:textId="77777777" w:rsidR="002C1869" w:rsidRPr="004703B5" w:rsidRDefault="00CD77A9" w:rsidP="00AB4263">
            <w:pPr>
              <w:pStyle w:val="naisf"/>
              <w:spacing w:before="0" w:after="0"/>
              <w:ind w:firstLine="0"/>
              <w:jc w:val="center"/>
              <w:rPr>
                <w:b/>
                <w:i/>
                <w:sz w:val="28"/>
                <w:szCs w:val="28"/>
              </w:rPr>
            </w:pPr>
            <w:r>
              <w:rPr>
                <w:b/>
                <w:bCs/>
                <w:sz w:val="28"/>
                <w:szCs w:val="28"/>
              </w:rPr>
              <w:t>2015</w:t>
            </w:r>
          </w:p>
        </w:tc>
        <w:tc>
          <w:tcPr>
            <w:tcW w:w="1701" w:type="dxa"/>
            <w:vAlign w:val="center"/>
          </w:tcPr>
          <w:p w14:paraId="6F5A5162" w14:textId="77777777" w:rsidR="002C1869" w:rsidRPr="004703B5" w:rsidRDefault="00CD77A9" w:rsidP="00AB4263">
            <w:pPr>
              <w:pStyle w:val="naisf"/>
              <w:spacing w:before="0" w:after="0"/>
              <w:ind w:firstLine="0"/>
              <w:jc w:val="center"/>
              <w:rPr>
                <w:b/>
                <w:i/>
                <w:sz w:val="28"/>
                <w:szCs w:val="28"/>
              </w:rPr>
            </w:pPr>
            <w:r>
              <w:rPr>
                <w:b/>
                <w:bCs/>
                <w:sz w:val="28"/>
                <w:szCs w:val="28"/>
              </w:rPr>
              <w:t>2016</w:t>
            </w:r>
          </w:p>
        </w:tc>
        <w:tc>
          <w:tcPr>
            <w:tcW w:w="1523" w:type="dxa"/>
            <w:vAlign w:val="center"/>
          </w:tcPr>
          <w:p w14:paraId="76F11BC0" w14:textId="77777777" w:rsidR="002C1869" w:rsidRPr="004703B5" w:rsidRDefault="00CD77A9" w:rsidP="00AB4263">
            <w:pPr>
              <w:pStyle w:val="naisf"/>
              <w:spacing w:before="0" w:after="0"/>
              <w:ind w:firstLine="0"/>
              <w:jc w:val="center"/>
              <w:rPr>
                <w:b/>
                <w:i/>
                <w:sz w:val="28"/>
                <w:szCs w:val="28"/>
              </w:rPr>
            </w:pPr>
            <w:r>
              <w:rPr>
                <w:b/>
                <w:bCs/>
                <w:sz w:val="28"/>
                <w:szCs w:val="28"/>
              </w:rPr>
              <w:t>2017</w:t>
            </w:r>
          </w:p>
        </w:tc>
      </w:tr>
      <w:tr w:rsidR="002C1869" w:rsidRPr="004703B5" w14:paraId="12A9A4E5" w14:textId="77777777" w:rsidTr="00D83656">
        <w:trPr>
          <w:jc w:val="center"/>
        </w:trPr>
        <w:tc>
          <w:tcPr>
            <w:tcW w:w="1912" w:type="dxa"/>
            <w:vMerge/>
            <w:vAlign w:val="center"/>
          </w:tcPr>
          <w:p w14:paraId="37435618" w14:textId="77777777" w:rsidR="002C1869" w:rsidRPr="004703B5" w:rsidRDefault="002C1869" w:rsidP="00AB4263">
            <w:pPr>
              <w:pStyle w:val="naisf"/>
              <w:spacing w:before="0" w:after="0"/>
              <w:ind w:firstLine="0"/>
              <w:jc w:val="center"/>
              <w:rPr>
                <w:b/>
                <w:i/>
                <w:sz w:val="28"/>
                <w:szCs w:val="28"/>
              </w:rPr>
            </w:pPr>
          </w:p>
        </w:tc>
        <w:tc>
          <w:tcPr>
            <w:tcW w:w="1720" w:type="dxa"/>
            <w:vAlign w:val="center"/>
          </w:tcPr>
          <w:p w14:paraId="2D4AA28C" w14:textId="77777777" w:rsidR="002C1869" w:rsidRPr="004703B5" w:rsidRDefault="002C1869" w:rsidP="00AB4263">
            <w:pPr>
              <w:pStyle w:val="naisf"/>
              <w:spacing w:before="0" w:after="0"/>
              <w:ind w:firstLine="0"/>
              <w:jc w:val="center"/>
              <w:rPr>
                <w:b/>
                <w:i/>
              </w:rPr>
            </w:pPr>
            <w:r w:rsidRPr="004703B5">
              <w:t>Saskaņā ar valsts budžetu kārtējam gadam</w:t>
            </w:r>
          </w:p>
        </w:tc>
        <w:tc>
          <w:tcPr>
            <w:tcW w:w="1826" w:type="dxa"/>
            <w:vAlign w:val="center"/>
          </w:tcPr>
          <w:p w14:paraId="234AA7CF" w14:textId="77777777" w:rsidR="002C1869" w:rsidRPr="004703B5" w:rsidRDefault="002C1869" w:rsidP="00D83656">
            <w:pPr>
              <w:pStyle w:val="naisf"/>
              <w:spacing w:before="0" w:after="0"/>
              <w:ind w:firstLine="0"/>
              <w:jc w:val="center"/>
              <w:rPr>
                <w:b/>
                <w:i/>
              </w:rPr>
            </w:pPr>
            <w:r w:rsidRPr="004703B5">
              <w:t xml:space="preserve">Izmaiņas kārtējā gadā, salīdzinot ar </w:t>
            </w:r>
            <w:r w:rsidR="00D83656">
              <w:t>valsts b</w:t>
            </w:r>
            <w:r w:rsidRPr="004703B5">
              <w:t>udžetu kārtējam gadam</w:t>
            </w:r>
          </w:p>
        </w:tc>
        <w:tc>
          <w:tcPr>
            <w:tcW w:w="1737" w:type="dxa"/>
            <w:vAlign w:val="center"/>
          </w:tcPr>
          <w:p w14:paraId="0214669A" w14:textId="77777777" w:rsidR="002C1869" w:rsidRPr="004703B5" w:rsidRDefault="002C1869" w:rsidP="00AB4263">
            <w:pPr>
              <w:pStyle w:val="naisf"/>
              <w:spacing w:before="0" w:after="0"/>
              <w:ind w:firstLine="0"/>
              <w:jc w:val="center"/>
              <w:rPr>
                <w:b/>
                <w:i/>
              </w:rPr>
            </w:pPr>
            <w:r w:rsidRPr="004703B5">
              <w:t>Izmaiņas, salīdzinot ar kārtējo (n) gadu</w:t>
            </w:r>
          </w:p>
        </w:tc>
        <w:tc>
          <w:tcPr>
            <w:tcW w:w="1701" w:type="dxa"/>
            <w:vAlign w:val="center"/>
          </w:tcPr>
          <w:p w14:paraId="63B0D079" w14:textId="77777777" w:rsidR="002C1869" w:rsidRPr="004703B5" w:rsidRDefault="002C1869" w:rsidP="00AB4263">
            <w:pPr>
              <w:pStyle w:val="naisf"/>
              <w:spacing w:before="0" w:after="0"/>
              <w:ind w:firstLine="0"/>
              <w:jc w:val="center"/>
              <w:rPr>
                <w:b/>
                <w:i/>
              </w:rPr>
            </w:pPr>
            <w:r w:rsidRPr="004703B5">
              <w:t>Izmaiņas, salīdzinot ar kārtējo (n) gadu</w:t>
            </w:r>
          </w:p>
        </w:tc>
        <w:tc>
          <w:tcPr>
            <w:tcW w:w="1523" w:type="dxa"/>
            <w:vAlign w:val="center"/>
          </w:tcPr>
          <w:p w14:paraId="113AAA72" w14:textId="77777777" w:rsidR="002C1869" w:rsidRPr="004703B5" w:rsidRDefault="002C1869" w:rsidP="00AB4263">
            <w:pPr>
              <w:pStyle w:val="naisf"/>
              <w:spacing w:before="0" w:after="0"/>
              <w:ind w:firstLine="0"/>
              <w:jc w:val="center"/>
              <w:rPr>
                <w:b/>
                <w:i/>
              </w:rPr>
            </w:pPr>
            <w:r w:rsidRPr="004703B5">
              <w:t>Izmaiņas, salīdzinot ar kārtējo (n) gadu</w:t>
            </w:r>
          </w:p>
        </w:tc>
      </w:tr>
      <w:tr w:rsidR="002C1869" w:rsidRPr="004703B5" w14:paraId="67F4526C" w14:textId="77777777" w:rsidTr="00D83656">
        <w:trPr>
          <w:jc w:val="center"/>
        </w:trPr>
        <w:tc>
          <w:tcPr>
            <w:tcW w:w="1912" w:type="dxa"/>
            <w:vAlign w:val="center"/>
          </w:tcPr>
          <w:p w14:paraId="112791A1" w14:textId="77777777" w:rsidR="002C1869" w:rsidRPr="004703B5" w:rsidRDefault="002C1869" w:rsidP="00AB4263">
            <w:pPr>
              <w:pStyle w:val="naisf"/>
              <w:spacing w:before="0" w:after="0"/>
              <w:ind w:firstLine="0"/>
              <w:jc w:val="center"/>
              <w:rPr>
                <w:bCs/>
                <w:sz w:val="28"/>
                <w:szCs w:val="28"/>
              </w:rPr>
            </w:pPr>
            <w:r w:rsidRPr="004703B5">
              <w:rPr>
                <w:bCs/>
                <w:sz w:val="28"/>
                <w:szCs w:val="28"/>
              </w:rPr>
              <w:t>1</w:t>
            </w:r>
          </w:p>
        </w:tc>
        <w:tc>
          <w:tcPr>
            <w:tcW w:w="1720" w:type="dxa"/>
            <w:vAlign w:val="center"/>
          </w:tcPr>
          <w:p w14:paraId="360A75F3" w14:textId="77777777" w:rsidR="002C1869" w:rsidRPr="004703B5" w:rsidRDefault="002C1869" w:rsidP="00AB4263">
            <w:pPr>
              <w:pStyle w:val="naisf"/>
              <w:spacing w:before="0" w:after="0"/>
              <w:ind w:firstLine="0"/>
              <w:jc w:val="center"/>
              <w:rPr>
                <w:bCs/>
                <w:sz w:val="28"/>
                <w:szCs w:val="28"/>
              </w:rPr>
            </w:pPr>
            <w:r w:rsidRPr="004703B5">
              <w:rPr>
                <w:bCs/>
                <w:sz w:val="28"/>
                <w:szCs w:val="28"/>
              </w:rPr>
              <w:t>2</w:t>
            </w:r>
          </w:p>
        </w:tc>
        <w:tc>
          <w:tcPr>
            <w:tcW w:w="1826" w:type="dxa"/>
            <w:vAlign w:val="center"/>
          </w:tcPr>
          <w:p w14:paraId="4A5BC86A" w14:textId="77777777" w:rsidR="002C1869" w:rsidRPr="004703B5" w:rsidRDefault="002C1869" w:rsidP="00AB4263">
            <w:pPr>
              <w:pStyle w:val="naisf"/>
              <w:spacing w:before="0" w:after="0"/>
              <w:ind w:firstLine="0"/>
              <w:jc w:val="center"/>
              <w:rPr>
                <w:bCs/>
                <w:sz w:val="28"/>
                <w:szCs w:val="28"/>
              </w:rPr>
            </w:pPr>
            <w:r w:rsidRPr="004703B5">
              <w:rPr>
                <w:bCs/>
                <w:sz w:val="28"/>
                <w:szCs w:val="28"/>
              </w:rPr>
              <w:t>3</w:t>
            </w:r>
          </w:p>
        </w:tc>
        <w:tc>
          <w:tcPr>
            <w:tcW w:w="1737" w:type="dxa"/>
            <w:vAlign w:val="center"/>
          </w:tcPr>
          <w:p w14:paraId="3E245BE1" w14:textId="77777777" w:rsidR="002C1869" w:rsidRPr="004703B5" w:rsidRDefault="002C1869" w:rsidP="00AB4263">
            <w:pPr>
              <w:pStyle w:val="naisf"/>
              <w:spacing w:before="0" w:after="0"/>
              <w:ind w:firstLine="0"/>
              <w:jc w:val="center"/>
              <w:rPr>
                <w:bCs/>
                <w:sz w:val="28"/>
                <w:szCs w:val="28"/>
              </w:rPr>
            </w:pPr>
            <w:r w:rsidRPr="004703B5">
              <w:rPr>
                <w:bCs/>
                <w:sz w:val="28"/>
                <w:szCs w:val="28"/>
              </w:rPr>
              <w:t>4</w:t>
            </w:r>
          </w:p>
        </w:tc>
        <w:tc>
          <w:tcPr>
            <w:tcW w:w="1701" w:type="dxa"/>
            <w:vAlign w:val="center"/>
          </w:tcPr>
          <w:p w14:paraId="13E5AA9F" w14:textId="77777777" w:rsidR="002C1869" w:rsidRPr="004703B5" w:rsidRDefault="002C1869" w:rsidP="00AB4263">
            <w:pPr>
              <w:pStyle w:val="naisf"/>
              <w:spacing w:before="0" w:after="0"/>
              <w:ind w:firstLine="0"/>
              <w:jc w:val="center"/>
              <w:rPr>
                <w:bCs/>
                <w:sz w:val="28"/>
                <w:szCs w:val="28"/>
              </w:rPr>
            </w:pPr>
            <w:r w:rsidRPr="004703B5">
              <w:rPr>
                <w:bCs/>
                <w:sz w:val="28"/>
                <w:szCs w:val="28"/>
              </w:rPr>
              <w:t>5</w:t>
            </w:r>
          </w:p>
        </w:tc>
        <w:tc>
          <w:tcPr>
            <w:tcW w:w="1523" w:type="dxa"/>
            <w:vAlign w:val="center"/>
          </w:tcPr>
          <w:p w14:paraId="6CCF4E1B" w14:textId="77777777" w:rsidR="002C1869" w:rsidRPr="004703B5" w:rsidRDefault="002C1869" w:rsidP="00AB4263">
            <w:pPr>
              <w:pStyle w:val="naisf"/>
              <w:spacing w:before="0" w:after="0"/>
              <w:ind w:firstLine="0"/>
              <w:jc w:val="center"/>
              <w:rPr>
                <w:bCs/>
                <w:sz w:val="28"/>
                <w:szCs w:val="28"/>
              </w:rPr>
            </w:pPr>
            <w:r w:rsidRPr="004703B5">
              <w:rPr>
                <w:bCs/>
                <w:sz w:val="28"/>
                <w:szCs w:val="28"/>
              </w:rPr>
              <w:t>6</w:t>
            </w:r>
          </w:p>
        </w:tc>
      </w:tr>
      <w:tr w:rsidR="002C1869" w:rsidRPr="004703B5" w14:paraId="37A8FEC4" w14:textId="77777777" w:rsidTr="008F17BB">
        <w:trPr>
          <w:jc w:val="center"/>
        </w:trPr>
        <w:tc>
          <w:tcPr>
            <w:tcW w:w="1912" w:type="dxa"/>
          </w:tcPr>
          <w:p w14:paraId="230AF9BD" w14:textId="77777777" w:rsidR="002C1869" w:rsidRPr="004703B5" w:rsidRDefault="002C1869" w:rsidP="00AB4263">
            <w:pPr>
              <w:pStyle w:val="naisf"/>
              <w:spacing w:before="0" w:after="0"/>
              <w:ind w:firstLine="0"/>
              <w:rPr>
                <w:i/>
                <w:sz w:val="28"/>
                <w:szCs w:val="28"/>
              </w:rPr>
            </w:pPr>
            <w:r w:rsidRPr="004703B5">
              <w:rPr>
                <w:sz w:val="28"/>
                <w:szCs w:val="28"/>
              </w:rPr>
              <w:t>1. Budžeta ieņēmumi:</w:t>
            </w:r>
          </w:p>
        </w:tc>
        <w:tc>
          <w:tcPr>
            <w:tcW w:w="1720" w:type="dxa"/>
          </w:tcPr>
          <w:p w14:paraId="771B8ED7" w14:textId="77777777" w:rsidR="008D231F" w:rsidRPr="00941170" w:rsidRDefault="005D46C3" w:rsidP="00F47B23">
            <w:pPr>
              <w:pStyle w:val="naisf"/>
              <w:spacing w:before="0" w:after="0"/>
              <w:ind w:firstLine="0"/>
              <w:rPr>
                <w:sz w:val="28"/>
                <w:szCs w:val="28"/>
                <w:u w:val="single"/>
              </w:rPr>
            </w:pPr>
            <w:r w:rsidRPr="005D46C3">
              <w:t>11</w:t>
            </w:r>
            <w:r w:rsidR="00F47B23">
              <w:t> </w:t>
            </w:r>
            <w:r w:rsidRPr="005D46C3">
              <w:t>679</w:t>
            </w:r>
            <w:r w:rsidR="00F47B23">
              <w:t xml:space="preserve"> </w:t>
            </w:r>
            <w:r w:rsidRPr="005D46C3">
              <w:t>1</w:t>
            </w:r>
            <w:r w:rsidR="00F47B23">
              <w:t>00</w:t>
            </w:r>
          </w:p>
        </w:tc>
        <w:tc>
          <w:tcPr>
            <w:tcW w:w="1826" w:type="dxa"/>
          </w:tcPr>
          <w:p w14:paraId="7743BD5F" w14:textId="77777777" w:rsidR="002C1869" w:rsidRPr="00F73409" w:rsidRDefault="00800FEE" w:rsidP="00AB4263">
            <w:pPr>
              <w:pStyle w:val="naisf"/>
              <w:spacing w:before="0" w:after="0"/>
              <w:ind w:firstLine="0"/>
              <w:rPr>
                <w:sz w:val="28"/>
                <w:szCs w:val="28"/>
              </w:rPr>
            </w:pPr>
            <w:r w:rsidRPr="00F73409">
              <w:rPr>
                <w:sz w:val="28"/>
                <w:szCs w:val="28"/>
              </w:rPr>
              <w:t>0</w:t>
            </w:r>
          </w:p>
        </w:tc>
        <w:tc>
          <w:tcPr>
            <w:tcW w:w="1737" w:type="dxa"/>
            <w:shd w:val="clear" w:color="auto" w:fill="auto"/>
          </w:tcPr>
          <w:p w14:paraId="7CC4DBAC" w14:textId="77777777" w:rsidR="002C1869" w:rsidRPr="008F17BB" w:rsidRDefault="00741359" w:rsidP="00B16864">
            <w:pPr>
              <w:pStyle w:val="naisf"/>
              <w:spacing w:before="0" w:after="0"/>
              <w:ind w:firstLine="0"/>
              <w:rPr>
                <w:sz w:val="28"/>
                <w:szCs w:val="28"/>
              </w:rPr>
            </w:pPr>
            <w:r w:rsidRPr="008F17BB">
              <w:rPr>
                <w:sz w:val="28"/>
                <w:szCs w:val="28"/>
              </w:rPr>
              <w:t>3</w:t>
            </w:r>
            <w:r w:rsidR="00B16864" w:rsidRPr="008F17BB">
              <w:rPr>
                <w:sz w:val="28"/>
                <w:szCs w:val="28"/>
              </w:rPr>
              <w:t> </w:t>
            </w:r>
            <w:r w:rsidRPr="008F17BB">
              <w:rPr>
                <w:sz w:val="28"/>
                <w:szCs w:val="28"/>
              </w:rPr>
              <w:t>873</w:t>
            </w:r>
            <w:r w:rsidR="00B16864" w:rsidRPr="008F17BB">
              <w:rPr>
                <w:sz w:val="28"/>
                <w:szCs w:val="28"/>
              </w:rPr>
              <w:t xml:space="preserve"> 470</w:t>
            </w:r>
          </w:p>
        </w:tc>
        <w:tc>
          <w:tcPr>
            <w:tcW w:w="1701" w:type="dxa"/>
            <w:shd w:val="clear" w:color="auto" w:fill="auto"/>
          </w:tcPr>
          <w:p w14:paraId="272C408F" w14:textId="77777777" w:rsidR="002C1869" w:rsidRPr="008F17BB" w:rsidRDefault="00741359" w:rsidP="00753D93">
            <w:pPr>
              <w:pStyle w:val="naisf"/>
              <w:spacing w:before="0" w:after="0"/>
              <w:ind w:firstLine="0"/>
              <w:rPr>
                <w:sz w:val="28"/>
                <w:szCs w:val="28"/>
              </w:rPr>
            </w:pPr>
            <w:r w:rsidRPr="008F17BB">
              <w:rPr>
                <w:sz w:val="28"/>
                <w:szCs w:val="28"/>
              </w:rPr>
              <w:t>4</w:t>
            </w:r>
            <w:r w:rsidR="00753D93" w:rsidRPr="008F17BB">
              <w:rPr>
                <w:sz w:val="28"/>
                <w:szCs w:val="28"/>
              </w:rPr>
              <w:t xml:space="preserve"> </w:t>
            </w:r>
            <w:r w:rsidRPr="008F17BB">
              <w:rPr>
                <w:sz w:val="28"/>
                <w:szCs w:val="28"/>
              </w:rPr>
              <w:t>389</w:t>
            </w:r>
            <w:r w:rsidR="00753D93" w:rsidRPr="008F17BB">
              <w:rPr>
                <w:sz w:val="28"/>
                <w:szCs w:val="28"/>
              </w:rPr>
              <w:t xml:space="preserve"> 070</w:t>
            </w:r>
          </w:p>
        </w:tc>
        <w:tc>
          <w:tcPr>
            <w:tcW w:w="1523" w:type="dxa"/>
            <w:shd w:val="clear" w:color="auto" w:fill="auto"/>
          </w:tcPr>
          <w:p w14:paraId="67B57727" w14:textId="77777777" w:rsidR="002C1869" w:rsidRPr="008F17BB" w:rsidRDefault="007129A5" w:rsidP="00E0772E">
            <w:pPr>
              <w:pStyle w:val="naisf"/>
              <w:spacing w:before="0" w:after="0"/>
              <w:ind w:firstLine="0"/>
              <w:rPr>
                <w:sz w:val="28"/>
                <w:szCs w:val="28"/>
              </w:rPr>
            </w:pPr>
            <w:r w:rsidRPr="008F17BB">
              <w:rPr>
                <w:sz w:val="28"/>
                <w:szCs w:val="28"/>
              </w:rPr>
              <w:t>4</w:t>
            </w:r>
            <w:r w:rsidR="00E0772E" w:rsidRPr="008F17BB">
              <w:rPr>
                <w:sz w:val="28"/>
                <w:szCs w:val="28"/>
              </w:rPr>
              <w:t> </w:t>
            </w:r>
            <w:r w:rsidRPr="008F17BB">
              <w:rPr>
                <w:sz w:val="28"/>
                <w:szCs w:val="28"/>
              </w:rPr>
              <w:t>105</w:t>
            </w:r>
            <w:r w:rsidR="00E0772E" w:rsidRPr="008F17BB">
              <w:rPr>
                <w:sz w:val="28"/>
                <w:szCs w:val="28"/>
              </w:rPr>
              <w:t xml:space="preserve"> 352</w:t>
            </w:r>
          </w:p>
        </w:tc>
      </w:tr>
      <w:tr w:rsidR="002C1869" w:rsidRPr="008F17BB" w14:paraId="173AAAA9" w14:textId="77777777" w:rsidTr="008F17BB">
        <w:trPr>
          <w:jc w:val="center"/>
        </w:trPr>
        <w:tc>
          <w:tcPr>
            <w:tcW w:w="1912" w:type="dxa"/>
          </w:tcPr>
          <w:p w14:paraId="694278BF" w14:textId="77777777" w:rsidR="002C1869" w:rsidRPr="004703B5" w:rsidRDefault="002C1869" w:rsidP="00AB4263">
            <w:pPr>
              <w:pStyle w:val="naisf"/>
              <w:spacing w:before="0" w:after="0"/>
              <w:ind w:firstLine="0"/>
              <w:rPr>
                <w:i/>
                <w:sz w:val="28"/>
                <w:szCs w:val="28"/>
              </w:rPr>
            </w:pPr>
            <w:r w:rsidRPr="004703B5">
              <w:rPr>
                <w:sz w:val="28"/>
                <w:szCs w:val="28"/>
              </w:rPr>
              <w:t>1.1. valsts pamatbudžets, tai skaitā ieņēmumi no maksas pakalpo-jumiem un citi pašu ieņēmumi</w:t>
            </w:r>
          </w:p>
        </w:tc>
        <w:tc>
          <w:tcPr>
            <w:tcW w:w="1720" w:type="dxa"/>
          </w:tcPr>
          <w:p w14:paraId="361F2588" w14:textId="77777777" w:rsidR="008D231F" w:rsidRPr="005D46C3" w:rsidRDefault="005D46C3" w:rsidP="00F05EBB">
            <w:pPr>
              <w:pStyle w:val="naisf"/>
              <w:spacing w:before="0" w:after="0"/>
              <w:ind w:firstLine="0"/>
            </w:pPr>
            <w:r w:rsidRPr="005D46C3">
              <w:t>11</w:t>
            </w:r>
            <w:r w:rsidR="00F47B23">
              <w:t> </w:t>
            </w:r>
            <w:r w:rsidRPr="005D46C3">
              <w:t>679</w:t>
            </w:r>
            <w:r w:rsidR="00F47B23">
              <w:t xml:space="preserve"> </w:t>
            </w:r>
            <w:r w:rsidR="00E207C4">
              <w:t>1</w:t>
            </w:r>
            <w:r w:rsidR="00F47B23">
              <w:t>00</w:t>
            </w:r>
            <w:r w:rsidRPr="005D46C3">
              <w:t xml:space="preserve"> </w:t>
            </w:r>
          </w:p>
          <w:p w14:paraId="63EFACB1" w14:textId="77777777" w:rsidR="005D46C3" w:rsidRPr="00941170" w:rsidRDefault="005D46C3" w:rsidP="00F05EBB">
            <w:pPr>
              <w:pStyle w:val="naisf"/>
              <w:spacing w:before="0" w:after="0"/>
              <w:ind w:firstLine="0"/>
              <w:rPr>
                <w:sz w:val="28"/>
                <w:szCs w:val="28"/>
                <w:u w:val="single"/>
              </w:rPr>
            </w:pPr>
          </w:p>
        </w:tc>
        <w:tc>
          <w:tcPr>
            <w:tcW w:w="1826" w:type="dxa"/>
          </w:tcPr>
          <w:p w14:paraId="7CC0FDC7" w14:textId="77777777" w:rsidR="002C1869" w:rsidRPr="00F73409" w:rsidRDefault="00800FEE" w:rsidP="00AB4263">
            <w:pPr>
              <w:pStyle w:val="naisf"/>
              <w:spacing w:before="0" w:after="0"/>
              <w:ind w:firstLine="0"/>
              <w:rPr>
                <w:sz w:val="28"/>
                <w:szCs w:val="28"/>
              </w:rPr>
            </w:pPr>
            <w:r w:rsidRPr="008F17BB">
              <w:rPr>
                <w:sz w:val="28"/>
                <w:szCs w:val="28"/>
              </w:rPr>
              <w:t>0</w:t>
            </w:r>
          </w:p>
        </w:tc>
        <w:tc>
          <w:tcPr>
            <w:tcW w:w="1737" w:type="dxa"/>
            <w:shd w:val="clear" w:color="auto" w:fill="auto"/>
          </w:tcPr>
          <w:p w14:paraId="12D4C8B0" w14:textId="77777777" w:rsidR="002C1869" w:rsidRPr="008F17BB" w:rsidRDefault="00B16864" w:rsidP="00466A9A">
            <w:pPr>
              <w:pStyle w:val="naisf"/>
              <w:spacing w:before="0" w:after="0"/>
              <w:ind w:firstLine="0"/>
              <w:rPr>
                <w:sz w:val="28"/>
                <w:szCs w:val="28"/>
              </w:rPr>
            </w:pPr>
            <w:r w:rsidRPr="008F17BB">
              <w:rPr>
                <w:sz w:val="28"/>
                <w:szCs w:val="28"/>
              </w:rPr>
              <w:t>3 873 470</w:t>
            </w:r>
          </w:p>
        </w:tc>
        <w:tc>
          <w:tcPr>
            <w:tcW w:w="1701" w:type="dxa"/>
            <w:shd w:val="clear" w:color="auto" w:fill="auto"/>
          </w:tcPr>
          <w:p w14:paraId="0823B220" w14:textId="77777777" w:rsidR="002C1869" w:rsidRPr="008F17BB" w:rsidRDefault="00753D93" w:rsidP="00466A9A">
            <w:pPr>
              <w:pStyle w:val="naisf"/>
              <w:spacing w:before="0" w:after="0"/>
              <w:ind w:firstLine="0"/>
              <w:rPr>
                <w:sz w:val="28"/>
                <w:szCs w:val="28"/>
              </w:rPr>
            </w:pPr>
            <w:r w:rsidRPr="008F17BB">
              <w:rPr>
                <w:sz w:val="28"/>
                <w:szCs w:val="28"/>
              </w:rPr>
              <w:t>4 389 070</w:t>
            </w:r>
          </w:p>
        </w:tc>
        <w:tc>
          <w:tcPr>
            <w:tcW w:w="1523" w:type="dxa"/>
            <w:shd w:val="clear" w:color="auto" w:fill="auto"/>
          </w:tcPr>
          <w:p w14:paraId="5C753337" w14:textId="77777777" w:rsidR="002C1869" w:rsidRPr="008F17BB" w:rsidRDefault="00E0772E" w:rsidP="00466A9A">
            <w:pPr>
              <w:pStyle w:val="naisf"/>
              <w:spacing w:before="0" w:after="0"/>
              <w:ind w:firstLine="0"/>
              <w:rPr>
                <w:sz w:val="28"/>
                <w:szCs w:val="28"/>
              </w:rPr>
            </w:pPr>
            <w:r w:rsidRPr="008F17BB">
              <w:rPr>
                <w:sz w:val="28"/>
                <w:szCs w:val="28"/>
              </w:rPr>
              <w:t>4 105 352</w:t>
            </w:r>
          </w:p>
        </w:tc>
      </w:tr>
      <w:tr w:rsidR="002C1869" w:rsidRPr="004703B5" w14:paraId="75DFB8EA" w14:textId="77777777" w:rsidTr="00D83656">
        <w:trPr>
          <w:jc w:val="center"/>
        </w:trPr>
        <w:tc>
          <w:tcPr>
            <w:tcW w:w="1912" w:type="dxa"/>
          </w:tcPr>
          <w:p w14:paraId="40B1DB87" w14:textId="77777777" w:rsidR="002C1869" w:rsidRPr="004703B5" w:rsidRDefault="002C1869" w:rsidP="00AB4263">
            <w:pPr>
              <w:pStyle w:val="naisf"/>
              <w:spacing w:before="0" w:after="0"/>
              <w:ind w:firstLine="0"/>
              <w:rPr>
                <w:i/>
                <w:sz w:val="28"/>
                <w:szCs w:val="28"/>
              </w:rPr>
            </w:pPr>
            <w:r w:rsidRPr="004703B5">
              <w:rPr>
                <w:sz w:val="28"/>
                <w:szCs w:val="28"/>
              </w:rPr>
              <w:t>1.2. valsts speciālais budžets</w:t>
            </w:r>
          </w:p>
        </w:tc>
        <w:tc>
          <w:tcPr>
            <w:tcW w:w="1720" w:type="dxa"/>
          </w:tcPr>
          <w:p w14:paraId="023FA47C" w14:textId="77777777" w:rsidR="002C1869" w:rsidRPr="00F73409" w:rsidRDefault="00F73409" w:rsidP="00AB4263">
            <w:pPr>
              <w:pStyle w:val="naisf"/>
              <w:spacing w:before="0" w:after="0"/>
              <w:ind w:firstLine="0"/>
              <w:rPr>
                <w:sz w:val="28"/>
                <w:szCs w:val="28"/>
              </w:rPr>
            </w:pPr>
            <w:r w:rsidRPr="00F73409">
              <w:rPr>
                <w:sz w:val="28"/>
                <w:szCs w:val="28"/>
              </w:rPr>
              <w:t>0</w:t>
            </w:r>
          </w:p>
        </w:tc>
        <w:tc>
          <w:tcPr>
            <w:tcW w:w="1826" w:type="dxa"/>
          </w:tcPr>
          <w:p w14:paraId="5E95E5BD" w14:textId="77777777" w:rsidR="002C1869" w:rsidRPr="00F73409" w:rsidRDefault="00F73409" w:rsidP="00AB4263">
            <w:pPr>
              <w:pStyle w:val="naisf"/>
              <w:spacing w:before="0" w:after="0"/>
              <w:ind w:firstLine="0"/>
              <w:rPr>
                <w:sz w:val="28"/>
                <w:szCs w:val="28"/>
              </w:rPr>
            </w:pPr>
            <w:r w:rsidRPr="00F73409">
              <w:rPr>
                <w:sz w:val="28"/>
                <w:szCs w:val="28"/>
              </w:rPr>
              <w:t>0</w:t>
            </w:r>
          </w:p>
        </w:tc>
        <w:tc>
          <w:tcPr>
            <w:tcW w:w="1737" w:type="dxa"/>
          </w:tcPr>
          <w:p w14:paraId="379B6273" w14:textId="77777777" w:rsidR="002C1869" w:rsidRPr="008F17BB" w:rsidRDefault="00F73409" w:rsidP="00AB4263">
            <w:pPr>
              <w:pStyle w:val="naisf"/>
              <w:spacing w:before="0" w:after="0"/>
              <w:ind w:firstLine="0"/>
              <w:rPr>
                <w:sz w:val="28"/>
                <w:szCs w:val="28"/>
              </w:rPr>
            </w:pPr>
            <w:r w:rsidRPr="008F17BB">
              <w:rPr>
                <w:sz w:val="28"/>
                <w:szCs w:val="28"/>
              </w:rPr>
              <w:t>0</w:t>
            </w:r>
          </w:p>
        </w:tc>
        <w:tc>
          <w:tcPr>
            <w:tcW w:w="1701" w:type="dxa"/>
          </w:tcPr>
          <w:p w14:paraId="5F1C97A3" w14:textId="77777777" w:rsidR="002C1869" w:rsidRPr="008F17BB" w:rsidRDefault="00F73409" w:rsidP="00AB4263">
            <w:pPr>
              <w:pStyle w:val="naisf"/>
              <w:spacing w:before="0" w:after="0"/>
              <w:ind w:firstLine="0"/>
              <w:rPr>
                <w:sz w:val="28"/>
                <w:szCs w:val="28"/>
              </w:rPr>
            </w:pPr>
            <w:r w:rsidRPr="008F17BB">
              <w:rPr>
                <w:sz w:val="28"/>
                <w:szCs w:val="28"/>
              </w:rPr>
              <w:t>0</w:t>
            </w:r>
          </w:p>
        </w:tc>
        <w:tc>
          <w:tcPr>
            <w:tcW w:w="1523" w:type="dxa"/>
          </w:tcPr>
          <w:p w14:paraId="66F23B74" w14:textId="77777777" w:rsidR="002C1869" w:rsidRPr="008F17BB" w:rsidRDefault="00F73409" w:rsidP="00AB4263">
            <w:pPr>
              <w:pStyle w:val="naisf"/>
              <w:spacing w:before="0" w:after="0"/>
              <w:ind w:firstLine="0"/>
              <w:rPr>
                <w:sz w:val="28"/>
                <w:szCs w:val="28"/>
              </w:rPr>
            </w:pPr>
            <w:r w:rsidRPr="008F17BB">
              <w:rPr>
                <w:sz w:val="28"/>
                <w:szCs w:val="28"/>
              </w:rPr>
              <w:t>0</w:t>
            </w:r>
          </w:p>
        </w:tc>
      </w:tr>
      <w:tr w:rsidR="002C1869" w:rsidRPr="004703B5" w14:paraId="3336B696" w14:textId="77777777" w:rsidTr="00D83656">
        <w:trPr>
          <w:jc w:val="center"/>
        </w:trPr>
        <w:tc>
          <w:tcPr>
            <w:tcW w:w="1912" w:type="dxa"/>
          </w:tcPr>
          <w:p w14:paraId="22C5D8CE" w14:textId="77777777" w:rsidR="002C1869" w:rsidRPr="004703B5" w:rsidRDefault="002C1869" w:rsidP="00AB4263">
            <w:pPr>
              <w:pStyle w:val="naisf"/>
              <w:spacing w:before="0" w:after="0"/>
              <w:ind w:firstLine="0"/>
              <w:rPr>
                <w:i/>
                <w:sz w:val="28"/>
                <w:szCs w:val="28"/>
              </w:rPr>
            </w:pPr>
            <w:r w:rsidRPr="004703B5">
              <w:rPr>
                <w:sz w:val="28"/>
                <w:szCs w:val="28"/>
              </w:rPr>
              <w:t>1.3. pašvaldību budžets</w:t>
            </w:r>
          </w:p>
        </w:tc>
        <w:tc>
          <w:tcPr>
            <w:tcW w:w="1720" w:type="dxa"/>
          </w:tcPr>
          <w:p w14:paraId="1B1B0A9D" w14:textId="77777777" w:rsidR="002C1869" w:rsidRPr="00F73409" w:rsidRDefault="00F73409" w:rsidP="00AB4263">
            <w:pPr>
              <w:pStyle w:val="naisf"/>
              <w:spacing w:before="0" w:after="0"/>
              <w:ind w:firstLine="0"/>
              <w:rPr>
                <w:sz w:val="28"/>
                <w:szCs w:val="28"/>
              </w:rPr>
            </w:pPr>
            <w:r w:rsidRPr="00F73409">
              <w:rPr>
                <w:sz w:val="28"/>
                <w:szCs w:val="28"/>
              </w:rPr>
              <w:t>0</w:t>
            </w:r>
          </w:p>
        </w:tc>
        <w:tc>
          <w:tcPr>
            <w:tcW w:w="1826" w:type="dxa"/>
          </w:tcPr>
          <w:p w14:paraId="7772F037" w14:textId="77777777" w:rsidR="002C1869" w:rsidRPr="00F73409" w:rsidRDefault="00F73409" w:rsidP="00AB4263">
            <w:pPr>
              <w:pStyle w:val="naisf"/>
              <w:spacing w:before="0" w:after="0"/>
              <w:ind w:firstLine="0"/>
              <w:rPr>
                <w:sz w:val="28"/>
                <w:szCs w:val="28"/>
              </w:rPr>
            </w:pPr>
            <w:r w:rsidRPr="00F73409">
              <w:rPr>
                <w:sz w:val="28"/>
                <w:szCs w:val="28"/>
              </w:rPr>
              <w:t>0</w:t>
            </w:r>
          </w:p>
        </w:tc>
        <w:tc>
          <w:tcPr>
            <w:tcW w:w="1737" w:type="dxa"/>
          </w:tcPr>
          <w:p w14:paraId="0F765D41" w14:textId="77777777" w:rsidR="002C1869" w:rsidRPr="008F17BB" w:rsidRDefault="00F73409" w:rsidP="00AB4263">
            <w:pPr>
              <w:pStyle w:val="naisf"/>
              <w:spacing w:before="0" w:after="0"/>
              <w:ind w:firstLine="0"/>
              <w:rPr>
                <w:sz w:val="28"/>
                <w:szCs w:val="28"/>
              </w:rPr>
            </w:pPr>
            <w:r w:rsidRPr="008F17BB">
              <w:rPr>
                <w:sz w:val="28"/>
                <w:szCs w:val="28"/>
              </w:rPr>
              <w:t>0</w:t>
            </w:r>
          </w:p>
        </w:tc>
        <w:tc>
          <w:tcPr>
            <w:tcW w:w="1701" w:type="dxa"/>
          </w:tcPr>
          <w:p w14:paraId="4AE4300C" w14:textId="77777777" w:rsidR="002C1869" w:rsidRPr="008F17BB" w:rsidRDefault="00F73409" w:rsidP="00AB4263">
            <w:pPr>
              <w:pStyle w:val="naisf"/>
              <w:spacing w:before="0" w:after="0"/>
              <w:ind w:firstLine="0"/>
              <w:rPr>
                <w:sz w:val="28"/>
                <w:szCs w:val="28"/>
              </w:rPr>
            </w:pPr>
            <w:r w:rsidRPr="008F17BB">
              <w:rPr>
                <w:sz w:val="28"/>
                <w:szCs w:val="28"/>
              </w:rPr>
              <w:t>0</w:t>
            </w:r>
          </w:p>
        </w:tc>
        <w:tc>
          <w:tcPr>
            <w:tcW w:w="1523" w:type="dxa"/>
          </w:tcPr>
          <w:p w14:paraId="2F14275C" w14:textId="77777777" w:rsidR="002C1869" w:rsidRPr="008F17BB" w:rsidRDefault="00F73409" w:rsidP="00AB4263">
            <w:pPr>
              <w:pStyle w:val="naisf"/>
              <w:spacing w:before="0" w:after="0"/>
              <w:ind w:firstLine="0"/>
              <w:rPr>
                <w:sz w:val="28"/>
                <w:szCs w:val="28"/>
              </w:rPr>
            </w:pPr>
            <w:r w:rsidRPr="008F17BB">
              <w:rPr>
                <w:sz w:val="28"/>
                <w:szCs w:val="28"/>
              </w:rPr>
              <w:t>0</w:t>
            </w:r>
          </w:p>
        </w:tc>
      </w:tr>
      <w:tr w:rsidR="00941170" w:rsidRPr="008F17BB" w14:paraId="2352439E" w14:textId="77777777" w:rsidTr="008F17BB">
        <w:trPr>
          <w:jc w:val="center"/>
        </w:trPr>
        <w:tc>
          <w:tcPr>
            <w:tcW w:w="1912" w:type="dxa"/>
          </w:tcPr>
          <w:p w14:paraId="55075AE1" w14:textId="77777777" w:rsidR="00941170" w:rsidRPr="004703B5" w:rsidRDefault="00941170" w:rsidP="00AB4263">
            <w:pPr>
              <w:jc w:val="both"/>
              <w:rPr>
                <w:sz w:val="28"/>
                <w:szCs w:val="28"/>
              </w:rPr>
            </w:pPr>
            <w:r w:rsidRPr="004703B5">
              <w:rPr>
                <w:sz w:val="28"/>
                <w:szCs w:val="28"/>
              </w:rPr>
              <w:t>2. Budžeta izdevumi:</w:t>
            </w:r>
          </w:p>
        </w:tc>
        <w:tc>
          <w:tcPr>
            <w:tcW w:w="1720" w:type="dxa"/>
          </w:tcPr>
          <w:p w14:paraId="16364108" w14:textId="77777777" w:rsidR="00F47B23" w:rsidRPr="005D46C3" w:rsidRDefault="00F47B23" w:rsidP="00F47B23">
            <w:pPr>
              <w:pStyle w:val="naisf"/>
              <w:spacing w:before="0" w:after="0"/>
              <w:ind w:firstLine="0"/>
            </w:pPr>
            <w:r w:rsidRPr="005D46C3">
              <w:t>11</w:t>
            </w:r>
            <w:r>
              <w:t> </w:t>
            </w:r>
            <w:r w:rsidRPr="005D46C3">
              <w:t>679</w:t>
            </w:r>
            <w:r>
              <w:t xml:space="preserve"> 100</w:t>
            </w:r>
            <w:r w:rsidRPr="005D46C3">
              <w:t xml:space="preserve"> </w:t>
            </w:r>
          </w:p>
          <w:p w14:paraId="3A699AD6" w14:textId="77777777" w:rsidR="00941170" w:rsidRPr="00941170" w:rsidRDefault="00941170" w:rsidP="00E207C4">
            <w:pPr>
              <w:pStyle w:val="naisf"/>
              <w:spacing w:before="0" w:after="0"/>
              <w:ind w:firstLine="0"/>
              <w:rPr>
                <w:i/>
                <w:sz w:val="28"/>
                <w:szCs w:val="28"/>
              </w:rPr>
            </w:pPr>
          </w:p>
        </w:tc>
        <w:tc>
          <w:tcPr>
            <w:tcW w:w="1826" w:type="dxa"/>
          </w:tcPr>
          <w:p w14:paraId="0065CFCC" w14:textId="77777777" w:rsidR="00941170" w:rsidRPr="00F73409" w:rsidRDefault="004E48B4" w:rsidP="00F73409">
            <w:pPr>
              <w:jc w:val="both"/>
              <w:rPr>
                <w:color w:val="414142"/>
                <w:sz w:val="28"/>
                <w:szCs w:val="28"/>
              </w:rPr>
            </w:pPr>
            <w:r w:rsidRPr="00F73409">
              <w:rPr>
                <w:color w:val="414142"/>
                <w:sz w:val="28"/>
                <w:szCs w:val="28"/>
              </w:rPr>
              <w:t>0</w:t>
            </w:r>
          </w:p>
        </w:tc>
        <w:tc>
          <w:tcPr>
            <w:tcW w:w="1737" w:type="dxa"/>
            <w:shd w:val="clear" w:color="auto" w:fill="auto"/>
          </w:tcPr>
          <w:p w14:paraId="5CE18698" w14:textId="77777777" w:rsidR="00941170" w:rsidRPr="008F17BB" w:rsidRDefault="00B16864" w:rsidP="00F73409">
            <w:pPr>
              <w:jc w:val="both"/>
              <w:rPr>
                <w:color w:val="414142"/>
                <w:sz w:val="28"/>
                <w:szCs w:val="28"/>
              </w:rPr>
            </w:pPr>
            <w:r w:rsidRPr="008F17BB">
              <w:rPr>
                <w:sz w:val="28"/>
                <w:szCs w:val="28"/>
              </w:rPr>
              <w:t>3 873 470</w:t>
            </w:r>
          </w:p>
        </w:tc>
        <w:tc>
          <w:tcPr>
            <w:tcW w:w="1701" w:type="dxa"/>
            <w:shd w:val="clear" w:color="auto" w:fill="auto"/>
          </w:tcPr>
          <w:p w14:paraId="52F56BFB" w14:textId="77777777" w:rsidR="00941170" w:rsidRPr="008F17BB" w:rsidRDefault="00753D93" w:rsidP="00F73409">
            <w:pPr>
              <w:jc w:val="both"/>
              <w:rPr>
                <w:color w:val="414142"/>
                <w:sz w:val="28"/>
                <w:szCs w:val="28"/>
              </w:rPr>
            </w:pPr>
            <w:r w:rsidRPr="008F17BB">
              <w:rPr>
                <w:sz w:val="28"/>
                <w:szCs w:val="28"/>
              </w:rPr>
              <w:t>4 389 070</w:t>
            </w:r>
          </w:p>
        </w:tc>
        <w:tc>
          <w:tcPr>
            <w:tcW w:w="1523" w:type="dxa"/>
            <w:shd w:val="clear" w:color="auto" w:fill="auto"/>
          </w:tcPr>
          <w:p w14:paraId="2C3C6097" w14:textId="77777777" w:rsidR="00941170" w:rsidRPr="008F17BB" w:rsidRDefault="00E0772E" w:rsidP="00F73409">
            <w:pPr>
              <w:jc w:val="both"/>
              <w:rPr>
                <w:color w:val="414142"/>
                <w:sz w:val="28"/>
                <w:szCs w:val="28"/>
              </w:rPr>
            </w:pPr>
            <w:r w:rsidRPr="008F17BB">
              <w:rPr>
                <w:sz w:val="28"/>
                <w:szCs w:val="28"/>
              </w:rPr>
              <w:t>4 105 352</w:t>
            </w:r>
          </w:p>
        </w:tc>
      </w:tr>
      <w:tr w:rsidR="00941170" w:rsidRPr="008F17BB" w14:paraId="590C3EBB" w14:textId="77777777" w:rsidTr="008F17BB">
        <w:trPr>
          <w:jc w:val="center"/>
        </w:trPr>
        <w:tc>
          <w:tcPr>
            <w:tcW w:w="1912" w:type="dxa"/>
          </w:tcPr>
          <w:p w14:paraId="25F8D82C" w14:textId="77777777" w:rsidR="00941170" w:rsidRPr="004703B5" w:rsidRDefault="00941170" w:rsidP="00AB4263">
            <w:pPr>
              <w:jc w:val="both"/>
              <w:rPr>
                <w:sz w:val="28"/>
                <w:szCs w:val="28"/>
              </w:rPr>
            </w:pPr>
            <w:r w:rsidRPr="004703B5">
              <w:rPr>
                <w:sz w:val="28"/>
                <w:szCs w:val="28"/>
              </w:rPr>
              <w:t>2.1. valsts pamatbudžets</w:t>
            </w:r>
          </w:p>
        </w:tc>
        <w:tc>
          <w:tcPr>
            <w:tcW w:w="1720" w:type="dxa"/>
          </w:tcPr>
          <w:p w14:paraId="5689C64E" w14:textId="77777777" w:rsidR="00F47B23" w:rsidRPr="005D46C3" w:rsidRDefault="00F47B23" w:rsidP="00F47B23">
            <w:pPr>
              <w:pStyle w:val="naisf"/>
              <w:spacing w:before="0" w:after="0"/>
              <w:ind w:firstLine="0"/>
            </w:pPr>
            <w:r w:rsidRPr="005D46C3">
              <w:t>11</w:t>
            </w:r>
            <w:r>
              <w:t> </w:t>
            </w:r>
            <w:r w:rsidRPr="005D46C3">
              <w:t>679</w:t>
            </w:r>
            <w:r>
              <w:t xml:space="preserve"> 100</w:t>
            </w:r>
            <w:r w:rsidRPr="005D46C3">
              <w:t xml:space="preserve"> </w:t>
            </w:r>
          </w:p>
          <w:p w14:paraId="7E89929F" w14:textId="77777777" w:rsidR="00941170" w:rsidRPr="00941170" w:rsidRDefault="00941170" w:rsidP="00E207C4">
            <w:pPr>
              <w:pStyle w:val="naisf"/>
              <w:spacing w:before="0" w:after="0"/>
              <w:ind w:firstLine="0"/>
              <w:rPr>
                <w:i/>
                <w:sz w:val="28"/>
                <w:szCs w:val="28"/>
              </w:rPr>
            </w:pPr>
          </w:p>
        </w:tc>
        <w:tc>
          <w:tcPr>
            <w:tcW w:w="1826" w:type="dxa"/>
          </w:tcPr>
          <w:p w14:paraId="7ECADA5D" w14:textId="77777777" w:rsidR="00941170" w:rsidRPr="00F73409" w:rsidRDefault="004E48B4" w:rsidP="00F73409">
            <w:pPr>
              <w:jc w:val="both"/>
              <w:rPr>
                <w:color w:val="414142"/>
                <w:sz w:val="28"/>
                <w:szCs w:val="28"/>
              </w:rPr>
            </w:pPr>
            <w:r w:rsidRPr="00F73409">
              <w:rPr>
                <w:color w:val="414142"/>
                <w:sz w:val="28"/>
                <w:szCs w:val="28"/>
              </w:rPr>
              <w:t>0</w:t>
            </w:r>
          </w:p>
        </w:tc>
        <w:tc>
          <w:tcPr>
            <w:tcW w:w="1737" w:type="dxa"/>
            <w:shd w:val="clear" w:color="auto" w:fill="auto"/>
          </w:tcPr>
          <w:p w14:paraId="472824AF" w14:textId="77777777" w:rsidR="00941170" w:rsidRPr="008F17BB" w:rsidRDefault="00B16864" w:rsidP="00F73409">
            <w:pPr>
              <w:jc w:val="both"/>
              <w:rPr>
                <w:color w:val="414142"/>
                <w:sz w:val="28"/>
                <w:szCs w:val="28"/>
              </w:rPr>
            </w:pPr>
            <w:r w:rsidRPr="008F17BB">
              <w:rPr>
                <w:sz w:val="28"/>
                <w:szCs w:val="28"/>
              </w:rPr>
              <w:t>3 873 470</w:t>
            </w:r>
          </w:p>
        </w:tc>
        <w:tc>
          <w:tcPr>
            <w:tcW w:w="1701" w:type="dxa"/>
            <w:shd w:val="clear" w:color="auto" w:fill="auto"/>
          </w:tcPr>
          <w:p w14:paraId="6A143400" w14:textId="77777777" w:rsidR="00941170" w:rsidRPr="008F17BB" w:rsidRDefault="00753D93" w:rsidP="00F73409">
            <w:pPr>
              <w:jc w:val="both"/>
              <w:rPr>
                <w:color w:val="414142"/>
                <w:sz w:val="28"/>
                <w:szCs w:val="28"/>
              </w:rPr>
            </w:pPr>
            <w:r w:rsidRPr="008F17BB">
              <w:rPr>
                <w:sz w:val="28"/>
                <w:szCs w:val="28"/>
              </w:rPr>
              <w:t>4 389 070</w:t>
            </w:r>
          </w:p>
        </w:tc>
        <w:tc>
          <w:tcPr>
            <w:tcW w:w="1523" w:type="dxa"/>
            <w:shd w:val="clear" w:color="auto" w:fill="auto"/>
          </w:tcPr>
          <w:p w14:paraId="241BC974" w14:textId="77777777" w:rsidR="00941170" w:rsidRPr="008F17BB" w:rsidRDefault="00E0772E" w:rsidP="00F73409">
            <w:pPr>
              <w:jc w:val="both"/>
              <w:rPr>
                <w:color w:val="414142"/>
                <w:sz w:val="28"/>
                <w:szCs w:val="28"/>
              </w:rPr>
            </w:pPr>
            <w:r w:rsidRPr="008F17BB">
              <w:rPr>
                <w:sz w:val="28"/>
                <w:szCs w:val="28"/>
              </w:rPr>
              <w:t>4 105 352</w:t>
            </w:r>
          </w:p>
        </w:tc>
      </w:tr>
      <w:tr w:rsidR="00CE5F2A" w:rsidRPr="008F17BB" w14:paraId="54A8B34D" w14:textId="77777777" w:rsidTr="00D83656">
        <w:trPr>
          <w:jc w:val="center"/>
        </w:trPr>
        <w:tc>
          <w:tcPr>
            <w:tcW w:w="1912" w:type="dxa"/>
          </w:tcPr>
          <w:p w14:paraId="45CF72BC" w14:textId="77777777" w:rsidR="00CE5F2A" w:rsidRPr="004703B5" w:rsidRDefault="00CE5F2A" w:rsidP="00AB4263">
            <w:pPr>
              <w:jc w:val="both"/>
              <w:rPr>
                <w:sz w:val="28"/>
                <w:szCs w:val="28"/>
              </w:rPr>
            </w:pPr>
            <w:r w:rsidRPr="004703B5">
              <w:rPr>
                <w:sz w:val="28"/>
                <w:szCs w:val="28"/>
              </w:rPr>
              <w:t>2.2. valsts speciālais budžets</w:t>
            </w:r>
          </w:p>
        </w:tc>
        <w:tc>
          <w:tcPr>
            <w:tcW w:w="1720" w:type="dxa"/>
          </w:tcPr>
          <w:p w14:paraId="4271783A" w14:textId="77777777" w:rsidR="00CE5F2A" w:rsidRPr="00F73409" w:rsidRDefault="00F73409" w:rsidP="00AB4263">
            <w:pPr>
              <w:pStyle w:val="naisf"/>
              <w:spacing w:before="0" w:after="0"/>
              <w:ind w:firstLine="0"/>
              <w:rPr>
                <w:sz w:val="28"/>
                <w:szCs w:val="28"/>
              </w:rPr>
            </w:pPr>
            <w:r w:rsidRPr="00F73409">
              <w:rPr>
                <w:sz w:val="28"/>
                <w:szCs w:val="28"/>
              </w:rPr>
              <w:t>0</w:t>
            </w:r>
          </w:p>
        </w:tc>
        <w:tc>
          <w:tcPr>
            <w:tcW w:w="1826" w:type="dxa"/>
          </w:tcPr>
          <w:p w14:paraId="161E326C" w14:textId="77777777" w:rsidR="00CE5F2A" w:rsidRPr="00F73409" w:rsidRDefault="00F73409" w:rsidP="00AB4263">
            <w:pPr>
              <w:pStyle w:val="naisf"/>
              <w:spacing w:before="0" w:after="0"/>
              <w:ind w:firstLine="0"/>
              <w:rPr>
                <w:sz w:val="28"/>
                <w:szCs w:val="28"/>
              </w:rPr>
            </w:pPr>
            <w:r w:rsidRPr="00F73409">
              <w:rPr>
                <w:sz w:val="28"/>
                <w:szCs w:val="28"/>
              </w:rPr>
              <w:t>0</w:t>
            </w:r>
          </w:p>
        </w:tc>
        <w:tc>
          <w:tcPr>
            <w:tcW w:w="1737" w:type="dxa"/>
          </w:tcPr>
          <w:p w14:paraId="1F811B8C" w14:textId="77777777" w:rsidR="00CE5F2A" w:rsidRPr="008F17BB" w:rsidRDefault="00F73409" w:rsidP="00AB4263">
            <w:pPr>
              <w:pStyle w:val="naisf"/>
              <w:spacing w:before="0" w:after="0"/>
              <w:ind w:firstLine="0"/>
              <w:rPr>
                <w:sz w:val="28"/>
                <w:szCs w:val="28"/>
              </w:rPr>
            </w:pPr>
            <w:r w:rsidRPr="008F17BB">
              <w:rPr>
                <w:sz w:val="28"/>
                <w:szCs w:val="28"/>
              </w:rPr>
              <w:t>0</w:t>
            </w:r>
          </w:p>
        </w:tc>
        <w:tc>
          <w:tcPr>
            <w:tcW w:w="1701" w:type="dxa"/>
          </w:tcPr>
          <w:p w14:paraId="370A9A2F" w14:textId="77777777" w:rsidR="00CE5F2A" w:rsidRPr="008F17BB" w:rsidRDefault="00F73409" w:rsidP="00AB4263">
            <w:pPr>
              <w:pStyle w:val="naisf"/>
              <w:spacing w:before="0" w:after="0"/>
              <w:ind w:firstLine="0"/>
              <w:rPr>
                <w:sz w:val="28"/>
                <w:szCs w:val="28"/>
              </w:rPr>
            </w:pPr>
            <w:r w:rsidRPr="008F17BB">
              <w:rPr>
                <w:sz w:val="28"/>
                <w:szCs w:val="28"/>
              </w:rPr>
              <w:t>0</w:t>
            </w:r>
          </w:p>
        </w:tc>
        <w:tc>
          <w:tcPr>
            <w:tcW w:w="1523" w:type="dxa"/>
          </w:tcPr>
          <w:p w14:paraId="2CC9CC20" w14:textId="77777777" w:rsidR="00CE5F2A" w:rsidRPr="008F17BB" w:rsidRDefault="00F73409" w:rsidP="00AB4263">
            <w:pPr>
              <w:pStyle w:val="naisf"/>
              <w:spacing w:before="0" w:after="0"/>
              <w:ind w:firstLine="0"/>
              <w:rPr>
                <w:sz w:val="28"/>
                <w:szCs w:val="28"/>
              </w:rPr>
            </w:pPr>
            <w:r w:rsidRPr="008F17BB">
              <w:rPr>
                <w:sz w:val="28"/>
                <w:szCs w:val="28"/>
              </w:rPr>
              <w:t>0</w:t>
            </w:r>
          </w:p>
        </w:tc>
      </w:tr>
      <w:tr w:rsidR="00CE5F2A" w:rsidRPr="004703B5" w14:paraId="1BF5EEA2" w14:textId="77777777" w:rsidTr="00D83656">
        <w:trPr>
          <w:jc w:val="center"/>
        </w:trPr>
        <w:tc>
          <w:tcPr>
            <w:tcW w:w="1912" w:type="dxa"/>
          </w:tcPr>
          <w:p w14:paraId="66F37C58" w14:textId="77777777" w:rsidR="00CE5F2A" w:rsidRPr="004703B5" w:rsidRDefault="00CE5F2A" w:rsidP="00AB4263">
            <w:pPr>
              <w:jc w:val="both"/>
              <w:rPr>
                <w:sz w:val="28"/>
                <w:szCs w:val="28"/>
              </w:rPr>
            </w:pPr>
            <w:r w:rsidRPr="004703B5">
              <w:rPr>
                <w:sz w:val="28"/>
                <w:szCs w:val="28"/>
              </w:rPr>
              <w:t xml:space="preserve">2.3. pašvaldību budžets </w:t>
            </w:r>
          </w:p>
        </w:tc>
        <w:tc>
          <w:tcPr>
            <w:tcW w:w="1720" w:type="dxa"/>
          </w:tcPr>
          <w:p w14:paraId="25F620F9" w14:textId="77777777" w:rsidR="00CE5F2A" w:rsidRPr="00F73409" w:rsidRDefault="00F73409" w:rsidP="00AB4263">
            <w:pPr>
              <w:pStyle w:val="naisf"/>
              <w:spacing w:before="0" w:after="0"/>
              <w:ind w:firstLine="0"/>
              <w:rPr>
                <w:sz w:val="28"/>
                <w:szCs w:val="28"/>
              </w:rPr>
            </w:pPr>
            <w:r>
              <w:rPr>
                <w:sz w:val="28"/>
                <w:szCs w:val="28"/>
              </w:rPr>
              <w:t>0</w:t>
            </w:r>
          </w:p>
        </w:tc>
        <w:tc>
          <w:tcPr>
            <w:tcW w:w="1826" w:type="dxa"/>
          </w:tcPr>
          <w:p w14:paraId="6E5BC499" w14:textId="77777777" w:rsidR="00CE5F2A" w:rsidRPr="00F73409" w:rsidRDefault="00F73409" w:rsidP="00AB4263">
            <w:pPr>
              <w:pStyle w:val="naisf"/>
              <w:spacing w:before="0" w:after="0"/>
              <w:ind w:firstLine="0"/>
              <w:rPr>
                <w:sz w:val="28"/>
                <w:szCs w:val="28"/>
              </w:rPr>
            </w:pPr>
            <w:r>
              <w:rPr>
                <w:sz w:val="28"/>
                <w:szCs w:val="28"/>
              </w:rPr>
              <w:t>0</w:t>
            </w:r>
          </w:p>
        </w:tc>
        <w:tc>
          <w:tcPr>
            <w:tcW w:w="1737" w:type="dxa"/>
          </w:tcPr>
          <w:p w14:paraId="5192211C" w14:textId="77777777" w:rsidR="00CE5F2A" w:rsidRPr="00F73409" w:rsidRDefault="00F73409" w:rsidP="00AB4263">
            <w:pPr>
              <w:pStyle w:val="naisf"/>
              <w:spacing w:before="0" w:after="0"/>
              <w:ind w:firstLine="0"/>
              <w:rPr>
                <w:sz w:val="28"/>
                <w:szCs w:val="28"/>
              </w:rPr>
            </w:pPr>
            <w:r>
              <w:rPr>
                <w:sz w:val="28"/>
                <w:szCs w:val="28"/>
              </w:rPr>
              <w:t>0</w:t>
            </w:r>
          </w:p>
        </w:tc>
        <w:tc>
          <w:tcPr>
            <w:tcW w:w="1701" w:type="dxa"/>
          </w:tcPr>
          <w:p w14:paraId="6E0D0F01" w14:textId="77777777" w:rsidR="00CE5F2A" w:rsidRPr="00F73409" w:rsidRDefault="00F73409" w:rsidP="00AB4263">
            <w:pPr>
              <w:pStyle w:val="naisf"/>
              <w:spacing w:before="0" w:after="0"/>
              <w:ind w:firstLine="0"/>
              <w:rPr>
                <w:sz w:val="28"/>
                <w:szCs w:val="28"/>
              </w:rPr>
            </w:pPr>
            <w:r>
              <w:rPr>
                <w:sz w:val="28"/>
                <w:szCs w:val="28"/>
              </w:rPr>
              <w:t>0</w:t>
            </w:r>
          </w:p>
        </w:tc>
        <w:tc>
          <w:tcPr>
            <w:tcW w:w="1523" w:type="dxa"/>
          </w:tcPr>
          <w:p w14:paraId="06057F6B" w14:textId="77777777" w:rsidR="00CE5F2A" w:rsidRPr="00F73409" w:rsidRDefault="00F73409" w:rsidP="00AB4263">
            <w:pPr>
              <w:pStyle w:val="naisf"/>
              <w:spacing w:before="0" w:after="0"/>
              <w:ind w:firstLine="0"/>
              <w:rPr>
                <w:sz w:val="28"/>
                <w:szCs w:val="28"/>
              </w:rPr>
            </w:pPr>
            <w:r>
              <w:rPr>
                <w:sz w:val="28"/>
                <w:szCs w:val="28"/>
              </w:rPr>
              <w:t>0</w:t>
            </w:r>
          </w:p>
        </w:tc>
      </w:tr>
      <w:tr w:rsidR="00941170" w:rsidRPr="004703B5" w14:paraId="4305C305" w14:textId="77777777" w:rsidTr="00D83656">
        <w:trPr>
          <w:trHeight w:val="361"/>
          <w:jc w:val="center"/>
        </w:trPr>
        <w:tc>
          <w:tcPr>
            <w:tcW w:w="1912" w:type="dxa"/>
          </w:tcPr>
          <w:p w14:paraId="44D0909F" w14:textId="77777777" w:rsidR="00941170" w:rsidRPr="004703B5" w:rsidRDefault="00941170" w:rsidP="00AB4263">
            <w:pPr>
              <w:jc w:val="both"/>
              <w:rPr>
                <w:sz w:val="28"/>
                <w:szCs w:val="28"/>
              </w:rPr>
            </w:pPr>
            <w:r w:rsidRPr="004703B5">
              <w:rPr>
                <w:sz w:val="28"/>
                <w:szCs w:val="28"/>
              </w:rPr>
              <w:t>3. Finansiālā ietekme:</w:t>
            </w:r>
          </w:p>
        </w:tc>
        <w:tc>
          <w:tcPr>
            <w:tcW w:w="1720" w:type="dxa"/>
            <w:shd w:val="clear" w:color="auto" w:fill="auto"/>
            <w:vAlign w:val="center"/>
          </w:tcPr>
          <w:p w14:paraId="10490074" w14:textId="77777777" w:rsidR="00941170" w:rsidRPr="00F73409" w:rsidRDefault="00941170" w:rsidP="00F73409">
            <w:pPr>
              <w:pStyle w:val="naisf"/>
              <w:spacing w:before="0" w:after="0"/>
              <w:ind w:firstLine="0"/>
              <w:rPr>
                <w:sz w:val="28"/>
                <w:szCs w:val="28"/>
              </w:rPr>
            </w:pPr>
            <w:r w:rsidRPr="00F73409">
              <w:rPr>
                <w:sz w:val="28"/>
                <w:szCs w:val="28"/>
              </w:rPr>
              <w:t>0</w:t>
            </w:r>
          </w:p>
        </w:tc>
        <w:tc>
          <w:tcPr>
            <w:tcW w:w="1826" w:type="dxa"/>
          </w:tcPr>
          <w:p w14:paraId="5BA309B4" w14:textId="77777777" w:rsidR="00941170" w:rsidRPr="00F73409" w:rsidRDefault="00CD77A9" w:rsidP="00F73409">
            <w:pPr>
              <w:jc w:val="both"/>
              <w:rPr>
                <w:color w:val="414142"/>
                <w:sz w:val="28"/>
                <w:szCs w:val="28"/>
              </w:rPr>
            </w:pPr>
            <w:r w:rsidRPr="00F73409">
              <w:rPr>
                <w:bCs/>
                <w:color w:val="000000"/>
                <w:sz w:val="28"/>
                <w:szCs w:val="28"/>
              </w:rPr>
              <w:t>0</w:t>
            </w:r>
          </w:p>
        </w:tc>
        <w:tc>
          <w:tcPr>
            <w:tcW w:w="1737" w:type="dxa"/>
          </w:tcPr>
          <w:p w14:paraId="18B814A3" w14:textId="77777777" w:rsidR="00941170" w:rsidRPr="00F73409" w:rsidRDefault="00F05EBB" w:rsidP="00F73409">
            <w:pPr>
              <w:jc w:val="both"/>
              <w:rPr>
                <w:color w:val="414142"/>
                <w:sz w:val="28"/>
                <w:szCs w:val="28"/>
              </w:rPr>
            </w:pPr>
            <w:r>
              <w:rPr>
                <w:color w:val="414142"/>
                <w:sz w:val="28"/>
                <w:szCs w:val="28"/>
              </w:rPr>
              <w:t>0</w:t>
            </w:r>
          </w:p>
        </w:tc>
        <w:tc>
          <w:tcPr>
            <w:tcW w:w="1701" w:type="dxa"/>
          </w:tcPr>
          <w:p w14:paraId="68FC6750" w14:textId="77777777" w:rsidR="00941170" w:rsidRPr="00F73409" w:rsidRDefault="00F05EBB" w:rsidP="00F73409">
            <w:pPr>
              <w:jc w:val="both"/>
              <w:rPr>
                <w:color w:val="414142"/>
                <w:sz w:val="28"/>
                <w:szCs w:val="28"/>
              </w:rPr>
            </w:pPr>
            <w:r>
              <w:rPr>
                <w:color w:val="414142"/>
                <w:sz w:val="28"/>
                <w:szCs w:val="28"/>
              </w:rPr>
              <w:t>0</w:t>
            </w:r>
          </w:p>
        </w:tc>
        <w:tc>
          <w:tcPr>
            <w:tcW w:w="1523" w:type="dxa"/>
          </w:tcPr>
          <w:p w14:paraId="36144772" w14:textId="77777777" w:rsidR="00941170" w:rsidRPr="00F73409" w:rsidRDefault="00F05EBB" w:rsidP="00F73409">
            <w:pPr>
              <w:jc w:val="both"/>
              <w:rPr>
                <w:color w:val="414142"/>
                <w:sz w:val="28"/>
                <w:szCs w:val="28"/>
              </w:rPr>
            </w:pPr>
            <w:r>
              <w:rPr>
                <w:color w:val="414142"/>
                <w:sz w:val="28"/>
                <w:szCs w:val="28"/>
              </w:rPr>
              <w:t>0</w:t>
            </w:r>
          </w:p>
        </w:tc>
      </w:tr>
      <w:tr w:rsidR="00941170" w:rsidRPr="004703B5" w14:paraId="758C8BBD" w14:textId="77777777" w:rsidTr="00D83656">
        <w:trPr>
          <w:jc w:val="center"/>
        </w:trPr>
        <w:tc>
          <w:tcPr>
            <w:tcW w:w="1912" w:type="dxa"/>
          </w:tcPr>
          <w:p w14:paraId="4F177227" w14:textId="77777777" w:rsidR="00941170" w:rsidRPr="004703B5" w:rsidRDefault="00941170" w:rsidP="00AB4263">
            <w:pPr>
              <w:jc w:val="both"/>
              <w:rPr>
                <w:sz w:val="28"/>
                <w:szCs w:val="28"/>
              </w:rPr>
            </w:pPr>
            <w:r w:rsidRPr="004703B5">
              <w:rPr>
                <w:sz w:val="28"/>
                <w:szCs w:val="28"/>
              </w:rPr>
              <w:lastRenderedPageBreak/>
              <w:t>3.1. valsts pamatbudžets</w:t>
            </w:r>
          </w:p>
        </w:tc>
        <w:tc>
          <w:tcPr>
            <w:tcW w:w="1720" w:type="dxa"/>
            <w:shd w:val="clear" w:color="auto" w:fill="auto"/>
          </w:tcPr>
          <w:p w14:paraId="51832C1E" w14:textId="77777777" w:rsidR="00941170" w:rsidRPr="00F73409" w:rsidRDefault="00941170" w:rsidP="00F73409">
            <w:pPr>
              <w:pStyle w:val="naisf"/>
              <w:spacing w:before="0" w:after="0"/>
              <w:ind w:firstLine="0"/>
              <w:rPr>
                <w:sz w:val="28"/>
                <w:szCs w:val="28"/>
              </w:rPr>
            </w:pPr>
            <w:r w:rsidRPr="00F73409">
              <w:rPr>
                <w:sz w:val="28"/>
                <w:szCs w:val="28"/>
              </w:rPr>
              <w:t>0</w:t>
            </w:r>
          </w:p>
        </w:tc>
        <w:tc>
          <w:tcPr>
            <w:tcW w:w="1826" w:type="dxa"/>
          </w:tcPr>
          <w:p w14:paraId="30404E98" w14:textId="77777777" w:rsidR="00941170" w:rsidRPr="00F73409" w:rsidRDefault="00CD77A9" w:rsidP="00F73409">
            <w:pPr>
              <w:jc w:val="both"/>
              <w:rPr>
                <w:color w:val="414142"/>
                <w:sz w:val="28"/>
                <w:szCs w:val="28"/>
              </w:rPr>
            </w:pPr>
            <w:r w:rsidRPr="00F73409">
              <w:rPr>
                <w:bCs/>
                <w:color w:val="000000"/>
                <w:sz w:val="28"/>
                <w:szCs w:val="28"/>
              </w:rPr>
              <w:t>0</w:t>
            </w:r>
          </w:p>
        </w:tc>
        <w:tc>
          <w:tcPr>
            <w:tcW w:w="1737" w:type="dxa"/>
          </w:tcPr>
          <w:p w14:paraId="2E13F2F0" w14:textId="77777777" w:rsidR="00941170" w:rsidRPr="00F73409" w:rsidRDefault="00F05EBB" w:rsidP="00F73409">
            <w:pPr>
              <w:jc w:val="both"/>
              <w:rPr>
                <w:color w:val="414142"/>
                <w:sz w:val="28"/>
                <w:szCs w:val="28"/>
              </w:rPr>
            </w:pPr>
            <w:r>
              <w:rPr>
                <w:bCs/>
                <w:color w:val="000000"/>
                <w:sz w:val="28"/>
                <w:szCs w:val="28"/>
              </w:rPr>
              <w:t>0</w:t>
            </w:r>
          </w:p>
        </w:tc>
        <w:tc>
          <w:tcPr>
            <w:tcW w:w="1701" w:type="dxa"/>
          </w:tcPr>
          <w:p w14:paraId="4E5BB33C" w14:textId="77777777" w:rsidR="00941170" w:rsidRPr="00F73409" w:rsidRDefault="00F05EBB" w:rsidP="00F73409">
            <w:pPr>
              <w:jc w:val="both"/>
              <w:rPr>
                <w:color w:val="414142"/>
                <w:sz w:val="28"/>
                <w:szCs w:val="28"/>
              </w:rPr>
            </w:pPr>
            <w:r>
              <w:rPr>
                <w:bCs/>
                <w:color w:val="000000"/>
                <w:sz w:val="28"/>
                <w:szCs w:val="28"/>
              </w:rPr>
              <w:t>0</w:t>
            </w:r>
          </w:p>
        </w:tc>
        <w:tc>
          <w:tcPr>
            <w:tcW w:w="1523" w:type="dxa"/>
          </w:tcPr>
          <w:p w14:paraId="2EF7DAAB" w14:textId="77777777" w:rsidR="00941170" w:rsidRPr="00F73409" w:rsidRDefault="00F05EBB" w:rsidP="00F73409">
            <w:pPr>
              <w:jc w:val="both"/>
              <w:rPr>
                <w:color w:val="414142"/>
                <w:sz w:val="28"/>
                <w:szCs w:val="28"/>
              </w:rPr>
            </w:pPr>
            <w:r>
              <w:rPr>
                <w:bCs/>
                <w:color w:val="000000"/>
                <w:sz w:val="28"/>
                <w:szCs w:val="28"/>
              </w:rPr>
              <w:t>0</w:t>
            </w:r>
          </w:p>
        </w:tc>
      </w:tr>
      <w:tr w:rsidR="00CE5F2A" w:rsidRPr="004703B5" w14:paraId="3436BDA7" w14:textId="77777777" w:rsidTr="00D83656">
        <w:trPr>
          <w:jc w:val="center"/>
        </w:trPr>
        <w:tc>
          <w:tcPr>
            <w:tcW w:w="1912" w:type="dxa"/>
          </w:tcPr>
          <w:p w14:paraId="2BD9C5A7" w14:textId="77777777" w:rsidR="00CE5F2A" w:rsidRPr="004703B5" w:rsidRDefault="00CE5F2A" w:rsidP="00AB4263">
            <w:pPr>
              <w:jc w:val="both"/>
              <w:rPr>
                <w:sz w:val="28"/>
                <w:szCs w:val="28"/>
              </w:rPr>
            </w:pPr>
            <w:r w:rsidRPr="004703B5">
              <w:rPr>
                <w:sz w:val="28"/>
                <w:szCs w:val="28"/>
              </w:rPr>
              <w:t>3.2. speciālais budžets</w:t>
            </w:r>
          </w:p>
        </w:tc>
        <w:tc>
          <w:tcPr>
            <w:tcW w:w="1720" w:type="dxa"/>
            <w:shd w:val="clear" w:color="auto" w:fill="auto"/>
          </w:tcPr>
          <w:p w14:paraId="5C805209" w14:textId="77777777" w:rsidR="00CE5F2A" w:rsidRPr="00F73409" w:rsidRDefault="00F73409" w:rsidP="00F73409">
            <w:pPr>
              <w:pStyle w:val="naisf"/>
              <w:spacing w:before="0" w:after="0"/>
              <w:ind w:firstLine="0"/>
              <w:rPr>
                <w:sz w:val="28"/>
                <w:szCs w:val="28"/>
              </w:rPr>
            </w:pPr>
            <w:r>
              <w:rPr>
                <w:sz w:val="28"/>
                <w:szCs w:val="28"/>
              </w:rPr>
              <w:t>0</w:t>
            </w:r>
          </w:p>
        </w:tc>
        <w:tc>
          <w:tcPr>
            <w:tcW w:w="1826" w:type="dxa"/>
          </w:tcPr>
          <w:p w14:paraId="41D81037" w14:textId="77777777" w:rsidR="00CE5F2A" w:rsidRPr="00F73409" w:rsidRDefault="00F73409" w:rsidP="00F73409">
            <w:pPr>
              <w:pStyle w:val="naisf"/>
              <w:spacing w:before="0" w:after="0"/>
              <w:ind w:firstLine="0"/>
              <w:rPr>
                <w:sz w:val="28"/>
                <w:szCs w:val="28"/>
              </w:rPr>
            </w:pPr>
            <w:r w:rsidRPr="00F73409">
              <w:rPr>
                <w:sz w:val="28"/>
                <w:szCs w:val="28"/>
              </w:rPr>
              <w:t>0</w:t>
            </w:r>
          </w:p>
        </w:tc>
        <w:tc>
          <w:tcPr>
            <w:tcW w:w="1737" w:type="dxa"/>
          </w:tcPr>
          <w:p w14:paraId="18F2EBDE" w14:textId="77777777" w:rsidR="00CE5F2A" w:rsidRPr="00F73409" w:rsidRDefault="00F73409" w:rsidP="00F73409">
            <w:pPr>
              <w:pStyle w:val="naisf"/>
              <w:spacing w:before="0" w:after="0"/>
              <w:ind w:firstLine="0"/>
              <w:rPr>
                <w:sz w:val="28"/>
                <w:szCs w:val="28"/>
              </w:rPr>
            </w:pPr>
            <w:r w:rsidRPr="00F73409">
              <w:rPr>
                <w:sz w:val="28"/>
                <w:szCs w:val="28"/>
              </w:rPr>
              <w:t>0</w:t>
            </w:r>
          </w:p>
        </w:tc>
        <w:tc>
          <w:tcPr>
            <w:tcW w:w="1701" w:type="dxa"/>
          </w:tcPr>
          <w:p w14:paraId="3A4F6DFA" w14:textId="77777777" w:rsidR="00CE5F2A" w:rsidRPr="00F73409" w:rsidRDefault="00F73409" w:rsidP="00F73409">
            <w:pPr>
              <w:pStyle w:val="naisf"/>
              <w:spacing w:before="0" w:after="0"/>
              <w:ind w:firstLine="0"/>
              <w:rPr>
                <w:sz w:val="28"/>
                <w:szCs w:val="28"/>
              </w:rPr>
            </w:pPr>
            <w:r w:rsidRPr="00F73409">
              <w:rPr>
                <w:sz w:val="28"/>
                <w:szCs w:val="28"/>
              </w:rPr>
              <w:t>0</w:t>
            </w:r>
          </w:p>
        </w:tc>
        <w:tc>
          <w:tcPr>
            <w:tcW w:w="1523" w:type="dxa"/>
          </w:tcPr>
          <w:p w14:paraId="143AF0DB" w14:textId="77777777" w:rsidR="00CE5F2A" w:rsidRPr="00F73409" w:rsidRDefault="00F73409" w:rsidP="00F73409">
            <w:pPr>
              <w:pStyle w:val="naisf"/>
              <w:spacing w:before="0" w:after="0"/>
              <w:ind w:firstLine="0"/>
              <w:rPr>
                <w:sz w:val="28"/>
                <w:szCs w:val="28"/>
              </w:rPr>
            </w:pPr>
            <w:r w:rsidRPr="00F73409">
              <w:rPr>
                <w:sz w:val="28"/>
                <w:szCs w:val="28"/>
              </w:rPr>
              <w:t>0</w:t>
            </w:r>
          </w:p>
        </w:tc>
      </w:tr>
      <w:tr w:rsidR="00CE5F2A" w:rsidRPr="004703B5" w14:paraId="19EAC593" w14:textId="77777777" w:rsidTr="00D83656">
        <w:trPr>
          <w:jc w:val="center"/>
        </w:trPr>
        <w:tc>
          <w:tcPr>
            <w:tcW w:w="1912" w:type="dxa"/>
          </w:tcPr>
          <w:p w14:paraId="33167D12" w14:textId="77777777" w:rsidR="00CE5F2A" w:rsidRPr="004703B5" w:rsidRDefault="00CE5F2A" w:rsidP="00AB4263">
            <w:pPr>
              <w:jc w:val="both"/>
              <w:rPr>
                <w:sz w:val="28"/>
                <w:szCs w:val="28"/>
              </w:rPr>
            </w:pPr>
            <w:r w:rsidRPr="004703B5">
              <w:rPr>
                <w:sz w:val="28"/>
                <w:szCs w:val="28"/>
              </w:rPr>
              <w:t xml:space="preserve">3.3. pašvaldību budžets </w:t>
            </w:r>
          </w:p>
        </w:tc>
        <w:tc>
          <w:tcPr>
            <w:tcW w:w="1720" w:type="dxa"/>
            <w:shd w:val="clear" w:color="auto" w:fill="auto"/>
          </w:tcPr>
          <w:p w14:paraId="00C8E75F" w14:textId="77777777" w:rsidR="00CE5F2A" w:rsidRPr="00F73409" w:rsidRDefault="00F73409" w:rsidP="00F73409">
            <w:pPr>
              <w:pStyle w:val="naisf"/>
              <w:spacing w:before="0" w:after="0"/>
              <w:ind w:firstLine="0"/>
              <w:rPr>
                <w:sz w:val="28"/>
                <w:szCs w:val="28"/>
              </w:rPr>
            </w:pPr>
            <w:r>
              <w:rPr>
                <w:sz w:val="28"/>
                <w:szCs w:val="28"/>
              </w:rPr>
              <w:t>0</w:t>
            </w:r>
          </w:p>
        </w:tc>
        <w:tc>
          <w:tcPr>
            <w:tcW w:w="1826" w:type="dxa"/>
          </w:tcPr>
          <w:p w14:paraId="3660D418" w14:textId="77777777" w:rsidR="00CE5F2A" w:rsidRPr="00F73409" w:rsidRDefault="00F73409" w:rsidP="00F73409">
            <w:pPr>
              <w:pStyle w:val="naisf"/>
              <w:spacing w:before="0" w:after="0"/>
              <w:ind w:firstLine="0"/>
              <w:rPr>
                <w:sz w:val="28"/>
                <w:szCs w:val="28"/>
              </w:rPr>
            </w:pPr>
            <w:r>
              <w:rPr>
                <w:sz w:val="28"/>
                <w:szCs w:val="28"/>
              </w:rPr>
              <w:t>0</w:t>
            </w:r>
          </w:p>
        </w:tc>
        <w:tc>
          <w:tcPr>
            <w:tcW w:w="1737" w:type="dxa"/>
          </w:tcPr>
          <w:p w14:paraId="3BB5797B" w14:textId="77777777" w:rsidR="00CE5F2A" w:rsidRPr="00F73409" w:rsidRDefault="00F73409" w:rsidP="00F73409">
            <w:pPr>
              <w:pStyle w:val="naisf"/>
              <w:spacing w:before="0" w:after="0"/>
              <w:ind w:firstLine="0"/>
              <w:rPr>
                <w:sz w:val="28"/>
                <w:szCs w:val="28"/>
              </w:rPr>
            </w:pPr>
            <w:r>
              <w:rPr>
                <w:sz w:val="28"/>
                <w:szCs w:val="28"/>
              </w:rPr>
              <w:t>0</w:t>
            </w:r>
          </w:p>
        </w:tc>
        <w:tc>
          <w:tcPr>
            <w:tcW w:w="1701" w:type="dxa"/>
          </w:tcPr>
          <w:p w14:paraId="3C02440B" w14:textId="77777777" w:rsidR="00CE5F2A" w:rsidRPr="00F73409" w:rsidRDefault="00F73409" w:rsidP="00F73409">
            <w:pPr>
              <w:pStyle w:val="naisf"/>
              <w:spacing w:before="0" w:after="0"/>
              <w:ind w:firstLine="0"/>
              <w:rPr>
                <w:sz w:val="28"/>
                <w:szCs w:val="28"/>
              </w:rPr>
            </w:pPr>
            <w:r>
              <w:rPr>
                <w:sz w:val="28"/>
                <w:szCs w:val="28"/>
              </w:rPr>
              <w:t>0</w:t>
            </w:r>
          </w:p>
        </w:tc>
        <w:tc>
          <w:tcPr>
            <w:tcW w:w="1523" w:type="dxa"/>
          </w:tcPr>
          <w:p w14:paraId="3DF9241A" w14:textId="77777777" w:rsidR="00CE5F2A" w:rsidRPr="00F73409" w:rsidRDefault="00F73409" w:rsidP="00F73409">
            <w:pPr>
              <w:pStyle w:val="naisf"/>
              <w:spacing w:before="0" w:after="0"/>
              <w:ind w:firstLine="0"/>
              <w:rPr>
                <w:sz w:val="28"/>
                <w:szCs w:val="28"/>
              </w:rPr>
            </w:pPr>
            <w:r>
              <w:rPr>
                <w:sz w:val="28"/>
                <w:szCs w:val="28"/>
              </w:rPr>
              <w:t>0</w:t>
            </w:r>
          </w:p>
        </w:tc>
      </w:tr>
      <w:tr w:rsidR="00CE5F2A" w:rsidRPr="004703B5" w14:paraId="2224E4C4" w14:textId="77777777" w:rsidTr="00D83656">
        <w:trPr>
          <w:jc w:val="center"/>
        </w:trPr>
        <w:tc>
          <w:tcPr>
            <w:tcW w:w="1912" w:type="dxa"/>
            <w:vMerge w:val="restart"/>
          </w:tcPr>
          <w:p w14:paraId="5EAA60DB" w14:textId="77777777" w:rsidR="00CE5F2A" w:rsidRPr="004703B5" w:rsidRDefault="00CE5F2A" w:rsidP="00AB4263">
            <w:pPr>
              <w:jc w:val="both"/>
              <w:rPr>
                <w:sz w:val="28"/>
                <w:szCs w:val="28"/>
              </w:rPr>
            </w:pPr>
            <w:r w:rsidRPr="004703B5">
              <w:rPr>
                <w:sz w:val="28"/>
                <w:szCs w:val="28"/>
              </w:rPr>
              <w:t>4. Finanšu līdzekļi papildu izde</w:t>
            </w:r>
            <w:r w:rsidRPr="004703B5">
              <w:rPr>
                <w:sz w:val="28"/>
                <w:szCs w:val="28"/>
              </w:rPr>
              <w:softHyphen/>
              <w:t>vumu finansēšanai (kompensējošu izdevumu samazinājumu norāda ar "+" zīmi)</w:t>
            </w:r>
          </w:p>
        </w:tc>
        <w:tc>
          <w:tcPr>
            <w:tcW w:w="1720" w:type="dxa"/>
            <w:vMerge w:val="restart"/>
          </w:tcPr>
          <w:p w14:paraId="4952A433" w14:textId="77777777" w:rsidR="00CE5F2A" w:rsidRPr="00F73409" w:rsidRDefault="00CE5F2A" w:rsidP="00F73409">
            <w:pPr>
              <w:pStyle w:val="naisf"/>
              <w:spacing w:before="0" w:after="0"/>
              <w:ind w:firstLine="0"/>
              <w:rPr>
                <w:sz w:val="28"/>
                <w:szCs w:val="28"/>
              </w:rPr>
            </w:pPr>
            <w:r w:rsidRPr="00F73409">
              <w:rPr>
                <w:sz w:val="28"/>
                <w:szCs w:val="28"/>
              </w:rPr>
              <w:t>X</w:t>
            </w:r>
          </w:p>
        </w:tc>
        <w:tc>
          <w:tcPr>
            <w:tcW w:w="1826" w:type="dxa"/>
          </w:tcPr>
          <w:p w14:paraId="02720EEC" w14:textId="77777777" w:rsidR="00CE5F2A" w:rsidRPr="00F73409" w:rsidRDefault="00F73409" w:rsidP="00F73409">
            <w:pPr>
              <w:pStyle w:val="naisf"/>
              <w:spacing w:before="0" w:after="0"/>
              <w:ind w:firstLine="0"/>
              <w:rPr>
                <w:sz w:val="28"/>
                <w:szCs w:val="28"/>
              </w:rPr>
            </w:pPr>
            <w:r w:rsidRPr="00F73409">
              <w:rPr>
                <w:sz w:val="28"/>
                <w:szCs w:val="28"/>
              </w:rPr>
              <w:t>0</w:t>
            </w:r>
          </w:p>
        </w:tc>
        <w:tc>
          <w:tcPr>
            <w:tcW w:w="1737" w:type="dxa"/>
          </w:tcPr>
          <w:p w14:paraId="6CB337C4" w14:textId="77777777" w:rsidR="00CE5F2A" w:rsidRPr="00F73409" w:rsidRDefault="00F73409" w:rsidP="00F73409">
            <w:pPr>
              <w:pStyle w:val="naisf"/>
              <w:spacing w:before="0" w:after="0"/>
              <w:ind w:firstLine="0"/>
              <w:rPr>
                <w:sz w:val="28"/>
                <w:szCs w:val="28"/>
              </w:rPr>
            </w:pPr>
            <w:r w:rsidRPr="00F73409">
              <w:rPr>
                <w:sz w:val="28"/>
                <w:szCs w:val="28"/>
              </w:rPr>
              <w:t>0</w:t>
            </w:r>
          </w:p>
        </w:tc>
        <w:tc>
          <w:tcPr>
            <w:tcW w:w="1701" w:type="dxa"/>
          </w:tcPr>
          <w:p w14:paraId="326F57B6" w14:textId="77777777" w:rsidR="00CE5F2A" w:rsidRPr="00F73409" w:rsidRDefault="00F73409" w:rsidP="00F73409">
            <w:pPr>
              <w:pStyle w:val="naisf"/>
              <w:spacing w:before="0" w:after="0"/>
              <w:ind w:firstLine="0"/>
              <w:rPr>
                <w:sz w:val="28"/>
                <w:szCs w:val="28"/>
              </w:rPr>
            </w:pPr>
            <w:r w:rsidRPr="00F73409">
              <w:rPr>
                <w:sz w:val="28"/>
                <w:szCs w:val="28"/>
              </w:rPr>
              <w:t>0</w:t>
            </w:r>
          </w:p>
        </w:tc>
        <w:tc>
          <w:tcPr>
            <w:tcW w:w="1523" w:type="dxa"/>
          </w:tcPr>
          <w:p w14:paraId="7484B51C" w14:textId="77777777" w:rsidR="00CE5F2A" w:rsidRPr="00F73409" w:rsidRDefault="00F73409" w:rsidP="00F73409">
            <w:pPr>
              <w:pStyle w:val="naisf"/>
              <w:spacing w:before="0" w:after="0"/>
              <w:ind w:firstLine="0"/>
              <w:rPr>
                <w:sz w:val="28"/>
                <w:szCs w:val="28"/>
              </w:rPr>
            </w:pPr>
            <w:r w:rsidRPr="00F73409">
              <w:rPr>
                <w:sz w:val="28"/>
                <w:szCs w:val="28"/>
              </w:rPr>
              <w:t>0</w:t>
            </w:r>
          </w:p>
        </w:tc>
      </w:tr>
      <w:tr w:rsidR="00CE5F2A" w:rsidRPr="004703B5" w14:paraId="5AF36EAA" w14:textId="77777777" w:rsidTr="00D83656">
        <w:trPr>
          <w:jc w:val="center"/>
        </w:trPr>
        <w:tc>
          <w:tcPr>
            <w:tcW w:w="1912" w:type="dxa"/>
            <w:vMerge/>
          </w:tcPr>
          <w:p w14:paraId="7C68F4C3" w14:textId="77777777" w:rsidR="00CE5F2A" w:rsidRPr="004703B5" w:rsidRDefault="00CE5F2A" w:rsidP="00AB4263">
            <w:pPr>
              <w:jc w:val="both"/>
              <w:rPr>
                <w:sz w:val="28"/>
                <w:szCs w:val="28"/>
              </w:rPr>
            </w:pPr>
          </w:p>
        </w:tc>
        <w:tc>
          <w:tcPr>
            <w:tcW w:w="1720" w:type="dxa"/>
            <w:vMerge/>
          </w:tcPr>
          <w:p w14:paraId="6182DA91" w14:textId="77777777" w:rsidR="00CE5F2A" w:rsidRPr="00F73409" w:rsidRDefault="00CE5F2A" w:rsidP="00F73409">
            <w:pPr>
              <w:pStyle w:val="naisf"/>
              <w:spacing w:before="0" w:after="0"/>
              <w:ind w:firstLine="0"/>
              <w:rPr>
                <w:sz w:val="28"/>
                <w:szCs w:val="28"/>
              </w:rPr>
            </w:pPr>
          </w:p>
        </w:tc>
        <w:tc>
          <w:tcPr>
            <w:tcW w:w="1826" w:type="dxa"/>
          </w:tcPr>
          <w:p w14:paraId="7407E515" w14:textId="77777777" w:rsidR="00CE5F2A" w:rsidRPr="00F73409" w:rsidRDefault="00F73409" w:rsidP="00F73409">
            <w:pPr>
              <w:pStyle w:val="naisf"/>
              <w:spacing w:before="0" w:after="0"/>
              <w:ind w:firstLine="0"/>
              <w:rPr>
                <w:sz w:val="28"/>
                <w:szCs w:val="28"/>
              </w:rPr>
            </w:pPr>
            <w:r w:rsidRPr="00F73409">
              <w:rPr>
                <w:sz w:val="28"/>
                <w:szCs w:val="28"/>
              </w:rPr>
              <w:t>0</w:t>
            </w:r>
          </w:p>
        </w:tc>
        <w:tc>
          <w:tcPr>
            <w:tcW w:w="1737" w:type="dxa"/>
          </w:tcPr>
          <w:p w14:paraId="6DEC52DC" w14:textId="77777777" w:rsidR="00CE5F2A" w:rsidRPr="00F73409" w:rsidRDefault="00F73409" w:rsidP="00F73409">
            <w:pPr>
              <w:pStyle w:val="naisf"/>
              <w:spacing w:before="0" w:after="0"/>
              <w:ind w:firstLine="0"/>
              <w:rPr>
                <w:sz w:val="28"/>
                <w:szCs w:val="28"/>
              </w:rPr>
            </w:pPr>
            <w:r w:rsidRPr="00F73409">
              <w:rPr>
                <w:sz w:val="28"/>
                <w:szCs w:val="28"/>
              </w:rPr>
              <w:t>0</w:t>
            </w:r>
          </w:p>
        </w:tc>
        <w:tc>
          <w:tcPr>
            <w:tcW w:w="1701" w:type="dxa"/>
          </w:tcPr>
          <w:p w14:paraId="1E33A20F" w14:textId="77777777" w:rsidR="00CE5F2A" w:rsidRPr="00F73409" w:rsidRDefault="00F73409" w:rsidP="00F73409">
            <w:pPr>
              <w:pStyle w:val="naisf"/>
              <w:spacing w:before="0" w:after="0"/>
              <w:ind w:firstLine="0"/>
              <w:rPr>
                <w:sz w:val="28"/>
                <w:szCs w:val="28"/>
              </w:rPr>
            </w:pPr>
            <w:r w:rsidRPr="00F73409">
              <w:rPr>
                <w:sz w:val="28"/>
                <w:szCs w:val="28"/>
              </w:rPr>
              <w:t>0</w:t>
            </w:r>
          </w:p>
        </w:tc>
        <w:tc>
          <w:tcPr>
            <w:tcW w:w="1523" w:type="dxa"/>
          </w:tcPr>
          <w:p w14:paraId="3DDCCEB9" w14:textId="77777777" w:rsidR="00CE5F2A" w:rsidRPr="00F73409" w:rsidRDefault="00F73409" w:rsidP="00F73409">
            <w:pPr>
              <w:pStyle w:val="naisf"/>
              <w:spacing w:before="0" w:after="0"/>
              <w:ind w:firstLine="0"/>
              <w:rPr>
                <w:sz w:val="28"/>
                <w:szCs w:val="28"/>
              </w:rPr>
            </w:pPr>
            <w:r w:rsidRPr="00F73409">
              <w:rPr>
                <w:sz w:val="28"/>
                <w:szCs w:val="28"/>
              </w:rPr>
              <w:t>0</w:t>
            </w:r>
          </w:p>
        </w:tc>
      </w:tr>
      <w:tr w:rsidR="00CE5F2A" w:rsidRPr="004703B5" w14:paraId="5CEA289F" w14:textId="77777777" w:rsidTr="00D83656">
        <w:trPr>
          <w:trHeight w:val="933"/>
          <w:jc w:val="center"/>
        </w:trPr>
        <w:tc>
          <w:tcPr>
            <w:tcW w:w="1912" w:type="dxa"/>
            <w:vMerge/>
          </w:tcPr>
          <w:p w14:paraId="47E95955" w14:textId="77777777" w:rsidR="00CE5F2A" w:rsidRPr="004703B5" w:rsidRDefault="00CE5F2A" w:rsidP="00AB4263">
            <w:pPr>
              <w:jc w:val="both"/>
              <w:rPr>
                <w:sz w:val="28"/>
                <w:szCs w:val="28"/>
              </w:rPr>
            </w:pPr>
          </w:p>
        </w:tc>
        <w:tc>
          <w:tcPr>
            <w:tcW w:w="1720" w:type="dxa"/>
            <w:vMerge/>
          </w:tcPr>
          <w:p w14:paraId="5E14E918" w14:textId="77777777" w:rsidR="00CE5F2A" w:rsidRPr="00F73409" w:rsidRDefault="00CE5F2A" w:rsidP="00F73409">
            <w:pPr>
              <w:pStyle w:val="naisf"/>
              <w:spacing w:before="0" w:after="0"/>
              <w:ind w:firstLine="0"/>
              <w:rPr>
                <w:sz w:val="28"/>
                <w:szCs w:val="28"/>
              </w:rPr>
            </w:pPr>
          </w:p>
        </w:tc>
        <w:tc>
          <w:tcPr>
            <w:tcW w:w="1826" w:type="dxa"/>
          </w:tcPr>
          <w:p w14:paraId="633F280A" w14:textId="77777777" w:rsidR="00CE5F2A" w:rsidRPr="00F73409" w:rsidRDefault="00CE5F2A" w:rsidP="00F73409">
            <w:pPr>
              <w:pStyle w:val="naisf"/>
              <w:spacing w:before="0" w:after="0"/>
              <w:ind w:firstLine="0"/>
              <w:rPr>
                <w:b/>
                <w:sz w:val="28"/>
                <w:szCs w:val="28"/>
              </w:rPr>
            </w:pPr>
          </w:p>
        </w:tc>
        <w:tc>
          <w:tcPr>
            <w:tcW w:w="1737" w:type="dxa"/>
          </w:tcPr>
          <w:p w14:paraId="08EFFE2C" w14:textId="77777777" w:rsidR="00CE5F2A" w:rsidRPr="00F73409" w:rsidRDefault="00CE5F2A" w:rsidP="00F73409">
            <w:pPr>
              <w:pStyle w:val="naisf"/>
              <w:spacing w:before="0" w:after="0"/>
              <w:ind w:firstLine="0"/>
              <w:rPr>
                <w:b/>
                <w:sz w:val="28"/>
                <w:szCs w:val="28"/>
              </w:rPr>
            </w:pPr>
          </w:p>
        </w:tc>
        <w:tc>
          <w:tcPr>
            <w:tcW w:w="1701" w:type="dxa"/>
          </w:tcPr>
          <w:p w14:paraId="79F69F18" w14:textId="77777777" w:rsidR="00CE5F2A" w:rsidRPr="00F73409" w:rsidRDefault="00CE5F2A" w:rsidP="00F73409">
            <w:pPr>
              <w:pStyle w:val="naisf"/>
              <w:spacing w:before="0" w:after="0"/>
              <w:ind w:firstLine="0"/>
              <w:rPr>
                <w:b/>
                <w:sz w:val="28"/>
                <w:szCs w:val="28"/>
              </w:rPr>
            </w:pPr>
          </w:p>
        </w:tc>
        <w:tc>
          <w:tcPr>
            <w:tcW w:w="1523" w:type="dxa"/>
          </w:tcPr>
          <w:p w14:paraId="05425601" w14:textId="77777777" w:rsidR="00CE5F2A" w:rsidRPr="00F73409" w:rsidRDefault="00CE5F2A" w:rsidP="00F73409">
            <w:pPr>
              <w:pStyle w:val="naisf"/>
              <w:spacing w:before="0" w:after="0"/>
              <w:ind w:firstLine="0"/>
              <w:rPr>
                <w:b/>
                <w:sz w:val="28"/>
                <w:szCs w:val="28"/>
              </w:rPr>
            </w:pPr>
          </w:p>
        </w:tc>
      </w:tr>
      <w:tr w:rsidR="00941170" w:rsidRPr="004703B5" w14:paraId="3EB6C9E5" w14:textId="77777777" w:rsidTr="00D83656">
        <w:trPr>
          <w:jc w:val="center"/>
        </w:trPr>
        <w:tc>
          <w:tcPr>
            <w:tcW w:w="1912" w:type="dxa"/>
          </w:tcPr>
          <w:p w14:paraId="1E2547D0" w14:textId="77777777" w:rsidR="00941170" w:rsidRPr="004703B5" w:rsidRDefault="00941170" w:rsidP="00AB4263">
            <w:pPr>
              <w:jc w:val="both"/>
              <w:rPr>
                <w:sz w:val="28"/>
                <w:szCs w:val="28"/>
              </w:rPr>
            </w:pPr>
            <w:r w:rsidRPr="004703B5">
              <w:rPr>
                <w:sz w:val="28"/>
                <w:szCs w:val="28"/>
              </w:rPr>
              <w:t>5. Precizēta finansiālā ietekme:</w:t>
            </w:r>
          </w:p>
        </w:tc>
        <w:tc>
          <w:tcPr>
            <w:tcW w:w="1720" w:type="dxa"/>
            <w:vMerge w:val="restart"/>
          </w:tcPr>
          <w:p w14:paraId="1740A732" w14:textId="77777777" w:rsidR="00941170" w:rsidRPr="00F73409" w:rsidRDefault="00941170" w:rsidP="00F73409">
            <w:pPr>
              <w:pStyle w:val="naisf"/>
              <w:spacing w:before="0" w:after="0"/>
              <w:ind w:firstLine="0"/>
              <w:rPr>
                <w:sz w:val="28"/>
                <w:szCs w:val="28"/>
              </w:rPr>
            </w:pPr>
            <w:r w:rsidRPr="00F73409">
              <w:rPr>
                <w:sz w:val="28"/>
                <w:szCs w:val="28"/>
              </w:rPr>
              <w:t>X</w:t>
            </w:r>
          </w:p>
        </w:tc>
        <w:tc>
          <w:tcPr>
            <w:tcW w:w="1826" w:type="dxa"/>
          </w:tcPr>
          <w:p w14:paraId="265AD839" w14:textId="77777777" w:rsidR="00941170" w:rsidRPr="00F73409" w:rsidRDefault="00CD77A9" w:rsidP="00F73409">
            <w:pPr>
              <w:jc w:val="both"/>
              <w:rPr>
                <w:color w:val="414142"/>
                <w:sz w:val="28"/>
                <w:szCs w:val="28"/>
              </w:rPr>
            </w:pPr>
            <w:r w:rsidRPr="00F73409">
              <w:rPr>
                <w:bCs/>
                <w:color w:val="000000"/>
                <w:sz w:val="28"/>
                <w:szCs w:val="28"/>
              </w:rPr>
              <w:t>0</w:t>
            </w:r>
          </w:p>
        </w:tc>
        <w:tc>
          <w:tcPr>
            <w:tcW w:w="1737" w:type="dxa"/>
          </w:tcPr>
          <w:p w14:paraId="0625B8E2" w14:textId="77777777" w:rsidR="00941170" w:rsidRPr="00F73409" w:rsidRDefault="00F05EBB" w:rsidP="00F73409">
            <w:pPr>
              <w:jc w:val="both"/>
              <w:rPr>
                <w:color w:val="414142"/>
                <w:sz w:val="28"/>
                <w:szCs w:val="28"/>
              </w:rPr>
            </w:pPr>
            <w:r>
              <w:rPr>
                <w:sz w:val="28"/>
                <w:szCs w:val="28"/>
              </w:rPr>
              <w:t>0</w:t>
            </w:r>
          </w:p>
        </w:tc>
        <w:tc>
          <w:tcPr>
            <w:tcW w:w="1701" w:type="dxa"/>
          </w:tcPr>
          <w:p w14:paraId="70327616" w14:textId="77777777" w:rsidR="00941170" w:rsidRPr="00F73409" w:rsidRDefault="00F05EBB" w:rsidP="00F73409">
            <w:pPr>
              <w:jc w:val="both"/>
              <w:rPr>
                <w:color w:val="414142"/>
                <w:sz w:val="28"/>
                <w:szCs w:val="28"/>
              </w:rPr>
            </w:pPr>
            <w:r>
              <w:rPr>
                <w:color w:val="414142"/>
                <w:sz w:val="28"/>
                <w:szCs w:val="28"/>
              </w:rPr>
              <w:t>0</w:t>
            </w:r>
          </w:p>
        </w:tc>
        <w:tc>
          <w:tcPr>
            <w:tcW w:w="1523" w:type="dxa"/>
          </w:tcPr>
          <w:p w14:paraId="5AE92ED7" w14:textId="77777777" w:rsidR="00941170" w:rsidRPr="00F73409" w:rsidRDefault="00F05EBB" w:rsidP="00F73409">
            <w:pPr>
              <w:jc w:val="both"/>
              <w:rPr>
                <w:color w:val="414142"/>
                <w:sz w:val="28"/>
                <w:szCs w:val="28"/>
              </w:rPr>
            </w:pPr>
            <w:r>
              <w:rPr>
                <w:color w:val="414142"/>
                <w:sz w:val="28"/>
                <w:szCs w:val="28"/>
              </w:rPr>
              <w:t>0</w:t>
            </w:r>
          </w:p>
        </w:tc>
      </w:tr>
      <w:tr w:rsidR="00941170" w:rsidRPr="004703B5" w14:paraId="4139D242" w14:textId="77777777" w:rsidTr="00D83656">
        <w:trPr>
          <w:jc w:val="center"/>
        </w:trPr>
        <w:tc>
          <w:tcPr>
            <w:tcW w:w="1912" w:type="dxa"/>
          </w:tcPr>
          <w:p w14:paraId="056C1D3A" w14:textId="77777777" w:rsidR="00941170" w:rsidRPr="004703B5" w:rsidRDefault="00941170" w:rsidP="00AB4263">
            <w:pPr>
              <w:jc w:val="both"/>
              <w:rPr>
                <w:sz w:val="28"/>
                <w:szCs w:val="28"/>
              </w:rPr>
            </w:pPr>
            <w:r w:rsidRPr="004703B5">
              <w:rPr>
                <w:sz w:val="28"/>
                <w:szCs w:val="28"/>
              </w:rPr>
              <w:t>5.1. valsts pamatbudžets</w:t>
            </w:r>
          </w:p>
        </w:tc>
        <w:tc>
          <w:tcPr>
            <w:tcW w:w="1720" w:type="dxa"/>
            <w:vMerge/>
            <w:vAlign w:val="center"/>
          </w:tcPr>
          <w:p w14:paraId="1FA9F50B" w14:textId="77777777" w:rsidR="00941170" w:rsidRPr="00F73409" w:rsidRDefault="00941170" w:rsidP="00F73409">
            <w:pPr>
              <w:pStyle w:val="naisf"/>
              <w:spacing w:before="0" w:after="0"/>
              <w:ind w:firstLine="0"/>
              <w:rPr>
                <w:sz w:val="28"/>
                <w:szCs w:val="28"/>
              </w:rPr>
            </w:pPr>
          </w:p>
        </w:tc>
        <w:tc>
          <w:tcPr>
            <w:tcW w:w="1826" w:type="dxa"/>
          </w:tcPr>
          <w:p w14:paraId="562A5899" w14:textId="77777777" w:rsidR="00941170" w:rsidRPr="00F73409" w:rsidRDefault="00CD77A9" w:rsidP="00F73409">
            <w:pPr>
              <w:jc w:val="both"/>
              <w:rPr>
                <w:color w:val="414142"/>
                <w:sz w:val="28"/>
                <w:szCs w:val="28"/>
              </w:rPr>
            </w:pPr>
            <w:r w:rsidRPr="00F73409">
              <w:rPr>
                <w:bCs/>
                <w:color w:val="000000"/>
                <w:sz w:val="28"/>
                <w:szCs w:val="28"/>
              </w:rPr>
              <w:t>0</w:t>
            </w:r>
          </w:p>
        </w:tc>
        <w:tc>
          <w:tcPr>
            <w:tcW w:w="1737" w:type="dxa"/>
          </w:tcPr>
          <w:p w14:paraId="3195C8DD" w14:textId="77777777" w:rsidR="00941170" w:rsidRPr="00F73409" w:rsidRDefault="00960390" w:rsidP="00F73409">
            <w:pPr>
              <w:jc w:val="both"/>
              <w:rPr>
                <w:color w:val="414142"/>
                <w:sz w:val="28"/>
                <w:szCs w:val="28"/>
              </w:rPr>
            </w:pPr>
            <w:r>
              <w:rPr>
                <w:color w:val="414142"/>
                <w:sz w:val="28"/>
                <w:szCs w:val="28"/>
              </w:rPr>
              <w:t>0</w:t>
            </w:r>
          </w:p>
        </w:tc>
        <w:tc>
          <w:tcPr>
            <w:tcW w:w="1701" w:type="dxa"/>
          </w:tcPr>
          <w:p w14:paraId="5A47939C" w14:textId="77777777" w:rsidR="00941170" w:rsidRPr="00F73409" w:rsidRDefault="00960390" w:rsidP="00F73409">
            <w:pPr>
              <w:jc w:val="both"/>
              <w:rPr>
                <w:color w:val="414142"/>
                <w:sz w:val="28"/>
                <w:szCs w:val="28"/>
              </w:rPr>
            </w:pPr>
            <w:r>
              <w:rPr>
                <w:color w:val="414142"/>
                <w:sz w:val="28"/>
                <w:szCs w:val="28"/>
              </w:rPr>
              <w:t>0</w:t>
            </w:r>
          </w:p>
        </w:tc>
        <w:tc>
          <w:tcPr>
            <w:tcW w:w="1523" w:type="dxa"/>
          </w:tcPr>
          <w:p w14:paraId="06F6B2E6" w14:textId="77777777" w:rsidR="00941170" w:rsidRPr="00F73409" w:rsidRDefault="00960390" w:rsidP="00F73409">
            <w:pPr>
              <w:jc w:val="both"/>
              <w:rPr>
                <w:color w:val="414142"/>
                <w:sz w:val="28"/>
                <w:szCs w:val="28"/>
              </w:rPr>
            </w:pPr>
            <w:r>
              <w:rPr>
                <w:color w:val="414142"/>
                <w:sz w:val="28"/>
                <w:szCs w:val="28"/>
              </w:rPr>
              <w:t>0</w:t>
            </w:r>
          </w:p>
        </w:tc>
      </w:tr>
      <w:tr w:rsidR="00941170" w:rsidRPr="004703B5" w14:paraId="7F2820E7" w14:textId="77777777" w:rsidTr="00D83656">
        <w:trPr>
          <w:jc w:val="center"/>
        </w:trPr>
        <w:tc>
          <w:tcPr>
            <w:tcW w:w="1912" w:type="dxa"/>
          </w:tcPr>
          <w:p w14:paraId="62440A5D" w14:textId="77777777" w:rsidR="00941170" w:rsidRPr="004703B5" w:rsidRDefault="00941170" w:rsidP="00AB4263">
            <w:pPr>
              <w:jc w:val="both"/>
              <w:rPr>
                <w:sz w:val="28"/>
                <w:szCs w:val="28"/>
              </w:rPr>
            </w:pPr>
            <w:r w:rsidRPr="004703B5">
              <w:rPr>
                <w:sz w:val="28"/>
                <w:szCs w:val="28"/>
              </w:rPr>
              <w:t>5.2. speciālais budžets</w:t>
            </w:r>
          </w:p>
        </w:tc>
        <w:tc>
          <w:tcPr>
            <w:tcW w:w="1720" w:type="dxa"/>
            <w:vMerge/>
            <w:vAlign w:val="center"/>
          </w:tcPr>
          <w:p w14:paraId="674E6A33" w14:textId="77777777" w:rsidR="00941170" w:rsidRPr="00F73409" w:rsidRDefault="00941170" w:rsidP="00F73409">
            <w:pPr>
              <w:pStyle w:val="naisf"/>
              <w:spacing w:before="0" w:after="0"/>
              <w:ind w:firstLine="0"/>
              <w:rPr>
                <w:sz w:val="28"/>
                <w:szCs w:val="28"/>
              </w:rPr>
            </w:pPr>
          </w:p>
        </w:tc>
        <w:tc>
          <w:tcPr>
            <w:tcW w:w="1826" w:type="dxa"/>
          </w:tcPr>
          <w:p w14:paraId="464D0D41" w14:textId="77777777" w:rsidR="00941170" w:rsidRPr="00F73409" w:rsidRDefault="00F73409" w:rsidP="00F73409">
            <w:pPr>
              <w:pStyle w:val="naisf"/>
              <w:spacing w:before="0" w:after="0"/>
              <w:ind w:firstLine="0"/>
              <w:rPr>
                <w:sz w:val="28"/>
                <w:szCs w:val="28"/>
              </w:rPr>
            </w:pPr>
            <w:r w:rsidRPr="00F73409">
              <w:rPr>
                <w:sz w:val="28"/>
                <w:szCs w:val="28"/>
              </w:rPr>
              <w:t>0</w:t>
            </w:r>
          </w:p>
        </w:tc>
        <w:tc>
          <w:tcPr>
            <w:tcW w:w="1737" w:type="dxa"/>
          </w:tcPr>
          <w:p w14:paraId="15025194" w14:textId="77777777" w:rsidR="00941170" w:rsidRPr="00F73409" w:rsidRDefault="00F73409" w:rsidP="00F73409">
            <w:pPr>
              <w:pStyle w:val="naisf"/>
              <w:spacing w:before="0" w:after="0"/>
              <w:ind w:firstLine="0"/>
              <w:rPr>
                <w:sz w:val="28"/>
                <w:szCs w:val="28"/>
              </w:rPr>
            </w:pPr>
            <w:r w:rsidRPr="00F73409">
              <w:rPr>
                <w:sz w:val="28"/>
                <w:szCs w:val="28"/>
              </w:rPr>
              <w:t>0</w:t>
            </w:r>
          </w:p>
        </w:tc>
        <w:tc>
          <w:tcPr>
            <w:tcW w:w="1701" w:type="dxa"/>
          </w:tcPr>
          <w:p w14:paraId="150061E0" w14:textId="77777777" w:rsidR="00941170" w:rsidRPr="00F73409" w:rsidRDefault="00F73409" w:rsidP="00F73409">
            <w:pPr>
              <w:pStyle w:val="naisf"/>
              <w:spacing w:before="0" w:after="0"/>
              <w:ind w:firstLine="0"/>
              <w:rPr>
                <w:sz w:val="28"/>
                <w:szCs w:val="28"/>
              </w:rPr>
            </w:pPr>
            <w:r w:rsidRPr="00F73409">
              <w:rPr>
                <w:sz w:val="28"/>
                <w:szCs w:val="28"/>
              </w:rPr>
              <w:t>0</w:t>
            </w:r>
          </w:p>
        </w:tc>
        <w:tc>
          <w:tcPr>
            <w:tcW w:w="1523" w:type="dxa"/>
          </w:tcPr>
          <w:p w14:paraId="4AB79050" w14:textId="77777777" w:rsidR="00941170" w:rsidRPr="00F73409" w:rsidRDefault="00F73409" w:rsidP="00F73409">
            <w:pPr>
              <w:pStyle w:val="naisf"/>
              <w:spacing w:before="0" w:after="0"/>
              <w:ind w:firstLine="0"/>
              <w:rPr>
                <w:sz w:val="28"/>
                <w:szCs w:val="28"/>
              </w:rPr>
            </w:pPr>
            <w:r w:rsidRPr="00F73409">
              <w:rPr>
                <w:sz w:val="28"/>
                <w:szCs w:val="28"/>
              </w:rPr>
              <w:t>0</w:t>
            </w:r>
          </w:p>
        </w:tc>
      </w:tr>
      <w:tr w:rsidR="00941170" w:rsidRPr="004703B5" w14:paraId="3AA32352" w14:textId="77777777" w:rsidTr="00D83656">
        <w:trPr>
          <w:jc w:val="center"/>
        </w:trPr>
        <w:tc>
          <w:tcPr>
            <w:tcW w:w="1912" w:type="dxa"/>
          </w:tcPr>
          <w:p w14:paraId="418347F0" w14:textId="77777777" w:rsidR="00941170" w:rsidRPr="004703B5" w:rsidRDefault="00941170" w:rsidP="00AB4263">
            <w:pPr>
              <w:jc w:val="both"/>
              <w:rPr>
                <w:sz w:val="28"/>
                <w:szCs w:val="28"/>
              </w:rPr>
            </w:pPr>
            <w:r w:rsidRPr="004703B5">
              <w:rPr>
                <w:sz w:val="28"/>
                <w:szCs w:val="28"/>
              </w:rPr>
              <w:t xml:space="preserve">5.3. pašvaldību budžets </w:t>
            </w:r>
          </w:p>
        </w:tc>
        <w:tc>
          <w:tcPr>
            <w:tcW w:w="1720" w:type="dxa"/>
            <w:vMerge/>
            <w:vAlign w:val="center"/>
          </w:tcPr>
          <w:p w14:paraId="646B8C24" w14:textId="77777777" w:rsidR="00941170" w:rsidRPr="00F73409" w:rsidRDefault="00941170" w:rsidP="00F73409">
            <w:pPr>
              <w:pStyle w:val="naisf"/>
              <w:spacing w:before="0" w:after="0"/>
              <w:ind w:firstLine="0"/>
              <w:rPr>
                <w:sz w:val="28"/>
                <w:szCs w:val="28"/>
              </w:rPr>
            </w:pPr>
          </w:p>
        </w:tc>
        <w:tc>
          <w:tcPr>
            <w:tcW w:w="1826" w:type="dxa"/>
          </w:tcPr>
          <w:p w14:paraId="0CEC25A3" w14:textId="77777777" w:rsidR="00941170" w:rsidRPr="00F73409" w:rsidRDefault="00F73409" w:rsidP="00F73409">
            <w:pPr>
              <w:pStyle w:val="naisf"/>
              <w:spacing w:before="0" w:after="0"/>
              <w:ind w:firstLine="0"/>
              <w:rPr>
                <w:sz w:val="28"/>
                <w:szCs w:val="28"/>
              </w:rPr>
            </w:pPr>
            <w:r w:rsidRPr="00F73409">
              <w:rPr>
                <w:sz w:val="28"/>
                <w:szCs w:val="28"/>
              </w:rPr>
              <w:t>0</w:t>
            </w:r>
          </w:p>
        </w:tc>
        <w:tc>
          <w:tcPr>
            <w:tcW w:w="1737" w:type="dxa"/>
          </w:tcPr>
          <w:p w14:paraId="5A6C888C" w14:textId="77777777" w:rsidR="00941170" w:rsidRPr="00F73409" w:rsidRDefault="00F73409" w:rsidP="00F73409">
            <w:pPr>
              <w:pStyle w:val="naisf"/>
              <w:spacing w:before="0" w:after="0"/>
              <w:ind w:firstLine="0"/>
              <w:rPr>
                <w:sz w:val="28"/>
                <w:szCs w:val="28"/>
              </w:rPr>
            </w:pPr>
            <w:r w:rsidRPr="00F73409">
              <w:rPr>
                <w:sz w:val="28"/>
                <w:szCs w:val="28"/>
              </w:rPr>
              <w:t>0</w:t>
            </w:r>
          </w:p>
        </w:tc>
        <w:tc>
          <w:tcPr>
            <w:tcW w:w="1701" w:type="dxa"/>
          </w:tcPr>
          <w:p w14:paraId="10BF54C1" w14:textId="77777777" w:rsidR="00941170" w:rsidRPr="00F73409" w:rsidRDefault="00F73409" w:rsidP="00F73409">
            <w:pPr>
              <w:pStyle w:val="naisf"/>
              <w:spacing w:before="0" w:after="0"/>
              <w:ind w:firstLine="0"/>
              <w:rPr>
                <w:sz w:val="28"/>
                <w:szCs w:val="28"/>
              </w:rPr>
            </w:pPr>
            <w:r w:rsidRPr="00F73409">
              <w:rPr>
                <w:sz w:val="28"/>
                <w:szCs w:val="28"/>
              </w:rPr>
              <w:t>0</w:t>
            </w:r>
          </w:p>
        </w:tc>
        <w:tc>
          <w:tcPr>
            <w:tcW w:w="1523" w:type="dxa"/>
          </w:tcPr>
          <w:p w14:paraId="17232730" w14:textId="77777777" w:rsidR="00941170" w:rsidRPr="00F73409" w:rsidRDefault="00F73409" w:rsidP="00F73409">
            <w:pPr>
              <w:pStyle w:val="naisf"/>
              <w:spacing w:before="0" w:after="0"/>
              <w:ind w:firstLine="0"/>
              <w:rPr>
                <w:sz w:val="28"/>
                <w:szCs w:val="28"/>
              </w:rPr>
            </w:pPr>
            <w:r w:rsidRPr="00F73409">
              <w:rPr>
                <w:sz w:val="28"/>
                <w:szCs w:val="28"/>
              </w:rPr>
              <w:t>0</w:t>
            </w:r>
          </w:p>
        </w:tc>
      </w:tr>
      <w:tr w:rsidR="00941170" w:rsidRPr="004703B5" w14:paraId="2099540B" w14:textId="77777777" w:rsidTr="003C33F4">
        <w:trPr>
          <w:trHeight w:val="1416"/>
          <w:jc w:val="center"/>
        </w:trPr>
        <w:tc>
          <w:tcPr>
            <w:tcW w:w="1912" w:type="dxa"/>
          </w:tcPr>
          <w:p w14:paraId="1F8ED430" w14:textId="77777777" w:rsidR="00941170" w:rsidRPr="004703B5" w:rsidRDefault="00941170" w:rsidP="00AB4263">
            <w:pPr>
              <w:jc w:val="both"/>
              <w:rPr>
                <w:sz w:val="28"/>
                <w:szCs w:val="28"/>
              </w:rPr>
            </w:pPr>
            <w:r w:rsidRPr="004703B5">
              <w:rPr>
                <w:sz w:val="28"/>
                <w:szCs w:val="28"/>
              </w:rPr>
              <w:t>6. Detalizēts ieņēmumu un izdevu</w:t>
            </w:r>
            <w:r w:rsidRPr="004703B5">
              <w:rPr>
                <w:sz w:val="28"/>
                <w:szCs w:val="28"/>
              </w:rPr>
              <w:softHyphen/>
              <w:t>mu aprēķins (ja nepieciešams, detalizētu ieņēmumu un izdevumu aprēķinu var pievienot anotācijas pielikumā):</w:t>
            </w:r>
          </w:p>
        </w:tc>
        <w:tc>
          <w:tcPr>
            <w:tcW w:w="8507" w:type="dxa"/>
            <w:gridSpan w:val="5"/>
            <w:vMerge w:val="restart"/>
            <w:vAlign w:val="center"/>
          </w:tcPr>
          <w:p w14:paraId="456EEF48" w14:textId="77777777" w:rsidR="00185A0A" w:rsidRDefault="00B45CB4" w:rsidP="00B45CB4">
            <w:pPr>
              <w:pStyle w:val="naisf"/>
              <w:tabs>
                <w:tab w:val="left" w:pos="4644"/>
              </w:tabs>
              <w:spacing w:before="0" w:after="0"/>
              <w:ind w:firstLine="0"/>
              <w:rPr>
                <w:sz w:val="28"/>
                <w:szCs w:val="28"/>
              </w:rPr>
            </w:pPr>
            <w:r>
              <w:rPr>
                <w:sz w:val="28"/>
                <w:szCs w:val="28"/>
              </w:rPr>
              <w:t xml:space="preserve">Likumā Par valsts budžetu 2014.gadam apakšprogrammā 01.07.00 </w:t>
            </w:r>
            <w:r w:rsidRPr="00B63B0A">
              <w:rPr>
                <w:sz w:val="28"/>
                <w:szCs w:val="28"/>
              </w:rPr>
              <w:t>„</w:t>
            </w:r>
            <w:r>
              <w:rPr>
                <w:sz w:val="28"/>
                <w:szCs w:val="28"/>
              </w:rPr>
              <w:t>Dotācija brīvpusdienu nodrošināšanai 1., 2. un 3.klases izglītojamiem” paredzēts finansējums 11 679 100</w:t>
            </w:r>
            <w:r w:rsidRPr="00371810">
              <w:rPr>
                <w:sz w:val="28"/>
                <w:szCs w:val="28"/>
                <w:u w:val="single"/>
              </w:rPr>
              <w:t xml:space="preserve"> </w:t>
            </w:r>
            <w:proofErr w:type="spellStart"/>
            <w:r w:rsidRPr="00371810">
              <w:rPr>
                <w:i/>
                <w:sz w:val="28"/>
                <w:szCs w:val="28"/>
                <w:u w:val="single"/>
              </w:rPr>
              <w:t>euro</w:t>
            </w:r>
            <w:proofErr w:type="spellEnd"/>
            <w:r w:rsidRPr="00371810">
              <w:rPr>
                <w:sz w:val="28"/>
                <w:szCs w:val="28"/>
                <w:u w:val="single"/>
              </w:rPr>
              <w:t xml:space="preserve"> </w:t>
            </w:r>
            <w:r>
              <w:rPr>
                <w:sz w:val="28"/>
                <w:szCs w:val="28"/>
              </w:rPr>
              <w:t>apmērā</w:t>
            </w:r>
            <w:r w:rsidR="004B67BB">
              <w:rPr>
                <w:sz w:val="28"/>
                <w:szCs w:val="28"/>
              </w:rPr>
              <w:t>.</w:t>
            </w:r>
            <w:r w:rsidR="00185A0A">
              <w:rPr>
                <w:sz w:val="28"/>
                <w:szCs w:val="28"/>
              </w:rPr>
              <w:t xml:space="preserve"> Ministrijas </w:t>
            </w:r>
            <w:r w:rsidR="00970AFC" w:rsidRPr="009A4D87">
              <w:rPr>
                <w:sz w:val="28"/>
                <w:szCs w:val="28"/>
              </w:rPr>
              <w:t>budžeta bāzes izdevum</w:t>
            </w:r>
            <w:r w:rsidR="00970AFC">
              <w:rPr>
                <w:sz w:val="28"/>
                <w:szCs w:val="28"/>
              </w:rPr>
              <w:t>i</w:t>
            </w:r>
            <w:r w:rsidR="00185A0A">
              <w:rPr>
                <w:sz w:val="28"/>
                <w:szCs w:val="28"/>
              </w:rPr>
              <w:t xml:space="preserve"> 2015.gadam </w:t>
            </w:r>
            <w:r w:rsidR="00970AFC">
              <w:rPr>
                <w:sz w:val="28"/>
                <w:szCs w:val="28"/>
              </w:rPr>
              <w:t>-</w:t>
            </w:r>
            <w:r w:rsidR="00185A0A">
              <w:rPr>
                <w:sz w:val="28"/>
                <w:szCs w:val="28"/>
              </w:rPr>
              <w:t xml:space="preserve"> 15 552 570 </w:t>
            </w:r>
            <w:proofErr w:type="spellStart"/>
            <w:r w:rsidR="00185A0A" w:rsidRPr="00371810">
              <w:rPr>
                <w:i/>
                <w:sz w:val="28"/>
                <w:szCs w:val="28"/>
                <w:u w:val="single"/>
              </w:rPr>
              <w:t>euro</w:t>
            </w:r>
            <w:proofErr w:type="spellEnd"/>
            <w:r w:rsidR="00185A0A">
              <w:rPr>
                <w:sz w:val="28"/>
                <w:szCs w:val="28"/>
              </w:rPr>
              <w:t xml:space="preserve">, 2016.gadam </w:t>
            </w:r>
            <w:r w:rsidR="00970AFC">
              <w:rPr>
                <w:sz w:val="28"/>
                <w:szCs w:val="28"/>
              </w:rPr>
              <w:t xml:space="preserve">- </w:t>
            </w:r>
            <w:r w:rsidR="00185A0A">
              <w:rPr>
                <w:sz w:val="28"/>
                <w:szCs w:val="28"/>
              </w:rPr>
              <w:t xml:space="preserve">16 068 170 </w:t>
            </w:r>
            <w:proofErr w:type="spellStart"/>
            <w:r w:rsidR="00185A0A" w:rsidRPr="00371810">
              <w:rPr>
                <w:i/>
                <w:sz w:val="28"/>
                <w:szCs w:val="28"/>
                <w:u w:val="single"/>
              </w:rPr>
              <w:t>euro</w:t>
            </w:r>
            <w:proofErr w:type="spellEnd"/>
            <w:r w:rsidR="00185A0A">
              <w:rPr>
                <w:sz w:val="28"/>
                <w:szCs w:val="28"/>
              </w:rPr>
              <w:t xml:space="preserve">, </w:t>
            </w:r>
            <w:r w:rsidR="00970AFC">
              <w:rPr>
                <w:sz w:val="28"/>
                <w:szCs w:val="28"/>
              </w:rPr>
              <w:t xml:space="preserve">2017.gadam - </w:t>
            </w:r>
            <w:r w:rsidR="00185A0A">
              <w:rPr>
                <w:sz w:val="28"/>
                <w:szCs w:val="28"/>
              </w:rPr>
              <w:t xml:space="preserve">15 784 452 </w:t>
            </w:r>
            <w:proofErr w:type="spellStart"/>
            <w:r w:rsidR="00371810" w:rsidRPr="00371810">
              <w:rPr>
                <w:i/>
                <w:sz w:val="28"/>
                <w:szCs w:val="28"/>
                <w:u w:val="single"/>
              </w:rPr>
              <w:t>euro</w:t>
            </w:r>
            <w:proofErr w:type="spellEnd"/>
            <w:r w:rsidR="00185A0A">
              <w:rPr>
                <w:sz w:val="28"/>
                <w:szCs w:val="28"/>
              </w:rPr>
              <w:t>.</w:t>
            </w:r>
          </w:p>
          <w:p w14:paraId="31D5574F" w14:textId="06DE6E91" w:rsidR="00C643A0" w:rsidRPr="00A1390D" w:rsidRDefault="004B67BB" w:rsidP="00B45CB4">
            <w:pPr>
              <w:pStyle w:val="naisf"/>
              <w:tabs>
                <w:tab w:val="left" w:pos="4644"/>
              </w:tabs>
              <w:spacing w:before="0" w:after="0"/>
              <w:ind w:firstLine="0"/>
              <w:rPr>
                <w:sz w:val="28"/>
                <w:szCs w:val="28"/>
              </w:rPr>
            </w:pPr>
            <w:r>
              <w:rPr>
                <w:sz w:val="28"/>
                <w:szCs w:val="28"/>
              </w:rPr>
              <w:t xml:space="preserve"> </w:t>
            </w:r>
            <w:r w:rsidR="00371810" w:rsidRPr="00A1390D">
              <w:rPr>
                <w:sz w:val="28"/>
                <w:szCs w:val="28"/>
              </w:rPr>
              <w:t xml:space="preserve">No 2014.gada 1.februāra līdz 31.maijam aprēķināts pēc spēkā esošajiem noteikumiem 3 508 522 </w:t>
            </w:r>
            <w:proofErr w:type="spellStart"/>
            <w:r w:rsidR="00371810" w:rsidRPr="00A1390D">
              <w:rPr>
                <w:i/>
                <w:sz w:val="28"/>
                <w:szCs w:val="28"/>
              </w:rPr>
              <w:t>euro</w:t>
            </w:r>
            <w:proofErr w:type="spellEnd"/>
            <w:r w:rsidR="00371810" w:rsidRPr="00A1390D">
              <w:rPr>
                <w:sz w:val="28"/>
                <w:szCs w:val="28"/>
              </w:rPr>
              <w:t>.</w:t>
            </w:r>
          </w:p>
          <w:p w14:paraId="13FB62CA" w14:textId="4627FB3F" w:rsidR="00285383" w:rsidRPr="00B45CB4" w:rsidRDefault="00285383" w:rsidP="00B45CB4">
            <w:pPr>
              <w:pStyle w:val="naisf"/>
              <w:tabs>
                <w:tab w:val="left" w:pos="4644"/>
              </w:tabs>
              <w:spacing w:before="0" w:after="0"/>
              <w:ind w:firstLine="0"/>
              <w:rPr>
                <w:sz w:val="28"/>
                <w:szCs w:val="28"/>
              </w:rPr>
            </w:pPr>
            <w:r w:rsidRPr="00A1390D">
              <w:rPr>
                <w:sz w:val="28"/>
                <w:szCs w:val="28"/>
              </w:rPr>
              <w:t>Noteikumu projekta 1. un 2.punkta īstenošanai nepieciešamā finansējuma aprēķins:</w:t>
            </w:r>
          </w:p>
          <w:p w14:paraId="60833967"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 xml:space="preserve">No 2014.gada 1.septembra līdz 2015.gada 31.janvārim: </w:t>
            </w:r>
          </w:p>
          <w:p w14:paraId="253E1E1A"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1.klasei (94 mācību dienu skaits x 1,42pusdienu cena 1 izglītojamam x 21 966 izglītojamo skaits=2 932</w:t>
            </w:r>
            <w:r w:rsidR="00371810">
              <w:rPr>
                <w:sz w:val="28"/>
                <w:szCs w:val="28"/>
              </w:rPr>
              <w:t> </w:t>
            </w:r>
            <w:r w:rsidRPr="00B45CB4">
              <w:rPr>
                <w:sz w:val="28"/>
                <w:szCs w:val="28"/>
              </w:rPr>
              <w:t>022</w:t>
            </w:r>
            <w:r w:rsidR="00371810">
              <w:rPr>
                <w:sz w:val="28"/>
                <w:szCs w:val="28"/>
              </w:rPr>
              <w:t xml:space="preserve"> </w:t>
            </w:r>
            <w:proofErr w:type="spellStart"/>
            <w:r w:rsidRPr="00371810">
              <w:rPr>
                <w:i/>
                <w:sz w:val="28"/>
                <w:szCs w:val="28"/>
              </w:rPr>
              <w:t>euro</w:t>
            </w:r>
            <w:proofErr w:type="spellEnd"/>
            <w:r w:rsidRPr="00B45CB4">
              <w:rPr>
                <w:sz w:val="28"/>
                <w:szCs w:val="28"/>
              </w:rPr>
              <w:t>);</w:t>
            </w:r>
          </w:p>
          <w:p w14:paraId="5B15A4AF"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2.klasei (94 mācību dienu skaits x 1,42pusdienu cena 1 izglītojamam x 20 255 izglītojamo skaits=2 703</w:t>
            </w:r>
            <w:r w:rsidR="00371810">
              <w:rPr>
                <w:sz w:val="28"/>
                <w:szCs w:val="28"/>
              </w:rPr>
              <w:t> </w:t>
            </w:r>
            <w:r w:rsidRPr="00B45CB4">
              <w:rPr>
                <w:sz w:val="28"/>
                <w:szCs w:val="28"/>
              </w:rPr>
              <w:t>637</w:t>
            </w:r>
            <w:r w:rsidR="00371810">
              <w:rPr>
                <w:sz w:val="28"/>
                <w:szCs w:val="28"/>
              </w:rPr>
              <w:t xml:space="preserve"> </w:t>
            </w:r>
            <w:proofErr w:type="spellStart"/>
            <w:r w:rsidRPr="00371810">
              <w:rPr>
                <w:i/>
                <w:sz w:val="28"/>
                <w:szCs w:val="28"/>
              </w:rPr>
              <w:t>euro</w:t>
            </w:r>
            <w:proofErr w:type="spellEnd"/>
            <w:r w:rsidRPr="00B45CB4">
              <w:rPr>
                <w:sz w:val="28"/>
                <w:szCs w:val="28"/>
              </w:rPr>
              <w:t>);</w:t>
            </w:r>
          </w:p>
          <w:p w14:paraId="685BB439"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lastRenderedPageBreak/>
              <w:t xml:space="preserve">3.klasei (94 mācību dienu skaits x 1,42pusdienu cena 1 izglītojamam x 18 991 izglītojamo skaits=2 534 919 </w:t>
            </w:r>
            <w:proofErr w:type="spellStart"/>
            <w:r w:rsidRPr="00371810">
              <w:rPr>
                <w:i/>
                <w:sz w:val="28"/>
                <w:szCs w:val="28"/>
              </w:rPr>
              <w:t>euro</w:t>
            </w:r>
            <w:proofErr w:type="spellEnd"/>
            <w:r w:rsidRPr="00B45CB4">
              <w:rPr>
                <w:sz w:val="28"/>
                <w:szCs w:val="28"/>
              </w:rPr>
              <w:t>).</w:t>
            </w:r>
          </w:p>
          <w:p w14:paraId="211DE911" w14:textId="17BB6F48" w:rsidR="006612AB" w:rsidRDefault="00C643A0" w:rsidP="00B45CB4">
            <w:pPr>
              <w:pStyle w:val="naisf"/>
              <w:tabs>
                <w:tab w:val="left" w:pos="4644"/>
              </w:tabs>
              <w:spacing w:before="0" w:after="0"/>
              <w:ind w:firstLine="0"/>
              <w:rPr>
                <w:sz w:val="28"/>
                <w:szCs w:val="28"/>
              </w:rPr>
            </w:pPr>
            <w:r>
              <w:rPr>
                <w:sz w:val="28"/>
                <w:szCs w:val="28"/>
              </w:rPr>
              <w:t xml:space="preserve">Kopā </w:t>
            </w:r>
            <w:r w:rsidR="006612AB" w:rsidRPr="00B45CB4">
              <w:rPr>
                <w:sz w:val="28"/>
                <w:szCs w:val="28"/>
              </w:rPr>
              <w:t xml:space="preserve"> 8 170 578 </w:t>
            </w:r>
            <w:proofErr w:type="spellStart"/>
            <w:r w:rsidR="006612AB" w:rsidRPr="00371810">
              <w:rPr>
                <w:i/>
                <w:sz w:val="28"/>
                <w:szCs w:val="28"/>
              </w:rPr>
              <w:t>euro</w:t>
            </w:r>
            <w:proofErr w:type="spellEnd"/>
            <w:r w:rsidR="006612AB" w:rsidRPr="00B45CB4">
              <w:rPr>
                <w:sz w:val="28"/>
                <w:szCs w:val="28"/>
              </w:rPr>
              <w:t>.</w:t>
            </w:r>
          </w:p>
          <w:p w14:paraId="1382FC68" w14:textId="77777777" w:rsidR="00C643A0" w:rsidRDefault="00371810" w:rsidP="00B45CB4">
            <w:pPr>
              <w:pStyle w:val="naisf"/>
              <w:tabs>
                <w:tab w:val="left" w:pos="4644"/>
              </w:tabs>
              <w:spacing w:before="0" w:after="0"/>
              <w:ind w:firstLine="0"/>
              <w:rPr>
                <w:sz w:val="28"/>
                <w:szCs w:val="28"/>
              </w:rPr>
            </w:pPr>
            <w:r w:rsidRPr="00B45CB4">
              <w:rPr>
                <w:sz w:val="28"/>
                <w:szCs w:val="28"/>
              </w:rPr>
              <w:t>201</w:t>
            </w:r>
            <w:r>
              <w:rPr>
                <w:sz w:val="28"/>
                <w:szCs w:val="28"/>
              </w:rPr>
              <w:t>4</w:t>
            </w:r>
            <w:r w:rsidRPr="00B45CB4">
              <w:rPr>
                <w:sz w:val="28"/>
                <w:szCs w:val="28"/>
              </w:rPr>
              <w:t xml:space="preserve">.gadā kopā nepieciešamais finansējums </w:t>
            </w:r>
            <w:r>
              <w:rPr>
                <w:sz w:val="28"/>
                <w:szCs w:val="28"/>
              </w:rPr>
              <w:t>11 679 100</w:t>
            </w:r>
            <w:r w:rsidRPr="00B45CB4">
              <w:rPr>
                <w:sz w:val="28"/>
                <w:szCs w:val="28"/>
              </w:rPr>
              <w:t xml:space="preserve"> </w:t>
            </w:r>
            <w:proofErr w:type="spellStart"/>
            <w:r w:rsidRPr="00371810">
              <w:rPr>
                <w:i/>
                <w:sz w:val="28"/>
                <w:szCs w:val="28"/>
              </w:rPr>
              <w:t>euro</w:t>
            </w:r>
            <w:proofErr w:type="spellEnd"/>
            <w:r w:rsidRPr="00B45CB4">
              <w:rPr>
                <w:sz w:val="28"/>
                <w:szCs w:val="28"/>
              </w:rPr>
              <w:t>.</w:t>
            </w:r>
          </w:p>
          <w:p w14:paraId="2319E358" w14:textId="77777777" w:rsidR="00371810" w:rsidRPr="00B45CB4" w:rsidRDefault="00371810" w:rsidP="00B45CB4">
            <w:pPr>
              <w:pStyle w:val="naisf"/>
              <w:tabs>
                <w:tab w:val="left" w:pos="4644"/>
              </w:tabs>
              <w:spacing w:before="0" w:after="0"/>
              <w:ind w:firstLine="0"/>
              <w:rPr>
                <w:sz w:val="28"/>
                <w:szCs w:val="28"/>
              </w:rPr>
            </w:pPr>
          </w:p>
          <w:p w14:paraId="33337E56"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Nepieciešamā finansējuma aprēķins 2015.gadam:</w:t>
            </w:r>
          </w:p>
          <w:p w14:paraId="59827B23"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 xml:space="preserve">No 2015.gada 1.februāra* līdz 31.maijam: </w:t>
            </w:r>
          </w:p>
          <w:p w14:paraId="7DBADC01"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1.klasei (76 mācību dienu skaits x 1,42pusdienu cena 1 izglītojamam x 21 966 izglītojamo skaits=2 370 571</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049720F5"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2.klasei (81 mācību dienu skaits x 1,42pusdienu cena 1 izglītojamam x 20 255 izglītojamo skaits=2 329 730</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34D7FD98"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 xml:space="preserve">3.klasei (81 mācību dienu skaits x 1,42pusdienu cena 1 izglītojamam x 18 991 izglītojamo skaits=2 184 345 </w:t>
            </w:r>
            <w:proofErr w:type="spellStart"/>
            <w:r w:rsidR="00371810" w:rsidRPr="00371810">
              <w:rPr>
                <w:i/>
                <w:sz w:val="28"/>
                <w:szCs w:val="28"/>
              </w:rPr>
              <w:t>euro</w:t>
            </w:r>
            <w:proofErr w:type="spellEnd"/>
            <w:r w:rsidRPr="00B45CB4">
              <w:rPr>
                <w:sz w:val="28"/>
                <w:szCs w:val="28"/>
              </w:rPr>
              <w:t>).</w:t>
            </w:r>
          </w:p>
          <w:p w14:paraId="5D287899"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Kopā 6 884 646</w:t>
            </w:r>
            <w:r w:rsidR="00371810" w:rsidRPr="00371810">
              <w:rPr>
                <w:i/>
                <w:sz w:val="28"/>
                <w:szCs w:val="28"/>
              </w:rPr>
              <w:t xml:space="preserve"> </w:t>
            </w:r>
            <w:proofErr w:type="spellStart"/>
            <w:r w:rsidR="00371810" w:rsidRPr="00371810">
              <w:rPr>
                <w:i/>
                <w:sz w:val="28"/>
                <w:szCs w:val="28"/>
              </w:rPr>
              <w:t>euro</w:t>
            </w:r>
            <w:proofErr w:type="spellEnd"/>
            <w:r w:rsidR="00371810">
              <w:rPr>
                <w:i/>
                <w:sz w:val="28"/>
                <w:szCs w:val="28"/>
              </w:rPr>
              <w:t>.</w:t>
            </w:r>
          </w:p>
          <w:p w14:paraId="74A77140"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 xml:space="preserve">No 2015.gada 1.septembra līdz 2016.gada 31.janvārim: </w:t>
            </w:r>
          </w:p>
          <w:p w14:paraId="56B0A520"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1.klasei (94 mācību dienu skaits x 1,42pusdienu cena 1 izglītojamam x 22 717 izglītojamo skaits=3 032 265</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51BBA6A6"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2.klasei (94 mācību dienu skaits x 1,42pusdienu cena 1 izglītojamam x 21 966 izglītojamo skaits=2 932 022</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26F508F8"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 xml:space="preserve">3.klasei (94 mācību dienu skaits x 1,42pusdienu cena 1 izglītojamam x 20 255 izglītojamo skaits=2 703 637 </w:t>
            </w:r>
            <w:proofErr w:type="spellStart"/>
            <w:r w:rsidR="00371810" w:rsidRPr="00371810">
              <w:rPr>
                <w:i/>
                <w:sz w:val="28"/>
                <w:szCs w:val="28"/>
              </w:rPr>
              <w:t>euro</w:t>
            </w:r>
            <w:proofErr w:type="spellEnd"/>
            <w:r w:rsidRPr="00B45CB4">
              <w:rPr>
                <w:sz w:val="28"/>
                <w:szCs w:val="28"/>
              </w:rPr>
              <w:t>).</w:t>
            </w:r>
          </w:p>
          <w:p w14:paraId="2165E3B1"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Kopā 8 667 924</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5CDCCFB8"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 xml:space="preserve">2015.gadā kopā nepieciešamais finansējums 15 552 570 </w:t>
            </w:r>
            <w:proofErr w:type="spellStart"/>
            <w:r w:rsidR="00371810" w:rsidRPr="00371810">
              <w:rPr>
                <w:i/>
                <w:sz w:val="28"/>
                <w:szCs w:val="28"/>
              </w:rPr>
              <w:t>euro</w:t>
            </w:r>
            <w:proofErr w:type="spellEnd"/>
            <w:r w:rsidRPr="00B45CB4">
              <w:rPr>
                <w:sz w:val="28"/>
                <w:szCs w:val="28"/>
              </w:rPr>
              <w:t xml:space="preserve">. </w:t>
            </w:r>
          </w:p>
          <w:p w14:paraId="1E19BE8E" w14:textId="77777777" w:rsidR="006612AB" w:rsidRPr="00B45CB4" w:rsidRDefault="006612AB" w:rsidP="00B45CB4">
            <w:pPr>
              <w:pStyle w:val="naisf"/>
              <w:tabs>
                <w:tab w:val="left" w:pos="4644"/>
              </w:tabs>
              <w:spacing w:before="0" w:after="0"/>
              <w:ind w:firstLine="0"/>
              <w:rPr>
                <w:sz w:val="28"/>
                <w:szCs w:val="28"/>
              </w:rPr>
            </w:pPr>
          </w:p>
          <w:p w14:paraId="5CB018F6"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Nepieciešamā finansējuma aprēķins 2016.gadam:</w:t>
            </w:r>
          </w:p>
          <w:p w14:paraId="6ABA8B3A"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 xml:space="preserve">No 2016.gada 1.februāra līdz 31.maijam: </w:t>
            </w:r>
          </w:p>
          <w:p w14:paraId="117C2590"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1.klasei (76 mācību dienu skaits x 1,42pusdienu cena 1 izglītojamam x 22 717 izglītojamo skaits=2 451 619</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62B9B198"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2.klasei (81 mācību dienu skaits x 1,42pusdienu cena 1 izglītojamam x 21 966 izglītojamo skaits=2 526 529</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08DEFB79"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 xml:space="preserve">3.klasei (81 mācību dienu skaits x 1,42pusdienu cena 1 izglītojamam x 20 255 izglītojamo skaits=2 329 730 </w:t>
            </w:r>
            <w:proofErr w:type="spellStart"/>
            <w:r w:rsidR="00371810" w:rsidRPr="00371810">
              <w:rPr>
                <w:i/>
                <w:sz w:val="28"/>
                <w:szCs w:val="28"/>
              </w:rPr>
              <w:t>euro</w:t>
            </w:r>
            <w:proofErr w:type="spellEnd"/>
            <w:r w:rsidRPr="00B45CB4">
              <w:rPr>
                <w:sz w:val="28"/>
                <w:szCs w:val="28"/>
              </w:rPr>
              <w:t>).</w:t>
            </w:r>
          </w:p>
          <w:p w14:paraId="6D620FF8"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Kopā 7 307 878euro.</w:t>
            </w:r>
          </w:p>
          <w:p w14:paraId="660B9414"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No 2016.gada 1.septembra līdz 2017.gada 31.janvārim:</w:t>
            </w:r>
          </w:p>
          <w:p w14:paraId="653CAE30"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1.klasei (94mācību dienu skaits x 1,42pusdienu cena 1 izglītojamam x 20 947 izglītojamo skaits=2 796 005</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63F348FE"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2.klasei (94 mācību dienu skaits x 1,42pusdienu cena 1 izglītojamam x 22 717 izglītojamo skaits=3 032 265</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07442526"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3.klasei (94 mācību dienu skaits x 1,42pusdienu cena 1 izglītojamam x 21 966 izglītojamo skaits=2 932 022</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5C51D35B"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Kopā 8 760 292</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4A263EDF" w14:textId="77777777" w:rsidR="006612AB" w:rsidRDefault="006612AB" w:rsidP="00B45CB4">
            <w:pPr>
              <w:pStyle w:val="naisf"/>
              <w:tabs>
                <w:tab w:val="left" w:pos="4644"/>
              </w:tabs>
              <w:spacing w:before="0" w:after="0"/>
              <w:ind w:firstLine="0"/>
              <w:rPr>
                <w:sz w:val="28"/>
                <w:szCs w:val="28"/>
              </w:rPr>
            </w:pPr>
            <w:r w:rsidRPr="00B45CB4">
              <w:rPr>
                <w:sz w:val="28"/>
                <w:szCs w:val="28"/>
              </w:rPr>
              <w:lastRenderedPageBreak/>
              <w:t xml:space="preserve">2016.gadā kopā nepieciešamais finansējums 16 068 170 </w:t>
            </w:r>
            <w:proofErr w:type="spellStart"/>
            <w:r w:rsidR="00371810" w:rsidRPr="00371810">
              <w:rPr>
                <w:i/>
                <w:sz w:val="28"/>
                <w:szCs w:val="28"/>
              </w:rPr>
              <w:t>euro</w:t>
            </w:r>
            <w:proofErr w:type="spellEnd"/>
            <w:r w:rsidRPr="00B45CB4">
              <w:rPr>
                <w:sz w:val="28"/>
                <w:szCs w:val="28"/>
              </w:rPr>
              <w:t>.</w:t>
            </w:r>
          </w:p>
          <w:p w14:paraId="3846D1AC" w14:textId="77777777" w:rsidR="003027E5" w:rsidRPr="00B45CB4" w:rsidRDefault="003027E5" w:rsidP="00B45CB4">
            <w:pPr>
              <w:pStyle w:val="naisf"/>
              <w:tabs>
                <w:tab w:val="left" w:pos="4644"/>
              </w:tabs>
              <w:spacing w:before="0" w:after="0"/>
              <w:ind w:firstLine="0"/>
              <w:rPr>
                <w:sz w:val="28"/>
                <w:szCs w:val="28"/>
              </w:rPr>
            </w:pPr>
          </w:p>
          <w:p w14:paraId="0FE6731A"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Nepieciešamā finansējuma aprēķins 2017.gadam:</w:t>
            </w:r>
          </w:p>
          <w:p w14:paraId="16DA6817"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No 2017.gada 1.februāra līdz 31.maijam:</w:t>
            </w:r>
          </w:p>
          <w:p w14:paraId="53D8044F"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1.klasei (76 mācību dienu skaits x 1,42pusdienu cena 1 izglītojamam x 20 947 izglītojamo skaits=2 260 600</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212A2F41"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 xml:space="preserve">2.klasei (81 mācību dienu skaits x 1,42pusdienu cena 1 izglītojamam x 22 717 izglītojamo skaits=2 612 909 </w:t>
            </w:r>
            <w:proofErr w:type="spellStart"/>
            <w:r w:rsidR="00371810" w:rsidRPr="00371810">
              <w:rPr>
                <w:i/>
                <w:sz w:val="28"/>
                <w:szCs w:val="28"/>
              </w:rPr>
              <w:t>euro</w:t>
            </w:r>
            <w:proofErr w:type="spellEnd"/>
            <w:r w:rsidRPr="00B45CB4">
              <w:rPr>
                <w:sz w:val="28"/>
                <w:szCs w:val="28"/>
              </w:rPr>
              <w:t>);</w:t>
            </w:r>
          </w:p>
          <w:p w14:paraId="6A63A14F"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 xml:space="preserve">3.klasei (81 mācību dienu skaits x 1,42pusdienu cena 1 izglītojamam x 21 966 izglītojamo skaits=2 526 530 </w:t>
            </w:r>
            <w:proofErr w:type="spellStart"/>
            <w:r w:rsidR="00371810" w:rsidRPr="00371810">
              <w:rPr>
                <w:i/>
                <w:sz w:val="28"/>
                <w:szCs w:val="28"/>
              </w:rPr>
              <w:t>euro</w:t>
            </w:r>
            <w:proofErr w:type="spellEnd"/>
            <w:r w:rsidRPr="00B45CB4">
              <w:rPr>
                <w:sz w:val="28"/>
                <w:szCs w:val="28"/>
              </w:rPr>
              <w:t>).</w:t>
            </w:r>
          </w:p>
          <w:p w14:paraId="0B304598"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Kopā 7 400 039</w:t>
            </w:r>
            <w:r w:rsidR="00371810" w:rsidRPr="00371810">
              <w:rPr>
                <w:i/>
                <w:sz w:val="28"/>
                <w:szCs w:val="28"/>
              </w:rPr>
              <w:t xml:space="preserve"> </w:t>
            </w:r>
            <w:proofErr w:type="spellStart"/>
            <w:r w:rsidR="00371810" w:rsidRPr="00371810">
              <w:rPr>
                <w:i/>
                <w:sz w:val="28"/>
                <w:szCs w:val="28"/>
              </w:rPr>
              <w:t>euro</w:t>
            </w:r>
            <w:proofErr w:type="spellEnd"/>
            <w:r w:rsidRPr="00B45CB4">
              <w:rPr>
                <w:sz w:val="28"/>
                <w:szCs w:val="28"/>
              </w:rPr>
              <w:t>.</w:t>
            </w:r>
          </w:p>
          <w:p w14:paraId="55EA8F4A"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No 2017.gada 1.septembra līdz 2017.gada 31.janvārim:</w:t>
            </w:r>
          </w:p>
          <w:p w14:paraId="2287F721"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1.klasei (94mācību dienu skaits x 1,42pusdienu cena 1 izglītojamam x 19 150 izglītojamo skaits=2 556 142</w:t>
            </w:r>
            <w:r w:rsidR="003027E5" w:rsidRPr="00371810">
              <w:rPr>
                <w:i/>
                <w:sz w:val="28"/>
                <w:szCs w:val="28"/>
              </w:rPr>
              <w:t xml:space="preserve"> </w:t>
            </w:r>
            <w:proofErr w:type="spellStart"/>
            <w:r w:rsidR="003027E5" w:rsidRPr="00371810">
              <w:rPr>
                <w:i/>
                <w:sz w:val="28"/>
                <w:szCs w:val="28"/>
              </w:rPr>
              <w:t>euro</w:t>
            </w:r>
            <w:proofErr w:type="spellEnd"/>
            <w:r w:rsidRPr="00B45CB4">
              <w:rPr>
                <w:sz w:val="28"/>
                <w:szCs w:val="28"/>
              </w:rPr>
              <w:t>);</w:t>
            </w:r>
          </w:p>
          <w:p w14:paraId="55208062"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2.klasei (94 mācību dienu skaits x 1,42pusdienu cena 1 izglītojamam x 20 947 izglītojamo skaits=2 796 006</w:t>
            </w:r>
            <w:r w:rsidR="003027E5" w:rsidRPr="00371810">
              <w:rPr>
                <w:i/>
                <w:sz w:val="28"/>
                <w:szCs w:val="28"/>
              </w:rPr>
              <w:t xml:space="preserve"> </w:t>
            </w:r>
            <w:proofErr w:type="spellStart"/>
            <w:r w:rsidR="003027E5" w:rsidRPr="00371810">
              <w:rPr>
                <w:i/>
                <w:sz w:val="28"/>
                <w:szCs w:val="28"/>
              </w:rPr>
              <w:t>euro</w:t>
            </w:r>
            <w:proofErr w:type="spellEnd"/>
            <w:r w:rsidRPr="00B45CB4">
              <w:rPr>
                <w:sz w:val="28"/>
                <w:szCs w:val="28"/>
              </w:rPr>
              <w:t>);</w:t>
            </w:r>
          </w:p>
          <w:p w14:paraId="5AEA0FCF"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3.klasei (94 mācību dienu skaits x 1,42pusdienu cena 1 izglītojamam x 22 717 izglītojamo skaits=3 032 265</w:t>
            </w:r>
            <w:r w:rsidR="003027E5" w:rsidRPr="00371810">
              <w:rPr>
                <w:i/>
                <w:sz w:val="28"/>
                <w:szCs w:val="28"/>
              </w:rPr>
              <w:t xml:space="preserve"> </w:t>
            </w:r>
            <w:proofErr w:type="spellStart"/>
            <w:r w:rsidR="003027E5" w:rsidRPr="00371810">
              <w:rPr>
                <w:i/>
                <w:sz w:val="28"/>
                <w:szCs w:val="28"/>
              </w:rPr>
              <w:t>euro</w:t>
            </w:r>
            <w:proofErr w:type="spellEnd"/>
            <w:r w:rsidRPr="00B45CB4">
              <w:rPr>
                <w:sz w:val="28"/>
                <w:szCs w:val="28"/>
              </w:rPr>
              <w:t>).</w:t>
            </w:r>
          </w:p>
          <w:p w14:paraId="606D5ABA" w14:textId="77777777" w:rsidR="006612AB" w:rsidRPr="00B45CB4" w:rsidRDefault="006612AB" w:rsidP="00B45CB4">
            <w:pPr>
              <w:pStyle w:val="naisf"/>
              <w:tabs>
                <w:tab w:val="left" w:pos="4644"/>
              </w:tabs>
              <w:spacing w:before="0" w:after="0"/>
              <w:ind w:firstLine="0"/>
              <w:rPr>
                <w:sz w:val="28"/>
                <w:szCs w:val="28"/>
              </w:rPr>
            </w:pPr>
            <w:r w:rsidRPr="00B45CB4">
              <w:rPr>
                <w:sz w:val="28"/>
                <w:szCs w:val="28"/>
              </w:rPr>
              <w:t>Kopā 8 384 413</w:t>
            </w:r>
            <w:r w:rsidR="003027E5" w:rsidRPr="00371810">
              <w:rPr>
                <w:i/>
                <w:sz w:val="28"/>
                <w:szCs w:val="28"/>
              </w:rPr>
              <w:t xml:space="preserve"> </w:t>
            </w:r>
            <w:proofErr w:type="spellStart"/>
            <w:r w:rsidR="003027E5" w:rsidRPr="00371810">
              <w:rPr>
                <w:i/>
                <w:sz w:val="28"/>
                <w:szCs w:val="28"/>
              </w:rPr>
              <w:t>euro</w:t>
            </w:r>
            <w:proofErr w:type="spellEnd"/>
            <w:r w:rsidRPr="00B45CB4">
              <w:rPr>
                <w:sz w:val="28"/>
                <w:szCs w:val="28"/>
              </w:rPr>
              <w:t>.</w:t>
            </w:r>
          </w:p>
          <w:p w14:paraId="5E3E8C4D" w14:textId="77777777" w:rsidR="00941170" w:rsidRPr="004703B5" w:rsidRDefault="006612AB" w:rsidP="003027E5">
            <w:pPr>
              <w:pStyle w:val="naisf"/>
              <w:tabs>
                <w:tab w:val="left" w:pos="4644"/>
              </w:tabs>
              <w:spacing w:before="0" w:after="0"/>
              <w:ind w:firstLine="0"/>
              <w:rPr>
                <w:b/>
                <w:i/>
                <w:sz w:val="28"/>
                <w:szCs w:val="28"/>
              </w:rPr>
            </w:pPr>
            <w:r w:rsidRPr="00B45CB4">
              <w:rPr>
                <w:sz w:val="28"/>
                <w:szCs w:val="28"/>
              </w:rPr>
              <w:t xml:space="preserve">2017.gadā kopā nepieciešamais finansējums 15 784 452 </w:t>
            </w:r>
            <w:proofErr w:type="spellStart"/>
            <w:r w:rsidR="003027E5" w:rsidRPr="00371810">
              <w:rPr>
                <w:i/>
                <w:sz w:val="28"/>
                <w:szCs w:val="28"/>
              </w:rPr>
              <w:t>euro</w:t>
            </w:r>
            <w:proofErr w:type="spellEnd"/>
            <w:r w:rsidRPr="00B45CB4">
              <w:rPr>
                <w:sz w:val="28"/>
                <w:szCs w:val="28"/>
              </w:rPr>
              <w:t>.</w:t>
            </w:r>
          </w:p>
        </w:tc>
      </w:tr>
      <w:tr w:rsidR="00941170" w:rsidRPr="004703B5" w14:paraId="05F2916A" w14:textId="77777777" w:rsidTr="003027E5">
        <w:trPr>
          <w:trHeight w:val="1074"/>
          <w:jc w:val="center"/>
        </w:trPr>
        <w:tc>
          <w:tcPr>
            <w:tcW w:w="1912" w:type="dxa"/>
          </w:tcPr>
          <w:p w14:paraId="3539FD51" w14:textId="77777777" w:rsidR="00941170" w:rsidRPr="004703B5" w:rsidRDefault="00941170" w:rsidP="00AB4263">
            <w:pPr>
              <w:jc w:val="both"/>
              <w:rPr>
                <w:sz w:val="28"/>
                <w:szCs w:val="28"/>
              </w:rPr>
            </w:pPr>
            <w:r w:rsidRPr="004703B5">
              <w:rPr>
                <w:sz w:val="28"/>
                <w:szCs w:val="28"/>
              </w:rPr>
              <w:t>6.1. detalizēts ieņēmumu aprēķins</w:t>
            </w:r>
          </w:p>
        </w:tc>
        <w:tc>
          <w:tcPr>
            <w:tcW w:w="8507" w:type="dxa"/>
            <w:gridSpan w:val="5"/>
            <w:vMerge/>
          </w:tcPr>
          <w:p w14:paraId="0CB7E5AB" w14:textId="77777777" w:rsidR="00941170" w:rsidRPr="004703B5" w:rsidRDefault="00941170" w:rsidP="00AB4263">
            <w:pPr>
              <w:pStyle w:val="naisf"/>
              <w:spacing w:before="0" w:after="0"/>
              <w:ind w:firstLine="0"/>
              <w:rPr>
                <w:b/>
                <w:i/>
                <w:sz w:val="28"/>
                <w:szCs w:val="28"/>
              </w:rPr>
            </w:pPr>
          </w:p>
        </w:tc>
      </w:tr>
      <w:tr w:rsidR="00941170" w:rsidRPr="004703B5" w14:paraId="1595ED44" w14:textId="77777777" w:rsidTr="003C33F4">
        <w:trPr>
          <w:jc w:val="center"/>
        </w:trPr>
        <w:tc>
          <w:tcPr>
            <w:tcW w:w="1912" w:type="dxa"/>
          </w:tcPr>
          <w:p w14:paraId="45C13D24" w14:textId="77777777" w:rsidR="00941170" w:rsidRPr="004703B5" w:rsidRDefault="00941170" w:rsidP="00AB4263">
            <w:pPr>
              <w:jc w:val="both"/>
              <w:rPr>
                <w:sz w:val="28"/>
                <w:szCs w:val="28"/>
              </w:rPr>
            </w:pPr>
            <w:r w:rsidRPr="004703B5">
              <w:rPr>
                <w:sz w:val="28"/>
                <w:szCs w:val="28"/>
              </w:rPr>
              <w:lastRenderedPageBreak/>
              <w:t>6.2. detalizēts izdevumu aprēķins</w:t>
            </w:r>
          </w:p>
        </w:tc>
        <w:tc>
          <w:tcPr>
            <w:tcW w:w="8507" w:type="dxa"/>
            <w:gridSpan w:val="5"/>
            <w:vMerge/>
          </w:tcPr>
          <w:p w14:paraId="2153594F" w14:textId="77777777" w:rsidR="00941170" w:rsidRPr="004703B5" w:rsidRDefault="00941170" w:rsidP="00AB4263">
            <w:pPr>
              <w:pStyle w:val="naisf"/>
              <w:spacing w:before="0" w:after="0"/>
              <w:ind w:firstLine="0"/>
              <w:rPr>
                <w:b/>
                <w:i/>
                <w:sz w:val="28"/>
                <w:szCs w:val="28"/>
              </w:rPr>
            </w:pPr>
          </w:p>
        </w:tc>
      </w:tr>
      <w:tr w:rsidR="00941170" w:rsidRPr="004703B5" w14:paraId="5297A599" w14:textId="77777777" w:rsidTr="003C33F4">
        <w:trPr>
          <w:jc w:val="center"/>
        </w:trPr>
        <w:tc>
          <w:tcPr>
            <w:tcW w:w="1912" w:type="dxa"/>
          </w:tcPr>
          <w:p w14:paraId="33BBFAB5" w14:textId="77777777" w:rsidR="00941170" w:rsidRPr="004703B5" w:rsidRDefault="003027E5" w:rsidP="00AB4263">
            <w:pPr>
              <w:jc w:val="both"/>
              <w:rPr>
                <w:sz w:val="28"/>
                <w:szCs w:val="28"/>
              </w:rPr>
            </w:pPr>
            <w:r>
              <w:rPr>
                <w:sz w:val="28"/>
                <w:szCs w:val="28"/>
              </w:rPr>
              <w:lastRenderedPageBreak/>
              <w:t>7.</w:t>
            </w:r>
            <w:r w:rsidRPr="004703B5">
              <w:rPr>
                <w:sz w:val="28"/>
                <w:szCs w:val="28"/>
              </w:rPr>
              <w:t xml:space="preserve"> Cita informācija</w:t>
            </w:r>
          </w:p>
        </w:tc>
        <w:tc>
          <w:tcPr>
            <w:tcW w:w="8507" w:type="dxa"/>
            <w:gridSpan w:val="5"/>
            <w:shd w:val="clear" w:color="auto" w:fill="auto"/>
          </w:tcPr>
          <w:p w14:paraId="4D8DC3A6" w14:textId="77777777" w:rsidR="00941170" w:rsidRPr="0072589C" w:rsidRDefault="003027E5" w:rsidP="003750A4">
            <w:pPr>
              <w:pStyle w:val="naisf"/>
              <w:tabs>
                <w:tab w:val="left" w:pos="4644"/>
              </w:tabs>
              <w:spacing w:before="0" w:after="0"/>
              <w:ind w:firstLine="0"/>
              <w:rPr>
                <w:bCs/>
                <w:iCs/>
                <w:sz w:val="28"/>
                <w:szCs w:val="28"/>
              </w:rPr>
            </w:pPr>
            <w:r w:rsidRPr="00624367">
              <w:rPr>
                <w:bCs/>
                <w:iCs/>
                <w:sz w:val="28"/>
                <w:szCs w:val="28"/>
              </w:rPr>
              <w:t xml:space="preserve">Noteikumu projekta īstenošanai </w:t>
            </w:r>
            <w:r w:rsidR="0072589C" w:rsidRPr="00624367">
              <w:rPr>
                <w:bCs/>
                <w:iCs/>
                <w:sz w:val="28"/>
                <w:szCs w:val="28"/>
              </w:rPr>
              <w:t>Izglītības un zinātnes ministrijai š</w:t>
            </w:r>
            <w:r w:rsidRPr="00624367">
              <w:rPr>
                <w:bCs/>
                <w:iCs/>
                <w:sz w:val="28"/>
                <w:szCs w:val="28"/>
              </w:rPr>
              <w:t>o</w:t>
            </w:r>
            <w:r w:rsidR="0072589C" w:rsidRPr="00624367">
              <w:rPr>
                <w:bCs/>
                <w:iCs/>
                <w:sz w:val="28"/>
                <w:szCs w:val="28"/>
              </w:rPr>
              <w:t xml:space="preserve"> norm</w:t>
            </w:r>
            <w:r w:rsidRPr="00624367">
              <w:rPr>
                <w:bCs/>
                <w:iCs/>
                <w:sz w:val="28"/>
                <w:szCs w:val="28"/>
              </w:rPr>
              <w:t>u</w:t>
            </w:r>
            <w:r w:rsidR="0072589C" w:rsidRPr="00624367">
              <w:rPr>
                <w:bCs/>
                <w:iCs/>
                <w:sz w:val="28"/>
                <w:szCs w:val="28"/>
              </w:rPr>
              <w:t xml:space="preserve"> ieviešanai nepieciešamais finansējums ir paredzēts likum</w:t>
            </w:r>
            <w:r w:rsidR="003750A4" w:rsidRPr="00624367">
              <w:rPr>
                <w:bCs/>
                <w:iCs/>
                <w:sz w:val="28"/>
                <w:szCs w:val="28"/>
              </w:rPr>
              <w:t>ā</w:t>
            </w:r>
            <w:r w:rsidR="0072589C" w:rsidRPr="00624367">
              <w:rPr>
                <w:bCs/>
                <w:iCs/>
                <w:sz w:val="28"/>
                <w:szCs w:val="28"/>
              </w:rPr>
              <w:t xml:space="preserve"> „Par valsts budžetu 2014.gadam”</w:t>
            </w:r>
            <w:r w:rsidR="003750A4" w:rsidRPr="00624367">
              <w:rPr>
                <w:bCs/>
                <w:iCs/>
                <w:sz w:val="28"/>
                <w:szCs w:val="28"/>
              </w:rPr>
              <w:t xml:space="preserve"> </w:t>
            </w:r>
            <w:r w:rsidR="0006693F">
              <w:rPr>
                <w:bCs/>
                <w:iCs/>
                <w:sz w:val="28"/>
                <w:szCs w:val="28"/>
              </w:rPr>
              <w:t xml:space="preserve">un likumā “Par vidēja termiņa budžeta ietvaru 2014., 2015. un 2016.gadam” </w:t>
            </w:r>
            <w:r w:rsidR="003750A4" w:rsidRPr="00624367">
              <w:rPr>
                <w:bCs/>
                <w:iCs/>
                <w:sz w:val="28"/>
                <w:szCs w:val="28"/>
              </w:rPr>
              <w:t>piešķirtā finansējuma ietvaros.</w:t>
            </w:r>
          </w:p>
        </w:tc>
      </w:tr>
    </w:tbl>
    <w:p w14:paraId="1EB8C6CF" w14:textId="77777777" w:rsidR="008F6FAE" w:rsidRDefault="008F6FAE" w:rsidP="008F6FAE">
      <w:pPr>
        <w:pStyle w:val="naisf"/>
        <w:spacing w:before="0" w:after="0"/>
        <w:ind w:firstLine="0"/>
      </w:pPr>
    </w:p>
    <w:p w14:paraId="31AFC014" w14:textId="77777777" w:rsidR="00C31E36" w:rsidRPr="008F6FAE" w:rsidRDefault="00012779" w:rsidP="008F6FAE">
      <w:pPr>
        <w:pStyle w:val="naisf"/>
        <w:spacing w:before="0" w:after="0"/>
        <w:ind w:firstLine="0"/>
        <w:rPr>
          <w:sz w:val="28"/>
          <w:szCs w:val="28"/>
        </w:rPr>
      </w:pPr>
      <w:r w:rsidRPr="008F6FAE">
        <w:rPr>
          <w:sz w:val="28"/>
          <w:szCs w:val="28"/>
        </w:rPr>
        <w:t>Anotācijas IV</w:t>
      </w:r>
      <w:r w:rsidR="00D77B53" w:rsidRPr="008F6FAE">
        <w:rPr>
          <w:sz w:val="28"/>
          <w:szCs w:val="28"/>
        </w:rPr>
        <w:t xml:space="preserve">, V un VI sadaļa </w:t>
      </w:r>
      <w:r w:rsidR="00F73409">
        <w:rPr>
          <w:sz w:val="28"/>
          <w:szCs w:val="28"/>
        </w:rPr>
        <w:t>–</w:t>
      </w:r>
      <w:r w:rsidR="00D77B53" w:rsidRPr="008F6FAE">
        <w:rPr>
          <w:sz w:val="28"/>
          <w:szCs w:val="28"/>
        </w:rPr>
        <w:t xml:space="preserve"> </w:t>
      </w:r>
      <w:r w:rsidR="00F73409">
        <w:rPr>
          <w:sz w:val="28"/>
          <w:szCs w:val="28"/>
        </w:rPr>
        <w:t xml:space="preserve">noteikumu </w:t>
      </w:r>
      <w:r w:rsidR="00D77B53" w:rsidRPr="008F6FAE">
        <w:rPr>
          <w:sz w:val="28"/>
          <w:szCs w:val="28"/>
        </w:rPr>
        <w:t>projekt</w:t>
      </w:r>
      <w:r w:rsidR="007C0EF2" w:rsidRPr="008F6FAE">
        <w:rPr>
          <w:sz w:val="28"/>
          <w:szCs w:val="28"/>
        </w:rPr>
        <w:t>s šīs jomas</w:t>
      </w:r>
      <w:r w:rsidR="00D77B53" w:rsidRPr="008F6FAE">
        <w:rPr>
          <w:sz w:val="28"/>
          <w:szCs w:val="28"/>
        </w:rPr>
        <w:t xml:space="preserve"> neskar.</w:t>
      </w:r>
    </w:p>
    <w:p w14:paraId="3E6880AE" w14:textId="77777777" w:rsidR="00CB1E42" w:rsidRDefault="00CB1E42" w:rsidP="00CB1E42">
      <w:pPr>
        <w:pStyle w:val="naisf"/>
        <w:spacing w:before="0" w:after="0"/>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2840"/>
        <w:gridCol w:w="6857"/>
      </w:tblGrid>
      <w:tr w:rsidR="0023436E" w:rsidRPr="004703B5" w14:paraId="6377D9B7" w14:textId="77777777">
        <w:tc>
          <w:tcPr>
            <w:tcW w:w="10264" w:type="dxa"/>
            <w:gridSpan w:val="3"/>
            <w:tcBorders>
              <w:top w:val="single" w:sz="4" w:space="0" w:color="auto"/>
            </w:tcBorders>
          </w:tcPr>
          <w:p w14:paraId="4A1D5CA4" w14:textId="77777777" w:rsidR="0023436E" w:rsidRPr="004703B5" w:rsidRDefault="0023436E" w:rsidP="007D099D">
            <w:pPr>
              <w:pStyle w:val="naisnod"/>
              <w:spacing w:before="0" w:after="0"/>
              <w:ind w:left="57" w:right="57"/>
              <w:rPr>
                <w:sz w:val="28"/>
                <w:szCs w:val="28"/>
              </w:rPr>
            </w:pPr>
            <w:r w:rsidRPr="004703B5">
              <w:rPr>
                <w:sz w:val="28"/>
                <w:szCs w:val="28"/>
              </w:rPr>
              <w:t>VII</w:t>
            </w:r>
            <w:r w:rsidR="000941C5" w:rsidRPr="004703B5">
              <w:rPr>
                <w:sz w:val="28"/>
                <w:szCs w:val="28"/>
              </w:rPr>
              <w:t>.</w:t>
            </w:r>
            <w:r w:rsidRPr="004703B5">
              <w:rPr>
                <w:sz w:val="28"/>
                <w:szCs w:val="28"/>
              </w:rPr>
              <w:t xml:space="preserve"> Tiesību akta projekta izpildes nodrošināšana un tās ietekme uz institūcijām</w:t>
            </w:r>
          </w:p>
        </w:tc>
      </w:tr>
      <w:tr w:rsidR="0023436E" w:rsidRPr="004703B5" w14:paraId="130A3988" w14:textId="77777777" w:rsidTr="004703B5">
        <w:trPr>
          <w:trHeight w:val="427"/>
        </w:trPr>
        <w:tc>
          <w:tcPr>
            <w:tcW w:w="567" w:type="dxa"/>
          </w:tcPr>
          <w:p w14:paraId="07E82F08" w14:textId="77777777" w:rsidR="0023436E" w:rsidRPr="004703B5" w:rsidRDefault="0023436E" w:rsidP="007D099D">
            <w:pPr>
              <w:pStyle w:val="naisnod"/>
              <w:spacing w:before="0" w:after="0"/>
              <w:ind w:left="57" w:right="57"/>
              <w:jc w:val="left"/>
              <w:rPr>
                <w:b w:val="0"/>
                <w:sz w:val="28"/>
                <w:szCs w:val="28"/>
              </w:rPr>
            </w:pPr>
            <w:r w:rsidRPr="004703B5">
              <w:rPr>
                <w:b w:val="0"/>
                <w:sz w:val="28"/>
                <w:szCs w:val="28"/>
              </w:rPr>
              <w:t>1.</w:t>
            </w:r>
          </w:p>
        </w:tc>
        <w:tc>
          <w:tcPr>
            <w:tcW w:w="2840" w:type="dxa"/>
          </w:tcPr>
          <w:p w14:paraId="7160E872" w14:textId="77777777" w:rsidR="0023436E" w:rsidRPr="004703B5" w:rsidRDefault="001A4066" w:rsidP="007D099D">
            <w:pPr>
              <w:pStyle w:val="naisf"/>
              <w:spacing w:before="0" w:after="0"/>
              <w:ind w:left="57" w:right="57" w:firstLine="0"/>
              <w:jc w:val="left"/>
              <w:rPr>
                <w:sz w:val="28"/>
                <w:szCs w:val="28"/>
              </w:rPr>
            </w:pPr>
            <w:r w:rsidRPr="004703B5">
              <w:rPr>
                <w:sz w:val="28"/>
                <w:szCs w:val="28"/>
              </w:rPr>
              <w:t>P</w:t>
            </w:r>
            <w:r w:rsidR="0023436E" w:rsidRPr="004703B5">
              <w:rPr>
                <w:sz w:val="28"/>
                <w:szCs w:val="28"/>
              </w:rPr>
              <w:t xml:space="preserve">rojekta izpildē iesaistītās institūcijas </w:t>
            </w:r>
          </w:p>
        </w:tc>
        <w:tc>
          <w:tcPr>
            <w:tcW w:w="6857" w:type="dxa"/>
          </w:tcPr>
          <w:p w14:paraId="2DC25381" w14:textId="0477F84C" w:rsidR="0023436E" w:rsidRPr="00C464D5" w:rsidRDefault="00C464D5" w:rsidP="002D1ECA">
            <w:pPr>
              <w:pStyle w:val="naisf"/>
              <w:tabs>
                <w:tab w:val="left" w:pos="4644"/>
              </w:tabs>
              <w:spacing w:before="0" w:after="0"/>
              <w:ind w:firstLine="0"/>
              <w:rPr>
                <w:bCs/>
                <w:iCs/>
                <w:sz w:val="28"/>
                <w:szCs w:val="28"/>
              </w:rPr>
            </w:pPr>
            <w:r w:rsidRPr="00C464D5">
              <w:rPr>
                <w:bCs/>
                <w:iCs/>
                <w:sz w:val="28"/>
                <w:szCs w:val="28"/>
              </w:rPr>
              <w:t>Izglītības un zinātnes ministrija un pašvaldības.</w:t>
            </w:r>
          </w:p>
        </w:tc>
      </w:tr>
      <w:tr w:rsidR="0023436E" w:rsidRPr="004703B5" w14:paraId="330337D3" w14:textId="77777777" w:rsidTr="004703B5">
        <w:trPr>
          <w:trHeight w:val="463"/>
        </w:trPr>
        <w:tc>
          <w:tcPr>
            <w:tcW w:w="567" w:type="dxa"/>
          </w:tcPr>
          <w:p w14:paraId="0A4DDCB1" w14:textId="77777777" w:rsidR="0023436E" w:rsidRPr="004703B5" w:rsidRDefault="0023436E" w:rsidP="007D099D">
            <w:pPr>
              <w:pStyle w:val="naisnod"/>
              <w:spacing w:before="0" w:after="0"/>
              <w:ind w:left="57" w:right="57"/>
              <w:jc w:val="left"/>
              <w:rPr>
                <w:b w:val="0"/>
                <w:sz w:val="28"/>
                <w:szCs w:val="28"/>
              </w:rPr>
            </w:pPr>
            <w:r w:rsidRPr="004703B5">
              <w:rPr>
                <w:b w:val="0"/>
                <w:sz w:val="28"/>
                <w:szCs w:val="28"/>
              </w:rPr>
              <w:t>2.</w:t>
            </w:r>
          </w:p>
        </w:tc>
        <w:tc>
          <w:tcPr>
            <w:tcW w:w="2840" w:type="dxa"/>
          </w:tcPr>
          <w:p w14:paraId="6818344F" w14:textId="77777777" w:rsidR="002A7DF2" w:rsidRPr="002A7DF2" w:rsidRDefault="002A7DF2" w:rsidP="002A7DF2">
            <w:pPr>
              <w:pStyle w:val="naisf"/>
              <w:spacing w:before="0" w:after="0"/>
              <w:ind w:left="57" w:right="57" w:firstLine="0"/>
              <w:jc w:val="left"/>
              <w:rPr>
                <w:sz w:val="28"/>
                <w:szCs w:val="28"/>
              </w:rPr>
            </w:pPr>
            <w:r w:rsidRPr="002A7DF2">
              <w:rPr>
                <w:sz w:val="28"/>
                <w:szCs w:val="28"/>
              </w:rPr>
              <w:t xml:space="preserve">Projekta izpildes ietekme uz pārvaldes funkcijām un institucionālo struktūru. </w:t>
            </w:r>
          </w:p>
          <w:p w14:paraId="039BBBE1" w14:textId="77777777" w:rsidR="0023436E" w:rsidRPr="004703B5" w:rsidRDefault="002A7DF2" w:rsidP="002A7DF2">
            <w:pPr>
              <w:pStyle w:val="naisf"/>
              <w:spacing w:before="0" w:after="0"/>
              <w:ind w:left="57" w:right="57" w:firstLine="0"/>
              <w:jc w:val="left"/>
              <w:rPr>
                <w:sz w:val="28"/>
                <w:szCs w:val="28"/>
              </w:rPr>
            </w:pPr>
            <w:r w:rsidRPr="002A7DF2">
              <w:rPr>
                <w:sz w:val="28"/>
                <w:szCs w:val="28"/>
              </w:rPr>
              <w:t xml:space="preserve">Jaunu institūciju izveide, esošu institūciju likvidācija vai reorganizācija, to </w:t>
            </w:r>
            <w:r w:rsidRPr="002A7DF2">
              <w:rPr>
                <w:sz w:val="28"/>
                <w:szCs w:val="28"/>
              </w:rPr>
              <w:lastRenderedPageBreak/>
              <w:t>ietekme uz institūcijas cilvēkresursiem</w:t>
            </w:r>
          </w:p>
        </w:tc>
        <w:tc>
          <w:tcPr>
            <w:tcW w:w="6857" w:type="dxa"/>
          </w:tcPr>
          <w:p w14:paraId="08835FEA" w14:textId="77777777" w:rsidR="007C0EF2" w:rsidRPr="002A7DF2" w:rsidRDefault="002A7DF2" w:rsidP="002A7DF2">
            <w:pPr>
              <w:pStyle w:val="naisf"/>
              <w:spacing w:before="0" w:after="0"/>
              <w:ind w:left="57" w:right="57" w:firstLine="0"/>
              <w:jc w:val="left"/>
              <w:rPr>
                <w:sz w:val="28"/>
                <w:szCs w:val="28"/>
              </w:rPr>
            </w:pPr>
            <w:r w:rsidRPr="00D33FDE">
              <w:rPr>
                <w:sz w:val="28"/>
                <w:szCs w:val="28"/>
              </w:rPr>
              <w:lastRenderedPageBreak/>
              <w:t>Normatīvā akta izpilde tiks nodrošināta esošo institūciju ietvaros.</w:t>
            </w:r>
          </w:p>
        </w:tc>
      </w:tr>
      <w:tr w:rsidR="0023436E" w:rsidRPr="004703B5" w14:paraId="7BF4BACF" w14:textId="77777777" w:rsidTr="004703B5">
        <w:trPr>
          <w:trHeight w:val="725"/>
        </w:trPr>
        <w:tc>
          <w:tcPr>
            <w:tcW w:w="567" w:type="dxa"/>
          </w:tcPr>
          <w:p w14:paraId="1D816CC0" w14:textId="77777777" w:rsidR="0023436E" w:rsidRPr="004703B5" w:rsidRDefault="0023436E" w:rsidP="007D099D">
            <w:pPr>
              <w:pStyle w:val="naisnod"/>
              <w:spacing w:before="0" w:after="0"/>
              <w:ind w:left="57" w:right="57"/>
              <w:jc w:val="left"/>
              <w:rPr>
                <w:b w:val="0"/>
                <w:sz w:val="28"/>
                <w:szCs w:val="28"/>
              </w:rPr>
            </w:pPr>
            <w:r w:rsidRPr="004703B5">
              <w:rPr>
                <w:b w:val="0"/>
                <w:sz w:val="28"/>
                <w:szCs w:val="28"/>
              </w:rPr>
              <w:lastRenderedPageBreak/>
              <w:t>3.</w:t>
            </w:r>
          </w:p>
        </w:tc>
        <w:tc>
          <w:tcPr>
            <w:tcW w:w="2840" w:type="dxa"/>
          </w:tcPr>
          <w:p w14:paraId="0935C617" w14:textId="77777777" w:rsidR="0023436E" w:rsidRPr="004703B5" w:rsidRDefault="002A7DF2" w:rsidP="007D099D">
            <w:pPr>
              <w:pStyle w:val="naisf"/>
              <w:spacing w:before="0" w:after="0"/>
              <w:ind w:left="57" w:right="57" w:firstLine="0"/>
              <w:jc w:val="left"/>
              <w:rPr>
                <w:sz w:val="28"/>
                <w:szCs w:val="28"/>
              </w:rPr>
            </w:pPr>
            <w:r w:rsidRPr="004703B5">
              <w:rPr>
                <w:sz w:val="28"/>
                <w:szCs w:val="28"/>
              </w:rPr>
              <w:t>Cita informācija</w:t>
            </w:r>
          </w:p>
        </w:tc>
        <w:tc>
          <w:tcPr>
            <w:tcW w:w="6857" w:type="dxa"/>
          </w:tcPr>
          <w:p w14:paraId="6EFD06A4" w14:textId="77777777" w:rsidR="0023436E" w:rsidRPr="00D33FDE" w:rsidRDefault="002A7DF2" w:rsidP="00D33FDE">
            <w:pPr>
              <w:pStyle w:val="naisf"/>
              <w:tabs>
                <w:tab w:val="left" w:pos="4644"/>
              </w:tabs>
              <w:spacing w:before="0" w:after="0"/>
              <w:ind w:firstLine="0"/>
              <w:rPr>
                <w:sz w:val="28"/>
                <w:szCs w:val="28"/>
              </w:rPr>
            </w:pPr>
            <w:r>
              <w:rPr>
                <w:sz w:val="28"/>
                <w:szCs w:val="28"/>
              </w:rPr>
              <w:t>Nav.</w:t>
            </w:r>
          </w:p>
        </w:tc>
      </w:tr>
    </w:tbl>
    <w:p w14:paraId="76AF9381" w14:textId="77777777" w:rsidR="00214094" w:rsidRDefault="00214094" w:rsidP="006C4607">
      <w:pPr>
        <w:pStyle w:val="naisf"/>
        <w:tabs>
          <w:tab w:val="left" w:pos="5760"/>
        </w:tabs>
        <w:spacing w:before="0" w:after="0"/>
        <w:ind w:firstLine="720"/>
        <w:rPr>
          <w:sz w:val="28"/>
          <w:szCs w:val="28"/>
        </w:rPr>
      </w:pPr>
    </w:p>
    <w:p w14:paraId="48BAA2E4" w14:textId="77777777" w:rsidR="002A7DF2" w:rsidRPr="007C0F2C" w:rsidRDefault="002A7DF2" w:rsidP="006C4607">
      <w:pPr>
        <w:pStyle w:val="naisf"/>
        <w:tabs>
          <w:tab w:val="left" w:pos="5760"/>
        </w:tabs>
        <w:spacing w:before="0" w:after="0"/>
        <w:ind w:firstLine="720"/>
        <w:rPr>
          <w:sz w:val="28"/>
          <w:szCs w:val="28"/>
        </w:rPr>
      </w:pPr>
    </w:p>
    <w:p w14:paraId="3B07D560" w14:textId="77777777" w:rsidR="005D5B39" w:rsidRPr="005D5B39" w:rsidRDefault="005D5B39" w:rsidP="008A375C">
      <w:pPr>
        <w:rPr>
          <w:rFonts w:eastAsia="Calibri"/>
          <w:sz w:val="28"/>
          <w:szCs w:val="28"/>
          <w:lang w:eastAsia="en-US"/>
        </w:rPr>
      </w:pPr>
      <w:r w:rsidRPr="005D5B39">
        <w:rPr>
          <w:rFonts w:eastAsia="Calibri"/>
          <w:sz w:val="28"/>
          <w:szCs w:val="28"/>
          <w:lang w:eastAsia="en-US"/>
        </w:rPr>
        <w:tab/>
        <w:t>Izglītības un zinātnes ministre</w:t>
      </w:r>
      <w:r w:rsidRPr="005D5B39">
        <w:rPr>
          <w:rFonts w:eastAsia="Calibri"/>
          <w:sz w:val="28"/>
          <w:szCs w:val="28"/>
          <w:lang w:eastAsia="en-US"/>
        </w:rPr>
        <w:tab/>
        <w:t xml:space="preserve">                               </w:t>
      </w:r>
      <w:proofErr w:type="spellStart"/>
      <w:r w:rsidRPr="005D5B39">
        <w:rPr>
          <w:rFonts w:eastAsia="Calibri"/>
          <w:sz w:val="28"/>
          <w:szCs w:val="28"/>
          <w:lang w:eastAsia="en-US"/>
        </w:rPr>
        <w:t>I.Druviete</w:t>
      </w:r>
      <w:proofErr w:type="spellEnd"/>
    </w:p>
    <w:p w14:paraId="3691A7D5" w14:textId="77777777" w:rsidR="005D5B39" w:rsidRPr="005D5B39" w:rsidRDefault="005D5B39" w:rsidP="005D5B39">
      <w:pPr>
        <w:rPr>
          <w:rFonts w:eastAsia="Calibri"/>
          <w:sz w:val="28"/>
          <w:szCs w:val="28"/>
          <w:lang w:eastAsia="en-US"/>
        </w:rPr>
      </w:pPr>
      <w:r w:rsidRPr="005D5B39">
        <w:rPr>
          <w:rFonts w:eastAsia="Calibri"/>
          <w:sz w:val="28"/>
          <w:szCs w:val="28"/>
          <w:lang w:eastAsia="en-US"/>
        </w:rPr>
        <w:tab/>
      </w:r>
    </w:p>
    <w:p w14:paraId="0CE055B2" w14:textId="77777777" w:rsidR="00180757" w:rsidRDefault="00180757" w:rsidP="005D5B39">
      <w:pPr>
        <w:ind w:firstLine="720"/>
        <w:rPr>
          <w:rFonts w:eastAsia="Calibri"/>
          <w:sz w:val="28"/>
          <w:szCs w:val="28"/>
          <w:lang w:eastAsia="en-US"/>
        </w:rPr>
      </w:pPr>
    </w:p>
    <w:p w14:paraId="154453CD" w14:textId="77777777" w:rsidR="00180757" w:rsidRDefault="00180757" w:rsidP="005D5B39">
      <w:pPr>
        <w:ind w:firstLine="720"/>
        <w:rPr>
          <w:rFonts w:eastAsia="Calibri"/>
          <w:sz w:val="28"/>
          <w:szCs w:val="28"/>
          <w:lang w:eastAsia="en-US"/>
        </w:rPr>
      </w:pPr>
    </w:p>
    <w:p w14:paraId="794F938B" w14:textId="77777777" w:rsidR="00180757" w:rsidRDefault="00180757" w:rsidP="005D5B39">
      <w:pPr>
        <w:ind w:firstLine="720"/>
        <w:rPr>
          <w:rFonts w:eastAsia="Calibri"/>
          <w:sz w:val="28"/>
          <w:szCs w:val="28"/>
          <w:lang w:eastAsia="en-US"/>
        </w:rPr>
      </w:pPr>
    </w:p>
    <w:p w14:paraId="7CDC44E9" w14:textId="77777777" w:rsidR="005D5B39" w:rsidRPr="005D5B39" w:rsidRDefault="005D5B39" w:rsidP="005D5B39">
      <w:pPr>
        <w:ind w:firstLine="720"/>
        <w:rPr>
          <w:rFonts w:eastAsia="Calibri"/>
          <w:sz w:val="28"/>
          <w:szCs w:val="28"/>
          <w:lang w:eastAsia="en-US"/>
        </w:rPr>
      </w:pPr>
      <w:r w:rsidRPr="005D5B39">
        <w:rPr>
          <w:rFonts w:eastAsia="Calibri"/>
          <w:sz w:val="28"/>
          <w:szCs w:val="28"/>
          <w:lang w:eastAsia="en-US"/>
        </w:rPr>
        <w:t xml:space="preserve">Vizē: valsts sekretāre                                                </w:t>
      </w:r>
      <w:proofErr w:type="spellStart"/>
      <w:r w:rsidRPr="005D5B39">
        <w:rPr>
          <w:rFonts w:eastAsia="Calibri"/>
          <w:sz w:val="28"/>
          <w:szCs w:val="28"/>
          <w:lang w:eastAsia="en-US"/>
        </w:rPr>
        <w:t>S.Liepiņa</w:t>
      </w:r>
      <w:proofErr w:type="spellEnd"/>
    </w:p>
    <w:p w14:paraId="294CA3F2" w14:textId="77777777" w:rsidR="00446A72" w:rsidRDefault="00446A72" w:rsidP="007C0EF2">
      <w:pPr>
        <w:pStyle w:val="naisf"/>
        <w:tabs>
          <w:tab w:val="left" w:pos="6804"/>
        </w:tabs>
        <w:spacing w:before="0" w:after="0"/>
        <w:ind w:firstLine="0"/>
        <w:rPr>
          <w:sz w:val="28"/>
          <w:szCs w:val="28"/>
        </w:rPr>
      </w:pPr>
    </w:p>
    <w:p w14:paraId="7C3A33C8" w14:textId="77777777" w:rsidR="00BF72FE" w:rsidRDefault="00BF72FE" w:rsidP="00877B49">
      <w:pPr>
        <w:pStyle w:val="naisf"/>
        <w:tabs>
          <w:tab w:val="left" w:pos="6804"/>
        </w:tabs>
        <w:spacing w:before="0" w:after="0"/>
        <w:ind w:firstLine="0"/>
      </w:pPr>
    </w:p>
    <w:p w14:paraId="5FE17AB0" w14:textId="77777777" w:rsidR="00BF72FE" w:rsidRDefault="00BF72FE" w:rsidP="00877B49">
      <w:pPr>
        <w:pStyle w:val="naisf"/>
        <w:tabs>
          <w:tab w:val="left" w:pos="6804"/>
        </w:tabs>
        <w:spacing w:before="0" w:after="0"/>
        <w:ind w:firstLine="0"/>
      </w:pPr>
    </w:p>
    <w:p w14:paraId="682C95AA" w14:textId="77777777" w:rsidR="00BF72FE" w:rsidRDefault="00BF72FE" w:rsidP="00877B49">
      <w:pPr>
        <w:pStyle w:val="naisf"/>
        <w:tabs>
          <w:tab w:val="left" w:pos="6804"/>
        </w:tabs>
        <w:spacing w:before="0" w:after="0"/>
        <w:ind w:firstLine="0"/>
      </w:pPr>
    </w:p>
    <w:p w14:paraId="117691E6" w14:textId="7D15F832" w:rsidR="00610B4B" w:rsidRDefault="00FB663B" w:rsidP="00877B49">
      <w:pPr>
        <w:pStyle w:val="naisf"/>
        <w:tabs>
          <w:tab w:val="left" w:pos="6804"/>
        </w:tabs>
        <w:spacing w:before="0" w:after="0"/>
        <w:ind w:firstLine="0"/>
      </w:pPr>
      <w:r>
        <w:t>30</w:t>
      </w:r>
      <w:bookmarkStart w:id="2" w:name="_GoBack"/>
      <w:bookmarkEnd w:id="2"/>
      <w:r w:rsidR="00BF72FE">
        <w:t>.0</w:t>
      </w:r>
      <w:r w:rsidR="00455D54">
        <w:t>7</w:t>
      </w:r>
      <w:r w:rsidR="00BF72FE">
        <w:t>.</w:t>
      </w:r>
      <w:r w:rsidR="00BB73F7" w:rsidRPr="00BF72FE">
        <w:t>2014</w:t>
      </w:r>
      <w:r w:rsidR="008F16F9">
        <w:t>.</w:t>
      </w:r>
    </w:p>
    <w:p w14:paraId="0CC7D0B1" w14:textId="093D334F" w:rsidR="00BB73F7" w:rsidRDefault="00184EAD" w:rsidP="00877B49">
      <w:pPr>
        <w:pStyle w:val="naisf"/>
        <w:tabs>
          <w:tab w:val="left" w:pos="6804"/>
        </w:tabs>
        <w:spacing w:before="0" w:after="0"/>
        <w:ind w:firstLine="0"/>
      </w:pPr>
      <w:r>
        <w:t>16</w:t>
      </w:r>
      <w:r w:rsidR="003C310E">
        <w:t>32</w:t>
      </w:r>
    </w:p>
    <w:p w14:paraId="689DC940" w14:textId="77777777" w:rsidR="009B22CA" w:rsidRPr="00BF72FE" w:rsidRDefault="00426733" w:rsidP="00877B49">
      <w:pPr>
        <w:pStyle w:val="naisf"/>
        <w:tabs>
          <w:tab w:val="left" w:pos="6804"/>
        </w:tabs>
        <w:spacing w:before="0" w:after="0"/>
        <w:ind w:firstLine="0"/>
      </w:pPr>
      <w:proofErr w:type="spellStart"/>
      <w:r>
        <w:t>A</w:t>
      </w:r>
      <w:r w:rsidR="009B22CA" w:rsidRPr="00BF72FE">
        <w:t>.</w:t>
      </w:r>
      <w:r>
        <w:t>Ziediņa</w:t>
      </w:r>
      <w:proofErr w:type="spellEnd"/>
      <w:r w:rsidR="009B22CA" w:rsidRPr="00BF72FE">
        <w:t xml:space="preserve"> </w:t>
      </w:r>
    </w:p>
    <w:p w14:paraId="083E89E0" w14:textId="77777777" w:rsidR="009B22CA" w:rsidRPr="00BF72FE" w:rsidRDefault="009B22CA" w:rsidP="00877B49">
      <w:pPr>
        <w:pStyle w:val="naisf"/>
        <w:tabs>
          <w:tab w:val="left" w:pos="6804"/>
        </w:tabs>
        <w:spacing w:before="0" w:after="0"/>
        <w:ind w:firstLine="0"/>
      </w:pPr>
      <w:r w:rsidRPr="00BF72FE">
        <w:t>67047</w:t>
      </w:r>
      <w:r w:rsidR="00426733">
        <w:t>917</w:t>
      </w:r>
      <w:r w:rsidRPr="00BF72FE">
        <w:t xml:space="preserve">, </w:t>
      </w:r>
      <w:r w:rsidR="00426733">
        <w:t>ag</w:t>
      </w:r>
      <w:r w:rsidRPr="00BF72FE">
        <w:t>ra.</w:t>
      </w:r>
      <w:r w:rsidR="00426733">
        <w:t>ziedina</w:t>
      </w:r>
      <w:r w:rsidRPr="00BF72FE">
        <w:t xml:space="preserve">@izm.gov.lv </w:t>
      </w:r>
    </w:p>
    <w:sectPr w:rsidR="009B22CA" w:rsidRPr="00BF72FE" w:rsidSect="00964678">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45451" w14:textId="77777777" w:rsidR="00EF649D" w:rsidRDefault="00EF649D">
      <w:r>
        <w:separator/>
      </w:r>
    </w:p>
  </w:endnote>
  <w:endnote w:type="continuationSeparator" w:id="0">
    <w:p w14:paraId="3B9EA553" w14:textId="77777777" w:rsidR="00EF649D" w:rsidRDefault="00EF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10B0" w14:textId="231125B6" w:rsidR="00C343CA" w:rsidRPr="007F6BF5" w:rsidRDefault="00BF72FE" w:rsidP="00C343CA">
    <w:pPr>
      <w:pStyle w:val="Footer"/>
      <w:tabs>
        <w:tab w:val="clear" w:pos="4153"/>
        <w:tab w:val="clear" w:pos="8306"/>
      </w:tabs>
      <w:jc w:val="both"/>
    </w:pPr>
    <w:r w:rsidRPr="00C343CA">
      <w:t>IZMAnot_</w:t>
    </w:r>
    <w:r w:rsidR="008567DB">
      <w:t>30</w:t>
    </w:r>
    <w:r w:rsidR="00136B4C" w:rsidRPr="00C343CA">
      <w:t>0</w:t>
    </w:r>
    <w:r w:rsidR="00136B4C">
      <w:t>7</w:t>
    </w:r>
    <w:r w:rsidR="00136B4C" w:rsidRPr="00C343CA">
      <w:t>14</w:t>
    </w:r>
    <w:r w:rsidRPr="00C343CA">
      <w:t>_groz</w:t>
    </w:r>
    <w:r w:rsidR="002228B8" w:rsidRPr="00C343CA">
      <w:t>1206</w:t>
    </w:r>
    <w:r w:rsidRPr="00C343CA">
      <w:t>;</w:t>
    </w:r>
    <w:r w:rsidRPr="001C1353">
      <w:rPr>
        <w:sz w:val="20"/>
        <w:szCs w:val="20"/>
      </w:rPr>
      <w:t xml:space="preserve"> </w:t>
    </w:r>
    <w:r w:rsidR="00C343CA" w:rsidRPr="007F6BF5">
      <w:t xml:space="preserve">Ministru kabineta noteikumu projekts </w:t>
    </w:r>
    <w:r w:rsidR="00C343CA" w:rsidRPr="008C6884">
      <w:rPr>
        <w:sz w:val="28"/>
        <w:szCs w:val="28"/>
      </w:rPr>
      <w:t>„</w:t>
    </w:r>
    <w:r w:rsidR="00C343CA" w:rsidRPr="007F6BF5">
      <w:t>Grozījumi Ministru kabineta 2010.gada 28.decembra noteikumos Nr.1206 „Kārtība, kādā aprēķina, piešķir un izlieto valsts budžetā paredzētos līdzekļus pašvaldībām pamatizglītības iestādes skolēnu ēdināšanai””</w:t>
    </w:r>
  </w:p>
  <w:p w14:paraId="3BA3FEFD" w14:textId="77777777" w:rsidR="00073043" w:rsidRPr="001C1353" w:rsidRDefault="00073043" w:rsidP="00C343CA">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594DD" w14:textId="38E69B86" w:rsidR="006B0C76" w:rsidRPr="007F6BF5" w:rsidRDefault="006B0C76" w:rsidP="006B0C76">
    <w:pPr>
      <w:pStyle w:val="Footer"/>
      <w:tabs>
        <w:tab w:val="clear" w:pos="4153"/>
        <w:tab w:val="clear" w:pos="8306"/>
      </w:tabs>
      <w:jc w:val="both"/>
    </w:pPr>
    <w:r w:rsidRPr="00C343CA">
      <w:t>IZMAnot_</w:t>
    </w:r>
    <w:r w:rsidR="008567DB">
      <w:t>30</w:t>
    </w:r>
    <w:r w:rsidRPr="00C343CA">
      <w:t>0</w:t>
    </w:r>
    <w:r>
      <w:t>7</w:t>
    </w:r>
    <w:r w:rsidRPr="00C343CA">
      <w:t>14_groz1206;</w:t>
    </w:r>
    <w:r w:rsidRPr="001C1353">
      <w:rPr>
        <w:sz w:val="20"/>
        <w:szCs w:val="20"/>
      </w:rPr>
      <w:t xml:space="preserve"> </w:t>
    </w:r>
    <w:r w:rsidRPr="007F6BF5">
      <w:t xml:space="preserve">Ministru kabineta noteikumu projekts </w:t>
    </w:r>
    <w:r w:rsidRPr="008C6884">
      <w:rPr>
        <w:sz w:val="28"/>
        <w:szCs w:val="28"/>
      </w:rPr>
      <w:t>„</w:t>
    </w:r>
    <w:r w:rsidRPr="007F6BF5">
      <w:t>Grozījumi Ministru kabineta 201</w:t>
    </w:r>
    <w:r w:rsidR="00B37D08">
      <w:t>0</w:t>
    </w:r>
    <w:r w:rsidRPr="007F6BF5">
      <w:t>.gada 28.decembra noteikumos Nr.1206 „Kārtība, kādā aprēķina, piešķir un izlieto valsts budžetā paredzētos līdzekļus pašvaldībām pamatizglītības iestādes skolēnu ēdināšanai””</w:t>
    </w:r>
  </w:p>
  <w:p w14:paraId="301CC74A" w14:textId="77777777" w:rsidR="007A7C6F" w:rsidRDefault="007A7C6F">
    <w:pPr>
      <w:pStyle w:val="Footer"/>
    </w:pPr>
  </w:p>
  <w:p w14:paraId="5B163607" w14:textId="77777777" w:rsidR="00073043" w:rsidRPr="006C1D5C" w:rsidRDefault="00073043" w:rsidP="006C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877C9" w14:textId="77777777" w:rsidR="00EF649D" w:rsidRDefault="00EF649D">
      <w:r>
        <w:separator/>
      </w:r>
    </w:p>
  </w:footnote>
  <w:footnote w:type="continuationSeparator" w:id="0">
    <w:p w14:paraId="094EABC1" w14:textId="77777777" w:rsidR="00EF649D" w:rsidRDefault="00EF6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AD92" w14:textId="77777777" w:rsidR="00073043" w:rsidRDefault="0007304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191C7" w14:textId="77777777" w:rsidR="00073043" w:rsidRDefault="00073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3098" w14:textId="77777777" w:rsidR="00073043" w:rsidRDefault="00073043">
    <w:pPr>
      <w:pStyle w:val="Header"/>
      <w:jc w:val="center"/>
    </w:pPr>
    <w:r>
      <w:fldChar w:fldCharType="begin"/>
    </w:r>
    <w:r>
      <w:instrText xml:space="preserve"> PAGE   \* MERGEFORMAT </w:instrText>
    </w:r>
    <w:r>
      <w:fldChar w:fldCharType="separate"/>
    </w:r>
    <w:r w:rsidR="00FB663B">
      <w:rPr>
        <w:noProof/>
      </w:rPr>
      <w:t>7</w:t>
    </w:r>
    <w:r>
      <w:rPr>
        <w:noProof/>
      </w:rPr>
      <w:fldChar w:fldCharType="end"/>
    </w:r>
  </w:p>
  <w:p w14:paraId="5FE72164" w14:textId="77777777" w:rsidR="00073043" w:rsidRDefault="00073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C8A"/>
    <w:multiLevelType w:val="hybridMultilevel"/>
    <w:tmpl w:val="C6E27540"/>
    <w:lvl w:ilvl="0" w:tplc="B4F6B094">
      <w:start w:val="1"/>
      <w:numFmt w:val="decimal"/>
      <w:lvlText w:val="%1)"/>
      <w:lvlJc w:val="left"/>
      <w:pPr>
        <w:ind w:left="512" w:hanging="360"/>
      </w:pPr>
      <w:rPr>
        <w:rFonts w:hint="default"/>
      </w:rPr>
    </w:lvl>
    <w:lvl w:ilvl="1" w:tplc="04260019" w:tentative="1">
      <w:start w:val="1"/>
      <w:numFmt w:val="lowerLetter"/>
      <w:lvlText w:val="%2."/>
      <w:lvlJc w:val="left"/>
      <w:pPr>
        <w:ind w:left="1232" w:hanging="360"/>
      </w:pPr>
    </w:lvl>
    <w:lvl w:ilvl="2" w:tplc="0426001B" w:tentative="1">
      <w:start w:val="1"/>
      <w:numFmt w:val="lowerRoman"/>
      <w:lvlText w:val="%3."/>
      <w:lvlJc w:val="right"/>
      <w:pPr>
        <w:ind w:left="1952" w:hanging="180"/>
      </w:pPr>
    </w:lvl>
    <w:lvl w:ilvl="3" w:tplc="0426000F" w:tentative="1">
      <w:start w:val="1"/>
      <w:numFmt w:val="decimal"/>
      <w:lvlText w:val="%4."/>
      <w:lvlJc w:val="left"/>
      <w:pPr>
        <w:ind w:left="2672" w:hanging="360"/>
      </w:pPr>
    </w:lvl>
    <w:lvl w:ilvl="4" w:tplc="04260019" w:tentative="1">
      <w:start w:val="1"/>
      <w:numFmt w:val="lowerLetter"/>
      <w:lvlText w:val="%5."/>
      <w:lvlJc w:val="left"/>
      <w:pPr>
        <w:ind w:left="3392" w:hanging="360"/>
      </w:pPr>
    </w:lvl>
    <w:lvl w:ilvl="5" w:tplc="0426001B" w:tentative="1">
      <w:start w:val="1"/>
      <w:numFmt w:val="lowerRoman"/>
      <w:lvlText w:val="%6."/>
      <w:lvlJc w:val="right"/>
      <w:pPr>
        <w:ind w:left="4112" w:hanging="180"/>
      </w:pPr>
    </w:lvl>
    <w:lvl w:ilvl="6" w:tplc="0426000F" w:tentative="1">
      <w:start w:val="1"/>
      <w:numFmt w:val="decimal"/>
      <w:lvlText w:val="%7."/>
      <w:lvlJc w:val="left"/>
      <w:pPr>
        <w:ind w:left="4832" w:hanging="360"/>
      </w:pPr>
    </w:lvl>
    <w:lvl w:ilvl="7" w:tplc="04260019" w:tentative="1">
      <w:start w:val="1"/>
      <w:numFmt w:val="lowerLetter"/>
      <w:lvlText w:val="%8."/>
      <w:lvlJc w:val="left"/>
      <w:pPr>
        <w:ind w:left="5552" w:hanging="360"/>
      </w:pPr>
    </w:lvl>
    <w:lvl w:ilvl="8" w:tplc="0426001B" w:tentative="1">
      <w:start w:val="1"/>
      <w:numFmt w:val="lowerRoman"/>
      <w:lvlText w:val="%9."/>
      <w:lvlJc w:val="right"/>
      <w:pPr>
        <w:ind w:left="6272"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B333A1"/>
    <w:multiLevelType w:val="hybridMultilevel"/>
    <w:tmpl w:val="4014B732"/>
    <w:lvl w:ilvl="0" w:tplc="5B5E77B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4802815"/>
    <w:multiLevelType w:val="hybridMultilevel"/>
    <w:tmpl w:val="1C1A8536"/>
    <w:lvl w:ilvl="0" w:tplc="E1621E12">
      <w:start w:val="1"/>
      <w:numFmt w:val="decimal"/>
      <w:lvlText w:val="%1."/>
      <w:lvlJc w:val="left"/>
      <w:pPr>
        <w:ind w:left="660" w:hanging="360"/>
      </w:pPr>
      <w:rPr>
        <w:rFonts w:eastAsia="Calibri" w:hint="default"/>
        <w:color w:val="00000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nsid w:val="44BB02FE"/>
    <w:multiLevelType w:val="hybridMultilevel"/>
    <w:tmpl w:val="ED22D3CC"/>
    <w:lvl w:ilvl="0" w:tplc="26A4D2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D16105D"/>
    <w:multiLevelType w:val="hybridMultilevel"/>
    <w:tmpl w:val="525874EC"/>
    <w:lvl w:ilvl="0" w:tplc="E12E5744">
      <w:start w:val="1"/>
      <w:numFmt w:val="decimal"/>
      <w:lvlText w:val="%1)"/>
      <w:lvlJc w:val="left"/>
      <w:pPr>
        <w:ind w:left="360"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15"/>
  </w:num>
  <w:num w:numId="3">
    <w:abstractNumId w:val="4"/>
  </w:num>
  <w:num w:numId="4">
    <w:abstractNumId w:val="2"/>
  </w:num>
  <w:num w:numId="5">
    <w:abstractNumId w:val="1"/>
  </w:num>
  <w:num w:numId="6">
    <w:abstractNumId w:val="12"/>
  </w:num>
  <w:num w:numId="7">
    <w:abstractNumId w:val="16"/>
  </w:num>
  <w:num w:numId="8">
    <w:abstractNumId w:val="9"/>
  </w:num>
  <w:num w:numId="9">
    <w:abstractNumId w:val="3"/>
  </w:num>
  <w:num w:numId="10">
    <w:abstractNumId w:val="10"/>
  </w:num>
  <w:num w:numId="11">
    <w:abstractNumId w:val="11"/>
  </w:num>
  <w:num w:numId="12">
    <w:abstractNumId w:val="13"/>
  </w:num>
  <w:num w:numId="13">
    <w:abstractNumId w:val="14"/>
  </w:num>
  <w:num w:numId="14">
    <w:abstractNumId w:val="0"/>
  </w:num>
  <w:num w:numId="15">
    <w:abstractNumId w:val="7"/>
  </w:num>
  <w:num w:numId="16">
    <w:abstractNumId w:val="5"/>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63B"/>
    <w:rsid w:val="00011D24"/>
    <w:rsid w:val="00012779"/>
    <w:rsid w:val="00012789"/>
    <w:rsid w:val="00013FF4"/>
    <w:rsid w:val="00020FE1"/>
    <w:rsid w:val="00022E13"/>
    <w:rsid w:val="00032388"/>
    <w:rsid w:val="0003353E"/>
    <w:rsid w:val="00035CE2"/>
    <w:rsid w:val="0003707F"/>
    <w:rsid w:val="00045F76"/>
    <w:rsid w:val="000502B9"/>
    <w:rsid w:val="000511BC"/>
    <w:rsid w:val="00051EFA"/>
    <w:rsid w:val="0005553B"/>
    <w:rsid w:val="00056307"/>
    <w:rsid w:val="00057D2B"/>
    <w:rsid w:val="000604D2"/>
    <w:rsid w:val="0006693F"/>
    <w:rsid w:val="00073043"/>
    <w:rsid w:val="00074CF0"/>
    <w:rsid w:val="000764EB"/>
    <w:rsid w:val="0009005E"/>
    <w:rsid w:val="000923B4"/>
    <w:rsid w:val="000941C5"/>
    <w:rsid w:val="000A6451"/>
    <w:rsid w:val="000A6FB1"/>
    <w:rsid w:val="000B064E"/>
    <w:rsid w:val="000B0660"/>
    <w:rsid w:val="000B0D08"/>
    <w:rsid w:val="000B29BD"/>
    <w:rsid w:val="000B5C3C"/>
    <w:rsid w:val="000B69CF"/>
    <w:rsid w:val="000C20BE"/>
    <w:rsid w:val="000C64BF"/>
    <w:rsid w:val="000C790C"/>
    <w:rsid w:val="000D026A"/>
    <w:rsid w:val="000D611A"/>
    <w:rsid w:val="000E1862"/>
    <w:rsid w:val="000F061D"/>
    <w:rsid w:val="000F3F4A"/>
    <w:rsid w:val="000F4044"/>
    <w:rsid w:val="000F4794"/>
    <w:rsid w:val="00103AE8"/>
    <w:rsid w:val="00107E80"/>
    <w:rsid w:val="00122671"/>
    <w:rsid w:val="00124F12"/>
    <w:rsid w:val="00132E75"/>
    <w:rsid w:val="001361B8"/>
    <w:rsid w:val="00136502"/>
    <w:rsid w:val="00136B4C"/>
    <w:rsid w:val="001414E7"/>
    <w:rsid w:val="00144E3A"/>
    <w:rsid w:val="0015060C"/>
    <w:rsid w:val="00156CDB"/>
    <w:rsid w:val="0016018A"/>
    <w:rsid w:val="00161F0E"/>
    <w:rsid w:val="00162E99"/>
    <w:rsid w:val="00170E2A"/>
    <w:rsid w:val="00177394"/>
    <w:rsid w:val="00180757"/>
    <w:rsid w:val="00182C18"/>
    <w:rsid w:val="00183CC2"/>
    <w:rsid w:val="00184EAD"/>
    <w:rsid w:val="00185A0A"/>
    <w:rsid w:val="001876BB"/>
    <w:rsid w:val="001900E4"/>
    <w:rsid w:val="00190F88"/>
    <w:rsid w:val="001A4066"/>
    <w:rsid w:val="001A6AE4"/>
    <w:rsid w:val="001B01FD"/>
    <w:rsid w:val="001B1D23"/>
    <w:rsid w:val="001B25BB"/>
    <w:rsid w:val="001B4A71"/>
    <w:rsid w:val="001B51C5"/>
    <w:rsid w:val="001C1353"/>
    <w:rsid w:val="001D0F38"/>
    <w:rsid w:val="001D13C5"/>
    <w:rsid w:val="001D5B54"/>
    <w:rsid w:val="001D7F67"/>
    <w:rsid w:val="001E1DBF"/>
    <w:rsid w:val="001E4639"/>
    <w:rsid w:val="001E4A7D"/>
    <w:rsid w:val="001F1164"/>
    <w:rsid w:val="001F4209"/>
    <w:rsid w:val="001F43A8"/>
    <w:rsid w:val="001F496C"/>
    <w:rsid w:val="001F5CD6"/>
    <w:rsid w:val="00202A8A"/>
    <w:rsid w:val="00206897"/>
    <w:rsid w:val="0021263D"/>
    <w:rsid w:val="00213F0C"/>
    <w:rsid w:val="00214094"/>
    <w:rsid w:val="0021592D"/>
    <w:rsid w:val="002228B8"/>
    <w:rsid w:val="00222D76"/>
    <w:rsid w:val="00223EB1"/>
    <w:rsid w:val="00225218"/>
    <w:rsid w:val="00225407"/>
    <w:rsid w:val="00225E4B"/>
    <w:rsid w:val="00225FC8"/>
    <w:rsid w:val="0022783B"/>
    <w:rsid w:val="00231344"/>
    <w:rsid w:val="0023436E"/>
    <w:rsid w:val="002347C0"/>
    <w:rsid w:val="00241A6C"/>
    <w:rsid w:val="00242D2B"/>
    <w:rsid w:val="00243BBC"/>
    <w:rsid w:val="002441BF"/>
    <w:rsid w:val="002540F5"/>
    <w:rsid w:val="00260871"/>
    <w:rsid w:val="00262E2B"/>
    <w:rsid w:val="00263511"/>
    <w:rsid w:val="002658A8"/>
    <w:rsid w:val="00267CD2"/>
    <w:rsid w:val="00270429"/>
    <w:rsid w:val="0027065F"/>
    <w:rsid w:val="002723E9"/>
    <w:rsid w:val="00274C55"/>
    <w:rsid w:val="00275417"/>
    <w:rsid w:val="002778FA"/>
    <w:rsid w:val="00277929"/>
    <w:rsid w:val="00280915"/>
    <w:rsid w:val="002828B0"/>
    <w:rsid w:val="00283B82"/>
    <w:rsid w:val="002846E9"/>
    <w:rsid w:val="00284C34"/>
    <w:rsid w:val="00285383"/>
    <w:rsid w:val="00285D6F"/>
    <w:rsid w:val="0029066C"/>
    <w:rsid w:val="00296544"/>
    <w:rsid w:val="002A7DF2"/>
    <w:rsid w:val="002B0C89"/>
    <w:rsid w:val="002B4581"/>
    <w:rsid w:val="002B50DB"/>
    <w:rsid w:val="002C12AB"/>
    <w:rsid w:val="002C1869"/>
    <w:rsid w:val="002C1B23"/>
    <w:rsid w:val="002C3ADA"/>
    <w:rsid w:val="002C42E5"/>
    <w:rsid w:val="002C4EAB"/>
    <w:rsid w:val="002C7CAC"/>
    <w:rsid w:val="002D1ECA"/>
    <w:rsid w:val="002D3306"/>
    <w:rsid w:val="002D3F74"/>
    <w:rsid w:val="002D48AA"/>
    <w:rsid w:val="002D7BAA"/>
    <w:rsid w:val="002D7F54"/>
    <w:rsid w:val="002E01C8"/>
    <w:rsid w:val="002E0F54"/>
    <w:rsid w:val="002E1F7B"/>
    <w:rsid w:val="002E3FF4"/>
    <w:rsid w:val="002F0B42"/>
    <w:rsid w:val="002F3EA8"/>
    <w:rsid w:val="002F78C8"/>
    <w:rsid w:val="00301CF3"/>
    <w:rsid w:val="003026C3"/>
    <w:rsid w:val="003027E5"/>
    <w:rsid w:val="00304258"/>
    <w:rsid w:val="00312631"/>
    <w:rsid w:val="003168E7"/>
    <w:rsid w:val="0032145D"/>
    <w:rsid w:val="0032715C"/>
    <w:rsid w:val="003277E3"/>
    <w:rsid w:val="00330C26"/>
    <w:rsid w:val="00331659"/>
    <w:rsid w:val="003354A0"/>
    <w:rsid w:val="00337CA5"/>
    <w:rsid w:val="003435A8"/>
    <w:rsid w:val="00353729"/>
    <w:rsid w:val="00362478"/>
    <w:rsid w:val="00370606"/>
    <w:rsid w:val="00371810"/>
    <w:rsid w:val="003750A4"/>
    <w:rsid w:val="00375B25"/>
    <w:rsid w:val="0037639B"/>
    <w:rsid w:val="003800FA"/>
    <w:rsid w:val="00380D5C"/>
    <w:rsid w:val="0038132C"/>
    <w:rsid w:val="00383245"/>
    <w:rsid w:val="00396542"/>
    <w:rsid w:val="0039685B"/>
    <w:rsid w:val="003A31A6"/>
    <w:rsid w:val="003A58F0"/>
    <w:rsid w:val="003A7F0C"/>
    <w:rsid w:val="003A7F79"/>
    <w:rsid w:val="003B6404"/>
    <w:rsid w:val="003B7A1B"/>
    <w:rsid w:val="003C22D4"/>
    <w:rsid w:val="003C310E"/>
    <w:rsid w:val="003C33F4"/>
    <w:rsid w:val="003C449B"/>
    <w:rsid w:val="003C51E0"/>
    <w:rsid w:val="003D02B3"/>
    <w:rsid w:val="003D0375"/>
    <w:rsid w:val="003D21FF"/>
    <w:rsid w:val="003D51D4"/>
    <w:rsid w:val="003D57AE"/>
    <w:rsid w:val="003E515D"/>
    <w:rsid w:val="003F0112"/>
    <w:rsid w:val="003F071A"/>
    <w:rsid w:val="003F07A7"/>
    <w:rsid w:val="003F160B"/>
    <w:rsid w:val="00400032"/>
    <w:rsid w:val="00400B5B"/>
    <w:rsid w:val="00405A00"/>
    <w:rsid w:val="00411E64"/>
    <w:rsid w:val="004128A6"/>
    <w:rsid w:val="00413D7D"/>
    <w:rsid w:val="00417E98"/>
    <w:rsid w:val="00420870"/>
    <w:rsid w:val="00426733"/>
    <w:rsid w:val="004329E1"/>
    <w:rsid w:val="00432D0C"/>
    <w:rsid w:val="0043791B"/>
    <w:rsid w:val="00441483"/>
    <w:rsid w:val="00441BCB"/>
    <w:rsid w:val="00446A72"/>
    <w:rsid w:val="00447123"/>
    <w:rsid w:val="00447A2E"/>
    <w:rsid w:val="0045176A"/>
    <w:rsid w:val="00455D54"/>
    <w:rsid w:val="00456332"/>
    <w:rsid w:val="00460ACD"/>
    <w:rsid w:val="00461826"/>
    <w:rsid w:val="004641AF"/>
    <w:rsid w:val="00465257"/>
    <w:rsid w:val="00466A9A"/>
    <w:rsid w:val="00467B0B"/>
    <w:rsid w:val="004703B5"/>
    <w:rsid w:val="0047216F"/>
    <w:rsid w:val="004775D6"/>
    <w:rsid w:val="0048001A"/>
    <w:rsid w:val="004800F9"/>
    <w:rsid w:val="0049134A"/>
    <w:rsid w:val="00492402"/>
    <w:rsid w:val="00492596"/>
    <w:rsid w:val="004948E5"/>
    <w:rsid w:val="004A361E"/>
    <w:rsid w:val="004A58CB"/>
    <w:rsid w:val="004A653A"/>
    <w:rsid w:val="004A672A"/>
    <w:rsid w:val="004B163E"/>
    <w:rsid w:val="004B1767"/>
    <w:rsid w:val="004B1795"/>
    <w:rsid w:val="004B2790"/>
    <w:rsid w:val="004B5168"/>
    <w:rsid w:val="004B56DD"/>
    <w:rsid w:val="004B67BB"/>
    <w:rsid w:val="004C020F"/>
    <w:rsid w:val="004C1AFD"/>
    <w:rsid w:val="004C558B"/>
    <w:rsid w:val="004C5874"/>
    <w:rsid w:val="004D6D68"/>
    <w:rsid w:val="004E0CB0"/>
    <w:rsid w:val="004E20CB"/>
    <w:rsid w:val="004E3DF4"/>
    <w:rsid w:val="004E48B4"/>
    <w:rsid w:val="004F1F88"/>
    <w:rsid w:val="004F5194"/>
    <w:rsid w:val="004F5F1B"/>
    <w:rsid w:val="00502374"/>
    <w:rsid w:val="00502621"/>
    <w:rsid w:val="005060A1"/>
    <w:rsid w:val="00506B7A"/>
    <w:rsid w:val="005072D0"/>
    <w:rsid w:val="00512BCE"/>
    <w:rsid w:val="00516072"/>
    <w:rsid w:val="005224C2"/>
    <w:rsid w:val="005308F3"/>
    <w:rsid w:val="005332EC"/>
    <w:rsid w:val="00534418"/>
    <w:rsid w:val="005353AB"/>
    <w:rsid w:val="00540F90"/>
    <w:rsid w:val="0054223D"/>
    <w:rsid w:val="005479FC"/>
    <w:rsid w:val="00554509"/>
    <w:rsid w:val="005560BC"/>
    <w:rsid w:val="005564C6"/>
    <w:rsid w:val="005573BE"/>
    <w:rsid w:val="00560077"/>
    <w:rsid w:val="005720AD"/>
    <w:rsid w:val="00572700"/>
    <w:rsid w:val="005733DB"/>
    <w:rsid w:val="00574533"/>
    <w:rsid w:val="005773C3"/>
    <w:rsid w:val="00580468"/>
    <w:rsid w:val="00582094"/>
    <w:rsid w:val="00582231"/>
    <w:rsid w:val="005857A6"/>
    <w:rsid w:val="0058603B"/>
    <w:rsid w:val="00590CC5"/>
    <w:rsid w:val="00592484"/>
    <w:rsid w:val="0059431B"/>
    <w:rsid w:val="00596962"/>
    <w:rsid w:val="00597BAF"/>
    <w:rsid w:val="005A3959"/>
    <w:rsid w:val="005A39CC"/>
    <w:rsid w:val="005A59DB"/>
    <w:rsid w:val="005B2597"/>
    <w:rsid w:val="005B274C"/>
    <w:rsid w:val="005B3CC2"/>
    <w:rsid w:val="005B4730"/>
    <w:rsid w:val="005B6124"/>
    <w:rsid w:val="005D4223"/>
    <w:rsid w:val="005D46C3"/>
    <w:rsid w:val="005D5602"/>
    <w:rsid w:val="005D57BC"/>
    <w:rsid w:val="005D5B39"/>
    <w:rsid w:val="005D67EB"/>
    <w:rsid w:val="005E05D7"/>
    <w:rsid w:val="005E41E7"/>
    <w:rsid w:val="005E450F"/>
    <w:rsid w:val="005F2F8C"/>
    <w:rsid w:val="005F3C86"/>
    <w:rsid w:val="005F753B"/>
    <w:rsid w:val="00606D7B"/>
    <w:rsid w:val="00610B4B"/>
    <w:rsid w:val="00614348"/>
    <w:rsid w:val="006166B6"/>
    <w:rsid w:val="00620E52"/>
    <w:rsid w:val="0062298A"/>
    <w:rsid w:val="00624367"/>
    <w:rsid w:val="006257C7"/>
    <w:rsid w:val="00626514"/>
    <w:rsid w:val="00626589"/>
    <w:rsid w:val="00627080"/>
    <w:rsid w:val="006339A0"/>
    <w:rsid w:val="00635A55"/>
    <w:rsid w:val="006413A8"/>
    <w:rsid w:val="00642E56"/>
    <w:rsid w:val="00643BD7"/>
    <w:rsid w:val="00646424"/>
    <w:rsid w:val="00646981"/>
    <w:rsid w:val="00646FCB"/>
    <w:rsid w:val="00651E00"/>
    <w:rsid w:val="00653630"/>
    <w:rsid w:val="006612AB"/>
    <w:rsid w:val="00674572"/>
    <w:rsid w:val="006810FC"/>
    <w:rsid w:val="006840F4"/>
    <w:rsid w:val="00687763"/>
    <w:rsid w:val="00692B0D"/>
    <w:rsid w:val="00693E0E"/>
    <w:rsid w:val="00694426"/>
    <w:rsid w:val="006A117A"/>
    <w:rsid w:val="006A1AE3"/>
    <w:rsid w:val="006A4C52"/>
    <w:rsid w:val="006A6313"/>
    <w:rsid w:val="006B0C76"/>
    <w:rsid w:val="006B68AF"/>
    <w:rsid w:val="006C1D5C"/>
    <w:rsid w:val="006C30E1"/>
    <w:rsid w:val="006C4607"/>
    <w:rsid w:val="006D20C6"/>
    <w:rsid w:val="006D25E3"/>
    <w:rsid w:val="006D48F1"/>
    <w:rsid w:val="006D4CAA"/>
    <w:rsid w:val="006D744A"/>
    <w:rsid w:val="006E4691"/>
    <w:rsid w:val="006F1998"/>
    <w:rsid w:val="006F45BE"/>
    <w:rsid w:val="007004FC"/>
    <w:rsid w:val="00705531"/>
    <w:rsid w:val="00706670"/>
    <w:rsid w:val="0071180C"/>
    <w:rsid w:val="00711F59"/>
    <w:rsid w:val="007129A5"/>
    <w:rsid w:val="00722D18"/>
    <w:rsid w:val="00724137"/>
    <w:rsid w:val="0072417C"/>
    <w:rsid w:val="00724E89"/>
    <w:rsid w:val="0072589C"/>
    <w:rsid w:val="00731E1A"/>
    <w:rsid w:val="00732A5D"/>
    <w:rsid w:val="00734450"/>
    <w:rsid w:val="00735184"/>
    <w:rsid w:val="007368AF"/>
    <w:rsid w:val="00741359"/>
    <w:rsid w:val="007417D1"/>
    <w:rsid w:val="00741972"/>
    <w:rsid w:val="00745F67"/>
    <w:rsid w:val="007478B4"/>
    <w:rsid w:val="0075039E"/>
    <w:rsid w:val="00752D9D"/>
    <w:rsid w:val="00753D93"/>
    <w:rsid w:val="007546E3"/>
    <w:rsid w:val="00754784"/>
    <w:rsid w:val="00756AF8"/>
    <w:rsid w:val="00757C6E"/>
    <w:rsid w:val="00757FC2"/>
    <w:rsid w:val="00762BDA"/>
    <w:rsid w:val="00765B0D"/>
    <w:rsid w:val="00767E48"/>
    <w:rsid w:val="00773962"/>
    <w:rsid w:val="0077466D"/>
    <w:rsid w:val="00774E0A"/>
    <w:rsid w:val="0077714F"/>
    <w:rsid w:val="007805FD"/>
    <w:rsid w:val="00782185"/>
    <w:rsid w:val="00784422"/>
    <w:rsid w:val="00792B05"/>
    <w:rsid w:val="007930CA"/>
    <w:rsid w:val="0079775F"/>
    <w:rsid w:val="007A0681"/>
    <w:rsid w:val="007A073B"/>
    <w:rsid w:val="007A2567"/>
    <w:rsid w:val="007A72F5"/>
    <w:rsid w:val="007A7C6F"/>
    <w:rsid w:val="007B3B54"/>
    <w:rsid w:val="007B3FA0"/>
    <w:rsid w:val="007C0EF2"/>
    <w:rsid w:val="007C0F2C"/>
    <w:rsid w:val="007C2BCC"/>
    <w:rsid w:val="007C4EF0"/>
    <w:rsid w:val="007D099D"/>
    <w:rsid w:val="007D1D09"/>
    <w:rsid w:val="007E13CB"/>
    <w:rsid w:val="007E2664"/>
    <w:rsid w:val="007E3ABF"/>
    <w:rsid w:val="007E5744"/>
    <w:rsid w:val="007E5BFA"/>
    <w:rsid w:val="007E6689"/>
    <w:rsid w:val="007E731C"/>
    <w:rsid w:val="007F0A03"/>
    <w:rsid w:val="007F0B90"/>
    <w:rsid w:val="007F2D40"/>
    <w:rsid w:val="007F42D7"/>
    <w:rsid w:val="00800FEE"/>
    <w:rsid w:val="00807191"/>
    <w:rsid w:val="00807C8D"/>
    <w:rsid w:val="00807ED6"/>
    <w:rsid w:val="00810040"/>
    <w:rsid w:val="00816041"/>
    <w:rsid w:val="0082023A"/>
    <w:rsid w:val="008218C1"/>
    <w:rsid w:val="00821A7A"/>
    <w:rsid w:val="008253F8"/>
    <w:rsid w:val="00825D17"/>
    <w:rsid w:val="00830708"/>
    <w:rsid w:val="008307DF"/>
    <w:rsid w:val="008325E4"/>
    <w:rsid w:val="00832A2B"/>
    <w:rsid w:val="00835841"/>
    <w:rsid w:val="0083772E"/>
    <w:rsid w:val="00845811"/>
    <w:rsid w:val="00846994"/>
    <w:rsid w:val="00846B70"/>
    <w:rsid w:val="00847B27"/>
    <w:rsid w:val="00850451"/>
    <w:rsid w:val="00851A46"/>
    <w:rsid w:val="00852042"/>
    <w:rsid w:val="008534C9"/>
    <w:rsid w:val="0085599D"/>
    <w:rsid w:val="008567DB"/>
    <w:rsid w:val="00860D7F"/>
    <w:rsid w:val="008729E6"/>
    <w:rsid w:val="0087510C"/>
    <w:rsid w:val="0087662B"/>
    <w:rsid w:val="00877B49"/>
    <w:rsid w:val="00880CFC"/>
    <w:rsid w:val="00882CA1"/>
    <w:rsid w:val="00885615"/>
    <w:rsid w:val="008909DE"/>
    <w:rsid w:val="00894787"/>
    <w:rsid w:val="00894FDF"/>
    <w:rsid w:val="008968D2"/>
    <w:rsid w:val="0089738E"/>
    <w:rsid w:val="008A3300"/>
    <w:rsid w:val="008A375C"/>
    <w:rsid w:val="008A4238"/>
    <w:rsid w:val="008A52BE"/>
    <w:rsid w:val="008A78C3"/>
    <w:rsid w:val="008B518C"/>
    <w:rsid w:val="008B5FDB"/>
    <w:rsid w:val="008B75B9"/>
    <w:rsid w:val="008C50F4"/>
    <w:rsid w:val="008C5649"/>
    <w:rsid w:val="008C6E19"/>
    <w:rsid w:val="008D231F"/>
    <w:rsid w:val="008D338C"/>
    <w:rsid w:val="008E334C"/>
    <w:rsid w:val="008E37E7"/>
    <w:rsid w:val="008E44A2"/>
    <w:rsid w:val="008E697D"/>
    <w:rsid w:val="008F16F9"/>
    <w:rsid w:val="008F17BB"/>
    <w:rsid w:val="008F2AB8"/>
    <w:rsid w:val="008F6FAE"/>
    <w:rsid w:val="00902204"/>
    <w:rsid w:val="00903263"/>
    <w:rsid w:val="00906A21"/>
    <w:rsid w:val="0090715D"/>
    <w:rsid w:val="009079C3"/>
    <w:rsid w:val="00910462"/>
    <w:rsid w:val="0091155F"/>
    <w:rsid w:val="00915AB1"/>
    <w:rsid w:val="009163F3"/>
    <w:rsid w:val="009169B8"/>
    <w:rsid w:val="00917532"/>
    <w:rsid w:val="00920A89"/>
    <w:rsid w:val="00921285"/>
    <w:rsid w:val="009235BA"/>
    <w:rsid w:val="00924023"/>
    <w:rsid w:val="009244B2"/>
    <w:rsid w:val="00924CE2"/>
    <w:rsid w:val="00925814"/>
    <w:rsid w:val="00925B9F"/>
    <w:rsid w:val="00931AED"/>
    <w:rsid w:val="00941170"/>
    <w:rsid w:val="00943620"/>
    <w:rsid w:val="009476A3"/>
    <w:rsid w:val="0095334F"/>
    <w:rsid w:val="009544E9"/>
    <w:rsid w:val="00960390"/>
    <w:rsid w:val="009644FF"/>
    <w:rsid w:val="00964678"/>
    <w:rsid w:val="00964FC7"/>
    <w:rsid w:val="00965897"/>
    <w:rsid w:val="0096765C"/>
    <w:rsid w:val="00970AFC"/>
    <w:rsid w:val="009727E4"/>
    <w:rsid w:val="009740A5"/>
    <w:rsid w:val="009934C5"/>
    <w:rsid w:val="00994C0F"/>
    <w:rsid w:val="009A03E4"/>
    <w:rsid w:val="009A1C81"/>
    <w:rsid w:val="009A3E2C"/>
    <w:rsid w:val="009A49E3"/>
    <w:rsid w:val="009A5067"/>
    <w:rsid w:val="009A720B"/>
    <w:rsid w:val="009B22CA"/>
    <w:rsid w:val="009B22D7"/>
    <w:rsid w:val="009B2CBC"/>
    <w:rsid w:val="009B357E"/>
    <w:rsid w:val="009B72ED"/>
    <w:rsid w:val="009C5B03"/>
    <w:rsid w:val="009C6DEB"/>
    <w:rsid w:val="009D4672"/>
    <w:rsid w:val="009D5585"/>
    <w:rsid w:val="009D6504"/>
    <w:rsid w:val="009E12D7"/>
    <w:rsid w:val="009E5218"/>
    <w:rsid w:val="009E661A"/>
    <w:rsid w:val="009E7A57"/>
    <w:rsid w:val="009F1FCD"/>
    <w:rsid w:val="009F504E"/>
    <w:rsid w:val="00A014F8"/>
    <w:rsid w:val="00A04405"/>
    <w:rsid w:val="00A06781"/>
    <w:rsid w:val="00A0719D"/>
    <w:rsid w:val="00A074C3"/>
    <w:rsid w:val="00A123EB"/>
    <w:rsid w:val="00A1390D"/>
    <w:rsid w:val="00A1509C"/>
    <w:rsid w:val="00A15DD0"/>
    <w:rsid w:val="00A21688"/>
    <w:rsid w:val="00A249B9"/>
    <w:rsid w:val="00A26DBF"/>
    <w:rsid w:val="00A277C9"/>
    <w:rsid w:val="00A31D5C"/>
    <w:rsid w:val="00A34260"/>
    <w:rsid w:val="00A35ED3"/>
    <w:rsid w:val="00A36D0A"/>
    <w:rsid w:val="00A375CC"/>
    <w:rsid w:val="00A37A9D"/>
    <w:rsid w:val="00A44274"/>
    <w:rsid w:val="00A5270B"/>
    <w:rsid w:val="00A56FCC"/>
    <w:rsid w:val="00A5768F"/>
    <w:rsid w:val="00A6701A"/>
    <w:rsid w:val="00A67FDA"/>
    <w:rsid w:val="00A70CFD"/>
    <w:rsid w:val="00A72A0B"/>
    <w:rsid w:val="00A73A0A"/>
    <w:rsid w:val="00A763A0"/>
    <w:rsid w:val="00A81E42"/>
    <w:rsid w:val="00A864FE"/>
    <w:rsid w:val="00A86F41"/>
    <w:rsid w:val="00A87D04"/>
    <w:rsid w:val="00A92205"/>
    <w:rsid w:val="00A949E6"/>
    <w:rsid w:val="00A950C5"/>
    <w:rsid w:val="00A9591B"/>
    <w:rsid w:val="00A977E6"/>
    <w:rsid w:val="00AA1D25"/>
    <w:rsid w:val="00AA1FF5"/>
    <w:rsid w:val="00AA7ECE"/>
    <w:rsid w:val="00AB2B1A"/>
    <w:rsid w:val="00AB2C10"/>
    <w:rsid w:val="00AB397F"/>
    <w:rsid w:val="00AB4263"/>
    <w:rsid w:val="00AB5832"/>
    <w:rsid w:val="00AC3215"/>
    <w:rsid w:val="00AC36E6"/>
    <w:rsid w:val="00AC51F2"/>
    <w:rsid w:val="00AC5E5B"/>
    <w:rsid w:val="00AD3269"/>
    <w:rsid w:val="00AD6BA5"/>
    <w:rsid w:val="00AE0899"/>
    <w:rsid w:val="00AE5066"/>
    <w:rsid w:val="00AE5E24"/>
    <w:rsid w:val="00AE61B7"/>
    <w:rsid w:val="00AE6CBA"/>
    <w:rsid w:val="00AE79AD"/>
    <w:rsid w:val="00AF151D"/>
    <w:rsid w:val="00AF35E4"/>
    <w:rsid w:val="00AF5CDE"/>
    <w:rsid w:val="00B02BDE"/>
    <w:rsid w:val="00B11A57"/>
    <w:rsid w:val="00B13BD4"/>
    <w:rsid w:val="00B16864"/>
    <w:rsid w:val="00B211C3"/>
    <w:rsid w:val="00B214E7"/>
    <w:rsid w:val="00B22724"/>
    <w:rsid w:val="00B23602"/>
    <w:rsid w:val="00B24DB7"/>
    <w:rsid w:val="00B25597"/>
    <w:rsid w:val="00B264B3"/>
    <w:rsid w:val="00B267B9"/>
    <w:rsid w:val="00B2738D"/>
    <w:rsid w:val="00B33E09"/>
    <w:rsid w:val="00B37D08"/>
    <w:rsid w:val="00B4103B"/>
    <w:rsid w:val="00B451F7"/>
    <w:rsid w:val="00B45CB4"/>
    <w:rsid w:val="00B461F9"/>
    <w:rsid w:val="00B500CC"/>
    <w:rsid w:val="00B50708"/>
    <w:rsid w:val="00B50C68"/>
    <w:rsid w:val="00B51293"/>
    <w:rsid w:val="00B52775"/>
    <w:rsid w:val="00B52B1E"/>
    <w:rsid w:val="00B55481"/>
    <w:rsid w:val="00B56C32"/>
    <w:rsid w:val="00B57391"/>
    <w:rsid w:val="00B57ACF"/>
    <w:rsid w:val="00B63B0A"/>
    <w:rsid w:val="00B64BB1"/>
    <w:rsid w:val="00B713A2"/>
    <w:rsid w:val="00B71DC8"/>
    <w:rsid w:val="00B73166"/>
    <w:rsid w:val="00B73DD1"/>
    <w:rsid w:val="00B76AF5"/>
    <w:rsid w:val="00B77A67"/>
    <w:rsid w:val="00B80BC0"/>
    <w:rsid w:val="00B81C5F"/>
    <w:rsid w:val="00B8426C"/>
    <w:rsid w:val="00B91B8D"/>
    <w:rsid w:val="00B93E2A"/>
    <w:rsid w:val="00B94E90"/>
    <w:rsid w:val="00BA27AC"/>
    <w:rsid w:val="00BA58E6"/>
    <w:rsid w:val="00BA6EC7"/>
    <w:rsid w:val="00BB03E0"/>
    <w:rsid w:val="00BB0A82"/>
    <w:rsid w:val="00BB73F7"/>
    <w:rsid w:val="00BB7C94"/>
    <w:rsid w:val="00BC0698"/>
    <w:rsid w:val="00BC0A9D"/>
    <w:rsid w:val="00BC35CB"/>
    <w:rsid w:val="00BC3E40"/>
    <w:rsid w:val="00BC6EE1"/>
    <w:rsid w:val="00BD1655"/>
    <w:rsid w:val="00BE055A"/>
    <w:rsid w:val="00BF40ED"/>
    <w:rsid w:val="00BF5BC2"/>
    <w:rsid w:val="00BF72FE"/>
    <w:rsid w:val="00C06DA0"/>
    <w:rsid w:val="00C10E29"/>
    <w:rsid w:val="00C1133D"/>
    <w:rsid w:val="00C20A63"/>
    <w:rsid w:val="00C26A9D"/>
    <w:rsid w:val="00C27A08"/>
    <w:rsid w:val="00C31312"/>
    <w:rsid w:val="00C31E36"/>
    <w:rsid w:val="00C326C6"/>
    <w:rsid w:val="00C343CA"/>
    <w:rsid w:val="00C34BDD"/>
    <w:rsid w:val="00C35295"/>
    <w:rsid w:val="00C36ADD"/>
    <w:rsid w:val="00C36E74"/>
    <w:rsid w:val="00C40595"/>
    <w:rsid w:val="00C41621"/>
    <w:rsid w:val="00C449FA"/>
    <w:rsid w:val="00C451FF"/>
    <w:rsid w:val="00C464D5"/>
    <w:rsid w:val="00C51BF1"/>
    <w:rsid w:val="00C5384F"/>
    <w:rsid w:val="00C56964"/>
    <w:rsid w:val="00C643A0"/>
    <w:rsid w:val="00C656D5"/>
    <w:rsid w:val="00C67103"/>
    <w:rsid w:val="00C71BB9"/>
    <w:rsid w:val="00C751D7"/>
    <w:rsid w:val="00C777A3"/>
    <w:rsid w:val="00C866AF"/>
    <w:rsid w:val="00C86A8D"/>
    <w:rsid w:val="00C94C28"/>
    <w:rsid w:val="00CA4F43"/>
    <w:rsid w:val="00CB0247"/>
    <w:rsid w:val="00CB06C1"/>
    <w:rsid w:val="00CB1E42"/>
    <w:rsid w:val="00CB3440"/>
    <w:rsid w:val="00CB7062"/>
    <w:rsid w:val="00CC1692"/>
    <w:rsid w:val="00CC1B77"/>
    <w:rsid w:val="00CC3F11"/>
    <w:rsid w:val="00CD04CD"/>
    <w:rsid w:val="00CD123A"/>
    <w:rsid w:val="00CD138B"/>
    <w:rsid w:val="00CD3E31"/>
    <w:rsid w:val="00CD74A3"/>
    <w:rsid w:val="00CD77A9"/>
    <w:rsid w:val="00CE0527"/>
    <w:rsid w:val="00CE5B23"/>
    <w:rsid w:val="00CE5F2A"/>
    <w:rsid w:val="00CF040E"/>
    <w:rsid w:val="00CF0A92"/>
    <w:rsid w:val="00CF1000"/>
    <w:rsid w:val="00CF5DE6"/>
    <w:rsid w:val="00CF70AD"/>
    <w:rsid w:val="00CF7729"/>
    <w:rsid w:val="00CF7906"/>
    <w:rsid w:val="00D00059"/>
    <w:rsid w:val="00D002F0"/>
    <w:rsid w:val="00D00CF3"/>
    <w:rsid w:val="00D107FA"/>
    <w:rsid w:val="00D114A4"/>
    <w:rsid w:val="00D11DDE"/>
    <w:rsid w:val="00D12275"/>
    <w:rsid w:val="00D12766"/>
    <w:rsid w:val="00D136B7"/>
    <w:rsid w:val="00D141F2"/>
    <w:rsid w:val="00D20FF4"/>
    <w:rsid w:val="00D227C3"/>
    <w:rsid w:val="00D2388A"/>
    <w:rsid w:val="00D24D2C"/>
    <w:rsid w:val="00D252FB"/>
    <w:rsid w:val="00D268A8"/>
    <w:rsid w:val="00D278F3"/>
    <w:rsid w:val="00D27E55"/>
    <w:rsid w:val="00D33E80"/>
    <w:rsid w:val="00D33FDE"/>
    <w:rsid w:val="00D35881"/>
    <w:rsid w:val="00D35D5E"/>
    <w:rsid w:val="00D479F6"/>
    <w:rsid w:val="00D51986"/>
    <w:rsid w:val="00D538B0"/>
    <w:rsid w:val="00D637B0"/>
    <w:rsid w:val="00D64489"/>
    <w:rsid w:val="00D64D52"/>
    <w:rsid w:val="00D77B53"/>
    <w:rsid w:val="00D83656"/>
    <w:rsid w:val="00D93860"/>
    <w:rsid w:val="00D942EE"/>
    <w:rsid w:val="00D962A5"/>
    <w:rsid w:val="00D96D5B"/>
    <w:rsid w:val="00DA2767"/>
    <w:rsid w:val="00DA7DA5"/>
    <w:rsid w:val="00DB073B"/>
    <w:rsid w:val="00DB1B16"/>
    <w:rsid w:val="00DB733C"/>
    <w:rsid w:val="00DB78F0"/>
    <w:rsid w:val="00DC0CEA"/>
    <w:rsid w:val="00DC18F1"/>
    <w:rsid w:val="00DC2E43"/>
    <w:rsid w:val="00DD095C"/>
    <w:rsid w:val="00DD1020"/>
    <w:rsid w:val="00DD1330"/>
    <w:rsid w:val="00DD1B21"/>
    <w:rsid w:val="00DD7C23"/>
    <w:rsid w:val="00DE0B83"/>
    <w:rsid w:val="00DE1A81"/>
    <w:rsid w:val="00DE1C13"/>
    <w:rsid w:val="00DE45FD"/>
    <w:rsid w:val="00DE4E10"/>
    <w:rsid w:val="00DE6450"/>
    <w:rsid w:val="00DE7878"/>
    <w:rsid w:val="00DF5F47"/>
    <w:rsid w:val="00E02ABF"/>
    <w:rsid w:val="00E047DC"/>
    <w:rsid w:val="00E0772E"/>
    <w:rsid w:val="00E105D5"/>
    <w:rsid w:val="00E14995"/>
    <w:rsid w:val="00E179CD"/>
    <w:rsid w:val="00E207C4"/>
    <w:rsid w:val="00E23E8D"/>
    <w:rsid w:val="00E24862"/>
    <w:rsid w:val="00E30A42"/>
    <w:rsid w:val="00E3270E"/>
    <w:rsid w:val="00E37C97"/>
    <w:rsid w:val="00E37F98"/>
    <w:rsid w:val="00E4091E"/>
    <w:rsid w:val="00E44862"/>
    <w:rsid w:val="00E46559"/>
    <w:rsid w:val="00E473B2"/>
    <w:rsid w:val="00E52040"/>
    <w:rsid w:val="00E550CD"/>
    <w:rsid w:val="00E56889"/>
    <w:rsid w:val="00E6670C"/>
    <w:rsid w:val="00E72BFC"/>
    <w:rsid w:val="00E74351"/>
    <w:rsid w:val="00E776E8"/>
    <w:rsid w:val="00E87150"/>
    <w:rsid w:val="00E90954"/>
    <w:rsid w:val="00E92C1F"/>
    <w:rsid w:val="00E95D4B"/>
    <w:rsid w:val="00EA0AB9"/>
    <w:rsid w:val="00EA1943"/>
    <w:rsid w:val="00EB199F"/>
    <w:rsid w:val="00EB3A86"/>
    <w:rsid w:val="00EC0D8E"/>
    <w:rsid w:val="00EC23F7"/>
    <w:rsid w:val="00EC35E5"/>
    <w:rsid w:val="00EC4BD8"/>
    <w:rsid w:val="00EC63EB"/>
    <w:rsid w:val="00ED0560"/>
    <w:rsid w:val="00ED0E45"/>
    <w:rsid w:val="00ED14D9"/>
    <w:rsid w:val="00ED32BE"/>
    <w:rsid w:val="00ED412F"/>
    <w:rsid w:val="00EE103F"/>
    <w:rsid w:val="00EF069F"/>
    <w:rsid w:val="00EF1826"/>
    <w:rsid w:val="00EF36B2"/>
    <w:rsid w:val="00EF649D"/>
    <w:rsid w:val="00EF6617"/>
    <w:rsid w:val="00F0233E"/>
    <w:rsid w:val="00F05EBB"/>
    <w:rsid w:val="00F06D9B"/>
    <w:rsid w:val="00F1246B"/>
    <w:rsid w:val="00F1452A"/>
    <w:rsid w:val="00F16369"/>
    <w:rsid w:val="00F16F62"/>
    <w:rsid w:val="00F17129"/>
    <w:rsid w:val="00F201EC"/>
    <w:rsid w:val="00F208A9"/>
    <w:rsid w:val="00F24AB8"/>
    <w:rsid w:val="00F24AE0"/>
    <w:rsid w:val="00F2538D"/>
    <w:rsid w:val="00F26124"/>
    <w:rsid w:val="00F270DD"/>
    <w:rsid w:val="00F332B4"/>
    <w:rsid w:val="00F34B2D"/>
    <w:rsid w:val="00F4153B"/>
    <w:rsid w:val="00F41D75"/>
    <w:rsid w:val="00F469C9"/>
    <w:rsid w:val="00F4742E"/>
    <w:rsid w:val="00F47B23"/>
    <w:rsid w:val="00F47E0C"/>
    <w:rsid w:val="00F5139D"/>
    <w:rsid w:val="00F557D4"/>
    <w:rsid w:val="00F558F2"/>
    <w:rsid w:val="00F63DAC"/>
    <w:rsid w:val="00F657BE"/>
    <w:rsid w:val="00F669D2"/>
    <w:rsid w:val="00F6747C"/>
    <w:rsid w:val="00F73409"/>
    <w:rsid w:val="00F7454F"/>
    <w:rsid w:val="00F77988"/>
    <w:rsid w:val="00F77F48"/>
    <w:rsid w:val="00F87081"/>
    <w:rsid w:val="00F913AA"/>
    <w:rsid w:val="00F93D65"/>
    <w:rsid w:val="00FA386E"/>
    <w:rsid w:val="00FB0A4D"/>
    <w:rsid w:val="00FB0D54"/>
    <w:rsid w:val="00FB30F1"/>
    <w:rsid w:val="00FB53E7"/>
    <w:rsid w:val="00FB600B"/>
    <w:rsid w:val="00FB663B"/>
    <w:rsid w:val="00FC6B67"/>
    <w:rsid w:val="00FD2A8A"/>
    <w:rsid w:val="00FE359E"/>
    <w:rsid w:val="00FE67A8"/>
    <w:rsid w:val="00FF4717"/>
    <w:rsid w:val="00FF4C04"/>
    <w:rsid w:val="00FF6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56F90"/>
  <w15:docId w15:val="{670885B4-B65A-4741-A70C-29A82EB7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4">
    <w:name w:val="heading 4"/>
    <w:basedOn w:val="Normal"/>
    <w:next w:val="Normal"/>
    <w:link w:val="Heading4Char"/>
    <w:uiPriority w:val="9"/>
    <w:qFormat/>
    <w:rsid w:val="002C42E5"/>
    <w:pPr>
      <w:keepNext/>
      <w:keepLines/>
      <w:spacing w:before="200" w:line="276" w:lineRule="auto"/>
      <w:outlineLvl w:val="3"/>
    </w:pPr>
    <w:rPr>
      <w:rFonts w:ascii="Cambria" w:hAnsi="Cambria"/>
      <w:b/>
      <w:bCs/>
      <w:i/>
      <w:iCs/>
      <w:color w:val="4F81BD"/>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4Char">
    <w:name w:val="Heading 4 Char"/>
    <w:link w:val="Heading4"/>
    <w:uiPriority w:val="9"/>
    <w:semiHidden/>
    <w:rsid w:val="002C42E5"/>
    <w:rPr>
      <w:rFonts w:ascii="Cambria" w:eastAsia="Times New Roman" w:hAnsi="Cambria" w:cs="Times New Roman"/>
      <w:b/>
      <w:bCs/>
      <w:i/>
      <w:iCs/>
      <w:color w:val="4F81BD"/>
      <w:sz w:val="22"/>
      <w:szCs w:val="22"/>
      <w:lang w:eastAsia="en-US"/>
    </w:rPr>
  </w:style>
  <w:style w:type="character" w:styleId="Emphasis">
    <w:name w:val="Emphasis"/>
    <w:uiPriority w:val="20"/>
    <w:qFormat/>
    <w:rsid w:val="00225218"/>
    <w:rPr>
      <w:b/>
      <w:bCs/>
      <w:i w:val="0"/>
      <w:iCs w:val="0"/>
    </w:rPr>
  </w:style>
  <w:style w:type="character" w:customStyle="1" w:styleId="st">
    <w:name w:val="st"/>
    <w:basedOn w:val="DefaultParagraphFont"/>
    <w:rsid w:val="00225218"/>
  </w:style>
  <w:style w:type="character" w:customStyle="1" w:styleId="f">
    <w:name w:val="f"/>
    <w:basedOn w:val="DefaultParagraphFont"/>
    <w:rsid w:val="00225218"/>
  </w:style>
  <w:style w:type="character" w:customStyle="1" w:styleId="HeaderChar">
    <w:name w:val="Header Char"/>
    <w:link w:val="Header"/>
    <w:uiPriority w:val="99"/>
    <w:rsid w:val="00A04405"/>
    <w:rPr>
      <w:sz w:val="24"/>
      <w:szCs w:val="24"/>
    </w:rPr>
  </w:style>
  <w:style w:type="paragraph" w:styleId="NoSpacing">
    <w:name w:val="No Spacing"/>
    <w:uiPriority w:val="1"/>
    <w:qFormat/>
    <w:rsid w:val="00ED32BE"/>
    <w:rPr>
      <w:rFonts w:ascii="Calibri" w:eastAsia="Calibri" w:hAnsi="Calibri"/>
      <w:sz w:val="22"/>
      <w:szCs w:val="22"/>
      <w:lang w:eastAsia="en-US"/>
    </w:rPr>
  </w:style>
  <w:style w:type="paragraph" w:customStyle="1" w:styleId="tv2131">
    <w:name w:val="tv2131"/>
    <w:basedOn w:val="Normal"/>
    <w:rsid w:val="00941170"/>
    <w:pPr>
      <w:spacing w:line="360" w:lineRule="auto"/>
      <w:ind w:firstLine="300"/>
    </w:pPr>
    <w:rPr>
      <w:color w:val="414142"/>
      <w:sz w:val="20"/>
      <w:szCs w:val="20"/>
    </w:rPr>
  </w:style>
  <w:style w:type="character" w:customStyle="1" w:styleId="fontsize21">
    <w:name w:val="fontsize21"/>
    <w:basedOn w:val="DefaultParagraphFont"/>
    <w:rsid w:val="00894787"/>
    <w:rPr>
      <w:b w:val="0"/>
      <w:bCs w:val="0"/>
      <w:i/>
      <w:iCs/>
    </w:rPr>
  </w:style>
  <w:style w:type="paragraph" w:styleId="Revision">
    <w:name w:val="Revision"/>
    <w:hidden/>
    <w:uiPriority w:val="99"/>
    <w:semiHidden/>
    <w:rsid w:val="002D1E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6628">
      <w:bodyDiv w:val="1"/>
      <w:marLeft w:val="0"/>
      <w:marRight w:val="0"/>
      <w:marTop w:val="0"/>
      <w:marBottom w:val="0"/>
      <w:divBdr>
        <w:top w:val="none" w:sz="0" w:space="0" w:color="auto"/>
        <w:left w:val="none" w:sz="0" w:space="0" w:color="auto"/>
        <w:bottom w:val="none" w:sz="0" w:space="0" w:color="auto"/>
        <w:right w:val="none" w:sz="0" w:space="0" w:color="auto"/>
      </w:divBdr>
      <w:divsChild>
        <w:div w:id="1475029633">
          <w:marLeft w:val="0"/>
          <w:marRight w:val="0"/>
          <w:marTop w:val="0"/>
          <w:marBottom w:val="0"/>
          <w:divBdr>
            <w:top w:val="none" w:sz="0" w:space="0" w:color="auto"/>
            <w:left w:val="none" w:sz="0" w:space="0" w:color="auto"/>
            <w:bottom w:val="none" w:sz="0" w:space="0" w:color="auto"/>
            <w:right w:val="none" w:sz="0" w:space="0" w:color="auto"/>
          </w:divBdr>
          <w:divsChild>
            <w:div w:id="328678506">
              <w:marLeft w:val="0"/>
              <w:marRight w:val="0"/>
              <w:marTop w:val="0"/>
              <w:marBottom w:val="0"/>
              <w:divBdr>
                <w:top w:val="none" w:sz="0" w:space="0" w:color="auto"/>
                <w:left w:val="none" w:sz="0" w:space="0" w:color="auto"/>
                <w:bottom w:val="none" w:sz="0" w:space="0" w:color="auto"/>
                <w:right w:val="none" w:sz="0" w:space="0" w:color="auto"/>
              </w:divBdr>
              <w:divsChild>
                <w:div w:id="1611934737">
                  <w:marLeft w:val="0"/>
                  <w:marRight w:val="0"/>
                  <w:marTop w:val="0"/>
                  <w:marBottom w:val="0"/>
                  <w:divBdr>
                    <w:top w:val="none" w:sz="0" w:space="0" w:color="auto"/>
                    <w:left w:val="none" w:sz="0" w:space="0" w:color="auto"/>
                    <w:bottom w:val="none" w:sz="0" w:space="0" w:color="auto"/>
                    <w:right w:val="none" w:sz="0" w:space="0" w:color="auto"/>
                  </w:divBdr>
                  <w:divsChild>
                    <w:div w:id="2049061060">
                      <w:marLeft w:val="0"/>
                      <w:marRight w:val="0"/>
                      <w:marTop w:val="0"/>
                      <w:marBottom w:val="0"/>
                      <w:divBdr>
                        <w:top w:val="none" w:sz="0" w:space="0" w:color="auto"/>
                        <w:left w:val="none" w:sz="0" w:space="0" w:color="auto"/>
                        <w:bottom w:val="none" w:sz="0" w:space="0" w:color="auto"/>
                        <w:right w:val="none" w:sz="0" w:space="0" w:color="auto"/>
                      </w:divBdr>
                      <w:divsChild>
                        <w:div w:id="1943029647">
                          <w:marLeft w:val="0"/>
                          <w:marRight w:val="0"/>
                          <w:marTop w:val="0"/>
                          <w:marBottom w:val="0"/>
                          <w:divBdr>
                            <w:top w:val="none" w:sz="0" w:space="0" w:color="auto"/>
                            <w:left w:val="none" w:sz="0" w:space="0" w:color="auto"/>
                            <w:bottom w:val="none" w:sz="0" w:space="0" w:color="auto"/>
                            <w:right w:val="none" w:sz="0" w:space="0" w:color="auto"/>
                          </w:divBdr>
                          <w:divsChild>
                            <w:div w:id="705843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661765">
      <w:bodyDiv w:val="1"/>
      <w:marLeft w:val="0"/>
      <w:marRight w:val="0"/>
      <w:marTop w:val="0"/>
      <w:marBottom w:val="0"/>
      <w:divBdr>
        <w:top w:val="none" w:sz="0" w:space="0" w:color="auto"/>
        <w:left w:val="none" w:sz="0" w:space="0" w:color="auto"/>
        <w:bottom w:val="none" w:sz="0" w:space="0" w:color="auto"/>
        <w:right w:val="none" w:sz="0" w:space="0" w:color="auto"/>
      </w:divBdr>
      <w:divsChild>
        <w:div w:id="397703355">
          <w:marLeft w:val="0"/>
          <w:marRight w:val="0"/>
          <w:marTop w:val="0"/>
          <w:marBottom w:val="0"/>
          <w:divBdr>
            <w:top w:val="none" w:sz="0" w:space="0" w:color="auto"/>
            <w:left w:val="none" w:sz="0" w:space="0" w:color="auto"/>
            <w:bottom w:val="none" w:sz="0" w:space="0" w:color="auto"/>
            <w:right w:val="none" w:sz="0" w:space="0" w:color="auto"/>
          </w:divBdr>
          <w:divsChild>
            <w:div w:id="1920753011">
              <w:marLeft w:val="0"/>
              <w:marRight w:val="0"/>
              <w:marTop w:val="0"/>
              <w:marBottom w:val="0"/>
              <w:divBdr>
                <w:top w:val="none" w:sz="0" w:space="0" w:color="auto"/>
                <w:left w:val="none" w:sz="0" w:space="0" w:color="auto"/>
                <w:bottom w:val="none" w:sz="0" w:space="0" w:color="auto"/>
                <w:right w:val="none" w:sz="0" w:space="0" w:color="auto"/>
              </w:divBdr>
              <w:divsChild>
                <w:div w:id="547035588">
                  <w:marLeft w:val="0"/>
                  <w:marRight w:val="0"/>
                  <w:marTop w:val="0"/>
                  <w:marBottom w:val="0"/>
                  <w:divBdr>
                    <w:top w:val="none" w:sz="0" w:space="0" w:color="auto"/>
                    <w:left w:val="none" w:sz="0" w:space="0" w:color="auto"/>
                    <w:bottom w:val="none" w:sz="0" w:space="0" w:color="auto"/>
                    <w:right w:val="none" w:sz="0" w:space="0" w:color="auto"/>
                  </w:divBdr>
                  <w:divsChild>
                    <w:div w:id="1712723353">
                      <w:marLeft w:val="0"/>
                      <w:marRight w:val="0"/>
                      <w:marTop w:val="0"/>
                      <w:marBottom w:val="0"/>
                      <w:divBdr>
                        <w:top w:val="none" w:sz="0" w:space="0" w:color="auto"/>
                        <w:left w:val="none" w:sz="0" w:space="0" w:color="auto"/>
                        <w:bottom w:val="none" w:sz="0" w:space="0" w:color="auto"/>
                        <w:right w:val="none" w:sz="0" w:space="0" w:color="auto"/>
                      </w:divBdr>
                      <w:divsChild>
                        <w:div w:id="1412581251">
                          <w:marLeft w:val="0"/>
                          <w:marRight w:val="0"/>
                          <w:marTop w:val="0"/>
                          <w:marBottom w:val="0"/>
                          <w:divBdr>
                            <w:top w:val="none" w:sz="0" w:space="0" w:color="auto"/>
                            <w:left w:val="none" w:sz="0" w:space="0" w:color="auto"/>
                            <w:bottom w:val="none" w:sz="0" w:space="0" w:color="auto"/>
                            <w:right w:val="none" w:sz="0" w:space="0" w:color="auto"/>
                          </w:divBdr>
                          <w:divsChild>
                            <w:div w:id="13221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90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49096" TargetMode="External"/><Relationship Id="rId4" Type="http://schemas.openxmlformats.org/officeDocument/2006/relationships/settings" Target="settings.xml"/><Relationship Id="rId9" Type="http://schemas.openxmlformats.org/officeDocument/2006/relationships/hyperlink" Target="http://likumi.lv/doc.php?id=4909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81EA3-665E-4A53-A349-1DBC8274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7819</Words>
  <Characters>4457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5.oktobra noteikumos Nr.928 "Kārtība, kādā dibināmi valsts institūciju un pašvaldību apbalvojumi"</vt:lpstr>
      <vt:lpstr>Grozījums Ministru kabineta 2010.gada 5.oktobra noteikumos Nr.928 "Kārtība, kādā dibināmi valsts institūciju un pašvaldību apbalvojumi"</vt:lpstr>
    </vt:vector>
  </TitlesOfParts>
  <Company>Tieslietu Sektors</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5.oktobra noteikumos Nr.928 "Kārtība, kādā dibināmi valsts institūciju un pašvaldību apbalvojumi"</dc:title>
  <dc:subject>Ministru kabineta noteikumu projekta anotācija</dc:subject>
  <dc:creator>Aleksandra Joma</dc:creator>
  <dc:description>Aleksandra.joma@viaa.gov.lv; 67830842</dc:description>
  <cp:lastModifiedBy>Agra Ziediņa</cp:lastModifiedBy>
  <cp:revision>8</cp:revision>
  <cp:lastPrinted>2014-08-01T06:20:00Z</cp:lastPrinted>
  <dcterms:created xsi:type="dcterms:W3CDTF">2014-07-30T14:46:00Z</dcterms:created>
  <dcterms:modified xsi:type="dcterms:W3CDTF">2014-08-04T05:59:00Z</dcterms:modified>
</cp:coreProperties>
</file>