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8A" w:rsidRDefault="000B29DD" w:rsidP="00A22824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34641B">
        <w:rPr>
          <w:sz w:val="28"/>
          <w:szCs w:val="28"/>
        </w:rPr>
        <w:t>0</w:t>
      </w:r>
      <w:r w:rsidR="003856C3">
        <w:rPr>
          <w:sz w:val="28"/>
          <w:szCs w:val="28"/>
        </w:rPr>
        <w:t>.</w:t>
      </w:r>
      <w:r w:rsidR="002D480A" w:rsidRPr="00A60528">
        <w:rPr>
          <w:sz w:val="28"/>
          <w:szCs w:val="28"/>
        </w:rPr>
        <w:t>pielikums</w:t>
      </w:r>
    </w:p>
    <w:p w:rsidR="00342B8A" w:rsidRDefault="002D480A" w:rsidP="00A22824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Ministru kabineta</w:t>
      </w:r>
    </w:p>
    <w:p w:rsidR="00342B8A" w:rsidRDefault="002D480A" w:rsidP="00A22824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201</w:t>
      </w:r>
      <w:r w:rsidR="00A22824">
        <w:rPr>
          <w:sz w:val="28"/>
          <w:szCs w:val="28"/>
        </w:rPr>
        <w:t>4</w:t>
      </w:r>
      <w:r w:rsidRPr="00A60528">
        <w:rPr>
          <w:sz w:val="28"/>
          <w:szCs w:val="28"/>
        </w:rPr>
        <w:t>.gada _______________</w:t>
      </w:r>
    </w:p>
    <w:p w:rsidR="002D480A" w:rsidRDefault="002D480A" w:rsidP="00A22824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noteikumiem Nr._____</w:t>
      </w:r>
    </w:p>
    <w:p w:rsidR="002D480A" w:rsidRDefault="002D480A" w:rsidP="00A22824">
      <w:pPr>
        <w:spacing w:line="240" w:lineRule="atLeast"/>
        <w:jc w:val="right"/>
        <w:rPr>
          <w:sz w:val="28"/>
          <w:szCs w:val="28"/>
        </w:rPr>
      </w:pPr>
    </w:p>
    <w:p w:rsidR="009F1EEE" w:rsidRPr="00FD3DFF" w:rsidRDefault="009F1EEE" w:rsidP="00A22824">
      <w:pPr>
        <w:pStyle w:val="ParastaisWeb1"/>
        <w:spacing w:before="0" w:after="0"/>
        <w:jc w:val="center"/>
        <w:rPr>
          <w:rStyle w:val="Strong"/>
          <w:sz w:val="28"/>
          <w:szCs w:val="28"/>
        </w:rPr>
      </w:pPr>
      <w:r w:rsidRPr="00FD3DFF">
        <w:rPr>
          <w:rStyle w:val="Strong"/>
          <w:sz w:val="28"/>
          <w:szCs w:val="28"/>
        </w:rPr>
        <w:t>Speciālās pamatizglītības programmas</w:t>
      </w:r>
    </w:p>
    <w:p w:rsidR="009F1EEE" w:rsidRPr="00FD3DFF" w:rsidRDefault="009F1EEE" w:rsidP="00A22824">
      <w:pPr>
        <w:jc w:val="center"/>
        <w:rPr>
          <w:b/>
          <w:sz w:val="28"/>
          <w:szCs w:val="28"/>
        </w:rPr>
      </w:pPr>
      <w:r w:rsidRPr="00FD3DFF">
        <w:rPr>
          <w:rStyle w:val="Strong"/>
          <w:sz w:val="28"/>
          <w:szCs w:val="28"/>
        </w:rPr>
        <w:t>izglītojamiem ar smagiem garīgās attīstības traucējumiem vai vairākiem smagiem attīstības traucējumiem paraugs</w:t>
      </w:r>
    </w:p>
    <w:p w:rsidR="00A00CBB" w:rsidRPr="00FD3DFF" w:rsidRDefault="009F1EEE" w:rsidP="00A22824">
      <w:pPr>
        <w:spacing w:line="240" w:lineRule="atLeast"/>
        <w:jc w:val="center"/>
        <w:rPr>
          <w:b/>
          <w:sz w:val="28"/>
          <w:szCs w:val="28"/>
        </w:rPr>
      </w:pPr>
      <w:r w:rsidRPr="00FD3DFF">
        <w:rPr>
          <w:b/>
          <w:sz w:val="28"/>
          <w:szCs w:val="28"/>
        </w:rPr>
        <w:t xml:space="preserve"> </w:t>
      </w:r>
      <w:r w:rsidR="00DF321D" w:rsidRPr="00FD3DFF">
        <w:rPr>
          <w:b/>
          <w:sz w:val="28"/>
          <w:szCs w:val="28"/>
        </w:rPr>
        <w:t>(izglītības p</w:t>
      </w:r>
      <w:r w:rsidR="00A00CBB" w:rsidRPr="00FD3DFF">
        <w:rPr>
          <w:b/>
          <w:sz w:val="28"/>
          <w:szCs w:val="28"/>
        </w:rPr>
        <w:t xml:space="preserve">rogrammas kods </w:t>
      </w:r>
      <w:smartTag w:uri="schemas-tilde-lv/tildestengine" w:element="phone">
        <w:smartTagPr>
          <w:attr w:name="phone_prefix" w:val="2"/>
          <w:attr w:name="phone_number" w:val="1015911"/>
        </w:smartTagPr>
        <w:r w:rsidR="00A00CBB" w:rsidRPr="00FD3DFF">
          <w:rPr>
            <w:b/>
            <w:sz w:val="28"/>
            <w:szCs w:val="28"/>
          </w:rPr>
          <w:t>2101</w:t>
        </w:r>
        <w:r w:rsidR="009D0BFD" w:rsidRPr="00FD3DFF">
          <w:rPr>
            <w:b/>
            <w:sz w:val="28"/>
            <w:szCs w:val="28"/>
          </w:rPr>
          <w:t>59</w:t>
        </w:r>
        <w:r w:rsidR="00A00CBB" w:rsidRPr="00FD3DFF">
          <w:rPr>
            <w:b/>
            <w:sz w:val="28"/>
            <w:szCs w:val="28"/>
          </w:rPr>
          <w:t>11</w:t>
        </w:r>
      </w:smartTag>
      <w:r w:rsidR="00650652" w:rsidRPr="00FD3DFF">
        <w:rPr>
          <w:b/>
          <w:sz w:val="28"/>
          <w:szCs w:val="28"/>
        </w:rPr>
        <w:t xml:space="preserve">, </w:t>
      </w:r>
      <w:smartTag w:uri="schemas-tilde-lv/tildestengine" w:element="phone">
        <w:smartTagPr>
          <w:attr w:name="phone_prefix" w:val="2"/>
          <w:attr w:name="phone_number" w:val="1015921"/>
        </w:smartTagPr>
        <w:r w:rsidR="00650652" w:rsidRPr="00FD3DFF">
          <w:rPr>
            <w:b/>
            <w:sz w:val="28"/>
            <w:szCs w:val="28"/>
          </w:rPr>
          <w:t>21015921</w:t>
        </w:r>
      </w:smartTag>
      <w:r w:rsidR="00650652" w:rsidRPr="00FD3DFF">
        <w:rPr>
          <w:b/>
          <w:sz w:val="28"/>
          <w:szCs w:val="28"/>
        </w:rPr>
        <w:t xml:space="preserve">) </w:t>
      </w:r>
      <w:r w:rsidR="00BA261C" w:rsidRPr="00FD3DFF">
        <w:rPr>
          <w:b/>
          <w:sz w:val="28"/>
          <w:szCs w:val="28"/>
        </w:rPr>
        <w:t xml:space="preserve"> </w:t>
      </w:r>
    </w:p>
    <w:p w:rsidR="00A00CBB" w:rsidRPr="00FD3DFF" w:rsidRDefault="00A00CBB" w:rsidP="00A22824">
      <w:pPr>
        <w:spacing w:line="240" w:lineRule="atLeast"/>
        <w:jc w:val="center"/>
        <w:rPr>
          <w:b/>
          <w:sz w:val="28"/>
          <w:szCs w:val="28"/>
        </w:rPr>
      </w:pPr>
    </w:p>
    <w:p w:rsidR="00E376FB" w:rsidRDefault="00E376FB" w:rsidP="00A2282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Izglītības programmas mērķi un uzdevumi</w:t>
      </w:r>
    </w:p>
    <w:p w:rsidR="00E376FB" w:rsidRDefault="00E376FB" w:rsidP="00A22824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E376FB" w:rsidRDefault="00E376FB" w:rsidP="00A2282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FD3DFF">
        <w:rPr>
          <w:sz w:val="28"/>
          <w:szCs w:val="28"/>
        </w:rPr>
        <w:t xml:space="preserve"> (mazākumtautību)</w:t>
      </w:r>
      <w:r>
        <w:rPr>
          <w:sz w:val="28"/>
          <w:szCs w:val="28"/>
        </w:rPr>
        <w:t xml:space="preserve"> programmas izglītojamajiem ar </w:t>
      </w:r>
      <w:r w:rsidR="009F1EEE">
        <w:rPr>
          <w:sz w:val="28"/>
          <w:szCs w:val="28"/>
        </w:rPr>
        <w:t xml:space="preserve">smagiem </w:t>
      </w:r>
      <w:r w:rsidR="000007A3">
        <w:rPr>
          <w:sz w:val="28"/>
          <w:szCs w:val="28"/>
        </w:rPr>
        <w:t>garīgās attīstības traucējumiem</w:t>
      </w:r>
      <w:r w:rsidR="008F713F">
        <w:rPr>
          <w:sz w:val="28"/>
          <w:szCs w:val="28"/>
        </w:rPr>
        <w:t xml:space="preserve"> vai</w:t>
      </w:r>
      <w:r w:rsidR="009F1EEE">
        <w:rPr>
          <w:sz w:val="28"/>
          <w:szCs w:val="28"/>
        </w:rPr>
        <w:t xml:space="preserve"> vairākiem </w:t>
      </w:r>
      <w:r w:rsidR="009F1EEE" w:rsidRPr="009F1EEE">
        <w:rPr>
          <w:rStyle w:val="Strong"/>
          <w:b w:val="0"/>
          <w:sz w:val="28"/>
          <w:szCs w:val="28"/>
        </w:rPr>
        <w:t xml:space="preserve">smagiem  attīstības traucējumiem </w:t>
      </w:r>
      <w:r w:rsidRPr="00CC1BF0">
        <w:rPr>
          <w:sz w:val="28"/>
          <w:szCs w:val="28"/>
        </w:rPr>
        <w:t>(turpmāk –</w:t>
      </w:r>
      <w:r>
        <w:rPr>
          <w:sz w:val="28"/>
          <w:szCs w:val="28"/>
        </w:rPr>
        <w:t xml:space="preserve"> izglītības programma) </w:t>
      </w:r>
      <w:r w:rsidR="00DF4836">
        <w:rPr>
          <w:sz w:val="28"/>
          <w:szCs w:val="28"/>
        </w:rPr>
        <w:t xml:space="preserve">galvenie </w:t>
      </w:r>
      <w:r>
        <w:rPr>
          <w:sz w:val="28"/>
          <w:szCs w:val="28"/>
        </w:rPr>
        <w:t>mērķ</w:t>
      </w:r>
      <w:r w:rsidR="00DF4836">
        <w:rPr>
          <w:sz w:val="28"/>
          <w:szCs w:val="28"/>
        </w:rPr>
        <w:t>i</w:t>
      </w:r>
      <w:r>
        <w:rPr>
          <w:sz w:val="28"/>
          <w:szCs w:val="28"/>
        </w:rPr>
        <w:t xml:space="preserve"> un uzdevum</w:t>
      </w:r>
      <w:r w:rsidR="00DF4836">
        <w:rPr>
          <w:sz w:val="28"/>
          <w:szCs w:val="28"/>
        </w:rPr>
        <w:t>i ir noteikti V</w:t>
      </w:r>
      <w:r>
        <w:rPr>
          <w:sz w:val="28"/>
          <w:szCs w:val="28"/>
        </w:rPr>
        <w:t>alsts pamatizglītības standart</w:t>
      </w:r>
      <w:r w:rsidR="00DF4836">
        <w:rPr>
          <w:sz w:val="28"/>
          <w:szCs w:val="28"/>
        </w:rPr>
        <w:t>ā</w:t>
      </w:r>
      <w:r>
        <w:rPr>
          <w:sz w:val="28"/>
          <w:szCs w:val="28"/>
        </w:rPr>
        <w:t>.</w:t>
      </w:r>
    </w:p>
    <w:p w:rsidR="00E376FB" w:rsidRDefault="00E376FB" w:rsidP="00A2282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376FB" w:rsidRDefault="00E376FB" w:rsidP="00A2282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Izglītības programma nodrošina </w:t>
      </w:r>
      <w:r w:rsidR="00A04CFB">
        <w:rPr>
          <w:sz w:val="28"/>
          <w:szCs w:val="28"/>
        </w:rPr>
        <w:t>izglītojamam iespēju apgūt pamatprasmes, atbilstoši viņu veselības stāvoklim, spējām un attīstības līmenim, nodrošinot attīstības traucējuma korekciju un kompen</w:t>
      </w:r>
      <w:r w:rsidR="00DE3D63">
        <w:rPr>
          <w:sz w:val="28"/>
          <w:szCs w:val="28"/>
        </w:rPr>
        <w:t>sē</w:t>
      </w:r>
      <w:r w:rsidR="00A04CFB">
        <w:rPr>
          <w:sz w:val="28"/>
          <w:szCs w:val="28"/>
        </w:rPr>
        <w:t>šanu</w:t>
      </w:r>
      <w:r w:rsidR="007D7BD7">
        <w:rPr>
          <w:sz w:val="28"/>
          <w:szCs w:val="28"/>
        </w:rPr>
        <w:t xml:space="preserve"> vai nodrošinot veselības saglabāšanu</w:t>
      </w:r>
      <w:r w:rsidR="00A04CFB">
        <w:rPr>
          <w:sz w:val="28"/>
          <w:szCs w:val="28"/>
        </w:rPr>
        <w:t>.</w:t>
      </w:r>
    </w:p>
    <w:p w:rsidR="00E376FB" w:rsidRDefault="00E376FB" w:rsidP="00A2282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  <w:lang w:eastAsia="en-US"/>
        </w:rPr>
      </w:pPr>
    </w:p>
    <w:p w:rsidR="00E376FB" w:rsidRDefault="00E376FB" w:rsidP="00A2282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04CFB">
        <w:rPr>
          <w:sz w:val="28"/>
          <w:szCs w:val="28"/>
        </w:rPr>
        <w:t xml:space="preserve">Katram izglītojamam izglītības programma paredz individuālā izglītības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A04CFB">
          <w:rPr>
            <w:sz w:val="28"/>
            <w:szCs w:val="28"/>
          </w:rPr>
          <w:t>plāna</w:t>
        </w:r>
      </w:smartTag>
      <w:r w:rsidR="00A04CFB">
        <w:rPr>
          <w:sz w:val="28"/>
          <w:szCs w:val="28"/>
        </w:rPr>
        <w:t xml:space="preserve"> izstrādi un īstenošanu, iespēju saņemt pedagoģisko korekciju un rehabilitāciju atbilstoši izglītojamā traucējuma veidam.</w:t>
      </w:r>
    </w:p>
    <w:p w:rsidR="00E376FB" w:rsidRDefault="00E376FB" w:rsidP="00A2282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0007A3" w:rsidRPr="005A290D" w:rsidRDefault="000007A3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290D">
        <w:rPr>
          <w:sz w:val="28"/>
          <w:szCs w:val="28"/>
        </w:rPr>
        <w:t>Izglītības programmas īstenošanas uzdevumi ir:</w:t>
      </w:r>
    </w:p>
    <w:p w:rsidR="000007A3" w:rsidRPr="005A290D" w:rsidRDefault="000007A3" w:rsidP="00A2282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5A290D">
        <w:rPr>
          <w:sz w:val="28"/>
          <w:szCs w:val="28"/>
        </w:rPr>
        <w:t>.1</w:t>
      </w:r>
      <w:r w:rsidR="00575013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5A290D">
        <w:rPr>
          <w:sz w:val="28"/>
          <w:szCs w:val="28"/>
        </w:rPr>
        <w:t>odrošināt attīstības traucējuma iespējami maksimālu pedagoģiski psiholoģisku korekciju un kompensēšanu;</w:t>
      </w:r>
    </w:p>
    <w:p w:rsidR="000007A3" w:rsidRPr="005A290D" w:rsidRDefault="000007A3" w:rsidP="00A22824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4.2. </w:t>
      </w:r>
      <w:r w:rsidRPr="005A290D">
        <w:rPr>
          <w:noProof/>
          <w:sz w:val="28"/>
          <w:szCs w:val="28"/>
        </w:rPr>
        <w:t>sekmēt izglītojamā atbildīgu attieksmi pret sevi, ģimeni, apkārtējo vidi, valsti, veicināt izglītojamā integrāciju sabiedrībā;</w:t>
      </w:r>
    </w:p>
    <w:p w:rsidR="000007A3" w:rsidRPr="005A290D" w:rsidRDefault="000007A3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A290D">
        <w:rPr>
          <w:sz w:val="28"/>
          <w:szCs w:val="28"/>
        </w:rPr>
        <w:t>veicināt katra izglītojamā personības harmonisku veidošanos un attīstību;</w:t>
      </w:r>
    </w:p>
    <w:p w:rsidR="00A04CFB" w:rsidRDefault="000007A3" w:rsidP="00A2282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4.4. </w:t>
      </w:r>
      <w:r w:rsidRPr="005A290D">
        <w:rPr>
          <w:noProof/>
          <w:sz w:val="28"/>
          <w:szCs w:val="28"/>
        </w:rPr>
        <w:t>iespēju robežās nodrošināt sabiedriskajai un personiskajai dzīvei nepieciešamo pamatzināšanu un pamatprasmju apguvi, ievērojot attīstības traucējumu korekcijas un kompensēšanas iespējas</w:t>
      </w:r>
      <w:r w:rsidR="007D7BD7">
        <w:rPr>
          <w:noProof/>
          <w:sz w:val="28"/>
          <w:szCs w:val="28"/>
        </w:rPr>
        <w:t>; iespēju robežās</w:t>
      </w:r>
      <w:r w:rsidRPr="005A290D">
        <w:rPr>
          <w:sz w:val="28"/>
          <w:szCs w:val="28"/>
        </w:rPr>
        <w:t xml:space="preserve"> sagatavot izglītības turpināšanai</w:t>
      </w:r>
      <w:r w:rsidR="007D7BD7">
        <w:rPr>
          <w:sz w:val="28"/>
          <w:szCs w:val="28"/>
        </w:rPr>
        <w:t>;</w:t>
      </w:r>
    </w:p>
    <w:p w:rsidR="000007A3" w:rsidRDefault="00A04CFB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nodrošināt individuālo izglītība</w:t>
      </w:r>
      <w:r w:rsidR="00550DDE">
        <w:rPr>
          <w:sz w:val="28"/>
          <w:szCs w:val="28"/>
        </w:rPr>
        <w:t>s</w:t>
      </w:r>
      <w:r>
        <w:rPr>
          <w:sz w:val="28"/>
          <w:szCs w:val="28"/>
        </w:rPr>
        <w:t xml:space="preserve"> programmu īstenošanu darba praktisko iemaņu veidošanai. </w:t>
      </w:r>
    </w:p>
    <w:p w:rsidR="00FD3DFF" w:rsidRDefault="00FD3DFF" w:rsidP="00A22824">
      <w:pPr>
        <w:ind w:firstLine="567"/>
        <w:jc w:val="both"/>
        <w:rPr>
          <w:sz w:val="28"/>
          <w:szCs w:val="28"/>
        </w:rPr>
      </w:pPr>
    </w:p>
    <w:p w:rsidR="00B4669B" w:rsidRPr="00FD3DFF" w:rsidRDefault="00B4669B" w:rsidP="00A22824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 Mazākumtautību izglītības programmas īstenošanas uzdevumi ir:</w:t>
      </w:r>
    </w:p>
    <w:p w:rsidR="00B4669B" w:rsidRPr="00FD3DFF" w:rsidRDefault="00B4669B" w:rsidP="00A22824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lastRenderedPageBreak/>
        <w:t xml:space="preserve">5.1. nodrošināt valsts valodas apguvi tādā līmenī, lai varētu turpināt izglītību valsts valodā; </w:t>
      </w:r>
    </w:p>
    <w:p w:rsidR="00B4669B" w:rsidRPr="00FD3DFF" w:rsidRDefault="00B4669B" w:rsidP="00A22824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5.2. veicināt izglītības satura un valsts valodas integrētu apguvi;</w:t>
      </w:r>
    </w:p>
    <w:p w:rsidR="00B4669B" w:rsidRPr="00FD3DFF" w:rsidRDefault="00B4669B" w:rsidP="00A22824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5.3. nodrošināt līdzsvarotu visu izglītības jomu mācību priekšmetu apguvi;</w:t>
      </w:r>
    </w:p>
    <w:p w:rsidR="00B4669B" w:rsidRPr="00FD3DFF" w:rsidRDefault="00B4669B" w:rsidP="00A22824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5.4. sekmēt izglītojamā integrāciju Latvijas sabiedrībā;</w:t>
      </w:r>
    </w:p>
    <w:p w:rsidR="00B4669B" w:rsidRPr="00FD3DFF" w:rsidRDefault="00B4669B" w:rsidP="00A22824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5.5. atbalstīt attiecīgās etniskās kultūras apguvi.</w:t>
      </w:r>
    </w:p>
    <w:p w:rsidR="00607670" w:rsidRDefault="00607670" w:rsidP="00A22824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E376FB" w:rsidRDefault="00E376FB" w:rsidP="00A2282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FD3DFF" w:rsidRDefault="00FD3DFF" w:rsidP="00A22824">
      <w:pPr>
        <w:spacing w:line="240" w:lineRule="atLeast"/>
        <w:jc w:val="center"/>
        <w:rPr>
          <w:b/>
          <w:sz w:val="28"/>
          <w:szCs w:val="28"/>
        </w:rPr>
      </w:pPr>
    </w:p>
    <w:p w:rsidR="000007A3" w:rsidRDefault="00B4669B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6FB">
        <w:rPr>
          <w:sz w:val="28"/>
          <w:szCs w:val="28"/>
        </w:rPr>
        <w:t>. </w:t>
      </w:r>
      <w:r w:rsidR="000007A3" w:rsidRPr="009B777C">
        <w:rPr>
          <w:sz w:val="28"/>
          <w:szCs w:val="28"/>
        </w:rPr>
        <w:t>Izglītības programmas saturu veido mācību priekšmetu programmas</w:t>
      </w:r>
      <w:r w:rsidR="00E446AE">
        <w:rPr>
          <w:sz w:val="28"/>
          <w:szCs w:val="28"/>
        </w:rPr>
        <w:t xml:space="preserve">, </w:t>
      </w:r>
      <w:r w:rsidR="000007A3" w:rsidRPr="009B777C">
        <w:rPr>
          <w:sz w:val="28"/>
          <w:szCs w:val="28"/>
        </w:rPr>
        <w:t>individuālo un grupu nodarbību korekcijas un rehabilitācijas plāns.</w:t>
      </w:r>
    </w:p>
    <w:p w:rsidR="00A04CFB" w:rsidRDefault="00A04CFB" w:rsidP="00A22824">
      <w:pPr>
        <w:ind w:firstLine="567"/>
        <w:jc w:val="both"/>
        <w:rPr>
          <w:sz w:val="28"/>
          <w:szCs w:val="28"/>
        </w:rPr>
      </w:pPr>
    </w:p>
    <w:p w:rsidR="00A04CFB" w:rsidRPr="009B777C" w:rsidRDefault="00B4669B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4CFB">
        <w:rPr>
          <w:sz w:val="28"/>
          <w:szCs w:val="28"/>
        </w:rPr>
        <w:t xml:space="preserve">. Mācību priekšmetu programmu saturu īsteno atbilstoši katra izglītojamā individuālajam izglītības </w:t>
      </w:r>
      <w:smartTag w:uri="schemas-tilde-lv/tildestengine" w:element="veidnes">
        <w:smartTagPr>
          <w:attr w:name="baseform" w:val="plān|s"/>
          <w:attr w:name="id" w:val="-1"/>
          <w:attr w:name="text" w:val="plānam"/>
        </w:smartTagPr>
        <w:r w:rsidR="00A04CFB">
          <w:rPr>
            <w:sz w:val="28"/>
            <w:szCs w:val="28"/>
          </w:rPr>
          <w:t>plānam</w:t>
        </w:r>
      </w:smartTag>
      <w:r w:rsidR="00A04CFB">
        <w:rPr>
          <w:sz w:val="28"/>
          <w:szCs w:val="28"/>
        </w:rPr>
        <w:t>, ko apstiprina izglītības iestādes administrācija.</w:t>
      </w:r>
      <w:r w:rsidR="007D7BD7">
        <w:rPr>
          <w:sz w:val="28"/>
          <w:szCs w:val="28"/>
        </w:rPr>
        <w:t xml:space="preserve"> Ar individuālo izglītības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7D7BD7">
          <w:rPr>
            <w:sz w:val="28"/>
            <w:szCs w:val="28"/>
          </w:rPr>
          <w:t>plānu</w:t>
        </w:r>
      </w:smartTag>
      <w:r w:rsidR="007D7BD7">
        <w:rPr>
          <w:sz w:val="28"/>
          <w:szCs w:val="28"/>
        </w:rPr>
        <w:t xml:space="preserve"> iepazīstina izglītojam</w:t>
      </w:r>
      <w:r w:rsidR="000F66EC">
        <w:rPr>
          <w:sz w:val="28"/>
          <w:szCs w:val="28"/>
        </w:rPr>
        <w:t>o</w:t>
      </w:r>
      <w:r w:rsidR="007D7BD7">
        <w:rPr>
          <w:sz w:val="28"/>
          <w:szCs w:val="28"/>
        </w:rPr>
        <w:t xml:space="preserve"> vecākus. </w:t>
      </w:r>
    </w:p>
    <w:p w:rsidR="00CC1BF0" w:rsidRDefault="00CC1BF0" w:rsidP="00A2282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376FB" w:rsidRDefault="00B4669B" w:rsidP="00A22824">
      <w:pPr>
        <w:tabs>
          <w:tab w:val="left" w:pos="284"/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76FB">
        <w:rPr>
          <w:sz w:val="28"/>
          <w:szCs w:val="28"/>
        </w:rPr>
        <w:t>. </w:t>
      </w:r>
      <w:r w:rsidR="00A04CFB">
        <w:rPr>
          <w:sz w:val="28"/>
          <w:szCs w:val="28"/>
        </w:rPr>
        <w:t xml:space="preserve">Individuālā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="00A04CFB">
          <w:rPr>
            <w:sz w:val="28"/>
            <w:szCs w:val="28"/>
          </w:rPr>
          <w:t>plāna</w:t>
        </w:r>
      </w:smartTag>
      <w:r w:rsidR="00A04CFB">
        <w:rPr>
          <w:sz w:val="28"/>
          <w:szCs w:val="28"/>
        </w:rPr>
        <w:t xml:space="preserve"> izstrāde, īstenošana un izvērtēšana ir komandas</w:t>
      </w:r>
      <w:r w:rsidR="00E55C5C">
        <w:rPr>
          <w:sz w:val="28"/>
          <w:szCs w:val="28"/>
        </w:rPr>
        <w:t xml:space="preserve"> </w:t>
      </w:r>
      <w:r w:rsidR="00E55C5C" w:rsidRPr="00DF4836">
        <w:rPr>
          <w:sz w:val="28"/>
          <w:szCs w:val="28"/>
        </w:rPr>
        <w:t>(atbalsta personāla)</w:t>
      </w:r>
      <w:r w:rsidR="00E55C5C">
        <w:rPr>
          <w:sz w:val="28"/>
          <w:szCs w:val="28"/>
        </w:rPr>
        <w:t xml:space="preserve"> </w:t>
      </w:r>
      <w:r w:rsidR="00A04CFB">
        <w:rPr>
          <w:sz w:val="28"/>
          <w:szCs w:val="28"/>
        </w:rPr>
        <w:t xml:space="preserve">darbs, kas prasa speciālistu un izglītojamā </w:t>
      </w:r>
      <w:r w:rsidR="00A04CFB">
        <w:rPr>
          <w:color w:val="000000"/>
          <w:sz w:val="28"/>
          <w:szCs w:val="28"/>
        </w:rPr>
        <w:t>un viņa vecāk</w:t>
      </w:r>
      <w:r w:rsidR="00DF4836">
        <w:rPr>
          <w:color w:val="000000"/>
          <w:sz w:val="28"/>
          <w:szCs w:val="28"/>
        </w:rPr>
        <w:t>u</w:t>
      </w:r>
      <w:r w:rsidR="00A04CFB">
        <w:rPr>
          <w:color w:val="000000"/>
          <w:sz w:val="28"/>
          <w:szCs w:val="28"/>
        </w:rPr>
        <w:t xml:space="preserve"> regulāru sadarbību.</w:t>
      </w:r>
      <w:r w:rsidR="00A04CFB">
        <w:rPr>
          <w:sz w:val="28"/>
          <w:szCs w:val="28"/>
        </w:rPr>
        <w:t xml:space="preserve"> </w:t>
      </w:r>
    </w:p>
    <w:p w:rsidR="00E376FB" w:rsidRDefault="00E376FB" w:rsidP="00A22824">
      <w:pPr>
        <w:tabs>
          <w:tab w:val="left" w:pos="0"/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0007A3" w:rsidRDefault="000007A3" w:rsidP="00A22824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Izglītības programmas 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 xml:space="preserve">stenošanas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>
          <w:rPr>
            <w:b/>
            <w:bCs/>
            <w:sz w:val="28"/>
            <w:szCs w:val="28"/>
          </w:rPr>
          <w:t>plāns</w:t>
        </w:r>
      </w:smartTag>
    </w:p>
    <w:p w:rsidR="000007A3" w:rsidRDefault="000007A3" w:rsidP="00A22824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0007A3" w:rsidRPr="009B777C" w:rsidRDefault="00B4669B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07A3">
        <w:rPr>
          <w:sz w:val="28"/>
          <w:szCs w:val="28"/>
        </w:rPr>
        <w:t xml:space="preserve">. </w:t>
      </w:r>
      <w:r w:rsidR="000007A3" w:rsidRPr="009B777C">
        <w:rPr>
          <w:sz w:val="28"/>
          <w:szCs w:val="28"/>
        </w:rPr>
        <w:t xml:space="preserve">Izglītības iestāde izglītības programmā noteiktās prasības īsteno </w:t>
      </w:r>
      <w:r w:rsidR="00550DDE">
        <w:rPr>
          <w:sz w:val="28"/>
          <w:szCs w:val="28"/>
        </w:rPr>
        <w:t>a</w:t>
      </w:r>
      <w:r w:rsidR="000007A3" w:rsidRPr="009B777C">
        <w:rPr>
          <w:sz w:val="28"/>
          <w:szCs w:val="28"/>
        </w:rPr>
        <w:t>tbilstoši izglītojamā spējām</w:t>
      </w:r>
      <w:r w:rsidR="00E446AE">
        <w:rPr>
          <w:sz w:val="28"/>
          <w:szCs w:val="28"/>
        </w:rPr>
        <w:t xml:space="preserve">, </w:t>
      </w:r>
      <w:r w:rsidR="000007A3" w:rsidRPr="009B777C">
        <w:rPr>
          <w:sz w:val="28"/>
          <w:szCs w:val="28"/>
        </w:rPr>
        <w:t>attīstības līmenim</w:t>
      </w:r>
      <w:r w:rsidR="00E446AE">
        <w:rPr>
          <w:sz w:val="28"/>
          <w:szCs w:val="28"/>
        </w:rPr>
        <w:t>, veselības stāvoklim.</w:t>
      </w:r>
      <w:r w:rsidR="006258B8">
        <w:rPr>
          <w:sz w:val="28"/>
          <w:szCs w:val="28"/>
        </w:rPr>
        <w:t xml:space="preserve"> </w:t>
      </w:r>
    </w:p>
    <w:p w:rsidR="000007A3" w:rsidRPr="009B777C" w:rsidRDefault="000007A3" w:rsidP="00A22824">
      <w:pPr>
        <w:jc w:val="both"/>
        <w:rPr>
          <w:sz w:val="28"/>
          <w:szCs w:val="28"/>
        </w:rPr>
      </w:pPr>
    </w:p>
    <w:p w:rsidR="000007A3" w:rsidRDefault="00B4669B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07A3">
        <w:rPr>
          <w:sz w:val="28"/>
          <w:szCs w:val="28"/>
        </w:rPr>
        <w:t xml:space="preserve">. </w:t>
      </w:r>
      <w:r w:rsidR="000007A3" w:rsidRPr="009B777C">
        <w:rPr>
          <w:sz w:val="28"/>
          <w:szCs w:val="28"/>
        </w:rPr>
        <w:t>Izglītības programmas īstenošana izglītojamajiem paredzēta deviņiem gadiem.</w:t>
      </w:r>
      <w:r w:rsidR="00D43F8D">
        <w:rPr>
          <w:sz w:val="28"/>
          <w:szCs w:val="28"/>
        </w:rPr>
        <w:t xml:space="preserve"> Atkarībā no izglītojamā veselības stāvokļa un izglītības iestādes iespējām izglītības programm</w:t>
      </w:r>
      <w:r w:rsidR="00A22824">
        <w:rPr>
          <w:sz w:val="28"/>
          <w:szCs w:val="28"/>
        </w:rPr>
        <w:t>as</w:t>
      </w:r>
      <w:r w:rsidR="00D43F8D">
        <w:rPr>
          <w:sz w:val="28"/>
          <w:szCs w:val="28"/>
        </w:rPr>
        <w:t xml:space="preserve"> īstenošana var ilgt līdz 12 gadiem.</w:t>
      </w:r>
    </w:p>
    <w:p w:rsidR="002B4EE4" w:rsidRDefault="002B4EE4" w:rsidP="00A22824">
      <w:pPr>
        <w:ind w:firstLine="567"/>
        <w:jc w:val="both"/>
        <w:rPr>
          <w:sz w:val="28"/>
          <w:szCs w:val="28"/>
        </w:rPr>
      </w:pPr>
    </w:p>
    <w:p w:rsidR="001D36DB" w:rsidRDefault="00B66EE1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69B">
        <w:rPr>
          <w:sz w:val="28"/>
          <w:szCs w:val="28"/>
        </w:rPr>
        <w:t>1</w:t>
      </w:r>
      <w:r w:rsidR="000007A3">
        <w:rPr>
          <w:sz w:val="28"/>
          <w:szCs w:val="28"/>
        </w:rPr>
        <w:t xml:space="preserve">. </w:t>
      </w:r>
      <w:r w:rsidR="009D0BFD">
        <w:rPr>
          <w:sz w:val="28"/>
          <w:szCs w:val="28"/>
        </w:rPr>
        <w:t>Vispārējās izglītības iestād</w:t>
      </w:r>
      <w:r w:rsidR="00446B83">
        <w:rPr>
          <w:sz w:val="28"/>
          <w:szCs w:val="28"/>
        </w:rPr>
        <w:t>ē</w:t>
      </w:r>
      <w:r w:rsidR="009D0BFD">
        <w:rPr>
          <w:sz w:val="28"/>
          <w:szCs w:val="28"/>
        </w:rPr>
        <w:t xml:space="preserve"> </w:t>
      </w:r>
      <w:r w:rsidR="000007A3" w:rsidRPr="009B777C">
        <w:rPr>
          <w:sz w:val="28"/>
          <w:szCs w:val="28"/>
        </w:rPr>
        <w:t>var integrēt (iekļaut) izglītojamaj</w:t>
      </w:r>
      <w:r w:rsidR="001D36DB">
        <w:rPr>
          <w:sz w:val="28"/>
          <w:szCs w:val="28"/>
        </w:rPr>
        <w:t>os</w:t>
      </w:r>
      <w:r w:rsidR="000007A3" w:rsidRPr="009B777C">
        <w:rPr>
          <w:sz w:val="28"/>
          <w:szCs w:val="28"/>
        </w:rPr>
        <w:t xml:space="preserve"> ar </w:t>
      </w:r>
      <w:r w:rsidR="00607670">
        <w:rPr>
          <w:sz w:val="28"/>
          <w:szCs w:val="28"/>
        </w:rPr>
        <w:t xml:space="preserve">smagiem garīgās </w:t>
      </w:r>
      <w:r w:rsidR="000007A3" w:rsidRPr="009B777C">
        <w:rPr>
          <w:sz w:val="28"/>
          <w:szCs w:val="28"/>
        </w:rPr>
        <w:t>attīstības traucējumiem</w:t>
      </w:r>
      <w:r w:rsidR="00446B83" w:rsidRPr="00446B83">
        <w:rPr>
          <w:rStyle w:val="Strong"/>
          <w:sz w:val="28"/>
          <w:szCs w:val="28"/>
        </w:rPr>
        <w:t xml:space="preserve"> </w:t>
      </w:r>
      <w:r w:rsidR="00446B83" w:rsidRPr="00446B83">
        <w:rPr>
          <w:rStyle w:val="Strong"/>
          <w:b w:val="0"/>
          <w:sz w:val="28"/>
          <w:szCs w:val="28"/>
        </w:rPr>
        <w:t>vai vairākiem smagiem attīstības traucējumiem</w:t>
      </w:r>
      <w:r w:rsidR="001D36DB">
        <w:rPr>
          <w:sz w:val="28"/>
          <w:szCs w:val="28"/>
        </w:rPr>
        <w:t>. I</w:t>
      </w:r>
      <w:r w:rsidR="001D36DB" w:rsidRPr="009B777C">
        <w:rPr>
          <w:sz w:val="28"/>
          <w:szCs w:val="28"/>
        </w:rPr>
        <w:t>ekļautajiem izglītojamajiem izstrādā individuālo izglītība</w:t>
      </w:r>
      <w:r w:rsidR="00BC0CA5">
        <w:rPr>
          <w:sz w:val="28"/>
          <w:szCs w:val="28"/>
        </w:rPr>
        <w:t>s</w:t>
      </w:r>
      <w:r w:rsidR="001D36DB">
        <w:rPr>
          <w:sz w:val="28"/>
          <w:szCs w:val="28"/>
        </w:rPr>
        <w:t xml:space="preserve"> plānu.</w:t>
      </w:r>
    </w:p>
    <w:p w:rsidR="00776836" w:rsidRDefault="00776836" w:rsidP="00A22824">
      <w:pPr>
        <w:ind w:firstLine="567"/>
        <w:jc w:val="both"/>
        <w:rPr>
          <w:sz w:val="28"/>
          <w:szCs w:val="28"/>
        </w:rPr>
      </w:pPr>
    </w:p>
    <w:p w:rsidR="002D480A" w:rsidRDefault="00776836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6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7BD7">
        <w:rPr>
          <w:sz w:val="28"/>
          <w:szCs w:val="28"/>
        </w:rPr>
        <w:t xml:space="preserve">Izvērtējot izglītojamā spējas, attīstības līmeni un veselības stāvokli </w:t>
      </w:r>
      <w:r w:rsidR="00BC0CA5">
        <w:rPr>
          <w:sz w:val="28"/>
          <w:szCs w:val="28"/>
        </w:rPr>
        <w:t xml:space="preserve">izglītojamajam tiek veidots individuāls izglītības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BC0CA5">
          <w:rPr>
            <w:sz w:val="28"/>
            <w:szCs w:val="28"/>
          </w:rPr>
          <w:t>plāns</w:t>
        </w:r>
      </w:smartTag>
      <w:r w:rsidR="00BC0CA5">
        <w:rPr>
          <w:sz w:val="28"/>
          <w:szCs w:val="28"/>
        </w:rPr>
        <w:t xml:space="preserve"> par pamatu ņemot</w:t>
      </w:r>
      <w:r w:rsidR="008120AA">
        <w:rPr>
          <w:sz w:val="28"/>
          <w:szCs w:val="28"/>
        </w:rPr>
        <w:t xml:space="preserve"> vienu no </w:t>
      </w:r>
      <w:r w:rsidR="007D7BD7">
        <w:rPr>
          <w:sz w:val="28"/>
          <w:szCs w:val="28"/>
        </w:rPr>
        <w:t>i</w:t>
      </w:r>
      <w:r w:rsidR="002D480A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2D480A">
          <w:rPr>
            <w:sz w:val="28"/>
            <w:szCs w:val="28"/>
          </w:rPr>
          <w:t>plān</w:t>
        </w:r>
        <w:r w:rsidR="007D7BD7">
          <w:rPr>
            <w:sz w:val="28"/>
            <w:szCs w:val="28"/>
          </w:rPr>
          <w:t>u</w:t>
        </w:r>
      </w:smartTag>
      <w:r w:rsidR="008120AA">
        <w:rPr>
          <w:sz w:val="28"/>
          <w:szCs w:val="28"/>
        </w:rPr>
        <w:t xml:space="preserve"> variantiem</w:t>
      </w:r>
      <w:r w:rsidR="00BC0CA5">
        <w:rPr>
          <w:sz w:val="28"/>
          <w:szCs w:val="28"/>
        </w:rPr>
        <w:t>:</w:t>
      </w:r>
      <w:r w:rsidR="007D7BD7">
        <w:rPr>
          <w:sz w:val="28"/>
          <w:szCs w:val="28"/>
        </w:rPr>
        <w:t xml:space="preserve"> </w:t>
      </w:r>
    </w:p>
    <w:p w:rsidR="003E0986" w:rsidRDefault="003E0986" w:rsidP="00A22824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</w:p>
    <w:p w:rsidR="00BC0CA5" w:rsidRPr="00032802" w:rsidRDefault="00BC0CA5" w:rsidP="00A22824">
      <w:pPr>
        <w:tabs>
          <w:tab w:val="left" w:pos="2310"/>
        </w:tabs>
        <w:ind w:firstLine="567"/>
        <w:jc w:val="both"/>
        <w:rPr>
          <w:sz w:val="28"/>
          <w:szCs w:val="28"/>
        </w:rPr>
      </w:pPr>
      <w:r w:rsidRPr="00BC0CA5">
        <w:rPr>
          <w:b/>
          <w:sz w:val="28"/>
          <w:szCs w:val="28"/>
        </w:rPr>
        <w:t>1. variants</w:t>
      </w:r>
      <w:r w:rsidRPr="00BC0CA5">
        <w:rPr>
          <w:b/>
          <w:sz w:val="28"/>
          <w:szCs w:val="28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93"/>
        <w:gridCol w:w="569"/>
        <w:gridCol w:w="714"/>
        <w:gridCol w:w="571"/>
        <w:gridCol w:w="713"/>
        <w:gridCol w:w="714"/>
        <w:gridCol w:w="713"/>
        <w:gridCol w:w="713"/>
        <w:gridCol w:w="714"/>
      </w:tblGrid>
      <w:tr w:rsidR="00A22824" w:rsidRPr="00CA5E37" w:rsidTr="00A22824">
        <w:trPr>
          <w:trHeight w:val="510"/>
        </w:trPr>
        <w:tc>
          <w:tcPr>
            <w:tcW w:w="154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>Izglītošanās jomas un mācību priekšmeti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</w:t>
            </w:r>
            <w:r w:rsidRPr="00CA5E37">
              <w:rPr>
                <w:b/>
                <w:bCs/>
              </w:rPr>
              <w:t>Valodas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Latviešu valoda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 xml:space="preserve">Tehnoloģiju un zinātņu </w:t>
            </w:r>
            <w:r>
              <w:rPr>
                <w:b/>
                <w:bCs/>
              </w:rPr>
              <w:t xml:space="preserve">  </w:t>
            </w:r>
            <w:r w:rsidRPr="00CA5E37">
              <w:rPr>
                <w:b/>
                <w:bCs/>
              </w:rPr>
              <w:t>pamati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607670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607670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A22824" w:rsidRPr="00CA5E37" w:rsidTr="00A22824">
        <w:trPr>
          <w:trHeight w:val="221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A22824" w:rsidRPr="00CA5E37" w:rsidTr="00A22824">
        <w:trPr>
          <w:cantSplit/>
          <w:trHeight w:val="298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lang w:eastAsia="en-US"/>
              </w:rPr>
            </w:pPr>
            <w:r w:rsidRPr="00CA5E37">
              <w:t xml:space="preserve">Mājturība un tehnoloģijas                   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Mākslas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Literatūra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r w:rsidRPr="00CA5E37">
              <w:t xml:space="preserve">   Mūzika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315"/>
        </w:trPr>
        <w:tc>
          <w:tcPr>
            <w:tcW w:w="1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A22824" w:rsidRPr="00CA5E37" w:rsidRDefault="00A22824" w:rsidP="00A22824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3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B6783C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23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24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26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B6783C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30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32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</w:tr>
    </w:tbl>
    <w:p w:rsidR="000F66EC" w:rsidRDefault="000F66EC" w:rsidP="00A22824">
      <w:pPr>
        <w:jc w:val="both"/>
        <w:rPr>
          <w:i/>
          <w:iCs/>
          <w:sz w:val="20"/>
          <w:szCs w:val="20"/>
        </w:rPr>
      </w:pPr>
    </w:p>
    <w:p w:rsidR="00DF4836" w:rsidRDefault="00BC0CA5" w:rsidP="00A22824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  <w:r w:rsidRPr="00BC0CA5">
        <w:rPr>
          <w:b/>
          <w:bCs/>
          <w:iCs/>
        </w:rPr>
        <w:tab/>
      </w:r>
      <w:r w:rsidRPr="00BC0CA5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 xml:space="preserve"> </w:t>
      </w:r>
      <w:r w:rsidRPr="00BC0CA5">
        <w:rPr>
          <w:b/>
          <w:bCs/>
          <w:iCs/>
          <w:sz w:val="28"/>
          <w:szCs w:val="28"/>
        </w:rPr>
        <w:t>variants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567"/>
        <w:gridCol w:w="709"/>
        <w:gridCol w:w="567"/>
        <w:gridCol w:w="709"/>
        <w:gridCol w:w="709"/>
        <w:gridCol w:w="708"/>
        <w:gridCol w:w="709"/>
        <w:gridCol w:w="709"/>
      </w:tblGrid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Izglītošanās</w:t>
            </w:r>
          </w:p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jomas un</w:t>
            </w:r>
          </w:p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mācību</w:t>
            </w:r>
          </w:p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priekšmeti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proofErr w:type="spellStart"/>
            <w:r w:rsidRPr="000F66EC">
              <w:rPr>
                <w:b/>
                <w:bCs/>
              </w:rPr>
              <w:t>l.kl</w:t>
            </w:r>
            <w:proofErr w:type="spellEnd"/>
            <w:r w:rsidRPr="000F66EC"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2.kl.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3.kl.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4.kl.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5.kl.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6.kl.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7.kl.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8.kl.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9.kl.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t>Saskarsme (</w:t>
            </w:r>
            <w:r w:rsidRPr="000F66EC">
              <w:rPr>
                <w:i/>
              </w:rPr>
              <w:t>komunikācija, valodas uztvere, izpratne, lietošana</w:t>
            </w:r>
            <w:r w:rsidRPr="000F66EC"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t xml:space="preserve">Sports </w:t>
            </w:r>
          </w:p>
          <w:p w:rsidR="00A22824" w:rsidRPr="000F66EC" w:rsidRDefault="00A22824" w:rsidP="00A22824">
            <w:pPr>
              <w:shd w:val="clear" w:color="auto" w:fill="FFFFFF"/>
              <w:rPr>
                <w:i/>
              </w:rPr>
            </w:pPr>
            <w:r w:rsidRPr="000F66EC">
              <w:t>(</w:t>
            </w:r>
            <w:r w:rsidRPr="000F66EC">
              <w:rPr>
                <w:i/>
              </w:rPr>
              <w:t>kustību attīstīšana)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t>Sociālās zinības (</w:t>
            </w:r>
            <w:r w:rsidRPr="000F66EC">
              <w:rPr>
                <w:i/>
              </w:rPr>
              <w:t>sociālās iemaņas</w:t>
            </w:r>
            <w:r w:rsidRPr="000F66EC"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t>Vizuālā māksla (</w:t>
            </w:r>
            <w:r w:rsidRPr="000F66EC">
              <w:rPr>
                <w:i/>
              </w:rPr>
              <w:t>pasaules izzināšana</w:t>
            </w:r>
            <w:r w:rsidRPr="000F66EC"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Default="00A22824" w:rsidP="00A22824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Izglītojamā maksimālā mācību stundu slodze nedēļā</w:t>
            </w:r>
          </w:p>
          <w:p w:rsidR="00A22824" w:rsidRPr="000F66EC" w:rsidRDefault="00A22824" w:rsidP="00A22824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23</w:t>
            </w:r>
          </w:p>
          <w:p w:rsidR="00A22824" w:rsidRPr="000F66EC" w:rsidRDefault="00A22824" w:rsidP="00A2282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24</w:t>
            </w:r>
          </w:p>
          <w:p w:rsidR="00A22824" w:rsidRPr="000F66EC" w:rsidRDefault="00A22824" w:rsidP="00A2282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26</w:t>
            </w:r>
          </w:p>
          <w:p w:rsidR="00A22824" w:rsidRPr="000F66EC" w:rsidRDefault="00A22824" w:rsidP="00A2282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28</w:t>
            </w:r>
          </w:p>
          <w:p w:rsidR="00A22824" w:rsidRPr="000F66EC" w:rsidRDefault="00A22824" w:rsidP="00A2282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30</w:t>
            </w:r>
          </w:p>
          <w:p w:rsidR="00A22824" w:rsidRPr="000F66EC" w:rsidRDefault="00A22824" w:rsidP="00A22824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32</w:t>
            </w:r>
          </w:p>
          <w:p w:rsidR="00A22824" w:rsidRPr="000F66EC" w:rsidRDefault="00A22824" w:rsidP="00A2282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34</w:t>
            </w:r>
          </w:p>
          <w:p w:rsidR="00A22824" w:rsidRPr="000F66EC" w:rsidRDefault="00A22824" w:rsidP="00A2282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bCs/>
              </w:rPr>
              <w:t>34</w:t>
            </w:r>
          </w:p>
        </w:tc>
      </w:tr>
    </w:tbl>
    <w:p w:rsidR="00B37D57" w:rsidRDefault="00B37D57" w:rsidP="00A22824">
      <w:pPr>
        <w:jc w:val="both"/>
        <w:rPr>
          <w:i/>
          <w:iCs/>
          <w:sz w:val="20"/>
          <w:szCs w:val="20"/>
        </w:rPr>
      </w:pPr>
      <w:bookmarkStart w:id="0" w:name="OLE_LINK3"/>
      <w:bookmarkStart w:id="1" w:name="OLE_LINK2"/>
      <w:bookmarkStart w:id="2" w:name="OLE_LINK1"/>
    </w:p>
    <w:p w:rsidR="00532939" w:rsidRPr="00FD3DFF" w:rsidRDefault="00B4669B" w:rsidP="00A22824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13</w:t>
      </w:r>
      <w:r w:rsidR="00532939" w:rsidRPr="00FD3DFF">
        <w:rPr>
          <w:sz w:val="28"/>
          <w:szCs w:val="28"/>
        </w:rPr>
        <w:t xml:space="preserve">. Izvērtējot izglītojamā spējas, attīstības līmeni un veselības stāvokli izglītojamajam tiek veidots individuāls izglītības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532939" w:rsidRPr="00FD3DFF">
          <w:rPr>
            <w:sz w:val="28"/>
            <w:szCs w:val="28"/>
          </w:rPr>
          <w:t>plāns</w:t>
        </w:r>
      </w:smartTag>
      <w:r w:rsidR="00532939" w:rsidRPr="00FD3DFF">
        <w:rPr>
          <w:sz w:val="28"/>
          <w:szCs w:val="28"/>
        </w:rPr>
        <w:t xml:space="preserve"> par pamatu ņemot vienu no mazākumtautību izglītības programmas mācību priekšmetu un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532939" w:rsidRPr="00FD3DFF">
          <w:rPr>
            <w:sz w:val="28"/>
            <w:szCs w:val="28"/>
          </w:rPr>
          <w:t>plānu</w:t>
        </w:r>
      </w:smartTag>
      <w:r w:rsidR="00532939" w:rsidRPr="00FD3DFF">
        <w:rPr>
          <w:sz w:val="28"/>
          <w:szCs w:val="28"/>
        </w:rPr>
        <w:t xml:space="preserve"> variantiem: </w:t>
      </w:r>
    </w:p>
    <w:p w:rsidR="00C63047" w:rsidRDefault="00C63047" w:rsidP="00A22824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</w:p>
    <w:p w:rsidR="00FD3DFF" w:rsidRPr="00532939" w:rsidRDefault="00532939" w:rsidP="00A22824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  <w:r w:rsidRPr="00BC0CA5">
        <w:rPr>
          <w:b/>
          <w:sz w:val="28"/>
          <w:szCs w:val="28"/>
        </w:rPr>
        <w:t>1. variants</w:t>
      </w:r>
      <w:r w:rsidRPr="00BC0CA5">
        <w:rPr>
          <w:b/>
          <w:sz w:val="28"/>
          <w:szCs w:val="28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581"/>
        <w:gridCol w:w="686"/>
        <w:gridCol w:w="714"/>
        <w:gridCol w:w="571"/>
        <w:gridCol w:w="713"/>
        <w:gridCol w:w="714"/>
        <w:gridCol w:w="713"/>
        <w:gridCol w:w="714"/>
        <w:gridCol w:w="713"/>
      </w:tblGrid>
      <w:tr w:rsidR="00A22824" w:rsidRPr="00CA5E37" w:rsidTr="00A22824">
        <w:trPr>
          <w:trHeight w:val="510"/>
        </w:trPr>
        <w:tc>
          <w:tcPr>
            <w:tcW w:w="154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>Izglīt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ības </w:t>
            </w: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 xml:space="preserve"> jomas un mācību priekšmeti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>Valoda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pStyle w:val="Header"/>
              <w:tabs>
                <w:tab w:val="left" w:pos="142"/>
                <w:tab w:val="left" w:pos="720"/>
              </w:tabs>
              <w:ind w:right="58"/>
              <w:rPr>
                <w:rFonts w:eastAsia="Arial Unicode MS"/>
                <w:lang w:eastAsia="en-US"/>
              </w:rPr>
            </w:pPr>
            <w:r w:rsidRPr="00CA5E37">
              <w:lastRenderedPageBreak/>
              <w:t>Latviešu valoda</w:t>
            </w:r>
            <w:r>
              <w:t xml:space="preserve"> un literatūra</w:t>
            </w:r>
          </w:p>
        </w:tc>
        <w:tc>
          <w:tcPr>
            <w:tcW w:w="328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8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pStyle w:val="Header"/>
              <w:tabs>
                <w:tab w:val="left" w:pos="142"/>
                <w:tab w:val="left" w:pos="720"/>
              </w:tabs>
              <w:ind w:right="58"/>
            </w:pPr>
            <w:r>
              <w:t>Mazākumtautības valoda</w:t>
            </w:r>
          </w:p>
        </w:tc>
        <w:tc>
          <w:tcPr>
            <w:tcW w:w="328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387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3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322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2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3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2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3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2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</w:p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lang w:eastAsia="en-US"/>
              </w:rPr>
            </w:pPr>
            <w:r w:rsidRPr="00CA5E37">
              <w:t xml:space="preserve">Matemātika 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lang w:eastAsia="en-US"/>
              </w:rPr>
            </w:pPr>
            <w:r w:rsidRPr="00CA5E37">
              <w:t xml:space="preserve"> Informātika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607670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607670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lang w:eastAsia="en-US"/>
              </w:rPr>
            </w:pPr>
            <w:r w:rsidRPr="00CA5E37">
              <w:t xml:space="preserve"> Dabaszinības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A22824" w:rsidRPr="00CA5E37" w:rsidTr="00A22824">
        <w:trPr>
          <w:trHeight w:val="221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A22824" w:rsidRPr="00CA5E37" w:rsidTr="00A22824">
        <w:trPr>
          <w:cantSplit/>
          <w:trHeight w:val="298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lang w:eastAsia="en-US"/>
              </w:rPr>
            </w:pPr>
            <w:r w:rsidRPr="00CA5E37">
              <w:t xml:space="preserve"> Sociālās zinības                     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lang w:eastAsia="en-US"/>
              </w:rPr>
            </w:pPr>
            <w:r w:rsidRPr="00CA5E37">
              <w:t xml:space="preserve">Mājturība un tehnoloģijas                   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>Māksla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Literatūra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DB54A2" w:rsidRDefault="00A22824" w:rsidP="00A2282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322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2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3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2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3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402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0082F" w:rsidRDefault="00A22824" w:rsidP="00A2282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</w:pPr>
            <w:r w:rsidRPr="00CA5E37">
              <w:t>Mūzika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25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pStyle w:val="Header"/>
              <w:tabs>
                <w:tab w:val="left" w:pos="142"/>
                <w:tab w:val="left" w:pos="720"/>
              </w:tabs>
              <w:ind w:right="58"/>
              <w:rPr>
                <w:rFonts w:eastAsia="Arial Unicode MS"/>
                <w:lang w:eastAsia="en-US"/>
              </w:rPr>
            </w:pPr>
            <w:r w:rsidRPr="00CA5E37">
              <w:t>Vizuālā māksla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A22824" w:rsidRPr="00CA5E37" w:rsidTr="00A22824">
        <w:trPr>
          <w:trHeight w:val="315"/>
        </w:trPr>
        <w:tc>
          <w:tcPr>
            <w:tcW w:w="15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tabs>
                <w:tab w:val="left" w:pos="142"/>
              </w:tabs>
              <w:ind w:right="58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A22824" w:rsidRPr="00CA5E37" w:rsidRDefault="00A22824" w:rsidP="00A22824">
            <w:pPr>
              <w:tabs>
                <w:tab w:val="left" w:pos="142"/>
              </w:tabs>
              <w:ind w:right="58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23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24</w:t>
            </w:r>
          </w:p>
        </w:tc>
        <w:tc>
          <w:tcPr>
            <w:tcW w:w="3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26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30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32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CA5E37" w:rsidRDefault="00A22824" w:rsidP="00A2282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</w:tr>
    </w:tbl>
    <w:p w:rsidR="00B37D57" w:rsidRDefault="00B37D57" w:rsidP="00A22824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3170"/>
        <w:gridCol w:w="2915"/>
      </w:tblGrid>
      <w:tr w:rsidR="00DB54A2" w:rsidRPr="00F1729C" w:rsidTr="00B10321">
        <w:trPr>
          <w:jc w:val="center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B54A2" w:rsidRPr="00A22824" w:rsidRDefault="00DB54A2" w:rsidP="00A22824">
            <w:pPr>
              <w:pStyle w:val="Footer"/>
              <w:rPr>
                <w:sz w:val="20"/>
                <w:szCs w:val="20"/>
              </w:rPr>
            </w:pPr>
            <w:r w:rsidRPr="00A22824">
              <w:rPr>
                <w:sz w:val="20"/>
                <w:szCs w:val="20"/>
              </w:rPr>
              <w:t>latviešu  valodā</w:t>
            </w:r>
          </w:p>
        </w:tc>
        <w:tc>
          <w:tcPr>
            <w:tcW w:w="3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4A2" w:rsidRPr="00A22824" w:rsidRDefault="00DB54A2" w:rsidP="00A22824">
            <w:pPr>
              <w:rPr>
                <w:iCs/>
                <w:sz w:val="20"/>
                <w:szCs w:val="20"/>
                <w:highlight w:val="yellow"/>
              </w:rPr>
            </w:pPr>
            <w:r w:rsidRPr="00A22824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DB54A2" w:rsidRPr="00A22824" w:rsidRDefault="00DB54A2" w:rsidP="00A22824">
            <w:pPr>
              <w:rPr>
                <w:color w:val="FFFFFF"/>
                <w:sz w:val="20"/>
                <w:szCs w:val="20"/>
              </w:rPr>
            </w:pPr>
            <w:r w:rsidRPr="00A22824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DB54A2" w:rsidRDefault="00DB54A2" w:rsidP="00A22824">
      <w:pPr>
        <w:jc w:val="both"/>
        <w:rPr>
          <w:bCs/>
          <w:iCs/>
          <w:sz w:val="20"/>
          <w:szCs w:val="20"/>
        </w:rPr>
      </w:pPr>
    </w:p>
    <w:p w:rsidR="00FD3DFF" w:rsidRDefault="00532939" w:rsidP="00A22824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  <w:r w:rsidRPr="00BC0CA5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 xml:space="preserve"> </w:t>
      </w:r>
      <w:r w:rsidRPr="00BC0CA5">
        <w:rPr>
          <w:b/>
          <w:bCs/>
          <w:iCs/>
          <w:sz w:val="28"/>
          <w:szCs w:val="28"/>
        </w:rPr>
        <w:t>variants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8"/>
        <w:gridCol w:w="709"/>
        <w:gridCol w:w="567"/>
        <w:gridCol w:w="709"/>
        <w:gridCol w:w="709"/>
        <w:gridCol w:w="708"/>
        <w:gridCol w:w="709"/>
        <w:gridCol w:w="709"/>
      </w:tblGrid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Izglīt</w:t>
            </w:r>
            <w:r>
              <w:rPr>
                <w:b/>
                <w:bCs/>
              </w:rPr>
              <w:t>ības</w:t>
            </w:r>
          </w:p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jomas un</w:t>
            </w:r>
          </w:p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mācību</w:t>
            </w:r>
          </w:p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priekšmeti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proofErr w:type="spellStart"/>
            <w:r w:rsidRPr="000F66EC">
              <w:rPr>
                <w:b/>
                <w:bCs/>
              </w:rPr>
              <w:t>l.kl</w:t>
            </w:r>
            <w:proofErr w:type="spellEnd"/>
            <w:r w:rsidRPr="000F66EC">
              <w:rPr>
                <w:b/>
                <w:bCs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2.kl.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3.kl.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4.kl.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5.kl.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6.kl.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7.kl.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8.kl.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9.kl.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t>Saskarsme (</w:t>
            </w:r>
            <w:r w:rsidRPr="000F66EC">
              <w:rPr>
                <w:i/>
              </w:rPr>
              <w:t>komunikācija, valodas uztvere, izpratne, lietošana</w:t>
            </w:r>
            <w:r w:rsidRPr="000F66EC"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B37AFC" w:rsidRDefault="00A22824" w:rsidP="00A2282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B37AFC" w:rsidRDefault="00A22824" w:rsidP="00A2282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B37AFC" w:rsidRDefault="00A22824" w:rsidP="00A2282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B37AFC" w:rsidRDefault="00A22824" w:rsidP="00A2282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B37AFC" w:rsidRDefault="00A22824" w:rsidP="00A2282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B37AFC" w:rsidRDefault="00A22824" w:rsidP="00A2282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B37AFC" w:rsidRDefault="00A22824" w:rsidP="00A2282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B37AFC" w:rsidRDefault="00A22824" w:rsidP="00A2282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B37AFC" w:rsidRDefault="00A22824" w:rsidP="00A2282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t xml:space="preserve">Sports </w:t>
            </w:r>
          </w:p>
          <w:p w:rsidR="00A22824" w:rsidRPr="000F66EC" w:rsidRDefault="00A22824" w:rsidP="00A22824">
            <w:pPr>
              <w:shd w:val="clear" w:color="auto" w:fill="FFFFFF"/>
              <w:rPr>
                <w:i/>
              </w:rPr>
            </w:pPr>
            <w:r w:rsidRPr="000F66EC">
              <w:t>(</w:t>
            </w:r>
            <w:r w:rsidRPr="000F66EC">
              <w:rPr>
                <w:i/>
              </w:rPr>
              <w:t>kustību attīstīšana)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t>Sociālās zinības (</w:t>
            </w:r>
            <w:r w:rsidRPr="000F66EC">
              <w:rPr>
                <w:i/>
              </w:rPr>
              <w:t>sociālās iemaņas</w:t>
            </w:r>
            <w:r w:rsidRPr="000F66EC"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t>Vizuālā māksla (</w:t>
            </w:r>
            <w:r w:rsidRPr="000F66EC">
              <w:rPr>
                <w:i/>
              </w:rPr>
              <w:t>pasaules izzināšana</w:t>
            </w:r>
            <w:r w:rsidRPr="000F66EC"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0F66EC" w:rsidRDefault="00A22824" w:rsidP="00A2282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A22824" w:rsidRPr="000F66EC" w:rsidTr="00A2282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  <w:r w:rsidRPr="00477EEB">
              <w:rPr>
                <w:b/>
                <w:bCs/>
              </w:rPr>
              <w:t>Izglītojamā maksimālā mācību stundu slodze nedēļā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  <w:r w:rsidRPr="00477EEB">
              <w:rPr>
                <w:b/>
                <w:bCs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23</w:t>
            </w:r>
          </w:p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24</w:t>
            </w:r>
          </w:p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26</w:t>
            </w:r>
          </w:p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28</w:t>
            </w:r>
          </w:p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30</w:t>
            </w:r>
          </w:p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32</w:t>
            </w:r>
          </w:p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34</w:t>
            </w:r>
          </w:p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24" w:rsidRPr="00477EEB" w:rsidRDefault="00A22824" w:rsidP="00A22824">
            <w:pPr>
              <w:shd w:val="clear" w:color="auto" w:fill="FFFFFF"/>
              <w:rPr>
                <w:b/>
              </w:rPr>
            </w:pPr>
            <w:r w:rsidRPr="00477EEB">
              <w:rPr>
                <w:b/>
                <w:bCs/>
              </w:rPr>
              <w:t>34</w:t>
            </w:r>
          </w:p>
        </w:tc>
      </w:tr>
    </w:tbl>
    <w:p w:rsidR="00B37D57" w:rsidRDefault="00B37D57" w:rsidP="00A22824">
      <w:pPr>
        <w:jc w:val="both"/>
        <w:rPr>
          <w:i/>
          <w:iCs/>
          <w:sz w:val="20"/>
          <w:szCs w:val="20"/>
        </w:rPr>
      </w:pPr>
    </w:p>
    <w:tbl>
      <w:tblPr>
        <w:tblW w:w="8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994"/>
        <w:gridCol w:w="3269"/>
      </w:tblGrid>
      <w:tr w:rsidR="00B37AFC" w:rsidRPr="00F1729C" w:rsidTr="00B10321">
        <w:trPr>
          <w:jc w:val="center"/>
        </w:trPr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37AFC" w:rsidRPr="00A22824" w:rsidRDefault="00B37AFC" w:rsidP="00A22824">
            <w:pPr>
              <w:pStyle w:val="Footer"/>
              <w:rPr>
                <w:sz w:val="20"/>
                <w:szCs w:val="20"/>
              </w:rPr>
            </w:pPr>
            <w:r w:rsidRPr="00A22824">
              <w:rPr>
                <w:sz w:val="20"/>
                <w:szCs w:val="20"/>
              </w:rPr>
              <w:t>latviešu  valodā</w:t>
            </w:r>
          </w:p>
        </w:tc>
        <w:tc>
          <w:tcPr>
            <w:tcW w:w="2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AFC" w:rsidRPr="00A22824" w:rsidRDefault="00B37AFC" w:rsidP="00A22824">
            <w:pPr>
              <w:rPr>
                <w:iCs/>
                <w:sz w:val="20"/>
                <w:szCs w:val="20"/>
                <w:highlight w:val="yellow"/>
              </w:rPr>
            </w:pPr>
            <w:r w:rsidRPr="00A22824">
              <w:rPr>
                <w:iCs/>
                <w:sz w:val="20"/>
                <w:szCs w:val="20"/>
              </w:rPr>
              <w:t>latviešu valodā vai latviešu valodā un mazākumtautības valodā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B37AFC" w:rsidRPr="00A22824" w:rsidRDefault="00B37AFC" w:rsidP="00A22824">
            <w:pPr>
              <w:rPr>
                <w:color w:val="FFFFFF"/>
                <w:sz w:val="20"/>
                <w:szCs w:val="20"/>
              </w:rPr>
            </w:pPr>
            <w:r w:rsidRPr="00A22824">
              <w:rPr>
                <w:color w:val="FFFFFF"/>
                <w:sz w:val="20"/>
                <w:szCs w:val="20"/>
              </w:rPr>
              <w:t>mazākumtautības valodā</w:t>
            </w:r>
          </w:p>
        </w:tc>
      </w:tr>
    </w:tbl>
    <w:p w:rsidR="00C11CF1" w:rsidRPr="00FD3DFF" w:rsidRDefault="00B4669B" w:rsidP="00A22824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14</w:t>
      </w:r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>. Mācību priekšmeti, kuri apgūstami mazākumtautības v</w:t>
      </w: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alodā saskaņā ar šī pielikuma 13</w:t>
      </w:r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 xml:space="preserve">.punktā noteikto mācību priekšmetu un mācību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C11CF1" w:rsidRPr="00FD3DFF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 xml:space="preserve">, var </w:t>
      </w:r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lastRenderedPageBreak/>
        <w:t xml:space="preserve">tikt apgūti latviešu valodā, izņemot mācību priekšmetu mazākumtautības valoda un mācību priekšmetu literatūra. </w:t>
      </w:r>
    </w:p>
    <w:p w:rsidR="00532939" w:rsidRPr="00C11CF1" w:rsidRDefault="00532939" w:rsidP="00A22824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bookmarkEnd w:id="0"/>
    <w:bookmarkEnd w:id="1"/>
    <w:bookmarkEnd w:id="2"/>
    <w:p w:rsidR="00E376FB" w:rsidRDefault="00B66EE1" w:rsidP="00A22824">
      <w:pPr>
        <w:ind w:firstLine="567"/>
        <w:jc w:val="both"/>
        <w:rPr>
          <w:iCs/>
          <w:sz w:val="28"/>
          <w:szCs w:val="28"/>
        </w:rPr>
      </w:pPr>
      <w:r w:rsidRPr="00FD3DFF">
        <w:rPr>
          <w:iCs/>
          <w:sz w:val="28"/>
          <w:szCs w:val="28"/>
        </w:rPr>
        <w:t>1</w:t>
      </w:r>
      <w:r w:rsidR="00B4669B" w:rsidRPr="00FD3DFF">
        <w:rPr>
          <w:iCs/>
          <w:sz w:val="28"/>
          <w:szCs w:val="28"/>
        </w:rPr>
        <w:t>5</w:t>
      </w:r>
      <w:r w:rsidR="000F4544" w:rsidRPr="00FD3DFF">
        <w:rPr>
          <w:iCs/>
          <w:sz w:val="28"/>
          <w:szCs w:val="28"/>
        </w:rPr>
        <w:t>.</w:t>
      </w:r>
      <w:r w:rsidR="000F4544" w:rsidRPr="000F4544">
        <w:rPr>
          <w:iCs/>
          <w:sz w:val="28"/>
          <w:szCs w:val="28"/>
        </w:rPr>
        <w:t xml:space="preserve"> </w:t>
      </w:r>
      <w:r w:rsidR="00A841FC">
        <w:rPr>
          <w:iCs/>
          <w:sz w:val="28"/>
          <w:szCs w:val="28"/>
        </w:rPr>
        <w:t xml:space="preserve">Izglītības programmas mācību priekšmetu un stundu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A841FC">
          <w:rPr>
            <w:iCs/>
            <w:sz w:val="28"/>
            <w:szCs w:val="28"/>
          </w:rPr>
          <w:t>plāns</w:t>
        </w:r>
      </w:smartTag>
      <w:r w:rsidR="00A841FC">
        <w:rPr>
          <w:iCs/>
          <w:sz w:val="28"/>
          <w:szCs w:val="28"/>
        </w:rPr>
        <w:t xml:space="preserve"> pielāgojams katra izglītojamā veselības stāvoklim, spējām un attīstības līmenim. Stundu skaits nedēļā izglītojamā individuālajā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A841FC">
          <w:rPr>
            <w:iCs/>
            <w:sz w:val="28"/>
            <w:szCs w:val="28"/>
          </w:rPr>
          <w:t>plānā</w:t>
        </w:r>
      </w:smartTag>
      <w:r w:rsidR="00A841FC">
        <w:rPr>
          <w:iCs/>
          <w:sz w:val="28"/>
          <w:szCs w:val="28"/>
        </w:rPr>
        <w:t xml:space="preserve"> var būt mazāks par mācību priekšmetu </w:t>
      </w:r>
      <w:r w:rsidR="00B06619">
        <w:rPr>
          <w:iCs/>
          <w:sz w:val="28"/>
          <w:szCs w:val="28"/>
        </w:rPr>
        <w:t xml:space="preserve">un stundu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="00B06619">
          <w:rPr>
            <w:iCs/>
            <w:sz w:val="28"/>
            <w:szCs w:val="28"/>
          </w:rPr>
          <w:t>plānā</w:t>
        </w:r>
      </w:smartTag>
      <w:r w:rsidR="00B06619">
        <w:rPr>
          <w:iCs/>
          <w:sz w:val="28"/>
          <w:szCs w:val="28"/>
        </w:rPr>
        <w:t xml:space="preserve"> maksimāli pieļaujamo</w:t>
      </w:r>
      <w:r w:rsidR="00AC6CBB">
        <w:rPr>
          <w:iCs/>
          <w:sz w:val="28"/>
          <w:szCs w:val="28"/>
        </w:rPr>
        <w:t>.</w:t>
      </w:r>
    </w:p>
    <w:p w:rsidR="00FF2405" w:rsidRDefault="00FF2405" w:rsidP="00A22824">
      <w:pPr>
        <w:ind w:firstLine="567"/>
        <w:jc w:val="both"/>
        <w:rPr>
          <w:iCs/>
          <w:sz w:val="28"/>
          <w:szCs w:val="28"/>
        </w:rPr>
      </w:pPr>
    </w:p>
    <w:p w:rsidR="00E376FB" w:rsidRPr="00032802" w:rsidRDefault="00E376FB" w:rsidP="00A22824">
      <w:pPr>
        <w:ind w:firstLine="567"/>
        <w:jc w:val="both"/>
        <w:rPr>
          <w:sz w:val="28"/>
          <w:szCs w:val="28"/>
        </w:rPr>
      </w:pPr>
      <w:r w:rsidRPr="000F4544">
        <w:rPr>
          <w:sz w:val="28"/>
          <w:szCs w:val="28"/>
        </w:rPr>
        <w:t>1</w:t>
      </w:r>
      <w:r w:rsidR="00FD3DFF">
        <w:rPr>
          <w:sz w:val="28"/>
          <w:szCs w:val="28"/>
        </w:rPr>
        <w:t>6</w:t>
      </w:r>
      <w:r w:rsidRPr="000F4544">
        <w:rPr>
          <w:sz w:val="28"/>
          <w:szCs w:val="28"/>
        </w:rPr>
        <w:t>. Izglītības</w:t>
      </w:r>
      <w:r w:rsidRPr="00032802">
        <w:rPr>
          <w:sz w:val="28"/>
          <w:szCs w:val="28"/>
        </w:rPr>
        <w:t xml:space="preserve"> programmā ārpus kopējās mācību stundu slodzes </w:t>
      </w:r>
      <w:r w:rsidR="00912297">
        <w:rPr>
          <w:sz w:val="28"/>
          <w:szCs w:val="28"/>
        </w:rPr>
        <w:t>i</w:t>
      </w:r>
      <w:r w:rsidRPr="00032802">
        <w:rPr>
          <w:sz w:val="28"/>
          <w:szCs w:val="28"/>
        </w:rPr>
        <w:t>ekļautas:</w:t>
      </w:r>
    </w:p>
    <w:p w:rsidR="00E376FB" w:rsidRPr="00032802" w:rsidRDefault="00E376FB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DFF">
        <w:rPr>
          <w:sz w:val="28"/>
          <w:szCs w:val="28"/>
        </w:rPr>
        <w:t>6</w:t>
      </w:r>
      <w:r w:rsidRPr="00032802">
        <w:rPr>
          <w:sz w:val="28"/>
          <w:szCs w:val="28"/>
        </w:rPr>
        <w:t>.1. klases stund</w:t>
      </w:r>
      <w:r w:rsidR="000B73B1">
        <w:rPr>
          <w:sz w:val="28"/>
          <w:szCs w:val="28"/>
        </w:rPr>
        <w:t>u</w:t>
      </w:r>
      <w:r w:rsidRPr="00032802">
        <w:rPr>
          <w:sz w:val="28"/>
          <w:szCs w:val="28"/>
        </w:rPr>
        <w:t xml:space="preserve"> – vismaz viena stunda katrai klasei </w:t>
      </w:r>
      <w:r>
        <w:rPr>
          <w:sz w:val="28"/>
          <w:szCs w:val="28"/>
        </w:rPr>
        <w:t>n</w:t>
      </w:r>
      <w:r w:rsidRPr="00032802">
        <w:rPr>
          <w:sz w:val="28"/>
          <w:szCs w:val="28"/>
        </w:rPr>
        <w:t>edēļā;</w:t>
      </w:r>
    </w:p>
    <w:p w:rsidR="00FF2405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.2. fakultatīvās nodarbības</w:t>
      </w:r>
      <w:r w:rsidR="00FF2405">
        <w:rPr>
          <w:sz w:val="28"/>
          <w:szCs w:val="28"/>
        </w:rPr>
        <w:t xml:space="preserve">, kas nav obligātas un </w:t>
      </w:r>
      <w:r w:rsidR="00E376FB" w:rsidRPr="00032802">
        <w:rPr>
          <w:sz w:val="28"/>
          <w:szCs w:val="28"/>
        </w:rPr>
        <w:t xml:space="preserve"> tiek organizētas izglītojamo grupai, ievērojot brīvprātības principu (pamats – vecāku </w:t>
      </w:r>
      <w:smartTag w:uri="schemas-tilde-lv/tildestengine" w:element="veidnes">
        <w:smartTagPr>
          <w:attr w:name="text" w:val="iesniegums"/>
          <w:attr w:name="id" w:val="-1"/>
          <w:attr w:name="baseform" w:val="iesniegums"/>
        </w:smartTagPr>
        <w:r w:rsidR="00E376FB" w:rsidRPr="00032802">
          <w:rPr>
            <w:sz w:val="28"/>
            <w:szCs w:val="28"/>
          </w:rPr>
          <w:t>iesniegums</w:t>
        </w:r>
      </w:smartTag>
      <w:r w:rsidR="00E376FB" w:rsidRPr="00032802">
        <w:rPr>
          <w:sz w:val="28"/>
          <w:szCs w:val="28"/>
        </w:rPr>
        <w:t xml:space="preserve">). Fakultatīvās nodarbības ir izglītojamo vispārējo attīstību veicinošas nodarbības, tajā skaitā deju kolektīvi, teātra, </w:t>
      </w:r>
      <w:r w:rsidR="00B06619">
        <w:rPr>
          <w:sz w:val="28"/>
          <w:szCs w:val="28"/>
        </w:rPr>
        <w:t>mūzikas</w:t>
      </w:r>
      <w:r w:rsidR="00E376FB" w:rsidRPr="00032802">
        <w:rPr>
          <w:sz w:val="28"/>
          <w:szCs w:val="28"/>
        </w:rPr>
        <w:t>, keramikas un citas nodarbības</w:t>
      </w:r>
      <w:r w:rsidR="00FF2405">
        <w:rPr>
          <w:sz w:val="28"/>
          <w:szCs w:val="28"/>
        </w:rPr>
        <w:t>;</w:t>
      </w:r>
      <w:r w:rsidR="00E376FB" w:rsidRPr="00032802">
        <w:rPr>
          <w:sz w:val="28"/>
          <w:szCs w:val="28"/>
        </w:rPr>
        <w:t xml:space="preserve"> </w:t>
      </w:r>
    </w:p>
    <w:p w:rsidR="00E376FB" w:rsidRPr="00032802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.3. stundas individuālajam darbam ar izglītojamajiem, kuriem nepieciešama papildu palīdzība mācību satura apguvē mācību priekšmetā</w:t>
      </w:r>
      <w:r w:rsidR="00FF2405">
        <w:rPr>
          <w:sz w:val="28"/>
          <w:szCs w:val="28"/>
        </w:rPr>
        <w:t>;</w:t>
      </w:r>
      <w:r w:rsidR="00E376FB" w:rsidRPr="00032802">
        <w:rPr>
          <w:sz w:val="28"/>
          <w:szCs w:val="28"/>
        </w:rPr>
        <w:t xml:space="preserve"> </w:t>
      </w:r>
    </w:p>
    <w:p w:rsidR="00E376FB" w:rsidRPr="00032802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.4. pagarinātās darba dienas grupas</w:t>
      </w:r>
      <w:r w:rsidR="00B37D57">
        <w:rPr>
          <w:sz w:val="28"/>
          <w:szCs w:val="28"/>
        </w:rPr>
        <w:t xml:space="preserve"> (izņem</w:t>
      </w:r>
      <w:r w:rsidR="00E376FB">
        <w:rPr>
          <w:sz w:val="28"/>
          <w:szCs w:val="28"/>
        </w:rPr>
        <w:t>o</w:t>
      </w:r>
      <w:r w:rsidR="00B37D57">
        <w:rPr>
          <w:sz w:val="28"/>
          <w:szCs w:val="28"/>
        </w:rPr>
        <w:t>t</w:t>
      </w:r>
      <w:r w:rsidR="00E376FB">
        <w:rPr>
          <w:sz w:val="28"/>
          <w:szCs w:val="28"/>
        </w:rPr>
        <w:t xml:space="preserve"> internātskolas</w:t>
      </w:r>
      <w:r w:rsidR="00B37D57">
        <w:rPr>
          <w:sz w:val="28"/>
          <w:szCs w:val="28"/>
        </w:rPr>
        <w:t>)</w:t>
      </w:r>
      <w:r w:rsidR="004152AB">
        <w:rPr>
          <w:sz w:val="28"/>
          <w:szCs w:val="28"/>
        </w:rPr>
        <w:t>;</w:t>
      </w:r>
    </w:p>
    <w:p w:rsidR="00E376FB" w:rsidRPr="00032802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 xml:space="preserve">.5. </w:t>
      </w:r>
      <w:r w:rsidR="00AC6CBB">
        <w:rPr>
          <w:sz w:val="28"/>
          <w:szCs w:val="28"/>
        </w:rPr>
        <w:t>i</w:t>
      </w:r>
      <w:r w:rsidR="00E376FB" w:rsidRPr="00032802">
        <w:rPr>
          <w:sz w:val="28"/>
          <w:szCs w:val="28"/>
        </w:rPr>
        <w:t>ndividuālās un grupu korekcijas un rehabilitācijas nodarbības.</w:t>
      </w:r>
    </w:p>
    <w:p w:rsidR="00E376FB" w:rsidRDefault="00E376FB" w:rsidP="00A22824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AC6CBB" w:rsidRPr="0029504F" w:rsidRDefault="00AC6CBB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DFF">
        <w:rPr>
          <w:sz w:val="28"/>
          <w:szCs w:val="28"/>
        </w:rPr>
        <w:t>7</w:t>
      </w:r>
      <w:r w:rsidRPr="0029504F">
        <w:rPr>
          <w:sz w:val="28"/>
          <w:szCs w:val="28"/>
        </w:rPr>
        <w:t xml:space="preserve">. Individuālās grupu korekcijas un rehabilitācijas nodarbību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29504F">
          <w:rPr>
            <w:sz w:val="28"/>
            <w:szCs w:val="28"/>
          </w:rPr>
          <w:t>plāns</w:t>
        </w:r>
      </w:smartTag>
      <w:r w:rsidRPr="0029504F">
        <w:rPr>
          <w:sz w:val="28"/>
          <w:szCs w:val="28"/>
        </w:rPr>
        <w:t xml:space="preserve"> (izņemot vispārējās izglītības iestādes, kurās iekļauti izglītojamie ar speciālām vajadzībām)</w:t>
      </w:r>
      <w:r w:rsidR="000F66EC">
        <w:rPr>
          <w:sz w:val="28"/>
          <w:szCs w:val="28"/>
        </w:rPr>
        <w:t xml:space="preserve">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22"/>
        <w:gridCol w:w="713"/>
        <w:gridCol w:w="714"/>
        <w:gridCol w:w="713"/>
        <w:gridCol w:w="713"/>
        <w:gridCol w:w="714"/>
        <w:gridCol w:w="714"/>
        <w:gridCol w:w="856"/>
        <w:gridCol w:w="856"/>
      </w:tblGrid>
      <w:tr w:rsidR="00A22824" w:rsidRPr="000F66EC" w:rsidTr="00A22824">
        <w:trPr>
          <w:trHeight w:val="510"/>
        </w:trPr>
        <w:tc>
          <w:tcPr>
            <w:tcW w:w="121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pStyle w:val="Heading4"/>
              <w:spacing w:before="0" w:beforeAutospacing="0" w:after="0" w:afterAutospacing="0" w:line="240" w:lineRule="atLeast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1.kl.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2.kl.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3.kl.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4.kl.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5.kl.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6.kl.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7.kl.</w:t>
            </w:r>
          </w:p>
        </w:tc>
        <w:tc>
          <w:tcPr>
            <w:tcW w:w="4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8.kl.</w:t>
            </w:r>
          </w:p>
        </w:tc>
        <w:tc>
          <w:tcPr>
            <w:tcW w:w="4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9.kl.</w:t>
            </w:r>
          </w:p>
        </w:tc>
      </w:tr>
      <w:tr w:rsidR="00A22824" w:rsidRPr="000F66EC" w:rsidTr="00A22824">
        <w:trPr>
          <w:trHeight w:val="510"/>
        </w:trPr>
        <w:tc>
          <w:tcPr>
            <w:tcW w:w="121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650652" w:rsidRDefault="00A22824" w:rsidP="00A22824">
            <w:pPr>
              <w:spacing w:line="240" w:lineRule="atLeast"/>
              <w:rPr>
                <w:bCs/>
                <w:lang w:eastAsia="en-US"/>
              </w:rPr>
            </w:pPr>
            <w:r w:rsidRPr="000F66EC">
              <w:rPr>
                <w:bCs/>
              </w:rPr>
              <w:t>Individuālās/grupu korekcijas un rehabilitācijas nodarbības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4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4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</w:tr>
      <w:tr w:rsidR="00A22824" w:rsidRPr="000F66EC" w:rsidTr="00A22824">
        <w:trPr>
          <w:trHeight w:val="510"/>
        </w:trPr>
        <w:tc>
          <w:tcPr>
            <w:tcW w:w="121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Kopā: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4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4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4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2824" w:rsidRPr="000F66EC" w:rsidRDefault="00A22824" w:rsidP="00A22824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</w:tr>
    </w:tbl>
    <w:p w:rsidR="00B37D57" w:rsidRDefault="00B37D57" w:rsidP="00A22824">
      <w:pPr>
        <w:jc w:val="both"/>
        <w:rPr>
          <w:i/>
          <w:iCs/>
          <w:sz w:val="20"/>
          <w:szCs w:val="20"/>
        </w:rPr>
      </w:pPr>
    </w:p>
    <w:p w:rsidR="00AC6CBB" w:rsidRPr="00707A16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Individuālo grupu 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AC6CBB" w:rsidRPr="00707A16">
          <w:rPr>
            <w:sz w:val="28"/>
            <w:szCs w:val="28"/>
          </w:rPr>
          <w:t>plānu</w:t>
        </w:r>
      </w:smartTag>
      <w:r w:rsidR="00AC6CBB" w:rsidRPr="00707A16">
        <w:rPr>
          <w:sz w:val="28"/>
          <w:szCs w:val="28"/>
        </w:rPr>
        <w:t xml:space="preserve"> veido ārstnieciskās vingrošanas, peldēšanas, ritmikas un </w:t>
      </w:r>
      <w:proofErr w:type="spellStart"/>
      <w:r w:rsidR="00AC6CBB" w:rsidRPr="00707A16">
        <w:rPr>
          <w:sz w:val="28"/>
          <w:szCs w:val="28"/>
        </w:rPr>
        <w:t>logoritmikas</w:t>
      </w:r>
      <w:proofErr w:type="spellEnd"/>
      <w:r w:rsidR="00AC6CBB" w:rsidRPr="00707A16">
        <w:rPr>
          <w:sz w:val="28"/>
          <w:szCs w:val="28"/>
        </w:rPr>
        <w:t xml:space="preserve"> nodarbības, grupu un individuālās </w:t>
      </w:r>
      <w:proofErr w:type="spellStart"/>
      <w:r w:rsidR="00AC6CBB" w:rsidRPr="00707A16">
        <w:rPr>
          <w:sz w:val="28"/>
          <w:szCs w:val="28"/>
        </w:rPr>
        <w:t>logopēdiskās</w:t>
      </w:r>
      <w:proofErr w:type="spellEnd"/>
      <w:r w:rsidR="00AC6CBB" w:rsidRPr="00707A16">
        <w:rPr>
          <w:sz w:val="28"/>
          <w:szCs w:val="28"/>
        </w:rPr>
        <w:t xml:space="preserve"> nodarbības</w:t>
      </w:r>
      <w:r w:rsidR="00B06619">
        <w:rPr>
          <w:sz w:val="28"/>
          <w:szCs w:val="28"/>
        </w:rPr>
        <w:t xml:space="preserve">, </w:t>
      </w:r>
      <w:proofErr w:type="spellStart"/>
      <w:r w:rsidR="00B06619">
        <w:rPr>
          <w:sz w:val="28"/>
          <w:szCs w:val="28"/>
        </w:rPr>
        <w:t>montesori</w:t>
      </w:r>
      <w:proofErr w:type="spellEnd"/>
      <w:r w:rsidR="00B06619">
        <w:rPr>
          <w:sz w:val="28"/>
          <w:szCs w:val="28"/>
        </w:rPr>
        <w:t xml:space="preserve"> nodarbības, mūzikas terapijas </w:t>
      </w:r>
      <w:r w:rsidR="00AC6CBB" w:rsidRPr="00707A16">
        <w:rPr>
          <w:sz w:val="28"/>
          <w:szCs w:val="28"/>
        </w:rPr>
        <w:t>vai citas korekcijas un rehabilitācijas nodarbības. Individuālo grupu korekcijas un rehabilitācijas nodarbībās var apvienot vairāku klašu izglītojamos.</w:t>
      </w:r>
    </w:p>
    <w:p w:rsidR="00A22824" w:rsidRDefault="00A22824" w:rsidP="00A22824">
      <w:pPr>
        <w:ind w:firstLine="567"/>
        <w:jc w:val="both"/>
        <w:rPr>
          <w:sz w:val="28"/>
          <w:szCs w:val="28"/>
        </w:rPr>
      </w:pPr>
    </w:p>
    <w:p w:rsidR="00AC6CBB" w:rsidRPr="00707A16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C6CBB" w:rsidRPr="00707A16">
        <w:rPr>
          <w:sz w:val="28"/>
          <w:szCs w:val="28"/>
        </w:rPr>
        <w:t xml:space="preserve">. </w:t>
      </w:r>
      <w:r w:rsidR="00AC6CBB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AC6CBB">
          <w:rPr>
            <w:sz w:val="28"/>
            <w:szCs w:val="28"/>
          </w:rPr>
          <w:t>plāns</w:t>
        </w:r>
      </w:smartTag>
      <w:r w:rsidR="00AC6CBB">
        <w:rPr>
          <w:sz w:val="28"/>
          <w:szCs w:val="28"/>
        </w:rPr>
        <w:t xml:space="preserve"> var tikt īstenots mācību procesa laikā paralēli mācību stundām, ja tas nodrošina individuālu un diferencētu pieeju un pedagoģisko korekciju</w:t>
      </w:r>
      <w:r w:rsidR="00AC6CBB" w:rsidRPr="00707A16">
        <w:rPr>
          <w:sz w:val="28"/>
          <w:szCs w:val="28"/>
        </w:rPr>
        <w:t>.</w:t>
      </w:r>
    </w:p>
    <w:p w:rsidR="00AC6CBB" w:rsidRPr="00707A16" w:rsidRDefault="00AC6CBB" w:rsidP="00A22824">
      <w:pPr>
        <w:jc w:val="both"/>
        <w:rPr>
          <w:sz w:val="28"/>
          <w:szCs w:val="28"/>
        </w:rPr>
      </w:pPr>
    </w:p>
    <w:p w:rsidR="00AC6CBB" w:rsidRPr="00707A16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Organizējot mācību procesu izglītības iestādē, </w:t>
      </w:r>
      <w:r w:rsidR="00073321">
        <w:rPr>
          <w:sz w:val="28"/>
          <w:szCs w:val="28"/>
        </w:rPr>
        <w:t xml:space="preserve">tiek </w:t>
      </w:r>
      <w:r w:rsidR="00AC6CBB" w:rsidRPr="00707A16">
        <w:rPr>
          <w:sz w:val="28"/>
          <w:szCs w:val="28"/>
        </w:rPr>
        <w:t>ievēro</w:t>
      </w:r>
      <w:r w:rsidR="00073321">
        <w:rPr>
          <w:sz w:val="28"/>
          <w:szCs w:val="28"/>
        </w:rPr>
        <w:t xml:space="preserve">ti turpmākie </w:t>
      </w:r>
      <w:r w:rsidR="00AC6CBB" w:rsidRPr="00707A16">
        <w:rPr>
          <w:sz w:val="28"/>
          <w:szCs w:val="28"/>
        </w:rPr>
        <w:t>nosacījum</w:t>
      </w:r>
      <w:r w:rsidR="00073321">
        <w:rPr>
          <w:sz w:val="28"/>
          <w:szCs w:val="28"/>
        </w:rPr>
        <w:t>i</w:t>
      </w:r>
      <w:r w:rsidR="00AC6CBB" w:rsidRPr="00707A16">
        <w:rPr>
          <w:sz w:val="28"/>
          <w:szCs w:val="28"/>
        </w:rPr>
        <w:t>:</w:t>
      </w:r>
    </w:p>
    <w:p w:rsidR="00AC6CBB" w:rsidRPr="00707A16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 xml:space="preserve">.1. ar izglītības iestādes direktora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="00AC6CBB" w:rsidRPr="00707A16">
          <w:rPr>
            <w:sz w:val="28"/>
            <w:szCs w:val="28"/>
          </w:rPr>
          <w:t>rīkojumu</w:t>
        </w:r>
      </w:smartTag>
      <w:r w:rsidR="00AC6CBB" w:rsidRPr="00707A16">
        <w:rPr>
          <w:sz w:val="28"/>
          <w:szCs w:val="28"/>
        </w:rPr>
        <w:t xml:space="preserve"> apstiprina mācību priekšmetu un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AC6CBB" w:rsidRPr="00707A16">
          <w:rPr>
            <w:sz w:val="28"/>
            <w:szCs w:val="28"/>
          </w:rPr>
          <w:t>plānu</w:t>
        </w:r>
      </w:smartTag>
      <w:r w:rsidR="00AC6CBB" w:rsidRPr="00707A16">
        <w:rPr>
          <w:sz w:val="28"/>
          <w:szCs w:val="28"/>
        </w:rPr>
        <w:t>, kurā stundas izglītības iestādes izvēlei iedalītas kādam mācību priekšmetam atbilstoši izglītojamo vajadzībām</w:t>
      </w:r>
      <w:r w:rsidR="00AC6CBB">
        <w:rPr>
          <w:sz w:val="28"/>
          <w:szCs w:val="28"/>
        </w:rPr>
        <w:t>;</w:t>
      </w:r>
    </w:p>
    <w:p w:rsidR="00AC6CBB" w:rsidRPr="00707A16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2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klases stundās aplūkojamās tēmas ir </w:t>
      </w:r>
      <w:proofErr w:type="spellStart"/>
      <w:r w:rsidR="00AC6CBB" w:rsidRPr="00707A16">
        <w:rPr>
          <w:sz w:val="28"/>
          <w:szCs w:val="28"/>
        </w:rPr>
        <w:t>vērtībizglītība</w:t>
      </w:r>
      <w:proofErr w:type="spellEnd"/>
      <w:r w:rsidR="00AC6CBB" w:rsidRPr="00707A16">
        <w:rPr>
          <w:sz w:val="28"/>
          <w:szCs w:val="28"/>
        </w:rPr>
        <w:t>, uzvedība un saskarsmes kultūra, patriotisms un pilsoniskā līdzdalība, veselīga dzīves veida pamati un atkarību profilakse, darbība ekstremālās situācijās un satiksmes drošība, karjeras izvēle</w:t>
      </w:r>
      <w:r w:rsidR="00073321">
        <w:rPr>
          <w:sz w:val="28"/>
          <w:szCs w:val="28"/>
        </w:rPr>
        <w:t>, per</w:t>
      </w:r>
      <w:r w:rsidR="00B37D57">
        <w:rPr>
          <w:sz w:val="28"/>
          <w:szCs w:val="28"/>
        </w:rPr>
        <w:t>s</w:t>
      </w:r>
      <w:r w:rsidR="00073321">
        <w:rPr>
          <w:sz w:val="28"/>
          <w:szCs w:val="28"/>
        </w:rPr>
        <w:t>o</w:t>
      </w:r>
      <w:r w:rsidR="00B37D57">
        <w:rPr>
          <w:sz w:val="28"/>
          <w:szCs w:val="28"/>
        </w:rPr>
        <w:t>n</w:t>
      </w:r>
      <w:r w:rsidR="00073321">
        <w:rPr>
          <w:sz w:val="28"/>
          <w:szCs w:val="28"/>
        </w:rPr>
        <w:t>ības attīstības līderība, kritiskā domāšana, radošā domāšana, finanšu pratība, uzņēmējspējas</w:t>
      </w:r>
      <w:r w:rsidR="00AC6CBB" w:rsidRPr="00707A16">
        <w:rPr>
          <w:sz w:val="28"/>
          <w:szCs w:val="28"/>
        </w:rPr>
        <w:t>;</w:t>
      </w:r>
    </w:p>
    <w:p w:rsidR="00073321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3</w:t>
      </w:r>
      <w:r w:rsidR="00AC6CBB" w:rsidRPr="00707A16">
        <w:rPr>
          <w:sz w:val="28"/>
          <w:szCs w:val="28"/>
        </w:rPr>
        <w:t xml:space="preserve">. katru gadu izglītības iestāde patstāvīgi </w:t>
      </w:r>
      <w:smartTag w:uri="schemas-tilde-lv/tildestengine" w:element="veidnes">
        <w:smartTagPr>
          <w:attr w:name="text" w:val="plāno"/>
          <w:attr w:name="id" w:val="-1"/>
          <w:attr w:name="baseform" w:val="plān|s"/>
        </w:smartTagPr>
        <w:r w:rsidR="00073321">
          <w:rPr>
            <w:sz w:val="28"/>
            <w:szCs w:val="28"/>
          </w:rPr>
          <w:t>plāno</w:t>
        </w:r>
      </w:smartTag>
      <w:r w:rsidR="00073321">
        <w:rPr>
          <w:sz w:val="28"/>
          <w:szCs w:val="28"/>
        </w:rPr>
        <w:t xml:space="preserve"> laiku projektu norisei, par to savlaicīgi informējot izglītojamos un viņu vecākus; </w:t>
      </w:r>
    </w:p>
    <w:p w:rsidR="00AC6CBB" w:rsidRPr="00707A16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4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073321">
        <w:rPr>
          <w:sz w:val="28"/>
          <w:szCs w:val="28"/>
        </w:rPr>
        <w:t xml:space="preserve">izglītības iestāde pastāvīgi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073321">
          <w:rPr>
            <w:sz w:val="28"/>
            <w:szCs w:val="28"/>
          </w:rPr>
          <w:t>lēmumu</w:t>
        </w:r>
      </w:smartTag>
      <w:r w:rsidR="00073321">
        <w:rPr>
          <w:sz w:val="28"/>
          <w:szCs w:val="28"/>
        </w:rPr>
        <w:t xml:space="preserve"> par mācību gadā izmantojamo laika apjomu mācību ekskursijām, sporta pasākumiem </w:t>
      </w:r>
      <w:r w:rsidR="00AC6CBB" w:rsidRPr="00707A16">
        <w:rPr>
          <w:sz w:val="28"/>
          <w:szCs w:val="28"/>
        </w:rPr>
        <w:t>un citiem ar mācību un audzināšanas procesu saistītiem pasākumiem;</w:t>
      </w:r>
    </w:p>
    <w:p w:rsidR="00AC6CBB" w:rsidRPr="00707A16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5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B06619">
        <w:rPr>
          <w:sz w:val="28"/>
          <w:szCs w:val="28"/>
        </w:rPr>
        <w:t xml:space="preserve">mācību stundas garums </w:t>
      </w:r>
      <w:r w:rsidR="00626E49">
        <w:rPr>
          <w:sz w:val="28"/>
          <w:szCs w:val="28"/>
        </w:rPr>
        <w:t>ir 30 minūte</w:t>
      </w:r>
      <w:r w:rsidR="007F0CF1">
        <w:rPr>
          <w:sz w:val="28"/>
          <w:szCs w:val="28"/>
        </w:rPr>
        <w:t>s</w:t>
      </w:r>
      <w:r w:rsidR="00626E49">
        <w:rPr>
          <w:sz w:val="28"/>
          <w:szCs w:val="28"/>
        </w:rPr>
        <w:t>;</w:t>
      </w:r>
    </w:p>
    <w:p w:rsidR="00323EE5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6</w:t>
      </w:r>
      <w:r w:rsidR="00AC6CBB" w:rsidRPr="00707A16">
        <w:rPr>
          <w:sz w:val="28"/>
          <w:szCs w:val="28"/>
        </w:rPr>
        <w:t xml:space="preserve">. </w:t>
      </w:r>
      <w:r w:rsidR="00323EE5">
        <w:rPr>
          <w:sz w:val="28"/>
          <w:szCs w:val="28"/>
        </w:rPr>
        <w:t xml:space="preserve">mācību stundās </w:t>
      </w:r>
      <w:r w:rsidR="00626E49">
        <w:rPr>
          <w:sz w:val="28"/>
          <w:szCs w:val="28"/>
        </w:rPr>
        <w:t xml:space="preserve">var iekļaut </w:t>
      </w:r>
      <w:r w:rsidR="00323EE5" w:rsidRPr="005B1C17">
        <w:rPr>
          <w:sz w:val="28"/>
          <w:szCs w:val="28"/>
        </w:rPr>
        <w:t>2–3 minūšu dinamiskās pauzes skolēnu stājas attīstīšanai un nostiprināšanai</w:t>
      </w:r>
      <w:r w:rsidR="00626E49">
        <w:rPr>
          <w:sz w:val="28"/>
          <w:szCs w:val="28"/>
        </w:rPr>
        <w:t>;</w:t>
      </w:r>
    </w:p>
    <w:p w:rsidR="00AC6CBB" w:rsidRPr="00707A16" w:rsidRDefault="00FD3DFF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7</w:t>
      </w:r>
      <w:r w:rsidR="00AC6CBB" w:rsidRPr="00707A16">
        <w:rPr>
          <w:sz w:val="28"/>
          <w:szCs w:val="28"/>
        </w:rPr>
        <w:t xml:space="preserve">. mācību procesā izmanto atbalsta pasākumus atbilstoši izglītojamo individuālām vajadzībām. </w:t>
      </w:r>
    </w:p>
    <w:p w:rsidR="00AC6CBB" w:rsidRPr="00707A16" w:rsidRDefault="00AC6CBB" w:rsidP="00A22824">
      <w:pPr>
        <w:jc w:val="both"/>
        <w:rPr>
          <w:sz w:val="28"/>
          <w:szCs w:val="28"/>
        </w:rPr>
      </w:pPr>
    </w:p>
    <w:p w:rsidR="00DF4836" w:rsidRPr="00C015E7" w:rsidRDefault="00C11CF1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DFF">
        <w:rPr>
          <w:sz w:val="28"/>
          <w:szCs w:val="28"/>
        </w:rPr>
        <w:t>1</w:t>
      </w:r>
      <w:r w:rsidR="00DF4836" w:rsidRPr="00C015E7">
        <w:rPr>
          <w:sz w:val="28"/>
          <w:szCs w:val="28"/>
        </w:rPr>
        <w:t xml:space="preserve">. Izglītības programmas īstenošanā izglītības iestāde izmanto Valsts izglītības satura centra apstiprināto mācību literatūru. </w:t>
      </w:r>
    </w:p>
    <w:p w:rsidR="00DF4836" w:rsidRPr="00C015E7" w:rsidRDefault="00DF4836" w:rsidP="00A22824">
      <w:pPr>
        <w:jc w:val="both"/>
        <w:rPr>
          <w:strike/>
          <w:sz w:val="28"/>
          <w:szCs w:val="28"/>
        </w:rPr>
      </w:pPr>
    </w:p>
    <w:p w:rsidR="00DF4836" w:rsidRPr="00C015E7" w:rsidRDefault="00C11CF1" w:rsidP="00A2282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D3DFF">
        <w:rPr>
          <w:sz w:val="28"/>
          <w:szCs w:val="28"/>
        </w:rPr>
        <w:t>2</w:t>
      </w:r>
      <w:r w:rsidR="00DF4836" w:rsidRPr="00C015E7">
        <w:rPr>
          <w:sz w:val="28"/>
          <w:szCs w:val="28"/>
        </w:rPr>
        <w:t xml:space="preserve">. Mācību satura apguvei izmantojamo </w:t>
      </w:r>
      <w:r w:rsidR="00DF4836" w:rsidRPr="00C015E7">
        <w:rPr>
          <w:color w:val="000000"/>
          <w:sz w:val="28"/>
          <w:szCs w:val="28"/>
        </w:rPr>
        <w:t xml:space="preserve">mācību līdzekļu un metožu uzskaitījums </w:t>
      </w:r>
      <w:r w:rsidR="00DF4836" w:rsidRPr="00C015E7">
        <w:rPr>
          <w:sz w:val="28"/>
          <w:szCs w:val="28"/>
        </w:rPr>
        <w:t>dots katra mācību priekšmeta programmā</w:t>
      </w:r>
      <w:r w:rsidR="00DF4836" w:rsidRPr="00C015E7">
        <w:rPr>
          <w:color w:val="000000"/>
          <w:sz w:val="28"/>
          <w:szCs w:val="28"/>
        </w:rPr>
        <w:t>.</w:t>
      </w:r>
    </w:p>
    <w:p w:rsidR="00DF4836" w:rsidRDefault="00DF4836" w:rsidP="00A22824">
      <w:pPr>
        <w:ind w:firstLine="567"/>
        <w:jc w:val="both"/>
        <w:rPr>
          <w:sz w:val="28"/>
          <w:szCs w:val="28"/>
        </w:rPr>
      </w:pPr>
    </w:p>
    <w:p w:rsidR="00DF4836" w:rsidRPr="00C015E7" w:rsidRDefault="00DF4836" w:rsidP="00A2282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6F5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C015E7">
        <w:rPr>
          <w:bCs/>
          <w:sz w:val="28"/>
          <w:szCs w:val="28"/>
        </w:rPr>
        <w:t> Izglītības programmas īstenošanas gaitā konstatētās nepilnības vai radušās neskaidrības risina savstarpējā izglītojamo, vecāku un izglītības iestādes administrācijas pārrunu vai rakstiskā formā.</w:t>
      </w:r>
    </w:p>
    <w:p w:rsidR="00AC6CBB" w:rsidRPr="00707A16" w:rsidRDefault="00AC6CBB" w:rsidP="00A22824">
      <w:pPr>
        <w:jc w:val="both"/>
        <w:rPr>
          <w:sz w:val="28"/>
          <w:szCs w:val="28"/>
        </w:rPr>
      </w:pPr>
    </w:p>
    <w:p w:rsidR="00FF021C" w:rsidRDefault="00FF021C" w:rsidP="00A2282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Pras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bas attiec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</w:t>
      </w:r>
      <w:r>
        <w:rPr>
          <w:rFonts w:eastAsia="TimesNewRoman"/>
          <w:b/>
          <w:sz w:val="28"/>
          <w:szCs w:val="28"/>
        </w:rPr>
        <w:t xml:space="preserve">ā </w:t>
      </w:r>
      <w:r>
        <w:rPr>
          <w:b/>
          <w:bCs/>
          <w:sz w:val="28"/>
          <w:szCs w:val="28"/>
        </w:rPr>
        <w:t>uz iepriekš ieg</w:t>
      </w:r>
      <w:r>
        <w:rPr>
          <w:rFonts w:eastAsia="TimesNewRoman"/>
          <w:b/>
          <w:sz w:val="28"/>
          <w:szCs w:val="28"/>
        </w:rPr>
        <w:t>ū</w:t>
      </w:r>
      <w:r>
        <w:rPr>
          <w:b/>
          <w:bCs/>
          <w:sz w:val="28"/>
          <w:szCs w:val="28"/>
        </w:rPr>
        <w:t>to izgl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t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bu</w:t>
      </w:r>
    </w:p>
    <w:p w:rsidR="00FF021C" w:rsidRDefault="00FF021C" w:rsidP="00A2282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491760" w:rsidRPr="00087031" w:rsidRDefault="00FF021C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4</w:t>
      </w:r>
      <w:r w:rsidRPr="00707A16">
        <w:rPr>
          <w:sz w:val="28"/>
          <w:szCs w:val="28"/>
        </w:rPr>
        <w:t>.</w:t>
      </w:r>
      <w:r w:rsidR="00665A5A">
        <w:rPr>
          <w:sz w:val="28"/>
          <w:szCs w:val="28"/>
        </w:rPr>
        <w:t xml:space="preserve"> </w:t>
      </w:r>
      <w:r w:rsidR="00491760" w:rsidRPr="00FA2F25">
        <w:rPr>
          <w:sz w:val="28"/>
          <w:szCs w:val="28"/>
        </w:rPr>
        <w:t>Izglītojamo uzņemšana 1.</w:t>
      </w:r>
      <w:r w:rsidR="00665A5A" w:rsidRPr="00FA2F25">
        <w:rPr>
          <w:sz w:val="28"/>
          <w:szCs w:val="28"/>
        </w:rPr>
        <w:t>–</w:t>
      </w:r>
      <w:r w:rsidR="00491760" w:rsidRPr="00FA2F25">
        <w:rPr>
          <w:sz w:val="28"/>
          <w:szCs w:val="28"/>
        </w:rPr>
        <w:t>9.klasē notiek atbilstoši normatīvajiem aktiem, kas no</w:t>
      </w:r>
      <w:r w:rsidR="003E0986">
        <w:rPr>
          <w:sz w:val="28"/>
          <w:szCs w:val="28"/>
        </w:rPr>
        <w:t>saka</w:t>
      </w:r>
      <w:r w:rsidR="00491760" w:rsidRPr="00FA2F25">
        <w:rPr>
          <w:sz w:val="28"/>
          <w:szCs w:val="28"/>
        </w:rPr>
        <w:t xml:space="preserve"> kārtību, kādā izglītojamie tiek uzņemti izglītības iestādēs un atskaitīti no tām, un obligātajām prasībām pārcelšanai  uz nākamo klasi.</w:t>
      </w:r>
      <w:r w:rsidR="00491760" w:rsidRPr="00087031">
        <w:rPr>
          <w:sz w:val="28"/>
          <w:szCs w:val="28"/>
        </w:rPr>
        <w:t xml:space="preserve"> </w:t>
      </w:r>
    </w:p>
    <w:p w:rsidR="00FF021C" w:rsidRDefault="00FF021C" w:rsidP="00A22824">
      <w:pPr>
        <w:jc w:val="both"/>
        <w:rPr>
          <w:sz w:val="28"/>
          <w:szCs w:val="28"/>
        </w:rPr>
      </w:pPr>
    </w:p>
    <w:p w:rsidR="00E376FB" w:rsidRDefault="00E376FB" w:rsidP="00A22824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V. Iegūtās izglītības vērtēšanas kritēriji un kārtība</w:t>
      </w:r>
      <w:r w:rsidR="00085848">
        <w:rPr>
          <w:b/>
          <w:sz w:val="28"/>
          <w:szCs w:val="28"/>
        </w:rPr>
        <w:t xml:space="preserve"> vai vērtēšanas pamatprincipi</w:t>
      </w:r>
    </w:p>
    <w:p w:rsidR="00E376FB" w:rsidRDefault="00E376FB" w:rsidP="00A22824">
      <w:pPr>
        <w:pStyle w:val="NormalWeb"/>
        <w:tabs>
          <w:tab w:val="left" w:pos="0"/>
          <w:tab w:val="left" w:pos="284"/>
          <w:tab w:val="left" w:pos="426"/>
          <w:tab w:val="left" w:pos="567"/>
        </w:tabs>
        <w:spacing w:before="0" w:beforeAutospacing="0" w:after="0" w:afterAutospacing="0" w:line="240" w:lineRule="atLeast"/>
        <w:rPr>
          <w:sz w:val="28"/>
          <w:szCs w:val="28"/>
          <w:lang w:val="lv-LV"/>
        </w:rPr>
      </w:pPr>
    </w:p>
    <w:p w:rsidR="00FF021C" w:rsidRPr="006A6ABF" w:rsidRDefault="00FA6F59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FF021C" w:rsidRPr="006A6ABF">
        <w:rPr>
          <w:sz w:val="28"/>
          <w:szCs w:val="28"/>
        </w:rPr>
        <w:t>.</w:t>
      </w:r>
      <w:r w:rsidR="00FF021C">
        <w:rPr>
          <w:sz w:val="28"/>
          <w:szCs w:val="28"/>
        </w:rPr>
        <w:t xml:space="preserve"> </w:t>
      </w:r>
      <w:r w:rsidR="00FF021C" w:rsidRPr="006A6ABF">
        <w:rPr>
          <w:sz w:val="28"/>
          <w:szCs w:val="28"/>
        </w:rPr>
        <w:t>Izglītojamo iegūtās pamatizglītības vērtēšanas pamatprincipi, kārtība, kritēriji ir noteikti Ministru kabineta noteikumos par mācību sasniegumu vērtēšanas kārtību speciālās izglītības programmās.</w:t>
      </w:r>
    </w:p>
    <w:p w:rsidR="00FF021C" w:rsidRPr="006A6ABF" w:rsidRDefault="00FF021C" w:rsidP="00A22824">
      <w:pPr>
        <w:jc w:val="both"/>
        <w:rPr>
          <w:sz w:val="28"/>
          <w:szCs w:val="28"/>
        </w:rPr>
      </w:pPr>
    </w:p>
    <w:p w:rsidR="00FF021C" w:rsidRPr="006A6ABF" w:rsidRDefault="00FF021C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6</w:t>
      </w:r>
      <w:r w:rsidRPr="006A6A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6ABF">
        <w:rPr>
          <w:sz w:val="28"/>
          <w:szCs w:val="28"/>
        </w:rPr>
        <w:t>Izgl</w:t>
      </w:r>
      <w:r w:rsidRPr="006A6ABF">
        <w:rPr>
          <w:rFonts w:eastAsia="TimesNewRoman"/>
          <w:sz w:val="28"/>
          <w:szCs w:val="28"/>
        </w:rPr>
        <w:t>ī</w:t>
      </w:r>
      <w:r w:rsidRPr="006A6ABF">
        <w:rPr>
          <w:sz w:val="28"/>
          <w:szCs w:val="28"/>
        </w:rPr>
        <w:t>tojamie no valsts p</w:t>
      </w:r>
      <w:r w:rsidRPr="006A6ABF">
        <w:rPr>
          <w:rFonts w:eastAsia="TimesNewRoman"/>
          <w:sz w:val="28"/>
          <w:szCs w:val="28"/>
        </w:rPr>
        <w:t>ā</w:t>
      </w:r>
      <w:r w:rsidRPr="006A6ABF">
        <w:rPr>
          <w:sz w:val="28"/>
          <w:szCs w:val="28"/>
        </w:rPr>
        <w:t>rbaudes darbiem ir atbr</w:t>
      </w:r>
      <w:r w:rsidRPr="006A6ABF">
        <w:rPr>
          <w:rFonts w:eastAsia="TimesNewRoman"/>
          <w:sz w:val="28"/>
          <w:szCs w:val="28"/>
        </w:rPr>
        <w:t>ī</w:t>
      </w:r>
      <w:r w:rsidRPr="006A6ABF">
        <w:rPr>
          <w:sz w:val="28"/>
          <w:szCs w:val="28"/>
        </w:rPr>
        <w:t>voti.</w:t>
      </w:r>
    </w:p>
    <w:p w:rsidR="00FF021C" w:rsidRPr="006A6ABF" w:rsidRDefault="00FF021C" w:rsidP="00A22824">
      <w:pPr>
        <w:jc w:val="both"/>
        <w:rPr>
          <w:sz w:val="28"/>
          <w:szCs w:val="28"/>
        </w:rPr>
      </w:pPr>
    </w:p>
    <w:p w:rsidR="00FF021C" w:rsidRPr="006A6ABF" w:rsidRDefault="00FF021C" w:rsidP="00A22824">
      <w:pPr>
        <w:ind w:firstLine="567"/>
        <w:jc w:val="both"/>
        <w:rPr>
          <w:sz w:val="28"/>
          <w:szCs w:val="28"/>
        </w:rPr>
      </w:pPr>
      <w:r w:rsidRPr="006A6ABF">
        <w:rPr>
          <w:sz w:val="28"/>
          <w:szCs w:val="28"/>
        </w:rPr>
        <w:t>2</w:t>
      </w:r>
      <w:r w:rsidR="00FA6F59">
        <w:rPr>
          <w:sz w:val="28"/>
          <w:szCs w:val="28"/>
        </w:rPr>
        <w:t>7</w:t>
      </w:r>
      <w:r w:rsidRPr="006A6ABF">
        <w:rPr>
          <w:sz w:val="28"/>
          <w:szCs w:val="28"/>
        </w:rPr>
        <w:t>. Izglītojamā vecākus par bērna mācību sasniegumiem informē ne retāk kā reizi mēnesī. Ja nepieciešams, izglītojamā vecākus par bērna mācību sasniegumiem un citiem ar izglītības ieguvi saistītiem jautājumiem informē individuālā sarunā.</w:t>
      </w:r>
    </w:p>
    <w:p w:rsidR="00FF021C" w:rsidRPr="006A6ABF" w:rsidRDefault="00FF021C" w:rsidP="00A22824">
      <w:pPr>
        <w:jc w:val="both"/>
        <w:rPr>
          <w:sz w:val="28"/>
          <w:szCs w:val="28"/>
        </w:rPr>
      </w:pPr>
    </w:p>
    <w:p w:rsidR="00595BBA" w:rsidRPr="00FA2F25" w:rsidRDefault="00FF021C" w:rsidP="00A228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8</w:t>
      </w:r>
      <w:r w:rsidRPr="006A6ABF">
        <w:rPr>
          <w:sz w:val="28"/>
          <w:szCs w:val="28"/>
        </w:rPr>
        <w:t xml:space="preserve">. Pamatizglītības programmas apguvi katrā klasē apliecina liecība. </w:t>
      </w:r>
      <w:r w:rsidR="00595BBA" w:rsidRPr="00FA2F25">
        <w:rPr>
          <w:sz w:val="28"/>
          <w:szCs w:val="28"/>
        </w:rPr>
        <w:t>Izglītojamo pārcelšana nākamajā klasē notiek atbilstoši normatīvajiem aktiem, kas no</w:t>
      </w:r>
      <w:r w:rsidR="003E0986">
        <w:rPr>
          <w:sz w:val="28"/>
          <w:szCs w:val="28"/>
        </w:rPr>
        <w:t>saka</w:t>
      </w:r>
      <w:r w:rsidR="00595BBA" w:rsidRPr="00FA2F25">
        <w:rPr>
          <w:sz w:val="28"/>
          <w:szCs w:val="28"/>
        </w:rPr>
        <w:t xml:space="preserve"> kārtību, kādā izglītojamie tiek uzņemti izglītības iestādēs un atskaitīti no tām, un obligātajām prasībām pārcelšanai  uz nākamo klasi;</w:t>
      </w:r>
    </w:p>
    <w:p w:rsidR="00FF021C" w:rsidRPr="00FA2F25" w:rsidRDefault="00FF021C" w:rsidP="00A2282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A2259" w:rsidRDefault="00FA6F59" w:rsidP="00A228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F021C" w:rsidRPr="00FA2F25">
        <w:rPr>
          <w:sz w:val="28"/>
          <w:szCs w:val="28"/>
        </w:rPr>
        <w:t xml:space="preserve">. Pēc 9.klases izglītojamie saņem apliecību par pamatizglītību un sekmju </w:t>
      </w:r>
      <w:smartTag w:uri="schemas-tilde-lv/tildestengine" w:element="veidnes">
        <w:smartTagPr>
          <w:attr w:name="text" w:val="izrakstu"/>
          <w:attr w:name="id" w:val="-1"/>
          <w:attr w:name="baseform" w:val="izrakst|s"/>
        </w:smartTagPr>
        <w:r w:rsidR="00FF021C" w:rsidRPr="00FA2F25">
          <w:rPr>
            <w:sz w:val="28"/>
            <w:szCs w:val="28"/>
          </w:rPr>
          <w:t>izrakstu</w:t>
        </w:r>
      </w:smartTag>
      <w:r w:rsidR="00FF021C" w:rsidRPr="00FA2F25">
        <w:rPr>
          <w:sz w:val="28"/>
          <w:szCs w:val="28"/>
        </w:rPr>
        <w:t xml:space="preserve"> atbilstoši </w:t>
      </w:r>
      <w:r w:rsidR="002A2259" w:rsidRPr="00FA2F25">
        <w:rPr>
          <w:sz w:val="28"/>
          <w:szCs w:val="28"/>
        </w:rPr>
        <w:t>Vispārējās izglītības likumam  un normatīvajiem aktiem, kas no</w:t>
      </w:r>
      <w:r w:rsidR="003E0986">
        <w:rPr>
          <w:sz w:val="28"/>
          <w:szCs w:val="28"/>
        </w:rPr>
        <w:t>saka</w:t>
      </w:r>
      <w:r w:rsidR="002A2259" w:rsidRPr="00FA2F25">
        <w:rPr>
          <w:sz w:val="28"/>
          <w:szCs w:val="28"/>
        </w:rPr>
        <w:t xml:space="preserve"> kārtību, kādā izsniedzami valsts atzīti vispārējās izglītības dokumenti.</w:t>
      </w:r>
      <w:r w:rsidR="002A2259">
        <w:rPr>
          <w:sz w:val="28"/>
          <w:szCs w:val="28"/>
        </w:rPr>
        <w:t xml:space="preserve"> </w:t>
      </w:r>
    </w:p>
    <w:p w:rsidR="007F0CF1" w:rsidRDefault="007F0CF1" w:rsidP="00A22824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E376FB" w:rsidRDefault="00E376FB" w:rsidP="00A2282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Izglītības programmas īstenošanai nepieciešamā personāla, finanšu un materiālo līdzekļu izvērtējums un pamatojum</w:t>
      </w:r>
      <w:r w:rsidR="00ED2DAD">
        <w:rPr>
          <w:b/>
          <w:bCs/>
          <w:sz w:val="28"/>
          <w:szCs w:val="28"/>
        </w:rPr>
        <w:t>s</w:t>
      </w:r>
    </w:p>
    <w:p w:rsidR="00E376FB" w:rsidRPr="00BF4869" w:rsidRDefault="00E376FB" w:rsidP="00A22824">
      <w:pPr>
        <w:rPr>
          <w:sz w:val="28"/>
          <w:szCs w:val="28"/>
        </w:rPr>
      </w:pPr>
    </w:p>
    <w:p w:rsidR="00B16F69" w:rsidRDefault="00FA6F59" w:rsidP="00A22824">
      <w:pPr>
        <w:ind w:firstLine="720"/>
        <w:jc w:val="both"/>
        <w:rPr>
          <w:sz w:val="28"/>
          <w:szCs w:val="28"/>
        </w:rPr>
      </w:pPr>
      <w:bookmarkStart w:id="3" w:name="OLE_LINK4"/>
      <w:bookmarkStart w:id="4" w:name="OLE_LINK5"/>
      <w:r>
        <w:rPr>
          <w:sz w:val="28"/>
          <w:szCs w:val="28"/>
        </w:rPr>
        <w:t>30</w:t>
      </w:r>
      <w:r w:rsidR="00085848" w:rsidRPr="00FA2F25">
        <w:rPr>
          <w:sz w:val="28"/>
          <w:szCs w:val="28"/>
        </w:rPr>
        <w:t xml:space="preserve">. </w:t>
      </w:r>
      <w:r w:rsidR="00B16F69" w:rsidRPr="004A0418">
        <w:rPr>
          <w:sz w:val="28"/>
          <w:szCs w:val="28"/>
        </w:rPr>
        <w:t>Izglītības programmas īstenošan</w:t>
      </w:r>
      <w:r w:rsidR="00B16F69">
        <w:rPr>
          <w:sz w:val="28"/>
          <w:szCs w:val="28"/>
        </w:rPr>
        <w:t>ā izglītības iestāde ievēro normatīvo aktu prasības, kas regulē izglītības iestāžu darbību.</w:t>
      </w:r>
      <w:r w:rsidR="00B16F69" w:rsidRPr="004A0418">
        <w:rPr>
          <w:sz w:val="28"/>
          <w:szCs w:val="28"/>
        </w:rPr>
        <w:t xml:space="preserve"> </w:t>
      </w:r>
    </w:p>
    <w:p w:rsidR="00943143" w:rsidRPr="00FA6F59" w:rsidRDefault="00FA6F59" w:rsidP="00A22824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="00085848" w:rsidRPr="00FA2F25">
        <w:rPr>
          <w:rFonts w:eastAsia="Calibri"/>
          <w:sz w:val="28"/>
          <w:szCs w:val="28"/>
        </w:rPr>
        <w:t xml:space="preserve">. </w:t>
      </w:r>
      <w:r w:rsidR="00943143" w:rsidRPr="00FA2F25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943143" w:rsidRPr="00FA2F25">
        <w:rPr>
          <w:sz w:val="28"/>
          <w:szCs w:val="28"/>
        </w:rPr>
        <w:t>normatīvajiem aktiem, kas no</w:t>
      </w:r>
      <w:r w:rsidR="003E0986">
        <w:rPr>
          <w:sz w:val="28"/>
          <w:szCs w:val="28"/>
        </w:rPr>
        <w:t>saka</w:t>
      </w:r>
      <w:r w:rsidR="00943143" w:rsidRPr="00FA2F25">
        <w:rPr>
          <w:sz w:val="28"/>
          <w:szCs w:val="28"/>
        </w:rPr>
        <w:t xml:space="preserve"> kārtību</w:t>
      </w:r>
      <w:r w:rsidR="00943143" w:rsidRPr="00FA2F25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085848" w:rsidRPr="00085848" w:rsidRDefault="00085848" w:rsidP="00A22824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Pr="00085848">
        <w:rPr>
          <w:rFonts w:eastAsia="Calibri"/>
          <w:sz w:val="28"/>
          <w:szCs w:val="28"/>
        </w:rPr>
        <w:t>.1. valsts dibinātā izglītības iestādē – no valsts budžeta;</w:t>
      </w:r>
    </w:p>
    <w:p w:rsidR="00085848" w:rsidRPr="00085848" w:rsidRDefault="00085848" w:rsidP="00A22824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Pr="00085848">
        <w:rPr>
          <w:rFonts w:eastAsia="Calibri"/>
          <w:sz w:val="28"/>
          <w:szCs w:val="28"/>
        </w:rPr>
        <w:t xml:space="preserve">.2. pašvaldības dibinātā izglītības iestādē – no valsts un pašvaldības budžeta; </w:t>
      </w:r>
    </w:p>
    <w:p w:rsidR="00085848" w:rsidRPr="00085848" w:rsidRDefault="00085848" w:rsidP="00A22824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Pr="00085848">
        <w:rPr>
          <w:rFonts w:eastAsia="Calibri"/>
          <w:sz w:val="28"/>
          <w:szCs w:val="28"/>
        </w:rPr>
        <w:t>.3. privātpersonas dibinātā izglītības iestādē – no valsts un privātā budžeta.</w:t>
      </w:r>
    </w:p>
    <w:p w:rsidR="002E3F38" w:rsidRDefault="002E3F38" w:rsidP="00A22824">
      <w:pPr>
        <w:jc w:val="both"/>
        <w:rPr>
          <w:sz w:val="28"/>
          <w:szCs w:val="28"/>
        </w:rPr>
      </w:pPr>
    </w:p>
    <w:p w:rsidR="002E3F38" w:rsidRPr="00BF4869" w:rsidRDefault="00FA6F59" w:rsidP="00A22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F69">
        <w:rPr>
          <w:sz w:val="28"/>
          <w:szCs w:val="28"/>
        </w:rPr>
        <w:t>2</w:t>
      </w:r>
      <w:r w:rsidR="002E3F38" w:rsidRPr="00FA2F25">
        <w:rPr>
          <w:sz w:val="28"/>
          <w:szCs w:val="28"/>
        </w:rPr>
        <w:t>.  Apmaksājamo stundu skaitu nedēļā 1. – 9.klasei aprēķina atbilstoši izglītības programmas mācību plānam, skolēniem nepieciešamajiem atbalsta pasākumiem, pedagogu papildu pienākumiem, individuālajam un grupu nodarbību korekcijas un rehabilitācijas plānam.</w:t>
      </w:r>
    </w:p>
    <w:p w:rsidR="00085848" w:rsidRPr="00032802" w:rsidRDefault="00085848" w:rsidP="00A2282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 Izglītības</w:t>
      </w:r>
      <w:r w:rsidRPr="00032802">
        <w:rPr>
          <w:sz w:val="28"/>
          <w:szCs w:val="28"/>
        </w:rPr>
        <w:t xml:space="preserve"> iestādei apstiprinātā pedagogu darba samaksas fonda ietvaros ir tiesības:</w:t>
      </w:r>
    </w:p>
    <w:p w:rsidR="00085848" w:rsidRPr="005F6EBA" w:rsidRDefault="00085848" w:rsidP="00A2282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lastRenderedPageBreak/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.1. dalīt klasi grupās mācību priekšmetos vai mācību priekšmetu daļas (atsevišķu stundu) apguves ietvaros;</w:t>
      </w:r>
    </w:p>
    <w:p w:rsidR="00085848" w:rsidRPr="005F6EBA" w:rsidRDefault="00085848" w:rsidP="00A2282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.2. veidot dažādu klašu apvienotās grupas;</w:t>
      </w:r>
    </w:p>
    <w:p w:rsidR="00085848" w:rsidRPr="00032802" w:rsidRDefault="00085848" w:rsidP="00A2282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32802">
        <w:rPr>
          <w:sz w:val="28"/>
          <w:szCs w:val="28"/>
        </w:rPr>
        <w:t>veidot apvienotās klases.</w:t>
      </w:r>
    </w:p>
    <w:p w:rsidR="00085848" w:rsidRDefault="00085848" w:rsidP="00A22824">
      <w:pPr>
        <w:ind w:firstLine="567"/>
        <w:jc w:val="both"/>
        <w:rPr>
          <w:sz w:val="28"/>
          <w:szCs w:val="28"/>
        </w:rPr>
      </w:pPr>
    </w:p>
    <w:p w:rsidR="00085848" w:rsidRDefault="00085848" w:rsidP="00A22824">
      <w:pPr>
        <w:ind w:firstLine="567"/>
        <w:jc w:val="both"/>
        <w:rPr>
          <w:sz w:val="28"/>
          <w:szCs w:val="28"/>
        </w:rPr>
      </w:pPr>
      <w:r w:rsidRPr="00615ABC">
        <w:rPr>
          <w:sz w:val="28"/>
          <w:szCs w:val="28"/>
        </w:rPr>
        <w:t>3</w:t>
      </w:r>
      <w:r w:rsidR="00B16F69">
        <w:rPr>
          <w:sz w:val="28"/>
          <w:szCs w:val="28"/>
        </w:rPr>
        <w:t>4</w:t>
      </w:r>
      <w:r w:rsidRPr="00615ABC">
        <w:rPr>
          <w:sz w:val="28"/>
          <w:szCs w:val="28"/>
        </w:rPr>
        <w:t xml:space="preserve">. </w:t>
      </w:r>
      <w:r w:rsidR="00FA2F25">
        <w:rPr>
          <w:sz w:val="28"/>
          <w:szCs w:val="28"/>
        </w:rPr>
        <w:t>K</w:t>
      </w:r>
      <w:r w:rsidR="00FA2F25" w:rsidRPr="00615ABC">
        <w:rPr>
          <w:sz w:val="28"/>
          <w:szCs w:val="28"/>
        </w:rPr>
        <w:t xml:space="preserve">valificētā personāla skaitu un nepieciešamo aprīkojumu izglītības iestādē </w:t>
      </w:r>
      <w:r w:rsidR="00FA2F25" w:rsidRPr="00103374">
        <w:rPr>
          <w:sz w:val="28"/>
          <w:szCs w:val="28"/>
        </w:rPr>
        <w:t xml:space="preserve">nosaka atbilstoši normatīvajiem aktiem, kas </w:t>
      </w:r>
      <w:r w:rsidR="003E0986">
        <w:rPr>
          <w:sz w:val="28"/>
          <w:szCs w:val="28"/>
        </w:rPr>
        <w:t>paredz</w:t>
      </w:r>
      <w:r w:rsidR="00FA2F25">
        <w:rPr>
          <w:sz w:val="28"/>
          <w:szCs w:val="28"/>
        </w:rPr>
        <w:t xml:space="preserve"> prasības kvalificētā personāla skaitam un nepieciešamajam aprīkojumam vispārējās bērnu aprūpes un audzināšanas iestādēs.</w:t>
      </w:r>
    </w:p>
    <w:p w:rsidR="00B16F69" w:rsidRPr="003155E0" w:rsidRDefault="00B16F69" w:rsidP="00A22824">
      <w:pPr>
        <w:ind w:firstLine="567"/>
        <w:jc w:val="both"/>
        <w:rPr>
          <w:sz w:val="28"/>
          <w:szCs w:val="28"/>
        </w:rPr>
      </w:pPr>
    </w:p>
    <w:p w:rsidR="00085848" w:rsidRPr="00BF4869" w:rsidRDefault="00085848" w:rsidP="00A22824">
      <w:pPr>
        <w:ind w:firstLine="567"/>
        <w:jc w:val="both"/>
        <w:rPr>
          <w:iCs/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5</w:t>
      </w:r>
      <w:r w:rsidRPr="005F6EBA">
        <w:rPr>
          <w:sz w:val="28"/>
          <w:szCs w:val="28"/>
        </w:rPr>
        <w:t>.</w:t>
      </w:r>
      <w:r w:rsidRPr="00BF4869">
        <w:rPr>
          <w:sz w:val="28"/>
          <w:szCs w:val="28"/>
        </w:rPr>
        <w:t xml:space="preserve"> </w:t>
      </w:r>
      <w:r w:rsidR="00B06F15" w:rsidRPr="00BF4869">
        <w:rPr>
          <w:sz w:val="28"/>
          <w:szCs w:val="28"/>
        </w:rPr>
        <w:t>Izglītības programmas nodrošinājumu izglītības iestādē</w:t>
      </w:r>
      <w:r w:rsidR="00B06F15" w:rsidRPr="00BF4869">
        <w:rPr>
          <w:iCs/>
          <w:sz w:val="28"/>
          <w:szCs w:val="28"/>
        </w:rPr>
        <w:t xml:space="preserve"> </w:t>
      </w:r>
      <w:r w:rsidR="00B06F15" w:rsidRPr="00BF4869">
        <w:rPr>
          <w:sz w:val="28"/>
          <w:szCs w:val="28"/>
        </w:rPr>
        <w:t>nosaka</w:t>
      </w:r>
      <w:r w:rsidR="00B06F15">
        <w:rPr>
          <w:sz w:val="28"/>
          <w:szCs w:val="28"/>
        </w:rPr>
        <w:t xml:space="preserve"> </w:t>
      </w:r>
      <w:r w:rsidR="00B06F15" w:rsidRPr="00BC60A3">
        <w:rPr>
          <w:sz w:val="28"/>
          <w:szCs w:val="28"/>
        </w:rPr>
        <w:t xml:space="preserve">atbilstoši normatīvajiem aktiem, kas </w:t>
      </w:r>
      <w:r w:rsidR="003E0986">
        <w:rPr>
          <w:sz w:val="28"/>
          <w:szCs w:val="28"/>
        </w:rPr>
        <w:t>paredz</w:t>
      </w:r>
      <w:r w:rsidR="00B06F15">
        <w:rPr>
          <w:sz w:val="28"/>
          <w:szCs w:val="28"/>
        </w:rPr>
        <w:t xml:space="preserve"> prasības izglītības iestāžu nodrošinājumam atbilstoši izglītojamo speciālajām vajadzībām.  </w:t>
      </w:r>
    </w:p>
    <w:p w:rsidR="00085848" w:rsidRDefault="00085848" w:rsidP="00A22824">
      <w:pPr>
        <w:pStyle w:val="BodyText2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83F31" w:rsidRDefault="00E83F31" w:rsidP="00A22824">
      <w:pPr>
        <w:ind w:firstLine="567"/>
        <w:jc w:val="both"/>
        <w:rPr>
          <w:sz w:val="28"/>
          <w:szCs w:val="28"/>
        </w:rPr>
      </w:pPr>
    </w:p>
    <w:bookmarkEnd w:id="3"/>
    <w:bookmarkEnd w:id="4"/>
    <w:p w:rsidR="004C24FC" w:rsidRPr="00476A4A" w:rsidRDefault="004C24FC" w:rsidP="00A22824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A22824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A22824">
        <w:rPr>
          <w:sz w:val="28"/>
          <w:szCs w:val="28"/>
        </w:rPr>
        <w:tab/>
        <w:t>I.Druviete</w:t>
      </w:r>
    </w:p>
    <w:p w:rsidR="004C24FC" w:rsidRDefault="004C24FC" w:rsidP="00A22824">
      <w:pPr>
        <w:ind w:firstLine="720"/>
        <w:jc w:val="right"/>
        <w:rPr>
          <w:sz w:val="28"/>
          <w:szCs w:val="28"/>
        </w:rPr>
      </w:pPr>
    </w:p>
    <w:p w:rsidR="004C24FC" w:rsidRDefault="004C24FC" w:rsidP="00A22824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C24FC" w:rsidRPr="00476A4A" w:rsidRDefault="004C24FC" w:rsidP="00A22824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A22824">
        <w:rPr>
          <w:sz w:val="28"/>
          <w:szCs w:val="28"/>
        </w:rPr>
        <w:tab/>
        <w:t>I.Druviete</w:t>
      </w:r>
    </w:p>
    <w:p w:rsidR="004C24FC" w:rsidRDefault="004C24FC" w:rsidP="00A22824">
      <w:pPr>
        <w:ind w:firstLine="720"/>
        <w:rPr>
          <w:sz w:val="28"/>
          <w:szCs w:val="28"/>
        </w:rPr>
      </w:pPr>
    </w:p>
    <w:p w:rsidR="00960301" w:rsidRDefault="00960301" w:rsidP="00A22824">
      <w:pPr>
        <w:ind w:firstLine="720"/>
        <w:rPr>
          <w:sz w:val="28"/>
          <w:szCs w:val="28"/>
        </w:rPr>
      </w:pPr>
    </w:p>
    <w:p w:rsidR="004C24FC" w:rsidRPr="000C26AE" w:rsidRDefault="004C24FC" w:rsidP="00A22824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4C24FC" w:rsidRPr="000C26AE" w:rsidRDefault="004C24FC" w:rsidP="00A22824">
      <w:pPr>
        <w:ind w:firstLine="720"/>
        <w:rPr>
          <w:bCs/>
          <w:kern w:val="2"/>
          <w:sz w:val="28"/>
          <w:szCs w:val="28"/>
        </w:rPr>
      </w:pPr>
      <w:bookmarkStart w:id="5" w:name="str06"/>
      <w:bookmarkEnd w:id="5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="00A22824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>S.Liepiņa</w:t>
      </w:r>
    </w:p>
    <w:p w:rsidR="00047F87" w:rsidRDefault="00047F87" w:rsidP="00A22824">
      <w:pPr>
        <w:ind w:firstLine="720"/>
        <w:jc w:val="right"/>
        <w:rPr>
          <w:sz w:val="28"/>
          <w:szCs w:val="28"/>
        </w:rPr>
      </w:pPr>
    </w:p>
    <w:p w:rsidR="00E376FB" w:rsidRDefault="00E376FB" w:rsidP="00A22824">
      <w:pPr>
        <w:ind w:firstLine="567"/>
        <w:jc w:val="both"/>
        <w:rPr>
          <w:sz w:val="28"/>
          <w:szCs w:val="28"/>
        </w:rPr>
      </w:pPr>
    </w:p>
    <w:p w:rsidR="002F6972" w:rsidRDefault="002F6972" w:rsidP="00A22824"/>
    <w:p w:rsidR="00A22824" w:rsidRDefault="00394145" w:rsidP="00A22824">
      <w:r>
        <w:tab/>
      </w:r>
    </w:p>
    <w:p w:rsidR="00A22824" w:rsidRDefault="00A22824" w:rsidP="00A22824"/>
    <w:p w:rsidR="00A95A79" w:rsidRPr="00CD62D6" w:rsidRDefault="00B93AA2" w:rsidP="00A22824">
      <w:pPr>
        <w:ind w:firstLine="720"/>
      </w:pPr>
      <w:r w:rsidRPr="00CD62D6">
        <w:t>02.07</w:t>
      </w:r>
      <w:r w:rsidR="00A22824" w:rsidRPr="00CD62D6">
        <w:t>.2014.</w:t>
      </w:r>
    </w:p>
    <w:p w:rsidR="009C7D1D" w:rsidRPr="00CD62D6" w:rsidRDefault="00B07CB0" w:rsidP="00A22824">
      <w:r w:rsidRPr="00CD62D6">
        <w:tab/>
      </w:r>
      <w:bookmarkStart w:id="6" w:name="OLE_LINK6"/>
      <w:bookmarkStart w:id="7" w:name="OLE_LINK7"/>
      <w:r w:rsidR="00A22824" w:rsidRPr="00CD62D6">
        <w:t>17</w:t>
      </w:r>
      <w:r w:rsidR="00994AA1" w:rsidRPr="00CD62D6">
        <w:t>49</w:t>
      </w:r>
    </w:p>
    <w:p w:rsidR="009C7D1D" w:rsidRPr="00CD62D6" w:rsidRDefault="009C7D1D" w:rsidP="00A22824">
      <w:pPr>
        <w:ind w:firstLine="720"/>
        <w:contextualSpacing/>
      </w:pPr>
      <w:proofErr w:type="spellStart"/>
      <w:r w:rsidRPr="00CD62D6">
        <w:t>Dz.Mergupe-Kutraite</w:t>
      </w:r>
      <w:proofErr w:type="spellEnd"/>
    </w:p>
    <w:p w:rsidR="009C7D1D" w:rsidRPr="00CD62D6" w:rsidRDefault="009C7D1D" w:rsidP="00A22824">
      <w:pPr>
        <w:ind w:firstLine="709"/>
        <w:contextualSpacing/>
      </w:pPr>
      <w:r w:rsidRPr="00CD62D6">
        <w:t xml:space="preserve">67047817, </w:t>
      </w:r>
      <w:hyperlink r:id="rId8" w:history="1">
        <w:r w:rsidR="00394145" w:rsidRPr="00CD62D6">
          <w:rPr>
            <w:rStyle w:val="Hyperlink"/>
            <w:color w:val="auto"/>
            <w:u w:val="none"/>
          </w:rPr>
          <w:t>dzintra.mergupe@izm.gov.lv</w:t>
        </w:r>
      </w:hyperlink>
      <w:bookmarkEnd w:id="6"/>
      <w:bookmarkEnd w:id="7"/>
    </w:p>
    <w:p w:rsidR="00394145" w:rsidRPr="00CD62D6" w:rsidRDefault="00394145" w:rsidP="00A22824">
      <w:pPr>
        <w:ind w:firstLine="709"/>
      </w:pPr>
      <w:proofErr w:type="spellStart"/>
      <w:r w:rsidRPr="00CD62D6">
        <w:t>O.Arkle</w:t>
      </w:r>
      <w:proofErr w:type="spellEnd"/>
    </w:p>
    <w:p w:rsidR="00394145" w:rsidRPr="00CD62D6" w:rsidRDefault="00394145" w:rsidP="00A22824">
      <w:pPr>
        <w:ind w:firstLine="720"/>
      </w:pPr>
      <w:r w:rsidRPr="00CD62D6">
        <w:t xml:space="preserve">67047944, </w:t>
      </w:r>
      <w:hyperlink r:id="rId9" w:history="1">
        <w:r w:rsidRPr="00CD62D6">
          <w:rPr>
            <w:rStyle w:val="Hyperlink"/>
            <w:color w:val="auto"/>
            <w:u w:val="none"/>
          </w:rPr>
          <w:t>olita.arkle@izm.gov.</w:t>
        </w:r>
        <w:bookmarkStart w:id="8" w:name="_GoBack"/>
        <w:bookmarkEnd w:id="8"/>
        <w:r w:rsidRPr="00CD62D6">
          <w:rPr>
            <w:rStyle w:val="Hyperlink"/>
            <w:color w:val="auto"/>
            <w:u w:val="none"/>
          </w:rPr>
          <w:t>lv</w:t>
        </w:r>
      </w:hyperlink>
    </w:p>
    <w:sectPr w:rsidR="00394145" w:rsidRPr="00CD62D6" w:rsidSect="00A22824">
      <w:headerReference w:type="default" r:id="rId10"/>
      <w:footerReference w:type="default" r:id="rId11"/>
      <w:footerReference w:type="first" r:id="rId12"/>
      <w:pgSz w:w="11906" w:h="16838"/>
      <w:pgMar w:top="1440" w:right="1274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A5" w:rsidRDefault="009F44A5" w:rsidP="0020024B">
      <w:r>
        <w:separator/>
      </w:r>
    </w:p>
  </w:endnote>
  <w:endnote w:type="continuationSeparator" w:id="0">
    <w:p w:rsidR="009F44A5" w:rsidRDefault="009F44A5" w:rsidP="0020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FF" w:rsidRPr="00922697" w:rsidRDefault="00394145" w:rsidP="00FD3DFF">
    <w:pPr>
      <w:jc w:val="both"/>
    </w:pPr>
    <w:r w:rsidRPr="00922697">
      <w:t>IZMNotp30_</w:t>
    </w:r>
    <w:r w:rsidR="00A22824">
      <w:t>0</w:t>
    </w:r>
    <w:r w:rsidR="00B93AA2">
      <w:t>207</w:t>
    </w:r>
    <w:r w:rsidR="00A22824">
      <w:t>14</w:t>
    </w:r>
    <w:r w:rsidR="00FD3DFF" w:rsidRPr="00922697">
      <w:t>_standar;</w:t>
    </w:r>
    <w:r w:rsidR="00922697">
      <w:t xml:space="preserve"> </w:t>
    </w:r>
    <w:r w:rsidR="00FD3DFF" w:rsidRPr="00922697">
      <w:t>30.pielikums Ministru kabineta noteikumu projekts „Noteikumi par valsts pamatizglītības standartu, pamatizglītības mācību priekšmetu standartiem un pamatizglītības programmu paraugiem”</w:t>
    </w:r>
  </w:p>
  <w:p w:rsidR="00FD3DFF" w:rsidRPr="00394145" w:rsidRDefault="00FD3DF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FF" w:rsidRPr="00922697" w:rsidRDefault="00394145" w:rsidP="00FD3DFF">
    <w:pPr>
      <w:jc w:val="both"/>
    </w:pPr>
    <w:r w:rsidRPr="00922697">
      <w:t>IZMNotp30_</w:t>
    </w:r>
    <w:r w:rsidR="00A22824">
      <w:t>0</w:t>
    </w:r>
    <w:r w:rsidR="00B93AA2">
      <w:t>207</w:t>
    </w:r>
    <w:r w:rsidR="00A22824">
      <w:t>14</w:t>
    </w:r>
    <w:r w:rsidR="00FD3DFF" w:rsidRPr="00922697">
      <w:t>_standar; 30.pielikums Ministru kabineta noteikumu projekts „Noteikumi par valsts pamatizglītības standartu, pamatizglītības mācību priekšmetu standartiem un pamatizglītības programmu paraugiem”</w:t>
    </w:r>
  </w:p>
  <w:p w:rsidR="00FD3DFF" w:rsidRPr="00394145" w:rsidRDefault="00FD3DFF" w:rsidP="00FD3DFF">
    <w:pPr>
      <w:jc w:val="both"/>
      <w:rPr>
        <w:sz w:val="20"/>
        <w:szCs w:val="20"/>
      </w:rPr>
    </w:pPr>
  </w:p>
  <w:p w:rsidR="00FD3DFF" w:rsidRDefault="00FD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A5" w:rsidRDefault="009F44A5" w:rsidP="0020024B">
      <w:r>
        <w:separator/>
      </w:r>
    </w:p>
  </w:footnote>
  <w:footnote w:type="continuationSeparator" w:id="0">
    <w:p w:rsidR="009F44A5" w:rsidRDefault="009F44A5" w:rsidP="0020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FA" w:rsidRDefault="008D248C">
    <w:pPr>
      <w:pStyle w:val="Header"/>
      <w:jc w:val="center"/>
    </w:pPr>
    <w:r>
      <w:fldChar w:fldCharType="begin"/>
    </w:r>
    <w:r w:rsidR="00F26AFA">
      <w:instrText xml:space="preserve"> PAGE   \* MERGEFORMAT </w:instrText>
    </w:r>
    <w:r>
      <w:fldChar w:fldCharType="separate"/>
    </w:r>
    <w:r w:rsidR="00B10321">
      <w:rPr>
        <w:noProof/>
      </w:rPr>
      <w:t>8</w:t>
    </w:r>
    <w:r>
      <w:fldChar w:fldCharType="end"/>
    </w:r>
  </w:p>
  <w:p w:rsidR="00F26AFA" w:rsidRDefault="00F26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3CB"/>
    <w:multiLevelType w:val="hybridMultilevel"/>
    <w:tmpl w:val="C6124944"/>
    <w:lvl w:ilvl="0" w:tplc="8812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667C"/>
    <w:multiLevelType w:val="hybridMultilevel"/>
    <w:tmpl w:val="9064B270"/>
    <w:lvl w:ilvl="0" w:tplc="74CC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F1782"/>
    <w:multiLevelType w:val="hybridMultilevel"/>
    <w:tmpl w:val="F770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5E60"/>
    <w:multiLevelType w:val="hybridMultilevel"/>
    <w:tmpl w:val="FD28AEE2"/>
    <w:lvl w:ilvl="0" w:tplc="88AEE57A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1A7DB7"/>
    <w:multiLevelType w:val="hybridMultilevel"/>
    <w:tmpl w:val="343C2F70"/>
    <w:lvl w:ilvl="0" w:tplc="2C02A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A31A5"/>
    <w:multiLevelType w:val="hybridMultilevel"/>
    <w:tmpl w:val="E3AE1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4B"/>
    <w:rsid w:val="000007A3"/>
    <w:rsid w:val="00006030"/>
    <w:rsid w:val="00021D46"/>
    <w:rsid w:val="00047F87"/>
    <w:rsid w:val="000553A2"/>
    <w:rsid w:val="00061710"/>
    <w:rsid w:val="00063137"/>
    <w:rsid w:val="00065CC9"/>
    <w:rsid w:val="00067D8B"/>
    <w:rsid w:val="00073321"/>
    <w:rsid w:val="000834FB"/>
    <w:rsid w:val="00085848"/>
    <w:rsid w:val="000912D3"/>
    <w:rsid w:val="000939FA"/>
    <w:rsid w:val="000A4731"/>
    <w:rsid w:val="000B29DD"/>
    <w:rsid w:val="000B73B1"/>
    <w:rsid w:val="000C1B96"/>
    <w:rsid w:val="000C479D"/>
    <w:rsid w:val="000D1755"/>
    <w:rsid w:val="000D749F"/>
    <w:rsid w:val="000F4544"/>
    <w:rsid w:val="000F66EC"/>
    <w:rsid w:val="00106A42"/>
    <w:rsid w:val="0011061B"/>
    <w:rsid w:val="00110CA8"/>
    <w:rsid w:val="00113925"/>
    <w:rsid w:val="00114F9F"/>
    <w:rsid w:val="0011645B"/>
    <w:rsid w:val="001225F3"/>
    <w:rsid w:val="00130091"/>
    <w:rsid w:val="00141198"/>
    <w:rsid w:val="0014283A"/>
    <w:rsid w:val="0015005D"/>
    <w:rsid w:val="00152069"/>
    <w:rsid w:val="00154E81"/>
    <w:rsid w:val="00156539"/>
    <w:rsid w:val="00157984"/>
    <w:rsid w:val="001637AE"/>
    <w:rsid w:val="00171000"/>
    <w:rsid w:val="0017509B"/>
    <w:rsid w:val="0018066F"/>
    <w:rsid w:val="001948D5"/>
    <w:rsid w:val="001A050D"/>
    <w:rsid w:val="001B6E42"/>
    <w:rsid w:val="001C1DB0"/>
    <w:rsid w:val="001C5DC9"/>
    <w:rsid w:val="001D0674"/>
    <w:rsid w:val="001D36DB"/>
    <w:rsid w:val="001D4047"/>
    <w:rsid w:val="001D7D4D"/>
    <w:rsid w:val="001E482C"/>
    <w:rsid w:val="0020024B"/>
    <w:rsid w:val="00206629"/>
    <w:rsid w:val="00215986"/>
    <w:rsid w:val="00217440"/>
    <w:rsid w:val="00221DC0"/>
    <w:rsid w:val="0022556E"/>
    <w:rsid w:val="002265B0"/>
    <w:rsid w:val="00256790"/>
    <w:rsid w:val="00275DA3"/>
    <w:rsid w:val="002769DA"/>
    <w:rsid w:val="002775A8"/>
    <w:rsid w:val="00285542"/>
    <w:rsid w:val="002871BC"/>
    <w:rsid w:val="00290C34"/>
    <w:rsid w:val="00291C07"/>
    <w:rsid w:val="002A1F98"/>
    <w:rsid w:val="002A2259"/>
    <w:rsid w:val="002A29D2"/>
    <w:rsid w:val="002A44C5"/>
    <w:rsid w:val="002A7E41"/>
    <w:rsid w:val="002B4EE4"/>
    <w:rsid w:val="002B7FF4"/>
    <w:rsid w:val="002D480A"/>
    <w:rsid w:val="002E147B"/>
    <w:rsid w:val="002E3F38"/>
    <w:rsid w:val="002F3A25"/>
    <w:rsid w:val="002F6972"/>
    <w:rsid w:val="003032B6"/>
    <w:rsid w:val="00306EFE"/>
    <w:rsid w:val="003155E0"/>
    <w:rsid w:val="00323EE5"/>
    <w:rsid w:val="0032515B"/>
    <w:rsid w:val="00332052"/>
    <w:rsid w:val="0034096C"/>
    <w:rsid w:val="00342B8A"/>
    <w:rsid w:val="0034641B"/>
    <w:rsid w:val="00351EAF"/>
    <w:rsid w:val="00353536"/>
    <w:rsid w:val="00353C30"/>
    <w:rsid w:val="0036570E"/>
    <w:rsid w:val="0037148E"/>
    <w:rsid w:val="003807B2"/>
    <w:rsid w:val="00382ACF"/>
    <w:rsid w:val="00384E4F"/>
    <w:rsid w:val="003856C3"/>
    <w:rsid w:val="00393109"/>
    <w:rsid w:val="00394145"/>
    <w:rsid w:val="003B46C2"/>
    <w:rsid w:val="003C5757"/>
    <w:rsid w:val="003C7301"/>
    <w:rsid w:val="003D4849"/>
    <w:rsid w:val="003D53BB"/>
    <w:rsid w:val="003E0986"/>
    <w:rsid w:val="00401FA3"/>
    <w:rsid w:val="004152AB"/>
    <w:rsid w:val="00432A21"/>
    <w:rsid w:val="00435CCF"/>
    <w:rsid w:val="00446B83"/>
    <w:rsid w:val="004677D9"/>
    <w:rsid w:val="0047159D"/>
    <w:rsid w:val="00477EEB"/>
    <w:rsid w:val="00483427"/>
    <w:rsid w:val="00483743"/>
    <w:rsid w:val="00490221"/>
    <w:rsid w:val="00491760"/>
    <w:rsid w:val="004A05C8"/>
    <w:rsid w:val="004A1676"/>
    <w:rsid w:val="004A1DDE"/>
    <w:rsid w:val="004B1331"/>
    <w:rsid w:val="004B572E"/>
    <w:rsid w:val="004C04AA"/>
    <w:rsid w:val="004C24FC"/>
    <w:rsid w:val="004D2B0A"/>
    <w:rsid w:val="004E4945"/>
    <w:rsid w:val="004E4F1C"/>
    <w:rsid w:val="004F04FE"/>
    <w:rsid w:val="004F667C"/>
    <w:rsid w:val="005004B4"/>
    <w:rsid w:val="00501A76"/>
    <w:rsid w:val="005219B4"/>
    <w:rsid w:val="00532939"/>
    <w:rsid w:val="00541A48"/>
    <w:rsid w:val="0054509D"/>
    <w:rsid w:val="00546A14"/>
    <w:rsid w:val="00550DDE"/>
    <w:rsid w:val="00560A77"/>
    <w:rsid w:val="005641B0"/>
    <w:rsid w:val="00565D23"/>
    <w:rsid w:val="00570ADB"/>
    <w:rsid w:val="00575013"/>
    <w:rsid w:val="0058013C"/>
    <w:rsid w:val="00580990"/>
    <w:rsid w:val="0058336A"/>
    <w:rsid w:val="00595BBA"/>
    <w:rsid w:val="005A5C8D"/>
    <w:rsid w:val="005A7AB8"/>
    <w:rsid w:val="005B0CCC"/>
    <w:rsid w:val="005C1DC9"/>
    <w:rsid w:val="005D61F6"/>
    <w:rsid w:val="005E4B2D"/>
    <w:rsid w:val="005F2EEA"/>
    <w:rsid w:val="005F5D57"/>
    <w:rsid w:val="006051EA"/>
    <w:rsid w:val="006058D3"/>
    <w:rsid w:val="00607670"/>
    <w:rsid w:val="006114DD"/>
    <w:rsid w:val="00614F6F"/>
    <w:rsid w:val="00623AF7"/>
    <w:rsid w:val="006258B8"/>
    <w:rsid w:val="00626E49"/>
    <w:rsid w:val="0063310C"/>
    <w:rsid w:val="00650652"/>
    <w:rsid w:val="00665A5A"/>
    <w:rsid w:val="0069156A"/>
    <w:rsid w:val="006A0E58"/>
    <w:rsid w:val="006A4BCF"/>
    <w:rsid w:val="006C47C6"/>
    <w:rsid w:val="006C7048"/>
    <w:rsid w:val="006D5836"/>
    <w:rsid w:val="006E2928"/>
    <w:rsid w:val="006F3552"/>
    <w:rsid w:val="007030DB"/>
    <w:rsid w:val="0070354E"/>
    <w:rsid w:val="00706D7A"/>
    <w:rsid w:val="00720286"/>
    <w:rsid w:val="007354A0"/>
    <w:rsid w:val="00736C24"/>
    <w:rsid w:val="0074021D"/>
    <w:rsid w:val="00741161"/>
    <w:rsid w:val="00752CD7"/>
    <w:rsid w:val="00753983"/>
    <w:rsid w:val="00776836"/>
    <w:rsid w:val="007772D4"/>
    <w:rsid w:val="00790B7F"/>
    <w:rsid w:val="007A548D"/>
    <w:rsid w:val="007B3385"/>
    <w:rsid w:val="007C0402"/>
    <w:rsid w:val="007D7BD7"/>
    <w:rsid w:val="007E7533"/>
    <w:rsid w:val="007F0CF1"/>
    <w:rsid w:val="007F74FB"/>
    <w:rsid w:val="007F7D42"/>
    <w:rsid w:val="008120AA"/>
    <w:rsid w:val="00835CE7"/>
    <w:rsid w:val="00845F2F"/>
    <w:rsid w:val="00852B80"/>
    <w:rsid w:val="00865CF0"/>
    <w:rsid w:val="008C0D42"/>
    <w:rsid w:val="008C37E3"/>
    <w:rsid w:val="008D1323"/>
    <w:rsid w:val="008D248C"/>
    <w:rsid w:val="008D4D93"/>
    <w:rsid w:val="008F713F"/>
    <w:rsid w:val="00912297"/>
    <w:rsid w:val="009132BC"/>
    <w:rsid w:val="00920551"/>
    <w:rsid w:val="00922697"/>
    <w:rsid w:val="009343E5"/>
    <w:rsid w:val="00943143"/>
    <w:rsid w:val="009432D8"/>
    <w:rsid w:val="00955198"/>
    <w:rsid w:val="009553C1"/>
    <w:rsid w:val="00960301"/>
    <w:rsid w:val="00965078"/>
    <w:rsid w:val="00966A32"/>
    <w:rsid w:val="00982A25"/>
    <w:rsid w:val="00985785"/>
    <w:rsid w:val="00994AA1"/>
    <w:rsid w:val="009A5CD3"/>
    <w:rsid w:val="009A71A1"/>
    <w:rsid w:val="009B58E2"/>
    <w:rsid w:val="009C2194"/>
    <w:rsid w:val="009C7D1D"/>
    <w:rsid w:val="009C7EA6"/>
    <w:rsid w:val="009D0BFD"/>
    <w:rsid w:val="009D66A2"/>
    <w:rsid w:val="009F1EEE"/>
    <w:rsid w:val="009F44A5"/>
    <w:rsid w:val="009F4532"/>
    <w:rsid w:val="00A00CBB"/>
    <w:rsid w:val="00A04CFB"/>
    <w:rsid w:val="00A103B1"/>
    <w:rsid w:val="00A156E4"/>
    <w:rsid w:val="00A22824"/>
    <w:rsid w:val="00A22FC2"/>
    <w:rsid w:val="00A235A4"/>
    <w:rsid w:val="00A31A3C"/>
    <w:rsid w:val="00A736EE"/>
    <w:rsid w:val="00A841FC"/>
    <w:rsid w:val="00A851C5"/>
    <w:rsid w:val="00A85395"/>
    <w:rsid w:val="00A95A79"/>
    <w:rsid w:val="00AB3617"/>
    <w:rsid w:val="00AC3493"/>
    <w:rsid w:val="00AC6CBB"/>
    <w:rsid w:val="00AF1AC0"/>
    <w:rsid w:val="00B06619"/>
    <w:rsid w:val="00B06F15"/>
    <w:rsid w:val="00B071B0"/>
    <w:rsid w:val="00B07CB0"/>
    <w:rsid w:val="00B10321"/>
    <w:rsid w:val="00B16F69"/>
    <w:rsid w:val="00B25612"/>
    <w:rsid w:val="00B2729D"/>
    <w:rsid w:val="00B37AFC"/>
    <w:rsid w:val="00B37D57"/>
    <w:rsid w:val="00B4669B"/>
    <w:rsid w:val="00B60B67"/>
    <w:rsid w:val="00B6576D"/>
    <w:rsid w:val="00B66EE1"/>
    <w:rsid w:val="00B6783C"/>
    <w:rsid w:val="00B71A17"/>
    <w:rsid w:val="00B75E7B"/>
    <w:rsid w:val="00B76311"/>
    <w:rsid w:val="00B8551B"/>
    <w:rsid w:val="00B93AA2"/>
    <w:rsid w:val="00B93EE9"/>
    <w:rsid w:val="00BA261C"/>
    <w:rsid w:val="00BA4D73"/>
    <w:rsid w:val="00BA70C9"/>
    <w:rsid w:val="00BA7857"/>
    <w:rsid w:val="00BB02A7"/>
    <w:rsid w:val="00BC0CA5"/>
    <w:rsid w:val="00BC55A0"/>
    <w:rsid w:val="00BD71F8"/>
    <w:rsid w:val="00BF0B18"/>
    <w:rsid w:val="00C0082F"/>
    <w:rsid w:val="00C0358B"/>
    <w:rsid w:val="00C11CF1"/>
    <w:rsid w:val="00C1461C"/>
    <w:rsid w:val="00C2054F"/>
    <w:rsid w:val="00C30E98"/>
    <w:rsid w:val="00C411E0"/>
    <w:rsid w:val="00C43F65"/>
    <w:rsid w:val="00C44A28"/>
    <w:rsid w:val="00C47299"/>
    <w:rsid w:val="00C53AE8"/>
    <w:rsid w:val="00C63047"/>
    <w:rsid w:val="00C729AB"/>
    <w:rsid w:val="00C823F7"/>
    <w:rsid w:val="00C84B46"/>
    <w:rsid w:val="00C84D6F"/>
    <w:rsid w:val="00C86C0A"/>
    <w:rsid w:val="00CA5E37"/>
    <w:rsid w:val="00CB14B5"/>
    <w:rsid w:val="00CB4044"/>
    <w:rsid w:val="00CB4650"/>
    <w:rsid w:val="00CC0F33"/>
    <w:rsid w:val="00CC1BF0"/>
    <w:rsid w:val="00CD62D6"/>
    <w:rsid w:val="00CE1EA1"/>
    <w:rsid w:val="00CE508D"/>
    <w:rsid w:val="00D01B68"/>
    <w:rsid w:val="00D120E2"/>
    <w:rsid w:val="00D17DD9"/>
    <w:rsid w:val="00D43F8D"/>
    <w:rsid w:val="00D63012"/>
    <w:rsid w:val="00D76067"/>
    <w:rsid w:val="00D76C3E"/>
    <w:rsid w:val="00D82B4A"/>
    <w:rsid w:val="00DB54A2"/>
    <w:rsid w:val="00DB619C"/>
    <w:rsid w:val="00DD4DDE"/>
    <w:rsid w:val="00DE3D63"/>
    <w:rsid w:val="00DF321D"/>
    <w:rsid w:val="00DF4836"/>
    <w:rsid w:val="00E03CEA"/>
    <w:rsid w:val="00E14904"/>
    <w:rsid w:val="00E225F6"/>
    <w:rsid w:val="00E257C6"/>
    <w:rsid w:val="00E32C65"/>
    <w:rsid w:val="00E376FB"/>
    <w:rsid w:val="00E407E9"/>
    <w:rsid w:val="00E41B22"/>
    <w:rsid w:val="00E446AE"/>
    <w:rsid w:val="00E45136"/>
    <w:rsid w:val="00E4752A"/>
    <w:rsid w:val="00E47C7E"/>
    <w:rsid w:val="00E55C5C"/>
    <w:rsid w:val="00E5747B"/>
    <w:rsid w:val="00E606C7"/>
    <w:rsid w:val="00E64AA6"/>
    <w:rsid w:val="00E83F31"/>
    <w:rsid w:val="00E84408"/>
    <w:rsid w:val="00E86301"/>
    <w:rsid w:val="00E915CC"/>
    <w:rsid w:val="00EB0FD0"/>
    <w:rsid w:val="00ED2DAD"/>
    <w:rsid w:val="00EF0809"/>
    <w:rsid w:val="00EF4892"/>
    <w:rsid w:val="00F01BD7"/>
    <w:rsid w:val="00F146C4"/>
    <w:rsid w:val="00F161C5"/>
    <w:rsid w:val="00F24D80"/>
    <w:rsid w:val="00F25CCA"/>
    <w:rsid w:val="00F26AFA"/>
    <w:rsid w:val="00F342D8"/>
    <w:rsid w:val="00F57A65"/>
    <w:rsid w:val="00F60DA7"/>
    <w:rsid w:val="00F7190E"/>
    <w:rsid w:val="00F71B15"/>
    <w:rsid w:val="00F90400"/>
    <w:rsid w:val="00FA2F25"/>
    <w:rsid w:val="00FA6F59"/>
    <w:rsid w:val="00FB0421"/>
    <w:rsid w:val="00FB60BF"/>
    <w:rsid w:val="00FC52A4"/>
    <w:rsid w:val="00FD0F00"/>
    <w:rsid w:val="00FD3DFF"/>
    <w:rsid w:val="00FD7B04"/>
    <w:rsid w:val="00FF021C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F3B69A6-B78E-4E86-AE26-BAA4832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4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024B"/>
    <w:pPr>
      <w:keepNext/>
      <w:spacing w:before="240" w:after="60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0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024B"/>
    <w:pPr>
      <w:keepNext/>
      <w:spacing w:before="100" w:beforeAutospacing="1" w:after="100" w:afterAutospacing="1"/>
      <w:jc w:val="center"/>
      <w:outlineLvl w:val="3"/>
    </w:pPr>
    <w:rPr>
      <w:rFonts w:ascii="Arial" w:hAnsi="Arial" w:cs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0024B"/>
    <w:pPr>
      <w:keepNext/>
      <w:jc w:val="right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0024B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024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0024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002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00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0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20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24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02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20024B"/>
  </w:style>
  <w:style w:type="paragraph" w:styleId="CommentText">
    <w:name w:val="annotation text"/>
    <w:basedOn w:val="Normal"/>
    <w:link w:val="CommentTextChar"/>
    <w:unhideWhenUsed/>
    <w:rsid w:val="0020024B"/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rsid w:val="002002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1">
    <w:name w:val="Body Text Char1"/>
    <w:basedOn w:val="DefaultParagraphFont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1">
    <w:name w:val="Body Text 2 Char1"/>
    <w:basedOn w:val="DefaultParagraphFont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02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024B"/>
    <w:rPr>
      <w:b/>
      <w:bCs/>
    </w:rPr>
  </w:style>
  <w:style w:type="character" w:customStyle="1" w:styleId="CommentSubjectChar1">
    <w:name w:val="Comment Subject Char1"/>
    <w:basedOn w:val="CommentTextChar1"/>
    <w:rsid w:val="0020024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nhideWhenUsed/>
    <w:rsid w:val="0020024B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rsid w:val="002002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3AE8"/>
    <w:rPr>
      <w:color w:val="0000FF"/>
      <w:u w:val="single"/>
    </w:rPr>
  </w:style>
  <w:style w:type="character" w:styleId="Strong">
    <w:name w:val="Strong"/>
    <w:qFormat/>
    <w:rsid w:val="009F1EEE"/>
    <w:rPr>
      <w:b/>
      <w:bCs/>
    </w:rPr>
  </w:style>
  <w:style w:type="paragraph" w:customStyle="1" w:styleId="ParastaisWeb1">
    <w:name w:val="Parastais (Web)1"/>
    <w:basedOn w:val="Normal"/>
    <w:rsid w:val="009F1EEE"/>
    <w:pPr>
      <w:spacing w:before="100" w:after="100"/>
    </w:pPr>
    <w:rPr>
      <w:szCs w:val="20"/>
    </w:rPr>
  </w:style>
  <w:style w:type="paragraph" w:customStyle="1" w:styleId="tv20787921">
    <w:name w:val="tv207_87_921"/>
    <w:basedOn w:val="Normal"/>
    <w:rsid w:val="003155E0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A7E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mergup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ta.arkl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D132-852F-46D1-BFEA-A042F8A1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8649</Words>
  <Characters>4931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noteikumu projekts "Noteikumi par valsts standartu pamatizglītībā"</vt:lpstr>
    </vt:vector>
  </TitlesOfParts>
  <Manager>Evija Papule</Manager>
  <Company>IZM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valsts standartu pamatizglītībā"</dc:title>
  <dc:subject>30.Pielikums</dc:subject>
  <dc:creator>O.Arkle</dc:creator>
  <cp:keywords/>
  <dc:description>67047944, olita.arkle@izm.gov.lv
67047817, dzintra.mergupe@izm.gov.lv</dc:description>
  <cp:lastModifiedBy>Dzintra Mergupe-Kutraite</cp:lastModifiedBy>
  <cp:revision>4</cp:revision>
  <cp:lastPrinted>2013-06-11T07:43:00Z</cp:lastPrinted>
  <dcterms:created xsi:type="dcterms:W3CDTF">2014-06-27T05:40:00Z</dcterms:created>
  <dcterms:modified xsi:type="dcterms:W3CDTF">2014-06-27T05:41:00Z</dcterms:modified>
</cp:coreProperties>
</file>