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03" w:rsidRPr="00AC0113" w:rsidRDefault="00A14803" w:rsidP="00A14803">
      <w:pPr>
        <w:spacing w:line="240" w:lineRule="auto"/>
        <w:jc w:val="right"/>
      </w:pPr>
      <w:r w:rsidRPr="00AC0113">
        <w:t>Pielikums</w:t>
      </w:r>
    </w:p>
    <w:p w:rsidR="00A14803" w:rsidRPr="00AC0113" w:rsidRDefault="00A14803" w:rsidP="00A14803">
      <w:pPr>
        <w:spacing w:line="240" w:lineRule="auto"/>
        <w:jc w:val="right"/>
      </w:pPr>
      <w:r w:rsidRPr="00AC0113">
        <w:t>Ministru kabineta</w:t>
      </w:r>
    </w:p>
    <w:p w:rsidR="00A14803" w:rsidRPr="00AC0113" w:rsidRDefault="00A14803" w:rsidP="00A14803">
      <w:pPr>
        <w:spacing w:line="240" w:lineRule="auto"/>
        <w:jc w:val="right"/>
      </w:pPr>
      <w:r w:rsidRPr="00AC0113">
        <w:t>2014.gada noteikumiem Nr.</w:t>
      </w:r>
    </w:p>
    <w:p w:rsidR="00A14803" w:rsidRDefault="00A14803" w:rsidP="00A14803">
      <w:pPr>
        <w:spacing w:line="240" w:lineRule="auto"/>
        <w:jc w:val="center"/>
        <w:rPr>
          <w:b/>
        </w:rPr>
      </w:pPr>
    </w:p>
    <w:p w:rsidR="00F37F31" w:rsidRPr="00AC0113" w:rsidRDefault="00F37F31" w:rsidP="00A14803">
      <w:pPr>
        <w:spacing w:line="240" w:lineRule="auto"/>
        <w:jc w:val="center"/>
        <w:rPr>
          <w:b/>
        </w:rPr>
      </w:pPr>
    </w:p>
    <w:p w:rsidR="00CD7EB3" w:rsidRDefault="00A14803" w:rsidP="00320338">
      <w:pPr>
        <w:spacing w:line="240" w:lineRule="auto"/>
        <w:jc w:val="center"/>
        <w:rPr>
          <w:b/>
          <w:bCs/>
          <w:color w:val="000000"/>
          <w:sz w:val="22"/>
          <w:szCs w:val="22"/>
        </w:rPr>
      </w:pPr>
      <w:r w:rsidRPr="002701F1">
        <w:rPr>
          <w:b/>
          <w:sz w:val="22"/>
          <w:szCs w:val="22"/>
        </w:rPr>
        <w:t>Pārskats par valsts budžeta dotācijas pedagogu darba samaksai un valsts sociālās apdrošināšanas obligātajām iemaksām izlietojumu</w:t>
      </w:r>
      <w:r w:rsidRPr="002701F1">
        <w:rPr>
          <w:b/>
          <w:bCs/>
          <w:color w:val="000000"/>
          <w:sz w:val="22"/>
          <w:szCs w:val="22"/>
        </w:rPr>
        <w:t xml:space="preserve"> </w:t>
      </w:r>
      <w:r w:rsidR="00CD7EB3" w:rsidRPr="002701F1">
        <w:rPr>
          <w:b/>
          <w:sz w:val="22"/>
          <w:szCs w:val="22"/>
        </w:rPr>
        <w:t>privātajām izglītības iestādēm</w:t>
      </w:r>
      <w:r w:rsidR="00CD7EB3" w:rsidRPr="002701F1">
        <w:rPr>
          <w:b/>
          <w:bCs/>
          <w:color w:val="000000"/>
          <w:sz w:val="22"/>
          <w:szCs w:val="22"/>
        </w:rPr>
        <w:t xml:space="preserve"> </w:t>
      </w:r>
    </w:p>
    <w:p w:rsidR="00A14803" w:rsidRPr="002701F1" w:rsidRDefault="00A14803" w:rsidP="00320338">
      <w:pPr>
        <w:spacing w:line="240" w:lineRule="auto"/>
        <w:jc w:val="center"/>
        <w:rPr>
          <w:b/>
          <w:bCs/>
          <w:i/>
          <w:iCs/>
          <w:color w:val="000000"/>
          <w:sz w:val="22"/>
          <w:szCs w:val="22"/>
        </w:rPr>
      </w:pPr>
      <w:r w:rsidRPr="002701F1">
        <w:rPr>
          <w:b/>
          <w:bCs/>
          <w:color w:val="000000"/>
          <w:sz w:val="22"/>
          <w:szCs w:val="22"/>
        </w:rPr>
        <w:t>(</w:t>
      </w:r>
      <w:r w:rsidRPr="00B344B0">
        <w:rPr>
          <w:b/>
          <w:bCs/>
          <w:color w:val="000000"/>
          <w:sz w:val="22"/>
          <w:szCs w:val="22"/>
        </w:rPr>
        <w:t xml:space="preserve">pēc </w:t>
      </w:r>
      <w:r w:rsidRPr="00B344B0">
        <w:rPr>
          <w:b/>
          <w:bCs/>
          <w:i/>
          <w:iCs/>
          <w:color w:val="000000"/>
          <w:sz w:val="22"/>
          <w:szCs w:val="22"/>
        </w:rPr>
        <w:t>uzkrāšanas principa</w:t>
      </w:r>
      <w:r w:rsidRPr="002701F1">
        <w:rPr>
          <w:b/>
          <w:bCs/>
          <w:i/>
          <w:iCs/>
          <w:color w:val="000000"/>
          <w:sz w:val="22"/>
          <w:szCs w:val="22"/>
        </w:rPr>
        <w:t>*</w:t>
      </w:r>
      <w:r w:rsidRPr="002701F1">
        <w:rPr>
          <w:b/>
          <w:bCs/>
          <w:iCs/>
          <w:color w:val="000000"/>
          <w:sz w:val="22"/>
          <w:szCs w:val="22"/>
        </w:rPr>
        <w:t>)</w:t>
      </w:r>
    </w:p>
    <w:p w:rsidR="00A14803" w:rsidRPr="002701F1" w:rsidRDefault="00A14803" w:rsidP="00320338">
      <w:pPr>
        <w:spacing w:line="240" w:lineRule="auto"/>
        <w:jc w:val="center"/>
        <w:rPr>
          <w:b/>
          <w:sz w:val="22"/>
          <w:szCs w:val="22"/>
        </w:rPr>
      </w:pPr>
    </w:p>
    <w:p w:rsidR="00A14803" w:rsidRPr="002701F1" w:rsidRDefault="00A14803" w:rsidP="00320338">
      <w:pPr>
        <w:spacing w:line="240" w:lineRule="auto"/>
        <w:jc w:val="center"/>
        <w:rPr>
          <w:b/>
          <w:sz w:val="22"/>
          <w:szCs w:val="22"/>
        </w:rPr>
      </w:pPr>
      <w:r w:rsidRPr="002701F1">
        <w:rPr>
          <w:b/>
          <w:sz w:val="22"/>
          <w:szCs w:val="22"/>
        </w:rPr>
        <w:t>______________________________________________________</w:t>
      </w:r>
    </w:p>
    <w:p w:rsidR="00A14803" w:rsidRPr="002701F1" w:rsidRDefault="00A14803" w:rsidP="00320338">
      <w:pPr>
        <w:spacing w:line="240" w:lineRule="auto"/>
        <w:jc w:val="center"/>
        <w:rPr>
          <w:sz w:val="22"/>
          <w:szCs w:val="22"/>
        </w:rPr>
      </w:pPr>
      <w:r w:rsidRPr="002701F1">
        <w:rPr>
          <w:sz w:val="22"/>
          <w:szCs w:val="22"/>
        </w:rPr>
        <w:t>(izglītības iestādes nosaukums)</w:t>
      </w:r>
    </w:p>
    <w:p w:rsidR="00AC0113" w:rsidRPr="002701F1" w:rsidRDefault="00AC0113" w:rsidP="00320338">
      <w:pPr>
        <w:spacing w:line="240" w:lineRule="auto"/>
        <w:jc w:val="center"/>
        <w:rPr>
          <w:sz w:val="22"/>
          <w:szCs w:val="22"/>
        </w:rPr>
      </w:pPr>
    </w:p>
    <w:p w:rsidR="00A14803" w:rsidRPr="002701F1" w:rsidRDefault="00A14803" w:rsidP="00A14803">
      <w:pPr>
        <w:spacing w:line="240" w:lineRule="auto"/>
        <w:rPr>
          <w:sz w:val="22"/>
          <w:szCs w:val="22"/>
        </w:rPr>
      </w:pPr>
      <w:r w:rsidRPr="002701F1">
        <w:rPr>
          <w:sz w:val="22"/>
          <w:szCs w:val="22"/>
        </w:rPr>
        <w:t>Pārskats par ________</w:t>
      </w:r>
      <w:r w:rsidR="00F37F31" w:rsidRPr="002701F1">
        <w:rPr>
          <w:sz w:val="22"/>
          <w:szCs w:val="22"/>
        </w:rPr>
        <w:t>___</w:t>
      </w:r>
      <w:r w:rsidRPr="002701F1">
        <w:rPr>
          <w:sz w:val="22"/>
          <w:szCs w:val="22"/>
        </w:rPr>
        <w:t xml:space="preserve">_gada </w:t>
      </w:r>
      <w:r w:rsidRPr="002701F1">
        <w:rPr>
          <w:b/>
          <w:sz w:val="22"/>
          <w:szCs w:val="22"/>
        </w:rPr>
        <w:t>____________</w:t>
      </w:r>
      <w:r w:rsidR="00F37F31" w:rsidRPr="002701F1">
        <w:rPr>
          <w:b/>
          <w:sz w:val="22"/>
          <w:szCs w:val="22"/>
        </w:rPr>
        <w:t>_____</w:t>
      </w:r>
      <w:r w:rsidRPr="002701F1">
        <w:rPr>
          <w:b/>
          <w:sz w:val="22"/>
          <w:szCs w:val="22"/>
        </w:rPr>
        <w:t>___</w:t>
      </w:r>
    </w:p>
    <w:p w:rsidR="00A14803" w:rsidRPr="002701F1" w:rsidRDefault="002701F1" w:rsidP="002701F1">
      <w:pPr>
        <w:spacing w:line="240" w:lineRule="auto"/>
        <w:ind w:left="2160" w:firstLine="720"/>
        <w:rPr>
          <w:sz w:val="22"/>
          <w:szCs w:val="22"/>
        </w:rPr>
      </w:pPr>
      <w:r>
        <w:rPr>
          <w:sz w:val="22"/>
          <w:szCs w:val="22"/>
        </w:rPr>
        <w:t xml:space="preserve">     </w:t>
      </w:r>
      <w:r w:rsidR="00A14803" w:rsidRPr="002701F1">
        <w:rPr>
          <w:sz w:val="22"/>
          <w:szCs w:val="22"/>
        </w:rPr>
        <w:t>(dotācijas periods)</w:t>
      </w:r>
    </w:p>
    <w:p w:rsidR="00AC0113" w:rsidRPr="002701F1" w:rsidRDefault="00AC0113" w:rsidP="00AC0113">
      <w:pPr>
        <w:spacing w:line="240" w:lineRule="auto"/>
        <w:jc w:val="left"/>
        <w:rPr>
          <w:sz w:val="22"/>
          <w:szCs w:val="22"/>
        </w:rPr>
      </w:pPr>
    </w:p>
    <w:p w:rsidR="00AC0113" w:rsidRPr="002701F1" w:rsidRDefault="00AC0113" w:rsidP="00AC0113">
      <w:pPr>
        <w:spacing w:line="240" w:lineRule="auto"/>
        <w:jc w:val="left"/>
        <w:rPr>
          <w:sz w:val="22"/>
          <w:szCs w:val="22"/>
        </w:rPr>
      </w:pPr>
      <w:r w:rsidRPr="002701F1">
        <w:rPr>
          <w:sz w:val="22"/>
          <w:szCs w:val="22"/>
        </w:rPr>
        <w:t xml:space="preserve">Atlikums uz </w:t>
      </w:r>
      <w:r w:rsidR="00BE7B3B">
        <w:rPr>
          <w:sz w:val="22"/>
          <w:szCs w:val="22"/>
        </w:rPr>
        <w:t>dotācijas</w:t>
      </w:r>
      <w:r w:rsidRPr="002701F1">
        <w:rPr>
          <w:sz w:val="22"/>
          <w:szCs w:val="22"/>
        </w:rPr>
        <w:t xml:space="preserve"> perioda sākumu (EUR)_________________</w:t>
      </w:r>
    </w:p>
    <w:p w:rsidR="00AC0113" w:rsidRPr="002701F1" w:rsidRDefault="00AC0113" w:rsidP="00AC0113">
      <w:pPr>
        <w:spacing w:line="240" w:lineRule="auto"/>
        <w:jc w:val="left"/>
        <w:rPr>
          <w:sz w:val="22"/>
          <w:szCs w:val="22"/>
        </w:rPr>
      </w:pPr>
    </w:p>
    <w:tbl>
      <w:tblPr>
        <w:tblStyle w:val="TableGrid"/>
        <w:tblW w:w="9581" w:type="dxa"/>
        <w:tblInd w:w="-5" w:type="dxa"/>
        <w:tblLayout w:type="fixed"/>
        <w:tblLook w:val="04A0" w:firstRow="1" w:lastRow="0" w:firstColumn="1" w:lastColumn="0" w:noHBand="0" w:noVBand="1"/>
      </w:tblPr>
      <w:tblGrid>
        <w:gridCol w:w="1673"/>
        <w:gridCol w:w="4536"/>
        <w:gridCol w:w="1559"/>
        <w:gridCol w:w="1813"/>
      </w:tblGrid>
      <w:tr w:rsidR="00F37F31" w:rsidTr="00CD7EB3">
        <w:tc>
          <w:tcPr>
            <w:tcW w:w="1673" w:type="dxa"/>
            <w:vAlign w:val="center"/>
          </w:tcPr>
          <w:p w:rsidR="00320338" w:rsidRDefault="00320338" w:rsidP="00F37F31">
            <w:pPr>
              <w:spacing w:line="240" w:lineRule="auto"/>
              <w:jc w:val="center"/>
              <w:rPr>
                <w:b/>
                <w:bCs/>
                <w:color w:val="000000"/>
                <w:sz w:val="22"/>
                <w:szCs w:val="22"/>
              </w:rPr>
            </w:pPr>
            <w:r w:rsidRPr="00B344B0">
              <w:rPr>
                <w:color w:val="000000"/>
                <w:sz w:val="22"/>
                <w:szCs w:val="22"/>
              </w:rPr>
              <w:t>Klasifikācijas kods</w:t>
            </w:r>
          </w:p>
        </w:tc>
        <w:tc>
          <w:tcPr>
            <w:tcW w:w="4536" w:type="dxa"/>
            <w:vAlign w:val="center"/>
          </w:tcPr>
          <w:p w:rsidR="00320338" w:rsidRDefault="00AC0113" w:rsidP="00F37F31">
            <w:pPr>
              <w:spacing w:line="240" w:lineRule="auto"/>
              <w:jc w:val="center"/>
              <w:rPr>
                <w:b/>
                <w:bCs/>
                <w:color w:val="000000"/>
                <w:sz w:val="22"/>
                <w:szCs w:val="22"/>
              </w:rPr>
            </w:pPr>
            <w:r>
              <w:rPr>
                <w:color w:val="000000"/>
              </w:rPr>
              <w:t>Ieņēmumi/izdevumi</w:t>
            </w:r>
          </w:p>
        </w:tc>
        <w:tc>
          <w:tcPr>
            <w:tcW w:w="1559" w:type="dxa"/>
            <w:vAlign w:val="center"/>
          </w:tcPr>
          <w:p w:rsidR="00320338" w:rsidRDefault="00320338" w:rsidP="00F37F31">
            <w:pPr>
              <w:spacing w:line="240" w:lineRule="auto"/>
              <w:jc w:val="center"/>
              <w:rPr>
                <w:b/>
                <w:bCs/>
                <w:color w:val="000000"/>
                <w:sz w:val="22"/>
                <w:szCs w:val="22"/>
              </w:rPr>
            </w:pPr>
            <w:r w:rsidRPr="00B344B0">
              <w:rPr>
                <w:color w:val="000000"/>
                <w:sz w:val="22"/>
                <w:szCs w:val="22"/>
              </w:rPr>
              <w:t>Pārskaitīts</w:t>
            </w:r>
          </w:p>
        </w:tc>
        <w:tc>
          <w:tcPr>
            <w:tcW w:w="1813" w:type="dxa"/>
            <w:vAlign w:val="center"/>
          </w:tcPr>
          <w:p w:rsidR="00320338" w:rsidRDefault="00320338" w:rsidP="00F37F31">
            <w:pPr>
              <w:tabs>
                <w:tab w:val="left" w:pos="489"/>
              </w:tabs>
              <w:spacing w:line="240" w:lineRule="auto"/>
              <w:jc w:val="center"/>
              <w:rPr>
                <w:b/>
                <w:bCs/>
                <w:color w:val="000000"/>
                <w:sz w:val="22"/>
                <w:szCs w:val="22"/>
              </w:rPr>
            </w:pPr>
            <w:r w:rsidRPr="00B344B0">
              <w:rPr>
                <w:color w:val="000000"/>
                <w:sz w:val="22"/>
                <w:szCs w:val="22"/>
              </w:rPr>
              <w:t>Faktiski izlietots pēc uzkrāšanas principa</w:t>
            </w:r>
          </w:p>
        </w:tc>
      </w:tr>
      <w:tr w:rsidR="00F37F31" w:rsidRPr="00AC0113" w:rsidTr="00CD7EB3">
        <w:tc>
          <w:tcPr>
            <w:tcW w:w="1673" w:type="dxa"/>
            <w:vAlign w:val="center"/>
          </w:tcPr>
          <w:p w:rsidR="00320338" w:rsidRPr="00AC0113" w:rsidRDefault="00AC0113" w:rsidP="00F37F31">
            <w:pPr>
              <w:spacing w:line="240" w:lineRule="auto"/>
              <w:jc w:val="center"/>
              <w:rPr>
                <w:bCs/>
                <w:color w:val="000000"/>
                <w:sz w:val="22"/>
                <w:szCs w:val="22"/>
              </w:rPr>
            </w:pPr>
            <w:r w:rsidRPr="00B344B0">
              <w:rPr>
                <w:bCs/>
                <w:color w:val="000000"/>
                <w:sz w:val="22"/>
                <w:szCs w:val="22"/>
              </w:rPr>
              <w:t>21.7.0.0</w:t>
            </w:r>
          </w:p>
        </w:tc>
        <w:tc>
          <w:tcPr>
            <w:tcW w:w="4536" w:type="dxa"/>
          </w:tcPr>
          <w:p w:rsidR="00320338" w:rsidRPr="00AC0113" w:rsidRDefault="00AC0113" w:rsidP="00AC0113">
            <w:pPr>
              <w:spacing w:line="240" w:lineRule="auto"/>
              <w:jc w:val="left"/>
              <w:rPr>
                <w:bCs/>
                <w:color w:val="000000"/>
                <w:sz w:val="22"/>
                <w:szCs w:val="22"/>
              </w:rPr>
            </w:pPr>
            <w:r w:rsidRPr="00AC0113">
              <w:rPr>
                <w:bCs/>
                <w:color w:val="000000"/>
                <w:sz w:val="22"/>
                <w:szCs w:val="22"/>
              </w:rPr>
              <w:t>Pārskata periodā</w:t>
            </w:r>
            <w:r w:rsidRPr="00B344B0">
              <w:rPr>
                <w:bCs/>
                <w:color w:val="000000"/>
                <w:sz w:val="22"/>
                <w:szCs w:val="22"/>
              </w:rPr>
              <w:t xml:space="preserve"> ieskaitītās do</w:t>
            </w:r>
            <w:r w:rsidRPr="00AC0113">
              <w:rPr>
                <w:bCs/>
                <w:color w:val="000000"/>
                <w:sz w:val="22"/>
                <w:szCs w:val="22"/>
              </w:rPr>
              <w:t>tācijas apmērs pedagogu darba samaksai un VSAOI</w:t>
            </w:r>
          </w:p>
        </w:tc>
        <w:tc>
          <w:tcPr>
            <w:tcW w:w="1559" w:type="dxa"/>
          </w:tcPr>
          <w:p w:rsidR="00320338" w:rsidRPr="00F37F31" w:rsidRDefault="00320338" w:rsidP="00F37F31">
            <w:pPr>
              <w:spacing w:line="240" w:lineRule="auto"/>
              <w:jc w:val="center"/>
              <w:rPr>
                <w:bCs/>
                <w:color w:val="000000"/>
                <w:sz w:val="22"/>
                <w:szCs w:val="22"/>
              </w:rPr>
            </w:pPr>
          </w:p>
        </w:tc>
        <w:tc>
          <w:tcPr>
            <w:tcW w:w="1813" w:type="dxa"/>
          </w:tcPr>
          <w:p w:rsidR="00320338" w:rsidRPr="00F37F31" w:rsidRDefault="00AC0113" w:rsidP="00F37F31">
            <w:pPr>
              <w:spacing w:line="240" w:lineRule="auto"/>
              <w:jc w:val="center"/>
              <w:rPr>
                <w:bCs/>
                <w:color w:val="000000"/>
                <w:sz w:val="22"/>
                <w:szCs w:val="22"/>
              </w:rPr>
            </w:pPr>
            <w:r w:rsidRPr="00F37F31">
              <w:rPr>
                <w:bCs/>
                <w:color w:val="000000"/>
              </w:rPr>
              <w:t>X</w:t>
            </w:r>
          </w:p>
        </w:tc>
      </w:tr>
      <w:tr w:rsidR="00F37F31" w:rsidTr="00CD7EB3">
        <w:tc>
          <w:tcPr>
            <w:tcW w:w="1673" w:type="dxa"/>
            <w:vAlign w:val="center"/>
          </w:tcPr>
          <w:p w:rsidR="00320338" w:rsidRDefault="00AC0113" w:rsidP="00F37F31">
            <w:pPr>
              <w:spacing w:line="240" w:lineRule="auto"/>
              <w:jc w:val="center"/>
              <w:rPr>
                <w:b/>
                <w:bCs/>
                <w:color w:val="000000"/>
                <w:sz w:val="22"/>
                <w:szCs w:val="22"/>
              </w:rPr>
            </w:pPr>
            <w:r w:rsidRPr="00B344B0">
              <w:rPr>
                <w:color w:val="000000"/>
                <w:sz w:val="22"/>
                <w:szCs w:val="22"/>
              </w:rPr>
              <w:t>1100</w:t>
            </w:r>
          </w:p>
        </w:tc>
        <w:tc>
          <w:tcPr>
            <w:tcW w:w="4536" w:type="dxa"/>
          </w:tcPr>
          <w:p w:rsidR="00320338" w:rsidRDefault="00AC0113" w:rsidP="00AC0113">
            <w:pPr>
              <w:spacing w:line="240" w:lineRule="auto"/>
              <w:jc w:val="left"/>
              <w:rPr>
                <w:b/>
                <w:bCs/>
                <w:color w:val="000000"/>
                <w:sz w:val="22"/>
                <w:szCs w:val="22"/>
              </w:rPr>
            </w:pPr>
            <w:r w:rsidRPr="00B344B0">
              <w:rPr>
                <w:color w:val="000000"/>
                <w:sz w:val="22"/>
                <w:szCs w:val="22"/>
              </w:rPr>
              <w:t>Atalgojums</w:t>
            </w:r>
          </w:p>
        </w:tc>
        <w:tc>
          <w:tcPr>
            <w:tcW w:w="1559" w:type="dxa"/>
          </w:tcPr>
          <w:p w:rsidR="00320338" w:rsidRPr="00F37F31" w:rsidRDefault="00AC0113" w:rsidP="00F37F31">
            <w:pPr>
              <w:spacing w:line="240" w:lineRule="auto"/>
              <w:jc w:val="center"/>
              <w:rPr>
                <w:bCs/>
                <w:color w:val="000000"/>
                <w:sz w:val="22"/>
                <w:szCs w:val="22"/>
              </w:rPr>
            </w:pPr>
            <w:r w:rsidRPr="00F37F31">
              <w:rPr>
                <w:bCs/>
                <w:color w:val="000000"/>
              </w:rPr>
              <w:t>X</w:t>
            </w:r>
          </w:p>
        </w:tc>
        <w:tc>
          <w:tcPr>
            <w:tcW w:w="1813" w:type="dxa"/>
          </w:tcPr>
          <w:p w:rsidR="00320338" w:rsidRPr="00F37F31" w:rsidRDefault="00320338" w:rsidP="00F37F31">
            <w:pPr>
              <w:spacing w:line="240" w:lineRule="auto"/>
              <w:jc w:val="center"/>
              <w:rPr>
                <w:bCs/>
                <w:color w:val="000000"/>
                <w:sz w:val="22"/>
                <w:szCs w:val="22"/>
              </w:rPr>
            </w:pPr>
          </w:p>
        </w:tc>
      </w:tr>
      <w:tr w:rsidR="00F37F31" w:rsidRPr="00D64CDF" w:rsidTr="00CD7EB3">
        <w:tc>
          <w:tcPr>
            <w:tcW w:w="1673" w:type="dxa"/>
            <w:vAlign w:val="center"/>
          </w:tcPr>
          <w:p w:rsidR="00320338" w:rsidRPr="00D64CDF" w:rsidRDefault="00F37F31" w:rsidP="00F37F31">
            <w:pPr>
              <w:spacing w:line="240" w:lineRule="auto"/>
              <w:jc w:val="center"/>
              <w:rPr>
                <w:b/>
                <w:bCs/>
                <w:color w:val="000000"/>
                <w:sz w:val="22"/>
                <w:szCs w:val="22"/>
              </w:rPr>
            </w:pPr>
            <w:r w:rsidRPr="00D64CDF">
              <w:rPr>
                <w:color w:val="000000"/>
                <w:sz w:val="22"/>
                <w:szCs w:val="22"/>
              </w:rPr>
              <w:t>121</w:t>
            </w:r>
            <w:r w:rsidR="00AC0113" w:rsidRPr="00D64CDF">
              <w:rPr>
                <w:color w:val="000000"/>
                <w:sz w:val="22"/>
                <w:szCs w:val="22"/>
              </w:rPr>
              <w:t>0</w:t>
            </w:r>
          </w:p>
        </w:tc>
        <w:tc>
          <w:tcPr>
            <w:tcW w:w="4536" w:type="dxa"/>
          </w:tcPr>
          <w:p w:rsidR="00320338" w:rsidRPr="00D64CDF" w:rsidRDefault="00F37F31" w:rsidP="00AC0113">
            <w:pPr>
              <w:spacing w:line="240" w:lineRule="auto"/>
              <w:jc w:val="left"/>
              <w:rPr>
                <w:b/>
                <w:bCs/>
                <w:color w:val="000000"/>
                <w:sz w:val="22"/>
                <w:szCs w:val="22"/>
              </w:rPr>
            </w:pPr>
            <w:r w:rsidRPr="00D64CDF">
              <w:rPr>
                <w:color w:val="000000"/>
                <w:sz w:val="22"/>
                <w:szCs w:val="22"/>
              </w:rPr>
              <w:t>Darba devēja valsts sociālās apdrošināšanas obligātās iemaksas</w:t>
            </w:r>
          </w:p>
        </w:tc>
        <w:tc>
          <w:tcPr>
            <w:tcW w:w="1559" w:type="dxa"/>
          </w:tcPr>
          <w:p w:rsidR="00320338" w:rsidRPr="00D64CDF" w:rsidRDefault="00AC0113" w:rsidP="00F37F31">
            <w:pPr>
              <w:spacing w:line="240" w:lineRule="auto"/>
              <w:jc w:val="center"/>
              <w:rPr>
                <w:bCs/>
                <w:color w:val="000000"/>
                <w:sz w:val="22"/>
                <w:szCs w:val="22"/>
              </w:rPr>
            </w:pPr>
            <w:r w:rsidRPr="00D64CDF">
              <w:rPr>
                <w:bCs/>
                <w:color w:val="000000"/>
                <w:sz w:val="22"/>
                <w:szCs w:val="22"/>
              </w:rPr>
              <w:t>X</w:t>
            </w:r>
          </w:p>
        </w:tc>
        <w:tc>
          <w:tcPr>
            <w:tcW w:w="1813" w:type="dxa"/>
          </w:tcPr>
          <w:p w:rsidR="00320338" w:rsidRPr="00D64CDF" w:rsidRDefault="00320338" w:rsidP="00F37F31">
            <w:pPr>
              <w:spacing w:line="240" w:lineRule="auto"/>
              <w:jc w:val="center"/>
              <w:rPr>
                <w:bCs/>
                <w:color w:val="000000"/>
                <w:sz w:val="22"/>
                <w:szCs w:val="22"/>
              </w:rPr>
            </w:pPr>
          </w:p>
        </w:tc>
      </w:tr>
      <w:tr w:rsidR="00AC0113" w:rsidRPr="00D64CDF" w:rsidTr="00CD7EB3">
        <w:tc>
          <w:tcPr>
            <w:tcW w:w="1673" w:type="dxa"/>
          </w:tcPr>
          <w:p w:rsidR="00AC0113" w:rsidRPr="00D64CDF" w:rsidRDefault="00AC0113" w:rsidP="00AC0113">
            <w:pPr>
              <w:spacing w:line="240" w:lineRule="auto"/>
              <w:jc w:val="left"/>
              <w:rPr>
                <w:color w:val="000000"/>
                <w:sz w:val="22"/>
                <w:szCs w:val="22"/>
              </w:rPr>
            </w:pPr>
          </w:p>
        </w:tc>
        <w:tc>
          <w:tcPr>
            <w:tcW w:w="4536" w:type="dxa"/>
          </w:tcPr>
          <w:p w:rsidR="00AC0113" w:rsidRPr="00D64CDF" w:rsidRDefault="00AC0113" w:rsidP="00AC0113">
            <w:pPr>
              <w:spacing w:line="240" w:lineRule="auto"/>
              <w:jc w:val="right"/>
              <w:rPr>
                <w:color w:val="000000"/>
                <w:sz w:val="22"/>
                <w:szCs w:val="22"/>
              </w:rPr>
            </w:pPr>
            <w:r w:rsidRPr="00D64CDF">
              <w:rPr>
                <w:color w:val="000000"/>
                <w:sz w:val="22"/>
                <w:szCs w:val="22"/>
              </w:rPr>
              <w:t>Izdevumi kopā</w:t>
            </w:r>
          </w:p>
        </w:tc>
        <w:tc>
          <w:tcPr>
            <w:tcW w:w="1559" w:type="dxa"/>
          </w:tcPr>
          <w:p w:rsidR="00AC0113" w:rsidRPr="00D64CDF" w:rsidRDefault="00AC0113" w:rsidP="00F37F31">
            <w:pPr>
              <w:spacing w:line="240" w:lineRule="auto"/>
              <w:jc w:val="center"/>
              <w:rPr>
                <w:bCs/>
                <w:color w:val="000000"/>
                <w:sz w:val="22"/>
                <w:szCs w:val="22"/>
              </w:rPr>
            </w:pPr>
            <w:r w:rsidRPr="00D64CDF">
              <w:rPr>
                <w:bCs/>
                <w:color w:val="000000"/>
                <w:sz w:val="22"/>
                <w:szCs w:val="22"/>
              </w:rPr>
              <w:t>X</w:t>
            </w:r>
          </w:p>
        </w:tc>
        <w:tc>
          <w:tcPr>
            <w:tcW w:w="1813" w:type="dxa"/>
          </w:tcPr>
          <w:p w:rsidR="00AC0113" w:rsidRPr="00D64CDF" w:rsidRDefault="00AC0113" w:rsidP="00F37F31">
            <w:pPr>
              <w:spacing w:line="240" w:lineRule="auto"/>
              <w:jc w:val="center"/>
              <w:rPr>
                <w:bCs/>
                <w:color w:val="000000"/>
                <w:sz w:val="22"/>
                <w:szCs w:val="22"/>
              </w:rPr>
            </w:pPr>
          </w:p>
        </w:tc>
      </w:tr>
    </w:tbl>
    <w:p w:rsidR="00F37F31" w:rsidRDefault="00F37F31" w:rsidP="00F37F31">
      <w:pPr>
        <w:spacing w:line="240" w:lineRule="auto"/>
        <w:jc w:val="left"/>
      </w:pPr>
    </w:p>
    <w:p w:rsidR="00F37F31" w:rsidRPr="002701F1" w:rsidRDefault="00F37F31" w:rsidP="00F37F31">
      <w:pPr>
        <w:spacing w:line="240" w:lineRule="auto"/>
        <w:jc w:val="left"/>
        <w:rPr>
          <w:sz w:val="22"/>
          <w:szCs w:val="22"/>
        </w:rPr>
      </w:pPr>
      <w:r w:rsidRPr="002701F1">
        <w:rPr>
          <w:sz w:val="22"/>
          <w:szCs w:val="22"/>
        </w:rPr>
        <w:t>Atlikums uz pārskata perioda beigām (EUR)_________________</w:t>
      </w:r>
    </w:p>
    <w:p w:rsidR="002701F1" w:rsidRDefault="002701F1" w:rsidP="00F37F31">
      <w:pPr>
        <w:spacing w:line="240" w:lineRule="auto"/>
        <w:jc w:val="left"/>
        <w:rPr>
          <w:color w:val="000000"/>
          <w:sz w:val="22"/>
          <w:szCs w:val="22"/>
        </w:rPr>
      </w:pPr>
    </w:p>
    <w:p w:rsidR="00F37F31" w:rsidRPr="002701F1" w:rsidRDefault="00F37F31" w:rsidP="00F37F31">
      <w:pPr>
        <w:spacing w:line="240" w:lineRule="auto"/>
        <w:jc w:val="left"/>
        <w:rPr>
          <w:sz w:val="22"/>
          <w:szCs w:val="22"/>
        </w:rPr>
      </w:pPr>
      <w:r w:rsidRPr="002701F1">
        <w:rPr>
          <w:color w:val="000000"/>
          <w:sz w:val="22"/>
          <w:szCs w:val="22"/>
        </w:rPr>
        <w:t>Naudas līdzekļu atlikums Valsts Kases kontā uz pārskata perioda beigām (EUR)_____________</w:t>
      </w:r>
    </w:p>
    <w:p w:rsidR="00F37F31" w:rsidRDefault="00F37F31" w:rsidP="00F37F31">
      <w:pPr>
        <w:spacing w:line="240" w:lineRule="auto"/>
        <w:jc w:val="left"/>
        <w:rPr>
          <w:color w:val="000000"/>
          <w:sz w:val="18"/>
          <w:szCs w:val="18"/>
        </w:rPr>
      </w:pPr>
    </w:p>
    <w:p w:rsidR="002701F1" w:rsidRDefault="002701F1" w:rsidP="00F37F31">
      <w:pPr>
        <w:spacing w:line="240" w:lineRule="auto"/>
        <w:jc w:val="left"/>
        <w:rPr>
          <w:color w:val="000000"/>
          <w:sz w:val="18"/>
          <w:szCs w:val="18"/>
        </w:rPr>
      </w:pPr>
    </w:p>
    <w:p w:rsidR="00A14803" w:rsidRDefault="00F37F31" w:rsidP="00F37F31">
      <w:pPr>
        <w:spacing w:line="240" w:lineRule="auto"/>
        <w:jc w:val="left"/>
        <w:rPr>
          <w:color w:val="000000"/>
          <w:sz w:val="18"/>
          <w:szCs w:val="18"/>
        </w:rPr>
      </w:pPr>
      <w:r w:rsidRPr="00B344B0">
        <w:rPr>
          <w:color w:val="000000"/>
          <w:sz w:val="18"/>
          <w:szCs w:val="18"/>
        </w:rPr>
        <w:t>*</w:t>
      </w:r>
      <w:r w:rsidR="00486226">
        <w:rPr>
          <w:color w:val="000000"/>
          <w:sz w:val="18"/>
          <w:szCs w:val="18"/>
        </w:rPr>
        <w:t xml:space="preserve"> </w:t>
      </w:r>
      <w:r w:rsidRPr="00B344B0">
        <w:rPr>
          <w:b/>
          <w:bCs/>
          <w:i/>
          <w:iCs/>
          <w:color w:val="000000"/>
          <w:sz w:val="18"/>
          <w:szCs w:val="18"/>
        </w:rPr>
        <w:t>Uzkrāšanas princips</w:t>
      </w:r>
      <w:r w:rsidRPr="00B344B0">
        <w:rPr>
          <w:i/>
          <w:iCs/>
          <w:color w:val="000000"/>
          <w:sz w:val="18"/>
          <w:szCs w:val="18"/>
        </w:rPr>
        <w:t xml:space="preserve"> </w:t>
      </w:r>
      <w:r w:rsidRPr="00B344B0">
        <w:rPr>
          <w:color w:val="000000"/>
          <w:sz w:val="18"/>
          <w:szCs w:val="18"/>
        </w:rPr>
        <w:t>- ieņēmumi un izdevumi jānorāda, ņemot vērā to rašanās laiku, nevis naudas saņemšanas vai izdošanas laiku. Neatkarīgi no maksājuma vai rēķina saņemšanas datuma jānorāda ar pārskata periodu saistītie ieņēmumi un izdevumi (jāuzrāda faktiski aprēķinātais atalgojums un darba devēja valsts sociālās apdrošināšanas obligātās iemaksas)</w:t>
      </w:r>
    </w:p>
    <w:p w:rsidR="00F37F31" w:rsidRDefault="00F37F31" w:rsidP="00F37F31">
      <w:pPr>
        <w:spacing w:line="240" w:lineRule="auto"/>
        <w:jc w:val="left"/>
        <w:rPr>
          <w:color w:val="000000"/>
          <w:sz w:val="18"/>
          <w:szCs w:val="18"/>
        </w:rPr>
      </w:pPr>
    </w:p>
    <w:p w:rsidR="002701F1" w:rsidRDefault="002701F1" w:rsidP="00F37F31">
      <w:pPr>
        <w:spacing w:line="240" w:lineRule="auto"/>
        <w:jc w:val="left"/>
        <w:rPr>
          <w:color w:val="000000"/>
          <w:sz w:val="18"/>
          <w:szCs w:val="18"/>
        </w:rPr>
      </w:pPr>
    </w:p>
    <w:p w:rsidR="00F37F31" w:rsidRPr="00D40654" w:rsidRDefault="00F37F31" w:rsidP="00F37F31">
      <w:pPr>
        <w:spacing w:line="240" w:lineRule="auto"/>
      </w:pPr>
      <w:r>
        <w:t>Izglītības iestādes</w:t>
      </w:r>
      <w:r w:rsidRPr="00D40654">
        <w:t xml:space="preserve"> vadītājs</w:t>
      </w:r>
      <w:r w:rsidRPr="00D40654">
        <w:tab/>
        <w:t>________________</w:t>
      </w:r>
      <w:r w:rsidR="002701F1">
        <w:t>_</w:t>
      </w:r>
      <w:r w:rsidRPr="00D40654">
        <w:t>___</w:t>
      </w:r>
      <w:r>
        <w:tab/>
      </w:r>
      <w:r w:rsidRPr="00D40654">
        <w:t>___________</w:t>
      </w:r>
      <w:r w:rsidR="002701F1">
        <w:t>_</w:t>
      </w:r>
      <w:r w:rsidRPr="00D40654">
        <w:t>_____</w:t>
      </w:r>
    </w:p>
    <w:p w:rsidR="00F37F31" w:rsidRPr="00D40654" w:rsidRDefault="00F37F31" w:rsidP="002701F1">
      <w:pPr>
        <w:spacing w:line="240" w:lineRule="auto"/>
        <w:ind w:left="2880" w:firstLine="720"/>
        <w:jc w:val="left"/>
        <w:rPr>
          <w:sz w:val="20"/>
          <w:szCs w:val="20"/>
        </w:rPr>
      </w:pPr>
      <w:r w:rsidRPr="00D40654">
        <w:rPr>
          <w:sz w:val="20"/>
          <w:szCs w:val="20"/>
        </w:rPr>
        <w:t xml:space="preserve">(vārds, uzvārds) </w:t>
      </w:r>
      <w:r>
        <w:rPr>
          <w:sz w:val="20"/>
          <w:szCs w:val="20"/>
        </w:rPr>
        <w:tab/>
      </w:r>
      <w:r>
        <w:rPr>
          <w:sz w:val="20"/>
          <w:szCs w:val="20"/>
        </w:rPr>
        <w:tab/>
      </w:r>
      <w:r>
        <w:rPr>
          <w:sz w:val="20"/>
          <w:szCs w:val="20"/>
        </w:rPr>
        <w:tab/>
        <w:t>(paraksts</w:t>
      </w:r>
      <w:r w:rsidRPr="00D40654">
        <w:rPr>
          <w:sz w:val="20"/>
          <w:szCs w:val="20"/>
        </w:rPr>
        <w:t>)</w:t>
      </w:r>
    </w:p>
    <w:p w:rsidR="00F37F31" w:rsidRPr="00D40654" w:rsidRDefault="00F37F31" w:rsidP="00F37F31">
      <w:pPr>
        <w:spacing w:line="240" w:lineRule="auto"/>
      </w:pPr>
      <w:r w:rsidRPr="00D40654">
        <w:t>___________</w:t>
      </w:r>
    </w:p>
    <w:p w:rsidR="00F37F31" w:rsidRPr="00D40654" w:rsidRDefault="002701F1" w:rsidP="00F37F31">
      <w:pPr>
        <w:spacing w:line="240" w:lineRule="auto"/>
        <w:rPr>
          <w:sz w:val="20"/>
          <w:szCs w:val="20"/>
        </w:rPr>
      </w:pPr>
      <w:r>
        <w:rPr>
          <w:sz w:val="20"/>
          <w:szCs w:val="20"/>
        </w:rPr>
        <w:t xml:space="preserve">    </w:t>
      </w:r>
      <w:r w:rsidR="00F37F31">
        <w:rPr>
          <w:sz w:val="20"/>
          <w:szCs w:val="20"/>
        </w:rPr>
        <w:t>(datums</w:t>
      </w:r>
      <w:r w:rsidR="00F37F31" w:rsidRPr="00D40654">
        <w:rPr>
          <w:sz w:val="20"/>
          <w:szCs w:val="20"/>
        </w:rPr>
        <w:t>)</w:t>
      </w:r>
    </w:p>
    <w:p w:rsidR="00F37F31" w:rsidRPr="00D40654" w:rsidRDefault="00F37F31" w:rsidP="00F37F31">
      <w:pPr>
        <w:spacing w:line="240" w:lineRule="auto"/>
        <w:rPr>
          <w:sz w:val="20"/>
          <w:szCs w:val="20"/>
        </w:rPr>
      </w:pPr>
    </w:p>
    <w:p w:rsidR="002701F1" w:rsidRDefault="00F37F31" w:rsidP="00F37F31">
      <w:pPr>
        <w:spacing w:line="240" w:lineRule="auto"/>
        <w:rPr>
          <w:sz w:val="20"/>
          <w:szCs w:val="20"/>
        </w:rPr>
      </w:pPr>
      <w:r w:rsidRPr="002701F1">
        <w:rPr>
          <w:sz w:val="20"/>
          <w:szCs w:val="20"/>
        </w:rPr>
        <w:t>Sagatavotājs</w:t>
      </w:r>
      <w:r w:rsidR="002701F1">
        <w:rPr>
          <w:sz w:val="20"/>
          <w:szCs w:val="20"/>
        </w:rPr>
        <w:t>___________________________</w:t>
      </w:r>
    </w:p>
    <w:p w:rsidR="00F37F31" w:rsidRPr="002701F1" w:rsidRDefault="002701F1" w:rsidP="002701F1">
      <w:pPr>
        <w:spacing w:line="240" w:lineRule="auto"/>
        <w:ind w:left="720" w:firstLine="720"/>
        <w:rPr>
          <w:sz w:val="20"/>
          <w:szCs w:val="20"/>
        </w:rPr>
      </w:pPr>
      <w:r>
        <w:rPr>
          <w:sz w:val="20"/>
          <w:szCs w:val="20"/>
        </w:rPr>
        <w:t>(vārds, uzvārds, tālr.)</w:t>
      </w:r>
      <w:r w:rsidR="00F37F31" w:rsidRPr="002701F1">
        <w:rPr>
          <w:sz w:val="20"/>
          <w:szCs w:val="20"/>
        </w:rPr>
        <w:t xml:space="preserve"> </w:t>
      </w:r>
    </w:p>
    <w:p w:rsidR="00F37F31" w:rsidRDefault="00F37F31" w:rsidP="00F37F31">
      <w:pPr>
        <w:ind w:left="851"/>
        <w:rPr>
          <w:sz w:val="28"/>
          <w:szCs w:val="28"/>
        </w:rPr>
      </w:pPr>
    </w:p>
    <w:p w:rsidR="002701F1" w:rsidRDefault="002701F1" w:rsidP="00F37F31">
      <w:pPr>
        <w:ind w:left="851"/>
        <w:rPr>
          <w:sz w:val="28"/>
          <w:szCs w:val="28"/>
        </w:rPr>
      </w:pPr>
    </w:p>
    <w:p w:rsidR="00F37F31" w:rsidRPr="002701F1" w:rsidRDefault="00F37F31" w:rsidP="00F37F31">
      <w:pPr>
        <w:ind w:left="851"/>
      </w:pPr>
      <w:r w:rsidRPr="002701F1">
        <w:t>Izglītības un zinātnes ministre</w:t>
      </w:r>
      <w:r w:rsidRPr="002701F1">
        <w:tab/>
      </w:r>
      <w:r w:rsidRPr="002701F1">
        <w:tab/>
      </w:r>
      <w:r w:rsidRPr="002701F1">
        <w:tab/>
      </w:r>
      <w:r w:rsidRPr="002701F1">
        <w:tab/>
      </w:r>
      <w:r w:rsidRPr="002701F1">
        <w:tab/>
      </w:r>
      <w:r w:rsidRPr="002701F1">
        <w:tab/>
      </w:r>
      <w:proofErr w:type="spellStart"/>
      <w:r w:rsidRPr="002701F1">
        <w:t>I.Druviete</w:t>
      </w:r>
      <w:proofErr w:type="spellEnd"/>
    </w:p>
    <w:p w:rsidR="00F37F31" w:rsidRPr="00617E50" w:rsidRDefault="00F37F31" w:rsidP="00617E50">
      <w:pPr>
        <w:spacing w:line="240" w:lineRule="auto"/>
      </w:pPr>
    </w:p>
    <w:p w:rsidR="002701F1" w:rsidRPr="00617E50" w:rsidRDefault="002701F1" w:rsidP="00617E50">
      <w:pPr>
        <w:spacing w:line="240" w:lineRule="auto"/>
      </w:pPr>
    </w:p>
    <w:p w:rsidR="00F37F31" w:rsidRPr="00617E50" w:rsidRDefault="00486226" w:rsidP="00F37F31">
      <w:pPr>
        <w:spacing w:line="240" w:lineRule="auto"/>
        <w:rPr>
          <w:sz w:val="20"/>
          <w:szCs w:val="20"/>
        </w:rPr>
      </w:pPr>
      <w:r>
        <w:rPr>
          <w:sz w:val="20"/>
          <w:szCs w:val="20"/>
        </w:rPr>
        <w:t>06</w:t>
      </w:r>
      <w:r w:rsidR="00F37F31" w:rsidRPr="00617E50">
        <w:rPr>
          <w:sz w:val="20"/>
          <w:szCs w:val="20"/>
        </w:rPr>
        <w:t>.</w:t>
      </w:r>
      <w:r>
        <w:rPr>
          <w:sz w:val="20"/>
          <w:szCs w:val="20"/>
        </w:rPr>
        <w:t>06.</w:t>
      </w:r>
      <w:r w:rsidR="00F37F31" w:rsidRPr="00617E50">
        <w:rPr>
          <w:sz w:val="20"/>
          <w:szCs w:val="20"/>
        </w:rPr>
        <w:t>2014</w:t>
      </w:r>
      <w:r>
        <w:rPr>
          <w:sz w:val="20"/>
          <w:szCs w:val="20"/>
        </w:rPr>
        <w:t>.</w:t>
      </w:r>
      <w:r w:rsidR="00F37F31" w:rsidRPr="00617E50">
        <w:rPr>
          <w:sz w:val="20"/>
          <w:szCs w:val="20"/>
        </w:rPr>
        <w:t xml:space="preserve"> </w:t>
      </w:r>
    </w:p>
    <w:p w:rsidR="00F37F31" w:rsidRPr="00617E50" w:rsidRDefault="00486226" w:rsidP="00F37F31">
      <w:pPr>
        <w:spacing w:line="240" w:lineRule="auto"/>
        <w:rPr>
          <w:sz w:val="20"/>
          <w:szCs w:val="20"/>
        </w:rPr>
      </w:pPr>
      <w:r>
        <w:rPr>
          <w:sz w:val="20"/>
          <w:szCs w:val="20"/>
        </w:rPr>
        <w:t>166</w:t>
      </w:r>
    </w:p>
    <w:p w:rsidR="00F37F31" w:rsidRPr="002701F1" w:rsidRDefault="00F37F31" w:rsidP="002701F1">
      <w:pPr>
        <w:spacing w:line="240" w:lineRule="auto"/>
        <w:rPr>
          <w:sz w:val="20"/>
          <w:szCs w:val="20"/>
        </w:rPr>
      </w:pPr>
      <w:proofErr w:type="spellStart"/>
      <w:r w:rsidRPr="00617E50">
        <w:rPr>
          <w:sz w:val="20"/>
          <w:szCs w:val="20"/>
        </w:rPr>
        <w:t>L.Buceniece</w:t>
      </w:r>
      <w:proofErr w:type="spellEnd"/>
      <w:r w:rsidR="002701F1" w:rsidRPr="00617E50">
        <w:rPr>
          <w:sz w:val="20"/>
          <w:szCs w:val="20"/>
        </w:rPr>
        <w:t xml:space="preserve"> </w:t>
      </w:r>
      <w:r w:rsidRPr="00617E50">
        <w:rPr>
          <w:sz w:val="20"/>
          <w:szCs w:val="20"/>
        </w:rPr>
        <w:t>67147830, liga.buceniece@izm.gov.lv</w:t>
      </w:r>
      <w:bookmarkStart w:id="0" w:name="_GoBack"/>
      <w:bookmarkEnd w:id="0"/>
    </w:p>
    <w:sectPr w:rsidR="00F37F31" w:rsidRPr="002701F1" w:rsidSect="0024485C">
      <w:headerReference w:type="default" r:id="rId8"/>
      <w:footerReference w:type="default" r:id="rId9"/>
      <w:footerReference w:type="first" r:id="rId10"/>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6B" w:rsidRDefault="00950C6B" w:rsidP="00C6187B">
      <w:pPr>
        <w:spacing w:line="240" w:lineRule="auto"/>
      </w:pPr>
      <w:r>
        <w:separator/>
      </w:r>
    </w:p>
  </w:endnote>
  <w:endnote w:type="continuationSeparator" w:id="0">
    <w:p w:rsidR="00950C6B" w:rsidRDefault="00950C6B" w:rsidP="00C61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7B" w:rsidRPr="00C6187B" w:rsidRDefault="00C6187B" w:rsidP="00C6187B">
    <w:pPr>
      <w:widowControl/>
      <w:adjustRightInd/>
      <w:spacing w:line="240" w:lineRule="auto"/>
      <w:textAlignment w:val="auto"/>
      <w:rPr>
        <w:lang w:eastAsia="en-US"/>
      </w:rPr>
    </w:pPr>
    <w:r w:rsidRPr="00C6187B">
      <w:t>IZMNot</w:t>
    </w:r>
    <w:r w:rsidR="0024485C">
      <w:t>p</w:t>
    </w:r>
    <w:r w:rsidRPr="00C6187B">
      <w:t>_</w:t>
    </w:r>
    <w:r w:rsidR="00F66346">
      <w:t>19</w:t>
    </w:r>
    <w:r w:rsidRPr="00C6187B">
      <w:t>0314_</w:t>
    </w:r>
    <w:r w:rsidR="00E40175">
      <w:t>finan</w:t>
    </w:r>
    <w:r w:rsidRPr="00C6187B">
      <w:t>;</w:t>
    </w:r>
    <w:r>
      <w:t> </w:t>
    </w:r>
    <w:r w:rsidRPr="00C6187B">
      <w:t xml:space="preserve">Ministru kabineta noteikumu </w:t>
    </w:r>
    <w:proofErr w:type="spellStart"/>
    <w:r w:rsidRPr="00C6187B">
      <w:t>projekt</w:t>
    </w:r>
    <w:r w:rsidR="0024485C">
      <w:t>a</w:t>
    </w:r>
    <w:r w:rsidRPr="00C6187B">
      <w:rPr>
        <w:lang w:eastAsia="en-US"/>
      </w:rPr>
      <w:t>„</w:t>
    </w:r>
    <w:r w:rsidRPr="00C6187B">
      <w:rPr>
        <w:bCs/>
        <w:lang w:eastAsia="en-US"/>
      </w:rPr>
      <w:t>Kārtība</w:t>
    </w:r>
    <w:proofErr w:type="spellEnd"/>
    <w:r w:rsidRPr="00C6187B">
      <w:rPr>
        <w:bCs/>
        <w:lang w:eastAsia="en-US"/>
      </w:rPr>
      <w:t>, kādā valsts finansē pirmsskolas izglītības programmas bērniem no piecu gadu vecuma līdz pamatizglītības ieguves uzsākšanai un pamatizglītības un vidējās izglītības programmas, kuras īsteno privātās izglītības iestādes”</w:t>
    </w:r>
    <w:r w:rsidR="0024485C">
      <w:rPr>
        <w:bCs/>
        <w:lang w:eastAsia="en-US"/>
      </w:rPr>
      <w:t xml:space="preserve"> pielikums</w:t>
    </w:r>
  </w:p>
  <w:p w:rsidR="00C6187B" w:rsidRDefault="00C6187B">
    <w:pPr>
      <w:pStyle w:val="Footer"/>
    </w:pPr>
  </w:p>
  <w:p w:rsidR="00C6187B" w:rsidRDefault="00C61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7B" w:rsidRPr="00A14803" w:rsidRDefault="00C6187B" w:rsidP="00C6187B">
    <w:pPr>
      <w:widowControl/>
      <w:adjustRightInd/>
      <w:spacing w:line="240" w:lineRule="auto"/>
      <w:textAlignment w:val="auto"/>
      <w:rPr>
        <w:sz w:val="18"/>
        <w:szCs w:val="18"/>
        <w:lang w:eastAsia="en-US"/>
      </w:rPr>
    </w:pPr>
    <w:r w:rsidRPr="00A14803">
      <w:rPr>
        <w:sz w:val="18"/>
        <w:szCs w:val="18"/>
      </w:rPr>
      <w:t>IZMNot</w:t>
    </w:r>
    <w:r w:rsidR="0024485C" w:rsidRPr="00A14803">
      <w:rPr>
        <w:sz w:val="18"/>
        <w:szCs w:val="18"/>
      </w:rPr>
      <w:t>p</w:t>
    </w:r>
    <w:r w:rsidR="00D64CDF">
      <w:rPr>
        <w:sz w:val="18"/>
        <w:szCs w:val="18"/>
      </w:rPr>
      <w:t>_</w:t>
    </w:r>
    <w:r w:rsidR="00E255CA">
      <w:rPr>
        <w:sz w:val="18"/>
        <w:szCs w:val="18"/>
      </w:rPr>
      <w:t>06</w:t>
    </w:r>
    <w:r w:rsidRPr="00A14803">
      <w:rPr>
        <w:sz w:val="18"/>
        <w:szCs w:val="18"/>
      </w:rPr>
      <w:t>0</w:t>
    </w:r>
    <w:r w:rsidR="00E255CA">
      <w:rPr>
        <w:sz w:val="18"/>
        <w:szCs w:val="18"/>
      </w:rPr>
      <w:t>6</w:t>
    </w:r>
    <w:r w:rsidRPr="00A14803">
      <w:rPr>
        <w:sz w:val="18"/>
        <w:szCs w:val="18"/>
      </w:rPr>
      <w:t>14_</w:t>
    </w:r>
    <w:r w:rsidR="00E40175" w:rsidRPr="00A14803">
      <w:rPr>
        <w:sz w:val="18"/>
        <w:szCs w:val="18"/>
      </w:rPr>
      <w:t>finan</w:t>
    </w:r>
    <w:r w:rsidRPr="00A14803">
      <w:rPr>
        <w:sz w:val="18"/>
        <w:szCs w:val="18"/>
      </w:rPr>
      <w:t>; </w:t>
    </w:r>
    <w:bookmarkStart w:id="1" w:name="OLE_LINK15"/>
    <w:bookmarkStart w:id="2" w:name="OLE_LINK16"/>
    <w:r w:rsidRPr="00A14803">
      <w:rPr>
        <w:sz w:val="18"/>
        <w:szCs w:val="18"/>
      </w:rPr>
      <w:t>Ministru kabineta noteikumu projekt</w:t>
    </w:r>
    <w:r w:rsidR="0024485C" w:rsidRPr="00A14803">
      <w:rPr>
        <w:sz w:val="18"/>
        <w:szCs w:val="18"/>
      </w:rPr>
      <w:t xml:space="preserve">a </w:t>
    </w:r>
    <w:r w:rsidRPr="00A14803">
      <w:rPr>
        <w:sz w:val="18"/>
        <w:szCs w:val="18"/>
        <w:lang w:eastAsia="en-US"/>
      </w:rPr>
      <w:t>„</w:t>
    </w:r>
    <w:r w:rsidRPr="00A14803">
      <w:rPr>
        <w:bCs/>
        <w:sz w:val="18"/>
        <w:szCs w:val="18"/>
        <w:lang w:eastAsia="en-US"/>
      </w:rPr>
      <w:t>Kārtība, kādā valsts finansē pirmsskolas izglītības programmas bērniem no piecu gadu vecuma līdz pamatizglītības ieguves uzsākšanai un pamatizglītības un vidējās izglītības programmas, kuras īsteno privātās izglītības iestādes”</w:t>
    </w:r>
    <w:r w:rsidR="0024485C" w:rsidRPr="00A14803">
      <w:rPr>
        <w:bCs/>
        <w:sz w:val="18"/>
        <w:szCs w:val="18"/>
        <w:lang w:eastAsia="en-US"/>
      </w:rPr>
      <w:t xml:space="preserve"> pielikums</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6B" w:rsidRDefault="00950C6B" w:rsidP="00C6187B">
      <w:pPr>
        <w:spacing w:line="240" w:lineRule="auto"/>
      </w:pPr>
      <w:r>
        <w:separator/>
      </w:r>
    </w:p>
  </w:footnote>
  <w:footnote w:type="continuationSeparator" w:id="0">
    <w:p w:rsidR="00950C6B" w:rsidRDefault="00950C6B" w:rsidP="00C618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485"/>
      <w:docPartObj>
        <w:docPartGallery w:val="Page Numbers (Top of Page)"/>
        <w:docPartUnique/>
      </w:docPartObj>
    </w:sdtPr>
    <w:sdtEndPr/>
    <w:sdtContent>
      <w:p w:rsidR="00C6187B" w:rsidRDefault="006D3042">
        <w:pPr>
          <w:pStyle w:val="Header"/>
          <w:jc w:val="center"/>
        </w:pPr>
        <w:r>
          <w:fldChar w:fldCharType="begin"/>
        </w:r>
        <w:r w:rsidR="006C55CB">
          <w:instrText xml:space="preserve"> PAGE   \* MERGEFORMAT </w:instrText>
        </w:r>
        <w:r>
          <w:fldChar w:fldCharType="separate"/>
        </w:r>
        <w:r w:rsidR="002701F1">
          <w:rPr>
            <w:noProof/>
          </w:rPr>
          <w:t>2</w:t>
        </w:r>
        <w:r>
          <w:fldChar w:fldCharType="end"/>
        </w:r>
      </w:p>
    </w:sdtContent>
  </w:sdt>
  <w:p w:rsidR="00C6187B" w:rsidRDefault="00C6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03C6C"/>
    <w:multiLevelType w:val="hybridMultilevel"/>
    <w:tmpl w:val="5D82B386"/>
    <w:lvl w:ilvl="0" w:tplc="BFE65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348C9"/>
    <w:multiLevelType w:val="hybridMultilevel"/>
    <w:tmpl w:val="DAA44294"/>
    <w:lvl w:ilvl="0" w:tplc="7054D9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82"/>
    <w:rsid w:val="00007211"/>
    <w:rsid w:val="00020E82"/>
    <w:rsid w:val="0003598F"/>
    <w:rsid w:val="0004674A"/>
    <w:rsid w:val="00082A17"/>
    <w:rsid w:val="000977A3"/>
    <w:rsid w:val="00127452"/>
    <w:rsid w:val="001777E3"/>
    <w:rsid w:val="00184C09"/>
    <w:rsid w:val="00203F13"/>
    <w:rsid w:val="00223A76"/>
    <w:rsid w:val="00235613"/>
    <w:rsid w:val="0024485C"/>
    <w:rsid w:val="002701F1"/>
    <w:rsid w:val="00292932"/>
    <w:rsid w:val="002B5729"/>
    <w:rsid w:val="002D4E45"/>
    <w:rsid w:val="00320338"/>
    <w:rsid w:val="00346D6D"/>
    <w:rsid w:val="00353FD5"/>
    <w:rsid w:val="003704A4"/>
    <w:rsid w:val="00371134"/>
    <w:rsid w:val="003A5C21"/>
    <w:rsid w:val="00424F48"/>
    <w:rsid w:val="00486226"/>
    <w:rsid w:val="004D7988"/>
    <w:rsid w:val="004F460A"/>
    <w:rsid w:val="00542532"/>
    <w:rsid w:val="005D12F4"/>
    <w:rsid w:val="005F2394"/>
    <w:rsid w:val="00617E50"/>
    <w:rsid w:val="00636523"/>
    <w:rsid w:val="006C55CB"/>
    <w:rsid w:val="006D3042"/>
    <w:rsid w:val="006E6C32"/>
    <w:rsid w:val="00702FBB"/>
    <w:rsid w:val="007229AE"/>
    <w:rsid w:val="00735DDE"/>
    <w:rsid w:val="007954ED"/>
    <w:rsid w:val="007F7872"/>
    <w:rsid w:val="00810ECC"/>
    <w:rsid w:val="00822B08"/>
    <w:rsid w:val="008500FF"/>
    <w:rsid w:val="00866E46"/>
    <w:rsid w:val="008931F9"/>
    <w:rsid w:val="008D677B"/>
    <w:rsid w:val="008E0812"/>
    <w:rsid w:val="00925948"/>
    <w:rsid w:val="00950C6B"/>
    <w:rsid w:val="0096580B"/>
    <w:rsid w:val="009A4728"/>
    <w:rsid w:val="009C36FF"/>
    <w:rsid w:val="009C6F60"/>
    <w:rsid w:val="009D6B8E"/>
    <w:rsid w:val="009E202B"/>
    <w:rsid w:val="009F1C6E"/>
    <w:rsid w:val="00A14803"/>
    <w:rsid w:val="00A1768E"/>
    <w:rsid w:val="00AA3C4A"/>
    <w:rsid w:val="00AC0113"/>
    <w:rsid w:val="00AC5E00"/>
    <w:rsid w:val="00B344B0"/>
    <w:rsid w:val="00BE7B3B"/>
    <w:rsid w:val="00C32C7E"/>
    <w:rsid w:val="00C37C82"/>
    <w:rsid w:val="00C6187B"/>
    <w:rsid w:val="00CD7EB3"/>
    <w:rsid w:val="00D64CDF"/>
    <w:rsid w:val="00D773C2"/>
    <w:rsid w:val="00E255CA"/>
    <w:rsid w:val="00E368BD"/>
    <w:rsid w:val="00E40175"/>
    <w:rsid w:val="00E70985"/>
    <w:rsid w:val="00EE1941"/>
    <w:rsid w:val="00F229C4"/>
    <w:rsid w:val="00F37F31"/>
    <w:rsid w:val="00F66346"/>
    <w:rsid w:val="00F72D30"/>
    <w:rsid w:val="00FB3E94"/>
    <w:rsid w:val="00FE73FA"/>
    <w:rsid w:val="00FF5E79"/>
    <w:rsid w:val="00FF7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F08E4-A049-46F7-8922-EB96F27C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82"/>
    <w:pPr>
      <w:widowControl w:val="0"/>
      <w:adjustRightInd w:val="0"/>
      <w:spacing w:after="0" w:line="360" w:lineRule="atLeast"/>
      <w:jc w:val="both"/>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37C82"/>
    <w:pPr>
      <w:spacing w:before="75" w:after="75"/>
      <w:jc w:val="right"/>
    </w:pPr>
  </w:style>
  <w:style w:type="paragraph" w:styleId="BodyText2">
    <w:name w:val="Body Text 2"/>
    <w:basedOn w:val="Normal"/>
    <w:link w:val="BodyText2Char"/>
    <w:rsid w:val="00C37C82"/>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C37C82"/>
    <w:rPr>
      <w:rFonts w:ascii="Times New Roman" w:eastAsia="Times New Roman" w:hAnsi="Times New Roman" w:cs="Times New Roman"/>
      <w:b/>
      <w:bCs/>
      <w:sz w:val="28"/>
      <w:szCs w:val="28"/>
      <w:lang w:val="lv-LV" w:eastAsia="lv-LV"/>
    </w:rPr>
  </w:style>
  <w:style w:type="paragraph" w:styleId="ListParagraph">
    <w:name w:val="List Paragraph"/>
    <w:basedOn w:val="Normal"/>
    <w:uiPriority w:val="34"/>
    <w:qFormat/>
    <w:rsid w:val="00C37C82"/>
    <w:pPr>
      <w:ind w:left="720"/>
      <w:contextualSpacing/>
    </w:pPr>
  </w:style>
  <w:style w:type="paragraph" w:customStyle="1" w:styleId="tv20787921">
    <w:name w:val="tv207_87_921"/>
    <w:basedOn w:val="Normal"/>
    <w:rsid w:val="00C37C82"/>
    <w:pPr>
      <w:widowControl/>
      <w:adjustRightInd/>
      <w:spacing w:after="567" w:line="360" w:lineRule="auto"/>
      <w:jc w:val="center"/>
      <w:textAlignment w:val="auto"/>
    </w:pPr>
    <w:rPr>
      <w:rFonts w:ascii="Verdana" w:hAnsi="Verdana"/>
      <w:b/>
      <w:bCs/>
      <w:sz w:val="28"/>
      <w:szCs w:val="28"/>
    </w:rPr>
  </w:style>
  <w:style w:type="paragraph" w:customStyle="1" w:styleId="tv213">
    <w:name w:val="tv213"/>
    <w:basedOn w:val="Normal"/>
    <w:rsid w:val="00C37C82"/>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37C82"/>
  </w:style>
  <w:style w:type="character" w:styleId="Hyperlink">
    <w:name w:val="Hyperlink"/>
    <w:basedOn w:val="DefaultParagraphFont"/>
    <w:uiPriority w:val="99"/>
    <w:unhideWhenUsed/>
    <w:rsid w:val="000977A3"/>
    <w:rPr>
      <w:color w:val="0000FF"/>
      <w:u w:val="single"/>
    </w:rPr>
  </w:style>
  <w:style w:type="paragraph" w:customStyle="1" w:styleId="tv2131">
    <w:name w:val="tv2131"/>
    <w:basedOn w:val="Normal"/>
    <w:rsid w:val="000977A3"/>
    <w:pPr>
      <w:widowControl/>
      <w:adjustRightInd/>
      <w:spacing w:line="360" w:lineRule="auto"/>
      <w:ind w:firstLine="272"/>
      <w:jc w:val="left"/>
      <w:textAlignment w:val="auto"/>
    </w:pPr>
    <w:rPr>
      <w:color w:val="414142"/>
      <w:sz w:val="18"/>
      <w:szCs w:val="18"/>
      <w:lang w:val="en-US" w:eastAsia="en-US"/>
    </w:rPr>
  </w:style>
  <w:style w:type="character" w:styleId="CommentReference">
    <w:name w:val="annotation reference"/>
    <w:basedOn w:val="DefaultParagraphFont"/>
    <w:uiPriority w:val="99"/>
    <w:semiHidden/>
    <w:unhideWhenUsed/>
    <w:rsid w:val="00F72D30"/>
    <w:rPr>
      <w:sz w:val="16"/>
      <w:szCs w:val="16"/>
    </w:rPr>
  </w:style>
  <w:style w:type="paragraph" w:styleId="CommentText">
    <w:name w:val="annotation text"/>
    <w:basedOn w:val="Normal"/>
    <w:link w:val="CommentTextChar"/>
    <w:uiPriority w:val="99"/>
    <w:semiHidden/>
    <w:unhideWhenUsed/>
    <w:rsid w:val="00F72D30"/>
    <w:pPr>
      <w:spacing w:line="240" w:lineRule="auto"/>
    </w:pPr>
    <w:rPr>
      <w:sz w:val="20"/>
      <w:szCs w:val="20"/>
    </w:rPr>
  </w:style>
  <w:style w:type="character" w:customStyle="1" w:styleId="CommentTextChar">
    <w:name w:val="Comment Text Char"/>
    <w:basedOn w:val="DefaultParagraphFont"/>
    <w:link w:val="CommentText"/>
    <w:uiPriority w:val="99"/>
    <w:semiHidden/>
    <w:rsid w:val="00F72D3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72D30"/>
    <w:rPr>
      <w:b/>
      <w:bCs/>
    </w:rPr>
  </w:style>
  <w:style w:type="character" w:customStyle="1" w:styleId="CommentSubjectChar">
    <w:name w:val="Comment Subject Char"/>
    <w:basedOn w:val="CommentTextChar"/>
    <w:link w:val="CommentSubject"/>
    <w:uiPriority w:val="99"/>
    <w:semiHidden/>
    <w:rsid w:val="00F72D30"/>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F72D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0"/>
    <w:rPr>
      <w:rFonts w:ascii="Tahoma" w:eastAsia="Times New Roman" w:hAnsi="Tahoma" w:cs="Tahoma"/>
      <w:sz w:val="16"/>
      <w:szCs w:val="16"/>
      <w:lang w:val="lv-LV" w:eastAsia="lv-LV"/>
    </w:rPr>
  </w:style>
  <w:style w:type="paragraph" w:styleId="Header">
    <w:name w:val="header"/>
    <w:basedOn w:val="Normal"/>
    <w:link w:val="HeaderChar"/>
    <w:uiPriority w:val="99"/>
    <w:unhideWhenUsed/>
    <w:rsid w:val="00C6187B"/>
    <w:pPr>
      <w:tabs>
        <w:tab w:val="center" w:pos="4153"/>
        <w:tab w:val="right" w:pos="8306"/>
      </w:tabs>
      <w:spacing w:line="240" w:lineRule="auto"/>
    </w:pPr>
  </w:style>
  <w:style w:type="character" w:customStyle="1" w:styleId="HeaderChar">
    <w:name w:val="Header Char"/>
    <w:basedOn w:val="DefaultParagraphFont"/>
    <w:link w:val="Header"/>
    <w:uiPriority w:val="99"/>
    <w:rsid w:val="00C6187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6187B"/>
    <w:pPr>
      <w:tabs>
        <w:tab w:val="center" w:pos="4153"/>
        <w:tab w:val="right" w:pos="8306"/>
      </w:tabs>
      <w:spacing w:line="240" w:lineRule="auto"/>
    </w:pPr>
  </w:style>
  <w:style w:type="character" w:customStyle="1" w:styleId="FooterChar">
    <w:name w:val="Footer Char"/>
    <w:basedOn w:val="DefaultParagraphFont"/>
    <w:link w:val="Footer"/>
    <w:uiPriority w:val="99"/>
    <w:rsid w:val="00C6187B"/>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E1941"/>
    <w:pPr>
      <w:widowControl/>
      <w:adjustRightInd/>
      <w:spacing w:before="100" w:beforeAutospacing="1" w:after="100" w:afterAutospacing="1" w:line="240" w:lineRule="auto"/>
      <w:jc w:val="left"/>
      <w:textAlignment w:val="auto"/>
    </w:pPr>
  </w:style>
  <w:style w:type="table" w:styleId="TableGrid">
    <w:name w:val="Table Grid"/>
    <w:basedOn w:val="TableNormal"/>
    <w:uiPriority w:val="59"/>
    <w:rsid w:val="00A1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25776">
      <w:bodyDiv w:val="1"/>
      <w:marLeft w:val="0"/>
      <w:marRight w:val="0"/>
      <w:marTop w:val="0"/>
      <w:marBottom w:val="0"/>
      <w:divBdr>
        <w:top w:val="none" w:sz="0" w:space="0" w:color="auto"/>
        <w:left w:val="none" w:sz="0" w:space="0" w:color="auto"/>
        <w:bottom w:val="none" w:sz="0" w:space="0" w:color="auto"/>
        <w:right w:val="none" w:sz="0" w:space="0" w:color="auto"/>
      </w:divBdr>
      <w:divsChild>
        <w:div w:id="33622081">
          <w:marLeft w:val="0"/>
          <w:marRight w:val="0"/>
          <w:marTop w:val="0"/>
          <w:marBottom w:val="0"/>
          <w:divBdr>
            <w:top w:val="none" w:sz="0" w:space="0" w:color="auto"/>
            <w:left w:val="none" w:sz="0" w:space="0" w:color="auto"/>
            <w:bottom w:val="none" w:sz="0" w:space="0" w:color="auto"/>
            <w:right w:val="none" w:sz="0" w:space="0" w:color="auto"/>
          </w:divBdr>
        </w:div>
        <w:div w:id="580219936">
          <w:marLeft w:val="0"/>
          <w:marRight w:val="0"/>
          <w:marTop w:val="0"/>
          <w:marBottom w:val="0"/>
          <w:divBdr>
            <w:top w:val="none" w:sz="0" w:space="0" w:color="auto"/>
            <w:left w:val="none" w:sz="0" w:space="0" w:color="auto"/>
            <w:bottom w:val="none" w:sz="0" w:space="0" w:color="auto"/>
            <w:right w:val="none" w:sz="0" w:space="0" w:color="auto"/>
          </w:divBdr>
        </w:div>
      </w:divsChild>
    </w:div>
    <w:div w:id="1687365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9162">
          <w:marLeft w:val="0"/>
          <w:marRight w:val="0"/>
          <w:marTop w:val="0"/>
          <w:marBottom w:val="0"/>
          <w:divBdr>
            <w:top w:val="none" w:sz="0" w:space="0" w:color="auto"/>
            <w:left w:val="none" w:sz="0" w:space="0" w:color="auto"/>
            <w:bottom w:val="none" w:sz="0" w:space="0" w:color="auto"/>
            <w:right w:val="none" w:sz="0" w:space="0" w:color="auto"/>
          </w:divBdr>
          <w:divsChild>
            <w:div w:id="1221399021">
              <w:marLeft w:val="0"/>
              <w:marRight w:val="0"/>
              <w:marTop w:val="0"/>
              <w:marBottom w:val="0"/>
              <w:divBdr>
                <w:top w:val="none" w:sz="0" w:space="0" w:color="auto"/>
                <w:left w:val="none" w:sz="0" w:space="0" w:color="auto"/>
                <w:bottom w:val="none" w:sz="0" w:space="0" w:color="auto"/>
                <w:right w:val="none" w:sz="0" w:space="0" w:color="auto"/>
              </w:divBdr>
              <w:divsChild>
                <w:div w:id="2114277360">
                  <w:marLeft w:val="0"/>
                  <w:marRight w:val="0"/>
                  <w:marTop w:val="0"/>
                  <w:marBottom w:val="0"/>
                  <w:divBdr>
                    <w:top w:val="none" w:sz="0" w:space="0" w:color="auto"/>
                    <w:left w:val="none" w:sz="0" w:space="0" w:color="auto"/>
                    <w:bottom w:val="none" w:sz="0" w:space="0" w:color="auto"/>
                    <w:right w:val="none" w:sz="0" w:space="0" w:color="auto"/>
                  </w:divBdr>
                  <w:divsChild>
                    <w:div w:id="1665470125">
                      <w:marLeft w:val="0"/>
                      <w:marRight w:val="0"/>
                      <w:marTop w:val="0"/>
                      <w:marBottom w:val="0"/>
                      <w:divBdr>
                        <w:top w:val="none" w:sz="0" w:space="0" w:color="auto"/>
                        <w:left w:val="none" w:sz="0" w:space="0" w:color="auto"/>
                        <w:bottom w:val="none" w:sz="0" w:space="0" w:color="auto"/>
                        <w:right w:val="none" w:sz="0" w:space="0" w:color="auto"/>
                      </w:divBdr>
                      <w:divsChild>
                        <w:div w:id="2110654797">
                          <w:marLeft w:val="0"/>
                          <w:marRight w:val="0"/>
                          <w:marTop w:val="272"/>
                          <w:marBottom w:val="0"/>
                          <w:divBdr>
                            <w:top w:val="none" w:sz="0" w:space="0" w:color="auto"/>
                            <w:left w:val="none" w:sz="0" w:space="0" w:color="auto"/>
                            <w:bottom w:val="none" w:sz="0" w:space="0" w:color="auto"/>
                            <w:right w:val="none" w:sz="0" w:space="0" w:color="auto"/>
                          </w:divBdr>
                          <w:divsChild>
                            <w:div w:id="1359232014">
                              <w:marLeft w:val="0"/>
                              <w:marRight w:val="0"/>
                              <w:marTop w:val="480"/>
                              <w:marBottom w:val="240"/>
                              <w:divBdr>
                                <w:top w:val="none" w:sz="0" w:space="0" w:color="auto"/>
                                <w:left w:val="none" w:sz="0" w:space="0" w:color="auto"/>
                                <w:bottom w:val="none" w:sz="0" w:space="0" w:color="auto"/>
                                <w:right w:val="none" w:sz="0" w:space="0" w:color="auto"/>
                              </w:divBdr>
                            </w:div>
                            <w:div w:id="272791348">
                              <w:marLeft w:val="0"/>
                              <w:marRight w:val="0"/>
                              <w:marTop w:val="0"/>
                              <w:marBottom w:val="567"/>
                              <w:divBdr>
                                <w:top w:val="none" w:sz="0" w:space="0" w:color="auto"/>
                                <w:left w:val="none" w:sz="0" w:space="0" w:color="auto"/>
                                <w:bottom w:val="none" w:sz="0" w:space="0" w:color="auto"/>
                                <w:right w:val="none" w:sz="0" w:space="0" w:color="auto"/>
                              </w:divBdr>
                            </w:div>
                            <w:div w:id="5511209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0637">
      <w:bodyDiv w:val="1"/>
      <w:marLeft w:val="0"/>
      <w:marRight w:val="0"/>
      <w:marTop w:val="0"/>
      <w:marBottom w:val="0"/>
      <w:divBdr>
        <w:top w:val="none" w:sz="0" w:space="0" w:color="auto"/>
        <w:left w:val="none" w:sz="0" w:space="0" w:color="auto"/>
        <w:bottom w:val="none" w:sz="0" w:space="0" w:color="auto"/>
        <w:right w:val="none" w:sz="0" w:space="0" w:color="auto"/>
      </w:divBdr>
      <w:divsChild>
        <w:div w:id="131601312">
          <w:marLeft w:val="0"/>
          <w:marRight w:val="0"/>
          <w:marTop w:val="0"/>
          <w:marBottom w:val="0"/>
          <w:divBdr>
            <w:top w:val="none" w:sz="0" w:space="0" w:color="auto"/>
            <w:left w:val="none" w:sz="0" w:space="0" w:color="auto"/>
            <w:bottom w:val="none" w:sz="0" w:space="0" w:color="auto"/>
            <w:right w:val="none" w:sz="0" w:space="0" w:color="auto"/>
          </w:divBdr>
        </w:div>
        <w:div w:id="2065368400">
          <w:marLeft w:val="0"/>
          <w:marRight w:val="0"/>
          <w:marTop w:val="0"/>
          <w:marBottom w:val="0"/>
          <w:divBdr>
            <w:top w:val="none" w:sz="0" w:space="0" w:color="auto"/>
            <w:left w:val="none" w:sz="0" w:space="0" w:color="auto"/>
            <w:bottom w:val="none" w:sz="0" w:space="0" w:color="auto"/>
            <w:right w:val="none" w:sz="0" w:space="0" w:color="auto"/>
          </w:divBdr>
        </w:div>
      </w:divsChild>
    </w:div>
    <w:div w:id="1894467433">
      <w:bodyDiv w:val="1"/>
      <w:marLeft w:val="0"/>
      <w:marRight w:val="0"/>
      <w:marTop w:val="0"/>
      <w:marBottom w:val="0"/>
      <w:divBdr>
        <w:top w:val="none" w:sz="0" w:space="0" w:color="auto"/>
        <w:left w:val="none" w:sz="0" w:space="0" w:color="auto"/>
        <w:bottom w:val="none" w:sz="0" w:space="0" w:color="auto"/>
        <w:right w:val="none" w:sz="0" w:space="0" w:color="auto"/>
      </w:divBdr>
      <w:divsChild>
        <w:div w:id="580794215">
          <w:marLeft w:val="0"/>
          <w:marRight w:val="0"/>
          <w:marTop w:val="0"/>
          <w:marBottom w:val="0"/>
          <w:divBdr>
            <w:top w:val="none" w:sz="0" w:space="0" w:color="auto"/>
            <w:left w:val="none" w:sz="0" w:space="0" w:color="auto"/>
            <w:bottom w:val="none" w:sz="0" w:space="0" w:color="auto"/>
            <w:right w:val="none" w:sz="0" w:space="0" w:color="auto"/>
          </w:divBdr>
          <w:divsChild>
            <w:div w:id="354773834">
              <w:marLeft w:val="0"/>
              <w:marRight w:val="0"/>
              <w:marTop w:val="0"/>
              <w:marBottom w:val="0"/>
              <w:divBdr>
                <w:top w:val="none" w:sz="0" w:space="0" w:color="auto"/>
                <w:left w:val="none" w:sz="0" w:space="0" w:color="auto"/>
                <w:bottom w:val="none" w:sz="0" w:space="0" w:color="auto"/>
                <w:right w:val="none" w:sz="0" w:space="0" w:color="auto"/>
              </w:divBdr>
              <w:divsChild>
                <w:div w:id="1617177934">
                  <w:marLeft w:val="0"/>
                  <w:marRight w:val="0"/>
                  <w:marTop w:val="0"/>
                  <w:marBottom w:val="0"/>
                  <w:divBdr>
                    <w:top w:val="none" w:sz="0" w:space="0" w:color="auto"/>
                    <w:left w:val="none" w:sz="0" w:space="0" w:color="auto"/>
                    <w:bottom w:val="none" w:sz="0" w:space="0" w:color="auto"/>
                    <w:right w:val="none" w:sz="0" w:space="0" w:color="auto"/>
                  </w:divBdr>
                  <w:divsChild>
                    <w:div w:id="1663004522">
                      <w:marLeft w:val="0"/>
                      <w:marRight w:val="0"/>
                      <w:marTop w:val="0"/>
                      <w:marBottom w:val="0"/>
                      <w:divBdr>
                        <w:top w:val="none" w:sz="0" w:space="0" w:color="auto"/>
                        <w:left w:val="none" w:sz="0" w:space="0" w:color="auto"/>
                        <w:bottom w:val="none" w:sz="0" w:space="0" w:color="auto"/>
                        <w:right w:val="none" w:sz="0" w:space="0" w:color="auto"/>
                      </w:divBdr>
                      <w:divsChild>
                        <w:div w:id="692725722">
                          <w:marLeft w:val="0"/>
                          <w:marRight w:val="0"/>
                          <w:marTop w:val="272"/>
                          <w:marBottom w:val="0"/>
                          <w:divBdr>
                            <w:top w:val="none" w:sz="0" w:space="0" w:color="auto"/>
                            <w:left w:val="none" w:sz="0" w:space="0" w:color="auto"/>
                            <w:bottom w:val="none" w:sz="0" w:space="0" w:color="auto"/>
                            <w:right w:val="none" w:sz="0" w:space="0" w:color="auto"/>
                          </w:divBdr>
                          <w:divsChild>
                            <w:div w:id="6644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2F02E-1AFD-4388-913C-9C2A1683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27.decembra noteikumos Nr.1037 „Kārtība, kādā valsts finansē pirmsskolas izglītības programmas bērniem no piecu gadu vecuma līdz pamatizglītības ieguves uzsākšanai un pamatizglītī</vt:lpstr>
    </vt:vector>
  </TitlesOfParts>
  <Company>IZM</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Nr.1037 „Kārtība, kādā valsts finansē pirmsskolas izglītības programmas bērniem no piecu gadu vecuma līdz pamatizglītības ieguves uzsākšanai un pamatizglītības un vidējās izglītības programmas, kuras īsteno privātās izglītības iestādes”” pielikums</dc:title>
  <dc:subject>Pielikums</dc:subject>
  <dc:creator>Līga Buceniece</dc:creator>
  <cp:keywords/>
  <dc:description>L.Buceniece
67147830, liga.buceniece@izm.gov.lv</dc:description>
  <cp:lastModifiedBy>Līga Buceniece</cp:lastModifiedBy>
  <cp:revision>3</cp:revision>
  <dcterms:created xsi:type="dcterms:W3CDTF">2014-07-01T06:22:00Z</dcterms:created>
  <dcterms:modified xsi:type="dcterms:W3CDTF">2014-07-01T06:23:00Z</dcterms:modified>
  <cp:category>IZM</cp:category>
</cp:coreProperties>
</file>