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D4" w:rsidRDefault="00392D06" w:rsidP="00392D06">
      <w:pPr>
        <w:spacing w:after="0" w:line="240" w:lineRule="auto"/>
        <w:jc w:val="center"/>
        <w:rPr>
          <w:rFonts w:ascii="Times New Roman" w:hAnsi="Times New Roman"/>
          <w:b/>
          <w:sz w:val="24"/>
          <w:szCs w:val="24"/>
        </w:rPr>
      </w:pPr>
      <w:r w:rsidRPr="001D794D">
        <w:rPr>
          <w:rFonts w:ascii="Times New Roman" w:hAnsi="Times New Roman"/>
          <w:b/>
          <w:sz w:val="24"/>
          <w:szCs w:val="24"/>
        </w:rPr>
        <w:t xml:space="preserve">Informatīvais ziņojums </w:t>
      </w:r>
    </w:p>
    <w:p w:rsidR="00D86482" w:rsidRPr="001D794D" w:rsidRDefault="0017320C" w:rsidP="00392D06">
      <w:pPr>
        <w:spacing w:after="0" w:line="240" w:lineRule="auto"/>
        <w:jc w:val="center"/>
        <w:rPr>
          <w:rFonts w:ascii="Times New Roman" w:hAnsi="Times New Roman"/>
          <w:b/>
          <w:sz w:val="24"/>
          <w:szCs w:val="24"/>
        </w:rPr>
      </w:pPr>
      <w:r>
        <w:rPr>
          <w:rFonts w:ascii="Times New Roman" w:hAnsi="Times New Roman"/>
          <w:b/>
          <w:sz w:val="24"/>
          <w:szCs w:val="24"/>
        </w:rPr>
        <w:t>„P</w:t>
      </w:r>
      <w:r w:rsidR="00392D06" w:rsidRPr="001D794D">
        <w:rPr>
          <w:rFonts w:ascii="Times New Roman" w:hAnsi="Times New Roman"/>
          <w:b/>
          <w:sz w:val="24"/>
          <w:szCs w:val="24"/>
        </w:rPr>
        <w:t>ar Eiropas Savienības programm</w:t>
      </w:r>
      <w:r w:rsidR="001021EC">
        <w:rPr>
          <w:rFonts w:ascii="Times New Roman" w:hAnsi="Times New Roman"/>
          <w:b/>
          <w:sz w:val="24"/>
          <w:szCs w:val="24"/>
        </w:rPr>
        <w:t>as</w:t>
      </w:r>
      <w:r w:rsidR="00392D06" w:rsidRPr="001D794D">
        <w:rPr>
          <w:rFonts w:ascii="Times New Roman" w:hAnsi="Times New Roman"/>
          <w:b/>
          <w:sz w:val="24"/>
          <w:szCs w:val="24"/>
        </w:rPr>
        <w:t xml:space="preserve"> izglītības, </w:t>
      </w:r>
      <w:r w:rsidR="002A0FF9" w:rsidRPr="007D0357">
        <w:rPr>
          <w:rFonts w:ascii="Times New Roman" w:hAnsi="Times New Roman"/>
          <w:b/>
          <w:sz w:val="24"/>
          <w:szCs w:val="24"/>
        </w:rPr>
        <w:t>apmācības,</w:t>
      </w:r>
      <w:r w:rsidR="00D86482" w:rsidRPr="001D794D">
        <w:rPr>
          <w:rFonts w:ascii="Times New Roman" w:hAnsi="Times New Roman"/>
          <w:sz w:val="24"/>
          <w:szCs w:val="24"/>
        </w:rPr>
        <w:t xml:space="preserve"> </w:t>
      </w:r>
      <w:r w:rsidR="00392D06" w:rsidRPr="001D794D">
        <w:rPr>
          <w:rFonts w:ascii="Times New Roman" w:hAnsi="Times New Roman"/>
          <w:b/>
          <w:sz w:val="24"/>
          <w:szCs w:val="24"/>
        </w:rPr>
        <w:t xml:space="preserve">jaunatnes </w:t>
      </w:r>
    </w:p>
    <w:p w:rsidR="00106603" w:rsidRPr="001D794D" w:rsidRDefault="00392D06" w:rsidP="00392D06">
      <w:pPr>
        <w:spacing w:after="0" w:line="240" w:lineRule="auto"/>
        <w:jc w:val="center"/>
        <w:rPr>
          <w:rFonts w:ascii="Times New Roman" w:hAnsi="Times New Roman"/>
          <w:b/>
          <w:sz w:val="24"/>
          <w:szCs w:val="24"/>
        </w:rPr>
      </w:pPr>
      <w:r w:rsidRPr="001D794D">
        <w:rPr>
          <w:rFonts w:ascii="Times New Roman" w:hAnsi="Times New Roman"/>
          <w:b/>
          <w:sz w:val="24"/>
          <w:szCs w:val="24"/>
        </w:rPr>
        <w:t>un sporta jomā „</w:t>
      </w:r>
      <w:r w:rsidRPr="001D794D">
        <w:rPr>
          <w:rFonts w:ascii="Times New Roman" w:hAnsi="Times New Roman"/>
          <w:b/>
          <w:i/>
          <w:sz w:val="24"/>
          <w:szCs w:val="24"/>
        </w:rPr>
        <w:t>Erasmus+</w:t>
      </w:r>
      <w:r w:rsidRPr="001D794D">
        <w:rPr>
          <w:rFonts w:ascii="Times New Roman" w:hAnsi="Times New Roman"/>
          <w:b/>
          <w:sz w:val="24"/>
          <w:szCs w:val="24"/>
        </w:rPr>
        <w:t>”</w:t>
      </w:r>
      <w:r w:rsidR="001021EC">
        <w:rPr>
          <w:rFonts w:ascii="Times New Roman" w:hAnsi="Times New Roman"/>
          <w:b/>
          <w:sz w:val="24"/>
          <w:szCs w:val="24"/>
        </w:rPr>
        <w:t xml:space="preserve"> </w:t>
      </w:r>
      <w:r w:rsidR="0000410B">
        <w:rPr>
          <w:rFonts w:ascii="Times New Roman" w:hAnsi="Times New Roman"/>
          <w:b/>
          <w:sz w:val="24"/>
          <w:szCs w:val="24"/>
        </w:rPr>
        <w:t xml:space="preserve">īstenošanas </w:t>
      </w:r>
      <w:r w:rsidR="001021EC">
        <w:rPr>
          <w:rFonts w:ascii="Times New Roman" w:hAnsi="Times New Roman"/>
          <w:b/>
          <w:sz w:val="24"/>
          <w:szCs w:val="24"/>
        </w:rPr>
        <w:t>nodrošināšanai nepieciešamo finansējumu</w:t>
      </w:r>
      <w:r w:rsidR="0017320C">
        <w:rPr>
          <w:rFonts w:ascii="Times New Roman" w:hAnsi="Times New Roman"/>
          <w:b/>
          <w:sz w:val="24"/>
          <w:szCs w:val="24"/>
        </w:rPr>
        <w:t>”</w:t>
      </w:r>
    </w:p>
    <w:p w:rsidR="00392D06" w:rsidRPr="001D794D" w:rsidRDefault="00392D06" w:rsidP="00392D06">
      <w:pPr>
        <w:spacing w:after="0" w:line="240" w:lineRule="auto"/>
        <w:jc w:val="center"/>
        <w:rPr>
          <w:rFonts w:ascii="Times New Roman" w:hAnsi="Times New Roman"/>
          <w:b/>
          <w:sz w:val="24"/>
          <w:szCs w:val="24"/>
        </w:rPr>
      </w:pPr>
    </w:p>
    <w:p w:rsidR="00957A42" w:rsidRPr="001D794D" w:rsidRDefault="00957A42" w:rsidP="00957A42">
      <w:pPr>
        <w:spacing w:after="0" w:line="240" w:lineRule="auto"/>
        <w:jc w:val="center"/>
        <w:rPr>
          <w:rFonts w:ascii="Times New Roman" w:hAnsi="Times New Roman"/>
          <w:b/>
          <w:sz w:val="24"/>
          <w:szCs w:val="24"/>
        </w:rPr>
      </w:pPr>
      <w:r w:rsidRPr="001D794D">
        <w:rPr>
          <w:rFonts w:ascii="Times New Roman" w:hAnsi="Times New Roman"/>
          <w:b/>
          <w:sz w:val="24"/>
          <w:szCs w:val="24"/>
        </w:rPr>
        <w:t>Ievads</w:t>
      </w:r>
    </w:p>
    <w:p w:rsidR="00957A42" w:rsidRPr="001D794D" w:rsidRDefault="00957A42" w:rsidP="00957A42">
      <w:pPr>
        <w:spacing w:after="0" w:line="240" w:lineRule="auto"/>
        <w:ind w:firstLine="567"/>
        <w:jc w:val="both"/>
        <w:rPr>
          <w:rFonts w:ascii="Times New Roman" w:hAnsi="Times New Roman"/>
          <w:sz w:val="24"/>
          <w:szCs w:val="24"/>
        </w:rPr>
      </w:pPr>
      <w:r w:rsidRPr="001D794D">
        <w:rPr>
          <w:rFonts w:ascii="Times New Roman" w:hAnsi="Times New Roman"/>
          <w:sz w:val="24"/>
          <w:szCs w:val="24"/>
        </w:rPr>
        <w:t>Izglītības un zinātnes ministrija ir sagatavojusi informatīvo ziņojumu, lai tiktu pieņemts Ministru kabineta lēmums par papildu valsts budžeta ilgtermiņa saistīb</w:t>
      </w:r>
      <w:r>
        <w:rPr>
          <w:rFonts w:ascii="Times New Roman" w:hAnsi="Times New Roman"/>
          <w:sz w:val="24"/>
          <w:szCs w:val="24"/>
        </w:rPr>
        <w:t>u uzņemšanos</w:t>
      </w:r>
      <w:r w:rsidRPr="001D794D">
        <w:rPr>
          <w:rFonts w:ascii="Times New Roman" w:hAnsi="Times New Roman"/>
          <w:sz w:val="24"/>
          <w:szCs w:val="24"/>
        </w:rPr>
        <w:t xml:space="preserve"> Eiropas Savienības programmas izglītības, apmācības, jaunatnes un sporta jomā „</w:t>
      </w:r>
      <w:r w:rsidRPr="001D794D">
        <w:rPr>
          <w:rFonts w:ascii="Times New Roman" w:hAnsi="Times New Roman"/>
          <w:i/>
          <w:sz w:val="24"/>
          <w:szCs w:val="24"/>
        </w:rPr>
        <w:t>Erasmus+</w:t>
      </w:r>
      <w:r w:rsidRPr="001D794D">
        <w:rPr>
          <w:rFonts w:ascii="Times New Roman" w:hAnsi="Times New Roman"/>
          <w:sz w:val="24"/>
          <w:szCs w:val="24"/>
        </w:rPr>
        <w:t>”</w:t>
      </w:r>
      <w:r>
        <w:rPr>
          <w:rFonts w:ascii="Times New Roman" w:hAnsi="Times New Roman"/>
          <w:sz w:val="24"/>
          <w:szCs w:val="24"/>
        </w:rPr>
        <w:t xml:space="preserve"> valsts aģentūru darbības nodrošināšanai, Latvijas valsts līdzfinansējumam programmas finansētajiem augstākās izglītības mobilitātes projektiem. </w:t>
      </w:r>
    </w:p>
    <w:p w:rsidR="00957A42" w:rsidRPr="001D794D" w:rsidRDefault="00957A42" w:rsidP="00957A42">
      <w:pPr>
        <w:spacing w:after="0" w:line="240" w:lineRule="auto"/>
        <w:ind w:firstLine="562"/>
        <w:jc w:val="both"/>
        <w:rPr>
          <w:rFonts w:ascii="Times New Roman" w:hAnsi="Times New Roman"/>
          <w:sz w:val="24"/>
          <w:szCs w:val="24"/>
        </w:rPr>
      </w:pPr>
      <w:r w:rsidRPr="001D794D">
        <w:rPr>
          <w:rFonts w:ascii="Times New Roman" w:hAnsi="Times New Roman"/>
          <w:sz w:val="24"/>
          <w:szCs w:val="24"/>
        </w:rPr>
        <w:t>Informatīv</w:t>
      </w:r>
      <w:r>
        <w:rPr>
          <w:rFonts w:ascii="Times New Roman" w:hAnsi="Times New Roman"/>
          <w:sz w:val="24"/>
          <w:szCs w:val="24"/>
        </w:rPr>
        <w:t>ais</w:t>
      </w:r>
      <w:r w:rsidRPr="001D794D">
        <w:rPr>
          <w:rFonts w:ascii="Times New Roman" w:hAnsi="Times New Roman"/>
          <w:sz w:val="24"/>
          <w:szCs w:val="24"/>
        </w:rPr>
        <w:t xml:space="preserve"> ziņojums sagatavots, ievērojot </w:t>
      </w:r>
      <w:r w:rsidR="000739D6">
        <w:rPr>
          <w:rFonts w:ascii="Times New Roman" w:hAnsi="Times New Roman"/>
          <w:sz w:val="24"/>
          <w:szCs w:val="24"/>
        </w:rPr>
        <w:t>L</w:t>
      </w:r>
      <w:r w:rsidRPr="001D794D">
        <w:rPr>
          <w:rFonts w:ascii="Times New Roman" w:hAnsi="Times New Roman"/>
          <w:sz w:val="24"/>
          <w:szCs w:val="24"/>
        </w:rPr>
        <w:t>ikuma par budžetu un finanšu vadību 24.panta trešo daļu, kas nosaka, ka budžeta iestādes var uzņemties papildu valsts budžeta ilgtermiņa saistības vienīgi Eiropas Savienības politikas instrumentu un pārējās ārvalstu finanšu palīdzības līdzfinansētos projektos un pasākumos, ja pieņemts attiecīgs Ministru kabineta lēmums.</w:t>
      </w:r>
    </w:p>
    <w:p w:rsidR="00957A42" w:rsidRPr="001D794D" w:rsidRDefault="00957A42" w:rsidP="00957A42">
      <w:pPr>
        <w:spacing w:after="0" w:line="240" w:lineRule="auto"/>
        <w:ind w:firstLine="567"/>
        <w:jc w:val="both"/>
        <w:rPr>
          <w:rFonts w:ascii="Times New Roman" w:hAnsi="Times New Roman"/>
          <w:sz w:val="24"/>
          <w:szCs w:val="24"/>
        </w:rPr>
      </w:pPr>
    </w:p>
    <w:p w:rsidR="00957A42" w:rsidRPr="001D794D" w:rsidRDefault="00957A42" w:rsidP="00957A42">
      <w:pPr>
        <w:spacing w:after="0" w:line="240" w:lineRule="auto"/>
        <w:jc w:val="center"/>
        <w:rPr>
          <w:rFonts w:ascii="Times New Roman" w:hAnsi="Times New Roman"/>
          <w:b/>
          <w:sz w:val="24"/>
          <w:szCs w:val="24"/>
        </w:rPr>
      </w:pPr>
      <w:r w:rsidRPr="001D794D">
        <w:rPr>
          <w:rFonts w:ascii="Times New Roman" w:hAnsi="Times New Roman"/>
          <w:b/>
          <w:sz w:val="24"/>
          <w:szCs w:val="24"/>
        </w:rPr>
        <w:t>I. Situācijas apraksts</w:t>
      </w:r>
    </w:p>
    <w:p w:rsidR="000739D6" w:rsidRPr="000739D6" w:rsidRDefault="00957A42" w:rsidP="00957A42">
      <w:pPr>
        <w:spacing w:after="0" w:line="240" w:lineRule="auto"/>
        <w:jc w:val="center"/>
        <w:rPr>
          <w:rFonts w:ascii="Times New Roman" w:hAnsi="Times New Roman"/>
          <w:b/>
          <w:sz w:val="24"/>
          <w:szCs w:val="24"/>
        </w:rPr>
      </w:pPr>
      <w:r w:rsidRPr="000739D6">
        <w:rPr>
          <w:rFonts w:ascii="Times New Roman" w:hAnsi="Times New Roman"/>
          <w:b/>
          <w:sz w:val="24"/>
          <w:szCs w:val="24"/>
        </w:rPr>
        <w:t xml:space="preserve">1. Vispārīga informācija par </w:t>
      </w:r>
      <w:r w:rsidR="000739D6" w:rsidRPr="000739D6">
        <w:rPr>
          <w:rFonts w:ascii="Times New Roman" w:hAnsi="Times New Roman"/>
          <w:b/>
          <w:sz w:val="24"/>
          <w:szCs w:val="24"/>
        </w:rPr>
        <w:t>Eiropas Savienības programmu izglītības, apmācības, jaunatnes un sporta jomā „</w:t>
      </w:r>
      <w:r w:rsidR="000739D6" w:rsidRPr="000739D6">
        <w:rPr>
          <w:rFonts w:ascii="Times New Roman" w:hAnsi="Times New Roman"/>
          <w:b/>
          <w:i/>
          <w:sz w:val="24"/>
          <w:szCs w:val="24"/>
        </w:rPr>
        <w:t>Erasmus+</w:t>
      </w:r>
      <w:r w:rsidR="000739D6" w:rsidRPr="000739D6">
        <w:rPr>
          <w:rFonts w:ascii="Times New Roman" w:hAnsi="Times New Roman"/>
          <w:b/>
          <w:sz w:val="24"/>
          <w:szCs w:val="24"/>
        </w:rPr>
        <w:t>”</w:t>
      </w:r>
    </w:p>
    <w:p w:rsidR="00957A42" w:rsidRDefault="000739D6" w:rsidP="00957A42">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957A42" w:rsidRPr="000739D6" w:rsidRDefault="00EE3495" w:rsidP="00BC616B">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00957A42" w:rsidRPr="00101314">
        <w:rPr>
          <w:rFonts w:ascii="Times New Roman" w:hAnsi="Times New Roman"/>
          <w:sz w:val="24"/>
          <w:szCs w:val="24"/>
        </w:rPr>
        <w:t>Eiropas Savienības programma izglītības, apmācības, jaunatnes un sporta jomā „</w:t>
      </w:r>
      <w:r w:rsidR="00957A42" w:rsidRPr="00101314">
        <w:rPr>
          <w:rFonts w:ascii="Times New Roman" w:hAnsi="Times New Roman"/>
          <w:i/>
          <w:sz w:val="24"/>
          <w:szCs w:val="24"/>
        </w:rPr>
        <w:t>Erasmus+</w:t>
      </w:r>
      <w:r w:rsidR="00957A42" w:rsidRPr="00101314">
        <w:rPr>
          <w:rFonts w:ascii="Times New Roman" w:hAnsi="Times New Roman"/>
          <w:sz w:val="24"/>
          <w:szCs w:val="24"/>
        </w:rPr>
        <w:t xml:space="preserve">” (turpmāk – programma </w:t>
      </w:r>
      <w:r w:rsidR="00957A42" w:rsidRPr="00101314">
        <w:rPr>
          <w:rFonts w:ascii="Times New Roman" w:hAnsi="Times New Roman"/>
          <w:i/>
          <w:sz w:val="24"/>
          <w:szCs w:val="24"/>
        </w:rPr>
        <w:t>Erasmus+</w:t>
      </w:r>
      <w:r w:rsidR="00957A42" w:rsidRPr="00101314">
        <w:rPr>
          <w:rFonts w:ascii="Times New Roman" w:hAnsi="Times New Roman"/>
          <w:sz w:val="24"/>
          <w:szCs w:val="24"/>
        </w:rPr>
        <w:t>) ir izveidota ar Eiropas Parlamenta un Padomes 2013.gada 11.decembra regulu Nr.1288/2013</w:t>
      </w:r>
      <w:r w:rsidR="00BC616B">
        <w:rPr>
          <w:rFonts w:ascii="Times New Roman" w:hAnsi="Times New Roman"/>
          <w:sz w:val="24"/>
          <w:szCs w:val="24"/>
        </w:rPr>
        <w:t xml:space="preserve">, </w:t>
      </w:r>
      <w:r w:rsidR="000739D6" w:rsidRPr="000739D6">
        <w:rPr>
          <w:rFonts w:ascii="Times New Roman" w:hAnsi="Times New Roman"/>
          <w:sz w:val="24"/>
          <w:szCs w:val="24"/>
        </w:rPr>
        <w:t>ar ko izveido Savienības programmu izglītības, apmāc</w:t>
      </w:r>
      <w:r w:rsidR="00BC616B">
        <w:rPr>
          <w:rFonts w:ascii="Times New Roman" w:hAnsi="Times New Roman"/>
          <w:sz w:val="24"/>
          <w:szCs w:val="24"/>
        </w:rPr>
        <w:t>ības, jaunatnes un sporta jomā „</w:t>
      </w:r>
      <w:r w:rsidR="000739D6" w:rsidRPr="000739D6">
        <w:rPr>
          <w:rFonts w:ascii="Times New Roman" w:hAnsi="Times New Roman"/>
          <w:sz w:val="24"/>
          <w:szCs w:val="24"/>
        </w:rPr>
        <w:t>Erasmus+</w:t>
      </w:r>
      <w:r w:rsidR="00BC616B">
        <w:rPr>
          <w:rFonts w:ascii="Times New Roman" w:hAnsi="Times New Roman"/>
          <w:sz w:val="24"/>
          <w:szCs w:val="24"/>
        </w:rPr>
        <w:t>” un atceļ Lēmumus Nr.1719/2006/EK, Nr.1720/2006/EK un Nr.</w:t>
      </w:r>
      <w:r w:rsidR="000739D6" w:rsidRPr="000739D6">
        <w:rPr>
          <w:rFonts w:ascii="Times New Roman" w:hAnsi="Times New Roman"/>
          <w:sz w:val="24"/>
          <w:szCs w:val="24"/>
        </w:rPr>
        <w:t>1298/2008/EK</w:t>
      </w:r>
      <w:r w:rsidR="00957A42" w:rsidRPr="000739D6">
        <w:rPr>
          <w:rFonts w:ascii="Times New Roman" w:hAnsi="Times New Roman"/>
          <w:sz w:val="24"/>
          <w:szCs w:val="24"/>
        </w:rPr>
        <w:t xml:space="preserve"> (turpmāk – regula Nr.1288/2013). Programma </w:t>
      </w:r>
      <w:r w:rsidR="00957A42" w:rsidRPr="000739D6">
        <w:rPr>
          <w:rFonts w:ascii="Times New Roman" w:hAnsi="Times New Roman"/>
          <w:i/>
          <w:sz w:val="24"/>
          <w:szCs w:val="24"/>
        </w:rPr>
        <w:t>Erasmus+</w:t>
      </w:r>
      <w:r w:rsidR="00957A42" w:rsidRPr="000739D6">
        <w:rPr>
          <w:rFonts w:ascii="Times New Roman" w:hAnsi="Times New Roman"/>
          <w:sz w:val="24"/>
          <w:szCs w:val="24"/>
        </w:rPr>
        <w:t xml:space="preserve"> ir 2007.-2013.gada Eiropas Savienības (turpmāk – ES) programmas „Jaunatne darbībā” un ES rīcības programmas mūžizglītības jomā turpinājums 2014.-2020.gada periodā. </w:t>
      </w:r>
    </w:p>
    <w:p w:rsidR="00957A42" w:rsidRDefault="00957A42" w:rsidP="00957A42">
      <w:pPr>
        <w:spacing w:after="0" w:line="240" w:lineRule="auto"/>
        <w:ind w:firstLine="567"/>
        <w:jc w:val="both"/>
        <w:rPr>
          <w:rFonts w:ascii="Times New Roman" w:hAnsi="Times New Roman"/>
          <w:sz w:val="24"/>
          <w:szCs w:val="24"/>
        </w:rPr>
      </w:pPr>
      <w:r>
        <w:rPr>
          <w:rFonts w:ascii="Times New Roman" w:hAnsi="Times New Roman"/>
          <w:sz w:val="24"/>
          <w:szCs w:val="24"/>
        </w:rPr>
        <w:t xml:space="preserve">2. Atbilstoši regulas Nr.1288/2013 1.panta 3.punktā noteiktajam programma </w:t>
      </w:r>
      <w:r w:rsidRPr="00901626">
        <w:rPr>
          <w:rFonts w:ascii="Times New Roman" w:hAnsi="Times New Roman"/>
          <w:i/>
          <w:sz w:val="24"/>
          <w:szCs w:val="24"/>
        </w:rPr>
        <w:t>Erasmus+</w:t>
      </w:r>
      <w:r>
        <w:rPr>
          <w:rFonts w:ascii="Times New Roman" w:hAnsi="Times New Roman"/>
          <w:sz w:val="24"/>
          <w:szCs w:val="24"/>
        </w:rPr>
        <w:t xml:space="preserve"> aptver šādas jomas: „a) izglītību un apmācību visos līmeņos mūžizglītības perspektīvā, tostarp skolas izglītību (</w:t>
      </w:r>
      <w:proofErr w:type="spellStart"/>
      <w:r w:rsidRPr="00901626">
        <w:rPr>
          <w:rFonts w:ascii="Times New Roman" w:hAnsi="Times New Roman"/>
          <w:i/>
          <w:sz w:val="24"/>
          <w:szCs w:val="24"/>
        </w:rPr>
        <w:t>Comenius</w:t>
      </w:r>
      <w:proofErr w:type="spellEnd"/>
      <w:r>
        <w:rPr>
          <w:rFonts w:ascii="Times New Roman" w:hAnsi="Times New Roman"/>
          <w:sz w:val="24"/>
          <w:szCs w:val="24"/>
        </w:rPr>
        <w:t>), augstāko izglītību (</w:t>
      </w:r>
      <w:r w:rsidRPr="00901626">
        <w:rPr>
          <w:rFonts w:ascii="Times New Roman" w:hAnsi="Times New Roman"/>
          <w:i/>
          <w:sz w:val="24"/>
          <w:szCs w:val="24"/>
        </w:rPr>
        <w:t>Erasmus</w:t>
      </w:r>
      <w:r>
        <w:rPr>
          <w:rFonts w:ascii="Times New Roman" w:hAnsi="Times New Roman"/>
          <w:sz w:val="24"/>
          <w:szCs w:val="24"/>
        </w:rPr>
        <w:t>), starptautisko augstāko izglītību (</w:t>
      </w:r>
      <w:r w:rsidRPr="00901626">
        <w:rPr>
          <w:rFonts w:ascii="Times New Roman" w:hAnsi="Times New Roman"/>
          <w:i/>
          <w:sz w:val="24"/>
          <w:szCs w:val="24"/>
        </w:rPr>
        <w:t xml:space="preserve">Erasmus </w:t>
      </w:r>
      <w:proofErr w:type="spellStart"/>
      <w:r w:rsidRPr="00901626">
        <w:rPr>
          <w:rFonts w:ascii="Times New Roman" w:hAnsi="Times New Roman"/>
          <w:i/>
          <w:sz w:val="24"/>
          <w:szCs w:val="24"/>
        </w:rPr>
        <w:t>Mundus</w:t>
      </w:r>
      <w:proofErr w:type="spellEnd"/>
      <w:r>
        <w:rPr>
          <w:rFonts w:ascii="Times New Roman" w:hAnsi="Times New Roman"/>
          <w:sz w:val="24"/>
          <w:szCs w:val="24"/>
        </w:rPr>
        <w:t>), profesionālo izglītību un apmācību (</w:t>
      </w:r>
      <w:proofErr w:type="spellStart"/>
      <w:r w:rsidRPr="00901626">
        <w:rPr>
          <w:rFonts w:ascii="Times New Roman" w:hAnsi="Times New Roman"/>
          <w:i/>
          <w:sz w:val="24"/>
          <w:szCs w:val="24"/>
        </w:rPr>
        <w:t>Leonardo</w:t>
      </w:r>
      <w:proofErr w:type="spellEnd"/>
      <w:r w:rsidRPr="00901626">
        <w:rPr>
          <w:rFonts w:ascii="Times New Roman" w:hAnsi="Times New Roman"/>
          <w:i/>
          <w:sz w:val="24"/>
          <w:szCs w:val="24"/>
        </w:rPr>
        <w:t xml:space="preserve"> </w:t>
      </w:r>
      <w:proofErr w:type="spellStart"/>
      <w:r w:rsidRPr="00901626">
        <w:rPr>
          <w:rFonts w:ascii="Times New Roman" w:hAnsi="Times New Roman"/>
          <w:i/>
          <w:sz w:val="24"/>
          <w:szCs w:val="24"/>
        </w:rPr>
        <w:t>da</w:t>
      </w:r>
      <w:proofErr w:type="spellEnd"/>
      <w:r w:rsidRPr="00901626">
        <w:rPr>
          <w:rFonts w:ascii="Times New Roman" w:hAnsi="Times New Roman"/>
          <w:i/>
          <w:sz w:val="24"/>
          <w:szCs w:val="24"/>
        </w:rPr>
        <w:t xml:space="preserve"> </w:t>
      </w:r>
      <w:proofErr w:type="spellStart"/>
      <w:r w:rsidRPr="00901626">
        <w:rPr>
          <w:rFonts w:ascii="Times New Roman" w:hAnsi="Times New Roman"/>
          <w:i/>
          <w:sz w:val="24"/>
          <w:szCs w:val="24"/>
        </w:rPr>
        <w:t>Vinci</w:t>
      </w:r>
      <w:proofErr w:type="spellEnd"/>
      <w:r>
        <w:rPr>
          <w:rFonts w:ascii="Times New Roman" w:hAnsi="Times New Roman"/>
          <w:sz w:val="24"/>
          <w:szCs w:val="24"/>
        </w:rPr>
        <w:t>) un pieaugušo izglītību (</w:t>
      </w:r>
      <w:proofErr w:type="spellStart"/>
      <w:r w:rsidRPr="00901626">
        <w:rPr>
          <w:rFonts w:ascii="Times New Roman" w:hAnsi="Times New Roman"/>
          <w:i/>
          <w:sz w:val="24"/>
          <w:szCs w:val="24"/>
        </w:rPr>
        <w:t>Grundtvig</w:t>
      </w:r>
      <w:proofErr w:type="spellEnd"/>
      <w:r>
        <w:rPr>
          <w:rFonts w:ascii="Times New Roman" w:hAnsi="Times New Roman"/>
          <w:sz w:val="24"/>
          <w:szCs w:val="24"/>
        </w:rPr>
        <w:t xml:space="preserve">); b) jaunatni („Jaunatne darbībā”), jo īpaši saistībā ar neformālo un </w:t>
      </w:r>
      <w:proofErr w:type="spellStart"/>
      <w:r>
        <w:rPr>
          <w:rFonts w:ascii="Times New Roman" w:hAnsi="Times New Roman"/>
          <w:sz w:val="24"/>
          <w:szCs w:val="24"/>
        </w:rPr>
        <w:t>ikdienējo</w:t>
      </w:r>
      <w:proofErr w:type="spellEnd"/>
      <w:r>
        <w:rPr>
          <w:rFonts w:ascii="Times New Roman" w:hAnsi="Times New Roman"/>
          <w:sz w:val="24"/>
          <w:szCs w:val="24"/>
        </w:rPr>
        <w:t xml:space="preserve"> mācīšanos; c) sportu, jo īpaši tautas sportu”. </w:t>
      </w:r>
    </w:p>
    <w:p w:rsidR="00957A42" w:rsidRDefault="00957A42" w:rsidP="00957A42">
      <w:pPr>
        <w:spacing w:after="0" w:line="240" w:lineRule="auto"/>
        <w:ind w:firstLine="567"/>
        <w:jc w:val="both"/>
        <w:rPr>
          <w:rFonts w:ascii="Times New Roman" w:hAnsi="Times New Roman"/>
          <w:sz w:val="24"/>
          <w:szCs w:val="24"/>
        </w:rPr>
      </w:pPr>
      <w:r w:rsidRPr="00901626">
        <w:rPr>
          <w:rFonts w:ascii="Times New Roman" w:hAnsi="Times New Roman"/>
          <w:sz w:val="24"/>
          <w:szCs w:val="24"/>
        </w:rPr>
        <w:t xml:space="preserve">3. </w:t>
      </w:r>
      <w:r>
        <w:rPr>
          <w:rFonts w:ascii="Times New Roman" w:hAnsi="Times New Roman"/>
          <w:sz w:val="24"/>
          <w:szCs w:val="24"/>
        </w:rPr>
        <w:t xml:space="preserve">Programmu </w:t>
      </w:r>
      <w:r w:rsidRPr="00525CD4">
        <w:rPr>
          <w:rFonts w:ascii="Times New Roman" w:hAnsi="Times New Roman"/>
          <w:i/>
          <w:sz w:val="24"/>
          <w:szCs w:val="24"/>
        </w:rPr>
        <w:t>Erasmus+</w:t>
      </w:r>
      <w:r>
        <w:rPr>
          <w:rFonts w:ascii="Times New Roman" w:hAnsi="Times New Roman"/>
          <w:sz w:val="24"/>
          <w:szCs w:val="24"/>
        </w:rPr>
        <w:t xml:space="preserve"> īsteno 28 dalībvalstis laika posmā no 2014.gada 1.janvāra līdz 2020.gada 31.decembrim ar kopējo budžetu EUR 14 774 524 000. Gada apropriācijas apstiprina Eiropas Parlaments un Padome atbilstīgi daudzgadu finanšu shēmā noteiktajiem ierobežojumiem (regulas Nr.1288/2013 18.panta 1.punkts). Finansējuma apmērs tiek norādīts Eiropas Komisijas (turpmāk – Komisija) ikgadējās darba programmās. </w:t>
      </w:r>
    </w:p>
    <w:p w:rsidR="00DB6D73" w:rsidRDefault="00957A42" w:rsidP="00DB6D73">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1D794D">
        <w:rPr>
          <w:rFonts w:ascii="Times New Roman" w:hAnsi="Times New Roman"/>
          <w:sz w:val="24"/>
          <w:szCs w:val="24"/>
        </w:rPr>
        <w:t xml:space="preserve">Latvijai pieejamais </w:t>
      </w:r>
      <w:r>
        <w:rPr>
          <w:rFonts w:ascii="Times New Roman" w:hAnsi="Times New Roman"/>
          <w:sz w:val="24"/>
          <w:szCs w:val="24"/>
        </w:rPr>
        <w:t xml:space="preserve">programmas </w:t>
      </w:r>
      <w:r w:rsidRPr="00442E69">
        <w:rPr>
          <w:rFonts w:ascii="Times New Roman" w:hAnsi="Times New Roman"/>
          <w:i/>
          <w:sz w:val="24"/>
          <w:szCs w:val="24"/>
        </w:rPr>
        <w:t>Erasmus+</w:t>
      </w:r>
      <w:r>
        <w:rPr>
          <w:rFonts w:ascii="Times New Roman" w:hAnsi="Times New Roman"/>
          <w:sz w:val="24"/>
          <w:szCs w:val="24"/>
        </w:rPr>
        <w:t xml:space="preserve"> </w:t>
      </w:r>
      <w:r w:rsidRPr="001D794D">
        <w:rPr>
          <w:rFonts w:ascii="Times New Roman" w:hAnsi="Times New Roman"/>
          <w:sz w:val="24"/>
          <w:szCs w:val="24"/>
        </w:rPr>
        <w:t xml:space="preserve">finansējums </w:t>
      </w:r>
      <w:r>
        <w:rPr>
          <w:rFonts w:ascii="Times New Roman" w:hAnsi="Times New Roman"/>
          <w:sz w:val="24"/>
          <w:szCs w:val="24"/>
        </w:rPr>
        <w:t xml:space="preserve">visam </w:t>
      </w:r>
      <w:r w:rsidRPr="001D794D">
        <w:rPr>
          <w:rFonts w:ascii="Times New Roman" w:hAnsi="Times New Roman"/>
          <w:sz w:val="24"/>
          <w:szCs w:val="24"/>
        </w:rPr>
        <w:t>septiņu gadu period</w:t>
      </w:r>
      <w:r>
        <w:rPr>
          <w:rFonts w:ascii="Times New Roman" w:hAnsi="Times New Roman"/>
          <w:sz w:val="24"/>
          <w:szCs w:val="24"/>
        </w:rPr>
        <w:t xml:space="preserve">am tiek plānots ap </w:t>
      </w:r>
      <w:r w:rsidRPr="001D794D">
        <w:rPr>
          <w:rFonts w:ascii="Times New Roman" w:hAnsi="Times New Roman"/>
          <w:sz w:val="24"/>
          <w:szCs w:val="24"/>
        </w:rPr>
        <w:t>105 miljoni</w:t>
      </w:r>
      <w:r>
        <w:rPr>
          <w:rFonts w:ascii="Times New Roman" w:hAnsi="Times New Roman"/>
          <w:sz w:val="24"/>
          <w:szCs w:val="24"/>
        </w:rPr>
        <w:t>em</w:t>
      </w:r>
      <w:r w:rsidRPr="001D794D">
        <w:rPr>
          <w:rFonts w:ascii="Times New Roman" w:hAnsi="Times New Roman"/>
          <w:sz w:val="24"/>
          <w:szCs w:val="24"/>
        </w:rPr>
        <w:t xml:space="preserve"> </w:t>
      </w:r>
      <w:r w:rsidR="008F7045" w:rsidRPr="00975D95">
        <w:rPr>
          <w:rFonts w:ascii="Times New Roman" w:hAnsi="Times New Roman"/>
          <w:sz w:val="24"/>
          <w:szCs w:val="24"/>
        </w:rPr>
        <w:t>EUR</w:t>
      </w:r>
      <w:r>
        <w:rPr>
          <w:rFonts w:ascii="Times New Roman" w:hAnsi="Times New Roman"/>
          <w:i/>
          <w:sz w:val="24"/>
          <w:szCs w:val="24"/>
        </w:rPr>
        <w:t xml:space="preserve">, </w:t>
      </w:r>
      <w:r>
        <w:rPr>
          <w:rFonts w:ascii="Times New Roman" w:hAnsi="Times New Roman"/>
          <w:sz w:val="24"/>
          <w:szCs w:val="24"/>
        </w:rPr>
        <w:t xml:space="preserve">paredzot sniegt atbalstu ap 50 000 cilvēku studijām, mācību prakses periodu, profesionālās kvalifikācijas pilnveidei, starptautiskās sadarbības projektu īstenošanai izglītības, jaunatnes un sporta jomā. </w:t>
      </w:r>
    </w:p>
    <w:p w:rsidR="0013329D" w:rsidRDefault="00957A42" w:rsidP="00DB6D73">
      <w:pPr>
        <w:tabs>
          <w:tab w:val="left" w:pos="851"/>
        </w:tabs>
        <w:spacing w:after="0" w:line="240" w:lineRule="auto"/>
        <w:ind w:firstLine="567"/>
        <w:jc w:val="both"/>
        <w:rPr>
          <w:rFonts w:ascii="Times New Roman" w:hAnsi="Times New Roman"/>
          <w:sz w:val="24"/>
          <w:szCs w:val="24"/>
        </w:rPr>
      </w:pPr>
      <w:r w:rsidRPr="0005538B">
        <w:rPr>
          <w:rFonts w:ascii="Times New Roman" w:hAnsi="Times New Roman"/>
          <w:sz w:val="24"/>
          <w:szCs w:val="24"/>
        </w:rPr>
        <w:t xml:space="preserve">5. Saskaņā ar </w:t>
      </w:r>
      <w:r w:rsidRPr="0005538B">
        <w:rPr>
          <w:rFonts w:ascii="Times New Roman" w:hAnsi="Times New Roman"/>
          <w:i/>
          <w:sz w:val="24"/>
          <w:szCs w:val="24"/>
        </w:rPr>
        <w:t>Eiropas Komisijas 2014.gada darba programmā Erasmus+ īstenošanai</w:t>
      </w:r>
      <w:r w:rsidRPr="0005538B">
        <w:rPr>
          <w:rFonts w:ascii="Times New Roman" w:hAnsi="Times New Roman"/>
          <w:sz w:val="24"/>
          <w:szCs w:val="24"/>
        </w:rPr>
        <w:t xml:space="preserve"> </w:t>
      </w:r>
      <w:r w:rsidRPr="0005538B">
        <w:rPr>
          <w:rFonts w:ascii="Times New Roman" w:hAnsi="Times New Roman"/>
          <w:iCs/>
          <w:sz w:val="24"/>
          <w:szCs w:val="24"/>
        </w:rPr>
        <w:t>(</w:t>
      </w:r>
      <w:r w:rsidRPr="0005538B">
        <w:rPr>
          <w:rFonts w:ascii="Times New Roman" w:hAnsi="Times New Roman"/>
          <w:i/>
          <w:iCs/>
          <w:sz w:val="24"/>
          <w:szCs w:val="24"/>
        </w:rPr>
        <w:t xml:space="preserve">2014 </w:t>
      </w:r>
      <w:proofErr w:type="spellStart"/>
      <w:r w:rsidRPr="00660A3A">
        <w:rPr>
          <w:rFonts w:ascii="Times New Roman" w:hAnsi="Times New Roman"/>
          <w:i/>
          <w:iCs/>
          <w:sz w:val="24"/>
          <w:szCs w:val="24"/>
        </w:rPr>
        <w:t>annual</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work</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programme</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for</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the</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implementation</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of</w:t>
      </w:r>
      <w:proofErr w:type="spellEnd"/>
      <w:r w:rsidRPr="00660A3A">
        <w:rPr>
          <w:rFonts w:ascii="Times New Roman" w:hAnsi="Times New Roman"/>
          <w:i/>
          <w:iCs/>
          <w:sz w:val="24"/>
          <w:szCs w:val="24"/>
        </w:rPr>
        <w:t xml:space="preserve"> Erasmus+, </w:t>
      </w:r>
      <w:proofErr w:type="spellStart"/>
      <w:r w:rsidRPr="00660A3A">
        <w:rPr>
          <w:rFonts w:ascii="Times New Roman" w:hAnsi="Times New Roman"/>
          <w:i/>
          <w:iCs/>
          <w:sz w:val="24"/>
          <w:szCs w:val="24"/>
        </w:rPr>
        <w:t>the</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Union</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Programme</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for</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Education</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Training</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Youth</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and</w:t>
      </w:r>
      <w:proofErr w:type="spellEnd"/>
      <w:r w:rsidRPr="00660A3A">
        <w:rPr>
          <w:rFonts w:ascii="Times New Roman" w:hAnsi="Times New Roman"/>
          <w:i/>
          <w:iCs/>
          <w:sz w:val="24"/>
          <w:szCs w:val="24"/>
        </w:rPr>
        <w:t xml:space="preserve"> </w:t>
      </w:r>
      <w:proofErr w:type="spellStart"/>
      <w:r w:rsidRPr="00660A3A">
        <w:rPr>
          <w:rFonts w:ascii="Times New Roman" w:hAnsi="Times New Roman"/>
          <w:i/>
          <w:iCs/>
          <w:sz w:val="24"/>
          <w:szCs w:val="24"/>
        </w:rPr>
        <w:t>Sport</w:t>
      </w:r>
      <w:proofErr w:type="spellEnd"/>
      <w:r w:rsidRPr="00660A3A">
        <w:rPr>
          <w:rFonts w:ascii="Times New Roman" w:hAnsi="Times New Roman"/>
          <w:i/>
          <w:iCs/>
          <w:sz w:val="24"/>
          <w:szCs w:val="24"/>
        </w:rPr>
        <w:t xml:space="preserve">, C(2013)8193 </w:t>
      </w:r>
      <w:proofErr w:type="spellStart"/>
      <w:r w:rsidRPr="00660A3A">
        <w:rPr>
          <w:rFonts w:ascii="Times New Roman" w:hAnsi="Times New Roman"/>
          <w:i/>
          <w:iCs/>
          <w:sz w:val="24"/>
          <w:szCs w:val="24"/>
        </w:rPr>
        <w:t>of</w:t>
      </w:r>
      <w:proofErr w:type="spellEnd"/>
      <w:r w:rsidRPr="00660A3A">
        <w:rPr>
          <w:rFonts w:ascii="Times New Roman" w:hAnsi="Times New Roman"/>
          <w:i/>
          <w:iCs/>
          <w:sz w:val="24"/>
          <w:szCs w:val="24"/>
        </w:rPr>
        <w:t xml:space="preserve"> 27 </w:t>
      </w:r>
      <w:proofErr w:type="spellStart"/>
      <w:r w:rsidRPr="00660A3A">
        <w:rPr>
          <w:rFonts w:ascii="Times New Roman" w:hAnsi="Times New Roman"/>
          <w:i/>
          <w:iCs/>
          <w:sz w:val="24"/>
          <w:szCs w:val="24"/>
        </w:rPr>
        <w:t>November</w:t>
      </w:r>
      <w:proofErr w:type="spellEnd"/>
      <w:r w:rsidRPr="00660A3A">
        <w:rPr>
          <w:rFonts w:ascii="Times New Roman" w:hAnsi="Times New Roman"/>
          <w:i/>
          <w:iCs/>
          <w:sz w:val="24"/>
          <w:szCs w:val="24"/>
        </w:rPr>
        <w:t xml:space="preserve"> 2013</w:t>
      </w:r>
      <w:r w:rsidRPr="00660A3A">
        <w:rPr>
          <w:rFonts w:ascii="Times New Roman" w:hAnsi="Times New Roman"/>
          <w:iCs/>
          <w:sz w:val="24"/>
          <w:szCs w:val="24"/>
        </w:rPr>
        <w:t>)</w:t>
      </w:r>
      <w:r w:rsidR="00E758C3" w:rsidRPr="00660A3A">
        <w:rPr>
          <w:rFonts w:ascii="Times New Roman" w:hAnsi="Times New Roman"/>
          <w:iCs/>
          <w:sz w:val="24"/>
          <w:szCs w:val="24"/>
        </w:rPr>
        <w:t xml:space="preserve"> (ar grozījumiem, kas veikti 2014.gada </w:t>
      </w:r>
      <w:r w:rsidR="004A7E7D" w:rsidRPr="00660A3A">
        <w:rPr>
          <w:rFonts w:ascii="Times New Roman" w:hAnsi="Times New Roman"/>
          <w:iCs/>
          <w:sz w:val="24"/>
          <w:szCs w:val="24"/>
        </w:rPr>
        <w:t xml:space="preserve">7.martā, </w:t>
      </w:r>
      <w:r w:rsidR="004A7E7D" w:rsidRPr="00660A3A">
        <w:rPr>
          <w:rFonts w:ascii="Times New Roman" w:hAnsi="Times New Roman"/>
          <w:i/>
          <w:iCs/>
          <w:sz w:val="24"/>
          <w:szCs w:val="24"/>
        </w:rPr>
        <w:t>„</w:t>
      </w:r>
      <w:proofErr w:type="spellStart"/>
      <w:r w:rsidR="004A7E7D" w:rsidRPr="00660A3A">
        <w:rPr>
          <w:rFonts w:ascii="Times New Roman" w:hAnsi="Times New Roman"/>
          <w:i/>
          <w:iCs/>
          <w:sz w:val="24"/>
          <w:szCs w:val="24"/>
        </w:rPr>
        <w:t>Amendment</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of</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the</w:t>
      </w:r>
      <w:proofErr w:type="spellEnd"/>
      <w:r w:rsidR="004A7E7D" w:rsidRPr="00660A3A">
        <w:rPr>
          <w:rFonts w:ascii="Times New Roman" w:hAnsi="Times New Roman"/>
          <w:i/>
          <w:iCs/>
          <w:sz w:val="24"/>
          <w:szCs w:val="24"/>
        </w:rPr>
        <w:t xml:space="preserve"> 2014 </w:t>
      </w:r>
      <w:proofErr w:type="spellStart"/>
      <w:r w:rsidR="004A7E7D" w:rsidRPr="00660A3A">
        <w:rPr>
          <w:rFonts w:ascii="Times New Roman" w:hAnsi="Times New Roman"/>
          <w:i/>
          <w:iCs/>
          <w:sz w:val="24"/>
          <w:szCs w:val="24"/>
        </w:rPr>
        <w:t>annual</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work</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programme</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for</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the</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implementation</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of</w:t>
      </w:r>
      <w:proofErr w:type="spellEnd"/>
      <w:r w:rsidR="004A7E7D" w:rsidRPr="00660A3A">
        <w:rPr>
          <w:rFonts w:ascii="Times New Roman" w:hAnsi="Times New Roman"/>
          <w:i/>
          <w:iCs/>
          <w:sz w:val="24"/>
          <w:szCs w:val="24"/>
        </w:rPr>
        <w:t xml:space="preserve"> „Erasmus+”: </w:t>
      </w:r>
      <w:proofErr w:type="spellStart"/>
      <w:r w:rsidR="004A7E7D" w:rsidRPr="00660A3A">
        <w:rPr>
          <w:rFonts w:ascii="Times New Roman" w:hAnsi="Times New Roman"/>
          <w:i/>
          <w:iCs/>
          <w:sz w:val="24"/>
          <w:szCs w:val="24"/>
        </w:rPr>
        <w:t>the</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Union</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Programme</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for</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Education</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Training</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Youth</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and</w:t>
      </w:r>
      <w:proofErr w:type="spellEnd"/>
      <w:r w:rsidR="004A7E7D" w:rsidRPr="00660A3A">
        <w:rPr>
          <w:rFonts w:ascii="Times New Roman" w:hAnsi="Times New Roman"/>
          <w:i/>
          <w:iCs/>
          <w:sz w:val="24"/>
          <w:szCs w:val="24"/>
        </w:rPr>
        <w:t xml:space="preserve"> </w:t>
      </w:r>
      <w:proofErr w:type="spellStart"/>
      <w:r w:rsidR="004A7E7D" w:rsidRPr="00660A3A">
        <w:rPr>
          <w:rFonts w:ascii="Times New Roman" w:hAnsi="Times New Roman"/>
          <w:i/>
          <w:iCs/>
          <w:sz w:val="24"/>
          <w:szCs w:val="24"/>
        </w:rPr>
        <w:t>Sport</w:t>
      </w:r>
      <w:proofErr w:type="spellEnd"/>
      <w:r w:rsidR="004A7E7D" w:rsidRPr="00660A3A">
        <w:rPr>
          <w:rFonts w:ascii="Times New Roman" w:hAnsi="Times New Roman"/>
          <w:i/>
          <w:iCs/>
          <w:sz w:val="24"/>
          <w:szCs w:val="24"/>
        </w:rPr>
        <w:t xml:space="preserve">, C(2014) 1327 </w:t>
      </w:r>
      <w:proofErr w:type="spellStart"/>
      <w:r w:rsidR="004A7E7D" w:rsidRPr="00660A3A">
        <w:rPr>
          <w:rFonts w:ascii="Times New Roman" w:hAnsi="Times New Roman"/>
          <w:i/>
          <w:iCs/>
          <w:sz w:val="24"/>
          <w:szCs w:val="24"/>
        </w:rPr>
        <w:t>of</w:t>
      </w:r>
      <w:proofErr w:type="spellEnd"/>
      <w:r w:rsidR="004A7E7D" w:rsidRPr="00660A3A">
        <w:rPr>
          <w:rFonts w:ascii="Times New Roman" w:hAnsi="Times New Roman"/>
          <w:i/>
          <w:iCs/>
          <w:sz w:val="24"/>
          <w:szCs w:val="24"/>
        </w:rPr>
        <w:t xml:space="preserve"> 7 </w:t>
      </w:r>
      <w:proofErr w:type="spellStart"/>
      <w:r w:rsidR="004A7E7D" w:rsidRPr="00660A3A">
        <w:rPr>
          <w:rFonts w:ascii="Times New Roman" w:hAnsi="Times New Roman"/>
          <w:i/>
          <w:iCs/>
          <w:sz w:val="24"/>
          <w:szCs w:val="24"/>
        </w:rPr>
        <w:t>March</w:t>
      </w:r>
      <w:proofErr w:type="spellEnd"/>
      <w:r w:rsidR="004A7E7D" w:rsidRPr="00660A3A">
        <w:rPr>
          <w:rFonts w:ascii="Times New Roman" w:hAnsi="Times New Roman"/>
          <w:i/>
          <w:iCs/>
          <w:sz w:val="24"/>
          <w:szCs w:val="24"/>
        </w:rPr>
        <w:t xml:space="preserve"> 2014</w:t>
      </w:r>
      <w:r w:rsidR="0005538B" w:rsidRPr="00660A3A">
        <w:rPr>
          <w:rFonts w:ascii="Times New Roman" w:hAnsi="Times New Roman"/>
          <w:i/>
          <w:iCs/>
          <w:sz w:val="24"/>
          <w:szCs w:val="24"/>
        </w:rPr>
        <w:t>,</w:t>
      </w:r>
      <w:r w:rsidR="00040A39" w:rsidRPr="00660A3A">
        <w:rPr>
          <w:rFonts w:ascii="Times New Roman" w:hAnsi="Times New Roman"/>
          <w:i/>
          <w:iCs/>
          <w:sz w:val="24"/>
          <w:szCs w:val="24"/>
        </w:rPr>
        <w:t xml:space="preserve"> </w:t>
      </w:r>
      <w:r w:rsidR="004C03BA" w:rsidRPr="00660A3A">
        <w:rPr>
          <w:rFonts w:ascii="Times New Roman" w:hAnsi="Times New Roman"/>
          <w:iCs/>
          <w:sz w:val="24"/>
          <w:szCs w:val="24"/>
        </w:rPr>
        <w:t>un 2014.gada 5.jūnijā,</w:t>
      </w:r>
      <w:r w:rsidR="00040A39" w:rsidRPr="00660A3A">
        <w:rPr>
          <w:rFonts w:ascii="Times New Roman" w:hAnsi="Times New Roman"/>
          <w:i/>
          <w:iCs/>
          <w:sz w:val="24"/>
          <w:szCs w:val="24"/>
        </w:rPr>
        <w:t xml:space="preserve"> „</w:t>
      </w:r>
      <w:proofErr w:type="spellStart"/>
      <w:r w:rsidR="004C03BA" w:rsidRPr="00660A3A">
        <w:rPr>
          <w:rFonts w:ascii="Times New Roman" w:hAnsi="Times New Roman"/>
          <w:bCs/>
          <w:i/>
          <w:sz w:val="24"/>
          <w:szCs w:val="24"/>
        </w:rPr>
        <w:t>Second</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amendment</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of</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the</w:t>
      </w:r>
      <w:proofErr w:type="spellEnd"/>
      <w:r w:rsidR="004C03BA" w:rsidRPr="00660A3A">
        <w:rPr>
          <w:rFonts w:ascii="Times New Roman" w:hAnsi="Times New Roman"/>
          <w:bCs/>
          <w:i/>
          <w:sz w:val="24"/>
          <w:szCs w:val="24"/>
        </w:rPr>
        <w:t xml:space="preserve"> 2014 </w:t>
      </w:r>
      <w:proofErr w:type="spellStart"/>
      <w:r w:rsidR="004C03BA" w:rsidRPr="00660A3A">
        <w:rPr>
          <w:rFonts w:ascii="Times New Roman" w:hAnsi="Times New Roman"/>
          <w:bCs/>
          <w:i/>
          <w:sz w:val="24"/>
          <w:szCs w:val="24"/>
        </w:rPr>
        <w:t>annual</w:t>
      </w:r>
      <w:proofErr w:type="spellEnd"/>
      <w:r w:rsidR="0005538B"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work</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programme</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for</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the</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implementation</w:t>
      </w:r>
      <w:proofErr w:type="spellEnd"/>
      <w:r w:rsidR="0005538B" w:rsidRPr="00660A3A">
        <w:rPr>
          <w:rFonts w:ascii="Times New Roman" w:hAnsi="Times New Roman"/>
          <w:bCs/>
          <w:i/>
          <w:sz w:val="24"/>
          <w:szCs w:val="24"/>
        </w:rPr>
        <w:t xml:space="preserve"> </w:t>
      </w:r>
      <w:proofErr w:type="spellStart"/>
      <w:r w:rsidR="0005538B" w:rsidRPr="00660A3A">
        <w:rPr>
          <w:rFonts w:ascii="Times New Roman" w:hAnsi="Times New Roman"/>
          <w:bCs/>
          <w:i/>
          <w:sz w:val="24"/>
          <w:szCs w:val="24"/>
        </w:rPr>
        <w:t>of</w:t>
      </w:r>
      <w:proofErr w:type="spellEnd"/>
      <w:r w:rsidR="0005538B" w:rsidRPr="00660A3A">
        <w:rPr>
          <w:rFonts w:ascii="Times New Roman" w:hAnsi="Times New Roman"/>
          <w:bCs/>
          <w:i/>
          <w:sz w:val="24"/>
          <w:szCs w:val="24"/>
        </w:rPr>
        <w:t xml:space="preserve"> „</w:t>
      </w:r>
      <w:r w:rsidR="004C03BA" w:rsidRPr="00660A3A">
        <w:rPr>
          <w:rFonts w:ascii="Times New Roman" w:hAnsi="Times New Roman"/>
          <w:bCs/>
          <w:i/>
          <w:sz w:val="24"/>
          <w:szCs w:val="24"/>
        </w:rPr>
        <w:t>Erasmus+</w:t>
      </w:r>
      <w:r w:rsidR="0005538B" w:rsidRPr="00660A3A">
        <w:rPr>
          <w:rFonts w:ascii="Times New Roman" w:hAnsi="Times New Roman"/>
          <w:bCs/>
          <w:i/>
          <w:sz w:val="24"/>
          <w:szCs w:val="24"/>
        </w:rPr>
        <w:t>”</w:t>
      </w:r>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the</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Union</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Programme</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for</w:t>
      </w:r>
      <w:proofErr w:type="spellEnd"/>
      <w:r w:rsidR="0005538B"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Education</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Training</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Youth</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and</w:t>
      </w:r>
      <w:proofErr w:type="spellEnd"/>
      <w:r w:rsidR="004C03BA" w:rsidRPr="00660A3A">
        <w:rPr>
          <w:rFonts w:ascii="Times New Roman" w:hAnsi="Times New Roman"/>
          <w:bCs/>
          <w:i/>
          <w:sz w:val="24"/>
          <w:szCs w:val="24"/>
        </w:rPr>
        <w:t xml:space="preserve"> </w:t>
      </w:r>
      <w:proofErr w:type="spellStart"/>
      <w:r w:rsidR="004C03BA" w:rsidRPr="00660A3A">
        <w:rPr>
          <w:rFonts w:ascii="Times New Roman" w:hAnsi="Times New Roman"/>
          <w:bCs/>
          <w:i/>
          <w:sz w:val="24"/>
          <w:szCs w:val="24"/>
        </w:rPr>
        <w:t>Sport</w:t>
      </w:r>
      <w:proofErr w:type="spellEnd"/>
      <w:r w:rsidR="004C03BA" w:rsidRPr="00660A3A">
        <w:rPr>
          <w:rFonts w:ascii="Times New Roman" w:hAnsi="Times New Roman"/>
          <w:bCs/>
          <w:i/>
          <w:sz w:val="24"/>
          <w:szCs w:val="24"/>
        </w:rPr>
        <w:t>”</w:t>
      </w:r>
      <w:r w:rsidR="0005538B" w:rsidRPr="00660A3A">
        <w:rPr>
          <w:rFonts w:ascii="Times New Roman" w:hAnsi="Times New Roman"/>
          <w:bCs/>
          <w:i/>
          <w:sz w:val="24"/>
          <w:szCs w:val="24"/>
        </w:rPr>
        <w:t>,</w:t>
      </w:r>
      <w:r w:rsidR="004C03BA" w:rsidRPr="00660A3A">
        <w:rPr>
          <w:rFonts w:ascii="Times New Roman" w:hAnsi="Times New Roman"/>
          <w:bCs/>
          <w:i/>
          <w:sz w:val="24"/>
          <w:szCs w:val="24"/>
        </w:rPr>
        <w:t xml:space="preserve"> </w:t>
      </w:r>
      <w:r w:rsidR="004C03BA" w:rsidRPr="00660A3A">
        <w:rPr>
          <w:rFonts w:ascii="Times New Roman" w:hAnsi="Times New Roman"/>
          <w:i/>
          <w:iCs/>
          <w:sz w:val="24"/>
          <w:szCs w:val="24"/>
        </w:rPr>
        <w:t xml:space="preserve">C(2014)3453 </w:t>
      </w:r>
      <w:proofErr w:type="spellStart"/>
      <w:r w:rsidR="004C03BA" w:rsidRPr="00660A3A">
        <w:rPr>
          <w:rFonts w:ascii="Times New Roman" w:hAnsi="Times New Roman"/>
          <w:i/>
          <w:iCs/>
          <w:sz w:val="24"/>
          <w:szCs w:val="24"/>
        </w:rPr>
        <w:t>of</w:t>
      </w:r>
      <w:proofErr w:type="spellEnd"/>
      <w:r w:rsidR="004C03BA" w:rsidRPr="00660A3A">
        <w:rPr>
          <w:rFonts w:ascii="Times New Roman" w:hAnsi="Times New Roman"/>
          <w:i/>
          <w:iCs/>
          <w:sz w:val="24"/>
          <w:szCs w:val="24"/>
        </w:rPr>
        <w:t xml:space="preserve"> 2 </w:t>
      </w:r>
      <w:proofErr w:type="spellStart"/>
      <w:r w:rsidR="004C03BA" w:rsidRPr="00660A3A">
        <w:rPr>
          <w:rFonts w:ascii="Times New Roman" w:hAnsi="Times New Roman"/>
          <w:i/>
          <w:iCs/>
          <w:sz w:val="24"/>
          <w:szCs w:val="24"/>
        </w:rPr>
        <w:t>June</w:t>
      </w:r>
      <w:proofErr w:type="spellEnd"/>
      <w:r w:rsidR="004C03BA" w:rsidRPr="00660A3A">
        <w:rPr>
          <w:rFonts w:ascii="Times New Roman" w:hAnsi="Times New Roman"/>
          <w:i/>
          <w:iCs/>
          <w:sz w:val="24"/>
          <w:szCs w:val="24"/>
        </w:rPr>
        <w:t xml:space="preserve"> 2014</w:t>
      </w:r>
      <w:r w:rsidR="00E758C3" w:rsidRPr="00660A3A">
        <w:rPr>
          <w:rFonts w:ascii="Times New Roman" w:hAnsi="Times New Roman"/>
          <w:iCs/>
          <w:sz w:val="24"/>
          <w:szCs w:val="24"/>
        </w:rPr>
        <w:t xml:space="preserve">) </w:t>
      </w:r>
      <w:r w:rsidRPr="00660A3A">
        <w:rPr>
          <w:rFonts w:ascii="Times New Roman" w:hAnsi="Times New Roman"/>
          <w:iCs/>
          <w:sz w:val="24"/>
          <w:szCs w:val="24"/>
        </w:rPr>
        <w:t>(turpmāk – Komisijas 2014.gada darba programma)</w:t>
      </w:r>
      <w:r w:rsidRPr="00660A3A">
        <w:rPr>
          <w:rFonts w:ascii="Times New Roman" w:hAnsi="Times New Roman"/>
          <w:sz w:val="24"/>
          <w:szCs w:val="24"/>
        </w:rPr>
        <w:t xml:space="preserve"> noteikto 2014.gadā Latvijai ir paredzēta ES budžeta dotācija decentralizētajām darbībām (personu mobilitāte mācību nolūkos, sadarbība inovācijas veicināšanai un labas prakses apmaiņa, atbalsts politikas </w:t>
      </w:r>
      <w:r w:rsidRPr="00660A3A">
        <w:rPr>
          <w:rFonts w:ascii="Times New Roman" w:hAnsi="Times New Roman"/>
          <w:sz w:val="24"/>
          <w:szCs w:val="24"/>
        </w:rPr>
        <w:lastRenderedPageBreak/>
        <w:t>reformām izglītības un apmācības, kā arī jaunatnes jomā) </w:t>
      </w:r>
      <w:r w:rsidR="00DB6D73" w:rsidRPr="00660A3A">
        <w:rPr>
          <w:rFonts w:ascii="Times New Roman" w:hAnsi="Times New Roman"/>
          <w:sz w:val="24"/>
          <w:szCs w:val="24"/>
        </w:rPr>
        <w:t xml:space="preserve">15 194 170 EUR </w:t>
      </w:r>
      <w:r w:rsidRPr="00660A3A">
        <w:rPr>
          <w:rFonts w:ascii="Times New Roman" w:hAnsi="Times New Roman"/>
          <w:sz w:val="24"/>
          <w:szCs w:val="24"/>
        </w:rPr>
        <w:t>apmērā</w:t>
      </w:r>
      <w:r w:rsidR="008626FC" w:rsidRPr="00660A3A">
        <w:rPr>
          <w:rFonts w:ascii="Times New Roman" w:hAnsi="Times New Roman"/>
          <w:sz w:val="24"/>
          <w:szCs w:val="24"/>
        </w:rPr>
        <w:t xml:space="preserve">, </w:t>
      </w:r>
      <w:r w:rsidR="00967CC0" w:rsidRPr="00660A3A">
        <w:rPr>
          <w:rFonts w:ascii="Times New Roman" w:hAnsi="Times New Roman"/>
          <w:sz w:val="24"/>
          <w:szCs w:val="24"/>
        </w:rPr>
        <w:t>tai</w:t>
      </w:r>
      <w:r w:rsidR="00967CC0">
        <w:rPr>
          <w:rFonts w:ascii="Times New Roman" w:hAnsi="Times New Roman"/>
          <w:sz w:val="24"/>
          <w:szCs w:val="24"/>
        </w:rPr>
        <w:t xml:space="preserve"> skaitā arī finansējums 717</w:t>
      </w:r>
      <w:r w:rsidR="00DB6D73">
        <w:rPr>
          <w:rFonts w:ascii="Times New Roman" w:hAnsi="Times New Roman"/>
          <w:sz w:val="24"/>
          <w:szCs w:val="24"/>
        </w:rPr>
        <w:t> </w:t>
      </w:r>
      <w:r w:rsidR="00967CC0">
        <w:rPr>
          <w:rFonts w:ascii="Times New Roman" w:hAnsi="Times New Roman"/>
          <w:sz w:val="24"/>
          <w:szCs w:val="24"/>
        </w:rPr>
        <w:t xml:space="preserve">488 </w:t>
      </w:r>
      <w:r w:rsidR="00DB6D73">
        <w:rPr>
          <w:rFonts w:ascii="Times New Roman" w:hAnsi="Times New Roman"/>
          <w:sz w:val="24"/>
          <w:szCs w:val="24"/>
        </w:rPr>
        <w:t xml:space="preserve">EUR </w:t>
      </w:r>
      <w:r w:rsidR="00967CC0">
        <w:rPr>
          <w:rFonts w:ascii="Times New Roman" w:hAnsi="Times New Roman"/>
          <w:sz w:val="24"/>
          <w:szCs w:val="24"/>
        </w:rPr>
        <w:t>valsts aģentūrām decentralizēto darbību pārvaldībai un uzraudzībai Latvijā (skatīt Komisijas 2014.gada dar</w:t>
      </w:r>
      <w:r w:rsidR="008A35DB">
        <w:rPr>
          <w:rFonts w:ascii="Times New Roman" w:hAnsi="Times New Roman"/>
          <w:sz w:val="24"/>
          <w:szCs w:val="24"/>
        </w:rPr>
        <w:t>b</w:t>
      </w:r>
      <w:r w:rsidR="00967CC0">
        <w:rPr>
          <w:rFonts w:ascii="Times New Roman" w:hAnsi="Times New Roman"/>
          <w:sz w:val="24"/>
          <w:szCs w:val="24"/>
        </w:rPr>
        <w:t>a programmas 2.pielikumu)</w:t>
      </w:r>
      <w:r>
        <w:rPr>
          <w:rFonts w:ascii="Times New Roman" w:hAnsi="Times New Roman"/>
          <w:sz w:val="24"/>
          <w:szCs w:val="24"/>
        </w:rPr>
        <w:t>. Lai minētais finansējums būtu pieejams, nepieciešams valsts budžetā at</w:t>
      </w:r>
      <w:r w:rsidR="008626FC">
        <w:rPr>
          <w:rFonts w:ascii="Times New Roman" w:hAnsi="Times New Roman"/>
          <w:sz w:val="24"/>
          <w:szCs w:val="24"/>
        </w:rPr>
        <w:t>t</w:t>
      </w:r>
      <w:r w:rsidR="00EF57A6">
        <w:rPr>
          <w:rFonts w:ascii="Times New Roman" w:hAnsi="Times New Roman"/>
          <w:sz w:val="24"/>
          <w:szCs w:val="24"/>
        </w:rPr>
        <w:t>ie</w:t>
      </w:r>
      <w:r w:rsidR="008626FC">
        <w:rPr>
          <w:rFonts w:ascii="Times New Roman" w:hAnsi="Times New Roman"/>
          <w:sz w:val="24"/>
          <w:szCs w:val="24"/>
        </w:rPr>
        <w:t xml:space="preserve">cīgi </w:t>
      </w:r>
      <w:r>
        <w:rPr>
          <w:rFonts w:ascii="Times New Roman" w:hAnsi="Times New Roman"/>
          <w:sz w:val="24"/>
          <w:szCs w:val="24"/>
        </w:rPr>
        <w:t xml:space="preserve"> palielināt </w:t>
      </w:r>
      <w:r w:rsidRPr="00AD4387">
        <w:rPr>
          <w:rFonts w:ascii="Times New Roman" w:hAnsi="Times New Roman"/>
          <w:sz w:val="24"/>
          <w:szCs w:val="24"/>
        </w:rPr>
        <w:t>ārvalstu finanšu palīdzību iestāžu ieņēmumos</w:t>
      </w:r>
      <w:r w:rsidR="00F86BC7">
        <w:rPr>
          <w:rFonts w:ascii="Times New Roman" w:hAnsi="Times New Roman"/>
          <w:sz w:val="24"/>
          <w:szCs w:val="24"/>
        </w:rPr>
        <w:t xml:space="preserve"> </w:t>
      </w:r>
      <w:r w:rsidR="0013329D">
        <w:rPr>
          <w:rFonts w:ascii="Times New Roman" w:hAnsi="Times New Roman"/>
          <w:sz w:val="24"/>
          <w:szCs w:val="24"/>
        </w:rPr>
        <w:t>2014</w:t>
      </w:r>
      <w:r w:rsidR="00967CC0">
        <w:rPr>
          <w:rFonts w:ascii="Times New Roman" w:hAnsi="Times New Roman"/>
          <w:sz w:val="24"/>
          <w:szCs w:val="24"/>
        </w:rPr>
        <w:t xml:space="preserve">.gadā, kā arī </w:t>
      </w:r>
      <w:r w:rsidR="0013329D">
        <w:rPr>
          <w:rFonts w:ascii="Times New Roman" w:hAnsi="Times New Roman"/>
          <w:sz w:val="24"/>
          <w:szCs w:val="24"/>
        </w:rPr>
        <w:t xml:space="preserve">plānot atbilstošas ilgtermiņa saistības turpmākajos </w:t>
      </w:r>
      <w:r w:rsidR="008A35DB">
        <w:rPr>
          <w:rFonts w:ascii="Times New Roman" w:hAnsi="Times New Roman"/>
          <w:sz w:val="24"/>
          <w:szCs w:val="24"/>
        </w:rPr>
        <w:t>programmas</w:t>
      </w:r>
      <w:r w:rsidR="008A35DB" w:rsidRPr="009E4354">
        <w:rPr>
          <w:rFonts w:ascii="Times New Roman" w:hAnsi="Times New Roman"/>
          <w:i/>
          <w:sz w:val="24"/>
          <w:szCs w:val="24"/>
        </w:rPr>
        <w:t xml:space="preserve"> </w:t>
      </w:r>
      <w:r w:rsidR="0013329D" w:rsidRPr="009E4354">
        <w:rPr>
          <w:rFonts w:ascii="Times New Roman" w:hAnsi="Times New Roman"/>
          <w:i/>
          <w:sz w:val="24"/>
          <w:szCs w:val="24"/>
        </w:rPr>
        <w:t>Erasmus+</w:t>
      </w:r>
      <w:r w:rsidR="0013329D">
        <w:rPr>
          <w:rFonts w:ascii="Times New Roman" w:hAnsi="Times New Roman"/>
          <w:sz w:val="24"/>
          <w:szCs w:val="24"/>
        </w:rPr>
        <w:t xml:space="preserve"> īstenošanas gados. </w:t>
      </w:r>
    </w:p>
    <w:p w:rsidR="00F86BC7" w:rsidRDefault="0013329D" w:rsidP="00957A4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Tiek plānots, ka turpmākajos programmas </w:t>
      </w:r>
      <w:r w:rsidRPr="0013329D">
        <w:rPr>
          <w:rFonts w:ascii="Times New Roman" w:hAnsi="Times New Roman"/>
          <w:i/>
          <w:sz w:val="24"/>
          <w:szCs w:val="24"/>
        </w:rPr>
        <w:t>Erasmus+</w:t>
      </w:r>
      <w:r>
        <w:rPr>
          <w:rFonts w:ascii="Times New Roman" w:hAnsi="Times New Roman"/>
          <w:sz w:val="24"/>
          <w:szCs w:val="24"/>
        </w:rPr>
        <w:t xml:space="preserve"> īstenošanas gados Latvijai pieejamais ES finansējums pakāpeniski pieaugs. Saskaņā ar š.g. </w:t>
      </w:r>
      <w:r w:rsidR="008A35DB">
        <w:rPr>
          <w:rFonts w:ascii="Times New Roman" w:hAnsi="Times New Roman"/>
          <w:sz w:val="24"/>
          <w:szCs w:val="24"/>
        </w:rPr>
        <w:t>5.</w:t>
      </w:r>
      <w:r>
        <w:rPr>
          <w:rFonts w:ascii="Times New Roman" w:hAnsi="Times New Roman"/>
          <w:sz w:val="24"/>
          <w:szCs w:val="24"/>
        </w:rPr>
        <w:t>maij</w:t>
      </w:r>
      <w:r w:rsidR="008A35DB">
        <w:rPr>
          <w:rFonts w:ascii="Times New Roman" w:hAnsi="Times New Roman"/>
          <w:sz w:val="24"/>
          <w:szCs w:val="24"/>
        </w:rPr>
        <w:t>ā</w:t>
      </w:r>
      <w:r>
        <w:rPr>
          <w:rFonts w:ascii="Times New Roman" w:hAnsi="Times New Roman"/>
          <w:sz w:val="24"/>
          <w:szCs w:val="24"/>
        </w:rPr>
        <w:t xml:space="preserve"> Komisijas ne</w:t>
      </w:r>
      <w:r w:rsidR="008626FC">
        <w:rPr>
          <w:rFonts w:ascii="Times New Roman" w:hAnsi="Times New Roman"/>
          <w:sz w:val="24"/>
          <w:szCs w:val="24"/>
        </w:rPr>
        <w:t>formāli</w:t>
      </w:r>
      <w:r>
        <w:rPr>
          <w:rFonts w:ascii="Times New Roman" w:hAnsi="Times New Roman"/>
          <w:sz w:val="24"/>
          <w:szCs w:val="24"/>
        </w:rPr>
        <w:t xml:space="preserve"> sniegto informāciju decentralizēto pasākumu īstenošanai plānotais ES finansējuma sadalījums turpmākajiem programmas </w:t>
      </w:r>
      <w:r w:rsidR="00FD77B8" w:rsidRPr="00FD77B8">
        <w:rPr>
          <w:rFonts w:ascii="Times New Roman" w:hAnsi="Times New Roman"/>
          <w:i/>
          <w:sz w:val="24"/>
          <w:szCs w:val="24"/>
        </w:rPr>
        <w:t>Erasmus+</w:t>
      </w:r>
      <w:r>
        <w:rPr>
          <w:rFonts w:ascii="Times New Roman" w:hAnsi="Times New Roman"/>
          <w:sz w:val="24"/>
          <w:szCs w:val="24"/>
        </w:rPr>
        <w:t xml:space="preserve"> īstenošanas gadiem ir šāds: 2015.gadā decentralizēto pasākumu ieviešanai plānots ES finansējums 14,4 milj. EUR</w:t>
      </w:r>
      <w:r w:rsidR="00420425">
        <w:rPr>
          <w:rFonts w:ascii="Times New Roman" w:hAnsi="Times New Roman"/>
          <w:sz w:val="24"/>
          <w:szCs w:val="24"/>
        </w:rPr>
        <w:t xml:space="preserve">, </w:t>
      </w:r>
      <w:r>
        <w:rPr>
          <w:rFonts w:ascii="Times New Roman" w:hAnsi="Times New Roman"/>
          <w:sz w:val="24"/>
          <w:szCs w:val="24"/>
        </w:rPr>
        <w:t xml:space="preserve">2016.gadā – 15,7 milj. EUR, 2017.gadā – 18,3 milj. EUR, 2018.gadā – 21 milj. EUR, 2019.gadā – 23,8 milj. EUR, 2020.gadā – 26,7 milj. EUR. Vienlaikus šis norādītā finansējuma sadalījums pa gadiem nav saistošs, </w:t>
      </w:r>
      <w:r w:rsidR="008A35DB">
        <w:rPr>
          <w:rFonts w:ascii="Times New Roman" w:hAnsi="Times New Roman"/>
          <w:sz w:val="24"/>
          <w:szCs w:val="24"/>
        </w:rPr>
        <w:t xml:space="preserve"> jo</w:t>
      </w:r>
      <w:r>
        <w:rPr>
          <w:rFonts w:ascii="Times New Roman" w:hAnsi="Times New Roman"/>
          <w:sz w:val="24"/>
          <w:szCs w:val="24"/>
        </w:rPr>
        <w:t xml:space="preserve"> turpmākajos gados pieejamā ES finansējuma apmērs tiks noteikts Komisijas </w:t>
      </w:r>
      <w:r w:rsidR="008A35DB">
        <w:rPr>
          <w:rFonts w:ascii="Times New Roman" w:hAnsi="Times New Roman"/>
          <w:sz w:val="24"/>
          <w:szCs w:val="24"/>
        </w:rPr>
        <w:t xml:space="preserve">ikgadējā </w:t>
      </w:r>
      <w:r>
        <w:rPr>
          <w:rFonts w:ascii="Times New Roman" w:hAnsi="Times New Roman"/>
          <w:sz w:val="24"/>
          <w:szCs w:val="24"/>
        </w:rPr>
        <w:t xml:space="preserve">darba programmā un tas ir atkarīgs gan no </w:t>
      </w:r>
      <w:r w:rsidR="008A35DB">
        <w:rPr>
          <w:rFonts w:ascii="Times New Roman" w:hAnsi="Times New Roman"/>
          <w:sz w:val="24"/>
          <w:szCs w:val="24"/>
        </w:rPr>
        <w:t>dzīves dārdzības</w:t>
      </w:r>
      <w:r>
        <w:rPr>
          <w:rFonts w:ascii="Times New Roman" w:hAnsi="Times New Roman"/>
          <w:sz w:val="24"/>
          <w:szCs w:val="24"/>
        </w:rPr>
        <w:t xml:space="preserve"> izmaksu izmaiņām, gan iepriekšējo gadu izpildes, gan pieejamā budžeta un citiem aprēķinu metodē iekļautiem faktoriem. </w:t>
      </w:r>
    </w:p>
    <w:p w:rsidR="00957A42" w:rsidRPr="001D794D" w:rsidRDefault="0013329D" w:rsidP="00957A4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7</w:t>
      </w:r>
      <w:r w:rsidR="00957A42" w:rsidRPr="001D794D">
        <w:rPr>
          <w:rFonts w:ascii="Times New Roman" w:hAnsi="Times New Roman"/>
          <w:sz w:val="24"/>
          <w:szCs w:val="24"/>
        </w:rPr>
        <w:t xml:space="preserve">. Latvijai </w:t>
      </w:r>
      <w:r w:rsidR="00957A42">
        <w:rPr>
          <w:rFonts w:ascii="Times New Roman" w:hAnsi="Times New Roman"/>
          <w:sz w:val="24"/>
          <w:szCs w:val="24"/>
        </w:rPr>
        <w:t xml:space="preserve">programma </w:t>
      </w:r>
      <w:r w:rsidR="00957A42" w:rsidRPr="001D794D">
        <w:rPr>
          <w:rFonts w:ascii="Times New Roman" w:hAnsi="Times New Roman"/>
          <w:i/>
          <w:sz w:val="24"/>
          <w:szCs w:val="24"/>
        </w:rPr>
        <w:t>Erasmus+</w:t>
      </w:r>
      <w:r w:rsidR="00957A42" w:rsidRPr="001D794D">
        <w:rPr>
          <w:rFonts w:ascii="Times New Roman" w:hAnsi="Times New Roman"/>
          <w:sz w:val="24"/>
          <w:szCs w:val="24"/>
        </w:rPr>
        <w:t xml:space="preserve"> ir īpaši nozīmīga, jo sniedz iespēju iegūt </w:t>
      </w:r>
      <w:r w:rsidR="00957A42">
        <w:rPr>
          <w:rFonts w:ascii="Times New Roman" w:hAnsi="Times New Roman"/>
          <w:sz w:val="24"/>
          <w:szCs w:val="24"/>
        </w:rPr>
        <w:t>ES</w:t>
      </w:r>
      <w:r w:rsidR="00957A42" w:rsidRPr="001D794D">
        <w:rPr>
          <w:rFonts w:ascii="Times New Roman" w:hAnsi="Times New Roman"/>
          <w:sz w:val="24"/>
          <w:szCs w:val="24"/>
        </w:rPr>
        <w:t xml:space="preserve"> finansējumu izglītības sistēmas modernizēšanai un paplašināt starptautisko dimensiju dažādos izglītības līmeņos, ieguvēji </w:t>
      </w:r>
      <w:r w:rsidR="00957A42">
        <w:rPr>
          <w:rFonts w:ascii="Times New Roman" w:hAnsi="Times New Roman"/>
          <w:sz w:val="24"/>
          <w:szCs w:val="24"/>
        </w:rPr>
        <w:t>ir</w:t>
      </w:r>
      <w:r w:rsidR="00957A42" w:rsidRPr="001D794D">
        <w:rPr>
          <w:rFonts w:ascii="Times New Roman" w:hAnsi="Times New Roman"/>
          <w:sz w:val="24"/>
          <w:szCs w:val="24"/>
        </w:rPr>
        <w:t xml:space="preserve"> gan institūcijas, gan indivīdi, gan sabiedrība kopumā</w:t>
      </w:r>
      <w:r w:rsidR="00957A42">
        <w:rPr>
          <w:rFonts w:ascii="Times New Roman" w:hAnsi="Times New Roman"/>
          <w:sz w:val="24"/>
          <w:szCs w:val="24"/>
        </w:rPr>
        <w:t xml:space="preserve">. </w:t>
      </w:r>
      <w:r w:rsidR="00957A42" w:rsidRPr="00653530">
        <w:rPr>
          <w:rFonts w:ascii="Times New Roman" w:hAnsi="Times New Roman"/>
          <w:sz w:val="24"/>
          <w:szCs w:val="24"/>
        </w:rPr>
        <w:t xml:space="preserve">Programma </w:t>
      </w:r>
      <w:r w:rsidR="00957A42" w:rsidRPr="00653530">
        <w:rPr>
          <w:rFonts w:ascii="Times New Roman" w:hAnsi="Times New Roman"/>
          <w:i/>
          <w:sz w:val="24"/>
          <w:szCs w:val="24"/>
        </w:rPr>
        <w:t>Erasmus+</w:t>
      </w:r>
      <w:r w:rsidR="00957A42" w:rsidRPr="00653530">
        <w:rPr>
          <w:rFonts w:ascii="Times New Roman" w:hAnsi="Times New Roman"/>
          <w:sz w:val="24"/>
          <w:szCs w:val="24"/>
        </w:rPr>
        <w:t xml:space="preserve">  palīdz sasniegt ne tikai stratēģijas „Eiropa 2020”</w:t>
      </w:r>
      <w:r w:rsidR="00957A42">
        <w:rPr>
          <w:rFonts w:ascii="Times New Roman" w:hAnsi="Times New Roman"/>
          <w:sz w:val="24"/>
          <w:szCs w:val="24"/>
        </w:rPr>
        <w:t xml:space="preserve"> mērķus</w:t>
      </w:r>
      <w:r w:rsidR="00957A42" w:rsidRPr="00653530">
        <w:rPr>
          <w:rFonts w:ascii="Times New Roman" w:hAnsi="Times New Roman"/>
          <w:sz w:val="24"/>
          <w:szCs w:val="24"/>
        </w:rPr>
        <w:t>, stratēģiskās sistēmas Eiropas sadarbībai izglītības un apmācības jomā („ET 2020”) mērķus, bet arī Izglītības attīstības pamatnostādnēs 2014.-2020.gadam noteiktos mērķus.</w:t>
      </w:r>
    </w:p>
    <w:p w:rsidR="00957A42" w:rsidRDefault="00957A42" w:rsidP="00957A42">
      <w:pPr>
        <w:tabs>
          <w:tab w:val="left" w:pos="851"/>
        </w:tabs>
        <w:spacing w:after="0" w:line="240" w:lineRule="auto"/>
        <w:ind w:firstLine="567"/>
        <w:jc w:val="both"/>
        <w:rPr>
          <w:rFonts w:ascii="Times New Roman" w:hAnsi="Times New Roman"/>
          <w:sz w:val="24"/>
          <w:szCs w:val="24"/>
        </w:rPr>
      </w:pPr>
    </w:p>
    <w:p w:rsidR="00957A42" w:rsidRDefault="00957A42" w:rsidP="00957A42">
      <w:pPr>
        <w:tabs>
          <w:tab w:val="left" w:pos="851"/>
        </w:tabs>
        <w:spacing w:after="0" w:line="240" w:lineRule="auto"/>
        <w:ind w:firstLine="567"/>
        <w:jc w:val="center"/>
        <w:rPr>
          <w:rFonts w:ascii="Times New Roman" w:hAnsi="Times New Roman"/>
          <w:b/>
          <w:sz w:val="24"/>
          <w:szCs w:val="24"/>
        </w:rPr>
      </w:pPr>
      <w:r w:rsidRPr="00A671CA">
        <w:rPr>
          <w:rFonts w:ascii="Times New Roman" w:hAnsi="Times New Roman"/>
          <w:b/>
          <w:sz w:val="24"/>
          <w:szCs w:val="24"/>
        </w:rPr>
        <w:t>2. Valsts aģentūras Latvijā</w:t>
      </w:r>
    </w:p>
    <w:p w:rsidR="00957A42" w:rsidRPr="00A671CA" w:rsidRDefault="00957A42" w:rsidP="00957A42">
      <w:pPr>
        <w:tabs>
          <w:tab w:val="left" w:pos="851"/>
        </w:tabs>
        <w:spacing w:after="0" w:line="240" w:lineRule="auto"/>
        <w:ind w:firstLine="567"/>
        <w:jc w:val="center"/>
        <w:rPr>
          <w:rFonts w:ascii="Times New Roman" w:hAnsi="Times New Roman"/>
          <w:b/>
          <w:sz w:val="24"/>
          <w:szCs w:val="24"/>
        </w:rPr>
      </w:pPr>
    </w:p>
    <w:p w:rsidR="00957A42" w:rsidRPr="001D794D" w:rsidRDefault="00BC616B" w:rsidP="00957A42">
      <w:pPr>
        <w:spacing w:after="0" w:line="240" w:lineRule="auto"/>
        <w:ind w:firstLine="567"/>
        <w:jc w:val="both"/>
        <w:rPr>
          <w:rFonts w:ascii="Times New Roman" w:hAnsi="Times New Roman"/>
          <w:sz w:val="24"/>
          <w:szCs w:val="24"/>
        </w:rPr>
      </w:pPr>
      <w:r>
        <w:rPr>
          <w:rFonts w:ascii="Times New Roman" w:hAnsi="Times New Roman"/>
          <w:sz w:val="24"/>
          <w:szCs w:val="24"/>
        </w:rPr>
        <w:t>8</w:t>
      </w:r>
      <w:r w:rsidR="00957A42" w:rsidRPr="001D794D">
        <w:rPr>
          <w:rFonts w:ascii="Times New Roman" w:hAnsi="Times New Roman"/>
          <w:sz w:val="24"/>
          <w:szCs w:val="24"/>
        </w:rPr>
        <w:t xml:space="preserve">. Ar Latvijas Republikas Pastāvīgās pārstāvniecības ES oficiālu </w:t>
      </w:r>
      <w:r w:rsidR="00957A42" w:rsidRPr="001D794D">
        <w:rPr>
          <w:rFonts w:ascii="Times New Roman" w:hAnsi="Times New Roman"/>
          <w:color w:val="000000"/>
          <w:sz w:val="24"/>
          <w:szCs w:val="24"/>
        </w:rPr>
        <w:t xml:space="preserve">paziņojumu Komisijai (17.01.2014. vēstule Nr.232-166) Izglītības un zinātnes ministrija (turpmāk – IZM) tika pilnvarota rīkoties attiecībā uz </w:t>
      </w:r>
      <w:r w:rsidR="00957A42">
        <w:rPr>
          <w:rFonts w:ascii="Times New Roman" w:hAnsi="Times New Roman"/>
          <w:color w:val="000000"/>
          <w:sz w:val="24"/>
          <w:szCs w:val="24"/>
        </w:rPr>
        <w:t>p</w:t>
      </w:r>
      <w:r w:rsidR="00957A42" w:rsidRPr="001D794D">
        <w:rPr>
          <w:rFonts w:ascii="Times New Roman" w:hAnsi="Times New Roman"/>
          <w:color w:val="000000"/>
          <w:sz w:val="24"/>
          <w:szCs w:val="24"/>
        </w:rPr>
        <w:t>rogrammas</w:t>
      </w:r>
      <w:r w:rsidR="00957A42">
        <w:rPr>
          <w:rFonts w:ascii="Times New Roman" w:hAnsi="Times New Roman"/>
          <w:color w:val="000000"/>
          <w:sz w:val="24"/>
          <w:szCs w:val="24"/>
        </w:rPr>
        <w:t xml:space="preserve"> </w:t>
      </w:r>
      <w:r w:rsidR="00957A42" w:rsidRPr="002D0632">
        <w:rPr>
          <w:rFonts w:ascii="Times New Roman" w:hAnsi="Times New Roman"/>
          <w:i/>
          <w:color w:val="000000"/>
          <w:sz w:val="24"/>
          <w:szCs w:val="24"/>
        </w:rPr>
        <w:t>Erasmus+</w:t>
      </w:r>
      <w:r w:rsidR="00957A42" w:rsidRPr="001D794D">
        <w:rPr>
          <w:rFonts w:ascii="Times New Roman" w:hAnsi="Times New Roman"/>
          <w:color w:val="000000"/>
          <w:sz w:val="24"/>
          <w:szCs w:val="24"/>
        </w:rPr>
        <w:t xml:space="preserve"> ieviešanu</w:t>
      </w:r>
      <w:r w:rsidR="00957A42" w:rsidRPr="001D794D">
        <w:rPr>
          <w:rFonts w:ascii="Times New Roman" w:hAnsi="Times New Roman"/>
          <w:sz w:val="24"/>
          <w:szCs w:val="24"/>
        </w:rPr>
        <w:t xml:space="preserve"> Latvijā kā valsts iestāde (turpmāk - VI).</w:t>
      </w:r>
      <w:r w:rsidR="00957A42" w:rsidRPr="00541E8B">
        <w:rPr>
          <w:rFonts w:ascii="Times New Roman" w:hAnsi="Times New Roman"/>
          <w:sz w:val="24"/>
          <w:szCs w:val="24"/>
        </w:rPr>
        <w:t xml:space="preserve"> </w:t>
      </w:r>
    </w:p>
    <w:p w:rsidR="00957A42" w:rsidRPr="001D794D" w:rsidRDefault="00BC616B" w:rsidP="00957A42">
      <w:pPr>
        <w:spacing w:after="0" w:line="240" w:lineRule="auto"/>
        <w:ind w:firstLine="567"/>
        <w:jc w:val="both"/>
        <w:rPr>
          <w:rFonts w:ascii="Times New Roman" w:hAnsi="Times New Roman"/>
          <w:snapToGrid w:val="0"/>
          <w:sz w:val="24"/>
          <w:szCs w:val="24"/>
          <w:lang w:eastAsia="en-GB"/>
        </w:rPr>
      </w:pPr>
      <w:r>
        <w:rPr>
          <w:rFonts w:ascii="Times New Roman" w:hAnsi="Times New Roman"/>
          <w:sz w:val="24"/>
          <w:szCs w:val="24"/>
          <w:lang w:eastAsia="lv-LV"/>
        </w:rPr>
        <w:t>9</w:t>
      </w:r>
      <w:r w:rsidR="00957A42" w:rsidRPr="001D794D">
        <w:rPr>
          <w:rFonts w:ascii="Times New Roman" w:hAnsi="Times New Roman"/>
          <w:sz w:val="24"/>
          <w:szCs w:val="24"/>
          <w:lang w:eastAsia="lv-LV"/>
        </w:rPr>
        <w:t xml:space="preserve">. </w:t>
      </w:r>
      <w:r w:rsidR="00957A42" w:rsidRPr="001D794D">
        <w:rPr>
          <w:rFonts w:ascii="Times New Roman" w:hAnsi="Times New Roman"/>
          <w:sz w:val="24"/>
          <w:szCs w:val="24"/>
        </w:rPr>
        <w:t>Ņ</w:t>
      </w:r>
      <w:r w:rsidR="00957A42" w:rsidRPr="001D794D">
        <w:rPr>
          <w:rFonts w:ascii="Times New Roman" w:hAnsi="Times New Roman"/>
          <w:snapToGrid w:val="0"/>
          <w:sz w:val="24"/>
          <w:szCs w:val="24"/>
          <w:lang w:eastAsia="en-GB"/>
        </w:rPr>
        <w:t xml:space="preserve">emot vērā </w:t>
      </w:r>
      <w:r w:rsidR="00957A42">
        <w:rPr>
          <w:rFonts w:ascii="Times New Roman" w:hAnsi="Times New Roman"/>
          <w:snapToGrid w:val="0"/>
          <w:sz w:val="24"/>
          <w:szCs w:val="24"/>
          <w:lang w:eastAsia="en-GB"/>
        </w:rPr>
        <w:t xml:space="preserve">programmas </w:t>
      </w:r>
      <w:r w:rsidR="00957A42" w:rsidRPr="001D794D">
        <w:rPr>
          <w:rFonts w:ascii="Times New Roman" w:hAnsi="Times New Roman"/>
          <w:i/>
          <w:snapToGrid w:val="0"/>
          <w:sz w:val="24"/>
          <w:szCs w:val="24"/>
          <w:lang w:eastAsia="en-GB"/>
        </w:rPr>
        <w:t>Erasmus+</w:t>
      </w:r>
      <w:r w:rsidR="00957A42" w:rsidRPr="001D794D">
        <w:rPr>
          <w:rFonts w:ascii="Times New Roman" w:hAnsi="Times New Roman"/>
          <w:snapToGrid w:val="0"/>
          <w:sz w:val="24"/>
          <w:szCs w:val="24"/>
          <w:lang w:eastAsia="en-GB"/>
        </w:rPr>
        <w:t xml:space="preserve"> specifisko pasākumu kopumu nozarēm, kā arī saskaņā ar </w:t>
      </w:r>
      <w:r w:rsidR="00957A42" w:rsidRPr="001D794D">
        <w:rPr>
          <w:rFonts w:ascii="Times New Roman" w:hAnsi="Times New Roman"/>
          <w:sz w:val="24"/>
          <w:szCs w:val="24"/>
        </w:rPr>
        <w:t xml:space="preserve">2007.-2013.gada programmu ieviešanas shēmu </w:t>
      </w:r>
      <w:r w:rsidR="00957A42" w:rsidRPr="001D794D">
        <w:rPr>
          <w:rFonts w:ascii="Times New Roman" w:hAnsi="Times New Roman"/>
          <w:snapToGrid w:val="0"/>
          <w:sz w:val="24"/>
          <w:szCs w:val="24"/>
          <w:lang w:eastAsia="en-GB"/>
        </w:rPr>
        <w:t xml:space="preserve">attiecībā uz formālo izglītību un </w:t>
      </w:r>
      <w:r w:rsidR="00957A42" w:rsidRPr="001D794D">
        <w:rPr>
          <w:rFonts w:ascii="Times New Roman" w:hAnsi="Times New Roman"/>
          <w:sz w:val="24"/>
          <w:szCs w:val="24"/>
        </w:rPr>
        <w:t xml:space="preserve">neformālo mācīšanos, </w:t>
      </w:r>
      <w:r w:rsidR="00957A42">
        <w:rPr>
          <w:rFonts w:ascii="Times New Roman" w:hAnsi="Times New Roman"/>
          <w:snapToGrid w:val="0"/>
          <w:sz w:val="24"/>
          <w:szCs w:val="24"/>
          <w:lang w:eastAsia="en-GB"/>
        </w:rPr>
        <w:t>IZM</w:t>
      </w:r>
      <w:r w:rsidR="00957A42" w:rsidRPr="001D794D">
        <w:rPr>
          <w:rFonts w:ascii="Times New Roman" w:hAnsi="Times New Roman"/>
          <w:snapToGrid w:val="0"/>
          <w:sz w:val="24"/>
          <w:szCs w:val="24"/>
          <w:lang w:eastAsia="en-GB"/>
        </w:rPr>
        <w:t xml:space="preserve"> </w:t>
      </w:r>
      <w:r w:rsidR="00957A42">
        <w:rPr>
          <w:rFonts w:ascii="Times New Roman" w:hAnsi="Times New Roman"/>
          <w:snapToGrid w:val="0"/>
          <w:sz w:val="24"/>
          <w:szCs w:val="24"/>
          <w:lang w:eastAsia="en-GB"/>
        </w:rPr>
        <w:t xml:space="preserve">2013.gada 29.novembrī </w:t>
      </w:r>
      <w:r w:rsidR="00957A42" w:rsidRPr="001D794D">
        <w:rPr>
          <w:rFonts w:ascii="Times New Roman" w:hAnsi="Times New Roman"/>
          <w:snapToGrid w:val="0"/>
          <w:sz w:val="24"/>
          <w:szCs w:val="24"/>
          <w:lang w:eastAsia="en-GB"/>
        </w:rPr>
        <w:t>sniedza informāciju Komisijai, ka tiks norīkota atsevišķa valsts aģentūra izglītības un apmācības jomā – Valsts izglītības attīstības aģentūra</w:t>
      </w:r>
      <w:r w:rsidR="00957A42">
        <w:rPr>
          <w:rFonts w:ascii="Times New Roman" w:hAnsi="Times New Roman"/>
          <w:snapToGrid w:val="0"/>
          <w:sz w:val="24"/>
          <w:szCs w:val="24"/>
          <w:lang w:eastAsia="en-GB"/>
        </w:rPr>
        <w:t xml:space="preserve"> (turpmāk – VIAA)</w:t>
      </w:r>
      <w:r w:rsidR="00957A42" w:rsidRPr="001D794D">
        <w:rPr>
          <w:rFonts w:ascii="Times New Roman" w:hAnsi="Times New Roman"/>
          <w:snapToGrid w:val="0"/>
          <w:sz w:val="24"/>
          <w:szCs w:val="24"/>
          <w:lang w:eastAsia="en-GB"/>
        </w:rPr>
        <w:t xml:space="preserve">, un atsevišķa </w:t>
      </w:r>
      <w:r w:rsidR="00957A42">
        <w:rPr>
          <w:rFonts w:ascii="Times New Roman" w:hAnsi="Times New Roman"/>
          <w:snapToGrid w:val="0"/>
          <w:sz w:val="24"/>
          <w:szCs w:val="24"/>
          <w:lang w:eastAsia="en-GB"/>
        </w:rPr>
        <w:t xml:space="preserve">valsts aģentūra </w:t>
      </w:r>
      <w:r w:rsidR="00957A42" w:rsidRPr="001D794D">
        <w:rPr>
          <w:rFonts w:ascii="Times New Roman" w:hAnsi="Times New Roman"/>
          <w:snapToGrid w:val="0"/>
          <w:sz w:val="24"/>
          <w:szCs w:val="24"/>
          <w:lang w:eastAsia="en-GB"/>
        </w:rPr>
        <w:t>jaunatnes jom</w:t>
      </w:r>
      <w:r w:rsidR="00957A42">
        <w:rPr>
          <w:rFonts w:ascii="Times New Roman" w:hAnsi="Times New Roman"/>
          <w:snapToGrid w:val="0"/>
          <w:sz w:val="24"/>
          <w:szCs w:val="24"/>
          <w:lang w:eastAsia="en-GB"/>
        </w:rPr>
        <w:t>ā</w:t>
      </w:r>
      <w:r w:rsidR="00957A42" w:rsidRPr="001D794D">
        <w:rPr>
          <w:rFonts w:ascii="Times New Roman" w:hAnsi="Times New Roman"/>
          <w:snapToGrid w:val="0"/>
          <w:sz w:val="24"/>
          <w:szCs w:val="24"/>
          <w:lang w:eastAsia="en-GB"/>
        </w:rPr>
        <w:t xml:space="preserve"> </w:t>
      </w:r>
      <w:r w:rsidR="00957A42">
        <w:rPr>
          <w:rFonts w:ascii="Times New Roman" w:hAnsi="Times New Roman"/>
          <w:snapToGrid w:val="0"/>
          <w:sz w:val="24"/>
          <w:szCs w:val="24"/>
          <w:lang w:eastAsia="en-GB"/>
        </w:rPr>
        <w:t>–</w:t>
      </w:r>
      <w:r w:rsidR="00957A42" w:rsidRPr="001D794D">
        <w:rPr>
          <w:rFonts w:ascii="Times New Roman" w:hAnsi="Times New Roman"/>
          <w:snapToGrid w:val="0"/>
          <w:sz w:val="24"/>
          <w:szCs w:val="24"/>
          <w:lang w:eastAsia="en-GB"/>
        </w:rPr>
        <w:t xml:space="preserve"> </w:t>
      </w:r>
      <w:r w:rsidR="00957A42" w:rsidRPr="001D794D">
        <w:rPr>
          <w:rFonts w:ascii="Times New Roman" w:hAnsi="Times New Roman"/>
          <w:sz w:val="24"/>
          <w:szCs w:val="24"/>
        </w:rPr>
        <w:t>Jaunatnes starptautisko programmu aģentūra</w:t>
      </w:r>
      <w:r w:rsidR="00957A42">
        <w:rPr>
          <w:rFonts w:ascii="Times New Roman" w:hAnsi="Times New Roman"/>
          <w:sz w:val="24"/>
          <w:szCs w:val="24"/>
        </w:rPr>
        <w:t xml:space="preserve"> (turpmāk – JSPA)</w:t>
      </w:r>
      <w:r w:rsidR="00957A42" w:rsidRPr="001D794D">
        <w:rPr>
          <w:rFonts w:ascii="Times New Roman" w:hAnsi="Times New Roman"/>
          <w:sz w:val="24"/>
          <w:szCs w:val="24"/>
        </w:rPr>
        <w:t>.</w:t>
      </w:r>
      <w:r w:rsidR="00957A42" w:rsidRPr="001D794D">
        <w:rPr>
          <w:rFonts w:ascii="Times New Roman" w:hAnsi="Times New Roman"/>
          <w:snapToGrid w:val="0"/>
          <w:sz w:val="24"/>
          <w:szCs w:val="24"/>
          <w:lang w:eastAsia="en-GB"/>
        </w:rPr>
        <w:t xml:space="preserve"> </w:t>
      </w:r>
      <w:r w:rsidR="00957A42">
        <w:rPr>
          <w:rFonts w:ascii="Times New Roman" w:hAnsi="Times New Roman"/>
          <w:snapToGrid w:val="0"/>
          <w:sz w:val="24"/>
          <w:szCs w:val="24"/>
          <w:lang w:eastAsia="en-GB"/>
        </w:rPr>
        <w:t xml:space="preserve">JSPA 2007.-2013.gada periodā veica ES programmas “Jaunatne darbībā” valsts aģentūras funkcijas, VIAA veica ES </w:t>
      </w:r>
      <w:r w:rsidR="00921E0E">
        <w:rPr>
          <w:rFonts w:ascii="Times New Roman" w:hAnsi="Times New Roman"/>
          <w:snapToGrid w:val="0"/>
          <w:sz w:val="24"/>
          <w:szCs w:val="24"/>
          <w:lang w:eastAsia="en-GB"/>
        </w:rPr>
        <w:t xml:space="preserve">rīcības </w:t>
      </w:r>
      <w:r w:rsidR="00957A42">
        <w:rPr>
          <w:rFonts w:ascii="Times New Roman" w:hAnsi="Times New Roman"/>
          <w:snapToGrid w:val="0"/>
          <w:sz w:val="24"/>
          <w:szCs w:val="24"/>
          <w:lang w:eastAsia="en-GB"/>
        </w:rPr>
        <w:t xml:space="preserve">programmas mūžizglītības jomā 2007.-2013.gadam valsts aģentūras funkcijas. </w:t>
      </w:r>
    </w:p>
    <w:p w:rsidR="00957A42" w:rsidRDefault="00BC616B" w:rsidP="00957A42">
      <w:pPr>
        <w:spacing w:after="0" w:line="240" w:lineRule="auto"/>
        <w:ind w:firstLine="567"/>
        <w:jc w:val="both"/>
        <w:rPr>
          <w:rFonts w:ascii="Times New Roman" w:hAnsi="Times New Roman"/>
          <w:sz w:val="24"/>
          <w:szCs w:val="24"/>
          <w:lang w:eastAsia="lv-LV"/>
        </w:rPr>
      </w:pPr>
      <w:r>
        <w:rPr>
          <w:rFonts w:ascii="Times New Roman" w:hAnsi="Times New Roman"/>
          <w:sz w:val="24"/>
          <w:szCs w:val="24"/>
          <w:lang w:eastAsia="lv-LV"/>
        </w:rPr>
        <w:t>10</w:t>
      </w:r>
      <w:r w:rsidR="00957A42" w:rsidRPr="00321007">
        <w:rPr>
          <w:rFonts w:ascii="Times New Roman" w:hAnsi="Times New Roman"/>
          <w:sz w:val="24"/>
          <w:szCs w:val="24"/>
          <w:lang w:eastAsia="lv-LV"/>
        </w:rPr>
        <w:t>. Saskaņā ar regulā Nr.1288/2013 28.pantā noteikto valsts aģentūras</w:t>
      </w:r>
      <w:r w:rsidR="00957A42">
        <w:rPr>
          <w:rFonts w:ascii="Times New Roman" w:hAnsi="Times New Roman"/>
          <w:sz w:val="24"/>
          <w:szCs w:val="24"/>
          <w:lang w:eastAsia="lv-LV"/>
        </w:rPr>
        <w:t xml:space="preserve"> ir atbildīgas par visu projektu darbības ciklu pārvaldību un projektu uzraudzību attiecībā uz programmas </w:t>
      </w:r>
      <w:r w:rsidR="00957A42" w:rsidRPr="00321007">
        <w:rPr>
          <w:rFonts w:ascii="Times New Roman" w:hAnsi="Times New Roman"/>
          <w:i/>
          <w:sz w:val="24"/>
          <w:szCs w:val="24"/>
          <w:lang w:eastAsia="lv-LV"/>
        </w:rPr>
        <w:t>Erasmus+</w:t>
      </w:r>
      <w:r w:rsidR="00957A42">
        <w:rPr>
          <w:rFonts w:ascii="Times New Roman" w:hAnsi="Times New Roman"/>
          <w:sz w:val="24"/>
          <w:szCs w:val="24"/>
          <w:lang w:eastAsia="lv-LV"/>
        </w:rPr>
        <w:t xml:space="preserve"> trīs pamata darbībām:</w:t>
      </w:r>
    </w:p>
    <w:p w:rsidR="00957A42" w:rsidRPr="00321007" w:rsidRDefault="00957A42" w:rsidP="00957A42">
      <w:pPr>
        <w:spacing w:after="0" w:line="240" w:lineRule="auto"/>
        <w:ind w:firstLine="567"/>
        <w:jc w:val="both"/>
        <w:rPr>
          <w:rFonts w:ascii="Times New Roman" w:hAnsi="Times New Roman"/>
          <w:sz w:val="24"/>
          <w:szCs w:val="24"/>
          <w:lang w:eastAsia="lv-LV"/>
        </w:rPr>
      </w:pPr>
      <w:r>
        <w:rPr>
          <w:rFonts w:ascii="Times New Roman" w:hAnsi="Times New Roman"/>
          <w:sz w:val="24"/>
          <w:szCs w:val="24"/>
          <w:lang w:eastAsia="lv-LV"/>
        </w:rPr>
        <w:t xml:space="preserve">a) </w:t>
      </w:r>
      <w:r w:rsidRPr="00321007">
        <w:rPr>
          <w:rFonts w:ascii="Times New Roman" w:hAnsi="Times New Roman"/>
          <w:sz w:val="24"/>
          <w:szCs w:val="24"/>
          <w:lang w:eastAsia="lv-LV"/>
        </w:rPr>
        <w:t xml:space="preserve">personu mobilitāte mācību nolūkos, izņemot mobilitāti, kuru nodrošina, pamatojoties uz kopīgiem vai </w:t>
      </w:r>
      <w:proofErr w:type="spellStart"/>
      <w:r w:rsidRPr="00321007">
        <w:rPr>
          <w:rFonts w:ascii="Times New Roman" w:hAnsi="Times New Roman"/>
          <w:sz w:val="24"/>
          <w:szCs w:val="24"/>
          <w:lang w:eastAsia="lv-LV"/>
        </w:rPr>
        <w:t>divaugstskolu</w:t>
      </w:r>
      <w:proofErr w:type="spellEnd"/>
      <w:r w:rsidRPr="00321007">
        <w:rPr>
          <w:rFonts w:ascii="Times New Roman" w:hAnsi="Times New Roman"/>
          <w:sz w:val="24"/>
          <w:szCs w:val="24"/>
          <w:lang w:eastAsia="lv-LV"/>
        </w:rPr>
        <w:t>/</w:t>
      </w:r>
      <w:proofErr w:type="spellStart"/>
      <w:r w:rsidRPr="00321007">
        <w:rPr>
          <w:rFonts w:ascii="Times New Roman" w:hAnsi="Times New Roman"/>
          <w:sz w:val="24"/>
          <w:szCs w:val="24"/>
          <w:lang w:eastAsia="lv-LV"/>
        </w:rPr>
        <w:t>vairākaugstskolu</w:t>
      </w:r>
      <w:proofErr w:type="spellEnd"/>
      <w:r w:rsidRPr="00321007">
        <w:rPr>
          <w:rFonts w:ascii="Times New Roman" w:hAnsi="Times New Roman"/>
          <w:sz w:val="24"/>
          <w:szCs w:val="24"/>
          <w:lang w:eastAsia="lv-LV"/>
        </w:rPr>
        <w:t xml:space="preserve"> grādiem, plaša mēroga brīvprātīgā darba projektiem un studentu aizdevumu garantijas instrumentu;</w:t>
      </w:r>
    </w:p>
    <w:p w:rsidR="00957A42" w:rsidRPr="00321007" w:rsidRDefault="00957A42" w:rsidP="00957A42">
      <w:pPr>
        <w:spacing w:after="0" w:line="240" w:lineRule="auto"/>
        <w:ind w:firstLine="567"/>
        <w:jc w:val="both"/>
        <w:rPr>
          <w:rFonts w:ascii="Times New Roman" w:hAnsi="Times New Roman"/>
          <w:sz w:val="24"/>
          <w:szCs w:val="24"/>
          <w:lang w:eastAsia="lv-LV"/>
        </w:rPr>
      </w:pPr>
      <w:r w:rsidRPr="00321007">
        <w:rPr>
          <w:rFonts w:ascii="Times New Roman" w:hAnsi="Times New Roman"/>
          <w:sz w:val="24"/>
          <w:szCs w:val="24"/>
          <w:lang w:eastAsia="lv-LV"/>
        </w:rPr>
        <w:t>b) stratēģisk</w:t>
      </w:r>
      <w:r>
        <w:rPr>
          <w:rFonts w:ascii="Times New Roman" w:hAnsi="Times New Roman"/>
          <w:sz w:val="24"/>
          <w:szCs w:val="24"/>
          <w:lang w:eastAsia="lv-LV"/>
        </w:rPr>
        <w:t>ās</w:t>
      </w:r>
      <w:r w:rsidRPr="00321007">
        <w:rPr>
          <w:rFonts w:ascii="Times New Roman" w:hAnsi="Times New Roman"/>
          <w:sz w:val="24"/>
          <w:szCs w:val="24"/>
          <w:lang w:eastAsia="lv-LV"/>
        </w:rPr>
        <w:t xml:space="preserve"> partnerīb</w:t>
      </w:r>
      <w:r>
        <w:rPr>
          <w:rFonts w:ascii="Times New Roman" w:hAnsi="Times New Roman"/>
          <w:sz w:val="24"/>
          <w:szCs w:val="24"/>
          <w:lang w:eastAsia="lv-LV"/>
        </w:rPr>
        <w:t>as</w:t>
      </w:r>
      <w:r w:rsidRPr="00321007">
        <w:rPr>
          <w:rFonts w:ascii="Times New Roman" w:hAnsi="Times New Roman"/>
          <w:sz w:val="24"/>
          <w:szCs w:val="24"/>
          <w:lang w:eastAsia="lv-LV"/>
        </w:rPr>
        <w:t>, kas izveidotas darbībā "sadarbība inovācijas veicināšanai un labas prakses apmaiņa";</w:t>
      </w:r>
    </w:p>
    <w:p w:rsidR="00957A42" w:rsidRDefault="00957A42" w:rsidP="00957A42">
      <w:pPr>
        <w:spacing w:after="0" w:line="240" w:lineRule="auto"/>
        <w:ind w:firstLine="567"/>
        <w:jc w:val="both"/>
        <w:rPr>
          <w:rFonts w:ascii="Times New Roman" w:hAnsi="Times New Roman"/>
          <w:sz w:val="24"/>
          <w:szCs w:val="24"/>
          <w:lang w:eastAsia="lv-LV"/>
        </w:rPr>
      </w:pPr>
      <w:r w:rsidRPr="00321007">
        <w:rPr>
          <w:rFonts w:ascii="Times New Roman" w:hAnsi="Times New Roman"/>
          <w:sz w:val="24"/>
          <w:szCs w:val="24"/>
          <w:lang w:eastAsia="lv-LV"/>
        </w:rPr>
        <w:t>c) neliela mēroga tādu pasākumu pārvaldība, kuri paredzēti strukturēta dialoga atbalstam jaunatnes jomā darbībā "atbalsts politikas reformām"</w:t>
      </w:r>
      <w:r>
        <w:rPr>
          <w:rFonts w:ascii="Times New Roman" w:hAnsi="Times New Roman"/>
          <w:sz w:val="24"/>
          <w:szCs w:val="24"/>
          <w:lang w:eastAsia="lv-LV"/>
        </w:rPr>
        <w:t xml:space="preserve"> (turpmāk  kopā – decentralizētās darbības)</w:t>
      </w:r>
      <w:r w:rsidRPr="00321007">
        <w:rPr>
          <w:rFonts w:ascii="Times New Roman" w:hAnsi="Times New Roman"/>
          <w:sz w:val="24"/>
          <w:szCs w:val="24"/>
          <w:lang w:eastAsia="lv-LV"/>
        </w:rPr>
        <w:t>.</w:t>
      </w:r>
    </w:p>
    <w:p w:rsidR="00957A42" w:rsidRDefault="00BC616B" w:rsidP="00957A42">
      <w:pPr>
        <w:spacing w:after="0" w:line="240" w:lineRule="auto"/>
        <w:ind w:firstLine="567"/>
        <w:jc w:val="both"/>
        <w:rPr>
          <w:rFonts w:ascii="Times New Roman" w:hAnsi="Times New Roman"/>
          <w:sz w:val="24"/>
          <w:szCs w:val="24"/>
        </w:rPr>
      </w:pPr>
      <w:r>
        <w:rPr>
          <w:rFonts w:ascii="Times New Roman" w:hAnsi="Times New Roman"/>
          <w:sz w:val="24"/>
          <w:szCs w:val="24"/>
        </w:rPr>
        <w:t>11</w:t>
      </w:r>
      <w:r w:rsidR="00957A42">
        <w:rPr>
          <w:rFonts w:ascii="Times New Roman" w:hAnsi="Times New Roman"/>
          <w:sz w:val="24"/>
          <w:szCs w:val="24"/>
        </w:rPr>
        <w:t xml:space="preserve">. Saskaņā ar regulas Nr.1288/2013 18.panta  2.punkta f) apakšpunktu ne mazāk kā 3,4% no kopējā programmas </w:t>
      </w:r>
      <w:r w:rsidR="00957A42" w:rsidRPr="00103EB8">
        <w:rPr>
          <w:rFonts w:ascii="Times New Roman" w:hAnsi="Times New Roman"/>
          <w:i/>
          <w:sz w:val="24"/>
          <w:szCs w:val="24"/>
        </w:rPr>
        <w:t>Erasmus+</w:t>
      </w:r>
      <w:r w:rsidR="00957A42">
        <w:rPr>
          <w:rFonts w:ascii="Times New Roman" w:hAnsi="Times New Roman"/>
          <w:sz w:val="24"/>
          <w:szCs w:val="24"/>
        </w:rPr>
        <w:t xml:space="preserve">  ES budžeta ir paredzēti valsts aģentūru darbības dotācijām, lai organizētu iepriekš minēto darbību projektu atlases un veiktu projektu īstenošanas uzraudzību un </w:t>
      </w:r>
      <w:proofErr w:type="spellStart"/>
      <w:r w:rsidR="00957A42">
        <w:rPr>
          <w:rFonts w:ascii="Times New Roman" w:hAnsi="Times New Roman"/>
          <w:sz w:val="24"/>
          <w:szCs w:val="24"/>
        </w:rPr>
        <w:t>pēcuzraudzību</w:t>
      </w:r>
      <w:proofErr w:type="spellEnd"/>
      <w:r w:rsidR="00957A42">
        <w:rPr>
          <w:rFonts w:ascii="Times New Roman" w:hAnsi="Times New Roman"/>
          <w:sz w:val="24"/>
          <w:szCs w:val="24"/>
        </w:rPr>
        <w:t xml:space="preserve">, kā arī nodrošinātu programmas </w:t>
      </w:r>
      <w:r w:rsidR="00957A42" w:rsidRPr="0033112B">
        <w:rPr>
          <w:rFonts w:ascii="Times New Roman" w:hAnsi="Times New Roman"/>
          <w:i/>
          <w:sz w:val="24"/>
          <w:szCs w:val="24"/>
        </w:rPr>
        <w:t>Erasmus+</w:t>
      </w:r>
      <w:r w:rsidR="00957A42">
        <w:rPr>
          <w:rFonts w:ascii="Times New Roman" w:hAnsi="Times New Roman"/>
          <w:sz w:val="24"/>
          <w:szCs w:val="24"/>
        </w:rPr>
        <w:t xml:space="preserve"> informācijas, publicitātes un rezultātu </w:t>
      </w:r>
      <w:r w:rsidR="00C87EB4">
        <w:rPr>
          <w:rFonts w:ascii="Times New Roman" w:hAnsi="Times New Roman"/>
          <w:sz w:val="24"/>
          <w:szCs w:val="24"/>
        </w:rPr>
        <w:t>izplatīšanas pasākumus</w:t>
      </w:r>
      <w:r w:rsidR="00957A42">
        <w:rPr>
          <w:rFonts w:ascii="Times New Roman" w:hAnsi="Times New Roman"/>
          <w:sz w:val="24"/>
          <w:szCs w:val="24"/>
        </w:rPr>
        <w:t xml:space="preserve">.  </w:t>
      </w:r>
    </w:p>
    <w:p w:rsidR="00957A42" w:rsidRPr="00DB22E7" w:rsidRDefault="00BC616B" w:rsidP="00B855F3">
      <w:pPr>
        <w:spacing w:before="240" w:after="0" w:line="240" w:lineRule="auto"/>
        <w:ind w:firstLine="567"/>
        <w:jc w:val="both"/>
        <w:rPr>
          <w:rFonts w:ascii="Times New Roman" w:hAnsi="Times New Roman"/>
          <w:sz w:val="24"/>
          <w:szCs w:val="24"/>
        </w:rPr>
      </w:pPr>
      <w:r w:rsidRPr="00646B59">
        <w:rPr>
          <w:rFonts w:ascii="Times New Roman" w:hAnsi="Times New Roman"/>
          <w:sz w:val="24"/>
          <w:szCs w:val="24"/>
        </w:rPr>
        <w:lastRenderedPageBreak/>
        <w:t>12</w:t>
      </w:r>
      <w:r w:rsidR="00957A42" w:rsidRPr="00646B59">
        <w:rPr>
          <w:rFonts w:ascii="Times New Roman" w:hAnsi="Times New Roman"/>
          <w:sz w:val="24"/>
          <w:szCs w:val="24"/>
        </w:rPr>
        <w:t xml:space="preserve">. Komisijas 2014.gada darba programmā noteiktais 2014.gadā pieejamais finansējums programmas </w:t>
      </w:r>
      <w:r w:rsidR="00957A42" w:rsidRPr="00646B59">
        <w:rPr>
          <w:rFonts w:ascii="Times New Roman" w:hAnsi="Times New Roman"/>
          <w:i/>
          <w:sz w:val="24"/>
          <w:szCs w:val="24"/>
        </w:rPr>
        <w:t>Erasmus+</w:t>
      </w:r>
      <w:r w:rsidR="00957A42" w:rsidRPr="00646B59">
        <w:rPr>
          <w:rFonts w:ascii="Times New Roman" w:hAnsi="Times New Roman"/>
          <w:sz w:val="24"/>
          <w:szCs w:val="24"/>
        </w:rPr>
        <w:t xml:space="preserve"> valsts aģentūru darbībai ir </w:t>
      </w:r>
      <w:r w:rsidR="00957A42" w:rsidRPr="00646B59">
        <w:rPr>
          <w:rFonts w:ascii="Times New Roman" w:hAnsi="Times New Roman"/>
          <w:iCs/>
          <w:sz w:val="24"/>
          <w:szCs w:val="24"/>
        </w:rPr>
        <w:t>EUR 717</w:t>
      </w:r>
      <w:r w:rsidR="00B855F3" w:rsidRPr="00646B59">
        <w:rPr>
          <w:rFonts w:ascii="Times New Roman" w:hAnsi="Times New Roman"/>
          <w:iCs/>
          <w:sz w:val="24"/>
          <w:szCs w:val="24"/>
        </w:rPr>
        <w:t> </w:t>
      </w:r>
      <w:r w:rsidR="00957A42" w:rsidRPr="00646B59">
        <w:rPr>
          <w:rFonts w:ascii="Times New Roman" w:hAnsi="Times New Roman"/>
          <w:iCs/>
          <w:sz w:val="24"/>
          <w:szCs w:val="24"/>
        </w:rPr>
        <w:t>488</w:t>
      </w:r>
      <w:r w:rsidR="00B855F3" w:rsidRPr="00646B59">
        <w:rPr>
          <w:rFonts w:ascii="Times New Roman" w:hAnsi="Times New Roman"/>
          <w:iCs/>
          <w:sz w:val="24"/>
          <w:szCs w:val="24"/>
        </w:rPr>
        <w:t xml:space="preserve"> jeb </w:t>
      </w:r>
      <w:r w:rsidR="00B855F3" w:rsidRPr="00646B59">
        <w:rPr>
          <w:rFonts w:ascii="Times New Roman" w:hAnsi="Times New Roman"/>
          <w:sz w:val="24"/>
          <w:szCs w:val="24"/>
        </w:rPr>
        <w:t xml:space="preserve">4,72% no 2014.gadā kopējā pieejamā budžeta (vidējais visu valsts aģentūru darbībai pieejamais finansējums ir 3,66% no 2014.gadā kopējā programmas </w:t>
      </w:r>
      <w:r w:rsidR="00B855F3" w:rsidRPr="00646B59">
        <w:rPr>
          <w:rFonts w:ascii="Times New Roman" w:hAnsi="Times New Roman"/>
          <w:i/>
          <w:sz w:val="24"/>
          <w:szCs w:val="24"/>
        </w:rPr>
        <w:t>Erasmus+</w:t>
      </w:r>
      <w:r w:rsidR="00B855F3" w:rsidRPr="00646B59">
        <w:rPr>
          <w:rFonts w:ascii="Times New Roman" w:hAnsi="Times New Roman"/>
          <w:sz w:val="24"/>
          <w:szCs w:val="24"/>
        </w:rPr>
        <w:t xml:space="preserve"> budžeta)</w:t>
      </w:r>
      <w:r w:rsidR="00957A42" w:rsidRPr="00646B59">
        <w:rPr>
          <w:rFonts w:ascii="Times New Roman" w:hAnsi="Times New Roman"/>
          <w:iCs/>
          <w:sz w:val="24"/>
          <w:szCs w:val="24"/>
        </w:rPr>
        <w:t>.</w:t>
      </w:r>
      <w:r w:rsidR="00957A42" w:rsidRPr="001D794D">
        <w:rPr>
          <w:rFonts w:ascii="Times New Roman" w:hAnsi="Times New Roman"/>
          <w:iCs/>
          <w:sz w:val="24"/>
          <w:szCs w:val="24"/>
        </w:rPr>
        <w:t xml:space="preserve"> </w:t>
      </w:r>
      <w:r w:rsidR="00957A42">
        <w:rPr>
          <w:rFonts w:ascii="Times New Roman" w:hAnsi="Times New Roman"/>
          <w:iCs/>
          <w:sz w:val="24"/>
          <w:szCs w:val="24"/>
        </w:rPr>
        <w:t xml:space="preserve">Aprēķinot 2014.gada ES budžeta dotācijas apmēru valsts aģentūrām, Eiropas Komisija ir ņēmusi vērā to, ka vēl turpinās iepriekšējā perioda programmu ietvaros apstiprināto projektu uzraudzība, kā arī valsts aģentūrām ir jāveic papildu uzdevumi, kas ir saistīti ar programmas </w:t>
      </w:r>
      <w:r w:rsidR="00957A42" w:rsidRPr="0033112B">
        <w:rPr>
          <w:rFonts w:ascii="Times New Roman" w:hAnsi="Times New Roman"/>
          <w:i/>
          <w:iCs/>
          <w:sz w:val="24"/>
          <w:szCs w:val="24"/>
        </w:rPr>
        <w:t>Erasmus+</w:t>
      </w:r>
      <w:r w:rsidR="00957A42">
        <w:rPr>
          <w:rFonts w:ascii="Times New Roman" w:hAnsi="Times New Roman"/>
          <w:iCs/>
          <w:sz w:val="24"/>
          <w:szCs w:val="24"/>
        </w:rPr>
        <w:t xml:space="preserve"> uzsākšanu. Lai saņemtu Komisijas grantu, valsts aģentūras izstrādā un saskaņo ar IZM un Komisiju darba programmu, kas tiek pievienota kā pielikums attiecīgās aģentūras un Komisijas granta līgumam.</w:t>
      </w:r>
    </w:p>
    <w:p w:rsidR="00957A42" w:rsidRPr="00660A3A" w:rsidRDefault="00BC616B" w:rsidP="00957A42">
      <w:pPr>
        <w:spacing w:after="0" w:line="240" w:lineRule="auto"/>
        <w:ind w:firstLine="567"/>
        <w:jc w:val="both"/>
        <w:rPr>
          <w:rFonts w:ascii="Times New Roman" w:hAnsi="Times New Roman"/>
          <w:iCs/>
          <w:sz w:val="24"/>
          <w:szCs w:val="24"/>
        </w:rPr>
      </w:pPr>
      <w:r>
        <w:rPr>
          <w:rFonts w:ascii="Times New Roman" w:hAnsi="Times New Roman"/>
          <w:iCs/>
          <w:sz w:val="24"/>
          <w:szCs w:val="24"/>
        </w:rPr>
        <w:t>13</w:t>
      </w:r>
      <w:r w:rsidR="00957A42">
        <w:rPr>
          <w:rFonts w:ascii="Times New Roman" w:hAnsi="Times New Roman"/>
          <w:iCs/>
          <w:sz w:val="24"/>
          <w:szCs w:val="24"/>
        </w:rPr>
        <w:t xml:space="preserve">. Valsts aģentūru ikgadējās darba programmās noteikto uzdevumu veikšanai nepieciešams personāls ar atbilstošu kompetenci (tai skaitā programmas </w:t>
      </w:r>
      <w:r w:rsidR="00957A42" w:rsidRPr="00714C8B">
        <w:rPr>
          <w:rFonts w:ascii="Times New Roman" w:hAnsi="Times New Roman"/>
          <w:i/>
          <w:iCs/>
          <w:sz w:val="24"/>
          <w:szCs w:val="24"/>
        </w:rPr>
        <w:t>Erasmus+</w:t>
      </w:r>
      <w:r w:rsidR="00957A42">
        <w:rPr>
          <w:rFonts w:ascii="Times New Roman" w:hAnsi="Times New Roman"/>
          <w:iCs/>
          <w:sz w:val="24"/>
          <w:szCs w:val="24"/>
        </w:rPr>
        <w:t xml:space="preserve"> projektu vērtēšanas eksperti),</w:t>
      </w:r>
      <w:r w:rsidR="00957A42" w:rsidRPr="00AD5565">
        <w:rPr>
          <w:rFonts w:ascii="Times New Roman" w:hAnsi="Times New Roman"/>
          <w:iCs/>
          <w:sz w:val="24"/>
          <w:szCs w:val="24"/>
        </w:rPr>
        <w:t xml:space="preserve"> </w:t>
      </w:r>
      <w:r w:rsidR="00957A42">
        <w:rPr>
          <w:rFonts w:ascii="Times New Roman" w:hAnsi="Times New Roman"/>
          <w:iCs/>
          <w:sz w:val="24"/>
          <w:szCs w:val="24"/>
        </w:rPr>
        <w:t xml:space="preserve">atbilstoša infrastruktūra (tai skaitā telpas un aprīkotas darba vietas), informācijas tehnoloģijas, kā arī nepieciešams īstenot informācijas un publicitātes pasākumus, tādējādi nodrošinot efektīvu </w:t>
      </w:r>
      <w:r w:rsidR="00957A42" w:rsidRPr="00660A3A">
        <w:rPr>
          <w:rFonts w:ascii="Times New Roman" w:hAnsi="Times New Roman"/>
          <w:iCs/>
          <w:sz w:val="24"/>
          <w:szCs w:val="24"/>
        </w:rPr>
        <w:t>programmas vadību. Līdz ar to, IZM kā VI</w:t>
      </w:r>
      <w:r w:rsidR="00490B6A" w:rsidRPr="00660A3A">
        <w:rPr>
          <w:rFonts w:ascii="Times New Roman" w:hAnsi="Times New Roman"/>
          <w:iCs/>
          <w:sz w:val="24"/>
          <w:szCs w:val="24"/>
        </w:rPr>
        <w:t>, ievērojot Komisijas ieteikumus,</w:t>
      </w:r>
      <w:r w:rsidR="00957A42" w:rsidRPr="00660A3A">
        <w:rPr>
          <w:rFonts w:ascii="Times New Roman" w:hAnsi="Times New Roman"/>
          <w:iCs/>
          <w:sz w:val="24"/>
          <w:szCs w:val="24"/>
        </w:rPr>
        <w:t xml:space="preserve"> veica aprēķinus Komisijas 2014.gada darba programmas 2.pielikumā valsts aģentūru darbības nodrošināšanai paredzētā ES finansējuma sadalei starp valsts aģentūrām Latvijā, kuru rezultātā ir noteikta šāda ES finansējuma sadales proporcija: </w:t>
      </w:r>
    </w:p>
    <w:p w:rsidR="00957A42" w:rsidRPr="00660A3A" w:rsidRDefault="00957A42" w:rsidP="00957A42">
      <w:pPr>
        <w:spacing w:after="0" w:line="240" w:lineRule="auto"/>
        <w:ind w:firstLine="567"/>
        <w:jc w:val="both"/>
        <w:rPr>
          <w:rFonts w:ascii="Times New Roman" w:hAnsi="Times New Roman"/>
          <w:iCs/>
          <w:sz w:val="24"/>
          <w:szCs w:val="24"/>
        </w:rPr>
      </w:pPr>
      <w:r w:rsidRPr="00660A3A">
        <w:rPr>
          <w:rFonts w:ascii="Times New Roman" w:hAnsi="Times New Roman"/>
          <w:iCs/>
          <w:sz w:val="24"/>
          <w:szCs w:val="24"/>
        </w:rPr>
        <w:t>a)  60% jeb EUR 430 493 – VIAA;</w:t>
      </w:r>
    </w:p>
    <w:p w:rsidR="00957A42" w:rsidRPr="00660A3A" w:rsidRDefault="00957A42" w:rsidP="00957A42">
      <w:pPr>
        <w:spacing w:after="0" w:line="240" w:lineRule="auto"/>
        <w:ind w:firstLine="567"/>
        <w:jc w:val="both"/>
        <w:rPr>
          <w:rFonts w:ascii="Times New Roman" w:hAnsi="Times New Roman"/>
          <w:iCs/>
          <w:sz w:val="24"/>
          <w:szCs w:val="24"/>
        </w:rPr>
      </w:pPr>
      <w:r w:rsidRPr="00660A3A">
        <w:rPr>
          <w:rFonts w:ascii="Times New Roman" w:hAnsi="Times New Roman"/>
          <w:iCs/>
          <w:sz w:val="24"/>
          <w:szCs w:val="24"/>
        </w:rPr>
        <w:t xml:space="preserve">b)  40% jeb EUR 286 995 – JSPA. </w:t>
      </w:r>
    </w:p>
    <w:p w:rsidR="00957A42" w:rsidRPr="00660A3A" w:rsidRDefault="00BC616B" w:rsidP="00957A42">
      <w:pPr>
        <w:spacing w:after="0" w:line="240" w:lineRule="auto"/>
        <w:ind w:firstLine="567"/>
        <w:jc w:val="both"/>
        <w:rPr>
          <w:rFonts w:ascii="Times New Roman" w:hAnsi="Times New Roman"/>
          <w:iCs/>
          <w:sz w:val="24"/>
          <w:szCs w:val="24"/>
        </w:rPr>
      </w:pPr>
      <w:r w:rsidRPr="00660A3A">
        <w:rPr>
          <w:rFonts w:ascii="Times New Roman" w:hAnsi="Times New Roman"/>
          <w:iCs/>
          <w:sz w:val="24"/>
          <w:szCs w:val="24"/>
        </w:rPr>
        <w:t>14</w:t>
      </w:r>
      <w:r w:rsidR="00957A42" w:rsidRPr="00660A3A">
        <w:rPr>
          <w:rFonts w:ascii="Times New Roman" w:hAnsi="Times New Roman"/>
          <w:iCs/>
          <w:sz w:val="24"/>
          <w:szCs w:val="24"/>
        </w:rPr>
        <w:t xml:space="preserve">. Informāciju par Komisijas 2014.gadā darba programmā noteikto valsts aģentūru darbības nodrošināšanai </w:t>
      </w:r>
      <w:r w:rsidR="00921E0E" w:rsidRPr="00660A3A">
        <w:rPr>
          <w:rFonts w:ascii="Times New Roman" w:hAnsi="Times New Roman"/>
          <w:iCs/>
          <w:sz w:val="24"/>
          <w:szCs w:val="24"/>
        </w:rPr>
        <w:t>paredzē</w:t>
      </w:r>
      <w:r w:rsidR="00957A42" w:rsidRPr="00660A3A">
        <w:rPr>
          <w:rFonts w:ascii="Times New Roman" w:hAnsi="Times New Roman"/>
          <w:iCs/>
          <w:sz w:val="24"/>
          <w:szCs w:val="24"/>
        </w:rPr>
        <w:t xml:space="preserve">tā finansējuma sadalījumu pa valsts aģentūrām (informatīvā ziņojuma </w:t>
      </w:r>
      <w:r w:rsidR="00E301A9" w:rsidRPr="00660A3A">
        <w:rPr>
          <w:rFonts w:ascii="Times New Roman" w:hAnsi="Times New Roman"/>
          <w:iCs/>
          <w:sz w:val="24"/>
          <w:szCs w:val="24"/>
        </w:rPr>
        <w:t>13</w:t>
      </w:r>
      <w:r w:rsidR="00957A42" w:rsidRPr="00660A3A">
        <w:rPr>
          <w:rFonts w:ascii="Times New Roman" w:hAnsi="Times New Roman"/>
          <w:iCs/>
          <w:sz w:val="24"/>
          <w:szCs w:val="24"/>
        </w:rPr>
        <w:t xml:space="preserve">.punkts) IZM ir iesniegusi Komisijā. </w:t>
      </w:r>
    </w:p>
    <w:p w:rsidR="00C87EB4" w:rsidRDefault="00BC616B" w:rsidP="00C87EB4">
      <w:pPr>
        <w:spacing w:after="0" w:line="240" w:lineRule="auto"/>
        <w:ind w:firstLine="567"/>
        <w:jc w:val="both"/>
        <w:rPr>
          <w:rFonts w:ascii="Times New Roman" w:hAnsi="Times New Roman"/>
          <w:sz w:val="24"/>
          <w:szCs w:val="24"/>
        </w:rPr>
      </w:pPr>
      <w:r w:rsidRPr="00660A3A">
        <w:rPr>
          <w:rFonts w:ascii="Times New Roman" w:hAnsi="Times New Roman"/>
          <w:iCs/>
          <w:sz w:val="24"/>
          <w:szCs w:val="24"/>
        </w:rPr>
        <w:t>15</w:t>
      </w:r>
      <w:r w:rsidR="00C87EB4" w:rsidRPr="00660A3A">
        <w:rPr>
          <w:rFonts w:ascii="Times New Roman" w:hAnsi="Times New Roman"/>
          <w:iCs/>
          <w:sz w:val="24"/>
          <w:szCs w:val="24"/>
        </w:rPr>
        <w:t xml:space="preserve">. </w:t>
      </w:r>
      <w:r w:rsidR="00C87EB4" w:rsidRPr="00660A3A">
        <w:rPr>
          <w:rFonts w:ascii="Times New Roman" w:hAnsi="Times New Roman"/>
          <w:sz w:val="24"/>
          <w:szCs w:val="24"/>
        </w:rPr>
        <w:t xml:space="preserve">Līdz ar decentralizētajām darbībām paredzētā ES finansējuma apjoma palielināšanu, kura </w:t>
      </w:r>
      <w:r w:rsidR="00405D66" w:rsidRPr="00660A3A">
        <w:rPr>
          <w:rFonts w:ascii="Times New Roman" w:hAnsi="Times New Roman"/>
          <w:sz w:val="24"/>
          <w:szCs w:val="24"/>
        </w:rPr>
        <w:t xml:space="preserve">mērķis ir </w:t>
      </w:r>
      <w:r w:rsidR="00C87EB4" w:rsidRPr="00660A3A">
        <w:rPr>
          <w:rFonts w:ascii="Times New Roman" w:hAnsi="Times New Roman"/>
          <w:sz w:val="24"/>
          <w:szCs w:val="24"/>
        </w:rPr>
        <w:t>programmas</w:t>
      </w:r>
      <w:r w:rsidR="00C87EB4" w:rsidRPr="00660A3A">
        <w:rPr>
          <w:rFonts w:ascii="Times New Roman" w:hAnsi="Times New Roman"/>
          <w:i/>
          <w:iCs/>
          <w:sz w:val="24"/>
          <w:szCs w:val="24"/>
        </w:rPr>
        <w:t xml:space="preserve"> Erasmus+</w:t>
      </w:r>
      <w:r w:rsidR="00C87EB4" w:rsidRPr="00660A3A">
        <w:rPr>
          <w:rFonts w:ascii="Times New Roman" w:hAnsi="Times New Roman"/>
          <w:iCs/>
          <w:sz w:val="24"/>
          <w:szCs w:val="24"/>
        </w:rPr>
        <w:t xml:space="preserve"> </w:t>
      </w:r>
      <w:r w:rsidR="00C87EB4" w:rsidRPr="00660A3A">
        <w:rPr>
          <w:rFonts w:ascii="Times New Roman" w:hAnsi="Times New Roman"/>
          <w:sz w:val="24"/>
          <w:szCs w:val="24"/>
        </w:rPr>
        <w:t xml:space="preserve"> rezultātu plašāka izplatīšana un pielietošana, </w:t>
      </w:r>
      <w:r w:rsidR="00405D66" w:rsidRPr="00660A3A">
        <w:rPr>
          <w:rFonts w:ascii="Times New Roman" w:hAnsi="Times New Roman"/>
          <w:sz w:val="24"/>
          <w:szCs w:val="24"/>
        </w:rPr>
        <w:t>kā arī</w:t>
      </w:r>
      <w:r w:rsidR="00C87EB4" w:rsidRPr="00660A3A">
        <w:rPr>
          <w:rFonts w:ascii="Times New Roman" w:hAnsi="Times New Roman"/>
          <w:sz w:val="24"/>
          <w:szCs w:val="24"/>
        </w:rPr>
        <w:t xml:space="preserve"> labvēlīgas un noturīgas ietekmes panākšana uz izglītības, apmācību, jaunatnes un sporta politiku un praksi, paredzēts, ka valsts aģentūru darba apjoms pieaugs</w:t>
      </w:r>
      <w:r w:rsidR="00285229" w:rsidRPr="00660A3A">
        <w:rPr>
          <w:rFonts w:ascii="Times New Roman" w:hAnsi="Times New Roman"/>
          <w:sz w:val="24"/>
          <w:szCs w:val="24"/>
        </w:rPr>
        <w:t>, un to nebūs iespējams nodrošināt tikai ES finansējuma, kas noteikts Komisijas 2014.gada darba programmā, ietvaros.</w:t>
      </w:r>
      <w:r w:rsidR="00C87EB4" w:rsidRPr="00660A3A">
        <w:rPr>
          <w:rFonts w:ascii="Times New Roman" w:hAnsi="Times New Roman"/>
          <w:sz w:val="24"/>
          <w:szCs w:val="24"/>
        </w:rPr>
        <w:t xml:space="preserve"> No valsts aģentūrām tiek sagaidīta programmas </w:t>
      </w:r>
      <w:r w:rsidR="00C87EB4" w:rsidRPr="00660A3A">
        <w:rPr>
          <w:rFonts w:ascii="Times New Roman" w:hAnsi="Times New Roman"/>
          <w:i/>
          <w:iCs/>
          <w:sz w:val="24"/>
          <w:szCs w:val="24"/>
        </w:rPr>
        <w:t>Erasmus+</w:t>
      </w:r>
      <w:r w:rsidR="00C87EB4" w:rsidRPr="00660A3A">
        <w:rPr>
          <w:rFonts w:ascii="Times New Roman" w:hAnsi="Times New Roman"/>
          <w:iCs/>
          <w:sz w:val="24"/>
          <w:szCs w:val="24"/>
        </w:rPr>
        <w:t xml:space="preserve"> </w:t>
      </w:r>
      <w:r w:rsidR="00C87EB4" w:rsidRPr="00660A3A">
        <w:rPr>
          <w:rFonts w:ascii="Times New Roman" w:hAnsi="Times New Roman"/>
          <w:sz w:val="24"/>
          <w:szCs w:val="24"/>
        </w:rPr>
        <w:t>īstenošanas kvalitāte un ietekme, izveidojot</w:t>
      </w:r>
      <w:r w:rsidR="00C87EB4" w:rsidRPr="00E86236">
        <w:rPr>
          <w:rFonts w:ascii="Times New Roman" w:hAnsi="Times New Roman"/>
          <w:sz w:val="24"/>
          <w:szCs w:val="24"/>
        </w:rPr>
        <w:t xml:space="preserve"> ilgtermiņa perspektīvu. Vienlaikus valsts aģentūrām ir jānodrošina atbalstošas pieejas projektu iesniedzējiem un īstenotājiem, tostarp jāorganizē programmas </w:t>
      </w:r>
      <w:r w:rsidR="00C87EB4" w:rsidRPr="00E86236">
        <w:rPr>
          <w:rFonts w:ascii="Times New Roman" w:hAnsi="Times New Roman"/>
          <w:i/>
          <w:sz w:val="24"/>
          <w:szCs w:val="24"/>
        </w:rPr>
        <w:t>Erasmus+</w:t>
      </w:r>
      <w:r w:rsidR="00C87EB4" w:rsidRPr="00E86236">
        <w:rPr>
          <w:rFonts w:ascii="Times New Roman" w:hAnsi="Times New Roman"/>
          <w:sz w:val="24"/>
          <w:szCs w:val="24"/>
        </w:rPr>
        <w:t xml:space="preserve"> mērķa grupām un to specifiskajām  vajadzībām atbilstošus informatīvos pasākumus, apmācību un atbalsta aktivitātes</w:t>
      </w:r>
      <w:r w:rsidR="002F51AB">
        <w:rPr>
          <w:rFonts w:ascii="Times New Roman" w:hAnsi="Times New Roman"/>
          <w:sz w:val="24"/>
          <w:szCs w:val="24"/>
        </w:rPr>
        <w:t>.</w:t>
      </w:r>
    </w:p>
    <w:p w:rsidR="002F51AB" w:rsidRDefault="002F51AB" w:rsidP="00C87EB4">
      <w:pPr>
        <w:spacing w:after="0" w:line="240" w:lineRule="auto"/>
        <w:ind w:firstLine="567"/>
        <w:jc w:val="both"/>
        <w:rPr>
          <w:rFonts w:ascii="Times New Roman" w:hAnsi="Times New Roman"/>
          <w:sz w:val="24"/>
          <w:szCs w:val="24"/>
        </w:rPr>
      </w:pPr>
    </w:p>
    <w:p w:rsidR="007212AD" w:rsidRDefault="004C03BA">
      <w:pPr>
        <w:spacing w:after="0" w:line="240" w:lineRule="auto"/>
        <w:ind w:firstLine="567"/>
        <w:jc w:val="center"/>
        <w:rPr>
          <w:rFonts w:ascii="Times New Roman" w:hAnsi="Times New Roman"/>
          <w:b/>
          <w:sz w:val="24"/>
          <w:szCs w:val="24"/>
        </w:rPr>
      </w:pPr>
      <w:r w:rsidRPr="004C03BA">
        <w:rPr>
          <w:rFonts w:ascii="Times New Roman" w:hAnsi="Times New Roman"/>
          <w:b/>
          <w:sz w:val="24"/>
          <w:szCs w:val="24"/>
        </w:rPr>
        <w:t xml:space="preserve">2.1. VIAA kā valsts aģentūras darbības nodrošināšanai nepieciešamais finansējums </w:t>
      </w:r>
    </w:p>
    <w:p w:rsidR="007212AD" w:rsidRDefault="007212AD">
      <w:pPr>
        <w:spacing w:after="0" w:line="240" w:lineRule="auto"/>
        <w:ind w:firstLine="567"/>
        <w:jc w:val="center"/>
      </w:pPr>
    </w:p>
    <w:p w:rsidR="007212AD" w:rsidRDefault="00BC616B">
      <w:pPr>
        <w:spacing w:after="0" w:line="240" w:lineRule="auto"/>
        <w:ind w:firstLine="567"/>
        <w:jc w:val="both"/>
        <w:rPr>
          <w:rFonts w:ascii="Times New Roman" w:hAnsi="Times New Roman"/>
          <w:sz w:val="24"/>
          <w:szCs w:val="24"/>
        </w:rPr>
      </w:pPr>
      <w:r w:rsidRPr="00E86236">
        <w:rPr>
          <w:rFonts w:ascii="Times New Roman" w:hAnsi="Times New Roman"/>
          <w:sz w:val="24"/>
          <w:szCs w:val="24"/>
        </w:rPr>
        <w:t>16</w:t>
      </w:r>
      <w:r w:rsidR="00957A42" w:rsidRPr="00E86236">
        <w:rPr>
          <w:rFonts w:ascii="Times New Roman" w:hAnsi="Times New Roman"/>
          <w:sz w:val="24"/>
          <w:szCs w:val="24"/>
        </w:rPr>
        <w:t xml:space="preserve">. </w:t>
      </w:r>
      <w:r w:rsidR="00285229" w:rsidRPr="00E86236">
        <w:rPr>
          <w:rFonts w:ascii="Times New Roman" w:hAnsi="Times New Roman"/>
          <w:sz w:val="24"/>
          <w:szCs w:val="24"/>
        </w:rPr>
        <w:t>Ņemot vērā informatīvā ziņojuma 13.punktā noteikto ES finansējuma sadalījumu, ņemot vērā informatīvā ziņojuma 15.punktā noteikto, kā arī i</w:t>
      </w:r>
      <w:r w:rsidR="00957A42" w:rsidRPr="00E86236">
        <w:rPr>
          <w:rFonts w:ascii="Times New Roman" w:hAnsi="Times New Roman"/>
          <w:iCs/>
          <w:sz w:val="24"/>
          <w:szCs w:val="24"/>
        </w:rPr>
        <w:t xml:space="preserve">evērojot regulas Nr.1288/2013 </w:t>
      </w:r>
      <w:r w:rsidR="00957A42" w:rsidRPr="00E86236">
        <w:rPr>
          <w:rFonts w:ascii="Times New Roman" w:hAnsi="Times New Roman"/>
          <w:sz w:val="24"/>
          <w:szCs w:val="24"/>
        </w:rPr>
        <w:t xml:space="preserve">27.panta 9.punktā noteikto: „Valsts iestāde nodrošina pietiekamu savas valsts aģentūras darbības līdzfinansējumu, lai nodrošinātu, ka Programmu pārvalda atbilstīgi piemērojamām Savienības normām”, lai nodrošinātu pēctecību, kā arī programmas pārvaldību līdzšinējā līmenī, </w:t>
      </w:r>
      <w:r w:rsidR="00957A42" w:rsidRPr="00E86236">
        <w:rPr>
          <w:rFonts w:ascii="Times New Roman" w:hAnsi="Times New Roman"/>
          <w:iCs/>
          <w:sz w:val="24"/>
          <w:szCs w:val="24"/>
        </w:rPr>
        <w:t xml:space="preserve">papildus Komisijas noteiktajam ES finansējumam, nepieciešams nodrošināt Latvijas valsts līdzfinansējumu (turpmāk – valsts līdzfinansējums) </w:t>
      </w:r>
      <w:r w:rsidR="002F51AB">
        <w:rPr>
          <w:rFonts w:ascii="Times New Roman" w:hAnsi="Times New Roman"/>
          <w:iCs/>
          <w:sz w:val="24"/>
          <w:szCs w:val="24"/>
        </w:rPr>
        <w:t xml:space="preserve">VIAA kā </w:t>
      </w:r>
      <w:r w:rsidR="00957A42" w:rsidRPr="00E86236">
        <w:rPr>
          <w:rFonts w:ascii="Times New Roman" w:hAnsi="Times New Roman"/>
          <w:iCs/>
          <w:sz w:val="24"/>
          <w:szCs w:val="24"/>
        </w:rPr>
        <w:t xml:space="preserve">programmas </w:t>
      </w:r>
      <w:r w:rsidR="00957A42" w:rsidRPr="00E86236">
        <w:rPr>
          <w:rFonts w:ascii="Times New Roman" w:hAnsi="Times New Roman"/>
          <w:i/>
          <w:iCs/>
          <w:sz w:val="24"/>
          <w:szCs w:val="24"/>
        </w:rPr>
        <w:t>Erasmus+</w:t>
      </w:r>
      <w:r w:rsidR="00957A42" w:rsidRPr="00E86236">
        <w:rPr>
          <w:rFonts w:ascii="Times New Roman" w:hAnsi="Times New Roman"/>
          <w:iCs/>
          <w:sz w:val="24"/>
          <w:szCs w:val="24"/>
        </w:rPr>
        <w:t xml:space="preserve"> valsts </w:t>
      </w:r>
      <w:r w:rsidR="002F51AB" w:rsidRPr="00E86236">
        <w:rPr>
          <w:rFonts w:ascii="Times New Roman" w:hAnsi="Times New Roman"/>
          <w:iCs/>
          <w:sz w:val="24"/>
          <w:szCs w:val="24"/>
        </w:rPr>
        <w:t>aģentūr</w:t>
      </w:r>
      <w:r w:rsidR="002F51AB">
        <w:rPr>
          <w:rFonts w:ascii="Times New Roman" w:hAnsi="Times New Roman"/>
          <w:iCs/>
          <w:sz w:val="24"/>
          <w:szCs w:val="24"/>
        </w:rPr>
        <w:t>ai</w:t>
      </w:r>
      <w:r w:rsidR="002F51AB" w:rsidRPr="00E86236">
        <w:rPr>
          <w:rFonts w:ascii="Times New Roman" w:hAnsi="Times New Roman"/>
          <w:iCs/>
          <w:sz w:val="24"/>
          <w:szCs w:val="24"/>
        </w:rPr>
        <w:t xml:space="preserve"> </w:t>
      </w:r>
      <w:r w:rsidR="00957A42" w:rsidRPr="00E86236">
        <w:rPr>
          <w:rFonts w:ascii="Times New Roman" w:hAnsi="Times New Roman"/>
          <w:iCs/>
          <w:sz w:val="24"/>
          <w:szCs w:val="24"/>
        </w:rPr>
        <w:t xml:space="preserve">šādā apmērā: </w:t>
      </w:r>
      <w:r w:rsidR="00957A42" w:rsidRPr="00E86236">
        <w:rPr>
          <w:rFonts w:ascii="Times New Roman" w:hAnsi="Times New Roman"/>
          <w:sz w:val="24"/>
          <w:szCs w:val="24"/>
        </w:rPr>
        <w:t>2014.gadā nepieciešams 515 988 EUR apmērā, 2015.gadā 515 988 EUR apmērā</w:t>
      </w:r>
      <w:r w:rsidR="00957A42" w:rsidRPr="00195B5C">
        <w:rPr>
          <w:rFonts w:ascii="Times New Roman" w:hAnsi="Times New Roman"/>
          <w:sz w:val="24"/>
          <w:szCs w:val="24"/>
        </w:rPr>
        <w:t xml:space="preserve"> un turpmākajos programmas </w:t>
      </w:r>
      <w:r w:rsidR="00957A42" w:rsidRPr="00F54B45">
        <w:rPr>
          <w:rFonts w:ascii="Times New Roman" w:hAnsi="Times New Roman"/>
          <w:i/>
          <w:sz w:val="24"/>
          <w:szCs w:val="24"/>
        </w:rPr>
        <w:t>Erasmus+</w:t>
      </w:r>
      <w:r w:rsidR="00957A42" w:rsidRPr="00195B5C">
        <w:rPr>
          <w:rFonts w:ascii="Times New Roman" w:hAnsi="Times New Roman"/>
          <w:sz w:val="24"/>
          <w:szCs w:val="24"/>
        </w:rPr>
        <w:t xml:space="preserve"> īstenošanas gados</w:t>
      </w:r>
      <w:r w:rsidR="00957A42">
        <w:rPr>
          <w:rFonts w:ascii="Times New Roman" w:hAnsi="Times New Roman"/>
          <w:sz w:val="24"/>
          <w:szCs w:val="24"/>
        </w:rPr>
        <w:t xml:space="preserve"> – vismaz </w:t>
      </w:r>
      <w:r w:rsidR="00957A42" w:rsidRPr="00195B5C">
        <w:rPr>
          <w:rFonts w:ascii="Times New Roman" w:hAnsi="Times New Roman"/>
          <w:sz w:val="24"/>
          <w:szCs w:val="24"/>
        </w:rPr>
        <w:t xml:space="preserve"> 397 062 EUR apmērā</w:t>
      </w:r>
      <w:r w:rsidR="00E4617B">
        <w:rPr>
          <w:rFonts w:ascii="Times New Roman" w:hAnsi="Times New Roman"/>
          <w:sz w:val="24"/>
          <w:szCs w:val="24"/>
        </w:rPr>
        <w:t xml:space="preserve"> katrā no gadiem</w:t>
      </w:r>
      <w:r w:rsidR="00957A42">
        <w:rPr>
          <w:rFonts w:ascii="Times New Roman" w:hAnsi="Times New Roman"/>
          <w:sz w:val="24"/>
          <w:szCs w:val="24"/>
        </w:rPr>
        <w:t>, nepieciešamā līdzfinansējuma apmēru precizējot atbilstoši Komisijas granta</w:t>
      </w:r>
      <w:r w:rsidR="00CB18AD">
        <w:rPr>
          <w:rFonts w:ascii="Times New Roman" w:hAnsi="Times New Roman"/>
          <w:sz w:val="24"/>
          <w:szCs w:val="24"/>
        </w:rPr>
        <w:t xml:space="preserve"> (ES finansējuma)</w:t>
      </w:r>
      <w:r w:rsidR="00957A42">
        <w:rPr>
          <w:rFonts w:ascii="Times New Roman" w:hAnsi="Times New Roman"/>
          <w:sz w:val="24"/>
          <w:szCs w:val="24"/>
        </w:rPr>
        <w:t xml:space="preserve"> apmēram</w:t>
      </w:r>
      <w:r w:rsidR="003B760D">
        <w:rPr>
          <w:rFonts w:ascii="Times New Roman" w:hAnsi="Times New Roman"/>
          <w:sz w:val="24"/>
          <w:szCs w:val="24"/>
        </w:rPr>
        <w:t>.</w:t>
      </w:r>
    </w:p>
    <w:p w:rsidR="007212AD" w:rsidRDefault="002F51AB">
      <w:pPr>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00E70E1A">
        <w:rPr>
          <w:rFonts w:ascii="Times New Roman" w:hAnsi="Times New Roman"/>
          <w:sz w:val="24"/>
          <w:szCs w:val="24"/>
        </w:rPr>
        <w:t>Finansējuma apmērs noteikts</w:t>
      </w:r>
      <w:r w:rsidR="00FB7A5E">
        <w:rPr>
          <w:rFonts w:ascii="Times New Roman" w:hAnsi="Times New Roman"/>
          <w:sz w:val="24"/>
          <w:szCs w:val="24"/>
        </w:rPr>
        <w:t xml:space="preserve"> ievērojot tālāk minēto:</w:t>
      </w:r>
      <w:r w:rsidR="00E70E1A">
        <w:rPr>
          <w:rFonts w:ascii="Times New Roman" w:hAnsi="Times New Roman"/>
          <w:sz w:val="24"/>
          <w:szCs w:val="24"/>
        </w:rPr>
        <w:t xml:space="preserve"> </w:t>
      </w:r>
    </w:p>
    <w:p w:rsidR="00957A42" w:rsidRPr="00660A3A" w:rsidRDefault="00E70E1A" w:rsidP="00957A42">
      <w:pPr>
        <w:tabs>
          <w:tab w:val="left" w:pos="851"/>
        </w:tabs>
        <w:spacing w:after="0" w:line="240" w:lineRule="auto"/>
        <w:ind w:firstLine="567"/>
        <w:jc w:val="both"/>
        <w:rPr>
          <w:rFonts w:ascii="Times New Roman" w:hAnsi="Times New Roman"/>
          <w:color w:val="FF0000"/>
          <w:sz w:val="24"/>
          <w:szCs w:val="24"/>
        </w:rPr>
      </w:pPr>
      <w:r w:rsidRPr="00663F22">
        <w:rPr>
          <w:rFonts w:ascii="Times New Roman" w:hAnsi="Times New Roman"/>
          <w:sz w:val="24"/>
          <w:szCs w:val="24"/>
        </w:rPr>
        <w:t>17.1.</w:t>
      </w:r>
      <w:r w:rsidR="00957A42" w:rsidRPr="00663F22">
        <w:rPr>
          <w:rFonts w:ascii="Times New Roman" w:hAnsi="Times New Roman"/>
          <w:sz w:val="24"/>
          <w:szCs w:val="24"/>
        </w:rPr>
        <w:t xml:space="preserve"> </w:t>
      </w:r>
      <w:r w:rsidR="00FB7A5E" w:rsidRPr="00663F22">
        <w:rPr>
          <w:rFonts w:ascii="Times New Roman" w:hAnsi="Times New Roman"/>
          <w:sz w:val="24"/>
          <w:szCs w:val="24"/>
        </w:rPr>
        <w:t xml:space="preserve">ņemot vērā </w:t>
      </w:r>
      <w:r w:rsidR="00957A42" w:rsidRPr="00663F22">
        <w:rPr>
          <w:rFonts w:ascii="Times New Roman" w:hAnsi="Times New Roman"/>
          <w:sz w:val="24"/>
          <w:szCs w:val="24"/>
        </w:rPr>
        <w:t>regulas Nr.1288/2013 27.panta 9.punktā noteikto</w:t>
      </w:r>
      <w:r w:rsidR="0096580C" w:rsidRPr="00663F22">
        <w:rPr>
          <w:rFonts w:ascii="Times New Roman" w:hAnsi="Times New Roman"/>
          <w:sz w:val="24"/>
          <w:szCs w:val="24"/>
        </w:rPr>
        <w:t xml:space="preserve"> </w:t>
      </w:r>
      <w:r w:rsidR="00957A42" w:rsidRPr="00663F22">
        <w:rPr>
          <w:rFonts w:ascii="Times New Roman" w:hAnsi="Times New Roman"/>
          <w:sz w:val="24"/>
          <w:szCs w:val="24"/>
        </w:rPr>
        <w:t xml:space="preserve">VIAA kā valsts aģentūra </w:t>
      </w:r>
      <w:r w:rsidR="00957A42" w:rsidRPr="00660A3A">
        <w:rPr>
          <w:rFonts w:ascii="Times New Roman" w:hAnsi="Times New Roman"/>
          <w:sz w:val="24"/>
          <w:szCs w:val="24"/>
        </w:rPr>
        <w:t>2014.gadā un 2015.gadā turpina 2007.-2013.gada programmu periodā uzsākto Mūžizglītības programm</w:t>
      </w:r>
      <w:r w:rsidR="00DF259E" w:rsidRPr="00660A3A">
        <w:rPr>
          <w:rFonts w:ascii="Times New Roman" w:hAnsi="Times New Roman"/>
          <w:sz w:val="24"/>
          <w:szCs w:val="24"/>
        </w:rPr>
        <w:t>as</w:t>
      </w:r>
      <w:r w:rsidR="00957A42" w:rsidRPr="00660A3A">
        <w:rPr>
          <w:rFonts w:ascii="Times New Roman" w:hAnsi="Times New Roman"/>
          <w:sz w:val="24"/>
          <w:szCs w:val="24"/>
        </w:rPr>
        <w:t xml:space="preserve"> finanšu nolīgumu pārvaldību. </w:t>
      </w:r>
      <w:r w:rsidR="005F7D80" w:rsidRPr="00660A3A">
        <w:rPr>
          <w:rFonts w:ascii="Times New Roman" w:hAnsi="Times New Roman"/>
          <w:sz w:val="24"/>
          <w:szCs w:val="24"/>
        </w:rPr>
        <w:t>2014.gadā un 2015.gadā</w:t>
      </w:r>
      <w:r w:rsidR="00FB7A5E" w:rsidRPr="00660A3A">
        <w:rPr>
          <w:rFonts w:ascii="Times New Roman" w:hAnsi="Times New Roman"/>
          <w:sz w:val="24"/>
          <w:szCs w:val="24"/>
        </w:rPr>
        <w:t xml:space="preserve"> IZM budžeta apakšprogrammā 70.08.00 „Valsts izglītības attīstības aģentūra” </w:t>
      </w:r>
      <w:r w:rsidR="00285229" w:rsidRPr="00660A3A">
        <w:rPr>
          <w:rFonts w:ascii="Times New Roman" w:hAnsi="Times New Roman"/>
          <w:sz w:val="24"/>
          <w:szCs w:val="24"/>
        </w:rPr>
        <w:t xml:space="preserve">nav paredzēts valsts budžeta līdzfinansējums </w:t>
      </w:r>
      <w:r w:rsidR="00490B6A" w:rsidRPr="00660A3A">
        <w:rPr>
          <w:rFonts w:ascii="Times New Roman" w:hAnsi="Times New Roman"/>
          <w:sz w:val="24"/>
          <w:szCs w:val="24"/>
        </w:rPr>
        <w:t>Mūžizglītības programmas finanšu nolīgumu pārvaldībai</w:t>
      </w:r>
      <w:r w:rsidR="00FB7A5E" w:rsidRPr="00660A3A">
        <w:rPr>
          <w:rFonts w:ascii="Times New Roman" w:hAnsi="Times New Roman"/>
          <w:sz w:val="24"/>
          <w:szCs w:val="24"/>
        </w:rPr>
        <w:t xml:space="preserve"> (2013.gadā gatavojot informāciju par budžeta bāzi 2014.-2016.gadam, tajā netika iekļauts pieprasījums Mūž</w:t>
      </w:r>
      <w:r w:rsidR="00512DB7" w:rsidRPr="00660A3A">
        <w:rPr>
          <w:rFonts w:ascii="Times New Roman" w:hAnsi="Times New Roman"/>
          <w:sz w:val="24"/>
          <w:szCs w:val="24"/>
        </w:rPr>
        <w:t xml:space="preserve">izglītības programmu </w:t>
      </w:r>
      <w:r w:rsidR="00512DB7" w:rsidRPr="00660A3A">
        <w:rPr>
          <w:rFonts w:ascii="Times New Roman" w:hAnsi="Times New Roman"/>
          <w:sz w:val="24"/>
          <w:szCs w:val="24"/>
        </w:rPr>
        <w:lastRenderedPageBreak/>
        <w:t>īstenošanai), savuk</w:t>
      </w:r>
      <w:r w:rsidR="005F7D80" w:rsidRPr="00660A3A">
        <w:rPr>
          <w:rFonts w:ascii="Times New Roman" w:hAnsi="Times New Roman"/>
          <w:sz w:val="24"/>
          <w:szCs w:val="24"/>
        </w:rPr>
        <w:t xml:space="preserve">ārt </w:t>
      </w:r>
      <w:r w:rsidR="00957A42" w:rsidRPr="00660A3A">
        <w:rPr>
          <w:rFonts w:ascii="Times New Roman" w:hAnsi="Times New Roman"/>
          <w:color w:val="000000"/>
          <w:sz w:val="24"/>
          <w:szCs w:val="24"/>
        </w:rPr>
        <w:t>VIAA kā valsts aģentūrai jāveic Mūžizglītības programm</w:t>
      </w:r>
      <w:r w:rsidR="00DF259E" w:rsidRPr="00660A3A">
        <w:rPr>
          <w:rFonts w:ascii="Times New Roman" w:hAnsi="Times New Roman"/>
          <w:color w:val="000000"/>
          <w:sz w:val="24"/>
          <w:szCs w:val="24"/>
        </w:rPr>
        <w:t>as</w:t>
      </w:r>
      <w:r w:rsidR="00957A42" w:rsidRPr="00660A3A">
        <w:rPr>
          <w:rFonts w:ascii="Times New Roman" w:hAnsi="Times New Roman"/>
          <w:color w:val="000000"/>
          <w:sz w:val="24"/>
          <w:szCs w:val="24"/>
        </w:rPr>
        <w:t xml:space="preserve"> 523 projektu, kuru īstenošana turpinās 2014.gadā</w:t>
      </w:r>
      <w:r w:rsidR="00957A42" w:rsidRPr="00E86236">
        <w:rPr>
          <w:rFonts w:ascii="Times New Roman" w:hAnsi="Times New Roman"/>
          <w:color w:val="000000"/>
          <w:sz w:val="24"/>
          <w:szCs w:val="24"/>
        </w:rPr>
        <w:t xml:space="preserve"> un 2015.gadā, </w:t>
      </w:r>
      <w:proofErr w:type="spellStart"/>
      <w:r w:rsidR="00957A42" w:rsidRPr="00E86236">
        <w:rPr>
          <w:rFonts w:ascii="Times New Roman" w:hAnsi="Times New Roman"/>
          <w:color w:val="000000"/>
          <w:sz w:val="24"/>
          <w:szCs w:val="24"/>
        </w:rPr>
        <w:t>starpatskaišu</w:t>
      </w:r>
      <w:proofErr w:type="spellEnd"/>
      <w:r w:rsidR="00957A42" w:rsidRPr="00E86236">
        <w:rPr>
          <w:rFonts w:ascii="Times New Roman" w:hAnsi="Times New Roman"/>
          <w:color w:val="000000"/>
          <w:sz w:val="24"/>
          <w:szCs w:val="24"/>
        </w:rPr>
        <w:t xml:space="preserve"> un gala atskaišu izvērtēšana, jāveic uzraudzības un pārbaudes vizītes projektu īstenošanas vietās pie projektu īstenotājiem, jāorganizē uzraudzības, tematiskās pārraudzības un rezultātu izplatīšanas semināri, jānodrošina labās prakses izplatīšanas pasākumi, jāveic maksājumi atbilstoši noslēgtajiem granta līgumiem. Lai veiktu </w:t>
      </w:r>
      <w:r w:rsidR="00957A42" w:rsidRPr="00660A3A">
        <w:rPr>
          <w:rFonts w:ascii="Times New Roman" w:hAnsi="Times New Roman"/>
          <w:color w:val="000000"/>
          <w:sz w:val="24"/>
          <w:szCs w:val="24"/>
        </w:rPr>
        <w:t>iepriekš</w:t>
      </w:r>
      <w:r w:rsidR="003E478C" w:rsidRPr="00660A3A">
        <w:rPr>
          <w:rFonts w:ascii="Times New Roman" w:hAnsi="Times New Roman"/>
          <w:color w:val="000000"/>
          <w:sz w:val="24"/>
          <w:szCs w:val="24"/>
        </w:rPr>
        <w:t xml:space="preserve"> </w:t>
      </w:r>
      <w:r w:rsidR="00957A42" w:rsidRPr="00660A3A">
        <w:rPr>
          <w:rFonts w:ascii="Times New Roman" w:hAnsi="Times New Roman"/>
          <w:color w:val="000000"/>
          <w:sz w:val="24"/>
          <w:szCs w:val="24"/>
        </w:rPr>
        <w:t xml:space="preserve">minētos uzdevumus, kas noteikti Komisijas vadlīnijās valsts aģentūrām </w:t>
      </w:r>
      <w:r w:rsidR="00957A42" w:rsidRPr="00660A3A">
        <w:rPr>
          <w:rFonts w:ascii="Times New Roman" w:hAnsi="Times New Roman"/>
          <w:i/>
          <w:sz w:val="24"/>
          <w:szCs w:val="24"/>
        </w:rPr>
        <w:t>(</w:t>
      </w:r>
      <w:proofErr w:type="spellStart"/>
      <w:r w:rsidR="00957A42" w:rsidRPr="00660A3A">
        <w:rPr>
          <w:rFonts w:ascii="Times New Roman" w:hAnsi="Times New Roman"/>
          <w:i/>
          <w:sz w:val="24"/>
          <w:szCs w:val="24"/>
        </w:rPr>
        <w:t>Guide</w:t>
      </w:r>
      <w:proofErr w:type="spellEnd"/>
      <w:r w:rsidR="00957A42" w:rsidRPr="00660A3A">
        <w:rPr>
          <w:rFonts w:ascii="Times New Roman" w:hAnsi="Times New Roman"/>
          <w:i/>
          <w:sz w:val="24"/>
          <w:szCs w:val="24"/>
        </w:rPr>
        <w:t xml:space="preserve"> </w:t>
      </w:r>
      <w:proofErr w:type="spellStart"/>
      <w:r w:rsidR="00957A42" w:rsidRPr="00660A3A">
        <w:rPr>
          <w:rFonts w:ascii="Times New Roman" w:hAnsi="Times New Roman"/>
          <w:i/>
          <w:sz w:val="24"/>
          <w:szCs w:val="24"/>
        </w:rPr>
        <w:t>for</w:t>
      </w:r>
      <w:proofErr w:type="spellEnd"/>
      <w:r w:rsidR="00957A42" w:rsidRPr="00660A3A">
        <w:rPr>
          <w:rFonts w:ascii="Times New Roman" w:hAnsi="Times New Roman"/>
          <w:i/>
          <w:sz w:val="24"/>
          <w:szCs w:val="24"/>
        </w:rPr>
        <w:t xml:space="preserve"> </w:t>
      </w:r>
      <w:proofErr w:type="spellStart"/>
      <w:r w:rsidR="00957A42" w:rsidRPr="00660A3A">
        <w:rPr>
          <w:rFonts w:ascii="Times New Roman" w:hAnsi="Times New Roman"/>
          <w:i/>
          <w:sz w:val="24"/>
          <w:szCs w:val="24"/>
        </w:rPr>
        <w:t>National</w:t>
      </w:r>
      <w:proofErr w:type="spellEnd"/>
      <w:r w:rsidR="00957A42" w:rsidRPr="00660A3A">
        <w:rPr>
          <w:rFonts w:ascii="Times New Roman" w:hAnsi="Times New Roman"/>
          <w:i/>
          <w:sz w:val="24"/>
          <w:szCs w:val="24"/>
        </w:rPr>
        <w:t xml:space="preserve"> </w:t>
      </w:r>
      <w:proofErr w:type="spellStart"/>
      <w:r w:rsidR="00957A42" w:rsidRPr="00660A3A">
        <w:rPr>
          <w:rFonts w:ascii="Times New Roman" w:hAnsi="Times New Roman"/>
          <w:i/>
          <w:sz w:val="24"/>
          <w:szCs w:val="24"/>
        </w:rPr>
        <w:t>agencies</w:t>
      </w:r>
      <w:proofErr w:type="spellEnd"/>
      <w:r w:rsidR="00957A42" w:rsidRPr="00660A3A">
        <w:rPr>
          <w:rFonts w:ascii="Times New Roman" w:hAnsi="Times New Roman"/>
          <w:i/>
          <w:sz w:val="24"/>
          <w:szCs w:val="24"/>
        </w:rPr>
        <w:t>),</w:t>
      </w:r>
      <w:r w:rsidR="005F7D80" w:rsidRPr="00660A3A">
        <w:rPr>
          <w:rFonts w:ascii="Times New Roman" w:hAnsi="Times New Roman"/>
          <w:i/>
          <w:sz w:val="24"/>
          <w:szCs w:val="24"/>
        </w:rPr>
        <w:t xml:space="preserve"> </w:t>
      </w:r>
      <w:r w:rsidR="005F7D80" w:rsidRPr="00660A3A">
        <w:rPr>
          <w:rFonts w:ascii="Times New Roman" w:hAnsi="Times New Roman"/>
          <w:sz w:val="24"/>
          <w:szCs w:val="24"/>
        </w:rPr>
        <w:t>kā arī ievērojot, ka</w:t>
      </w:r>
      <w:r w:rsidR="005F7D80" w:rsidRPr="00660A3A">
        <w:rPr>
          <w:rFonts w:ascii="Times New Roman" w:hAnsi="Times New Roman"/>
          <w:i/>
          <w:sz w:val="24"/>
          <w:szCs w:val="24"/>
        </w:rPr>
        <w:t xml:space="preserve"> </w:t>
      </w:r>
      <w:r w:rsidR="005F7D80" w:rsidRPr="00660A3A">
        <w:rPr>
          <w:rFonts w:ascii="Times New Roman" w:hAnsi="Times New Roman"/>
          <w:sz w:val="24"/>
          <w:szCs w:val="24"/>
        </w:rPr>
        <w:t xml:space="preserve">2014.gadā piešķirtā Komisijas finansējuma ietvaros ir jānodrošina arī </w:t>
      </w:r>
      <w:r w:rsidR="005F7D80" w:rsidRPr="00660A3A">
        <w:rPr>
          <w:rFonts w:ascii="Times New Roman" w:hAnsi="Times New Roman"/>
          <w:iCs/>
          <w:sz w:val="24"/>
          <w:szCs w:val="24"/>
        </w:rPr>
        <w:t xml:space="preserve">Mūžizglītības programmas </w:t>
      </w:r>
      <w:r w:rsidR="00B3072F" w:rsidRPr="00660A3A">
        <w:rPr>
          <w:rFonts w:ascii="Times New Roman" w:hAnsi="Times New Roman"/>
          <w:iCs/>
          <w:sz w:val="24"/>
          <w:szCs w:val="24"/>
        </w:rPr>
        <w:t>finanšu nolīgumu pārvaldību</w:t>
      </w:r>
      <w:r w:rsidR="005F7D80" w:rsidRPr="00660A3A">
        <w:rPr>
          <w:rFonts w:ascii="Times New Roman" w:hAnsi="Times New Roman"/>
          <w:sz w:val="24"/>
          <w:szCs w:val="24"/>
        </w:rPr>
        <w:t>,</w:t>
      </w:r>
      <w:r w:rsidR="00957A42" w:rsidRPr="00660A3A">
        <w:rPr>
          <w:rFonts w:ascii="Times New Roman" w:hAnsi="Times New Roman"/>
          <w:sz w:val="24"/>
          <w:szCs w:val="24"/>
        </w:rPr>
        <w:t xml:space="preserve"> nepieciešams nodrošināt Latvijas valsts līdzfinansējumu 2014.gadā 118 926 EUR un 2015.gadā 118 926 EUR</w:t>
      </w:r>
      <w:r w:rsidR="005F7D80" w:rsidRPr="00660A3A">
        <w:rPr>
          <w:rFonts w:ascii="Times New Roman" w:hAnsi="Times New Roman"/>
          <w:sz w:val="24"/>
          <w:szCs w:val="24"/>
        </w:rPr>
        <w:t xml:space="preserve">. </w:t>
      </w:r>
      <w:r w:rsidR="00957A42" w:rsidRPr="00660A3A">
        <w:rPr>
          <w:rFonts w:ascii="Times New Roman" w:hAnsi="Times New Roman"/>
          <w:sz w:val="24"/>
          <w:szCs w:val="24"/>
        </w:rPr>
        <w:t xml:space="preserve"> </w:t>
      </w:r>
    </w:p>
    <w:p w:rsidR="00957A42" w:rsidRPr="00660A3A" w:rsidRDefault="00E70E1A" w:rsidP="00957A42">
      <w:pPr>
        <w:tabs>
          <w:tab w:val="left" w:pos="851"/>
        </w:tabs>
        <w:spacing w:after="0" w:line="240" w:lineRule="auto"/>
        <w:ind w:firstLine="567"/>
        <w:jc w:val="both"/>
        <w:rPr>
          <w:rFonts w:ascii="Times New Roman" w:hAnsi="Times New Roman"/>
          <w:sz w:val="24"/>
          <w:szCs w:val="24"/>
        </w:rPr>
      </w:pPr>
      <w:r w:rsidRPr="00660A3A">
        <w:rPr>
          <w:rFonts w:ascii="Times New Roman" w:hAnsi="Times New Roman"/>
          <w:sz w:val="24"/>
          <w:szCs w:val="24"/>
        </w:rPr>
        <w:t>17.</w:t>
      </w:r>
      <w:r w:rsidR="00957A42" w:rsidRPr="00660A3A">
        <w:rPr>
          <w:rFonts w:ascii="Times New Roman" w:hAnsi="Times New Roman"/>
          <w:sz w:val="24"/>
          <w:szCs w:val="24"/>
        </w:rPr>
        <w:t xml:space="preserve">2. lai nodrošinātu regulas Nr.1288/2013 noteiktos valsts aģentūras uzdevumus un VIAA nolikumā (Ministru kabineta 18.12.2012. noteikumi Nr.934) minēto funkciju attiecībā uz programmu </w:t>
      </w:r>
      <w:r w:rsidR="00957A42" w:rsidRPr="00660A3A">
        <w:rPr>
          <w:rFonts w:ascii="Times New Roman" w:hAnsi="Times New Roman"/>
          <w:i/>
          <w:sz w:val="24"/>
          <w:szCs w:val="24"/>
        </w:rPr>
        <w:t xml:space="preserve">Erasmus+ </w:t>
      </w:r>
      <w:r w:rsidR="00957A42" w:rsidRPr="00660A3A">
        <w:rPr>
          <w:rFonts w:ascii="Times New Roman" w:hAnsi="Times New Roman"/>
          <w:sz w:val="24"/>
          <w:szCs w:val="24"/>
        </w:rPr>
        <w:t xml:space="preserve">2014.-2020.gada periodā izpildi, nepieciešams valsts līdzfinansējums 397 062 EUR apmērā katrā no programmas </w:t>
      </w:r>
      <w:r w:rsidR="00957A42" w:rsidRPr="00660A3A">
        <w:rPr>
          <w:rFonts w:ascii="Times New Roman" w:hAnsi="Times New Roman"/>
          <w:i/>
          <w:sz w:val="24"/>
          <w:szCs w:val="24"/>
        </w:rPr>
        <w:t>Erasmus+</w:t>
      </w:r>
      <w:r w:rsidR="00957A42" w:rsidRPr="00660A3A">
        <w:rPr>
          <w:rFonts w:ascii="Times New Roman" w:hAnsi="Times New Roman"/>
          <w:sz w:val="24"/>
          <w:szCs w:val="24"/>
        </w:rPr>
        <w:t xml:space="preserve"> īstenošanas gadiem. </w:t>
      </w:r>
      <w:r w:rsidR="00CB18AD" w:rsidRPr="00660A3A">
        <w:rPr>
          <w:rFonts w:ascii="Times New Roman" w:hAnsi="Times New Roman"/>
          <w:sz w:val="24"/>
          <w:szCs w:val="24"/>
        </w:rPr>
        <w:t>Valsts līdzf</w:t>
      </w:r>
      <w:r w:rsidR="00957A42" w:rsidRPr="00660A3A">
        <w:rPr>
          <w:rFonts w:ascii="Times New Roman" w:hAnsi="Times New Roman"/>
          <w:sz w:val="24"/>
          <w:szCs w:val="24"/>
        </w:rPr>
        <w:t xml:space="preserve">inansējuma apmērs nepārsniedz iepriekšējos gados pieprasītā </w:t>
      </w:r>
      <w:r w:rsidR="00CB18AD" w:rsidRPr="00660A3A">
        <w:rPr>
          <w:rFonts w:ascii="Times New Roman" w:hAnsi="Times New Roman"/>
          <w:sz w:val="24"/>
          <w:szCs w:val="24"/>
        </w:rPr>
        <w:t>līdz</w:t>
      </w:r>
      <w:r w:rsidR="00957A42" w:rsidRPr="00660A3A">
        <w:rPr>
          <w:rFonts w:ascii="Times New Roman" w:hAnsi="Times New Roman"/>
          <w:sz w:val="24"/>
          <w:szCs w:val="24"/>
        </w:rPr>
        <w:t>finansējuma apmēru (Mūžizglītības programm</w:t>
      </w:r>
      <w:r w:rsidR="00DF259E" w:rsidRPr="00660A3A">
        <w:rPr>
          <w:rFonts w:ascii="Times New Roman" w:hAnsi="Times New Roman"/>
          <w:sz w:val="24"/>
          <w:szCs w:val="24"/>
        </w:rPr>
        <w:t>as</w:t>
      </w:r>
      <w:r w:rsidR="00957A42" w:rsidRPr="00660A3A">
        <w:rPr>
          <w:rFonts w:ascii="Times New Roman" w:hAnsi="Times New Roman"/>
          <w:sz w:val="24"/>
          <w:szCs w:val="24"/>
        </w:rPr>
        <w:t xml:space="preserve"> pārvaldībai 2010.–2013.gadā tika nodrošināts</w:t>
      </w:r>
      <w:r w:rsidRPr="00660A3A">
        <w:rPr>
          <w:rFonts w:ascii="Times New Roman" w:hAnsi="Times New Roman"/>
          <w:sz w:val="24"/>
          <w:szCs w:val="24"/>
        </w:rPr>
        <w:t xml:space="preserve"> valsts līdzfinansējums</w:t>
      </w:r>
      <w:r w:rsidR="00957A42" w:rsidRPr="00660A3A">
        <w:rPr>
          <w:rFonts w:ascii="Times New Roman" w:hAnsi="Times New Roman"/>
          <w:sz w:val="24"/>
          <w:szCs w:val="24"/>
        </w:rPr>
        <w:t xml:space="preserve"> 50% apmērā no kopējā programmas pārvaldības finansējuma). </w:t>
      </w:r>
    </w:p>
    <w:p w:rsidR="00E70E1A" w:rsidRPr="00660A3A" w:rsidRDefault="00E70E1A" w:rsidP="00957A42">
      <w:pPr>
        <w:tabs>
          <w:tab w:val="left" w:pos="851"/>
        </w:tabs>
        <w:spacing w:after="0" w:line="240" w:lineRule="auto"/>
        <w:ind w:firstLine="567"/>
        <w:jc w:val="both"/>
        <w:rPr>
          <w:rFonts w:ascii="Times New Roman" w:hAnsi="Times New Roman"/>
          <w:sz w:val="24"/>
          <w:szCs w:val="24"/>
        </w:rPr>
      </w:pPr>
      <w:r w:rsidRPr="00660A3A">
        <w:rPr>
          <w:rFonts w:ascii="Times New Roman" w:hAnsi="Times New Roman"/>
          <w:sz w:val="24"/>
          <w:szCs w:val="24"/>
        </w:rPr>
        <w:t xml:space="preserve">18. Informācija par </w:t>
      </w:r>
      <w:r w:rsidR="00B47376" w:rsidRPr="00660A3A">
        <w:rPr>
          <w:rFonts w:ascii="Times New Roman" w:hAnsi="Times New Roman"/>
          <w:sz w:val="24"/>
          <w:szCs w:val="24"/>
        </w:rPr>
        <w:t xml:space="preserve">papildus nepieciešamo finansējumu </w:t>
      </w:r>
      <w:r w:rsidRPr="00660A3A">
        <w:rPr>
          <w:rFonts w:ascii="Times New Roman" w:hAnsi="Times New Roman"/>
          <w:sz w:val="24"/>
          <w:szCs w:val="24"/>
        </w:rPr>
        <w:t>VIAA kā valsts aģentūras darbības nodrošināšanai 2014.gadā, 2015.gadā un turpmākajos</w:t>
      </w:r>
      <w:r w:rsidR="00CB18AD" w:rsidRPr="00660A3A">
        <w:rPr>
          <w:rFonts w:ascii="Times New Roman" w:hAnsi="Times New Roman"/>
          <w:sz w:val="24"/>
          <w:szCs w:val="24"/>
        </w:rPr>
        <w:t xml:space="preserve"> programmas </w:t>
      </w:r>
      <w:r w:rsidR="00CB18AD" w:rsidRPr="00660A3A">
        <w:rPr>
          <w:rFonts w:ascii="Times New Roman" w:hAnsi="Times New Roman"/>
          <w:i/>
          <w:sz w:val="24"/>
          <w:szCs w:val="24"/>
        </w:rPr>
        <w:t>Erasmus+</w:t>
      </w:r>
      <w:r w:rsidR="00CB18AD" w:rsidRPr="00660A3A">
        <w:rPr>
          <w:rFonts w:ascii="Times New Roman" w:hAnsi="Times New Roman"/>
          <w:sz w:val="24"/>
          <w:szCs w:val="24"/>
        </w:rPr>
        <w:t xml:space="preserve"> īstenošanas</w:t>
      </w:r>
      <w:r w:rsidRPr="00660A3A">
        <w:rPr>
          <w:rFonts w:ascii="Times New Roman" w:hAnsi="Times New Roman"/>
          <w:sz w:val="24"/>
          <w:szCs w:val="24"/>
        </w:rPr>
        <w:t xml:space="preserve"> gados norādīta informatīvā ziņojuma 1.tabulā.  Ņemot vērā, ka šobrīd ir pieejama tikai indikatīva informācija par turpmākajos programmas </w:t>
      </w:r>
      <w:r w:rsidRPr="00660A3A">
        <w:rPr>
          <w:rFonts w:ascii="Times New Roman" w:hAnsi="Times New Roman"/>
          <w:i/>
          <w:sz w:val="24"/>
          <w:szCs w:val="24"/>
        </w:rPr>
        <w:t>Erasmus+</w:t>
      </w:r>
      <w:r w:rsidRPr="00660A3A">
        <w:rPr>
          <w:rFonts w:ascii="Times New Roman" w:hAnsi="Times New Roman"/>
          <w:sz w:val="24"/>
          <w:szCs w:val="24"/>
        </w:rPr>
        <w:t xml:space="preserve"> īstenošanas gados Latvijai pieejamo ES finansējumu, tai skaitā valsts aģ</w:t>
      </w:r>
      <w:r w:rsidR="005F7D80" w:rsidRPr="00660A3A">
        <w:rPr>
          <w:rFonts w:ascii="Times New Roman" w:hAnsi="Times New Roman"/>
          <w:sz w:val="24"/>
          <w:szCs w:val="24"/>
        </w:rPr>
        <w:t>entūru darbības nodrošināšanai</w:t>
      </w:r>
      <w:r w:rsidR="00405D66" w:rsidRPr="00660A3A">
        <w:rPr>
          <w:rFonts w:ascii="Times New Roman" w:hAnsi="Times New Roman"/>
          <w:sz w:val="24"/>
          <w:szCs w:val="24"/>
        </w:rPr>
        <w:t>,</w:t>
      </w:r>
      <w:r w:rsidR="005F7D80" w:rsidRPr="00660A3A">
        <w:rPr>
          <w:rFonts w:ascii="Times New Roman" w:hAnsi="Times New Roman"/>
          <w:sz w:val="24"/>
          <w:szCs w:val="24"/>
        </w:rPr>
        <w:t xml:space="preserve"> un tas tiek plānots pieaugošs </w:t>
      </w:r>
      <w:r w:rsidRPr="00660A3A">
        <w:rPr>
          <w:rFonts w:ascii="Times New Roman" w:hAnsi="Times New Roman"/>
          <w:sz w:val="24"/>
          <w:szCs w:val="24"/>
        </w:rPr>
        <w:t>(informatīvā ziņojuma 6.punkts), tad turpmākajos gados</w:t>
      </w:r>
      <w:r w:rsidR="00497903" w:rsidRPr="00660A3A">
        <w:rPr>
          <w:rFonts w:ascii="Times New Roman" w:hAnsi="Times New Roman"/>
          <w:sz w:val="24"/>
          <w:szCs w:val="24"/>
        </w:rPr>
        <w:t xml:space="preserve"> (pēc 2015.gada)</w:t>
      </w:r>
      <w:r w:rsidR="00CB18AD" w:rsidRPr="00660A3A">
        <w:rPr>
          <w:rFonts w:ascii="Times New Roman" w:hAnsi="Times New Roman"/>
          <w:sz w:val="24"/>
          <w:szCs w:val="24"/>
        </w:rPr>
        <w:t xml:space="preserve"> valsts aģentūras darbības nodrošināšanai </w:t>
      </w:r>
      <w:r w:rsidR="005F7D80" w:rsidRPr="00660A3A">
        <w:rPr>
          <w:rFonts w:ascii="Times New Roman" w:hAnsi="Times New Roman"/>
          <w:sz w:val="24"/>
          <w:szCs w:val="24"/>
        </w:rPr>
        <w:t>valsts līdz</w:t>
      </w:r>
      <w:r w:rsidR="00CB18AD" w:rsidRPr="00660A3A">
        <w:rPr>
          <w:rFonts w:ascii="Times New Roman" w:hAnsi="Times New Roman"/>
          <w:sz w:val="24"/>
          <w:szCs w:val="24"/>
        </w:rPr>
        <w:t xml:space="preserve">finansējums </w:t>
      </w:r>
      <w:r w:rsidR="00A63A4A" w:rsidRPr="00660A3A">
        <w:rPr>
          <w:rFonts w:ascii="Times New Roman" w:hAnsi="Times New Roman"/>
          <w:sz w:val="24"/>
          <w:szCs w:val="24"/>
        </w:rPr>
        <w:t>nepieciešams</w:t>
      </w:r>
      <w:r w:rsidR="00B47376" w:rsidRPr="00660A3A">
        <w:rPr>
          <w:rFonts w:ascii="Times New Roman" w:hAnsi="Times New Roman"/>
          <w:sz w:val="24"/>
          <w:szCs w:val="24"/>
        </w:rPr>
        <w:t xml:space="preserve"> </w:t>
      </w:r>
      <w:r w:rsidR="004E3F3A" w:rsidRPr="00660A3A">
        <w:rPr>
          <w:rFonts w:ascii="Times New Roman" w:hAnsi="Times New Roman"/>
          <w:sz w:val="24"/>
          <w:szCs w:val="24"/>
        </w:rPr>
        <w:t>2014.gada</w:t>
      </w:r>
      <w:r w:rsidR="005F7D80" w:rsidRPr="00660A3A">
        <w:rPr>
          <w:rFonts w:ascii="Times New Roman" w:hAnsi="Times New Roman"/>
          <w:sz w:val="24"/>
          <w:szCs w:val="24"/>
        </w:rPr>
        <w:t xml:space="preserve"> un 2015.gada</w:t>
      </w:r>
      <w:r w:rsidR="004E3F3A" w:rsidRPr="00660A3A">
        <w:rPr>
          <w:rFonts w:ascii="Times New Roman" w:hAnsi="Times New Roman"/>
          <w:sz w:val="24"/>
          <w:szCs w:val="24"/>
        </w:rPr>
        <w:t xml:space="preserve"> </w:t>
      </w:r>
      <w:r w:rsidR="00B47376" w:rsidRPr="00660A3A">
        <w:rPr>
          <w:rFonts w:ascii="Times New Roman" w:hAnsi="Times New Roman"/>
          <w:sz w:val="24"/>
          <w:szCs w:val="24"/>
        </w:rPr>
        <w:t>apmērā,</w:t>
      </w:r>
      <w:r w:rsidR="004E3F3A" w:rsidRPr="00660A3A">
        <w:rPr>
          <w:rFonts w:ascii="Times New Roman" w:hAnsi="Times New Roman"/>
          <w:sz w:val="24"/>
          <w:szCs w:val="24"/>
        </w:rPr>
        <w:t xml:space="preserve"> t.i.,</w:t>
      </w:r>
      <w:r w:rsidR="00B47376" w:rsidRPr="00660A3A">
        <w:rPr>
          <w:rFonts w:ascii="Times New Roman" w:hAnsi="Times New Roman"/>
          <w:sz w:val="24"/>
          <w:szCs w:val="24"/>
        </w:rPr>
        <w:t xml:space="preserve"> </w:t>
      </w:r>
      <w:r w:rsidR="004E3F3A" w:rsidRPr="00660A3A">
        <w:rPr>
          <w:rFonts w:ascii="Times New Roman" w:hAnsi="Times New Roman"/>
          <w:sz w:val="24"/>
          <w:szCs w:val="24"/>
        </w:rPr>
        <w:t xml:space="preserve">finansējuma apmērs, kas norādīts 2014.gadam un 2015.gadam, izņemot </w:t>
      </w:r>
      <w:r w:rsidRPr="00660A3A">
        <w:rPr>
          <w:rFonts w:ascii="Times New Roman" w:hAnsi="Times New Roman"/>
          <w:sz w:val="24"/>
          <w:szCs w:val="24"/>
        </w:rPr>
        <w:t>Mūžizglītības programmas finanšu nolīgumu pārvaldībai</w:t>
      </w:r>
      <w:r w:rsidR="004E3F3A" w:rsidRPr="00660A3A">
        <w:rPr>
          <w:rFonts w:ascii="Times New Roman" w:hAnsi="Times New Roman"/>
          <w:sz w:val="24"/>
          <w:szCs w:val="24"/>
        </w:rPr>
        <w:t xml:space="preserve"> nepieciešamo finansējumu.</w:t>
      </w:r>
      <w:r w:rsidRPr="00660A3A">
        <w:rPr>
          <w:rFonts w:ascii="Times New Roman" w:hAnsi="Times New Roman"/>
          <w:sz w:val="24"/>
          <w:szCs w:val="24"/>
        </w:rPr>
        <w:t xml:space="preserve"> Vienlaikus norādītā finansējuma apmērs</w:t>
      </w:r>
      <w:r w:rsidR="004E3F3A" w:rsidRPr="00660A3A">
        <w:rPr>
          <w:rFonts w:ascii="Times New Roman" w:hAnsi="Times New Roman"/>
          <w:sz w:val="24"/>
          <w:szCs w:val="24"/>
        </w:rPr>
        <w:t xml:space="preserve"> turpmākajiem gadiem</w:t>
      </w:r>
      <w:r w:rsidRPr="00660A3A">
        <w:rPr>
          <w:rFonts w:ascii="Times New Roman" w:hAnsi="Times New Roman"/>
          <w:sz w:val="24"/>
          <w:szCs w:val="24"/>
        </w:rPr>
        <w:t xml:space="preserve"> ir precizējams atbilstoši </w:t>
      </w:r>
      <w:r w:rsidR="00B47376" w:rsidRPr="00660A3A">
        <w:rPr>
          <w:rFonts w:ascii="Times New Roman" w:hAnsi="Times New Roman"/>
          <w:sz w:val="24"/>
          <w:szCs w:val="24"/>
        </w:rPr>
        <w:t>Komisijas ikgadējās darba programmās plānotajam finansējumam likumprojekta par vidējā termiņa budžeta ietvaru un likumprojekta par valsts budžetu kārtējam gadam izstrādes gaitā.</w:t>
      </w:r>
    </w:p>
    <w:p w:rsidR="003B760D" w:rsidRPr="00660A3A" w:rsidRDefault="003B760D" w:rsidP="005B39F5">
      <w:pPr>
        <w:tabs>
          <w:tab w:val="left" w:pos="851"/>
        </w:tabs>
        <w:spacing w:after="0" w:line="240" w:lineRule="auto"/>
        <w:ind w:firstLine="567"/>
        <w:jc w:val="right"/>
        <w:rPr>
          <w:rFonts w:ascii="Times New Roman" w:hAnsi="Times New Roman"/>
          <w:sz w:val="24"/>
          <w:szCs w:val="24"/>
        </w:rPr>
      </w:pPr>
    </w:p>
    <w:p w:rsidR="003B760D" w:rsidRPr="00660A3A" w:rsidRDefault="005B39F5" w:rsidP="005B39F5">
      <w:pPr>
        <w:tabs>
          <w:tab w:val="left" w:pos="851"/>
        </w:tabs>
        <w:spacing w:after="0" w:line="240" w:lineRule="auto"/>
        <w:ind w:firstLine="567"/>
        <w:jc w:val="right"/>
        <w:rPr>
          <w:rFonts w:ascii="Times New Roman" w:hAnsi="Times New Roman"/>
          <w:sz w:val="24"/>
          <w:szCs w:val="24"/>
        </w:rPr>
      </w:pPr>
      <w:r w:rsidRPr="00660A3A">
        <w:rPr>
          <w:rFonts w:ascii="Times New Roman" w:hAnsi="Times New Roman"/>
          <w:sz w:val="24"/>
          <w:szCs w:val="24"/>
        </w:rPr>
        <w:t>1.tabula</w:t>
      </w:r>
    </w:p>
    <w:p w:rsidR="005B39F5" w:rsidRPr="00660A3A" w:rsidRDefault="005B39F5" w:rsidP="005B39F5">
      <w:pPr>
        <w:tabs>
          <w:tab w:val="left" w:pos="851"/>
        </w:tabs>
        <w:spacing w:after="0" w:line="240" w:lineRule="auto"/>
        <w:ind w:firstLine="567"/>
        <w:jc w:val="right"/>
        <w:rPr>
          <w:rFonts w:ascii="Times New Roman" w:hAnsi="Times New Roman"/>
          <w:sz w:val="24"/>
          <w:szCs w:val="24"/>
        </w:rPr>
      </w:pPr>
      <w:r w:rsidRPr="00660A3A">
        <w:rPr>
          <w:rFonts w:ascii="Times New Roman" w:hAnsi="Times New Roman"/>
          <w:sz w:val="24"/>
          <w:szCs w:val="24"/>
        </w:rPr>
        <w:t xml:space="preserve"> </w:t>
      </w:r>
    </w:p>
    <w:p w:rsidR="005B39F5" w:rsidRPr="00660A3A" w:rsidRDefault="005B39F5" w:rsidP="005B39F5">
      <w:pPr>
        <w:tabs>
          <w:tab w:val="left" w:pos="851"/>
        </w:tabs>
        <w:spacing w:line="240" w:lineRule="auto"/>
        <w:ind w:firstLine="567"/>
        <w:jc w:val="center"/>
        <w:rPr>
          <w:rFonts w:ascii="Times New Roman" w:hAnsi="Times New Roman"/>
          <w:sz w:val="24"/>
          <w:szCs w:val="24"/>
        </w:rPr>
      </w:pPr>
      <w:r w:rsidRPr="00660A3A">
        <w:rPr>
          <w:rFonts w:ascii="Times New Roman" w:hAnsi="Times New Roman"/>
          <w:sz w:val="24"/>
          <w:szCs w:val="24"/>
        </w:rPr>
        <w:t>VIAA kā valsts aģentūras</w:t>
      </w:r>
      <w:r w:rsidR="00E70E1A" w:rsidRPr="00660A3A">
        <w:rPr>
          <w:rFonts w:ascii="Times New Roman" w:hAnsi="Times New Roman"/>
          <w:sz w:val="24"/>
          <w:szCs w:val="24"/>
        </w:rPr>
        <w:t xml:space="preserve"> darbības</w:t>
      </w:r>
      <w:r w:rsidRPr="00660A3A">
        <w:rPr>
          <w:rFonts w:ascii="Times New Roman" w:hAnsi="Times New Roman"/>
          <w:sz w:val="24"/>
          <w:szCs w:val="24"/>
        </w:rPr>
        <w:t xml:space="preserve"> nodrošināšanai</w:t>
      </w:r>
      <w:r w:rsidR="00E42138" w:rsidRPr="00660A3A">
        <w:rPr>
          <w:rFonts w:ascii="Times New Roman" w:hAnsi="Times New Roman"/>
          <w:sz w:val="24"/>
          <w:szCs w:val="24"/>
        </w:rPr>
        <w:t xml:space="preserve"> papildus 2014.</w:t>
      </w:r>
      <w:r w:rsidR="00090DEA" w:rsidRPr="00660A3A">
        <w:rPr>
          <w:rFonts w:ascii="Times New Roman" w:hAnsi="Times New Roman"/>
          <w:sz w:val="24"/>
          <w:szCs w:val="24"/>
        </w:rPr>
        <w:t>gadā</w:t>
      </w:r>
      <w:r w:rsidR="00E70E1A" w:rsidRPr="00660A3A">
        <w:rPr>
          <w:rFonts w:ascii="Times New Roman" w:hAnsi="Times New Roman"/>
          <w:sz w:val="24"/>
          <w:szCs w:val="24"/>
        </w:rPr>
        <w:t>,</w:t>
      </w:r>
      <w:r w:rsidR="00090DEA" w:rsidRPr="00660A3A">
        <w:rPr>
          <w:rFonts w:ascii="Times New Roman" w:hAnsi="Times New Roman"/>
          <w:sz w:val="24"/>
          <w:szCs w:val="24"/>
        </w:rPr>
        <w:t xml:space="preserve"> </w:t>
      </w:r>
      <w:r w:rsidR="00E42138" w:rsidRPr="00660A3A">
        <w:rPr>
          <w:rFonts w:ascii="Times New Roman" w:hAnsi="Times New Roman"/>
          <w:sz w:val="24"/>
          <w:szCs w:val="24"/>
        </w:rPr>
        <w:t>201</w:t>
      </w:r>
      <w:r w:rsidR="00090DEA" w:rsidRPr="00660A3A">
        <w:rPr>
          <w:rFonts w:ascii="Times New Roman" w:hAnsi="Times New Roman"/>
          <w:sz w:val="24"/>
          <w:szCs w:val="24"/>
        </w:rPr>
        <w:t>5</w:t>
      </w:r>
      <w:r w:rsidR="00E42138" w:rsidRPr="00660A3A">
        <w:rPr>
          <w:rFonts w:ascii="Times New Roman" w:hAnsi="Times New Roman"/>
          <w:sz w:val="24"/>
          <w:szCs w:val="24"/>
        </w:rPr>
        <w:t>.gadā</w:t>
      </w:r>
      <w:r w:rsidR="00E70E1A" w:rsidRPr="00660A3A">
        <w:rPr>
          <w:rFonts w:ascii="Times New Roman" w:hAnsi="Times New Roman"/>
          <w:sz w:val="24"/>
          <w:szCs w:val="24"/>
        </w:rPr>
        <w:t xml:space="preserve"> un turpmākajos gados</w:t>
      </w:r>
      <w:r w:rsidR="00E42138" w:rsidRPr="00660A3A">
        <w:rPr>
          <w:rFonts w:ascii="Times New Roman" w:hAnsi="Times New Roman"/>
          <w:sz w:val="24"/>
          <w:szCs w:val="24"/>
        </w:rPr>
        <w:t xml:space="preserve"> </w:t>
      </w:r>
      <w:r w:rsidRPr="00660A3A">
        <w:rPr>
          <w:rFonts w:ascii="Times New Roman" w:hAnsi="Times New Roman"/>
          <w:sz w:val="24"/>
          <w:szCs w:val="24"/>
        </w:rPr>
        <w:t>nepieciešamais finansējums, EUR</w:t>
      </w:r>
    </w:p>
    <w:tbl>
      <w:tblPr>
        <w:tblStyle w:val="TableGrid"/>
        <w:tblW w:w="0" w:type="auto"/>
        <w:tblLayout w:type="fixed"/>
        <w:tblLook w:val="04A0"/>
      </w:tblPr>
      <w:tblGrid>
        <w:gridCol w:w="1809"/>
        <w:gridCol w:w="1843"/>
        <w:gridCol w:w="1843"/>
        <w:gridCol w:w="4359"/>
      </w:tblGrid>
      <w:tr w:rsidR="00E70E1A" w:rsidRPr="00660A3A" w:rsidTr="00E70E1A">
        <w:trPr>
          <w:tblHeader/>
        </w:trPr>
        <w:tc>
          <w:tcPr>
            <w:tcW w:w="1809" w:type="dxa"/>
          </w:tcPr>
          <w:p w:rsidR="00E70E1A" w:rsidRPr="00660A3A" w:rsidRDefault="00E70E1A" w:rsidP="005B39F5">
            <w:pPr>
              <w:tabs>
                <w:tab w:val="left" w:pos="851"/>
              </w:tabs>
              <w:spacing w:line="240" w:lineRule="auto"/>
              <w:jc w:val="center"/>
              <w:rPr>
                <w:rFonts w:ascii="Times New Roman" w:hAnsi="Times New Roman"/>
              </w:rPr>
            </w:pPr>
            <w:r w:rsidRPr="00660A3A">
              <w:rPr>
                <w:rFonts w:ascii="Times New Roman" w:hAnsi="Times New Roman"/>
              </w:rPr>
              <w:t>Izdevumu pozīcija</w:t>
            </w:r>
          </w:p>
        </w:tc>
        <w:tc>
          <w:tcPr>
            <w:tcW w:w="1843" w:type="dxa"/>
          </w:tcPr>
          <w:p w:rsidR="00E70E1A" w:rsidRPr="00660A3A" w:rsidRDefault="00E70E1A" w:rsidP="005B39F5">
            <w:pPr>
              <w:tabs>
                <w:tab w:val="left" w:pos="851"/>
              </w:tabs>
              <w:spacing w:after="0" w:line="240" w:lineRule="auto"/>
              <w:jc w:val="center"/>
              <w:rPr>
                <w:rFonts w:ascii="Times New Roman" w:hAnsi="Times New Roman"/>
              </w:rPr>
            </w:pPr>
            <w:r w:rsidRPr="00660A3A">
              <w:rPr>
                <w:rFonts w:ascii="Times New Roman" w:hAnsi="Times New Roman"/>
              </w:rPr>
              <w:t>Nepieciešamais finansējums</w:t>
            </w:r>
          </w:p>
          <w:p w:rsidR="00E70E1A" w:rsidRPr="00660A3A" w:rsidRDefault="00E70E1A" w:rsidP="00EF57A6">
            <w:pPr>
              <w:tabs>
                <w:tab w:val="left" w:pos="851"/>
              </w:tabs>
              <w:spacing w:after="0" w:line="240" w:lineRule="auto"/>
              <w:jc w:val="center"/>
              <w:rPr>
                <w:rFonts w:ascii="Times New Roman" w:hAnsi="Times New Roman"/>
              </w:rPr>
            </w:pPr>
            <w:r w:rsidRPr="00660A3A">
              <w:rPr>
                <w:rFonts w:ascii="Times New Roman" w:hAnsi="Times New Roman"/>
              </w:rPr>
              <w:t>2014.gadā un 2015.gadā</w:t>
            </w:r>
            <w:r w:rsidRPr="00660A3A">
              <w:rPr>
                <w:rFonts w:ascii="Times New Roman" w:hAnsi="Times New Roman"/>
                <w:vertAlign w:val="superscript"/>
              </w:rPr>
              <w:t>1</w:t>
            </w:r>
          </w:p>
        </w:tc>
        <w:tc>
          <w:tcPr>
            <w:tcW w:w="1843" w:type="dxa"/>
          </w:tcPr>
          <w:p w:rsidR="00E70E1A" w:rsidRPr="00660A3A" w:rsidRDefault="00E70E1A" w:rsidP="00E70E1A">
            <w:pPr>
              <w:tabs>
                <w:tab w:val="left" w:pos="851"/>
              </w:tabs>
              <w:spacing w:after="0" w:line="240" w:lineRule="auto"/>
              <w:jc w:val="center"/>
              <w:rPr>
                <w:rFonts w:ascii="Times New Roman" w:hAnsi="Times New Roman"/>
              </w:rPr>
            </w:pPr>
            <w:r w:rsidRPr="00660A3A">
              <w:rPr>
                <w:rFonts w:ascii="Times New Roman" w:hAnsi="Times New Roman"/>
              </w:rPr>
              <w:t>Nepieciešamais finansējums</w:t>
            </w:r>
          </w:p>
          <w:p w:rsidR="00E70E1A" w:rsidRPr="00660A3A" w:rsidRDefault="00E70E1A" w:rsidP="00E70E1A">
            <w:pPr>
              <w:tabs>
                <w:tab w:val="left" w:pos="851"/>
              </w:tabs>
              <w:spacing w:after="0" w:line="240" w:lineRule="auto"/>
              <w:jc w:val="center"/>
              <w:rPr>
                <w:rFonts w:ascii="Times New Roman" w:hAnsi="Times New Roman"/>
              </w:rPr>
            </w:pPr>
            <w:r w:rsidRPr="00660A3A">
              <w:rPr>
                <w:rFonts w:ascii="Times New Roman" w:hAnsi="Times New Roman"/>
              </w:rPr>
              <w:t>turpmākajos gados</w:t>
            </w:r>
            <w:r w:rsidR="00497903" w:rsidRPr="00660A3A">
              <w:rPr>
                <w:rFonts w:ascii="Times New Roman" w:hAnsi="Times New Roman"/>
              </w:rPr>
              <w:t xml:space="preserve"> (pēc 2015.gada)</w:t>
            </w:r>
            <w:r w:rsidR="004C03BA" w:rsidRPr="00660A3A">
              <w:rPr>
                <w:rFonts w:ascii="Times New Roman" w:hAnsi="Times New Roman"/>
                <w:vertAlign w:val="superscript"/>
              </w:rPr>
              <w:t>1</w:t>
            </w:r>
          </w:p>
        </w:tc>
        <w:tc>
          <w:tcPr>
            <w:tcW w:w="4359" w:type="dxa"/>
          </w:tcPr>
          <w:p w:rsidR="00E70E1A" w:rsidRPr="00660A3A" w:rsidRDefault="00E70E1A" w:rsidP="005B39F5">
            <w:pPr>
              <w:tabs>
                <w:tab w:val="left" w:pos="851"/>
              </w:tabs>
              <w:spacing w:after="0" w:line="240" w:lineRule="auto"/>
              <w:jc w:val="center"/>
              <w:rPr>
                <w:rFonts w:ascii="Times New Roman" w:hAnsi="Times New Roman"/>
              </w:rPr>
            </w:pPr>
            <w:r w:rsidRPr="00660A3A">
              <w:rPr>
                <w:rFonts w:ascii="Times New Roman" w:hAnsi="Times New Roman"/>
              </w:rPr>
              <w:t>Izdevumu apraksts</w:t>
            </w:r>
          </w:p>
        </w:tc>
      </w:tr>
      <w:tr w:rsidR="00E70E1A" w:rsidRPr="00660A3A" w:rsidTr="00E70E1A">
        <w:tc>
          <w:tcPr>
            <w:tcW w:w="1809" w:type="dxa"/>
          </w:tcPr>
          <w:p w:rsidR="00E70E1A" w:rsidRPr="00660A3A" w:rsidRDefault="00E70E1A" w:rsidP="005B39F5">
            <w:pPr>
              <w:tabs>
                <w:tab w:val="left" w:pos="851"/>
              </w:tabs>
              <w:spacing w:after="0" w:line="240" w:lineRule="auto"/>
              <w:jc w:val="both"/>
              <w:rPr>
                <w:rFonts w:ascii="Times New Roman" w:hAnsi="Times New Roman"/>
              </w:rPr>
            </w:pPr>
            <w:r w:rsidRPr="00660A3A">
              <w:rPr>
                <w:rFonts w:ascii="Times New Roman" w:hAnsi="Times New Roman"/>
              </w:rPr>
              <w:t xml:space="preserve">Atlīdzība </w:t>
            </w:r>
          </w:p>
        </w:tc>
        <w:tc>
          <w:tcPr>
            <w:tcW w:w="1843" w:type="dxa"/>
          </w:tcPr>
          <w:p w:rsidR="00E70E1A" w:rsidRPr="00660A3A" w:rsidRDefault="00E70E1A" w:rsidP="005B39F5">
            <w:pPr>
              <w:tabs>
                <w:tab w:val="left" w:pos="851"/>
              </w:tabs>
              <w:spacing w:after="0" w:line="240" w:lineRule="auto"/>
              <w:jc w:val="center"/>
              <w:rPr>
                <w:rFonts w:ascii="Times New Roman" w:hAnsi="Times New Roman"/>
              </w:rPr>
            </w:pPr>
            <w:r w:rsidRPr="00660A3A">
              <w:rPr>
                <w:rFonts w:ascii="Times New Roman" w:hAnsi="Times New Roman"/>
              </w:rPr>
              <w:t>727 555</w:t>
            </w:r>
          </w:p>
        </w:tc>
        <w:tc>
          <w:tcPr>
            <w:tcW w:w="1843" w:type="dxa"/>
          </w:tcPr>
          <w:p w:rsidR="00E70E1A" w:rsidRPr="00660A3A" w:rsidRDefault="006166FC" w:rsidP="00B47376">
            <w:pPr>
              <w:tabs>
                <w:tab w:val="left" w:pos="851"/>
              </w:tabs>
              <w:spacing w:after="0" w:line="240" w:lineRule="auto"/>
              <w:jc w:val="center"/>
              <w:rPr>
                <w:rFonts w:ascii="Times New Roman" w:hAnsi="Times New Roman"/>
              </w:rPr>
            </w:pPr>
            <w:r w:rsidRPr="00660A3A">
              <w:rPr>
                <w:rFonts w:ascii="Times New Roman" w:hAnsi="Times New Roman"/>
              </w:rPr>
              <w:t>628 897</w:t>
            </w:r>
          </w:p>
        </w:tc>
        <w:tc>
          <w:tcPr>
            <w:tcW w:w="4359" w:type="dxa"/>
          </w:tcPr>
          <w:p w:rsidR="00E70E1A" w:rsidRPr="00660A3A" w:rsidRDefault="00E70E1A" w:rsidP="005B39F5">
            <w:pPr>
              <w:tabs>
                <w:tab w:val="left" w:pos="851"/>
              </w:tabs>
              <w:spacing w:after="0" w:line="240" w:lineRule="auto"/>
              <w:jc w:val="both"/>
              <w:rPr>
                <w:rFonts w:ascii="Times New Roman" w:hAnsi="Times New Roman"/>
              </w:rPr>
            </w:pPr>
            <w:r w:rsidRPr="00660A3A">
              <w:rPr>
                <w:rFonts w:ascii="Times New Roman" w:hAnsi="Times New Roman"/>
              </w:rPr>
              <w:t xml:space="preserve">Lai nodrošinātu programmas </w:t>
            </w:r>
            <w:r w:rsidRPr="00660A3A">
              <w:rPr>
                <w:rFonts w:ascii="Times New Roman" w:hAnsi="Times New Roman"/>
                <w:i/>
              </w:rPr>
              <w:t>Erasmus+</w:t>
            </w:r>
            <w:r w:rsidRPr="00660A3A">
              <w:rPr>
                <w:rFonts w:ascii="Times New Roman" w:hAnsi="Times New Roman"/>
              </w:rPr>
              <w:t xml:space="preserve"> īstenošanu un Mūžizglītības programmas finanšu nolīgumu pārvaldību, tiek nodarbināti 28 darbinieki</w:t>
            </w:r>
            <w:r w:rsidR="00B47376" w:rsidRPr="00660A3A">
              <w:rPr>
                <w:rFonts w:ascii="Times New Roman" w:hAnsi="Times New Roman"/>
              </w:rPr>
              <w:t xml:space="preserve"> (nepieciešamais darbinieku skaits attiecas uz visu periodu – 2014., 2015.gad</w:t>
            </w:r>
            <w:r w:rsidR="003B760D" w:rsidRPr="00660A3A">
              <w:rPr>
                <w:rFonts w:ascii="Times New Roman" w:hAnsi="Times New Roman"/>
              </w:rPr>
              <w:t>s</w:t>
            </w:r>
            <w:r w:rsidR="00B47376" w:rsidRPr="00660A3A">
              <w:rPr>
                <w:rFonts w:ascii="Times New Roman" w:hAnsi="Times New Roman"/>
              </w:rPr>
              <w:t xml:space="preserve"> un turpmākie gadi)</w:t>
            </w:r>
            <w:r w:rsidRPr="00660A3A">
              <w:rPr>
                <w:rFonts w:ascii="Times New Roman" w:hAnsi="Times New Roman"/>
              </w:rPr>
              <w:t xml:space="preserve">. </w:t>
            </w:r>
          </w:p>
          <w:p w:rsidR="00E70E1A" w:rsidRPr="00660A3A" w:rsidRDefault="00E70E1A" w:rsidP="00B21DA8">
            <w:pPr>
              <w:tabs>
                <w:tab w:val="left" w:pos="851"/>
              </w:tabs>
              <w:spacing w:after="0" w:line="240" w:lineRule="auto"/>
              <w:jc w:val="both"/>
              <w:rPr>
                <w:rFonts w:ascii="Times New Roman" w:hAnsi="Times New Roman"/>
              </w:rPr>
            </w:pPr>
            <w:r w:rsidRPr="00660A3A">
              <w:rPr>
                <w:rFonts w:ascii="Times New Roman" w:hAnsi="Times New Roman"/>
              </w:rPr>
              <w:t xml:space="preserve">Izmaksu pozīcijā iekļauts arī finansējums programmas </w:t>
            </w:r>
            <w:r w:rsidRPr="00660A3A">
              <w:rPr>
                <w:rFonts w:ascii="Times New Roman" w:hAnsi="Times New Roman"/>
                <w:i/>
              </w:rPr>
              <w:t>Erasmus+</w:t>
            </w:r>
            <w:r w:rsidRPr="00660A3A">
              <w:rPr>
                <w:rFonts w:ascii="Times New Roman" w:hAnsi="Times New Roman"/>
              </w:rPr>
              <w:t xml:space="preserve"> projektu iesniegumu kvalitatīvās vērtēšanas ekspertiem vidēji 350 projektu vērtēšanai/gadā (vidējās izmaksas gadā – 40 000 EUR). </w:t>
            </w:r>
          </w:p>
        </w:tc>
      </w:tr>
      <w:tr w:rsidR="00E70E1A" w:rsidRPr="00660A3A" w:rsidTr="00E70E1A">
        <w:tc>
          <w:tcPr>
            <w:tcW w:w="1809" w:type="dxa"/>
          </w:tcPr>
          <w:p w:rsidR="00E70E1A" w:rsidRPr="00660A3A" w:rsidRDefault="00E70E1A" w:rsidP="005B39F5">
            <w:pPr>
              <w:tabs>
                <w:tab w:val="left" w:pos="851"/>
              </w:tabs>
              <w:spacing w:after="0" w:line="240" w:lineRule="auto"/>
              <w:rPr>
                <w:rFonts w:ascii="Times New Roman" w:hAnsi="Times New Roman"/>
              </w:rPr>
            </w:pPr>
            <w:r w:rsidRPr="00660A3A">
              <w:rPr>
                <w:rFonts w:ascii="Times New Roman" w:hAnsi="Times New Roman"/>
              </w:rPr>
              <w:t>Telpu noma, to uzturēšanas izdevumi</w:t>
            </w:r>
          </w:p>
        </w:tc>
        <w:tc>
          <w:tcPr>
            <w:tcW w:w="1843" w:type="dxa"/>
          </w:tcPr>
          <w:p w:rsidR="00E70E1A" w:rsidRPr="00660A3A" w:rsidRDefault="00E70E1A" w:rsidP="005B39F5">
            <w:pPr>
              <w:tabs>
                <w:tab w:val="left" w:pos="851"/>
              </w:tabs>
              <w:spacing w:after="0" w:line="240" w:lineRule="auto"/>
              <w:jc w:val="center"/>
              <w:rPr>
                <w:rFonts w:ascii="Times New Roman" w:hAnsi="Times New Roman"/>
              </w:rPr>
            </w:pPr>
            <w:r w:rsidRPr="00660A3A">
              <w:rPr>
                <w:rFonts w:ascii="Times New Roman" w:hAnsi="Times New Roman"/>
              </w:rPr>
              <w:t>74 500</w:t>
            </w:r>
          </w:p>
        </w:tc>
        <w:tc>
          <w:tcPr>
            <w:tcW w:w="1843" w:type="dxa"/>
          </w:tcPr>
          <w:p w:rsidR="007212AD" w:rsidRPr="00660A3A" w:rsidRDefault="006166FC">
            <w:pPr>
              <w:tabs>
                <w:tab w:val="left" w:pos="851"/>
              </w:tabs>
              <w:spacing w:after="0" w:line="240" w:lineRule="auto"/>
              <w:jc w:val="center"/>
              <w:rPr>
                <w:rFonts w:ascii="Times New Roman" w:eastAsia="宋体" w:hAnsi="Times New Roman"/>
                <w:lang w:eastAsia="zh-CN"/>
              </w:rPr>
            </w:pPr>
            <w:r w:rsidRPr="00660A3A">
              <w:rPr>
                <w:rFonts w:ascii="Times New Roman" w:hAnsi="Times New Roman"/>
              </w:rPr>
              <w:t>74 500</w:t>
            </w:r>
          </w:p>
        </w:tc>
        <w:tc>
          <w:tcPr>
            <w:tcW w:w="4359" w:type="dxa"/>
          </w:tcPr>
          <w:p w:rsidR="00E70E1A" w:rsidRPr="00660A3A" w:rsidRDefault="00E70E1A" w:rsidP="00EF57A6">
            <w:pPr>
              <w:tabs>
                <w:tab w:val="left" w:pos="851"/>
              </w:tabs>
              <w:spacing w:after="0" w:line="240" w:lineRule="auto"/>
              <w:jc w:val="both"/>
              <w:rPr>
                <w:rFonts w:ascii="Times New Roman" w:hAnsi="Times New Roman"/>
              </w:rPr>
            </w:pPr>
            <w:r w:rsidRPr="00660A3A">
              <w:rPr>
                <w:rFonts w:ascii="Times New Roman" w:hAnsi="Times New Roman"/>
              </w:rPr>
              <w:t>Telpu noma, komunālie pakalpojumi u</w:t>
            </w:r>
            <w:r w:rsidR="00405D66" w:rsidRPr="00660A3A">
              <w:rPr>
                <w:rFonts w:ascii="Times New Roman" w:hAnsi="Times New Roman"/>
              </w:rPr>
              <w:t>n apsaimniekošanas izdevumi Vaļņ</w:t>
            </w:r>
            <w:r w:rsidRPr="00660A3A">
              <w:rPr>
                <w:rFonts w:ascii="Times New Roman" w:hAnsi="Times New Roman"/>
              </w:rPr>
              <w:t xml:space="preserve">u ielā 3, Rīga. </w:t>
            </w:r>
          </w:p>
          <w:p w:rsidR="00E70E1A" w:rsidRPr="00660A3A" w:rsidRDefault="00E70E1A" w:rsidP="00EF57A6">
            <w:pPr>
              <w:tabs>
                <w:tab w:val="left" w:pos="851"/>
              </w:tabs>
              <w:spacing w:after="0" w:line="240" w:lineRule="auto"/>
              <w:jc w:val="both"/>
              <w:rPr>
                <w:rFonts w:ascii="Times New Roman" w:hAnsi="Times New Roman"/>
              </w:rPr>
            </w:pPr>
            <w:r w:rsidRPr="00660A3A">
              <w:rPr>
                <w:rFonts w:ascii="Times New Roman" w:hAnsi="Times New Roman"/>
              </w:rPr>
              <w:t xml:space="preserve">Izmaksas plānotas atbilstoši līgumam, </w:t>
            </w:r>
            <w:r w:rsidRPr="00660A3A">
              <w:rPr>
                <w:rFonts w:ascii="Times New Roman" w:hAnsi="Times New Roman"/>
              </w:rPr>
              <w:lastRenderedPageBreak/>
              <w:t xml:space="preserve">proporcionāli darbinieku skaitam (28). </w:t>
            </w:r>
          </w:p>
        </w:tc>
      </w:tr>
      <w:tr w:rsidR="00E70E1A" w:rsidRPr="00660A3A" w:rsidTr="00E70E1A">
        <w:tc>
          <w:tcPr>
            <w:tcW w:w="1809" w:type="dxa"/>
          </w:tcPr>
          <w:p w:rsidR="00E70E1A" w:rsidRPr="00660A3A" w:rsidRDefault="00E70E1A" w:rsidP="00980F88">
            <w:pPr>
              <w:tabs>
                <w:tab w:val="left" w:pos="851"/>
              </w:tabs>
              <w:spacing w:after="0" w:line="240" w:lineRule="auto"/>
              <w:rPr>
                <w:rFonts w:ascii="Times New Roman" w:hAnsi="Times New Roman"/>
              </w:rPr>
            </w:pPr>
            <w:r w:rsidRPr="00660A3A">
              <w:rPr>
                <w:rFonts w:ascii="Times New Roman" w:hAnsi="Times New Roman"/>
              </w:rPr>
              <w:lastRenderedPageBreak/>
              <w:t>Sakaru pakalpojumi, internets</w:t>
            </w:r>
          </w:p>
        </w:tc>
        <w:tc>
          <w:tcPr>
            <w:tcW w:w="1843" w:type="dxa"/>
          </w:tcPr>
          <w:p w:rsidR="00E70E1A" w:rsidRPr="00660A3A" w:rsidRDefault="00E70E1A" w:rsidP="005B39F5">
            <w:pPr>
              <w:tabs>
                <w:tab w:val="left" w:pos="851"/>
              </w:tabs>
              <w:spacing w:after="0" w:line="240" w:lineRule="auto"/>
              <w:jc w:val="center"/>
              <w:rPr>
                <w:rFonts w:ascii="Times New Roman" w:hAnsi="Times New Roman"/>
              </w:rPr>
            </w:pPr>
            <w:r w:rsidRPr="00660A3A">
              <w:rPr>
                <w:rFonts w:ascii="Times New Roman" w:hAnsi="Times New Roman"/>
              </w:rPr>
              <w:t>8 500</w:t>
            </w:r>
          </w:p>
        </w:tc>
        <w:tc>
          <w:tcPr>
            <w:tcW w:w="1843" w:type="dxa"/>
          </w:tcPr>
          <w:p w:rsidR="007212AD" w:rsidRPr="00660A3A" w:rsidRDefault="006166FC">
            <w:pPr>
              <w:tabs>
                <w:tab w:val="left" w:pos="851"/>
              </w:tabs>
              <w:spacing w:after="0" w:line="240" w:lineRule="auto"/>
              <w:jc w:val="center"/>
              <w:rPr>
                <w:rFonts w:ascii="Times New Roman" w:eastAsia="宋体" w:hAnsi="Times New Roman"/>
                <w:lang w:eastAsia="zh-CN"/>
              </w:rPr>
            </w:pPr>
            <w:r w:rsidRPr="00660A3A">
              <w:rPr>
                <w:rFonts w:ascii="Times New Roman" w:hAnsi="Times New Roman"/>
              </w:rPr>
              <w:t>8 500</w:t>
            </w:r>
          </w:p>
        </w:tc>
        <w:tc>
          <w:tcPr>
            <w:tcW w:w="4359" w:type="dxa"/>
          </w:tcPr>
          <w:p w:rsidR="00E70E1A" w:rsidRPr="00660A3A" w:rsidRDefault="00E70E1A" w:rsidP="00EF57A6">
            <w:pPr>
              <w:tabs>
                <w:tab w:val="left" w:pos="851"/>
              </w:tabs>
              <w:spacing w:after="0" w:line="240" w:lineRule="auto"/>
              <w:jc w:val="both"/>
              <w:rPr>
                <w:rFonts w:ascii="Times New Roman" w:hAnsi="Times New Roman"/>
              </w:rPr>
            </w:pPr>
            <w:r w:rsidRPr="00660A3A">
              <w:rPr>
                <w:rFonts w:ascii="Times New Roman" w:hAnsi="Times New Roman"/>
              </w:rPr>
              <w:t>Telefonu abonēšanas maksa un sarunas, mobilo telefonu pakalpojumi, interneta un pasta pakalpojumi.</w:t>
            </w:r>
          </w:p>
        </w:tc>
      </w:tr>
      <w:tr w:rsidR="00E70E1A" w:rsidRPr="00660A3A" w:rsidTr="00E70E1A">
        <w:tc>
          <w:tcPr>
            <w:tcW w:w="1809" w:type="dxa"/>
          </w:tcPr>
          <w:p w:rsidR="00E70E1A" w:rsidRPr="00660A3A" w:rsidRDefault="00E70E1A" w:rsidP="00980F88">
            <w:pPr>
              <w:tabs>
                <w:tab w:val="left" w:pos="851"/>
              </w:tabs>
              <w:spacing w:after="0" w:line="240" w:lineRule="auto"/>
              <w:rPr>
                <w:rFonts w:ascii="Times New Roman" w:hAnsi="Times New Roman"/>
              </w:rPr>
            </w:pPr>
            <w:r w:rsidRPr="00660A3A">
              <w:rPr>
                <w:rFonts w:ascii="Times New Roman" w:hAnsi="Times New Roman"/>
              </w:rPr>
              <w:t>Komandējumi</w:t>
            </w:r>
          </w:p>
        </w:tc>
        <w:tc>
          <w:tcPr>
            <w:tcW w:w="1843" w:type="dxa"/>
          </w:tcPr>
          <w:p w:rsidR="00E70E1A" w:rsidRPr="00660A3A" w:rsidRDefault="00E70E1A" w:rsidP="005B39F5">
            <w:pPr>
              <w:tabs>
                <w:tab w:val="left" w:pos="851"/>
              </w:tabs>
              <w:spacing w:after="0" w:line="240" w:lineRule="auto"/>
              <w:jc w:val="center"/>
              <w:rPr>
                <w:rFonts w:ascii="Times New Roman" w:hAnsi="Times New Roman"/>
              </w:rPr>
            </w:pPr>
            <w:r w:rsidRPr="00660A3A">
              <w:rPr>
                <w:rFonts w:ascii="Times New Roman" w:hAnsi="Times New Roman"/>
              </w:rPr>
              <w:t>25 000</w:t>
            </w:r>
          </w:p>
        </w:tc>
        <w:tc>
          <w:tcPr>
            <w:tcW w:w="1843" w:type="dxa"/>
          </w:tcPr>
          <w:p w:rsidR="007212AD" w:rsidRPr="00660A3A" w:rsidRDefault="006166FC">
            <w:pPr>
              <w:tabs>
                <w:tab w:val="left" w:pos="851"/>
              </w:tabs>
              <w:spacing w:after="0" w:line="240" w:lineRule="auto"/>
              <w:jc w:val="center"/>
              <w:rPr>
                <w:rFonts w:ascii="Times New Roman" w:eastAsia="宋体" w:hAnsi="Times New Roman"/>
                <w:lang w:eastAsia="zh-CN"/>
              </w:rPr>
            </w:pPr>
            <w:r w:rsidRPr="00660A3A">
              <w:rPr>
                <w:rFonts w:ascii="Times New Roman" w:hAnsi="Times New Roman"/>
              </w:rPr>
              <w:t>23 000</w:t>
            </w:r>
          </w:p>
        </w:tc>
        <w:tc>
          <w:tcPr>
            <w:tcW w:w="4359" w:type="dxa"/>
          </w:tcPr>
          <w:p w:rsidR="00E70E1A" w:rsidRPr="00660A3A" w:rsidRDefault="00E70E1A" w:rsidP="00EF57A6">
            <w:pPr>
              <w:tabs>
                <w:tab w:val="left" w:pos="851"/>
              </w:tabs>
              <w:spacing w:after="0" w:line="240" w:lineRule="auto"/>
              <w:jc w:val="both"/>
              <w:rPr>
                <w:rFonts w:ascii="Times New Roman" w:hAnsi="Times New Roman"/>
              </w:rPr>
            </w:pPr>
            <w:r w:rsidRPr="00660A3A">
              <w:rPr>
                <w:rFonts w:ascii="Times New Roman" w:hAnsi="Times New Roman"/>
              </w:rPr>
              <w:t xml:space="preserve">Iekšzemes, ārvalstu (mācību, darba braucieni, tai skaitā EK rīkotas apmācības, sanāksmes, semināri). Izdevumos ietilpst ceļa izdevumi, dienas nauda, viesnīcas izdevumi. Gadā tiek plānoti vidēji 1000 EUR uz vienu iesaistīto darbinieku, paredzēti vismaz 25 komandējumi gadā. </w:t>
            </w:r>
          </w:p>
        </w:tc>
      </w:tr>
      <w:tr w:rsidR="00E70E1A" w:rsidRPr="00660A3A" w:rsidTr="00E70E1A">
        <w:tc>
          <w:tcPr>
            <w:tcW w:w="1809" w:type="dxa"/>
          </w:tcPr>
          <w:p w:rsidR="00E70E1A" w:rsidRPr="00660A3A" w:rsidRDefault="00E70E1A" w:rsidP="00980F88">
            <w:pPr>
              <w:tabs>
                <w:tab w:val="left" w:pos="851"/>
              </w:tabs>
              <w:spacing w:after="0" w:line="240" w:lineRule="auto"/>
              <w:rPr>
                <w:rFonts w:ascii="Times New Roman" w:hAnsi="Times New Roman"/>
              </w:rPr>
            </w:pPr>
            <w:r w:rsidRPr="00660A3A">
              <w:rPr>
                <w:rFonts w:ascii="Times New Roman" w:hAnsi="Times New Roman"/>
              </w:rPr>
              <w:t>Informācijas sistēmu uzturēšana</w:t>
            </w:r>
          </w:p>
        </w:tc>
        <w:tc>
          <w:tcPr>
            <w:tcW w:w="1843" w:type="dxa"/>
          </w:tcPr>
          <w:p w:rsidR="00E70E1A" w:rsidRPr="00660A3A" w:rsidRDefault="00E70E1A" w:rsidP="005B39F5">
            <w:pPr>
              <w:tabs>
                <w:tab w:val="left" w:pos="851"/>
              </w:tabs>
              <w:spacing w:after="0" w:line="240" w:lineRule="auto"/>
              <w:jc w:val="center"/>
              <w:rPr>
                <w:rFonts w:ascii="Times New Roman" w:hAnsi="Times New Roman"/>
              </w:rPr>
            </w:pPr>
            <w:r w:rsidRPr="00660A3A">
              <w:rPr>
                <w:rFonts w:ascii="Times New Roman" w:hAnsi="Times New Roman"/>
              </w:rPr>
              <w:t>16 000</w:t>
            </w:r>
          </w:p>
        </w:tc>
        <w:tc>
          <w:tcPr>
            <w:tcW w:w="1843" w:type="dxa"/>
          </w:tcPr>
          <w:p w:rsidR="007212AD" w:rsidRPr="00660A3A" w:rsidRDefault="006166FC">
            <w:pPr>
              <w:tabs>
                <w:tab w:val="left" w:pos="851"/>
              </w:tabs>
              <w:spacing w:after="0" w:line="240" w:lineRule="auto"/>
              <w:jc w:val="center"/>
              <w:rPr>
                <w:rFonts w:ascii="Times New Roman" w:eastAsia="宋体" w:hAnsi="Times New Roman"/>
                <w:lang w:eastAsia="zh-CN"/>
              </w:rPr>
            </w:pPr>
            <w:r w:rsidRPr="00660A3A">
              <w:rPr>
                <w:rFonts w:ascii="Times New Roman" w:hAnsi="Times New Roman"/>
              </w:rPr>
              <w:t>11 000</w:t>
            </w:r>
          </w:p>
        </w:tc>
        <w:tc>
          <w:tcPr>
            <w:tcW w:w="4359" w:type="dxa"/>
          </w:tcPr>
          <w:p w:rsidR="00E70E1A" w:rsidRPr="00660A3A" w:rsidRDefault="00E70E1A" w:rsidP="00EF57A6">
            <w:pPr>
              <w:tabs>
                <w:tab w:val="left" w:pos="851"/>
              </w:tabs>
              <w:spacing w:after="0" w:line="240" w:lineRule="auto"/>
              <w:rPr>
                <w:rFonts w:ascii="Times New Roman" w:hAnsi="Times New Roman"/>
              </w:rPr>
            </w:pPr>
            <w:r w:rsidRPr="00660A3A">
              <w:rPr>
                <w:rFonts w:ascii="Times New Roman" w:hAnsi="Times New Roman"/>
              </w:rPr>
              <w:t>Lietvedības informāc</w:t>
            </w:r>
            <w:r w:rsidR="00405D66" w:rsidRPr="00660A3A">
              <w:rPr>
                <w:rFonts w:ascii="Times New Roman" w:hAnsi="Times New Roman"/>
              </w:rPr>
              <w:t xml:space="preserve">ijas sistēmas uzturēšana, </w:t>
            </w:r>
            <w:proofErr w:type="spellStart"/>
            <w:r w:rsidR="00405D66" w:rsidRPr="00660A3A">
              <w:rPr>
                <w:rFonts w:ascii="Times New Roman" w:hAnsi="Times New Roman"/>
              </w:rPr>
              <w:t>mājas</w:t>
            </w:r>
            <w:r w:rsidRPr="00660A3A">
              <w:rPr>
                <w:rFonts w:ascii="Times New Roman" w:hAnsi="Times New Roman"/>
              </w:rPr>
              <w:t>lapas</w:t>
            </w:r>
            <w:proofErr w:type="spellEnd"/>
            <w:r w:rsidRPr="00660A3A">
              <w:rPr>
                <w:rFonts w:ascii="Times New Roman" w:hAnsi="Times New Roman"/>
              </w:rPr>
              <w:t xml:space="preserve"> uzturēšana un funkcionalitātes nodrošināšana, datu rezerves kopēšana attālinātā datu centrā, grāmatvedības programmas licenču noma un uzturēšanas izdevumi. </w:t>
            </w:r>
          </w:p>
        </w:tc>
      </w:tr>
      <w:tr w:rsidR="00E70E1A" w:rsidRPr="00660A3A" w:rsidTr="00E70E1A">
        <w:tc>
          <w:tcPr>
            <w:tcW w:w="1809" w:type="dxa"/>
          </w:tcPr>
          <w:p w:rsidR="00E70E1A" w:rsidRPr="00660A3A" w:rsidRDefault="00E70E1A" w:rsidP="00980F88">
            <w:pPr>
              <w:tabs>
                <w:tab w:val="left" w:pos="851"/>
              </w:tabs>
              <w:spacing w:after="0" w:line="240" w:lineRule="auto"/>
              <w:rPr>
                <w:rFonts w:ascii="Times New Roman" w:hAnsi="Times New Roman"/>
              </w:rPr>
            </w:pPr>
            <w:r w:rsidRPr="00660A3A">
              <w:rPr>
                <w:rFonts w:ascii="Times New Roman" w:hAnsi="Times New Roman"/>
              </w:rPr>
              <w:t>Pārstāvība un sabiedriskās attiecības, kursu un semināru organizēšana</w:t>
            </w:r>
          </w:p>
        </w:tc>
        <w:tc>
          <w:tcPr>
            <w:tcW w:w="1843" w:type="dxa"/>
          </w:tcPr>
          <w:p w:rsidR="00E70E1A" w:rsidRPr="00660A3A" w:rsidRDefault="00E70E1A" w:rsidP="005B39F5">
            <w:pPr>
              <w:tabs>
                <w:tab w:val="left" w:pos="851"/>
              </w:tabs>
              <w:spacing w:after="0" w:line="240" w:lineRule="auto"/>
              <w:jc w:val="center"/>
              <w:rPr>
                <w:rFonts w:ascii="Times New Roman" w:hAnsi="Times New Roman"/>
              </w:rPr>
            </w:pPr>
            <w:r w:rsidRPr="00660A3A">
              <w:rPr>
                <w:rFonts w:ascii="Times New Roman" w:hAnsi="Times New Roman"/>
              </w:rPr>
              <w:t>61 426</w:t>
            </w:r>
          </w:p>
        </w:tc>
        <w:tc>
          <w:tcPr>
            <w:tcW w:w="1843" w:type="dxa"/>
          </w:tcPr>
          <w:p w:rsidR="007212AD" w:rsidRPr="00660A3A" w:rsidRDefault="006166FC">
            <w:pPr>
              <w:tabs>
                <w:tab w:val="left" w:pos="851"/>
              </w:tabs>
              <w:spacing w:after="0" w:line="240" w:lineRule="auto"/>
              <w:jc w:val="center"/>
              <w:rPr>
                <w:rFonts w:ascii="Times New Roman" w:eastAsia="宋体" w:hAnsi="Times New Roman"/>
                <w:lang w:eastAsia="zh-CN"/>
              </w:rPr>
            </w:pPr>
            <w:r w:rsidRPr="00660A3A">
              <w:rPr>
                <w:rFonts w:ascii="Times New Roman" w:hAnsi="Times New Roman"/>
              </w:rPr>
              <w:t>51 658</w:t>
            </w:r>
          </w:p>
        </w:tc>
        <w:tc>
          <w:tcPr>
            <w:tcW w:w="4359" w:type="dxa"/>
          </w:tcPr>
          <w:p w:rsidR="00E70E1A" w:rsidRPr="00660A3A" w:rsidRDefault="00663F22" w:rsidP="00663F22">
            <w:pPr>
              <w:tabs>
                <w:tab w:val="left" w:pos="851"/>
              </w:tabs>
              <w:spacing w:after="0" w:line="240" w:lineRule="auto"/>
              <w:jc w:val="both"/>
              <w:rPr>
                <w:rFonts w:ascii="Times New Roman" w:hAnsi="Times New Roman"/>
              </w:rPr>
            </w:pPr>
            <w:r w:rsidRPr="00660A3A">
              <w:rPr>
                <w:rFonts w:ascii="Times New Roman" w:hAnsi="Times New Roman"/>
              </w:rPr>
              <w:t>I</w:t>
            </w:r>
            <w:r w:rsidR="00E70E1A" w:rsidRPr="00660A3A">
              <w:rPr>
                <w:rFonts w:ascii="Times New Roman" w:hAnsi="Times New Roman"/>
              </w:rPr>
              <w:t>nformatīvie</w:t>
            </w:r>
            <w:r w:rsidRPr="00660A3A">
              <w:rPr>
                <w:rFonts w:ascii="Times New Roman" w:hAnsi="Times New Roman"/>
              </w:rPr>
              <w:t xml:space="preserve"> un programmas popularizēšanas </w:t>
            </w:r>
            <w:r w:rsidR="00E70E1A" w:rsidRPr="00660A3A">
              <w:rPr>
                <w:rFonts w:ascii="Times New Roman" w:hAnsi="Times New Roman"/>
              </w:rPr>
              <w:t xml:space="preserve">materiāli, programmas </w:t>
            </w:r>
            <w:proofErr w:type="spellStart"/>
            <w:r w:rsidR="00E70E1A" w:rsidRPr="00660A3A">
              <w:rPr>
                <w:rFonts w:ascii="Times New Roman" w:hAnsi="Times New Roman"/>
              </w:rPr>
              <w:t>baneri</w:t>
            </w:r>
            <w:proofErr w:type="spellEnd"/>
            <w:r w:rsidR="00E70E1A" w:rsidRPr="00660A3A">
              <w:rPr>
                <w:rFonts w:ascii="Times New Roman" w:hAnsi="Times New Roman"/>
              </w:rPr>
              <w:t>,</w:t>
            </w:r>
            <w:r w:rsidR="00405D66" w:rsidRPr="00660A3A">
              <w:rPr>
                <w:rFonts w:ascii="Times New Roman" w:hAnsi="Times New Roman"/>
              </w:rPr>
              <w:t xml:space="preserve"> informācijas ievietošana </w:t>
            </w:r>
            <w:proofErr w:type="spellStart"/>
            <w:r w:rsidR="00405D66" w:rsidRPr="00660A3A">
              <w:rPr>
                <w:rFonts w:ascii="Times New Roman" w:hAnsi="Times New Roman"/>
              </w:rPr>
              <w:t>mājaslapā</w:t>
            </w:r>
            <w:proofErr w:type="spellEnd"/>
            <w:r w:rsidR="00405D66" w:rsidRPr="00660A3A">
              <w:rPr>
                <w:rFonts w:ascii="Times New Roman" w:hAnsi="Times New Roman"/>
              </w:rPr>
              <w:t>, me</w:t>
            </w:r>
            <w:r w:rsidR="00E70E1A" w:rsidRPr="00660A3A">
              <w:rPr>
                <w:rFonts w:ascii="Times New Roman" w:hAnsi="Times New Roman"/>
              </w:rPr>
              <w:t xml:space="preserve">diju monitorings, programmas </w:t>
            </w:r>
            <w:r w:rsidR="00E70E1A" w:rsidRPr="00660A3A">
              <w:rPr>
                <w:rFonts w:ascii="Times New Roman" w:hAnsi="Times New Roman"/>
                <w:i/>
              </w:rPr>
              <w:t>Erasmus+</w:t>
            </w:r>
            <w:r w:rsidR="00E70E1A" w:rsidRPr="00660A3A">
              <w:rPr>
                <w:rFonts w:ascii="Times New Roman" w:hAnsi="Times New Roman"/>
              </w:rPr>
              <w:t xml:space="preserve"> atklāšanas konference, tematiskā </w:t>
            </w:r>
            <w:proofErr w:type="spellStart"/>
            <w:r w:rsidR="00E70E1A" w:rsidRPr="00660A3A">
              <w:rPr>
                <w:rFonts w:ascii="Times New Roman" w:hAnsi="Times New Roman"/>
              </w:rPr>
              <w:t>kontak</w:t>
            </w:r>
            <w:r w:rsidRPr="00660A3A">
              <w:rPr>
                <w:rFonts w:ascii="Times New Roman" w:hAnsi="Times New Roman"/>
              </w:rPr>
              <w:t>t</w:t>
            </w:r>
            <w:r w:rsidR="00E70E1A" w:rsidRPr="00660A3A">
              <w:rPr>
                <w:rFonts w:ascii="Times New Roman" w:hAnsi="Times New Roman"/>
              </w:rPr>
              <w:t>semināra</w:t>
            </w:r>
            <w:proofErr w:type="spellEnd"/>
            <w:r w:rsidR="00E70E1A" w:rsidRPr="00660A3A">
              <w:rPr>
                <w:rFonts w:ascii="Times New Roman" w:hAnsi="Times New Roman"/>
              </w:rPr>
              <w:t xml:space="preserve"> organizēšana programmas </w:t>
            </w:r>
            <w:r w:rsidR="00E70E1A" w:rsidRPr="00660A3A">
              <w:rPr>
                <w:rFonts w:ascii="Times New Roman" w:hAnsi="Times New Roman"/>
                <w:i/>
              </w:rPr>
              <w:t>Erasmus+</w:t>
            </w:r>
            <w:r w:rsidRPr="00660A3A">
              <w:rPr>
                <w:rFonts w:ascii="Times New Roman" w:hAnsi="Times New Roman"/>
              </w:rPr>
              <w:t xml:space="preserve"> ietvaros "Starp</w:t>
            </w:r>
            <w:r w:rsidR="00E70E1A" w:rsidRPr="00660A3A">
              <w:rPr>
                <w:rFonts w:ascii="Times New Roman" w:hAnsi="Times New Roman"/>
              </w:rPr>
              <w:t xml:space="preserve">disciplināra pieeja mācību procesā, lai veicinātu radošumu un </w:t>
            </w:r>
            <w:proofErr w:type="spellStart"/>
            <w:r w:rsidR="00E70E1A" w:rsidRPr="00660A3A">
              <w:rPr>
                <w:rFonts w:ascii="Times New Roman" w:hAnsi="Times New Roman"/>
              </w:rPr>
              <w:t>uzņēmējspēju</w:t>
            </w:r>
            <w:proofErr w:type="spellEnd"/>
            <w:r w:rsidR="00E70E1A" w:rsidRPr="00660A3A">
              <w:rPr>
                <w:rFonts w:ascii="Times New Roman" w:hAnsi="Times New Roman"/>
              </w:rPr>
              <w:t xml:space="preserve">", dalība Baltijas valstu pētījumā par mobilitātes tendencēm augstākās izglītības jomā krīzes laikā, programmas </w:t>
            </w:r>
            <w:r w:rsidR="00E70E1A" w:rsidRPr="00660A3A">
              <w:rPr>
                <w:rFonts w:ascii="Times New Roman" w:hAnsi="Times New Roman"/>
                <w:i/>
              </w:rPr>
              <w:t>Erasmus+</w:t>
            </w:r>
            <w:r w:rsidR="00E70E1A" w:rsidRPr="00660A3A">
              <w:rPr>
                <w:rFonts w:ascii="Times New Roman" w:hAnsi="Times New Roman"/>
              </w:rPr>
              <w:t xml:space="preserve"> projektu rezultātu vērtēšanas eksperti (pakalpojuma līgumi), reģionālie informatīvie semināri (11 semināri), projektu rakstīšanas semināri (10 semināri), dalība izstādē "Skola 2014", informatīvie semināri augstākai izglītībai par decentralizētajiem programmas </w:t>
            </w:r>
            <w:r w:rsidR="004C03BA" w:rsidRPr="00660A3A">
              <w:rPr>
                <w:rFonts w:ascii="Times New Roman" w:hAnsi="Times New Roman"/>
                <w:i/>
              </w:rPr>
              <w:t>Erasmus+</w:t>
            </w:r>
            <w:r w:rsidR="004C03BA" w:rsidRPr="00660A3A">
              <w:rPr>
                <w:rFonts w:ascii="Times New Roman" w:hAnsi="Times New Roman"/>
              </w:rPr>
              <w:t xml:space="preserve"> projektiem (10 semināri), e-brošūras, e-ziņu izdevumu sagatavošana un publicēšana (4 brošūras), programmas </w:t>
            </w:r>
            <w:r w:rsidR="004C03BA" w:rsidRPr="00660A3A">
              <w:rPr>
                <w:rFonts w:ascii="Times New Roman" w:hAnsi="Times New Roman"/>
                <w:i/>
              </w:rPr>
              <w:t>Erasmus+</w:t>
            </w:r>
            <w:r w:rsidR="004C03BA" w:rsidRPr="00660A3A">
              <w:rPr>
                <w:rFonts w:ascii="Times New Roman" w:hAnsi="Times New Roman"/>
              </w:rPr>
              <w:t xml:space="preserve"> un Mūžizglītības programmas rezultātu izplatīšanas pasākumi (</w:t>
            </w:r>
            <w:r w:rsidRPr="00660A3A">
              <w:rPr>
                <w:rFonts w:ascii="Times New Roman" w:hAnsi="Times New Roman"/>
              </w:rPr>
              <w:t>5</w:t>
            </w:r>
            <w:r w:rsidR="004C03BA" w:rsidRPr="00660A3A">
              <w:rPr>
                <w:rFonts w:ascii="Times New Roman" w:hAnsi="Times New Roman"/>
              </w:rPr>
              <w:t xml:space="preserve"> pasākumi), tematiskā monitoringa semināri (4), projektu vadības semināri </w:t>
            </w:r>
            <w:proofErr w:type="spellStart"/>
            <w:r w:rsidR="004C03BA" w:rsidRPr="00660A3A">
              <w:rPr>
                <w:rFonts w:ascii="Times New Roman" w:hAnsi="Times New Roman"/>
              </w:rPr>
              <w:t>jaunap</w:t>
            </w:r>
            <w:r w:rsidR="00405D66" w:rsidRPr="00660A3A">
              <w:rPr>
                <w:rFonts w:ascii="Times New Roman" w:hAnsi="Times New Roman"/>
              </w:rPr>
              <w:t>s</w:t>
            </w:r>
            <w:r w:rsidR="004C03BA" w:rsidRPr="00660A3A">
              <w:rPr>
                <w:rFonts w:ascii="Times New Roman" w:hAnsi="Times New Roman"/>
              </w:rPr>
              <w:t>tiprinātajiem</w:t>
            </w:r>
            <w:proofErr w:type="spellEnd"/>
            <w:r w:rsidR="004C03BA" w:rsidRPr="00660A3A">
              <w:rPr>
                <w:rFonts w:ascii="Times New Roman" w:hAnsi="Times New Roman"/>
              </w:rPr>
              <w:t xml:space="preserve"> projektiem (8), Erasmus+, Eiropas Savienības Mūžizglītības programmas ietekmes izvērtējums un pētījuma pasākumi, personāla apmācības (mācību semināri   Eiropas līmeņa, aģentūras līmeņa, </w:t>
            </w:r>
            <w:r w:rsidRPr="00660A3A">
              <w:rPr>
                <w:rFonts w:ascii="Times New Roman" w:hAnsi="Times New Roman"/>
              </w:rPr>
              <w:t>pieredzes apmaiņa</w:t>
            </w:r>
            <w:r w:rsidR="004C03BA" w:rsidRPr="00660A3A">
              <w:rPr>
                <w:rFonts w:ascii="Times New Roman" w:hAnsi="Times New Roman"/>
              </w:rPr>
              <w:t xml:space="preserve"> citu valstu aģentūrās), </w:t>
            </w:r>
            <w:r w:rsidRPr="00660A3A">
              <w:rPr>
                <w:rFonts w:ascii="Times New Roman" w:hAnsi="Times New Roman"/>
              </w:rPr>
              <w:t xml:space="preserve">EK rīkotās </w:t>
            </w:r>
            <w:r w:rsidR="004C03BA" w:rsidRPr="00660A3A">
              <w:rPr>
                <w:rFonts w:ascii="Times New Roman" w:hAnsi="Times New Roman"/>
              </w:rPr>
              <w:t xml:space="preserve">visu nacionālo aģentūru sanāksmes vadības līmenī un pa sektoriem, Latvijas un aģentūras dalība citu valstu </w:t>
            </w:r>
            <w:r w:rsidRPr="00660A3A">
              <w:rPr>
                <w:rFonts w:ascii="Times New Roman" w:hAnsi="Times New Roman"/>
              </w:rPr>
              <w:t xml:space="preserve">Erasmus+ </w:t>
            </w:r>
            <w:proofErr w:type="spellStart"/>
            <w:r w:rsidR="004C03BA" w:rsidRPr="00660A3A">
              <w:rPr>
                <w:rFonts w:ascii="Times New Roman" w:hAnsi="Times New Roman"/>
              </w:rPr>
              <w:t>kontaktsemināros</w:t>
            </w:r>
            <w:proofErr w:type="spellEnd"/>
          </w:p>
        </w:tc>
      </w:tr>
      <w:tr w:rsidR="00E70E1A" w:rsidRPr="00660A3A" w:rsidTr="00E70E1A">
        <w:tc>
          <w:tcPr>
            <w:tcW w:w="1809" w:type="dxa"/>
          </w:tcPr>
          <w:p w:rsidR="00E70E1A" w:rsidRPr="00660A3A" w:rsidRDefault="004C03BA" w:rsidP="00EF57A6">
            <w:pPr>
              <w:tabs>
                <w:tab w:val="left" w:pos="851"/>
              </w:tabs>
              <w:spacing w:after="0" w:line="240" w:lineRule="auto"/>
              <w:rPr>
                <w:rFonts w:ascii="Times New Roman" w:hAnsi="Times New Roman"/>
              </w:rPr>
            </w:pPr>
            <w:r w:rsidRPr="00660A3A">
              <w:rPr>
                <w:rFonts w:ascii="Times New Roman" w:hAnsi="Times New Roman"/>
              </w:rPr>
              <w:t>Biroja preces</w:t>
            </w:r>
          </w:p>
        </w:tc>
        <w:tc>
          <w:tcPr>
            <w:tcW w:w="1843" w:type="dxa"/>
          </w:tcPr>
          <w:p w:rsidR="00E70E1A" w:rsidRPr="00660A3A" w:rsidRDefault="004C03BA" w:rsidP="005B39F5">
            <w:pPr>
              <w:tabs>
                <w:tab w:val="left" w:pos="851"/>
              </w:tabs>
              <w:spacing w:after="0" w:line="240" w:lineRule="auto"/>
              <w:jc w:val="center"/>
              <w:rPr>
                <w:rFonts w:ascii="Times New Roman" w:hAnsi="Times New Roman"/>
              </w:rPr>
            </w:pPr>
            <w:r w:rsidRPr="00660A3A">
              <w:rPr>
                <w:rFonts w:ascii="Times New Roman" w:hAnsi="Times New Roman"/>
              </w:rPr>
              <w:t>3 500</w:t>
            </w:r>
          </w:p>
        </w:tc>
        <w:tc>
          <w:tcPr>
            <w:tcW w:w="1843" w:type="dxa"/>
          </w:tcPr>
          <w:p w:rsidR="007212AD" w:rsidRPr="00660A3A" w:rsidRDefault="006166FC">
            <w:pPr>
              <w:tabs>
                <w:tab w:val="left" w:pos="851"/>
              </w:tabs>
              <w:spacing w:after="0" w:line="240" w:lineRule="auto"/>
              <w:jc w:val="center"/>
              <w:rPr>
                <w:rFonts w:ascii="Times New Roman" w:hAnsi="Times New Roman"/>
              </w:rPr>
            </w:pPr>
            <w:r w:rsidRPr="00660A3A">
              <w:rPr>
                <w:rFonts w:ascii="Times New Roman" w:hAnsi="Times New Roman"/>
              </w:rPr>
              <w:t>3 000</w:t>
            </w:r>
          </w:p>
        </w:tc>
        <w:tc>
          <w:tcPr>
            <w:tcW w:w="4359" w:type="dxa"/>
          </w:tcPr>
          <w:p w:rsidR="00E70E1A" w:rsidRPr="00660A3A" w:rsidRDefault="004C03BA" w:rsidP="00090DEA">
            <w:pPr>
              <w:tabs>
                <w:tab w:val="left" w:pos="851"/>
              </w:tabs>
              <w:spacing w:after="0" w:line="240" w:lineRule="auto"/>
              <w:jc w:val="both"/>
              <w:rPr>
                <w:rFonts w:ascii="Times New Roman" w:hAnsi="Times New Roman"/>
              </w:rPr>
            </w:pPr>
            <w:r w:rsidRPr="00660A3A">
              <w:rPr>
                <w:rFonts w:ascii="Times New Roman" w:hAnsi="Times New Roman"/>
              </w:rPr>
              <w:t xml:space="preserve">Biroja preces 28 darbinieku darba procesa </w:t>
            </w:r>
            <w:r w:rsidRPr="00660A3A">
              <w:rPr>
                <w:rFonts w:ascii="Times New Roman" w:hAnsi="Times New Roman"/>
              </w:rPr>
              <w:lastRenderedPageBreak/>
              <w:t xml:space="preserve">nodrošināšanai. </w:t>
            </w:r>
          </w:p>
        </w:tc>
      </w:tr>
      <w:tr w:rsidR="00E70E1A" w:rsidRPr="00660A3A" w:rsidTr="00E70E1A">
        <w:tc>
          <w:tcPr>
            <w:tcW w:w="1809" w:type="dxa"/>
          </w:tcPr>
          <w:p w:rsidR="00405D66" w:rsidRPr="00660A3A" w:rsidRDefault="004C03BA" w:rsidP="00E42138">
            <w:pPr>
              <w:tabs>
                <w:tab w:val="left" w:pos="851"/>
              </w:tabs>
              <w:spacing w:after="0" w:line="240" w:lineRule="auto"/>
              <w:rPr>
                <w:rFonts w:ascii="Times New Roman" w:hAnsi="Times New Roman"/>
              </w:rPr>
            </w:pPr>
            <w:proofErr w:type="spellStart"/>
            <w:r w:rsidRPr="00660A3A">
              <w:rPr>
                <w:rFonts w:ascii="Times New Roman" w:hAnsi="Times New Roman"/>
              </w:rPr>
              <w:lastRenderedPageBreak/>
              <w:t>Materiāl</w:t>
            </w:r>
            <w:r w:rsidR="00405D66" w:rsidRPr="00660A3A">
              <w:rPr>
                <w:rFonts w:ascii="Times New Roman" w:hAnsi="Times New Roman"/>
              </w:rPr>
              <w:t>-</w:t>
            </w:r>
            <w:proofErr w:type="spellEnd"/>
          </w:p>
          <w:p w:rsidR="00E70E1A" w:rsidRPr="00660A3A" w:rsidRDefault="004C03BA" w:rsidP="00405D66">
            <w:pPr>
              <w:tabs>
                <w:tab w:val="left" w:pos="851"/>
              </w:tabs>
              <w:spacing w:after="0" w:line="240" w:lineRule="auto"/>
              <w:rPr>
                <w:rFonts w:ascii="Times New Roman" w:hAnsi="Times New Roman"/>
              </w:rPr>
            </w:pPr>
            <w:r w:rsidRPr="00660A3A">
              <w:rPr>
                <w:rFonts w:ascii="Times New Roman" w:hAnsi="Times New Roman"/>
              </w:rPr>
              <w:t>tehniskās bāzes nodrošināšana</w:t>
            </w:r>
          </w:p>
        </w:tc>
        <w:tc>
          <w:tcPr>
            <w:tcW w:w="1843" w:type="dxa"/>
          </w:tcPr>
          <w:p w:rsidR="00E70E1A" w:rsidRPr="00660A3A" w:rsidRDefault="004C03BA" w:rsidP="005B39F5">
            <w:pPr>
              <w:tabs>
                <w:tab w:val="left" w:pos="851"/>
              </w:tabs>
              <w:spacing w:after="0" w:line="240" w:lineRule="auto"/>
              <w:jc w:val="center"/>
              <w:rPr>
                <w:rFonts w:ascii="Times New Roman" w:hAnsi="Times New Roman"/>
              </w:rPr>
            </w:pPr>
            <w:r w:rsidRPr="00660A3A">
              <w:rPr>
                <w:rFonts w:ascii="Times New Roman" w:hAnsi="Times New Roman"/>
              </w:rPr>
              <w:t>30 000</w:t>
            </w:r>
          </w:p>
        </w:tc>
        <w:tc>
          <w:tcPr>
            <w:tcW w:w="1843" w:type="dxa"/>
          </w:tcPr>
          <w:p w:rsidR="007212AD" w:rsidRPr="00660A3A" w:rsidRDefault="006166FC">
            <w:pPr>
              <w:tabs>
                <w:tab w:val="left" w:pos="851"/>
              </w:tabs>
              <w:spacing w:after="0" w:line="240" w:lineRule="auto"/>
              <w:jc w:val="center"/>
              <w:rPr>
                <w:rFonts w:ascii="Times New Roman" w:hAnsi="Times New Roman"/>
              </w:rPr>
            </w:pPr>
            <w:r w:rsidRPr="00660A3A">
              <w:rPr>
                <w:rFonts w:ascii="Times New Roman" w:hAnsi="Times New Roman"/>
              </w:rPr>
              <w:t>27 000</w:t>
            </w:r>
          </w:p>
        </w:tc>
        <w:tc>
          <w:tcPr>
            <w:tcW w:w="4359" w:type="dxa"/>
          </w:tcPr>
          <w:p w:rsidR="00E70E1A" w:rsidRPr="00660A3A" w:rsidRDefault="004C03BA" w:rsidP="00663F22">
            <w:pPr>
              <w:tabs>
                <w:tab w:val="left" w:pos="851"/>
              </w:tabs>
              <w:spacing w:after="0" w:line="240" w:lineRule="auto"/>
              <w:jc w:val="both"/>
              <w:rPr>
                <w:rFonts w:ascii="Times New Roman" w:eastAsia="宋体" w:hAnsi="Times New Roman"/>
                <w:lang w:eastAsia="zh-CN"/>
              </w:rPr>
            </w:pPr>
            <w:r w:rsidRPr="00660A3A">
              <w:rPr>
                <w:rFonts w:ascii="Times New Roman" w:hAnsi="Times New Roman"/>
              </w:rPr>
              <w:t xml:space="preserve">Materiāltehniskās bāzes nodrošināšana, tai skaitā kopētājs, printeri, portatīvie datori, darba vietas aprīkojums. 2014.gadā </w:t>
            </w:r>
            <w:r w:rsidR="00663F22" w:rsidRPr="00660A3A">
              <w:rPr>
                <w:rFonts w:ascii="Times New Roman" w:hAnsi="Times New Roman"/>
              </w:rPr>
              <w:t>nepieciešams</w:t>
            </w:r>
            <w:r w:rsidRPr="00660A3A">
              <w:rPr>
                <w:rFonts w:ascii="Times New Roman" w:hAnsi="Times New Roman"/>
              </w:rPr>
              <w:t xml:space="preserve"> iegādāties kopētāju,</w:t>
            </w:r>
            <w:r w:rsidR="00663F22" w:rsidRPr="00660A3A">
              <w:rPr>
                <w:rFonts w:ascii="Times New Roman" w:hAnsi="Times New Roman"/>
              </w:rPr>
              <w:t xml:space="preserve"> nepieciešams iegādāties</w:t>
            </w:r>
            <w:r w:rsidRPr="00660A3A">
              <w:rPr>
                <w:rFonts w:ascii="Times New Roman" w:hAnsi="Times New Roman"/>
              </w:rPr>
              <w:t xml:space="preserve"> 2 printerus, 7 stacionāros datorus un projektoru. </w:t>
            </w:r>
          </w:p>
        </w:tc>
      </w:tr>
      <w:tr w:rsidR="00E70E1A" w:rsidRPr="00660A3A" w:rsidTr="00E70E1A">
        <w:tc>
          <w:tcPr>
            <w:tcW w:w="1809" w:type="dxa"/>
          </w:tcPr>
          <w:p w:rsidR="00E70E1A" w:rsidRPr="00660A3A" w:rsidRDefault="004C03BA" w:rsidP="00E42138">
            <w:pPr>
              <w:tabs>
                <w:tab w:val="left" w:pos="851"/>
              </w:tabs>
              <w:spacing w:after="0" w:line="240" w:lineRule="auto"/>
              <w:rPr>
                <w:rFonts w:ascii="Times New Roman" w:hAnsi="Times New Roman"/>
              </w:rPr>
            </w:pPr>
            <w:r w:rsidRPr="00660A3A">
              <w:rPr>
                <w:rFonts w:ascii="Times New Roman" w:hAnsi="Times New Roman"/>
              </w:rPr>
              <w:t>KOPĀ</w:t>
            </w:r>
          </w:p>
        </w:tc>
        <w:tc>
          <w:tcPr>
            <w:tcW w:w="1843" w:type="dxa"/>
          </w:tcPr>
          <w:p w:rsidR="00E70E1A" w:rsidRPr="00660A3A" w:rsidRDefault="004C03BA" w:rsidP="005B39F5">
            <w:pPr>
              <w:tabs>
                <w:tab w:val="left" w:pos="851"/>
              </w:tabs>
              <w:spacing w:after="0" w:line="240" w:lineRule="auto"/>
              <w:jc w:val="center"/>
              <w:rPr>
                <w:rFonts w:ascii="Times New Roman" w:hAnsi="Times New Roman"/>
              </w:rPr>
            </w:pPr>
            <w:r w:rsidRPr="00660A3A">
              <w:rPr>
                <w:rFonts w:ascii="Times New Roman" w:hAnsi="Times New Roman"/>
              </w:rPr>
              <w:t>946 481</w:t>
            </w:r>
          </w:p>
        </w:tc>
        <w:tc>
          <w:tcPr>
            <w:tcW w:w="1843" w:type="dxa"/>
          </w:tcPr>
          <w:p w:rsidR="00E70E1A" w:rsidRPr="00660A3A" w:rsidRDefault="004E3F3A" w:rsidP="004E3F3A">
            <w:pPr>
              <w:tabs>
                <w:tab w:val="left" w:pos="851"/>
              </w:tabs>
              <w:spacing w:after="0" w:line="240" w:lineRule="auto"/>
              <w:jc w:val="center"/>
              <w:rPr>
                <w:rFonts w:ascii="Times New Roman" w:hAnsi="Times New Roman"/>
              </w:rPr>
            </w:pPr>
            <w:r w:rsidRPr="00660A3A">
              <w:rPr>
                <w:rFonts w:ascii="Times New Roman" w:hAnsi="Times New Roman"/>
              </w:rPr>
              <w:t>827 555</w:t>
            </w:r>
          </w:p>
        </w:tc>
        <w:tc>
          <w:tcPr>
            <w:tcW w:w="4359" w:type="dxa"/>
          </w:tcPr>
          <w:p w:rsidR="00E70E1A" w:rsidRPr="00660A3A" w:rsidRDefault="00E70E1A" w:rsidP="00EF57A6">
            <w:pPr>
              <w:tabs>
                <w:tab w:val="left" w:pos="851"/>
              </w:tabs>
              <w:spacing w:after="0" w:line="240" w:lineRule="auto"/>
              <w:jc w:val="both"/>
              <w:rPr>
                <w:rFonts w:ascii="Times New Roman" w:hAnsi="Times New Roman"/>
              </w:rPr>
            </w:pPr>
          </w:p>
        </w:tc>
      </w:tr>
      <w:tr w:rsidR="00E70E1A" w:rsidRPr="00660A3A" w:rsidTr="00E70E1A">
        <w:tc>
          <w:tcPr>
            <w:tcW w:w="1809" w:type="dxa"/>
          </w:tcPr>
          <w:p w:rsidR="00E70E1A" w:rsidRPr="00660A3A" w:rsidRDefault="004C03BA" w:rsidP="00E42138">
            <w:pPr>
              <w:tabs>
                <w:tab w:val="left" w:pos="851"/>
              </w:tabs>
              <w:spacing w:after="0" w:line="240" w:lineRule="auto"/>
              <w:rPr>
                <w:rFonts w:ascii="Times New Roman" w:hAnsi="Times New Roman"/>
                <w:i/>
              </w:rPr>
            </w:pPr>
            <w:r w:rsidRPr="00660A3A">
              <w:rPr>
                <w:rFonts w:ascii="Times New Roman" w:hAnsi="Times New Roman"/>
                <w:i/>
              </w:rPr>
              <w:t>tai skaitā:</w:t>
            </w:r>
          </w:p>
        </w:tc>
        <w:tc>
          <w:tcPr>
            <w:tcW w:w="1843" w:type="dxa"/>
          </w:tcPr>
          <w:p w:rsidR="00E70E1A" w:rsidRPr="00660A3A" w:rsidRDefault="00E70E1A" w:rsidP="005B39F5">
            <w:pPr>
              <w:tabs>
                <w:tab w:val="left" w:pos="851"/>
              </w:tabs>
              <w:spacing w:after="0" w:line="240" w:lineRule="auto"/>
              <w:jc w:val="center"/>
              <w:rPr>
                <w:rFonts w:ascii="Times New Roman" w:hAnsi="Times New Roman"/>
              </w:rPr>
            </w:pPr>
          </w:p>
        </w:tc>
        <w:tc>
          <w:tcPr>
            <w:tcW w:w="1843" w:type="dxa"/>
          </w:tcPr>
          <w:p w:rsidR="00E70E1A" w:rsidRPr="00660A3A" w:rsidRDefault="00E70E1A" w:rsidP="00EF57A6">
            <w:pPr>
              <w:tabs>
                <w:tab w:val="left" w:pos="851"/>
              </w:tabs>
              <w:spacing w:after="0" w:line="240" w:lineRule="auto"/>
              <w:jc w:val="both"/>
              <w:rPr>
                <w:rFonts w:ascii="Times New Roman" w:hAnsi="Times New Roman"/>
              </w:rPr>
            </w:pPr>
          </w:p>
        </w:tc>
        <w:tc>
          <w:tcPr>
            <w:tcW w:w="4359" w:type="dxa"/>
          </w:tcPr>
          <w:p w:rsidR="00E70E1A" w:rsidRPr="00660A3A" w:rsidRDefault="00E70E1A" w:rsidP="00EF57A6">
            <w:pPr>
              <w:tabs>
                <w:tab w:val="left" w:pos="851"/>
              </w:tabs>
              <w:spacing w:after="0" w:line="240" w:lineRule="auto"/>
              <w:jc w:val="both"/>
              <w:rPr>
                <w:rFonts w:ascii="Times New Roman" w:hAnsi="Times New Roman"/>
              </w:rPr>
            </w:pPr>
          </w:p>
        </w:tc>
      </w:tr>
      <w:tr w:rsidR="00E70E1A" w:rsidRPr="00660A3A" w:rsidTr="00E70E1A">
        <w:tc>
          <w:tcPr>
            <w:tcW w:w="1809" w:type="dxa"/>
          </w:tcPr>
          <w:p w:rsidR="00E70E1A" w:rsidRPr="00660A3A" w:rsidRDefault="004C03BA" w:rsidP="002C74D1">
            <w:pPr>
              <w:tabs>
                <w:tab w:val="left" w:pos="851"/>
              </w:tabs>
              <w:spacing w:after="0" w:line="240" w:lineRule="auto"/>
              <w:rPr>
                <w:rFonts w:ascii="Times New Roman" w:hAnsi="Times New Roman"/>
              </w:rPr>
            </w:pPr>
            <w:r w:rsidRPr="00660A3A">
              <w:rPr>
                <w:rFonts w:ascii="Times New Roman" w:hAnsi="Times New Roman"/>
              </w:rPr>
              <w:t xml:space="preserve">ES finansējums </w:t>
            </w:r>
          </w:p>
        </w:tc>
        <w:tc>
          <w:tcPr>
            <w:tcW w:w="1843" w:type="dxa"/>
          </w:tcPr>
          <w:p w:rsidR="00E70E1A" w:rsidRPr="00660A3A" w:rsidRDefault="004C03BA" w:rsidP="005B39F5">
            <w:pPr>
              <w:tabs>
                <w:tab w:val="left" w:pos="851"/>
              </w:tabs>
              <w:spacing w:after="0" w:line="240" w:lineRule="auto"/>
              <w:jc w:val="center"/>
              <w:rPr>
                <w:rFonts w:ascii="Times New Roman" w:hAnsi="Times New Roman"/>
              </w:rPr>
            </w:pPr>
            <w:r w:rsidRPr="00660A3A">
              <w:rPr>
                <w:rFonts w:ascii="Times New Roman" w:hAnsi="Times New Roman"/>
                <w:iCs/>
              </w:rPr>
              <w:t>430 493</w:t>
            </w:r>
          </w:p>
        </w:tc>
        <w:tc>
          <w:tcPr>
            <w:tcW w:w="1843" w:type="dxa"/>
          </w:tcPr>
          <w:p w:rsidR="00E70E1A" w:rsidRPr="00660A3A" w:rsidRDefault="004E3F3A" w:rsidP="004E3F3A">
            <w:pPr>
              <w:tabs>
                <w:tab w:val="left" w:pos="851"/>
              </w:tabs>
              <w:spacing w:after="0" w:line="240" w:lineRule="auto"/>
              <w:jc w:val="center"/>
              <w:rPr>
                <w:rFonts w:ascii="Times New Roman" w:hAnsi="Times New Roman"/>
              </w:rPr>
            </w:pPr>
            <w:r w:rsidRPr="00660A3A">
              <w:rPr>
                <w:rFonts w:ascii="Times New Roman" w:hAnsi="Times New Roman"/>
                <w:iCs/>
              </w:rPr>
              <w:t>430 493</w:t>
            </w:r>
          </w:p>
        </w:tc>
        <w:tc>
          <w:tcPr>
            <w:tcW w:w="4359" w:type="dxa"/>
          </w:tcPr>
          <w:p w:rsidR="00E70E1A" w:rsidRPr="00660A3A" w:rsidRDefault="004C03BA" w:rsidP="00EF57A6">
            <w:pPr>
              <w:tabs>
                <w:tab w:val="left" w:pos="851"/>
              </w:tabs>
              <w:spacing w:after="0" w:line="240" w:lineRule="auto"/>
              <w:jc w:val="both"/>
              <w:rPr>
                <w:rFonts w:ascii="Times New Roman" w:hAnsi="Times New Roman"/>
              </w:rPr>
            </w:pPr>
            <w:r w:rsidRPr="00660A3A">
              <w:rPr>
                <w:rFonts w:ascii="Times New Roman" w:hAnsi="Times New Roman"/>
              </w:rPr>
              <w:t>Atbilstoši informatīvā ziņojuma 13.punktā norādītajam finansējuma sadalījumam.</w:t>
            </w:r>
          </w:p>
        </w:tc>
      </w:tr>
      <w:tr w:rsidR="00E70E1A" w:rsidRPr="00660A3A" w:rsidTr="00E70E1A">
        <w:tc>
          <w:tcPr>
            <w:tcW w:w="1809" w:type="dxa"/>
          </w:tcPr>
          <w:p w:rsidR="00E70E1A" w:rsidRPr="00660A3A" w:rsidRDefault="004C03BA" w:rsidP="002C74D1">
            <w:pPr>
              <w:tabs>
                <w:tab w:val="left" w:pos="851"/>
              </w:tabs>
              <w:spacing w:after="0" w:line="240" w:lineRule="auto"/>
              <w:rPr>
                <w:rFonts w:ascii="Times New Roman" w:hAnsi="Times New Roman"/>
              </w:rPr>
            </w:pPr>
            <w:r w:rsidRPr="00660A3A">
              <w:rPr>
                <w:rFonts w:ascii="Times New Roman" w:hAnsi="Times New Roman"/>
              </w:rPr>
              <w:t>Valsts budžeta līdzfinansējums</w:t>
            </w:r>
          </w:p>
        </w:tc>
        <w:tc>
          <w:tcPr>
            <w:tcW w:w="1843" w:type="dxa"/>
          </w:tcPr>
          <w:p w:rsidR="00E70E1A" w:rsidRPr="00660A3A" w:rsidRDefault="004C03BA" w:rsidP="005B39F5">
            <w:pPr>
              <w:tabs>
                <w:tab w:val="left" w:pos="851"/>
              </w:tabs>
              <w:spacing w:after="0" w:line="240" w:lineRule="auto"/>
              <w:jc w:val="center"/>
              <w:rPr>
                <w:rFonts w:ascii="Times New Roman" w:hAnsi="Times New Roman"/>
                <w:iCs/>
              </w:rPr>
            </w:pPr>
            <w:r w:rsidRPr="00660A3A">
              <w:rPr>
                <w:rFonts w:ascii="Times New Roman" w:hAnsi="Times New Roman"/>
                <w:iCs/>
              </w:rPr>
              <w:t>515 988</w:t>
            </w:r>
          </w:p>
        </w:tc>
        <w:tc>
          <w:tcPr>
            <w:tcW w:w="1843" w:type="dxa"/>
          </w:tcPr>
          <w:p w:rsidR="00E70E1A" w:rsidRPr="00660A3A" w:rsidRDefault="004E3F3A" w:rsidP="004E3F3A">
            <w:pPr>
              <w:tabs>
                <w:tab w:val="left" w:pos="851"/>
              </w:tabs>
              <w:spacing w:after="0" w:line="240" w:lineRule="auto"/>
              <w:jc w:val="center"/>
              <w:rPr>
                <w:rFonts w:ascii="Times New Roman" w:hAnsi="Times New Roman"/>
              </w:rPr>
            </w:pPr>
            <w:r w:rsidRPr="00660A3A">
              <w:rPr>
                <w:rFonts w:ascii="Times New Roman" w:hAnsi="Times New Roman"/>
              </w:rPr>
              <w:t>397 062</w:t>
            </w:r>
          </w:p>
        </w:tc>
        <w:tc>
          <w:tcPr>
            <w:tcW w:w="4359" w:type="dxa"/>
          </w:tcPr>
          <w:p w:rsidR="00E70E1A" w:rsidRPr="00660A3A" w:rsidRDefault="00E70E1A" w:rsidP="00EF57A6">
            <w:pPr>
              <w:tabs>
                <w:tab w:val="left" w:pos="851"/>
              </w:tabs>
              <w:spacing w:after="0" w:line="240" w:lineRule="auto"/>
              <w:jc w:val="both"/>
              <w:rPr>
                <w:rFonts w:ascii="Times New Roman" w:hAnsi="Times New Roman"/>
              </w:rPr>
            </w:pPr>
          </w:p>
        </w:tc>
      </w:tr>
    </w:tbl>
    <w:p w:rsidR="005B39F5" w:rsidRPr="006166FC" w:rsidRDefault="004C03BA" w:rsidP="00090DEA">
      <w:pPr>
        <w:tabs>
          <w:tab w:val="left" w:pos="851"/>
        </w:tabs>
        <w:spacing w:after="0" w:line="240" w:lineRule="auto"/>
        <w:ind w:firstLine="567"/>
        <w:jc w:val="both"/>
        <w:rPr>
          <w:rFonts w:ascii="Times New Roman" w:hAnsi="Times New Roman"/>
          <w:sz w:val="20"/>
          <w:szCs w:val="24"/>
        </w:rPr>
      </w:pPr>
      <w:r w:rsidRPr="004C03BA">
        <w:rPr>
          <w:rFonts w:ascii="Times New Roman" w:hAnsi="Times New Roman"/>
          <w:sz w:val="20"/>
          <w:szCs w:val="24"/>
          <w:vertAlign w:val="superscript"/>
        </w:rPr>
        <w:t>1</w:t>
      </w:r>
      <w:r w:rsidRPr="004C03BA">
        <w:rPr>
          <w:rFonts w:ascii="Times New Roman" w:hAnsi="Times New Roman"/>
          <w:sz w:val="20"/>
          <w:szCs w:val="24"/>
        </w:rPr>
        <w:t xml:space="preserve">Norādītais finansējuma apmērs ir nepieciešams katrā no gadiem. </w:t>
      </w:r>
    </w:p>
    <w:p w:rsidR="005B39F5" w:rsidRDefault="005B39F5" w:rsidP="00957A42">
      <w:pPr>
        <w:tabs>
          <w:tab w:val="left" w:pos="851"/>
        </w:tabs>
        <w:spacing w:after="0" w:line="240" w:lineRule="auto"/>
        <w:ind w:firstLine="567"/>
        <w:jc w:val="both"/>
        <w:rPr>
          <w:rFonts w:ascii="Times New Roman" w:hAnsi="Times New Roman"/>
          <w:sz w:val="24"/>
          <w:szCs w:val="24"/>
        </w:rPr>
      </w:pPr>
    </w:p>
    <w:p w:rsidR="006166FC" w:rsidRPr="002F51AB" w:rsidRDefault="006166FC" w:rsidP="006166FC">
      <w:pPr>
        <w:spacing w:after="0" w:line="240" w:lineRule="auto"/>
        <w:ind w:firstLine="567"/>
        <w:jc w:val="center"/>
        <w:rPr>
          <w:rFonts w:ascii="Times New Roman" w:hAnsi="Times New Roman"/>
          <w:b/>
          <w:sz w:val="24"/>
          <w:szCs w:val="24"/>
        </w:rPr>
      </w:pPr>
      <w:r w:rsidRPr="002F51AB">
        <w:rPr>
          <w:rFonts w:ascii="Times New Roman" w:hAnsi="Times New Roman"/>
          <w:b/>
          <w:sz w:val="24"/>
          <w:szCs w:val="24"/>
        </w:rPr>
        <w:t>2.</w:t>
      </w:r>
      <w:r>
        <w:rPr>
          <w:rFonts w:ascii="Times New Roman" w:hAnsi="Times New Roman"/>
          <w:b/>
          <w:sz w:val="24"/>
          <w:szCs w:val="24"/>
        </w:rPr>
        <w:t>2</w:t>
      </w:r>
      <w:r w:rsidRPr="002F51AB">
        <w:rPr>
          <w:rFonts w:ascii="Times New Roman" w:hAnsi="Times New Roman"/>
          <w:b/>
          <w:sz w:val="24"/>
          <w:szCs w:val="24"/>
        </w:rPr>
        <w:t xml:space="preserve">. </w:t>
      </w:r>
      <w:r>
        <w:rPr>
          <w:rFonts w:ascii="Times New Roman" w:hAnsi="Times New Roman"/>
          <w:b/>
          <w:sz w:val="24"/>
          <w:szCs w:val="24"/>
        </w:rPr>
        <w:t>JSPA</w:t>
      </w:r>
      <w:r w:rsidRPr="002F51AB">
        <w:rPr>
          <w:rFonts w:ascii="Times New Roman" w:hAnsi="Times New Roman"/>
          <w:b/>
          <w:sz w:val="24"/>
          <w:szCs w:val="24"/>
        </w:rPr>
        <w:t xml:space="preserve"> kā valsts aģentūras darbības nodrošināšanai nepieciešamais finansējums </w:t>
      </w:r>
    </w:p>
    <w:p w:rsidR="006166FC" w:rsidRPr="00E86236" w:rsidRDefault="006166FC" w:rsidP="006166FC">
      <w:pPr>
        <w:spacing w:after="0" w:line="240" w:lineRule="auto"/>
        <w:ind w:firstLine="567"/>
        <w:jc w:val="center"/>
      </w:pPr>
    </w:p>
    <w:p w:rsidR="006166FC" w:rsidRDefault="006166FC" w:rsidP="006166FC">
      <w:pPr>
        <w:tabs>
          <w:tab w:val="left" w:pos="851"/>
        </w:tabs>
        <w:spacing w:after="0" w:line="240" w:lineRule="auto"/>
        <w:ind w:firstLine="567"/>
        <w:jc w:val="both"/>
        <w:rPr>
          <w:rFonts w:ascii="Times New Roman" w:hAnsi="Times New Roman"/>
          <w:sz w:val="24"/>
          <w:szCs w:val="24"/>
        </w:rPr>
      </w:pPr>
      <w:r w:rsidRPr="00E86236">
        <w:rPr>
          <w:rFonts w:ascii="Times New Roman" w:hAnsi="Times New Roman"/>
          <w:sz w:val="24"/>
          <w:szCs w:val="24"/>
        </w:rPr>
        <w:t>1</w:t>
      </w:r>
      <w:r>
        <w:rPr>
          <w:rFonts w:ascii="Times New Roman" w:hAnsi="Times New Roman"/>
          <w:sz w:val="24"/>
          <w:szCs w:val="24"/>
        </w:rPr>
        <w:t>9</w:t>
      </w:r>
      <w:r w:rsidRPr="00E86236">
        <w:rPr>
          <w:rFonts w:ascii="Times New Roman" w:hAnsi="Times New Roman"/>
          <w:sz w:val="24"/>
          <w:szCs w:val="24"/>
        </w:rPr>
        <w:t>. Ņemot vērā informatīvā ziņojuma 13.punktā noteikto ES finansējuma sadalījumu, ņemot vērā informatīvā ziņojuma 15.punktā noteikto, kā arī i</w:t>
      </w:r>
      <w:r w:rsidRPr="00E86236">
        <w:rPr>
          <w:rFonts w:ascii="Times New Roman" w:hAnsi="Times New Roman"/>
          <w:iCs/>
          <w:sz w:val="24"/>
          <w:szCs w:val="24"/>
        </w:rPr>
        <w:t xml:space="preserve">evērojot regulas Nr.1288/2013 </w:t>
      </w:r>
      <w:r w:rsidRPr="00E86236">
        <w:rPr>
          <w:rFonts w:ascii="Times New Roman" w:hAnsi="Times New Roman"/>
          <w:sz w:val="24"/>
          <w:szCs w:val="24"/>
        </w:rPr>
        <w:t xml:space="preserve">27.panta 9.punktā noteikto: „Valsts iestāde nodrošina pietiekamu savas valsts aģentūras darbības līdzfinansējumu, lai nodrošinātu, ka Programmu pārvalda atbilstīgi piemērojamām Savienības normām”, lai nodrošinātu pēctecību, kā arī programmas pārvaldību līdzšinējā līmenī, </w:t>
      </w:r>
      <w:r w:rsidRPr="00E86236">
        <w:rPr>
          <w:rFonts w:ascii="Times New Roman" w:hAnsi="Times New Roman"/>
          <w:iCs/>
          <w:sz w:val="24"/>
          <w:szCs w:val="24"/>
        </w:rPr>
        <w:t xml:space="preserve">papildus Komisijas noteiktajam ES finansējumam, nepieciešams nodrošināt Latvijas valsts līdzfinansējumu (turpmāk – valsts līdzfinansējums) </w:t>
      </w:r>
      <w:r>
        <w:rPr>
          <w:rFonts w:ascii="Times New Roman" w:hAnsi="Times New Roman"/>
          <w:iCs/>
          <w:sz w:val="24"/>
          <w:szCs w:val="24"/>
        </w:rPr>
        <w:t xml:space="preserve">JSPA kā </w:t>
      </w:r>
      <w:r w:rsidRPr="00E86236">
        <w:rPr>
          <w:rFonts w:ascii="Times New Roman" w:hAnsi="Times New Roman"/>
          <w:iCs/>
          <w:sz w:val="24"/>
          <w:szCs w:val="24"/>
        </w:rPr>
        <w:t xml:space="preserve">programmas </w:t>
      </w:r>
      <w:r w:rsidRPr="00E86236">
        <w:rPr>
          <w:rFonts w:ascii="Times New Roman" w:hAnsi="Times New Roman"/>
          <w:i/>
          <w:iCs/>
          <w:sz w:val="24"/>
          <w:szCs w:val="24"/>
        </w:rPr>
        <w:t>Erasmus+</w:t>
      </w:r>
      <w:r w:rsidRPr="00E86236">
        <w:rPr>
          <w:rFonts w:ascii="Times New Roman" w:hAnsi="Times New Roman"/>
          <w:iCs/>
          <w:sz w:val="24"/>
          <w:szCs w:val="24"/>
        </w:rPr>
        <w:t xml:space="preserve"> valsts aģentūr</w:t>
      </w:r>
      <w:r>
        <w:rPr>
          <w:rFonts w:ascii="Times New Roman" w:hAnsi="Times New Roman"/>
          <w:iCs/>
          <w:sz w:val="24"/>
          <w:szCs w:val="24"/>
        </w:rPr>
        <w:t>ai</w:t>
      </w:r>
      <w:r w:rsidRPr="00E86236">
        <w:rPr>
          <w:rFonts w:ascii="Times New Roman" w:hAnsi="Times New Roman"/>
          <w:iCs/>
          <w:sz w:val="24"/>
          <w:szCs w:val="24"/>
        </w:rPr>
        <w:t xml:space="preserve"> šādā apmērā:</w:t>
      </w:r>
    </w:p>
    <w:p w:rsidR="006166FC" w:rsidRDefault="006166FC" w:rsidP="00957A4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19.1. </w:t>
      </w:r>
      <w:r w:rsidR="00957A42" w:rsidRPr="00F86BC7">
        <w:rPr>
          <w:rFonts w:ascii="Times New Roman" w:hAnsi="Times New Roman"/>
          <w:sz w:val="24"/>
          <w:szCs w:val="24"/>
        </w:rPr>
        <w:t xml:space="preserve">2014.gadā nepieciešams </w:t>
      </w:r>
      <w:r w:rsidR="00EE0AB4">
        <w:rPr>
          <w:rFonts w:ascii="Times New Roman" w:hAnsi="Times New Roman"/>
          <w:sz w:val="24"/>
          <w:szCs w:val="24"/>
        </w:rPr>
        <w:t>181 454</w:t>
      </w:r>
      <w:r w:rsidR="00957A42" w:rsidRPr="00F86BC7">
        <w:rPr>
          <w:rFonts w:ascii="Times New Roman" w:hAnsi="Times New Roman"/>
          <w:sz w:val="24"/>
          <w:szCs w:val="24"/>
        </w:rPr>
        <w:t xml:space="preserve"> EUR apmērā, </w:t>
      </w:r>
    </w:p>
    <w:p w:rsidR="006166FC" w:rsidRDefault="006166FC" w:rsidP="00957A4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19.2. </w:t>
      </w:r>
      <w:r w:rsidR="00957A42" w:rsidRPr="00F86BC7">
        <w:rPr>
          <w:rFonts w:ascii="Times New Roman" w:hAnsi="Times New Roman"/>
          <w:sz w:val="24"/>
          <w:szCs w:val="24"/>
        </w:rPr>
        <w:t xml:space="preserve">2015.gadā – </w:t>
      </w:r>
      <w:r w:rsidR="00EE0AB4">
        <w:rPr>
          <w:rFonts w:ascii="Times New Roman" w:hAnsi="Times New Roman"/>
          <w:sz w:val="24"/>
          <w:szCs w:val="24"/>
        </w:rPr>
        <w:t xml:space="preserve">194 576 </w:t>
      </w:r>
      <w:r w:rsidR="00957A42" w:rsidRPr="00F86BC7">
        <w:rPr>
          <w:rFonts w:ascii="Times New Roman" w:hAnsi="Times New Roman"/>
          <w:sz w:val="24"/>
          <w:szCs w:val="24"/>
        </w:rPr>
        <w:t xml:space="preserve">EUR apmērā, </w:t>
      </w:r>
    </w:p>
    <w:p w:rsidR="007C4346" w:rsidRDefault="006166FC" w:rsidP="00957A4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19.3. </w:t>
      </w:r>
      <w:r w:rsidR="00957A42" w:rsidRPr="00E86236">
        <w:rPr>
          <w:rFonts w:ascii="Times New Roman" w:hAnsi="Times New Roman"/>
          <w:sz w:val="24"/>
          <w:szCs w:val="24"/>
        </w:rPr>
        <w:t>2016.gadā</w:t>
      </w:r>
      <w:r w:rsidR="00EE0AB4" w:rsidRPr="00E86236">
        <w:rPr>
          <w:rFonts w:ascii="Times New Roman" w:hAnsi="Times New Roman"/>
          <w:sz w:val="24"/>
          <w:szCs w:val="24"/>
        </w:rPr>
        <w:t xml:space="preserve"> un turpmākajos programmas </w:t>
      </w:r>
      <w:r w:rsidR="00EE0AB4" w:rsidRPr="00E86236">
        <w:rPr>
          <w:rFonts w:ascii="Times New Roman" w:hAnsi="Times New Roman"/>
          <w:i/>
          <w:sz w:val="24"/>
          <w:szCs w:val="24"/>
        </w:rPr>
        <w:t>Erasmus+</w:t>
      </w:r>
      <w:r w:rsidR="00EE0AB4" w:rsidRPr="00E86236">
        <w:rPr>
          <w:rFonts w:ascii="Times New Roman" w:hAnsi="Times New Roman"/>
          <w:sz w:val="24"/>
          <w:szCs w:val="24"/>
        </w:rPr>
        <w:t xml:space="preserve"> īstenošanas gados</w:t>
      </w:r>
      <w:r w:rsidR="00957A42" w:rsidRPr="00E86236">
        <w:rPr>
          <w:rFonts w:ascii="Times New Roman" w:hAnsi="Times New Roman"/>
          <w:sz w:val="24"/>
          <w:szCs w:val="24"/>
        </w:rPr>
        <w:t xml:space="preserve"> </w:t>
      </w:r>
      <w:r w:rsidR="00957A42" w:rsidRPr="00646B59">
        <w:rPr>
          <w:rFonts w:ascii="Times New Roman" w:hAnsi="Times New Roman"/>
          <w:sz w:val="24"/>
          <w:szCs w:val="24"/>
        </w:rPr>
        <w:t xml:space="preserve">– </w:t>
      </w:r>
      <w:r w:rsidR="00143EE5" w:rsidRPr="00646B59">
        <w:rPr>
          <w:rFonts w:ascii="Times New Roman" w:hAnsi="Times New Roman"/>
          <w:iCs/>
          <w:sz w:val="24"/>
          <w:szCs w:val="24"/>
        </w:rPr>
        <w:t>286 995</w:t>
      </w:r>
      <w:r w:rsidR="00143EE5" w:rsidRPr="00660A3A">
        <w:rPr>
          <w:rFonts w:ascii="Times New Roman" w:hAnsi="Times New Roman"/>
          <w:iCs/>
          <w:sz w:val="24"/>
          <w:szCs w:val="24"/>
        </w:rPr>
        <w:t xml:space="preserve"> </w:t>
      </w:r>
      <w:r w:rsidR="00957A42" w:rsidRPr="00E86236">
        <w:rPr>
          <w:rFonts w:ascii="Times New Roman" w:hAnsi="Times New Roman"/>
          <w:sz w:val="24"/>
          <w:szCs w:val="24"/>
        </w:rPr>
        <w:t>EUR, nepieciešamā līdzfinansējuma apmēru</w:t>
      </w:r>
      <w:r w:rsidR="00EE0AB4" w:rsidRPr="00E86236">
        <w:rPr>
          <w:rFonts w:ascii="Times New Roman" w:hAnsi="Times New Roman"/>
          <w:sz w:val="24"/>
          <w:szCs w:val="24"/>
        </w:rPr>
        <w:t xml:space="preserve"> turpmākajos gados</w:t>
      </w:r>
      <w:r w:rsidR="00957A42" w:rsidRPr="00E86236">
        <w:rPr>
          <w:rFonts w:ascii="Times New Roman" w:hAnsi="Times New Roman"/>
          <w:sz w:val="24"/>
          <w:szCs w:val="24"/>
        </w:rPr>
        <w:t xml:space="preserve"> precizējot atbilstoši Komisijas </w:t>
      </w:r>
      <w:r w:rsidR="00957A42" w:rsidRPr="003334C7">
        <w:rPr>
          <w:rFonts w:ascii="Times New Roman" w:hAnsi="Times New Roman"/>
          <w:sz w:val="24"/>
          <w:szCs w:val="24"/>
        </w:rPr>
        <w:t>granta</w:t>
      </w:r>
      <w:r w:rsidR="003334C7">
        <w:rPr>
          <w:rFonts w:ascii="Times New Roman" w:hAnsi="Times New Roman"/>
          <w:sz w:val="24"/>
          <w:szCs w:val="24"/>
        </w:rPr>
        <w:t xml:space="preserve"> (ES finansējuma)</w:t>
      </w:r>
      <w:r w:rsidR="00957A42" w:rsidRPr="00E86236">
        <w:rPr>
          <w:rFonts w:ascii="Times New Roman" w:hAnsi="Times New Roman"/>
          <w:sz w:val="24"/>
          <w:szCs w:val="24"/>
        </w:rPr>
        <w:t xml:space="preserve"> apmēram</w:t>
      </w:r>
      <w:r w:rsidR="007C4346">
        <w:rPr>
          <w:rFonts w:ascii="Times New Roman" w:hAnsi="Times New Roman"/>
          <w:sz w:val="24"/>
          <w:szCs w:val="24"/>
        </w:rPr>
        <w:t>.</w:t>
      </w:r>
      <w:r w:rsidR="00FA41E5">
        <w:rPr>
          <w:rFonts w:ascii="Times New Roman" w:hAnsi="Times New Roman"/>
          <w:sz w:val="24"/>
          <w:szCs w:val="24"/>
        </w:rPr>
        <w:t xml:space="preserve"> </w:t>
      </w:r>
    </w:p>
    <w:p w:rsidR="00B3072F" w:rsidRDefault="007C4346">
      <w:pPr>
        <w:spacing w:after="0" w:line="240" w:lineRule="auto"/>
        <w:ind w:firstLine="567"/>
        <w:jc w:val="both"/>
        <w:rPr>
          <w:rFonts w:ascii="Times New Roman" w:hAnsi="Times New Roman"/>
          <w:sz w:val="24"/>
          <w:szCs w:val="24"/>
        </w:rPr>
      </w:pPr>
      <w:r>
        <w:rPr>
          <w:rFonts w:ascii="Times New Roman" w:hAnsi="Times New Roman"/>
          <w:sz w:val="24"/>
          <w:szCs w:val="24"/>
        </w:rPr>
        <w:t>20. Finansējuma apmērs noteikts</w:t>
      </w:r>
      <w:r w:rsidR="00B3072F">
        <w:rPr>
          <w:rFonts w:ascii="Times New Roman" w:hAnsi="Times New Roman"/>
          <w:sz w:val="24"/>
          <w:szCs w:val="24"/>
        </w:rPr>
        <w:t xml:space="preserve"> ievērojot tālāk minēto:</w:t>
      </w:r>
    </w:p>
    <w:p w:rsidR="00B3072F" w:rsidRDefault="00B3072F">
      <w:pPr>
        <w:spacing w:after="0" w:line="240" w:lineRule="auto"/>
        <w:ind w:firstLine="567"/>
        <w:jc w:val="both"/>
        <w:rPr>
          <w:rFonts w:ascii="Times New Roman" w:hAnsi="Times New Roman"/>
          <w:sz w:val="24"/>
          <w:szCs w:val="24"/>
        </w:rPr>
      </w:pPr>
      <w:r>
        <w:rPr>
          <w:rFonts w:ascii="Times New Roman" w:hAnsi="Times New Roman"/>
          <w:sz w:val="24"/>
          <w:szCs w:val="24"/>
        </w:rPr>
        <w:t>21.1.</w:t>
      </w:r>
      <w:r w:rsidR="007C4346">
        <w:rPr>
          <w:rFonts w:ascii="Times New Roman" w:hAnsi="Times New Roman"/>
          <w:sz w:val="24"/>
          <w:szCs w:val="24"/>
        </w:rPr>
        <w:t xml:space="preserve"> </w:t>
      </w:r>
      <w:r>
        <w:rPr>
          <w:rFonts w:ascii="Times New Roman" w:hAnsi="Times New Roman"/>
          <w:sz w:val="24"/>
          <w:szCs w:val="24"/>
        </w:rPr>
        <w:t xml:space="preserve">ņemot vērā </w:t>
      </w:r>
      <w:r w:rsidR="007C4346">
        <w:rPr>
          <w:rFonts w:ascii="Times New Roman" w:hAnsi="Times New Roman"/>
          <w:sz w:val="24"/>
          <w:szCs w:val="24"/>
        </w:rPr>
        <w:t xml:space="preserve">veicamos uzdevumus, lai </w:t>
      </w:r>
      <w:r w:rsidR="006166FC">
        <w:rPr>
          <w:rFonts w:ascii="Times New Roman" w:hAnsi="Times New Roman"/>
          <w:sz w:val="24"/>
          <w:szCs w:val="24"/>
        </w:rPr>
        <w:t>nodrošinātu JSPA kā valsts aģentūras darbību atbilstoši regul</w:t>
      </w:r>
      <w:r>
        <w:rPr>
          <w:rFonts w:ascii="Times New Roman" w:hAnsi="Times New Roman"/>
          <w:sz w:val="24"/>
          <w:szCs w:val="24"/>
        </w:rPr>
        <w:t>ā</w:t>
      </w:r>
      <w:r w:rsidR="006166FC">
        <w:rPr>
          <w:rFonts w:ascii="Times New Roman" w:hAnsi="Times New Roman"/>
          <w:sz w:val="24"/>
          <w:szCs w:val="24"/>
        </w:rPr>
        <w:t xml:space="preserve"> Nr.1288/2013 noteiktaj</w:t>
      </w:r>
      <w:r w:rsidR="007C4346">
        <w:rPr>
          <w:rFonts w:ascii="Times New Roman" w:hAnsi="Times New Roman"/>
          <w:sz w:val="24"/>
          <w:szCs w:val="24"/>
        </w:rPr>
        <w:t>a</w:t>
      </w:r>
      <w:r w:rsidR="006166FC">
        <w:rPr>
          <w:rFonts w:ascii="Times New Roman" w:hAnsi="Times New Roman"/>
          <w:sz w:val="24"/>
          <w:szCs w:val="24"/>
        </w:rPr>
        <w:t xml:space="preserve">m un JSPA nolikumā (Ministru kabineta 11.12.2012 noteikumi </w:t>
      </w:r>
      <w:r w:rsidR="006166FC" w:rsidRPr="007937E0">
        <w:rPr>
          <w:rFonts w:ascii="Times New Roman" w:hAnsi="Times New Roman"/>
          <w:sz w:val="24"/>
          <w:szCs w:val="24"/>
        </w:rPr>
        <w:t>Nr.863)</w:t>
      </w:r>
      <w:r w:rsidR="006166FC">
        <w:rPr>
          <w:rFonts w:ascii="Times New Roman" w:hAnsi="Times New Roman"/>
          <w:sz w:val="24"/>
          <w:szCs w:val="24"/>
        </w:rPr>
        <w:t xml:space="preserve"> minēto funkciju attiecībā uz programmu </w:t>
      </w:r>
      <w:r w:rsidR="006166FC" w:rsidRPr="00DA071D">
        <w:rPr>
          <w:rFonts w:ascii="Times New Roman" w:hAnsi="Times New Roman"/>
          <w:i/>
          <w:sz w:val="24"/>
          <w:szCs w:val="24"/>
        </w:rPr>
        <w:t>Erasmus+</w:t>
      </w:r>
      <w:r w:rsidR="006166FC">
        <w:rPr>
          <w:rFonts w:ascii="Times New Roman" w:hAnsi="Times New Roman"/>
          <w:sz w:val="24"/>
          <w:szCs w:val="24"/>
        </w:rPr>
        <w:t xml:space="preserve"> 2014.-2020.gada periodā </w:t>
      </w:r>
      <w:r w:rsidR="006166FC" w:rsidRPr="00F86BC7">
        <w:rPr>
          <w:rFonts w:ascii="Times New Roman" w:hAnsi="Times New Roman"/>
          <w:sz w:val="24"/>
          <w:szCs w:val="24"/>
        </w:rPr>
        <w:t>izpildi</w:t>
      </w:r>
      <w:r w:rsidR="007C4346">
        <w:rPr>
          <w:rFonts w:ascii="Times New Roman" w:hAnsi="Times New Roman"/>
          <w:sz w:val="24"/>
          <w:szCs w:val="24"/>
        </w:rPr>
        <w:t xml:space="preserve">; </w:t>
      </w:r>
    </w:p>
    <w:p w:rsidR="00B3072F" w:rsidRPr="00660A3A" w:rsidRDefault="00B3072F">
      <w:pPr>
        <w:spacing w:after="0" w:line="240" w:lineRule="auto"/>
        <w:ind w:firstLine="567"/>
        <w:jc w:val="both"/>
        <w:rPr>
          <w:rFonts w:ascii="Times New Roman" w:hAnsi="Times New Roman"/>
          <w:sz w:val="24"/>
          <w:szCs w:val="24"/>
        </w:rPr>
      </w:pPr>
      <w:r w:rsidRPr="00660A3A">
        <w:rPr>
          <w:rFonts w:ascii="Times New Roman" w:hAnsi="Times New Roman"/>
          <w:sz w:val="24"/>
          <w:szCs w:val="24"/>
        </w:rPr>
        <w:t xml:space="preserve">21.2. </w:t>
      </w:r>
      <w:r w:rsidR="00957A42" w:rsidRPr="00660A3A">
        <w:rPr>
          <w:rFonts w:ascii="Times New Roman" w:hAnsi="Times New Roman"/>
          <w:sz w:val="24"/>
          <w:szCs w:val="24"/>
        </w:rPr>
        <w:t>ievērojot valsts budžeta ilgtermiņa saistībās jau ieplānoto valsts budžeta finansējumu</w:t>
      </w:r>
      <w:r w:rsidR="00EE0AB4" w:rsidRPr="00660A3A">
        <w:rPr>
          <w:rFonts w:ascii="Times New Roman" w:hAnsi="Times New Roman"/>
          <w:sz w:val="24"/>
          <w:szCs w:val="24"/>
        </w:rPr>
        <w:t xml:space="preserve"> valsts aģentūras darbības nodrošināšanai</w:t>
      </w:r>
      <w:r w:rsidR="007C4346" w:rsidRPr="00660A3A">
        <w:rPr>
          <w:rFonts w:ascii="Times New Roman" w:hAnsi="Times New Roman"/>
          <w:sz w:val="24"/>
          <w:szCs w:val="24"/>
        </w:rPr>
        <w:t xml:space="preserve"> (IZM budžeta 70.10.00 budžeta apakšprogramma)</w:t>
      </w:r>
      <w:r w:rsidRPr="00660A3A">
        <w:rPr>
          <w:rFonts w:ascii="Times New Roman" w:hAnsi="Times New Roman"/>
          <w:sz w:val="24"/>
          <w:szCs w:val="24"/>
        </w:rPr>
        <w:t>, kas nav pietiekams (2013.gadā gatavojot informāciju par budžeta bāzi 2014.-2016.gadam, pieprasītais finansējuma apmērs netika piešķirts pilnā apmērā)</w:t>
      </w:r>
      <w:r w:rsidR="007C4346" w:rsidRPr="00660A3A">
        <w:rPr>
          <w:rFonts w:ascii="Times New Roman" w:hAnsi="Times New Roman"/>
          <w:sz w:val="24"/>
          <w:szCs w:val="24"/>
        </w:rPr>
        <w:t xml:space="preserve">; </w:t>
      </w:r>
    </w:p>
    <w:p w:rsidR="00B3072F" w:rsidRPr="00660A3A" w:rsidRDefault="00B3072F">
      <w:pPr>
        <w:spacing w:after="0" w:line="240" w:lineRule="auto"/>
        <w:ind w:firstLine="567"/>
        <w:jc w:val="both"/>
        <w:rPr>
          <w:rFonts w:ascii="Times New Roman" w:hAnsi="Times New Roman"/>
          <w:sz w:val="24"/>
          <w:szCs w:val="24"/>
        </w:rPr>
      </w:pPr>
      <w:r w:rsidRPr="00660A3A">
        <w:rPr>
          <w:rFonts w:ascii="Times New Roman" w:hAnsi="Times New Roman"/>
          <w:sz w:val="24"/>
          <w:szCs w:val="24"/>
        </w:rPr>
        <w:t xml:space="preserve">21.3. </w:t>
      </w:r>
      <w:r w:rsidR="00957A42" w:rsidRPr="00660A3A">
        <w:rPr>
          <w:rFonts w:ascii="Times New Roman" w:hAnsi="Times New Roman"/>
          <w:sz w:val="24"/>
          <w:szCs w:val="24"/>
        </w:rPr>
        <w:t>kā arī ņemot vērā speci</w:t>
      </w:r>
      <w:r w:rsidR="00036D8F" w:rsidRPr="00660A3A">
        <w:rPr>
          <w:rFonts w:ascii="Times New Roman" w:hAnsi="Times New Roman"/>
          <w:sz w:val="24"/>
          <w:szCs w:val="24"/>
        </w:rPr>
        <w:t>fisko mērķauditoriju (tai skaitā, ņemot vērā, ka</w:t>
      </w:r>
      <w:r w:rsidR="00957A42" w:rsidRPr="00660A3A">
        <w:rPr>
          <w:rFonts w:ascii="Times New Roman" w:hAnsi="Times New Roman"/>
          <w:sz w:val="24"/>
          <w:szCs w:val="24"/>
        </w:rPr>
        <w:t xml:space="preserve"> </w:t>
      </w:r>
      <w:r w:rsidR="0085576F" w:rsidRPr="00660A3A">
        <w:rPr>
          <w:rFonts w:ascii="Times New Roman" w:hAnsi="Times New Roman"/>
          <w:sz w:val="24"/>
          <w:szCs w:val="24"/>
        </w:rPr>
        <w:t>nepieciešams</w:t>
      </w:r>
      <w:r w:rsidR="00EE0AB4" w:rsidRPr="00660A3A">
        <w:rPr>
          <w:rFonts w:ascii="Times New Roman" w:hAnsi="Times New Roman"/>
          <w:sz w:val="24"/>
          <w:szCs w:val="24"/>
        </w:rPr>
        <w:t xml:space="preserve"> finansējums</w:t>
      </w:r>
      <w:r w:rsidR="00036D8F" w:rsidRPr="00660A3A">
        <w:rPr>
          <w:rFonts w:ascii="Times New Roman" w:hAnsi="Times New Roman"/>
          <w:sz w:val="24"/>
          <w:szCs w:val="24"/>
        </w:rPr>
        <w:t xml:space="preserve"> </w:t>
      </w:r>
      <w:r w:rsidR="00EE0AB4" w:rsidRPr="00660A3A">
        <w:rPr>
          <w:rFonts w:ascii="Times New Roman" w:hAnsi="Times New Roman"/>
          <w:sz w:val="24"/>
          <w:szCs w:val="24"/>
        </w:rPr>
        <w:t xml:space="preserve">nacionāla mēroga </w:t>
      </w:r>
      <w:r w:rsidR="00957A42" w:rsidRPr="00660A3A">
        <w:rPr>
          <w:rFonts w:ascii="Times New Roman" w:hAnsi="Times New Roman"/>
          <w:sz w:val="24"/>
          <w:szCs w:val="24"/>
        </w:rPr>
        <w:t>apmācīb</w:t>
      </w:r>
      <w:r w:rsidR="00EE0AB4" w:rsidRPr="00660A3A">
        <w:rPr>
          <w:rFonts w:ascii="Times New Roman" w:hAnsi="Times New Roman"/>
          <w:sz w:val="24"/>
          <w:szCs w:val="24"/>
        </w:rPr>
        <w:t>ām</w:t>
      </w:r>
      <w:r w:rsidR="00957A42" w:rsidRPr="00660A3A">
        <w:rPr>
          <w:rFonts w:ascii="Times New Roman" w:hAnsi="Times New Roman"/>
          <w:sz w:val="24"/>
          <w:szCs w:val="24"/>
        </w:rPr>
        <w:t xml:space="preserve"> </w:t>
      </w:r>
      <w:r w:rsidR="00EE0AB4" w:rsidRPr="00660A3A">
        <w:rPr>
          <w:rFonts w:ascii="Times New Roman" w:hAnsi="Times New Roman"/>
          <w:sz w:val="24"/>
          <w:szCs w:val="24"/>
        </w:rPr>
        <w:t>potenciālajiem projektu iesniedzējiem, projektu izvērtēša</w:t>
      </w:r>
      <w:r w:rsidR="00C12561" w:rsidRPr="00660A3A">
        <w:rPr>
          <w:rFonts w:ascii="Times New Roman" w:hAnsi="Times New Roman"/>
          <w:sz w:val="24"/>
          <w:szCs w:val="24"/>
        </w:rPr>
        <w:t>nas ekspertiem, Eiropas Brīvprātīgā darba</w:t>
      </w:r>
      <w:r w:rsidR="007C4346" w:rsidRPr="00660A3A">
        <w:rPr>
          <w:rFonts w:ascii="Times New Roman" w:hAnsi="Times New Roman"/>
          <w:sz w:val="24"/>
          <w:szCs w:val="24"/>
        </w:rPr>
        <w:t xml:space="preserve"> (turpmāk – EBD)</w:t>
      </w:r>
      <w:r w:rsidR="00C12561" w:rsidRPr="00660A3A">
        <w:rPr>
          <w:rFonts w:ascii="Times New Roman" w:hAnsi="Times New Roman"/>
          <w:sz w:val="24"/>
          <w:szCs w:val="24"/>
        </w:rPr>
        <w:t xml:space="preserve"> akreditētājiem un apmācību </w:t>
      </w:r>
      <w:r w:rsidR="00EE0AB4" w:rsidRPr="00660A3A">
        <w:rPr>
          <w:rFonts w:ascii="Times New Roman" w:hAnsi="Times New Roman"/>
          <w:sz w:val="24"/>
          <w:szCs w:val="24"/>
        </w:rPr>
        <w:t xml:space="preserve"> </w:t>
      </w:r>
      <w:r w:rsidR="00C12561" w:rsidRPr="00660A3A">
        <w:rPr>
          <w:rFonts w:ascii="Times New Roman" w:hAnsi="Times New Roman"/>
          <w:sz w:val="24"/>
          <w:szCs w:val="24"/>
        </w:rPr>
        <w:t>sniedzējiem</w:t>
      </w:r>
      <w:r w:rsidR="00EE0AB4" w:rsidRPr="00660A3A">
        <w:rPr>
          <w:rFonts w:ascii="Times New Roman" w:hAnsi="Times New Roman"/>
          <w:sz w:val="24"/>
          <w:szCs w:val="24"/>
        </w:rPr>
        <w:t xml:space="preserve">, šīs apmācības </w:t>
      </w:r>
      <w:r w:rsidR="00036D8F" w:rsidRPr="00660A3A">
        <w:rPr>
          <w:rFonts w:ascii="Times New Roman" w:hAnsi="Times New Roman"/>
          <w:sz w:val="24"/>
          <w:szCs w:val="24"/>
        </w:rPr>
        <w:t xml:space="preserve">pilnā apmērā </w:t>
      </w:r>
      <w:r w:rsidR="00EE0AB4" w:rsidRPr="00660A3A">
        <w:rPr>
          <w:rFonts w:ascii="Times New Roman" w:hAnsi="Times New Roman"/>
          <w:sz w:val="24"/>
          <w:szCs w:val="24"/>
        </w:rPr>
        <w:t>finansējot no valsts budžeta</w:t>
      </w:r>
      <w:r w:rsidR="00036D8F" w:rsidRPr="00660A3A">
        <w:rPr>
          <w:rFonts w:ascii="Times New Roman" w:hAnsi="Times New Roman"/>
          <w:sz w:val="24"/>
          <w:szCs w:val="24"/>
        </w:rPr>
        <w:t xml:space="preserve"> līdzfinansējuma</w:t>
      </w:r>
      <w:r w:rsidR="00957A42" w:rsidRPr="00660A3A">
        <w:rPr>
          <w:rFonts w:ascii="Times New Roman" w:hAnsi="Times New Roman"/>
          <w:sz w:val="24"/>
          <w:szCs w:val="24"/>
        </w:rPr>
        <w:t xml:space="preserve">), </w:t>
      </w:r>
    </w:p>
    <w:p w:rsidR="007212AD" w:rsidRPr="00660A3A" w:rsidRDefault="00B3072F">
      <w:pPr>
        <w:spacing w:after="0" w:line="240" w:lineRule="auto"/>
        <w:ind w:firstLine="567"/>
        <w:jc w:val="both"/>
        <w:rPr>
          <w:rFonts w:ascii="Times New Roman" w:hAnsi="Times New Roman"/>
          <w:sz w:val="24"/>
          <w:szCs w:val="24"/>
        </w:rPr>
      </w:pPr>
      <w:r w:rsidRPr="00660A3A">
        <w:rPr>
          <w:rFonts w:ascii="Times New Roman" w:hAnsi="Times New Roman"/>
          <w:sz w:val="24"/>
          <w:szCs w:val="24"/>
        </w:rPr>
        <w:t xml:space="preserve">21.4. kopējo finansējuma apmēru, kas nepieciešams, lai nodrošinātu </w:t>
      </w:r>
      <w:r w:rsidRPr="00660A3A">
        <w:rPr>
          <w:rFonts w:ascii="Times New Roman" w:hAnsi="Times New Roman"/>
          <w:iCs/>
          <w:sz w:val="24"/>
          <w:szCs w:val="24"/>
        </w:rPr>
        <w:t xml:space="preserve">programmas „Jaunatne darbībā” finanšu nolīgumu pārvaldību un programmas </w:t>
      </w:r>
      <w:r w:rsidRPr="00660A3A">
        <w:rPr>
          <w:rFonts w:ascii="Times New Roman" w:hAnsi="Times New Roman"/>
          <w:i/>
          <w:iCs/>
          <w:sz w:val="24"/>
          <w:szCs w:val="24"/>
        </w:rPr>
        <w:t>Erasmus+</w:t>
      </w:r>
      <w:r w:rsidRPr="00660A3A">
        <w:rPr>
          <w:rFonts w:ascii="Times New Roman" w:hAnsi="Times New Roman"/>
          <w:iCs/>
          <w:sz w:val="24"/>
          <w:szCs w:val="24"/>
        </w:rPr>
        <w:t xml:space="preserve"> ieviešanu, tai skaitā ņemot vērā arī </w:t>
      </w:r>
      <w:r w:rsidRPr="00660A3A">
        <w:rPr>
          <w:rFonts w:ascii="Times New Roman" w:hAnsi="Times New Roman"/>
          <w:sz w:val="24"/>
          <w:szCs w:val="24"/>
        </w:rPr>
        <w:t>līdzšinējo nodrošinātā līdzfinansējuma apmēru</w:t>
      </w:r>
      <w:r w:rsidR="00957A42" w:rsidRPr="00660A3A">
        <w:rPr>
          <w:rFonts w:ascii="Times New Roman" w:hAnsi="Times New Roman"/>
          <w:sz w:val="24"/>
          <w:szCs w:val="24"/>
        </w:rPr>
        <w:t xml:space="preserve">. </w:t>
      </w:r>
      <w:r w:rsidR="00036D8F" w:rsidRPr="00660A3A">
        <w:rPr>
          <w:rFonts w:ascii="Times New Roman" w:hAnsi="Times New Roman"/>
          <w:sz w:val="24"/>
          <w:szCs w:val="24"/>
        </w:rPr>
        <w:t>Papildus nepieciešamais v</w:t>
      </w:r>
      <w:r w:rsidR="00957A42" w:rsidRPr="00660A3A">
        <w:rPr>
          <w:rFonts w:ascii="Times New Roman" w:hAnsi="Times New Roman"/>
          <w:sz w:val="24"/>
          <w:szCs w:val="24"/>
        </w:rPr>
        <w:t>alsts budžeta līdzfinansējuma apmērs nepārsniedz iepriekšējos gados pieprasītā finansējuma apmēru (programmas „Jaunatne darbībā” pārvaldībai 2010.–2013.gadā tika nodrošināts</w:t>
      </w:r>
      <w:r w:rsidR="006D78D4" w:rsidRPr="00660A3A">
        <w:rPr>
          <w:rFonts w:ascii="Times New Roman" w:hAnsi="Times New Roman"/>
          <w:sz w:val="24"/>
          <w:szCs w:val="24"/>
        </w:rPr>
        <w:t xml:space="preserve"> finansējums vidēji</w:t>
      </w:r>
      <w:r w:rsidR="00957A42" w:rsidRPr="00660A3A">
        <w:rPr>
          <w:rFonts w:ascii="Times New Roman" w:hAnsi="Times New Roman"/>
          <w:sz w:val="24"/>
          <w:szCs w:val="24"/>
        </w:rPr>
        <w:t xml:space="preserve"> 50% - </w:t>
      </w:r>
      <w:r w:rsidR="00EE0AB4" w:rsidRPr="00660A3A">
        <w:rPr>
          <w:rFonts w:ascii="Times New Roman" w:hAnsi="Times New Roman"/>
          <w:sz w:val="24"/>
          <w:szCs w:val="24"/>
        </w:rPr>
        <w:t>8</w:t>
      </w:r>
      <w:r w:rsidR="005B27BB" w:rsidRPr="00660A3A">
        <w:rPr>
          <w:rFonts w:ascii="Times New Roman" w:hAnsi="Times New Roman"/>
          <w:sz w:val="24"/>
          <w:szCs w:val="24"/>
        </w:rPr>
        <w:t>0</w:t>
      </w:r>
      <w:r w:rsidR="00957A42" w:rsidRPr="00660A3A">
        <w:rPr>
          <w:rFonts w:ascii="Times New Roman" w:hAnsi="Times New Roman"/>
          <w:sz w:val="24"/>
          <w:szCs w:val="24"/>
        </w:rPr>
        <w:t xml:space="preserve">% apmērā no kopējā programmas pārvaldības finansējuma). </w:t>
      </w:r>
    </w:p>
    <w:p w:rsidR="00E42138" w:rsidRDefault="00E42138" w:rsidP="00957A42">
      <w:pPr>
        <w:tabs>
          <w:tab w:val="left" w:pos="851"/>
        </w:tabs>
        <w:spacing w:after="0" w:line="240" w:lineRule="auto"/>
        <w:ind w:firstLine="567"/>
        <w:jc w:val="both"/>
        <w:rPr>
          <w:rFonts w:ascii="Times New Roman" w:hAnsi="Times New Roman"/>
          <w:sz w:val="24"/>
          <w:szCs w:val="24"/>
        </w:rPr>
      </w:pPr>
    </w:p>
    <w:p w:rsidR="003B760D" w:rsidRPr="00AD604D" w:rsidRDefault="00E42138" w:rsidP="00E42138">
      <w:pPr>
        <w:tabs>
          <w:tab w:val="left" w:pos="851"/>
        </w:tabs>
        <w:spacing w:after="0" w:line="240" w:lineRule="auto"/>
        <w:ind w:firstLine="567"/>
        <w:jc w:val="right"/>
        <w:rPr>
          <w:rFonts w:ascii="Times New Roman" w:hAnsi="Times New Roman"/>
          <w:sz w:val="24"/>
          <w:szCs w:val="24"/>
        </w:rPr>
      </w:pPr>
      <w:r w:rsidRPr="00AD604D">
        <w:rPr>
          <w:rFonts w:ascii="Times New Roman" w:hAnsi="Times New Roman"/>
          <w:sz w:val="24"/>
          <w:szCs w:val="24"/>
        </w:rPr>
        <w:t>2.tabula</w:t>
      </w:r>
    </w:p>
    <w:p w:rsidR="00E42138" w:rsidRPr="00660A3A" w:rsidRDefault="00E42138" w:rsidP="00F12E41">
      <w:pPr>
        <w:tabs>
          <w:tab w:val="left" w:pos="851"/>
        </w:tabs>
        <w:spacing w:before="120" w:after="120" w:line="240" w:lineRule="auto"/>
        <w:ind w:firstLine="567"/>
        <w:jc w:val="center"/>
        <w:rPr>
          <w:rFonts w:ascii="Times New Roman" w:hAnsi="Times New Roman"/>
          <w:sz w:val="24"/>
          <w:szCs w:val="24"/>
        </w:rPr>
      </w:pPr>
      <w:r w:rsidRPr="00660A3A">
        <w:rPr>
          <w:rFonts w:ascii="Times New Roman" w:hAnsi="Times New Roman"/>
          <w:sz w:val="24"/>
          <w:szCs w:val="24"/>
        </w:rPr>
        <w:t xml:space="preserve">JSPA kā valsts aģentūras darbības nodrošināšanai papildus </w:t>
      </w:r>
      <w:r w:rsidR="004C03BA" w:rsidRPr="00660A3A">
        <w:rPr>
          <w:rFonts w:ascii="Times New Roman" w:hAnsi="Times New Roman"/>
          <w:sz w:val="24"/>
          <w:szCs w:val="24"/>
        </w:rPr>
        <w:t>2014.</w:t>
      </w:r>
      <w:r w:rsidR="00F12E41" w:rsidRPr="00660A3A">
        <w:rPr>
          <w:rFonts w:ascii="Times New Roman" w:hAnsi="Times New Roman"/>
          <w:sz w:val="24"/>
          <w:szCs w:val="24"/>
        </w:rPr>
        <w:t xml:space="preserve">, </w:t>
      </w:r>
      <w:r w:rsidR="004C03BA" w:rsidRPr="00660A3A">
        <w:rPr>
          <w:rFonts w:ascii="Times New Roman" w:hAnsi="Times New Roman"/>
          <w:sz w:val="24"/>
          <w:szCs w:val="24"/>
        </w:rPr>
        <w:t>2015.gadā</w:t>
      </w:r>
      <w:r w:rsidRPr="00660A3A">
        <w:rPr>
          <w:rFonts w:ascii="Times New Roman" w:hAnsi="Times New Roman"/>
          <w:sz w:val="24"/>
          <w:szCs w:val="24"/>
        </w:rPr>
        <w:t xml:space="preserve"> </w:t>
      </w:r>
      <w:r w:rsidR="00F12E41" w:rsidRPr="00660A3A">
        <w:rPr>
          <w:rFonts w:ascii="Times New Roman" w:hAnsi="Times New Roman"/>
          <w:sz w:val="24"/>
          <w:szCs w:val="24"/>
        </w:rPr>
        <w:t xml:space="preserve">un turpmākajos programmas Erasmus+ īstenošanas gados </w:t>
      </w:r>
      <w:r w:rsidRPr="00660A3A">
        <w:rPr>
          <w:rFonts w:ascii="Times New Roman" w:hAnsi="Times New Roman"/>
          <w:sz w:val="24"/>
          <w:szCs w:val="24"/>
        </w:rPr>
        <w:t>nepieciešamais finansējums, EUR</w:t>
      </w:r>
    </w:p>
    <w:tbl>
      <w:tblPr>
        <w:tblStyle w:val="TableGrid"/>
        <w:tblW w:w="9889" w:type="dxa"/>
        <w:tblLayout w:type="fixed"/>
        <w:tblLook w:val="04A0"/>
      </w:tblPr>
      <w:tblGrid>
        <w:gridCol w:w="3227"/>
        <w:gridCol w:w="2220"/>
        <w:gridCol w:w="48"/>
        <w:gridCol w:w="2126"/>
        <w:gridCol w:w="47"/>
        <w:gridCol w:w="2221"/>
      </w:tblGrid>
      <w:tr w:rsidR="00143EE5" w:rsidRPr="00660A3A" w:rsidTr="00143EE5">
        <w:trPr>
          <w:tblHeader/>
        </w:trPr>
        <w:tc>
          <w:tcPr>
            <w:tcW w:w="3227" w:type="dxa"/>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Izdevumu pozīcija</w:t>
            </w:r>
          </w:p>
        </w:tc>
        <w:tc>
          <w:tcPr>
            <w:tcW w:w="2220" w:type="dxa"/>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Nepieciešamais finansējums</w:t>
            </w:r>
          </w:p>
          <w:p w:rsidR="00143EE5" w:rsidRPr="00660A3A" w:rsidRDefault="00143EE5" w:rsidP="005C2C0F">
            <w:pPr>
              <w:tabs>
                <w:tab w:val="left" w:pos="851"/>
              </w:tabs>
              <w:spacing w:after="0" w:line="240" w:lineRule="auto"/>
              <w:jc w:val="center"/>
              <w:rPr>
                <w:rFonts w:ascii="Times New Roman" w:hAnsi="Times New Roman"/>
              </w:rPr>
            </w:pPr>
            <w:r w:rsidRPr="00660A3A">
              <w:rPr>
                <w:rFonts w:ascii="Times New Roman" w:hAnsi="Times New Roman"/>
              </w:rPr>
              <w:t xml:space="preserve">2014.gads </w:t>
            </w:r>
          </w:p>
        </w:tc>
        <w:tc>
          <w:tcPr>
            <w:tcW w:w="2221" w:type="dxa"/>
            <w:gridSpan w:val="3"/>
          </w:tcPr>
          <w:p w:rsidR="00143EE5" w:rsidRPr="00660A3A" w:rsidRDefault="00143EE5" w:rsidP="005C2C0F">
            <w:pPr>
              <w:tabs>
                <w:tab w:val="left" w:pos="851"/>
              </w:tabs>
              <w:spacing w:after="0" w:line="240" w:lineRule="auto"/>
              <w:jc w:val="center"/>
              <w:rPr>
                <w:rFonts w:ascii="Times New Roman" w:hAnsi="Times New Roman"/>
              </w:rPr>
            </w:pPr>
            <w:r w:rsidRPr="00660A3A">
              <w:rPr>
                <w:rFonts w:ascii="Times New Roman" w:hAnsi="Times New Roman"/>
              </w:rPr>
              <w:t>Nepieciešamais finansējums</w:t>
            </w:r>
          </w:p>
          <w:p w:rsidR="00143EE5" w:rsidRPr="00660A3A" w:rsidRDefault="00143EE5" w:rsidP="005C2C0F">
            <w:pPr>
              <w:tabs>
                <w:tab w:val="left" w:pos="851"/>
              </w:tabs>
              <w:spacing w:after="0" w:line="240" w:lineRule="auto"/>
              <w:jc w:val="center"/>
              <w:rPr>
                <w:rFonts w:ascii="Times New Roman" w:hAnsi="Times New Roman"/>
              </w:rPr>
            </w:pPr>
            <w:r w:rsidRPr="00660A3A">
              <w:rPr>
                <w:rFonts w:ascii="Times New Roman" w:hAnsi="Times New Roman"/>
              </w:rPr>
              <w:t>2015.gads</w:t>
            </w:r>
          </w:p>
        </w:tc>
        <w:tc>
          <w:tcPr>
            <w:tcW w:w="2221" w:type="dxa"/>
          </w:tcPr>
          <w:p w:rsidR="00143EE5" w:rsidRPr="00646B59" w:rsidRDefault="00143EE5" w:rsidP="005C2C0F">
            <w:pPr>
              <w:tabs>
                <w:tab w:val="left" w:pos="851"/>
              </w:tabs>
              <w:spacing w:after="0" w:line="240" w:lineRule="auto"/>
              <w:jc w:val="center"/>
              <w:rPr>
                <w:rFonts w:ascii="Times New Roman" w:hAnsi="Times New Roman"/>
              </w:rPr>
            </w:pPr>
            <w:r w:rsidRPr="00646B59">
              <w:rPr>
                <w:rFonts w:ascii="Times New Roman" w:hAnsi="Times New Roman"/>
              </w:rPr>
              <w:t>Nepieciešamais finansējums</w:t>
            </w:r>
          </w:p>
          <w:p w:rsidR="00143EE5" w:rsidRPr="00646B59" w:rsidRDefault="00143EE5" w:rsidP="00143EE5">
            <w:pPr>
              <w:tabs>
                <w:tab w:val="left" w:pos="851"/>
              </w:tabs>
              <w:spacing w:after="0" w:line="240" w:lineRule="auto"/>
              <w:jc w:val="center"/>
              <w:rPr>
                <w:rFonts w:ascii="Times New Roman" w:hAnsi="Times New Roman"/>
              </w:rPr>
            </w:pPr>
            <w:r w:rsidRPr="00646B59">
              <w:rPr>
                <w:rFonts w:ascii="Times New Roman" w:hAnsi="Times New Roman"/>
              </w:rPr>
              <w:t>2016.gadā un turpmākajos gados</w:t>
            </w:r>
          </w:p>
        </w:tc>
      </w:tr>
      <w:tr w:rsidR="00143EE5" w:rsidRPr="00660A3A" w:rsidTr="00143EE5">
        <w:tc>
          <w:tcPr>
            <w:tcW w:w="3227" w:type="dxa"/>
          </w:tcPr>
          <w:p w:rsidR="00143EE5" w:rsidRPr="00660A3A" w:rsidRDefault="00143EE5">
            <w:pPr>
              <w:tabs>
                <w:tab w:val="left" w:pos="851"/>
              </w:tabs>
              <w:spacing w:after="0" w:line="240" w:lineRule="auto"/>
              <w:rPr>
                <w:rFonts w:ascii="Times New Roman" w:eastAsia="宋体" w:hAnsi="Times New Roman"/>
                <w:lang w:eastAsia="zh-CN"/>
              </w:rPr>
            </w:pPr>
            <w:r w:rsidRPr="00660A3A">
              <w:rPr>
                <w:rFonts w:ascii="Times New Roman" w:hAnsi="Times New Roman"/>
              </w:rPr>
              <w:t>Atlīdzība</w:t>
            </w:r>
          </w:p>
        </w:tc>
        <w:tc>
          <w:tcPr>
            <w:tcW w:w="2220" w:type="dxa"/>
          </w:tcPr>
          <w:p w:rsidR="00143EE5" w:rsidRPr="00660A3A" w:rsidRDefault="00143EE5" w:rsidP="00637556">
            <w:pPr>
              <w:tabs>
                <w:tab w:val="left" w:pos="851"/>
              </w:tabs>
              <w:spacing w:after="0" w:line="240" w:lineRule="auto"/>
              <w:jc w:val="center"/>
              <w:rPr>
                <w:rFonts w:ascii="Times New Roman" w:hAnsi="Times New Roman"/>
              </w:rPr>
            </w:pPr>
            <w:r w:rsidRPr="00660A3A">
              <w:rPr>
                <w:rFonts w:ascii="Times New Roman" w:hAnsi="Times New Roman"/>
              </w:rPr>
              <w:t>125 163</w:t>
            </w:r>
          </w:p>
        </w:tc>
        <w:tc>
          <w:tcPr>
            <w:tcW w:w="2221" w:type="dxa"/>
            <w:gridSpan w:val="3"/>
          </w:tcPr>
          <w:p w:rsidR="00143EE5" w:rsidRPr="00660A3A" w:rsidRDefault="00143EE5" w:rsidP="00637556">
            <w:pPr>
              <w:tabs>
                <w:tab w:val="left" w:pos="851"/>
              </w:tabs>
              <w:spacing w:after="0" w:line="240" w:lineRule="auto"/>
              <w:jc w:val="center"/>
              <w:rPr>
                <w:rFonts w:ascii="Times New Roman" w:eastAsia="宋体" w:hAnsi="Times New Roman"/>
                <w:lang w:eastAsia="zh-CN"/>
              </w:rPr>
            </w:pPr>
            <w:r w:rsidRPr="00660A3A">
              <w:rPr>
                <w:rFonts w:ascii="Times New Roman" w:eastAsia="宋体" w:hAnsi="Times New Roman"/>
                <w:lang w:eastAsia="zh-CN"/>
              </w:rPr>
              <w:t>184 067</w:t>
            </w:r>
          </w:p>
        </w:tc>
        <w:tc>
          <w:tcPr>
            <w:tcW w:w="2221" w:type="dxa"/>
          </w:tcPr>
          <w:p w:rsidR="00143EE5" w:rsidRPr="00646B59" w:rsidRDefault="00143EE5" w:rsidP="00637556">
            <w:pPr>
              <w:tabs>
                <w:tab w:val="left" w:pos="851"/>
              </w:tabs>
              <w:spacing w:after="0" w:line="240" w:lineRule="auto"/>
              <w:jc w:val="center"/>
              <w:rPr>
                <w:rFonts w:ascii="Times New Roman" w:hAnsi="Times New Roman"/>
              </w:rPr>
            </w:pPr>
            <w:r w:rsidRPr="00646B59">
              <w:rPr>
                <w:rFonts w:ascii="Times New Roman" w:eastAsia="宋体" w:hAnsi="Times New Roman"/>
                <w:lang w:eastAsia="zh-CN"/>
              </w:rPr>
              <w:t>332 340</w:t>
            </w:r>
          </w:p>
        </w:tc>
      </w:tr>
      <w:tr w:rsidR="005C2C0F" w:rsidRPr="00660A3A" w:rsidTr="00143EE5">
        <w:tc>
          <w:tcPr>
            <w:tcW w:w="3227" w:type="dxa"/>
          </w:tcPr>
          <w:p w:rsidR="005C2C0F" w:rsidRPr="00660A3A" w:rsidRDefault="005C2C0F">
            <w:pPr>
              <w:tabs>
                <w:tab w:val="left" w:pos="851"/>
              </w:tabs>
              <w:spacing w:after="0" w:line="240" w:lineRule="auto"/>
              <w:rPr>
                <w:rFonts w:ascii="Times New Roman" w:hAnsi="Times New Roman"/>
                <w:i/>
                <w:sz w:val="20"/>
                <w:szCs w:val="20"/>
              </w:rPr>
            </w:pPr>
            <w:r w:rsidRPr="00660A3A">
              <w:rPr>
                <w:rFonts w:ascii="Times New Roman" w:hAnsi="Times New Roman"/>
                <w:i/>
                <w:sz w:val="20"/>
                <w:szCs w:val="20"/>
              </w:rPr>
              <w:t>Pamatojums izdevumu pozīcijai „Atlīdzība”</w:t>
            </w:r>
          </w:p>
        </w:tc>
        <w:tc>
          <w:tcPr>
            <w:tcW w:w="6662" w:type="dxa"/>
            <w:gridSpan w:val="5"/>
          </w:tcPr>
          <w:p w:rsidR="005C2C0F" w:rsidRPr="00646B59" w:rsidRDefault="00637556">
            <w:pPr>
              <w:tabs>
                <w:tab w:val="left" w:pos="851"/>
              </w:tabs>
              <w:spacing w:after="0" w:line="240" w:lineRule="auto"/>
              <w:jc w:val="both"/>
              <w:rPr>
                <w:rFonts w:ascii="Times New Roman" w:hAnsi="Times New Roman"/>
              </w:rPr>
            </w:pPr>
            <w:r w:rsidRPr="00646B59">
              <w:rPr>
                <w:rFonts w:ascii="Times New Roman" w:hAnsi="Times New Roman"/>
              </w:rPr>
              <w:t xml:space="preserve">Lai nodrošinātu programmas </w:t>
            </w:r>
            <w:r w:rsidRPr="00646B59">
              <w:rPr>
                <w:rFonts w:ascii="Times New Roman" w:hAnsi="Times New Roman"/>
                <w:i/>
              </w:rPr>
              <w:t>Erasmus+</w:t>
            </w:r>
            <w:r w:rsidRPr="00646B59">
              <w:rPr>
                <w:rFonts w:ascii="Times New Roman" w:hAnsi="Times New Roman"/>
              </w:rPr>
              <w:t xml:space="preserve"> īstenošanu, papildu nepieciešams piesaistīt trīs projektu koordinatorus,</w:t>
            </w:r>
            <w:r w:rsidR="00F12E41" w:rsidRPr="00646B59">
              <w:rPr>
                <w:rFonts w:ascii="Times New Roman" w:hAnsi="Times New Roman"/>
              </w:rPr>
              <w:t xml:space="preserve"> kopumā JSPA kā valsts aģentūrā tiks nodarbināti 27 darbinieki,</w:t>
            </w:r>
            <w:r w:rsidRPr="00646B59">
              <w:rPr>
                <w:rFonts w:ascii="Times New Roman" w:hAnsi="Times New Roman"/>
              </w:rPr>
              <w:t xml:space="preserve"> jānodrošina atlīdzība EBD </w:t>
            </w:r>
            <w:proofErr w:type="spellStart"/>
            <w:r w:rsidRPr="00646B59">
              <w:rPr>
                <w:rFonts w:ascii="Times New Roman" w:hAnsi="Times New Roman"/>
              </w:rPr>
              <w:t>akreditatoriem</w:t>
            </w:r>
            <w:proofErr w:type="spellEnd"/>
            <w:r w:rsidRPr="00646B59">
              <w:rPr>
                <w:rFonts w:ascii="Times New Roman" w:hAnsi="Times New Roman"/>
              </w:rPr>
              <w:t xml:space="preserve"> un akreditācijas ekspertiem, atlīdzība apmācību vadītājiem (plānotas 44 apmācības, paredzot divus apmācību vadītājus).</w:t>
            </w:r>
          </w:p>
        </w:tc>
      </w:tr>
      <w:tr w:rsidR="00143EE5" w:rsidRPr="00660A3A" w:rsidTr="00143EE5">
        <w:tc>
          <w:tcPr>
            <w:tcW w:w="3227" w:type="dxa"/>
          </w:tcPr>
          <w:p w:rsidR="00143EE5" w:rsidRPr="00660A3A" w:rsidRDefault="00143EE5">
            <w:pPr>
              <w:tabs>
                <w:tab w:val="left" w:pos="851"/>
              </w:tabs>
              <w:spacing w:after="0" w:line="240" w:lineRule="auto"/>
              <w:rPr>
                <w:rFonts w:ascii="Times New Roman" w:eastAsia="宋体" w:hAnsi="Times New Roman"/>
                <w:lang w:eastAsia="zh-CN"/>
              </w:rPr>
            </w:pPr>
            <w:r w:rsidRPr="00660A3A">
              <w:rPr>
                <w:rFonts w:ascii="Times New Roman" w:hAnsi="Times New Roman"/>
              </w:rPr>
              <w:t>Materiāltehniskās bāzes nodrošināšana</w:t>
            </w:r>
          </w:p>
        </w:tc>
        <w:tc>
          <w:tcPr>
            <w:tcW w:w="2220" w:type="dxa"/>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11 685</w:t>
            </w:r>
          </w:p>
        </w:tc>
        <w:tc>
          <w:tcPr>
            <w:tcW w:w="2221" w:type="dxa"/>
            <w:gridSpan w:val="3"/>
          </w:tcPr>
          <w:p w:rsidR="00143EE5" w:rsidRPr="00660A3A" w:rsidRDefault="00143EE5" w:rsidP="00637556">
            <w:pPr>
              <w:tabs>
                <w:tab w:val="left" w:pos="851"/>
              </w:tabs>
              <w:spacing w:after="0" w:line="240" w:lineRule="auto"/>
              <w:jc w:val="center"/>
              <w:rPr>
                <w:rFonts w:ascii="Times New Roman" w:eastAsia="宋体" w:hAnsi="Times New Roman"/>
                <w:lang w:eastAsia="zh-CN"/>
              </w:rPr>
            </w:pPr>
            <w:r w:rsidRPr="00660A3A">
              <w:rPr>
                <w:rFonts w:ascii="Times New Roman" w:eastAsia="宋体" w:hAnsi="Times New Roman"/>
                <w:lang w:eastAsia="zh-CN"/>
              </w:rPr>
              <w:t>0</w:t>
            </w:r>
          </w:p>
        </w:tc>
        <w:tc>
          <w:tcPr>
            <w:tcW w:w="2221" w:type="dxa"/>
          </w:tcPr>
          <w:p w:rsidR="00143EE5" w:rsidRPr="00646B59" w:rsidRDefault="00143EE5" w:rsidP="00637556">
            <w:pPr>
              <w:tabs>
                <w:tab w:val="left" w:pos="851"/>
              </w:tabs>
              <w:spacing w:after="0" w:line="240" w:lineRule="auto"/>
              <w:jc w:val="center"/>
              <w:rPr>
                <w:rFonts w:ascii="Times New Roman" w:hAnsi="Times New Roman"/>
              </w:rPr>
            </w:pPr>
            <w:r w:rsidRPr="00646B59">
              <w:rPr>
                <w:rFonts w:ascii="Times New Roman" w:hAnsi="Times New Roman"/>
              </w:rPr>
              <w:t>0</w:t>
            </w:r>
          </w:p>
        </w:tc>
      </w:tr>
      <w:tr w:rsidR="00637556" w:rsidRPr="00660A3A" w:rsidTr="00143EE5">
        <w:tc>
          <w:tcPr>
            <w:tcW w:w="3227" w:type="dxa"/>
          </w:tcPr>
          <w:p w:rsidR="00637556" w:rsidRPr="00660A3A" w:rsidRDefault="00637556" w:rsidP="005C2C0F">
            <w:pPr>
              <w:tabs>
                <w:tab w:val="left" w:pos="851"/>
              </w:tabs>
              <w:spacing w:after="0" w:line="240" w:lineRule="auto"/>
              <w:rPr>
                <w:rFonts w:ascii="Times New Roman" w:hAnsi="Times New Roman"/>
                <w:sz w:val="20"/>
                <w:szCs w:val="20"/>
              </w:rPr>
            </w:pPr>
            <w:r w:rsidRPr="00660A3A">
              <w:rPr>
                <w:rFonts w:ascii="Times New Roman" w:hAnsi="Times New Roman"/>
                <w:i/>
                <w:sz w:val="20"/>
                <w:szCs w:val="20"/>
              </w:rPr>
              <w:t>Pamatojums izdevumu pozīcijai „Materiāltehniskās bāzes nodrošināšana”</w:t>
            </w:r>
          </w:p>
        </w:tc>
        <w:tc>
          <w:tcPr>
            <w:tcW w:w="6662" w:type="dxa"/>
            <w:gridSpan w:val="5"/>
          </w:tcPr>
          <w:p w:rsidR="00637556" w:rsidRPr="00646B59" w:rsidRDefault="00637556">
            <w:pPr>
              <w:tabs>
                <w:tab w:val="left" w:pos="851"/>
              </w:tabs>
              <w:spacing w:after="0" w:line="240" w:lineRule="auto"/>
              <w:jc w:val="both"/>
              <w:rPr>
                <w:rFonts w:ascii="Times New Roman" w:hAnsi="Times New Roman"/>
              </w:rPr>
            </w:pPr>
            <w:r w:rsidRPr="00646B59">
              <w:rPr>
                <w:rFonts w:ascii="Times New Roman" w:hAnsi="Times New Roman"/>
              </w:rPr>
              <w:t xml:space="preserve">Izdevumi nepieciešami biroja tehnikas (datori ar programmatūrām, monitori, printeri) biroja mēbeļu un inventāra (darba galdi, skapji, krēsli, seifs, telefona aparāti, zīmogi, galda lampas) iegādei. </w:t>
            </w:r>
          </w:p>
        </w:tc>
      </w:tr>
      <w:tr w:rsidR="00143EE5" w:rsidRPr="00660A3A" w:rsidTr="00143EE5">
        <w:tc>
          <w:tcPr>
            <w:tcW w:w="3227" w:type="dxa"/>
          </w:tcPr>
          <w:p w:rsidR="00143EE5" w:rsidRPr="00660A3A" w:rsidRDefault="00143EE5" w:rsidP="008F5068">
            <w:pPr>
              <w:tabs>
                <w:tab w:val="left" w:pos="851"/>
              </w:tabs>
              <w:spacing w:after="0" w:line="240" w:lineRule="auto"/>
              <w:rPr>
                <w:rFonts w:ascii="Times New Roman" w:hAnsi="Times New Roman"/>
              </w:rPr>
            </w:pPr>
            <w:proofErr w:type="spellStart"/>
            <w:r w:rsidRPr="00660A3A">
              <w:rPr>
                <w:rFonts w:ascii="Times New Roman" w:hAnsi="Times New Roman"/>
              </w:rPr>
              <w:t>Datorapkalpošana</w:t>
            </w:r>
            <w:proofErr w:type="spellEnd"/>
          </w:p>
        </w:tc>
        <w:tc>
          <w:tcPr>
            <w:tcW w:w="2220" w:type="dxa"/>
          </w:tcPr>
          <w:p w:rsidR="00143EE5" w:rsidRPr="00660A3A" w:rsidRDefault="00143EE5" w:rsidP="00637556">
            <w:pPr>
              <w:tabs>
                <w:tab w:val="left" w:pos="851"/>
              </w:tabs>
              <w:spacing w:after="0" w:line="240" w:lineRule="auto"/>
              <w:jc w:val="center"/>
              <w:rPr>
                <w:rFonts w:ascii="Times New Roman" w:hAnsi="Times New Roman"/>
              </w:rPr>
            </w:pPr>
            <w:r w:rsidRPr="00660A3A">
              <w:rPr>
                <w:rFonts w:ascii="Times New Roman" w:hAnsi="Times New Roman"/>
              </w:rPr>
              <w:t>1 020</w:t>
            </w:r>
          </w:p>
        </w:tc>
        <w:tc>
          <w:tcPr>
            <w:tcW w:w="2221" w:type="dxa"/>
            <w:gridSpan w:val="3"/>
          </w:tcPr>
          <w:p w:rsidR="00143EE5" w:rsidRPr="00660A3A" w:rsidRDefault="00143EE5" w:rsidP="00637556">
            <w:pPr>
              <w:tabs>
                <w:tab w:val="left" w:pos="851"/>
              </w:tabs>
              <w:spacing w:after="0" w:line="240" w:lineRule="auto"/>
              <w:jc w:val="center"/>
              <w:rPr>
                <w:rFonts w:ascii="Times New Roman" w:hAnsi="Times New Roman"/>
              </w:rPr>
            </w:pPr>
            <w:r w:rsidRPr="00660A3A">
              <w:rPr>
                <w:rFonts w:ascii="Times New Roman" w:hAnsi="Times New Roman"/>
              </w:rPr>
              <w:t>1 020</w:t>
            </w:r>
          </w:p>
        </w:tc>
        <w:tc>
          <w:tcPr>
            <w:tcW w:w="2221" w:type="dxa"/>
          </w:tcPr>
          <w:p w:rsidR="00143EE5" w:rsidRPr="00646B59" w:rsidRDefault="00143EE5" w:rsidP="00637556">
            <w:pPr>
              <w:tabs>
                <w:tab w:val="left" w:pos="851"/>
              </w:tabs>
              <w:spacing w:after="0" w:line="240" w:lineRule="auto"/>
              <w:jc w:val="center"/>
              <w:rPr>
                <w:rFonts w:ascii="Times New Roman" w:hAnsi="Times New Roman"/>
              </w:rPr>
            </w:pPr>
            <w:r w:rsidRPr="00646B59">
              <w:rPr>
                <w:rFonts w:ascii="Times New Roman" w:hAnsi="Times New Roman"/>
              </w:rPr>
              <w:t>4 000</w:t>
            </w:r>
          </w:p>
        </w:tc>
      </w:tr>
      <w:tr w:rsidR="008374DF" w:rsidRPr="00660A3A" w:rsidTr="00143EE5">
        <w:tc>
          <w:tcPr>
            <w:tcW w:w="3227" w:type="dxa"/>
          </w:tcPr>
          <w:p w:rsidR="008374DF" w:rsidRPr="00660A3A" w:rsidRDefault="008374DF" w:rsidP="005C2C0F">
            <w:pPr>
              <w:tabs>
                <w:tab w:val="left" w:pos="851"/>
              </w:tabs>
              <w:spacing w:after="0" w:line="240" w:lineRule="auto"/>
              <w:rPr>
                <w:rFonts w:ascii="Times New Roman" w:hAnsi="Times New Roman"/>
                <w:sz w:val="20"/>
                <w:szCs w:val="20"/>
                <w:highlight w:val="yellow"/>
              </w:rPr>
            </w:pPr>
            <w:r w:rsidRPr="00660A3A">
              <w:rPr>
                <w:rFonts w:ascii="Times New Roman" w:hAnsi="Times New Roman"/>
                <w:i/>
                <w:sz w:val="20"/>
                <w:szCs w:val="20"/>
              </w:rPr>
              <w:t>Pamatojums izdevumu pozīcijai „</w:t>
            </w:r>
            <w:proofErr w:type="spellStart"/>
            <w:r w:rsidRPr="00660A3A">
              <w:rPr>
                <w:rFonts w:ascii="Times New Roman" w:hAnsi="Times New Roman"/>
                <w:i/>
                <w:sz w:val="20"/>
                <w:szCs w:val="20"/>
              </w:rPr>
              <w:t>Datorapkalpošana</w:t>
            </w:r>
            <w:proofErr w:type="spellEnd"/>
            <w:r w:rsidRPr="00660A3A">
              <w:rPr>
                <w:rFonts w:ascii="Times New Roman" w:hAnsi="Times New Roman"/>
                <w:i/>
                <w:sz w:val="20"/>
                <w:szCs w:val="20"/>
              </w:rPr>
              <w:t>”</w:t>
            </w:r>
          </w:p>
        </w:tc>
        <w:tc>
          <w:tcPr>
            <w:tcW w:w="6662" w:type="dxa"/>
            <w:gridSpan w:val="5"/>
          </w:tcPr>
          <w:p w:rsidR="008374DF" w:rsidRPr="00646B59" w:rsidRDefault="008374DF" w:rsidP="006F6E37">
            <w:pPr>
              <w:tabs>
                <w:tab w:val="left" w:pos="851"/>
              </w:tabs>
              <w:spacing w:after="0" w:line="240" w:lineRule="auto"/>
              <w:jc w:val="both"/>
              <w:rPr>
                <w:rFonts w:ascii="Times New Roman" w:hAnsi="Times New Roman"/>
              </w:rPr>
            </w:pPr>
            <w:r w:rsidRPr="00646B59">
              <w:rPr>
                <w:rFonts w:ascii="Times New Roman" w:hAnsi="Times New Roman"/>
              </w:rPr>
              <w:t xml:space="preserve">Izdevumi </w:t>
            </w:r>
            <w:proofErr w:type="spellStart"/>
            <w:r w:rsidRPr="00646B59">
              <w:rPr>
                <w:rFonts w:ascii="Times New Roman" w:hAnsi="Times New Roman"/>
              </w:rPr>
              <w:t>datorapkalpošanai</w:t>
            </w:r>
            <w:proofErr w:type="spellEnd"/>
            <w:r w:rsidRPr="00646B59">
              <w:rPr>
                <w:rFonts w:ascii="Times New Roman" w:hAnsi="Times New Roman"/>
              </w:rPr>
              <w:t xml:space="preserve"> plānoti 85 EUR mēnesī</w:t>
            </w:r>
            <w:r w:rsidR="006F6E37" w:rsidRPr="00646B59">
              <w:rPr>
                <w:rFonts w:ascii="Times New Roman" w:hAnsi="Times New Roman"/>
              </w:rPr>
              <w:t xml:space="preserve"> 2014., 2015.gadā, turpmākajos gados – 583,33 EUR atbilstoši darbinieku skaitam.</w:t>
            </w:r>
            <w:r w:rsidRPr="00646B59">
              <w:rPr>
                <w:rFonts w:ascii="Times New Roman" w:hAnsi="Times New Roman"/>
              </w:rPr>
              <w:t xml:space="preserve"> </w:t>
            </w:r>
          </w:p>
        </w:tc>
      </w:tr>
      <w:tr w:rsidR="00143EE5" w:rsidRPr="00660A3A" w:rsidTr="00143EE5">
        <w:tc>
          <w:tcPr>
            <w:tcW w:w="3227" w:type="dxa"/>
          </w:tcPr>
          <w:p w:rsidR="00143EE5" w:rsidRPr="00660A3A" w:rsidRDefault="00143EE5">
            <w:pPr>
              <w:tabs>
                <w:tab w:val="left" w:pos="851"/>
              </w:tabs>
              <w:spacing w:after="0" w:line="240" w:lineRule="auto"/>
              <w:jc w:val="both"/>
              <w:rPr>
                <w:rFonts w:ascii="Times New Roman" w:eastAsia="宋体" w:hAnsi="Times New Roman"/>
                <w:lang w:eastAsia="zh-CN"/>
              </w:rPr>
            </w:pPr>
            <w:r w:rsidRPr="00660A3A">
              <w:rPr>
                <w:rFonts w:ascii="Times New Roman" w:hAnsi="Times New Roman"/>
              </w:rPr>
              <w:t>Telpu noma, to uzturēšanas izdevumi</w:t>
            </w:r>
          </w:p>
        </w:tc>
        <w:tc>
          <w:tcPr>
            <w:tcW w:w="2220" w:type="dxa"/>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14 580</w:t>
            </w:r>
          </w:p>
        </w:tc>
        <w:tc>
          <w:tcPr>
            <w:tcW w:w="2221" w:type="dxa"/>
            <w:gridSpan w:val="3"/>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14 580</w:t>
            </w:r>
          </w:p>
        </w:tc>
        <w:tc>
          <w:tcPr>
            <w:tcW w:w="2221"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43 000</w:t>
            </w:r>
          </w:p>
        </w:tc>
      </w:tr>
      <w:tr w:rsidR="008374DF" w:rsidRPr="00660A3A" w:rsidTr="00143EE5">
        <w:tc>
          <w:tcPr>
            <w:tcW w:w="3227" w:type="dxa"/>
          </w:tcPr>
          <w:p w:rsidR="001D4CD6" w:rsidRPr="00660A3A" w:rsidRDefault="008374DF">
            <w:pPr>
              <w:tabs>
                <w:tab w:val="left" w:pos="851"/>
              </w:tabs>
              <w:spacing w:after="0" w:line="240" w:lineRule="auto"/>
              <w:jc w:val="both"/>
              <w:rPr>
                <w:rFonts w:ascii="Times New Roman" w:hAnsi="Times New Roman"/>
                <w:i/>
                <w:sz w:val="20"/>
                <w:szCs w:val="20"/>
              </w:rPr>
            </w:pPr>
            <w:r w:rsidRPr="00660A3A">
              <w:rPr>
                <w:rFonts w:ascii="Times New Roman" w:hAnsi="Times New Roman"/>
                <w:i/>
                <w:sz w:val="20"/>
                <w:szCs w:val="20"/>
              </w:rPr>
              <w:t xml:space="preserve">Pamatojums izdevumu pozīcijai </w:t>
            </w:r>
          </w:p>
          <w:p w:rsidR="008374DF" w:rsidRPr="00660A3A" w:rsidRDefault="008374DF">
            <w:pPr>
              <w:tabs>
                <w:tab w:val="left" w:pos="851"/>
              </w:tabs>
              <w:spacing w:after="0" w:line="240" w:lineRule="auto"/>
              <w:jc w:val="both"/>
              <w:rPr>
                <w:rFonts w:ascii="Times New Roman" w:hAnsi="Times New Roman"/>
                <w:i/>
              </w:rPr>
            </w:pPr>
            <w:r w:rsidRPr="00660A3A">
              <w:rPr>
                <w:rFonts w:ascii="Times New Roman" w:hAnsi="Times New Roman"/>
                <w:i/>
                <w:sz w:val="20"/>
                <w:szCs w:val="20"/>
              </w:rPr>
              <w:t>„Telpu noma, to uzturēšanas izdevumi”</w:t>
            </w:r>
          </w:p>
        </w:tc>
        <w:tc>
          <w:tcPr>
            <w:tcW w:w="6662" w:type="dxa"/>
            <w:gridSpan w:val="5"/>
          </w:tcPr>
          <w:p w:rsidR="008374DF" w:rsidRPr="00646B59" w:rsidRDefault="008374DF" w:rsidP="008374DF">
            <w:pPr>
              <w:tabs>
                <w:tab w:val="left" w:pos="851"/>
              </w:tabs>
              <w:spacing w:after="0" w:line="240" w:lineRule="auto"/>
              <w:rPr>
                <w:rFonts w:ascii="Times New Roman" w:hAnsi="Times New Roman"/>
              </w:rPr>
            </w:pPr>
            <w:r w:rsidRPr="00646B59">
              <w:rPr>
                <w:rFonts w:ascii="Times New Roman" w:hAnsi="Times New Roman"/>
              </w:rPr>
              <w:t>Izdevumos ietilpst: Telpu noma, telpu uzkopšana</w:t>
            </w:r>
            <w:r w:rsidR="001D4CD6" w:rsidRPr="00646B59">
              <w:rPr>
                <w:rFonts w:ascii="Times New Roman" w:hAnsi="Times New Roman"/>
              </w:rPr>
              <w:t xml:space="preserve">, komunālie pakalpojumi, kā arī saimniecības preces. </w:t>
            </w:r>
          </w:p>
        </w:tc>
      </w:tr>
      <w:tr w:rsidR="00143EE5" w:rsidRPr="00660A3A" w:rsidTr="00143EE5">
        <w:tc>
          <w:tcPr>
            <w:tcW w:w="3227" w:type="dxa"/>
          </w:tcPr>
          <w:p w:rsidR="00143EE5" w:rsidRPr="00660A3A" w:rsidRDefault="00143EE5" w:rsidP="00637556">
            <w:pPr>
              <w:tabs>
                <w:tab w:val="left" w:pos="851"/>
              </w:tabs>
              <w:spacing w:after="0" w:line="240" w:lineRule="auto"/>
              <w:jc w:val="both"/>
              <w:rPr>
                <w:rFonts w:ascii="Times New Roman" w:hAnsi="Times New Roman"/>
              </w:rPr>
            </w:pPr>
            <w:r w:rsidRPr="00660A3A">
              <w:rPr>
                <w:rFonts w:ascii="Times New Roman" w:hAnsi="Times New Roman"/>
              </w:rPr>
              <w:t>Sakaru pakalpojumi</w:t>
            </w:r>
          </w:p>
        </w:tc>
        <w:tc>
          <w:tcPr>
            <w:tcW w:w="2220" w:type="dxa"/>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1 920</w:t>
            </w:r>
          </w:p>
        </w:tc>
        <w:tc>
          <w:tcPr>
            <w:tcW w:w="2221" w:type="dxa"/>
            <w:gridSpan w:val="3"/>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1 920</w:t>
            </w:r>
          </w:p>
        </w:tc>
        <w:tc>
          <w:tcPr>
            <w:tcW w:w="2221"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7 700</w:t>
            </w:r>
          </w:p>
        </w:tc>
      </w:tr>
      <w:tr w:rsidR="001D4CD6" w:rsidRPr="00660A3A" w:rsidTr="00143EE5">
        <w:tc>
          <w:tcPr>
            <w:tcW w:w="3227" w:type="dxa"/>
          </w:tcPr>
          <w:p w:rsidR="001D4CD6" w:rsidRPr="00660A3A" w:rsidRDefault="001D4CD6" w:rsidP="001D4CD6">
            <w:pPr>
              <w:tabs>
                <w:tab w:val="left" w:pos="851"/>
              </w:tabs>
              <w:spacing w:after="0" w:line="240" w:lineRule="auto"/>
              <w:jc w:val="both"/>
              <w:rPr>
                <w:rFonts w:ascii="Times New Roman" w:hAnsi="Times New Roman"/>
                <w:i/>
                <w:sz w:val="20"/>
                <w:szCs w:val="20"/>
              </w:rPr>
            </w:pPr>
            <w:r w:rsidRPr="00660A3A">
              <w:rPr>
                <w:rFonts w:ascii="Times New Roman" w:hAnsi="Times New Roman"/>
                <w:i/>
                <w:sz w:val="20"/>
                <w:szCs w:val="20"/>
              </w:rPr>
              <w:t xml:space="preserve">Pamatojums izdevumu pozīcijai </w:t>
            </w:r>
          </w:p>
          <w:p w:rsidR="001D4CD6" w:rsidRPr="00660A3A" w:rsidRDefault="001D4CD6" w:rsidP="001D4CD6">
            <w:pPr>
              <w:tabs>
                <w:tab w:val="left" w:pos="851"/>
              </w:tabs>
              <w:spacing w:after="0" w:line="240" w:lineRule="auto"/>
              <w:jc w:val="both"/>
              <w:rPr>
                <w:rFonts w:ascii="Times New Roman" w:hAnsi="Times New Roman"/>
              </w:rPr>
            </w:pPr>
            <w:r w:rsidRPr="00660A3A">
              <w:rPr>
                <w:rFonts w:ascii="Times New Roman" w:hAnsi="Times New Roman"/>
                <w:i/>
                <w:sz w:val="20"/>
                <w:szCs w:val="20"/>
              </w:rPr>
              <w:t>„Sakaru pakalpojumi”</w:t>
            </w:r>
          </w:p>
        </w:tc>
        <w:tc>
          <w:tcPr>
            <w:tcW w:w="6662" w:type="dxa"/>
            <w:gridSpan w:val="5"/>
          </w:tcPr>
          <w:p w:rsidR="001D4CD6" w:rsidRPr="00646B59" w:rsidRDefault="001D4CD6" w:rsidP="001D4CD6">
            <w:pPr>
              <w:tabs>
                <w:tab w:val="left" w:pos="851"/>
              </w:tabs>
              <w:spacing w:after="0" w:line="240" w:lineRule="auto"/>
              <w:jc w:val="both"/>
              <w:rPr>
                <w:rFonts w:ascii="Times New Roman" w:hAnsi="Times New Roman"/>
              </w:rPr>
            </w:pPr>
            <w:r w:rsidRPr="00646B59">
              <w:rPr>
                <w:rFonts w:ascii="Times New Roman" w:hAnsi="Times New Roman"/>
              </w:rPr>
              <w:t>Izdevumi plānoti 160 EUR mēnesī</w:t>
            </w:r>
            <w:r w:rsidR="006F6E37" w:rsidRPr="00646B59">
              <w:rPr>
                <w:rFonts w:ascii="Times New Roman" w:hAnsi="Times New Roman"/>
              </w:rPr>
              <w:t xml:space="preserve"> 2014., 2015.gadā, turpmākajos gados – 1 125 EUR mēnesī</w:t>
            </w:r>
            <w:r w:rsidRPr="00646B59">
              <w:rPr>
                <w:rFonts w:ascii="Times New Roman" w:hAnsi="Times New Roman"/>
              </w:rPr>
              <w:t xml:space="preserve">. </w:t>
            </w:r>
          </w:p>
        </w:tc>
      </w:tr>
      <w:tr w:rsidR="00143EE5" w:rsidRPr="00660A3A" w:rsidTr="00143EE5">
        <w:tc>
          <w:tcPr>
            <w:tcW w:w="3227" w:type="dxa"/>
          </w:tcPr>
          <w:p w:rsidR="00143EE5" w:rsidRPr="00660A3A" w:rsidRDefault="00143EE5" w:rsidP="008F5068">
            <w:pPr>
              <w:tabs>
                <w:tab w:val="left" w:pos="851"/>
              </w:tabs>
              <w:spacing w:after="0" w:line="240" w:lineRule="auto"/>
              <w:jc w:val="both"/>
              <w:rPr>
                <w:rFonts w:ascii="Times New Roman" w:hAnsi="Times New Roman"/>
              </w:rPr>
            </w:pPr>
            <w:r w:rsidRPr="00660A3A">
              <w:rPr>
                <w:rFonts w:ascii="Times New Roman" w:hAnsi="Times New Roman"/>
              </w:rPr>
              <w:t>Kancelejas preces</w:t>
            </w:r>
          </w:p>
        </w:tc>
        <w:tc>
          <w:tcPr>
            <w:tcW w:w="2268" w:type="dxa"/>
            <w:gridSpan w:val="2"/>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2 050</w:t>
            </w:r>
          </w:p>
        </w:tc>
        <w:tc>
          <w:tcPr>
            <w:tcW w:w="2126" w:type="dxa"/>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2 050</w:t>
            </w:r>
          </w:p>
        </w:tc>
        <w:tc>
          <w:tcPr>
            <w:tcW w:w="2268" w:type="dxa"/>
            <w:gridSpan w:val="2"/>
          </w:tcPr>
          <w:p w:rsidR="00143EE5" w:rsidRPr="00646B59" w:rsidRDefault="00143EE5" w:rsidP="002B13CD">
            <w:pPr>
              <w:tabs>
                <w:tab w:val="left" w:pos="851"/>
              </w:tabs>
              <w:spacing w:after="0" w:line="240" w:lineRule="auto"/>
              <w:jc w:val="center"/>
              <w:rPr>
                <w:rFonts w:ascii="Times New Roman" w:hAnsi="Times New Roman"/>
              </w:rPr>
            </w:pPr>
            <w:r w:rsidRPr="00646B59">
              <w:rPr>
                <w:rFonts w:ascii="Times New Roman" w:hAnsi="Times New Roman"/>
              </w:rPr>
              <w:t>11</w:t>
            </w:r>
            <w:r w:rsidR="002B13CD" w:rsidRPr="00646B59">
              <w:rPr>
                <w:rFonts w:ascii="Times New Roman" w:hAnsi="Times New Roman"/>
              </w:rPr>
              <w:t> 516</w:t>
            </w:r>
          </w:p>
        </w:tc>
      </w:tr>
      <w:tr w:rsidR="001D4CD6" w:rsidRPr="00660A3A" w:rsidTr="00143EE5">
        <w:tc>
          <w:tcPr>
            <w:tcW w:w="3227" w:type="dxa"/>
          </w:tcPr>
          <w:p w:rsidR="001D4CD6" w:rsidRPr="00660A3A" w:rsidRDefault="001D4CD6" w:rsidP="001D4CD6">
            <w:pPr>
              <w:tabs>
                <w:tab w:val="left" w:pos="851"/>
              </w:tabs>
              <w:spacing w:after="0" w:line="240" w:lineRule="auto"/>
              <w:jc w:val="both"/>
              <w:rPr>
                <w:rFonts w:ascii="Times New Roman" w:hAnsi="Times New Roman"/>
                <w:i/>
                <w:sz w:val="20"/>
                <w:szCs w:val="20"/>
              </w:rPr>
            </w:pPr>
            <w:r w:rsidRPr="00660A3A">
              <w:rPr>
                <w:rFonts w:ascii="Times New Roman" w:hAnsi="Times New Roman"/>
                <w:i/>
                <w:sz w:val="20"/>
                <w:szCs w:val="20"/>
              </w:rPr>
              <w:t xml:space="preserve">Pamatojums izdevumu pozīcijai </w:t>
            </w:r>
          </w:p>
          <w:p w:rsidR="001D4CD6" w:rsidRPr="00660A3A" w:rsidRDefault="001D4CD6" w:rsidP="001D4CD6">
            <w:pPr>
              <w:tabs>
                <w:tab w:val="left" w:pos="851"/>
              </w:tabs>
              <w:spacing w:after="0" w:line="240" w:lineRule="auto"/>
              <w:jc w:val="both"/>
              <w:rPr>
                <w:rFonts w:ascii="Times New Roman" w:hAnsi="Times New Roman"/>
              </w:rPr>
            </w:pPr>
            <w:r w:rsidRPr="00660A3A">
              <w:rPr>
                <w:rFonts w:ascii="Times New Roman" w:hAnsi="Times New Roman"/>
                <w:i/>
                <w:sz w:val="20"/>
                <w:szCs w:val="20"/>
              </w:rPr>
              <w:t>„Kancelejas preces”</w:t>
            </w:r>
          </w:p>
        </w:tc>
        <w:tc>
          <w:tcPr>
            <w:tcW w:w="6662" w:type="dxa"/>
            <w:gridSpan w:val="5"/>
          </w:tcPr>
          <w:p w:rsidR="001D4CD6" w:rsidRPr="00646B59" w:rsidRDefault="00B81665" w:rsidP="006F6E37">
            <w:pPr>
              <w:tabs>
                <w:tab w:val="left" w:pos="851"/>
              </w:tabs>
              <w:spacing w:after="0" w:line="240" w:lineRule="auto"/>
              <w:jc w:val="both"/>
              <w:rPr>
                <w:rFonts w:ascii="Times New Roman" w:hAnsi="Times New Roman"/>
              </w:rPr>
            </w:pPr>
            <w:r w:rsidRPr="00646B59">
              <w:rPr>
                <w:rFonts w:ascii="Times New Roman" w:hAnsi="Times New Roman"/>
              </w:rPr>
              <w:t>Izdevumi kancelejas precēm  un toneri printeriem</w:t>
            </w:r>
            <w:r w:rsidR="00B3072F" w:rsidRPr="00646B59">
              <w:rPr>
                <w:rFonts w:ascii="Times New Roman" w:hAnsi="Times New Roman"/>
              </w:rPr>
              <w:t xml:space="preserve"> atbilstoši darbinieku skaitam</w:t>
            </w:r>
            <w:r w:rsidRPr="00646B59">
              <w:rPr>
                <w:rFonts w:ascii="Times New Roman" w:hAnsi="Times New Roman"/>
              </w:rPr>
              <w:t xml:space="preserve">. </w:t>
            </w:r>
          </w:p>
        </w:tc>
      </w:tr>
      <w:tr w:rsidR="00143EE5" w:rsidRPr="00660A3A" w:rsidTr="00143EE5">
        <w:tc>
          <w:tcPr>
            <w:tcW w:w="3227" w:type="dxa"/>
          </w:tcPr>
          <w:p w:rsidR="00143EE5" w:rsidRPr="00660A3A" w:rsidRDefault="00143EE5" w:rsidP="008F5068">
            <w:pPr>
              <w:tabs>
                <w:tab w:val="left" w:pos="851"/>
              </w:tabs>
              <w:spacing w:after="0" w:line="240" w:lineRule="auto"/>
              <w:jc w:val="both"/>
              <w:rPr>
                <w:rFonts w:ascii="Times New Roman" w:hAnsi="Times New Roman"/>
              </w:rPr>
            </w:pPr>
            <w:r w:rsidRPr="00660A3A">
              <w:rPr>
                <w:rFonts w:ascii="Times New Roman" w:hAnsi="Times New Roman"/>
              </w:rPr>
              <w:t>Komandējumi, darba braucieni, transportlīdzekļu noma</w:t>
            </w:r>
          </w:p>
        </w:tc>
        <w:tc>
          <w:tcPr>
            <w:tcW w:w="2220" w:type="dxa"/>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39 020</w:t>
            </w:r>
          </w:p>
        </w:tc>
        <w:tc>
          <w:tcPr>
            <w:tcW w:w="2221" w:type="dxa"/>
            <w:gridSpan w:val="3"/>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39 020</w:t>
            </w:r>
          </w:p>
        </w:tc>
        <w:tc>
          <w:tcPr>
            <w:tcW w:w="2221"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39 020</w:t>
            </w:r>
          </w:p>
        </w:tc>
      </w:tr>
      <w:tr w:rsidR="00B81665" w:rsidRPr="00660A3A" w:rsidTr="00143EE5">
        <w:tc>
          <w:tcPr>
            <w:tcW w:w="3227" w:type="dxa"/>
          </w:tcPr>
          <w:p w:rsidR="00B81665" w:rsidRPr="00660A3A" w:rsidRDefault="00B81665" w:rsidP="00B81665">
            <w:pPr>
              <w:tabs>
                <w:tab w:val="left" w:pos="851"/>
              </w:tabs>
              <w:spacing w:after="0" w:line="240" w:lineRule="auto"/>
              <w:jc w:val="both"/>
              <w:rPr>
                <w:rFonts w:ascii="Times New Roman" w:hAnsi="Times New Roman"/>
                <w:i/>
                <w:sz w:val="20"/>
                <w:szCs w:val="20"/>
              </w:rPr>
            </w:pPr>
            <w:r w:rsidRPr="00660A3A">
              <w:rPr>
                <w:rFonts w:ascii="Times New Roman" w:hAnsi="Times New Roman"/>
                <w:i/>
                <w:sz w:val="20"/>
                <w:szCs w:val="20"/>
              </w:rPr>
              <w:t xml:space="preserve">Pamatojums izdevumu pozīcijai </w:t>
            </w:r>
          </w:p>
          <w:p w:rsidR="00B81665" w:rsidRPr="00660A3A" w:rsidRDefault="00B81665" w:rsidP="00B81665">
            <w:pPr>
              <w:tabs>
                <w:tab w:val="left" w:pos="851"/>
              </w:tabs>
              <w:spacing w:after="0" w:line="240" w:lineRule="auto"/>
              <w:jc w:val="both"/>
              <w:rPr>
                <w:rFonts w:ascii="Times New Roman" w:hAnsi="Times New Roman"/>
              </w:rPr>
            </w:pPr>
            <w:r w:rsidRPr="00660A3A">
              <w:rPr>
                <w:rFonts w:ascii="Times New Roman" w:hAnsi="Times New Roman"/>
                <w:i/>
                <w:sz w:val="20"/>
                <w:szCs w:val="20"/>
              </w:rPr>
              <w:t>„Komandējumi, darba braucieni, transportlīdzekļu noma”</w:t>
            </w:r>
          </w:p>
        </w:tc>
        <w:tc>
          <w:tcPr>
            <w:tcW w:w="6662" w:type="dxa"/>
            <w:gridSpan w:val="5"/>
          </w:tcPr>
          <w:p w:rsidR="00B81665" w:rsidRPr="00646B59" w:rsidRDefault="00B81665" w:rsidP="00B81665">
            <w:pPr>
              <w:tabs>
                <w:tab w:val="left" w:pos="851"/>
              </w:tabs>
              <w:spacing w:after="0" w:line="240" w:lineRule="auto"/>
              <w:jc w:val="both"/>
              <w:rPr>
                <w:rFonts w:ascii="Times New Roman" w:hAnsi="Times New Roman"/>
                <w:sz w:val="20"/>
                <w:szCs w:val="20"/>
              </w:rPr>
            </w:pPr>
            <w:r w:rsidRPr="00646B59">
              <w:rPr>
                <w:rFonts w:ascii="Times New Roman" w:hAnsi="Times New Roman"/>
                <w:szCs w:val="20"/>
              </w:rPr>
              <w:t>Iekšzemes, ārvalstu (mācību, darba braucieni, tai skaitā EK rīkotas apmācības, sanāksmes, semināri). Izdevumos ietilpst ceļa izdevumi, dienas nauda, viesnīcas izdevumi.</w:t>
            </w:r>
          </w:p>
        </w:tc>
      </w:tr>
      <w:tr w:rsidR="00143EE5" w:rsidRPr="00660A3A" w:rsidTr="00143EE5">
        <w:tc>
          <w:tcPr>
            <w:tcW w:w="3227" w:type="dxa"/>
          </w:tcPr>
          <w:p w:rsidR="00143EE5" w:rsidRPr="00660A3A" w:rsidRDefault="00143EE5" w:rsidP="00DE1ECF">
            <w:pPr>
              <w:tabs>
                <w:tab w:val="left" w:pos="851"/>
              </w:tabs>
              <w:spacing w:after="0" w:line="240" w:lineRule="auto"/>
              <w:jc w:val="both"/>
              <w:rPr>
                <w:rFonts w:ascii="Times New Roman" w:hAnsi="Times New Roman"/>
              </w:rPr>
            </w:pPr>
            <w:r w:rsidRPr="00660A3A">
              <w:rPr>
                <w:rFonts w:ascii="Times New Roman" w:hAnsi="Times New Roman"/>
              </w:rPr>
              <w:t xml:space="preserve">Dalības maksa programmas </w:t>
            </w:r>
            <w:r w:rsidRPr="00660A3A">
              <w:rPr>
                <w:rFonts w:ascii="Times New Roman" w:hAnsi="Times New Roman"/>
                <w:i/>
              </w:rPr>
              <w:t xml:space="preserve">Erasmus+ </w:t>
            </w:r>
            <w:r w:rsidRPr="00660A3A">
              <w:rPr>
                <w:rFonts w:ascii="Times New Roman" w:hAnsi="Times New Roman"/>
              </w:rPr>
              <w:t>pētniecības tīklā jaunatnes jomā RAY</w:t>
            </w:r>
          </w:p>
        </w:tc>
        <w:tc>
          <w:tcPr>
            <w:tcW w:w="2220" w:type="dxa"/>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1 936</w:t>
            </w:r>
          </w:p>
        </w:tc>
        <w:tc>
          <w:tcPr>
            <w:tcW w:w="2221" w:type="dxa"/>
            <w:gridSpan w:val="3"/>
          </w:tcPr>
          <w:p w:rsidR="00143EE5" w:rsidRPr="00660A3A" w:rsidRDefault="00143EE5" w:rsidP="00E42138">
            <w:pPr>
              <w:tabs>
                <w:tab w:val="left" w:pos="851"/>
              </w:tabs>
              <w:spacing w:after="0" w:line="240" w:lineRule="auto"/>
              <w:jc w:val="center"/>
              <w:rPr>
                <w:rFonts w:ascii="Times New Roman" w:hAnsi="Times New Roman"/>
              </w:rPr>
            </w:pPr>
            <w:r w:rsidRPr="00660A3A">
              <w:rPr>
                <w:rFonts w:ascii="Times New Roman" w:hAnsi="Times New Roman"/>
              </w:rPr>
              <w:t>1 414</w:t>
            </w:r>
          </w:p>
        </w:tc>
        <w:tc>
          <w:tcPr>
            <w:tcW w:w="2221"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1 414</w:t>
            </w:r>
          </w:p>
        </w:tc>
      </w:tr>
      <w:tr w:rsidR="00B81665" w:rsidRPr="00660A3A" w:rsidTr="00143EE5">
        <w:tc>
          <w:tcPr>
            <w:tcW w:w="3227" w:type="dxa"/>
          </w:tcPr>
          <w:p w:rsidR="00B81665" w:rsidRPr="00660A3A" w:rsidRDefault="00B81665" w:rsidP="00B81665">
            <w:pPr>
              <w:tabs>
                <w:tab w:val="left" w:pos="851"/>
              </w:tabs>
              <w:spacing w:after="0" w:line="240" w:lineRule="auto"/>
              <w:jc w:val="both"/>
              <w:rPr>
                <w:rFonts w:ascii="Times New Roman" w:hAnsi="Times New Roman"/>
                <w:i/>
                <w:sz w:val="20"/>
                <w:szCs w:val="20"/>
              </w:rPr>
            </w:pPr>
            <w:r w:rsidRPr="00660A3A">
              <w:rPr>
                <w:rFonts w:ascii="Times New Roman" w:hAnsi="Times New Roman"/>
                <w:i/>
                <w:sz w:val="20"/>
                <w:szCs w:val="20"/>
              </w:rPr>
              <w:t xml:space="preserve">Pamatojums izdevumu pozīcijai </w:t>
            </w:r>
          </w:p>
          <w:p w:rsidR="00B81665" w:rsidRPr="00660A3A" w:rsidRDefault="00DE1ECF" w:rsidP="00B81665">
            <w:pPr>
              <w:tabs>
                <w:tab w:val="left" w:pos="851"/>
              </w:tabs>
              <w:spacing w:after="0" w:line="240" w:lineRule="auto"/>
              <w:jc w:val="both"/>
              <w:rPr>
                <w:rFonts w:ascii="Times New Roman" w:hAnsi="Times New Roman"/>
                <w:i/>
              </w:rPr>
            </w:pPr>
            <w:r w:rsidRPr="00660A3A">
              <w:rPr>
                <w:rFonts w:ascii="Times New Roman" w:hAnsi="Times New Roman"/>
                <w:i/>
                <w:sz w:val="20"/>
                <w:szCs w:val="20"/>
              </w:rPr>
              <w:t xml:space="preserve">„Dalības maksa programmas </w:t>
            </w:r>
            <w:r w:rsidR="00B81665" w:rsidRPr="00660A3A">
              <w:rPr>
                <w:rFonts w:ascii="Times New Roman" w:hAnsi="Times New Roman"/>
                <w:i/>
                <w:sz w:val="20"/>
                <w:szCs w:val="20"/>
              </w:rPr>
              <w:t>Erasmus+</w:t>
            </w:r>
            <w:r w:rsidRPr="00660A3A">
              <w:rPr>
                <w:rFonts w:ascii="Times New Roman" w:hAnsi="Times New Roman"/>
                <w:i/>
                <w:sz w:val="20"/>
                <w:szCs w:val="20"/>
              </w:rPr>
              <w:t xml:space="preserve"> pētniecības tīklā jaunatnes jomā RAY</w:t>
            </w:r>
            <w:r w:rsidR="00B81665" w:rsidRPr="00660A3A">
              <w:rPr>
                <w:rFonts w:ascii="Times New Roman" w:hAnsi="Times New Roman"/>
                <w:i/>
                <w:sz w:val="20"/>
                <w:szCs w:val="20"/>
              </w:rPr>
              <w:t>”</w:t>
            </w:r>
          </w:p>
        </w:tc>
        <w:tc>
          <w:tcPr>
            <w:tcW w:w="6662" w:type="dxa"/>
            <w:gridSpan w:val="5"/>
          </w:tcPr>
          <w:p w:rsidR="00B81665" w:rsidRPr="00660A3A" w:rsidRDefault="00B81665" w:rsidP="006F6E37">
            <w:pPr>
              <w:tabs>
                <w:tab w:val="left" w:pos="851"/>
              </w:tabs>
              <w:spacing w:after="0" w:line="240" w:lineRule="auto"/>
              <w:rPr>
                <w:rFonts w:ascii="Times New Roman" w:hAnsi="Times New Roman"/>
              </w:rPr>
            </w:pPr>
            <w:r w:rsidRPr="00660A3A">
              <w:rPr>
                <w:rFonts w:ascii="Times New Roman" w:hAnsi="Times New Roman"/>
              </w:rPr>
              <w:t>Dalības maksa – 522 EUR iestāšanās maksa 2014.gadā un divi pētījumi ik gadu.</w:t>
            </w:r>
          </w:p>
        </w:tc>
      </w:tr>
      <w:tr w:rsidR="00143EE5" w:rsidRPr="00660A3A" w:rsidTr="00143EE5">
        <w:tc>
          <w:tcPr>
            <w:tcW w:w="3227" w:type="dxa"/>
          </w:tcPr>
          <w:p w:rsidR="00143EE5" w:rsidRPr="00660A3A" w:rsidRDefault="00143EE5" w:rsidP="00E557EB">
            <w:pPr>
              <w:tabs>
                <w:tab w:val="left" w:pos="851"/>
              </w:tabs>
              <w:spacing w:after="0" w:line="240" w:lineRule="auto"/>
              <w:jc w:val="both"/>
              <w:rPr>
                <w:rFonts w:ascii="Times New Roman" w:hAnsi="Times New Roman"/>
              </w:rPr>
            </w:pPr>
            <w:r w:rsidRPr="00660A3A">
              <w:rPr>
                <w:rFonts w:ascii="Times New Roman" w:hAnsi="Times New Roman"/>
              </w:rPr>
              <w:t>Pārstāvība un sabiedriskās attiecības, kursu un semināru organizēšana</w:t>
            </w:r>
          </w:p>
        </w:tc>
        <w:tc>
          <w:tcPr>
            <w:tcW w:w="2220" w:type="dxa"/>
          </w:tcPr>
          <w:p w:rsidR="00143EE5" w:rsidRPr="00660A3A" w:rsidRDefault="00143EE5" w:rsidP="00103094">
            <w:pPr>
              <w:tabs>
                <w:tab w:val="left" w:pos="851"/>
              </w:tabs>
              <w:spacing w:after="0" w:line="240" w:lineRule="auto"/>
              <w:jc w:val="center"/>
              <w:rPr>
                <w:rFonts w:ascii="Times New Roman" w:hAnsi="Times New Roman"/>
              </w:rPr>
            </w:pPr>
            <w:r w:rsidRPr="00660A3A">
              <w:rPr>
                <w:rFonts w:ascii="Times New Roman" w:hAnsi="Times New Roman"/>
              </w:rPr>
              <w:t>271 075</w:t>
            </w:r>
          </w:p>
        </w:tc>
        <w:tc>
          <w:tcPr>
            <w:tcW w:w="2221" w:type="dxa"/>
            <w:gridSpan w:val="3"/>
          </w:tcPr>
          <w:p w:rsidR="00143EE5" w:rsidRPr="00660A3A" w:rsidRDefault="00143EE5" w:rsidP="00103094">
            <w:pPr>
              <w:tabs>
                <w:tab w:val="left" w:pos="851"/>
              </w:tabs>
              <w:spacing w:after="0" w:line="240" w:lineRule="auto"/>
              <w:jc w:val="center"/>
              <w:rPr>
                <w:rFonts w:ascii="Times New Roman" w:eastAsia="宋体" w:hAnsi="Times New Roman"/>
                <w:lang w:eastAsia="zh-CN"/>
              </w:rPr>
            </w:pPr>
            <w:r w:rsidRPr="00660A3A">
              <w:rPr>
                <w:rFonts w:ascii="Times New Roman" w:hAnsi="Times New Roman"/>
              </w:rPr>
              <w:t>237 500</w:t>
            </w:r>
          </w:p>
        </w:tc>
        <w:tc>
          <w:tcPr>
            <w:tcW w:w="2221" w:type="dxa"/>
          </w:tcPr>
          <w:p w:rsidR="00143EE5" w:rsidRPr="00646B59" w:rsidRDefault="00143EE5" w:rsidP="00103094">
            <w:pPr>
              <w:tabs>
                <w:tab w:val="left" w:pos="851"/>
              </w:tabs>
              <w:spacing w:after="0" w:line="240" w:lineRule="auto"/>
              <w:jc w:val="center"/>
              <w:rPr>
                <w:rFonts w:ascii="Times New Roman" w:hAnsi="Times New Roman"/>
              </w:rPr>
            </w:pPr>
            <w:r w:rsidRPr="00646B59">
              <w:rPr>
                <w:rFonts w:ascii="Times New Roman" w:hAnsi="Times New Roman"/>
              </w:rPr>
              <w:t>135 000</w:t>
            </w:r>
          </w:p>
        </w:tc>
      </w:tr>
      <w:tr w:rsidR="00637556" w:rsidRPr="00660A3A" w:rsidTr="00143EE5">
        <w:tc>
          <w:tcPr>
            <w:tcW w:w="3227" w:type="dxa"/>
          </w:tcPr>
          <w:p w:rsidR="00637556" w:rsidRPr="00660A3A" w:rsidRDefault="00637556" w:rsidP="00637556">
            <w:pPr>
              <w:tabs>
                <w:tab w:val="left" w:pos="851"/>
              </w:tabs>
              <w:spacing w:after="0" w:line="240" w:lineRule="auto"/>
              <w:jc w:val="both"/>
              <w:rPr>
                <w:rFonts w:ascii="Times New Roman" w:hAnsi="Times New Roman"/>
                <w:i/>
                <w:sz w:val="20"/>
                <w:szCs w:val="20"/>
              </w:rPr>
            </w:pPr>
            <w:r w:rsidRPr="00660A3A">
              <w:rPr>
                <w:rFonts w:ascii="Times New Roman" w:hAnsi="Times New Roman"/>
                <w:i/>
                <w:sz w:val="20"/>
                <w:szCs w:val="20"/>
              </w:rPr>
              <w:t>Pamatojums izdevumu pozīcijai „Pārstāvība un sabiedriskās attiecības, kursu un semināru organizēšana”</w:t>
            </w:r>
          </w:p>
        </w:tc>
        <w:tc>
          <w:tcPr>
            <w:tcW w:w="6662" w:type="dxa"/>
            <w:gridSpan w:val="5"/>
          </w:tcPr>
          <w:p w:rsidR="00637556" w:rsidRPr="00660A3A" w:rsidRDefault="00637556">
            <w:pPr>
              <w:tabs>
                <w:tab w:val="left" w:pos="851"/>
              </w:tabs>
              <w:spacing w:after="0" w:line="240" w:lineRule="auto"/>
              <w:jc w:val="both"/>
              <w:rPr>
                <w:rFonts w:ascii="Times New Roman" w:hAnsi="Times New Roman"/>
              </w:rPr>
            </w:pPr>
            <w:r w:rsidRPr="00660A3A">
              <w:rPr>
                <w:rFonts w:ascii="Times New Roman" w:hAnsi="Times New Roman"/>
              </w:rPr>
              <w:t xml:space="preserve">Informatīvajos un publicitātes pasākumos ietilpst: nacionāla mēroga apmācības par programmas </w:t>
            </w:r>
            <w:r w:rsidRPr="00660A3A">
              <w:rPr>
                <w:rFonts w:ascii="Times New Roman" w:hAnsi="Times New Roman"/>
                <w:i/>
              </w:rPr>
              <w:t>Erasmus+</w:t>
            </w:r>
            <w:r w:rsidRPr="00660A3A">
              <w:rPr>
                <w:rFonts w:ascii="Times New Roman" w:hAnsi="Times New Roman"/>
              </w:rPr>
              <w:t xml:space="preserve"> projektu veidiem potenciālajiem projektu iesniedzējiem, apmācības projektu izvērtēšanas ekspertiem, EBD </w:t>
            </w:r>
            <w:proofErr w:type="spellStart"/>
            <w:r w:rsidRPr="00660A3A">
              <w:rPr>
                <w:rFonts w:ascii="Times New Roman" w:hAnsi="Times New Roman"/>
              </w:rPr>
              <w:t>akredi</w:t>
            </w:r>
            <w:r w:rsidR="00AC4356" w:rsidRPr="00660A3A">
              <w:rPr>
                <w:rFonts w:ascii="Times New Roman" w:hAnsi="Times New Roman"/>
              </w:rPr>
              <w:t>ta</w:t>
            </w:r>
            <w:r w:rsidRPr="00660A3A">
              <w:rPr>
                <w:rFonts w:ascii="Times New Roman" w:hAnsi="Times New Roman"/>
              </w:rPr>
              <w:t>toriem</w:t>
            </w:r>
            <w:proofErr w:type="spellEnd"/>
            <w:r w:rsidRPr="00660A3A">
              <w:rPr>
                <w:rFonts w:ascii="Times New Roman" w:hAnsi="Times New Roman"/>
              </w:rPr>
              <w:t xml:space="preserve"> un apmācītāju kopas pārstāvjiem, apmācības un izvērtēšanas pasākumi apstiprināto projektu īstenotājiem, informatīvais darbs reģionos un Rīgā, programmas </w:t>
            </w:r>
            <w:r w:rsidRPr="00660A3A">
              <w:rPr>
                <w:rFonts w:ascii="Times New Roman" w:hAnsi="Times New Roman"/>
                <w:i/>
              </w:rPr>
              <w:t>Erasmus+</w:t>
            </w:r>
            <w:r w:rsidRPr="00660A3A">
              <w:rPr>
                <w:rFonts w:ascii="Times New Roman" w:hAnsi="Times New Roman"/>
              </w:rPr>
              <w:t xml:space="preserve"> atklāšanas konference, reprezentācijas u</w:t>
            </w:r>
            <w:r w:rsidR="00AC4356" w:rsidRPr="00660A3A">
              <w:rPr>
                <w:rFonts w:ascii="Times New Roman" w:hAnsi="Times New Roman"/>
              </w:rPr>
              <w:t xml:space="preserve">n informatīvie materiāli, </w:t>
            </w:r>
            <w:proofErr w:type="spellStart"/>
            <w:r w:rsidR="00AC4356" w:rsidRPr="00660A3A">
              <w:rPr>
                <w:rFonts w:ascii="Times New Roman" w:hAnsi="Times New Roman"/>
              </w:rPr>
              <w:t>mājas</w:t>
            </w:r>
            <w:r w:rsidRPr="00660A3A">
              <w:rPr>
                <w:rFonts w:ascii="Times New Roman" w:hAnsi="Times New Roman"/>
              </w:rPr>
              <w:t>lapas</w:t>
            </w:r>
            <w:proofErr w:type="spellEnd"/>
            <w:r w:rsidRPr="00660A3A">
              <w:rPr>
                <w:rFonts w:ascii="Times New Roman" w:hAnsi="Times New Roman"/>
              </w:rPr>
              <w:t xml:space="preserve"> izstrāde un </w:t>
            </w:r>
            <w:r w:rsidRPr="00660A3A">
              <w:rPr>
                <w:rFonts w:ascii="Times New Roman" w:hAnsi="Times New Roman"/>
              </w:rPr>
              <w:lastRenderedPageBreak/>
              <w:t xml:space="preserve">uzlabojumi, video apmācību izgatavošana, mobilā aplikācija, publiski pasākumi programmas </w:t>
            </w:r>
            <w:r w:rsidRPr="00660A3A">
              <w:rPr>
                <w:rFonts w:ascii="Times New Roman" w:hAnsi="Times New Roman"/>
                <w:i/>
              </w:rPr>
              <w:t>Erasmus+</w:t>
            </w:r>
            <w:r w:rsidRPr="00660A3A">
              <w:rPr>
                <w:rFonts w:ascii="Times New Roman" w:hAnsi="Times New Roman"/>
              </w:rPr>
              <w:t xml:space="preserve"> popularizēšanai, Eiropas Jaunatnes nedēļas organizēšana, pētījums par programmas </w:t>
            </w:r>
            <w:r w:rsidRPr="00660A3A">
              <w:rPr>
                <w:rFonts w:ascii="Times New Roman" w:hAnsi="Times New Roman"/>
                <w:i/>
              </w:rPr>
              <w:t>Erasmus+</w:t>
            </w:r>
            <w:r w:rsidRPr="00660A3A">
              <w:rPr>
                <w:rFonts w:ascii="Times New Roman" w:hAnsi="Times New Roman"/>
              </w:rPr>
              <w:t xml:space="preserve"> ietekmi, EBD atbalsta tīkla izveide un uzturēšana.</w:t>
            </w:r>
          </w:p>
        </w:tc>
      </w:tr>
      <w:tr w:rsidR="00143EE5" w:rsidRPr="00646B59" w:rsidTr="00143EE5">
        <w:tc>
          <w:tcPr>
            <w:tcW w:w="3227"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lastRenderedPageBreak/>
              <w:t>Kopā</w:t>
            </w:r>
          </w:p>
        </w:tc>
        <w:tc>
          <w:tcPr>
            <w:tcW w:w="2220"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468 449</w:t>
            </w:r>
          </w:p>
        </w:tc>
        <w:tc>
          <w:tcPr>
            <w:tcW w:w="2221" w:type="dxa"/>
            <w:gridSpan w:val="3"/>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481 571</w:t>
            </w:r>
          </w:p>
        </w:tc>
        <w:tc>
          <w:tcPr>
            <w:tcW w:w="2221" w:type="dxa"/>
          </w:tcPr>
          <w:p w:rsidR="00143EE5" w:rsidRPr="00646B59" w:rsidRDefault="002B13CD" w:rsidP="00E42138">
            <w:pPr>
              <w:tabs>
                <w:tab w:val="left" w:pos="851"/>
              </w:tabs>
              <w:spacing w:after="0" w:line="240" w:lineRule="auto"/>
              <w:jc w:val="center"/>
              <w:rPr>
                <w:rFonts w:ascii="Times New Roman" w:hAnsi="Times New Roman"/>
              </w:rPr>
            </w:pPr>
            <w:r w:rsidRPr="00646B59">
              <w:rPr>
                <w:rFonts w:ascii="Times New Roman" w:hAnsi="Times New Roman"/>
              </w:rPr>
              <w:t>573 990</w:t>
            </w:r>
          </w:p>
        </w:tc>
      </w:tr>
      <w:tr w:rsidR="00143EE5" w:rsidRPr="00646B59" w:rsidTr="00143EE5">
        <w:tc>
          <w:tcPr>
            <w:tcW w:w="3227" w:type="dxa"/>
          </w:tcPr>
          <w:p w:rsidR="00143EE5" w:rsidRPr="00646B59" w:rsidRDefault="00143EE5" w:rsidP="00E42138">
            <w:pPr>
              <w:tabs>
                <w:tab w:val="left" w:pos="851"/>
              </w:tabs>
              <w:spacing w:after="0" w:line="240" w:lineRule="auto"/>
              <w:jc w:val="center"/>
              <w:rPr>
                <w:rFonts w:ascii="Times New Roman" w:hAnsi="Times New Roman"/>
                <w:i/>
              </w:rPr>
            </w:pPr>
            <w:r w:rsidRPr="00646B59">
              <w:rPr>
                <w:rFonts w:ascii="Times New Roman" w:hAnsi="Times New Roman"/>
                <w:i/>
              </w:rPr>
              <w:t>tai skaitā:</w:t>
            </w:r>
          </w:p>
        </w:tc>
        <w:tc>
          <w:tcPr>
            <w:tcW w:w="2220" w:type="dxa"/>
          </w:tcPr>
          <w:p w:rsidR="00143EE5" w:rsidRPr="00646B59" w:rsidRDefault="00143EE5" w:rsidP="00E42138">
            <w:pPr>
              <w:tabs>
                <w:tab w:val="left" w:pos="851"/>
              </w:tabs>
              <w:spacing w:after="0" w:line="240" w:lineRule="auto"/>
              <w:jc w:val="center"/>
              <w:rPr>
                <w:rFonts w:ascii="Times New Roman" w:hAnsi="Times New Roman"/>
              </w:rPr>
            </w:pPr>
          </w:p>
        </w:tc>
        <w:tc>
          <w:tcPr>
            <w:tcW w:w="2221" w:type="dxa"/>
            <w:gridSpan w:val="3"/>
          </w:tcPr>
          <w:p w:rsidR="00143EE5" w:rsidRPr="00646B59" w:rsidRDefault="00143EE5" w:rsidP="00E42138">
            <w:pPr>
              <w:tabs>
                <w:tab w:val="left" w:pos="851"/>
              </w:tabs>
              <w:spacing w:after="0" w:line="240" w:lineRule="auto"/>
              <w:jc w:val="center"/>
              <w:rPr>
                <w:rFonts w:ascii="Times New Roman" w:hAnsi="Times New Roman"/>
              </w:rPr>
            </w:pPr>
          </w:p>
        </w:tc>
        <w:tc>
          <w:tcPr>
            <w:tcW w:w="2221" w:type="dxa"/>
          </w:tcPr>
          <w:p w:rsidR="00143EE5" w:rsidRPr="00646B59" w:rsidRDefault="00143EE5" w:rsidP="00E42138">
            <w:pPr>
              <w:tabs>
                <w:tab w:val="left" w:pos="851"/>
              </w:tabs>
              <w:spacing w:after="0" w:line="240" w:lineRule="auto"/>
              <w:jc w:val="center"/>
              <w:rPr>
                <w:rFonts w:ascii="Times New Roman" w:hAnsi="Times New Roman"/>
              </w:rPr>
            </w:pPr>
          </w:p>
        </w:tc>
      </w:tr>
      <w:tr w:rsidR="00143EE5" w:rsidRPr="00646B59" w:rsidTr="00143EE5">
        <w:tc>
          <w:tcPr>
            <w:tcW w:w="3227"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 xml:space="preserve">Ārvalstu finanšu palīdzība </w:t>
            </w:r>
          </w:p>
        </w:tc>
        <w:tc>
          <w:tcPr>
            <w:tcW w:w="2220"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iCs/>
              </w:rPr>
              <w:t>286 995</w:t>
            </w:r>
          </w:p>
        </w:tc>
        <w:tc>
          <w:tcPr>
            <w:tcW w:w="2221" w:type="dxa"/>
            <w:gridSpan w:val="3"/>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iCs/>
              </w:rPr>
              <w:t>286 995</w:t>
            </w:r>
          </w:p>
        </w:tc>
        <w:tc>
          <w:tcPr>
            <w:tcW w:w="2221"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iCs/>
              </w:rPr>
              <w:t>286 995</w:t>
            </w:r>
          </w:p>
        </w:tc>
      </w:tr>
      <w:tr w:rsidR="00143EE5" w:rsidRPr="00660A3A" w:rsidTr="00143EE5">
        <w:tc>
          <w:tcPr>
            <w:tcW w:w="3227"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Valsts budžeta līdzfinansējums</w:t>
            </w:r>
          </w:p>
        </w:tc>
        <w:tc>
          <w:tcPr>
            <w:tcW w:w="2220" w:type="dxa"/>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181 454</w:t>
            </w:r>
          </w:p>
        </w:tc>
        <w:tc>
          <w:tcPr>
            <w:tcW w:w="2221" w:type="dxa"/>
            <w:gridSpan w:val="3"/>
          </w:tcPr>
          <w:p w:rsidR="00143EE5" w:rsidRPr="00646B59" w:rsidRDefault="00143EE5" w:rsidP="00E42138">
            <w:pPr>
              <w:tabs>
                <w:tab w:val="left" w:pos="851"/>
              </w:tabs>
              <w:spacing w:after="0" w:line="240" w:lineRule="auto"/>
              <w:jc w:val="center"/>
              <w:rPr>
                <w:rFonts w:ascii="Times New Roman" w:hAnsi="Times New Roman"/>
              </w:rPr>
            </w:pPr>
            <w:r w:rsidRPr="00646B59">
              <w:rPr>
                <w:rFonts w:ascii="Times New Roman" w:hAnsi="Times New Roman"/>
              </w:rPr>
              <w:t>194 576</w:t>
            </w:r>
          </w:p>
        </w:tc>
        <w:tc>
          <w:tcPr>
            <w:tcW w:w="2221" w:type="dxa"/>
          </w:tcPr>
          <w:p w:rsidR="00143EE5" w:rsidRPr="00646B59" w:rsidRDefault="00143EE5" w:rsidP="00E42138">
            <w:pPr>
              <w:tabs>
                <w:tab w:val="left" w:pos="851"/>
              </w:tabs>
              <w:spacing w:after="0" w:line="240" w:lineRule="auto"/>
              <w:jc w:val="center"/>
              <w:rPr>
                <w:rFonts w:ascii="Times New Roman" w:hAnsi="Times New Roman"/>
                <w:iCs/>
              </w:rPr>
            </w:pPr>
            <w:r w:rsidRPr="00646B59">
              <w:rPr>
                <w:rFonts w:ascii="Times New Roman" w:hAnsi="Times New Roman"/>
                <w:iCs/>
              </w:rPr>
              <w:t>286 995</w:t>
            </w:r>
          </w:p>
        </w:tc>
      </w:tr>
    </w:tbl>
    <w:p w:rsidR="007212AD" w:rsidRDefault="007212AD">
      <w:pPr>
        <w:tabs>
          <w:tab w:val="left" w:pos="851"/>
        </w:tabs>
        <w:spacing w:after="0" w:line="240" w:lineRule="auto"/>
        <w:jc w:val="both"/>
        <w:rPr>
          <w:rFonts w:ascii="Times New Roman" w:hAnsi="Times New Roman"/>
          <w:sz w:val="24"/>
          <w:szCs w:val="24"/>
        </w:rPr>
      </w:pPr>
    </w:p>
    <w:p w:rsidR="00280A25" w:rsidRPr="00660A3A" w:rsidRDefault="003B760D" w:rsidP="00280A25">
      <w:pPr>
        <w:tabs>
          <w:tab w:val="left" w:pos="851"/>
        </w:tabs>
        <w:spacing w:after="0" w:line="240" w:lineRule="auto"/>
        <w:ind w:firstLine="567"/>
        <w:jc w:val="both"/>
        <w:rPr>
          <w:rFonts w:ascii="Times New Roman" w:hAnsi="Times New Roman"/>
          <w:sz w:val="24"/>
          <w:szCs w:val="24"/>
        </w:rPr>
      </w:pPr>
      <w:r w:rsidRPr="00660A3A">
        <w:rPr>
          <w:rFonts w:ascii="Times New Roman" w:hAnsi="Times New Roman"/>
          <w:sz w:val="24"/>
          <w:szCs w:val="24"/>
        </w:rPr>
        <w:t>21</w:t>
      </w:r>
      <w:r w:rsidR="00280A25" w:rsidRPr="00660A3A">
        <w:rPr>
          <w:rFonts w:ascii="Times New Roman" w:hAnsi="Times New Roman"/>
          <w:sz w:val="24"/>
          <w:szCs w:val="24"/>
        </w:rPr>
        <w:t>. Līdz ar to, kopējais</w:t>
      </w:r>
      <w:r w:rsidR="00490B6A" w:rsidRPr="00660A3A">
        <w:rPr>
          <w:rFonts w:ascii="Times New Roman" w:hAnsi="Times New Roman"/>
          <w:sz w:val="24"/>
          <w:szCs w:val="24"/>
        </w:rPr>
        <w:t xml:space="preserve"> </w:t>
      </w:r>
      <w:r w:rsidR="00280A25" w:rsidRPr="00660A3A">
        <w:rPr>
          <w:rFonts w:ascii="Times New Roman" w:hAnsi="Times New Roman"/>
          <w:sz w:val="24"/>
          <w:szCs w:val="24"/>
        </w:rPr>
        <w:t>nepieciešamais finansējums</w:t>
      </w:r>
      <w:r w:rsidR="00490B6A" w:rsidRPr="00660A3A">
        <w:rPr>
          <w:rFonts w:ascii="Times New Roman" w:hAnsi="Times New Roman"/>
          <w:sz w:val="24"/>
          <w:szCs w:val="24"/>
        </w:rPr>
        <w:t xml:space="preserve"> (ES finansējums un valsts līdzfinansējums)</w:t>
      </w:r>
      <w:r w:rsidR="00280A25" w:rsidRPr="00660A3A">
        <w:rPr>
          <w:rFonts w:ascii="Times New Roman" w:hAnsi="Times New Roman"/>
          <w:sz w:val="24"/>
          <w:szCs w:val="24"/>
        </w:rPr>
        <w:t xml:space="preserve"> valsts aģentūru darbības nodrošināšanai ir šāds:</w:t>
      </w:r>
    </w:p>
    <w:p w:rsidR="00280A25" w:rsidRPr="00660A3A" w:rsidRDefault="003B760D" w:rsidP="00280A25">
      <w:pPr>
        <w:tabs>
          <w:tab w:val="left" w:pos="851"/>
        </w:tabs>
        <w:spacing w:after="0" w:line="240" w:lineRule="auto"/>
        <w:ind w:firstLine="567"/>
        <w:jc w:val="both"/>
        <w:rPr>
          <w:rFonts w:ascii="Times New Roman" w:hAnsi="Times New Roman"/>
          <w:sz w:val="24"/>
          <w:szCs w:val="24"/>
        </w:rPr>
      </w:pPr>
      <w:r w:rsidRPr="00660A3A">
        <w:rPr>
          <w:rFonts w:ascii="Times New Roman" w:hAnsi="Times New Roman"/>
          <w:sz w:val="24"/>
          <w:szCs w:val="24"/>
        </w:rPr>
        <w:t>21</w:t>
      </w:r>
      <w:r w:rsidR="00280A25" w:rsidRPr="00660A3A">
        <w:rPr>
          <w:rFonts w:ascii="Times New Roman" w:hAnsi="Times New Roman"/>
          <w:sz w:val="24"/>
          <w:szCs w:val="24"/>
        </w:rPr>
        <w:t>.1. VIAA (IZM 70.08.00 budžeta apakšprogramma): 2014.gadā un 2015.gadā – EUR 946 481 katrā no gadiem, 2016.gadā un turpmākajos gados – ne mazāk kā EUR 827 555</w:t>
      </w:r>
      <w:r w:rsidR="00736659" w:rsidRPr="00660A3A">
        <w:rPr>
          <w:rFonts w:ascii="Times New Roman" w:hAnsi="Times New Roman"/>
          <w:sz w:val="24"/>
          <w:szCs w:val="24"/>
        </w:rPr>
        <w:t xml:space="preserve"> katrā no gadiem</w:t>
      </w:r>
      <w:r w:rsidR="007703B1" w:rsidRPr="00660A3A">
        <w:rPr>
          <w:rFonts w:ascii="Times New Roman" w:hAnsi="Times New Roman"/>
          <w:sz w:val="24"/>
          <w:szCs w:val="24"/>
        </w:rPr>
        <w:t xml:space="preserve"> (tai skaitā EUR </w:t>
      </w:r>
      <w:r w:rsidR="007703B1" w:rsidRPr="00660A3A">
        <w:rPr>
          <w:rFonts w:ascii="Times New Roman" w:hAnsi="Times New Roman"/>
          <w:iCs/>
          <w:sz w:val="24"/>
          <w:szCs w:val="24"/>
        </w:rPr>
        <w:t>430 493 – Komisijas grants (ES finansējums) katrā no gadiem)</w:t>
      </w:r>
      <w:r w:rsidR="00280A25" w:rsidRPr="00660A3A">
        <w:rPr>
          <w:rFonts w:ascii="Times New Roman" w:hAnsi="Times New Roman"/>
          <w:sz w:val="24"/>
          <w:szCs w:val="24"/>
        </w:rPr>
        <w:t>;</w:t>
      </w:r>
    </w:p>
    <w:p w:rsidR="00280A25" w:rsidRPr="00660A3A" w:rsidRDefault="003B760D" w:rsidP="00280A25">
      <w:pPr>
        <w:tabs>
          <w:tab w:val="left" w:pos="851"/>
        </w:tabs>
        <w:spacing w:after="0" w:line="240" w:lineRule="auto"/>
        <w:ind w:firstLine="567"/>
        <w:jc w:val="both"/>
        <w:rPr>
          <w:rFonts w:ascii="Times New Roman" w:hAnsi="Times New Roman"/>
          <w:sz w:val="24"/>
          <w:szCs w:val="24"/>
        </w:rPr>
      </w:pPr>
      <w:r w:rsidRPr="00660A3A">
        <w:rPr>
          <w:rFonts w:ascii="Times New Roman" w:hAnsi="Times New Roman"/>
          <w:sz w:val="24"/>
          <w:szCs w:val="24"/>
        </w:rPr>
        <w:t>21</w:t>
      </w:r>
      <w:r w:rsidR="00BC616B" w:rsidRPr="00660A3A">
        <w:rPr>
          <w:rFonts w:ascii="Times New Roman" w:hAnsi="Times New Roman"/>
          <w:sz w:val="24"/>
          <w:szCs w:val="24"/>
        </w:rPr>
        <w:t>.</w:t>
      </w:r>
      <w:r w:rsidR="00280A25" w:rsidRPr="00660A3A">
        <w:rPr>
          <w:rFonts w:ascii="Times New Roman" w:hAnsi="Times New Roman"/>
          <w:sz w:val="24"/>
          <w:szCs w:val="24"/>
        </w:rPr>
        <w:t xml:space="preserve">2. JSPA (IZM 70.10.00 budžeta apakšprogramma): 2014.gadā </w:t>
      </w:r>
      <w:r w:rsidR="00C4634A" w:rsidRPr="00660A3A">
        <w:rPr>
          <w:rFonts w:ascii="Times New Roman" w:hAnsi="Times New Roman"/>
          <w:sz w:val="24"/>
          <w:szCs w:val="24"/>
        </w:rPr>
        <w:t xml:space="preserve">– EUR 468 449, </w:t>
      </w:r>
      <w:r w:rsidR="00280A25" w:rsidRPr="00660A3A">
        <w:rPr>
          <w:rFonts w:ascii="Times New Roman" w:hAnsi="Times New Roman"/>
          <w:sz w:val="24"/>
          <w:szCs w:val="24"/>
        </w:rPr>
        <w:t xml:space="preserve">2015.gadā – EUR </w:t>
      </w:r>
      <w:r w:rsidR="00C4634A" w:rsidRPr="00660A3A">
        <w:rPr>
          <w:rFonts w:ascii="Times New Roman" w:hAnsi="Times New Roman"/>
          <w:sz w:val="24"/>
          <w:szCs w:val="24"/>
        </w:rPr>
        <w:t>481 571</w:t>
      </w:r>
      <w:r w:rsidR="00280A25" w:rsidRPr="00660A3A">
        <w:rPr>
          <w:rFonts w:ascii="Times New Roman" w:hAnsi="Times New Roman"/>
          <w:sz w:val="24"/>
          <w:szCs w:val="24"/>
        </w:rPr>
        <w:t xml:space="preserve">, 2016.gadā un turpmākajos gados – ne mazāk </w:t>
      </w:r>
      <w:r w:rsidR="00280A25" w:rsidRPr="00646B59">
        <w:rPr>
          <w:rFonts w:ascii="Times New Roman" w:hAnsi="Times New Roman"/>
          <w:sz w:val="24"/>
          <w:szCs w:val="24"/>
        </w:rPr>
        <w:t xml:space="preserve">kā EUR </w:t>
      </w:r>
      <w:r w:rsidR="004D35AD" w:rsidRPr="00646B59">
        <w:rPr>
          <w:rFonts w:ascii="Times New Roman" w:hAnsi="Times New Roman"/>
          <w:sz w:val="24"/>
          <w:szCs w:val="24"/>
        </w:rPr>
        <w:t>573 990</w:t>
      </w:r>
      <w:r w:rsidR="00280A25" w:rsidRPr="00646B59">
        <w:rPr>
          <w:rFonts w:ascii="Times New Roman" w:hAnsi="Times New Roman"/>
          <w:sz w:val="24"/>
          <w:szCs w:val="24"/>
        </w:rPr>
        <w:t xml:space="preserve"> katrā</w:t>
      </w:r>
      <w:r w:rsidR="00280A25" w:rsidRPr="00660A3A">
        <w:rPr>
          <w:rFonts w:ascii="Times New Roman" w:hAnsi="Times New Roman"/>
          <w:sz w:val="24"/>
          <w:szCs w:val="24"/>
        </w:rPr>
        <w:t xml:space="preserve"> no gadiem</w:t>
      </w:r>
      <w:r w:rsidR="007703B1" w:rsidRPr="00660A3A">
        <w:rPr>
          <w:rFonts w:ascii="Times New Roman" w:hAnsi="Times New Roman"/>
          <w:sz w:val="24"/>
          <w:szCs w:val="24"/>
        </w:rPr>
        <w:t xml:space="preserve"> (tai skaitā EUR </w:t>
      </w:r>
      <w:r w:rsidR="007703B1" w:rsidRPr="00660A3A">
        <w:rPr>
          <w:rFonts w:ascii="Times New Roman" w:hAnsi="Times New Roman"/>
          <w:iCs/>
          <w:sz w:val="24"/>
          <w:szCs w:val="24"/>
        </w:rPr>
        <w:t>286 995 – Komisijas grants (ES finansējums) katrā no gadiem)</w:t>
      </w:r>
      <w:r w:rsidR="00280A25" w:rsidRPr="00660A3A">
        <w:rPr>
          <w:rFonts w:ascii="Times New Roman" w:hAnsi="Times New Roman"/>
          <w:sz w:val="24"/>
          <w:szCs w:val="24"/>
        </w:rPr>
        <w:t xml:space="preserve">.   </w:t>
      </w:r>
    </w:p>
    <w:p w:rsidR="005F49C6" w:rsidRDefault="005F49C6" w:rsidP="00DA071D">
      <w:pPr>
        <w:tabs>
          <w:tab w:val="left" w:pos="851"/>
        </w:tabs>
        <w:spacing w:after="0" w:line="240" w:lineRule="auto"/>
        <w:ind w:firstLine="567"/>
        <w:jc w:val="both"/>
        <w:rPr>
          <w:rFonts w:ascii="Times New Roman" w:hAnsi="Times New Roman"/>
          <w:sz w:val="24"/>
          <w:szCs w:val="24"/>
        </w:rPr>
      </w:pPr>
    </w:p>
    <w:p w:rsidR="00307618" w:rsidRPr="001F6CE6" w:rsidRDefault="001F6CE6" w:rsidP="001F6CE6">
      <w:pPr>
        <w:spacing w:after="0" w:line="240" w:lineRule="auto"/>
        <w:jc w:val="center"/>
        <w:rPr>
          <w:rFonts w:ascii="Times New Roman" w:hAnsi="Times New Roman"/>
          <w:b/>
          <w:sz w:val="24"/>
          <w:szCs w:val="24"/>
        </w:rPr>
      </w:pPr>
      <w:r w:rsidRPr="001F6CE6">
        <w:rPr>
          <w:rFonts w:ascii="Times New Roman" w:hAnsi="Times New Roman"/>
          <w:b/>
          <w:sz w:val="24"/>
          <w:szCs w:val="24"/>
        </w:rPr>
        <w:t xml:space="preserve">3. </w:t>
      </w:r>
      <w:r w:rsidR="00E35131">
        <w:rPr>
          <w:rFonts w:ascii="Times New Roman" w:hAnsi="Times New Roman"/>
          <w:b/>
          <w:sz w:val="24"/>
          <w:szCs w:val="24"/>
        </w:rPr>
        <w:t>Atbalsta pasākumu p</w:t>
      </w:r>
      <w:r w:rsidRPr="001F6CE6">
        <w:rPr>
          <w:rFonts w:ascii="Times New Roman" w:hAnsi="Times New Roman"/>
          <w:b/>
          <w:sz w:val="24"/>
          <w:szCs w:val="24"/>
        </w:rPr>
        <w:t>olitikas</w:t>
      </w:r>
      <w:r w:rsidR="00E35131">
        <w:rPr>
          <w:rFonts w:ascii="Times New Roman" w:hAnsi="Times New Roman"/>
          <w:b/>
          <w:sz w:val="24"/>
          <w:szCs w:val="24"/>
        </w:rPr>
        <w:t xml:space="preserve"> reformām ieviešanai </w:t>
      </w:r>
      <w:r w:rsidRPr="001F6CE6">
        <w:rPr>
          <w:rFonts w:ascii="Times New Roman" w:hAnsi="Times New Roman"/>
          <w:b/>
          <w:sz w:val="24"/>
          <w:szCs w:val="24"/>
        </w:rPr>
        <w:t xml:space="preserve"> nepieciešamais valsts līdzfinansējums</w:t>
      </w:r>
    </w:p>
    <w:p w:rsidR="009965B3" w:rsidRDefault="009965B3" w:rsidP="00307618">
      <w:pPr>
        <w:spacing w:after="0" w:line="240" w:lineRule="auto"/>
        <w:jc w:val="both"/>
        <w:rPr>
          <w:rFonts w:ascii="Times New Roman" w:hAnsi="Times New Roman"/>
          <w:b/>
          <w:sz w:val="24"/>
          <w:szCs w:val="24"/>
        </w:rPr>
      </w:pPr>
    </w:p>
    <w:p w:rsidR="001F6CE6" w:rsidRPr="00660A3A" w:rsidRDefault="008E65EB" w:rsidP="007937E0">
      <w:pPr>
        <w:spacing w:after="0" w:line="240" w:lineRule="auto"/>
        <w:ind w:firstLine="720"/>
        <w:jc w:val="both"/>
        <w:rPr>
          <w:rFonts w:ascii="Times New Roman" w:hAnsi="Times New Roman"/>
          <w:sz w:val="24"/>
          <w:szCs w:val="24"/>
        </w:rPr>
      </w:pPr>
      <w:r>
        <w:rPr>
          <w:rFonts w:ascii="Times New Roman" w:hAnsi="Times New Roman"/>
          <w:sz w:val="24"/>
          <w:szCs w:val="24"/>
        </w:rPr>
        <w:t>22</w:t>
      </w:r>
      <w:r w:rsidR="001F6CE6" w:rsidRPr="001F6CE6">
        <w:rPr>
          <w:rFonts w:ascii="Times New Roman" w:hAnsi="Times New Roman"/>
          <w:sz w:val="24"/>
          <w:szCs w:val="24"/>
        </w:rPr>
        <w:t xml:space="preserve">. </w:t>
      </w:r>
      <w:r w:rsidR="007937E0">
        <w:rPr>
          <w:rFonts w:ascii="Times New Roman" w:hAnsi="Times New Roman"/>
          <w:sz w:val="24"/>
          <w:szCs w:val="24"/>
        </w:rPr>
        <w:t>Ņemot vērā regul</w:t>
      </w:r>
      <w:r w:rsidR="000604DD">
        <w:rPr>
          <w:rFonts w:ascii="Times New Roman" w:hAnsi="Times New Roman"/>
          <w:sz w:val="24"/>
          <w:szCs w:val="24"/>
        </w:rPr>
        <w:t>ā</w:t>
      </w:r>
      <w:r w:rsidR="007937E0">
        <w:rPr>
          <w:rFonts w:ascii="Times New Roman" w:hAnsi="Times New Roman"/>
          <w:sz w:val="24"/>
          <w:szCs w:val="24"/>
        </w:rPr>
        <w:t xml:space="preserve"> Nr.1288/2013 noteiktos </w:t>
      </w:r>
      <w:r w:rsidR="000604DD">
        <w:rPr>
          <w:rFonts w:ascii="Times New Roman" w:hAnsi="Times New Roman"/>
          <w:sz w:val="24"/>
          <w:szCs w:val="24"/>
        </w:rPr>
        <w:t xml:space="preserve">atbalsta pasākumus, t.sk. </w:t>
      </w:r>
      <w:r w:rsidR="00BC616B" w:rsidRPr="0024704B">
        <w:rPr>
          <w:rFonts w:ascii="Times New Roman" w:hAnsi="Times New Roman"/>
          <w:sz w:val="24"/>
          <w:szCs w:val="24"/>
        </w:rPr>
        <w:t>informācijas tehnoloģiju</w:t>
      </w:r>
      <w:r w:rsidR="000604DD">
        <w:rPr>
          <w:rFonts w:ascii="Times New Roman" w:hAnsi="Times New Roman"/>
          <w:sz w:val="24"/>
          <w:szCs w:val="24"/>
        </w:rPr>
        <w:t xml:space="preserve"> platformas dalībvalstu sadarbības veicināšanai, dalībvalstu </w:t>
      </w:r>
      <w:r w:rsidR="007937E0">
        <w:rPr>
          <w:rFonts w:ascii="Times New Roman" w:hAnsi="Times New Roman"/>
          <w:sz w:val="24"/>
          <w:szCs w:val="24"/>
        </w:rPr>
        <w:t>politikas reformām</w:t>
      </w:r>
      <w:r w:rsidR="000604DD">
        <w:rPr>
          <w:rFonts w:ascii="Times New Roman" w:hAnsi="Times New Roman"/>
          <w:sz w:val="24"/>
          <w:szCs w:val="24"/>
        </w:rPr>
        <w:t xml:space="preserve"> izglītības, zinātnes un sporta jomā</w:t>
      </w:r>
      <w:r w:rsidR="007937E0">
        <w:rPr>
          <w:rFonts w:ascii="Times New Roman" w:hAnsi="Times New Roman"/>
          <w:sz w:val="24"/>
          <w:szCs w:val="24"/>
        </w:rPr>
        <w:t xml:space="preserve">, </w:t>
      </w:r>
      <w:r w:rsidR="000604DD">
        <w:rPr>
          <w:rFonts w:ascii="Times New Roman" w:hAnsi="Times New Roman"/>
          <w:sz w:val="24"/>
          <w:szCs w:val="24"/>
        </w:rPr>
        <w:t>un</w:t>
      </w:r>
      <w:r w:rsidR="007937E0">
        <w:rPr>
          <w:rFonts w:ascii="Times New Roman" w:hAnsi="Times New Roman"/>
          <w:sz w:val="24"/>
          <w:szCs w:val="24"/>
        </w:rPr>
        <w:t xml:space="preserve"> ievērojot 2014.gada darba programmā noteikto Eiropas Komisijas </w:t>
      </w:r>
      <w:r w:rsidR="007937E0" w:rsidRPr="00E86236">
        <w:rPr>
          <w:rFonts w:ascii="Times New Roman" w:hAnsi="Times New Roman"/>
          <w:sz w:val="24"/>
          <w:szCs w:val="24"/>
        </w:rPr>
        <w:t xml:space="preserve">granta apmēru minēto pasākumu īstenošanai un noteikto maksimālo </w:t>
      </w:r>
      <w:r w:rsidR="000604DD" w:rsidRPr="00E86236">
        <w:rPr>
          <w:rFonts w:ascii="Times New Roman" w:hAnsi="Times New Roman"/>
          <w:sz w:val="24"/>
          <w:szCs w:val="24"/>
        </w:rPr>
        <w:t xml:space="preserve">ES budžeta finansējuma </w:t>
      </w:r>
      <w:r w:rsidR="00F86BC7" w:rsidRPr="00E86236">
        <w:rPr>
          <w:rFonts w:ascii="Times New Roman" w:hAnsi="Times New Roman"/>
          <w:sz w:val="24"/>
          <w:szCs w:val="24"/>
        </w:rPr>
        <w:t>likmi</w:t>
      </w:r>
      <w:r w:rsidR="007937E0" w:rsidRPr="00E86236">
        <w:rPr>
          <w:rFonts w:ascii="Times New Roman" w:hAnsi="Times New Roman"/>
          <w:sz w:val="24"/>
          <w:szCs w:val="24"/>
        </w:rPr>
        <w:t xml:space="preserve"> </w:t>
      </w:r>
      <w:r w:rsidR="007937E0" w:rsidRPr="00660A3A">
        <w:rPr>
          <w:rFonts w:ascii="Times New Roman" w:hAnsi="Times New Roman"/>
          <w:sz w:val="24"/>
          <w:szCs w:val="24"/>
        </w:rPr>
        <w:t>šo pasākumu īstenošanai</w:t>
      </w:r>
      <w:r w:rsidR="008C16D5" w:rsidRPr="00660A3A">
        <w:rPr>
          <w:rFonts w:ascii="Times New Roman" w:hAnsi="Times New Roman"/>
          <w:sz w:val="24"/>
          <w:szCs w:val="24"/>
        </w:rPr>
        <w:t xml:space="preserve"> (atsauce uz Komisijas 2014.gada darba programm</w:t>
      </w:r>
      <w:r w:rsidR="00721682" w:rsidRPr="00660A3A">
        <w:rPr>
          <w:rFonts w:ascii="Times New Roman" w:hAnsi="Times New Roman"/>
          <w:sz w:val="24"/>
          <w:szCs w:val="24"/>
        </w:rPr>
        <w:t>as sadaļām, kurās</w:t>
      </w:r>
      <w:r w:rsidR="008C16D5" w:rsidRPr="00660A3A">
        <w:rPr>
          <w:rFonts w:ascii="Times New Roman" w:hAnsi="Times New Roman"/>
          <w:sz w:val="24"/>
          <w:szCs w:val="24"/>
        </w:rPr>
        <w:t xml:space="preserve"> noteikt</w:t>
      </w:r>
      <w:r w:rsidR="00721682" w:rsidRPr="00660A3A">
        <w:rPr>
          <w:rFonts w:ascii="Times New Roman" w:hAnsi="Times New Roman"/>
          <w:sz w:val="24"/>
          <w:szCs w:val="24"/>
        </w:rPr>
        <w:t>s</w:t>
      </w:r>
      <w:r w:rsidR="008C16D5" w:rsidRPr="00660A3A">
        <w:rPr>
          <w:rFonts w:ascii="Times New Roman" w:hAnsi="Times New Roman"/>
          <w:sz w:val="24"/>
          <w:szCs w:val="24"/>
        </w:rPr>
        <w:t xml:space="preserve"> pieejamā finansējuma apmēr</w:t>
      </w:r>
      <w:r w:rsidR="00721682" w:rsidRPr="00660A3A">
        <w:rPr>
          <w:rFonts w:ascii="Times New Roman" w:hAnsi="Times New Roman"/>
          <w:sz w:val="24"/>
          <w:szCs w:val="24"/>
        </w:rPr>
        <w:t>s</w:t>
      </w:r>
      <w:r w:rsidR="008C16D5" w:rsidRPr="00660A3A">
        <w:rPr>
          <w:rFonts w:ascii="Times New Roman" w:hAnsi="Times New Roman"/>
          <w:sz w:val="24"/>
          <w:szCs w:val="24"/>
        </w:rPr>
        <w:t xml:space="preserve"> un likm</w:t>
      </w:r>
      <w:r w:rsidR="00721682" w:rsidRPr="00660A3A">
        <w:rPr>
          <w:rFonts w:ascii="Times New Roman" w:hAnsi="Times New Roman"/>
          <w:sz w:val="24"/>
          <w:szCs w:val="24"/>
        </w:rPr>
        <w:t>e,</w:t>
      </w:r>
      <w:r w:rsidR="008C16D5" w:rsidRPr="00660A3A">
        <w:rPr>
          <w:rFonts w:ascii="Times New Roman" w:hAnsi="Times New Roman"/>
          <w:sz w:val="24"/>
          <w:szCs w:val="24"/>
        </w:rPr>
        <w:t xml:space="preserve"> norādīta informatīvā ziņojuma 1.tabulas </w:t>
      </w:r>
      <w:r w:rsidR="00497903" w:rsidRPr="00660A3A">
        <w:rPr>
          <w:rFonts w:ascii="Times New Roman" w:hAnsi="Times New Roman"/>
          <w:sz w:val="24"/>
          <w:szCs w:val="24"/>
        </w:rPr>
        <w:t>7</w:t>
      </w:r>
      <w:r w:rsidR="008C16D5" w:rsidRPr="00660A3A">
        <w:rPr>
          <w:rFonts w:ascii="Times New Roman" w:hAnsi="Times New Roman"/>
          <w:sz w:val="24"/>
          <w:szCs w:val="24"/>
        </w:rPr>
        <w:t>.kolonnā)</w:t>
      </w:r>
      <w:r w:rsidR="00C67E5C" w:rsidRPr="00660A3A">
        <w:rPr>
          <w:rFonts w:ascii="Times New Roman" w:hAnsi="Times New Roman"/>
          <w:sz w:val="24"/>
          <w:szCs w:val="24"/>
        </w:rPr>
        <w:t>,</w:t>
      </w:r>
      <w:r w:rsidR="007937E0" w:rsidRPr="00660A3A">
        <w:rPr>
          <w:rFonts w:ascii="Times New Roman" w:hAnsi="Times New Roman"/>
          <w:sz w:val="24"/>
          <w:szCs w:val="24"/>
        </w:rPr>
        <w:t xml:space="preserve"> nepieciešams nodrošināt Latvijas valsts </w:t>
      </w:r>
      <w:r w:rsidR="007937E0" w:rsidRPr="00646B59">
        <w:rPr>
          <w:rFonts w:ascii="Times New Roman" w:hAnsi="Times New Roman"/>
          <w:sz w:val="24"/>
          <w:szCs w:val="24"/>
        </w:rPr>
        <w:t xml:space="preserve">līdzfinansējumu </w:t>
      </w:r>
      <w:r w:rsidR="00AD604D" w:rsidRPr="00646B59">
        <w:rPr>
          <w:rFonts w:ascii="Times New Roman" w:eastAsia="Calibri" w:hAnsi="Times New Roman"/>
          <w:sz w:val="24"/>
          <w:szCs w:val="20"/>
          <w:lang w:eastAsia="lv-LV"/>
        </w:rPr>
        <w:t>209 248</w:t>
      </w:r>
      <w:r w:rsidR="00497903" w:rsidRPr="00646B59">
        <w:rPr>
          <w:rFonts w:ascii="Times New Roman" w:eastAsia="Calibri" w:hAnsi="Times New Roman"/>
          <w:sz w:val="24"/>
          <w:szCs w:val="20"/>
          <w:lang w:eastAsia="lv-LV"/>
        </w:rPr>
        <w:t xml:space="preserve"> </w:t>
      </w:r>
      <w:r w:rsidR="00FD77B8" w:rsidRPr="00646B59">
        <w:rPr>
          <w:rFonts w:ascii="Times New Roman" w:hAnsi="Times New Roman"/>
          <w:sz w:val="24"/>
          <w:szCs w:val="24"/>
        </w:rPr>
        <w:t>EUR</w:t>
      </w:r>
      <w:r w:rsidR="007937E0" w:rsidRPr="00660A3A">
        <w:rPr>
          <w:rFonts w:ascii="Times New Roman" w:hAnsi="Times New Roman"/>
          <w:sz w:val="24"/>
          <w:szCs w:val="24"/>
        </w:rPr>
        <w:t xml:space="preserve"> apmērā 2014.gadā un turpmākajos programmas </w:t>
      </w:r>
      <w:r w:rsidR="007937E0" w:rsidRPr="00660A3A">
        <w:rPr>
          <w:rFonts w:ascii="Times New Roman" w:hAnsi="Times New Roman"/>
          <w:i/>
          <w:sz w:val="24"/>
          <w:szCs w:val="24"/>
        </w:rPr>
        <w:t>Erasmus+</w:t>
      </w:r>
      <w:r w:rsidR="007937E0" w:rsidRPr="00660A3A">
        <w:rPr>
          <w:rFonts w:ascii="Times New Roman" w:hAnsi="Times New Roman"/>
          <w:sz w:val="24"/>
          <w:szCs w:val="24"/>
        </w:rPr>
        <w:t xml:space="preserve"> īstenošanas gados. </w:t>
      </w:r>
      <w:r w:rsidR="00E35131" w:rsidRPr="00660A3A">
        <w:rPr>
          <w:rFonts w:ascii="Times New Roman" w:hAnsi="Times New Roman"/>
          <w:sz w:val="24"/>
          <w:szCs w:val="24"/>
        </w:rPr>
        <w:t>ES f</w:t>
      </w:r>
      <w:r w:rsidR="007937E0" w:rsidRPr="00660A3A">
        <w:rPr>
          <w:rFonts w:ascii="Times New Roman" w:hAnsi="Times New Roman"/>
          <w:sz w:val="24"/>
          <w:szCs w:val="24"/>
        </w:rPr>
        <w:t>inansējuma</w:t>
      </w:r>
      <w:r w:rsidR="00E35131" w:rsidRPr="00660A3A">
        <w:rPr>
          <w:rFonts w:ascii="Times New Roman" w:hAnsi="Times New Roman"/>
          <w:sz w:val="24"/>
          <w:szCs w:val="24"/>
        </w:rPr>
        <w:t xml:space="preserve"> un valsts līdzfinansējuma</w:t>
      </w:r>
      <w:r w:rsidR="007937E0" w:rsidRPr="00660A3A">
        <w:rPr>
          <w:rFonts w:ascii="Times New Roman" w:hAnsi="Times New Roman"/>
          <w:sz w:val="24"/>
          <w:szCs w:val="24"/>
        </w:rPr>
        <w:t xml:space="preserve"> atšifrējums sadalījumā pa atbalsta pasākumiem norādīts </w:t>
      </w:r>
      <w:r w:rsidR="00497903" w:rsidRPr="00660A3A">
        <w:rPr>
          <w:rFonts w:ascii="Times New Roman" w:hAnsi="Times New Roman"/>
          <w:sz w:val="24"/>
          <w:szCs w:val="24"/>
        </w:rPr>
        <w:t>3</w:t>
      </w:r>
      <w:r w:rsidR="007937E0" w:rsidRPr="00660A3A">
        <w:rPr>
          <w:rFonts w:ascii="Times New Roman" w:hAnsi="Times New Roman"/>
          <w:sz w:val="24"/>
          <w:szCs w:val="24"/>
        </w:rPr>
        <w:t xml:space="preserve">.tabulā. </w:t>
      </w:r>
    </w:p>
    <w:p w:rsidR="007937E0" w:rsidRDefault="00B0595F" w:rsidP="007937E0">
      <w:pPr>
        <w:spacing w:after="120" w:line="240" w:lineRule="auto"/>
        <w:jc w:val="right"/>
        <w:rPr>
          <w:rFonts w:ascii="Times New Roman" w:hAnsi="Times New Roman"/>
          <w:sz w:val="24"/>
          <w:szCs w:val="24"/>
        </w:rPr>
      </w:pPr>
      <w:r>
        <w:rPr>
          <w:rFonts w:ascii="Times New Roman" w:hAnsi="Times New Roman"/>
          <w:sz w:val="24"/>
          <w:szCs w:val="24"/>
        </w:rPr>
        <w:t>3</w:t>
      </w:r>
      <w:r w:rsidR="007937E0">
        <w:rPr>
          <w:rFonts w:ascii="Times New Roman" w:hAnsi="Times New Roman"/>
          <w:sz w:val="24"/>
          <w:szCs w:val="24"/>
        </w:rPr>
        <w:t>.tabula</w:t>
      </w:r>
    </w:p>
    <w:p w:rsidR="007937E0" w:rsidRDefault="007937E0" w:rsidP="007937E0">
      <w:pPr>
        <w:spacing w:after="120" w:line="240" w:lineRule="auto"/>
        <w:jc w:val="center"/>
        <w:rPr>
          <w:rFonts w:ascii="Times New Roman" w:hAnsi="Times New Roman"/>
          <w:sz w:val="24"/>
          <w:szCs w:val="24"/>
        </w:rPr>
      </w:pPr>
      <w:r>
        <w:rPr>
          <w:rFonts w:ascii="Times New Roman" w:hAnsi="Times New Roman"/>
          <w:sz w:val="24"/>
          <w:szCs w:val="24"/>
        </w:rPr>
        <w:t xml:space="preserve">Informācija par </w:t>
      </w:r>
      <w:r w:rsidR="00E35131">
        <w:rPr>
          <w:rFonts w:ascii="Times New Roman" w:hAnsi="Times New Roman"/>
          <w:sz w:val="24"/>
          <w:szCs w:val="24"/>
        </w:rPr>
        <w:t xml:space="preserve">ES finansējumu un </w:t>
      </w:r>
      <w:r>
        <w:rPr>
          <w:rFonts w:ascii="Times New Roman" w:hAnsi="Times New Roman"/>
          <w:sz w:val="24"/>
          <w:szCs w:val="24"/>
        </w:rPr>
        <w:t>nepieciešamo valsts līdzfinansējumu sadalījumā pa atbalsta pasākum</w:t>
      </w:r>
      <w:r w:rsidR="000604DD">
        <w:rPr>
          <w:rFonts w:ascii="Times New Roman" w:hAnsi="Times New Roman"/>
          <w:sz w:val="24"/>
          <w:szCs w:val="24"/>
        </w:rPr>
        <w:t>iem</w:t>
      </w:r>
      <w:r>
        <w:rPr>
          <w:rFonts w:ascii="Times New Roman" w:hAnsi="Times New Roman"/>
          <w:sz w:val="24"/>
          <w:szCs w:val="24"/>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1559"/>
        <w:gridCol w:w="1417"/>
        <w:gridCol w:w="1560"/>
        <w:gridCol w:w="1417"/>
        <w:gridCol w:w="1559"/>
      </w:tblGrid>
      <w:tr w:rsidR="00C530E4" w:rsidRPr="0033621A" w:rsidTr="00B0595F">
        <w:trPr>
          <w:trHeight w:val="1341"/>
          <w:tblHeader/>
        </w:trPr>
        <w:tc>
          <w:tcPr>
            <w:tcW w:w="534" w:type="dxa"/>
          </w:tcPr>
          <w:p w:rsidR="00BD3725" w:rsidRPr="00BD3725" w:rsidRDefault="00BD3725" w:rsidP="0033621A">
            <w:pPr>
              <w:spacing w:after="0" w:line="240" w:lineRule="auto"/>
              <w:jc w:val="both"/>
              <w:rPr>
                <w:rFonts w:ascii="Times New Roman" w:eastAsia="Calibri" w:hAnsi="Times New Roman"/>
                <w:sz w:val="20"/>
                <w:szCs w:val="20"/>
                <w:lang w:eastAsia="lv-LV"/>
              </w:rPr>
            </w:pPr>
            <w:r w:rsidRPr="00BD3725">
              <w:rPr>
                <w:rFonts w:ascii="Times New Roman" w:eastAsia="Calibri" w:hAnsi="Times New Roman"/>
                <w:sz w:val="20"/>
                <w:szCs w:val="20"/>
                <w:lang w:eastAsia="lv-LV"/>
              </w:rPr>
              <w:t>|Nr.</w:t>
            </w:r>
          </w:p>
          <w:p w:rsidR="00BD3725" w:rsidRPr="00BD3725" w:rsidRDefault="00BD3725" w:rsidP="0033621A">
            <w:pPr>
              <w:spacing w:after="0" w:line="240" w:lineRule="auto"/>
              <w:jc w:val="both"/>
              <w:rPr>
                <w:rFonts w:ascii="Times New Roman" w:eastAsia="Calibri" w:hAnsi="Times New Roman"/>
                <w:sz w:val="20"/>
                <w:szCs w:val="20"/>
                <w:lang w:eastAsia="lv-LV"/>
              </w:rPr>
            </w:pPr>
            <w:r w:rsidRPr="00BD3725">
              <w:rPr>
                <w:rFonts w:ascii="Times New Roman" w:eastAsia="Calibri" w:hAnsi="Times New Roman"/>
                <w:sz w:val="20"/>
                <w:szCs w:val="20"/>
                <w:lang w:eastAsia="lv-LV"/>
              </w:rPr>
              <w:t>p.k.</w:t>
            </w:r>
          </w:p>
        </w:tc>
        <w:tc>
          <w:tcPr>
            <w:tcW w:w="1701" w:type="dxa"/>
            <w:shd w:val="clear" w:color="auto" w:fill="auto"/>
          </w:tcPr>
          <w:p w:rsidR="00BD3725" w:rsidRPr="0033621A" w:rsidRDefault="00BD3725" w:rsidP="0033621A">
            <w:pPr>
              <w:spacing w:after="0" w:line="240" w:lineRule="auto"/>
              <w:jc w:val="both"/>
              <w:rPr>
                <w:rFonts w:ascii="Times New Roman" w:eastAsia="Calibri" w:hAnsi="Times New Roman"/>
                <w:sz w:val="20"/>
                <w:szCs w:val="20"/>
                <w:lang w:eastAsia="lv-LV"/>
              </w:rPr>
            </w:pPr>
            <w:r w:rsidRPr="0033621A">
              <w:rPr>
                <w:rFonts w:ascii="Times New Roman" w:eastAsia="Calibri" w:hAnsi="Times New Roman"/>
                <w:sz w:val="20"/>
                <w:szCs w:val="20"/>
                <w:lang w:eastAsia="lv-LV"/>
              </w:rPr>
              <w:t>Atbalsta pasākuma nosaukums</w:t>
            </w:r>
          </w:p>
        </w:tc>
        <w:tc>
          <w:tcPr>
            <w:tcW w:w="1559" w:type="dxa"/>
            <w:shd w:val="clear" w:color="auto" w:fill="auto"/>
          </w:tcPr>
          <w:p w:rsidR="00BD3725" w:rsidRPr="0033621A" w:rsidRDefault="00040A39" w:rsidP="00040A39">
            <w:pPr>
              <w:spacing w:after="0" w:line="240" w:lineRule="auto"/>
              <w:jc w:val="both"/>
              <w:rPr>
                <w:rFonts w:ascii="Times New Roman" w:eastAsia="Calibri" w:hAnsi="Times New Roman"/>
                <w:sz w:val="20"/>
                <w:szCs w:val="20"/>
                <w:lang w:eastAsia="lv-LV"/>
              </w:rPr>
            </w:pPr>
            <w:r>
              <w:rPr>
                <w:rFonts w:ascii="Times New Roman" w:eastAsia="Calibri" w:hAnsi="Times New Roman"/>
                <w:sz w:val="20"/>
                <w:szCs w:val="20"/>
                <w:lang w:eastAsia="lv-LV"/>
              </w:rPr>
              <w:t xml:space="preserve">2014.gada darba programmā noteiktais </w:t>
            </w:r>
            <w:r w:rsidR="00BD3725" w:rsidRPr="0033621A">
              <w:rPr>
                <w:rFonts w:ascii="Times New Roman" w:eastAsia="Calibri" w:hAnsi="Times New Roman"/>
                <w:sz w:val="20"/>
                <w:szCs w:val="20"/>
                <w:lang w:eastAsia="lv-LV"/>
              </w:rPr>
              <w:t>Komisijas grants, EUR</w:t>
            </w:r>
          </w:p>
        </w:tc>
        <w:tc>
          <w:tcPr>
            <w:tcW w:w="1417" w:type="dxa"/>
            <w:shd w:val="clear" w:color="auto" w:fill="auto"/>
          </w:tcPr>
          <w:p w:rsidR="00BD3725" w:rsidRPr="0033621A" w:rsidRDefault="00BD3725" w:rsidP="00040A39">
            <w:pPr>
              <w:spacing w:after="0" w:line="240" w:lineRule="auto"/>
              <w:jc w:val="both"/>
              <w:rPr>
                <w:rFonts w:ascii="Times New Roman" w:eastAsia="Calibri" w:hAnsi="Times New Roman"/>
                <w:sz w:val="20"/>
                <w:szCs w:val="20"/>
                <w:lang w:eastAsia="lv-LV"/>
              </w:rPr>
            </w:pPr>
            <w:r w:rsidRPr="0033621A">
              <w:rPr>
                <w:rFonts w:ascii="Times New Roman" w:eastAsia="Calibri" w:hAnsi="Times New Roman"/>
                <w:sz w:val="20"/>
                <w:szCs w:val="20"/>
                <w:lang w:eastAsia="lv-LV"/>
              </w:rPr>
              <w:t>2014.gada darba programmā noteiktā maksimālā Komisijas likme</w:t>
            </w:r>
          </w:p>
        </w:tc>
        <w:tc>
          <w:tcPr>
            <w:tcW w:w="1560" w:type="dxa"/>
            <w:shd w:val="clear" w:color="auto" w:fill="auto"/>
          </w:tcPr>
          <w:p w:rsidR="00BD3725" w:rsidRPr="0033621A" w:rsidRDefault="00BD3725" w:rsidP="0033621A">
            <w:pPr>
              <w:spacing w:after="0" w:line="240" w:lineRule="auto"/>
              <w:jc w:val="both"/>
              <w:rPr>
                <w:rFonts w:ascii="Times New Roman" w:eastAsia="Calibri" w:hAnsi="Times New Roman"/>
                <w:sz w:val="20"/>
                <w:szCs w:val="20"/>
                <w:lang w:eastAsia="lv-LV"/>
              </w:rPr>
            </w:pPr>
            <w:r w:rsidRPr="0033621A">
              <w:rPr>
                <w:rFonts w:ascii="Times New Roman" w:eastAsia="Calibri" w:hAnsi="Times New Roman"/>
                <w:sz w:val="20"/>
                <w:szCs w:val="20"/>
                <w:lang w:eastAsia="lv-LV"/>
              </w:rPr>
              <w:t>Nepieciešamais Latvijas valsts līdzfinansējuma apmērs gadā, EUR</w:t>
            </w:r>
          </w:p>
        </w:tc>
        <w:tc>
          <w:tcPr>
            <w:tcW w:w="1417" w:type="dxa"/>
            <w:shd w:val="clear" w:color="auto" w:fill="auto"/>
          </w:tcPr>
          <w:p w:rsidR="00BD3725" w:rsidRPr="0033621A" w:rsidRDefault="00BD3725" w:rsidP="0033621A">
            <w:pPr>
              <w:spacing w:after="0" w:line="240" w:lineRule="auto"/>
              <w:jc w:val="both"/>
              <w:rPr>
                <w:rFonts w:ascii="Times New Roman" w:eastAsia="Calibri" w:hAnsi="Times New Roman"/>
                <w:sz w:val="20"/>
                <w:szCs w:val="20"/>
                <w:lang w:eastAsia="lv-LV"/>
              </w:rPr>
            </w:pPr>
            <w:r w:rsidRPr="0033621A">
              <w:rPr>
                <w:rFonts w:ascii="Times New Roman" w:eastAsia="Calibri" w:hAnsi="Times New Roman"/>
                <w:sz w:val="20"/>
                <w:szCs w:val="20"/>
                <w:lang w:eastAsia="lv-LV"/>
              </w:rPr>
              <w:t>Atbildīgā valsts aģentūra, budžeta apakš</w:t>
            </w:r>
            <w:r w:rsidR="00B0595F">
              <w:rPr>
                <w:rFonts w:ascii="Times New Roman" w:eastAsia="Calibri" w:hAnsi="Times New Roman"/>
                <w:sz w:val="20"/>
                <w:szCs w:val="20"/>
                <w:lang w:eastAsia="lv-LV"/>
              </w:rPr>
              <w:t>-</w:t>
            </w:r>
            <w:r w:rsidRPr="0033621A">
              <w:rPr>
                <w:rFonts w:ascii="Times New Roman" w:eastAsia="Calibri" w:hAnsi="Times New Roman"/>
                <w:sz w:val="20"/>
                <w:szCs w:val="20"/>
                <w:lang w:eastAsia="lv-LV"/>
              </w:rPr>
              <w:t>programma</w:t>
            </w:r>
          </w:p>
        </w:tc>
        <w:tc>
          <w:tcPr>
            <w:tcW w:w="1559" w:type="dxa"/>
            <w:shd w:val="clear" w:color="auto" w:fill="auto"/>
          </w:tcPr>
          <w:p w:rsidR="00BD3725" w:rsidRPr="0033621A" w:rsidRDefault="00BD3725" w:rsidP="0033621A">
            <w:pPr>
              <w:spacing w:after="0" w:line="240" w:lineRule="auto"/>
              <w:jc w:val="both"/>
              <w:rPr>
                <w:rFonts w:ascii="Times New Roman" w:eastAsia="Calibri" w:hAnsi="Times New Roman"/>
                <w:sz w:val="20"/>
                <w:szCs w:val="20"/>
                <w:lang w:eastAsia="lv-LV"/>
              </w:rPr>
            </w:pPr>
            <w:r w:rsidRPr="00E86236">
              <w:rPr>
                <w:rFonts w:ascii="Times New Roman" w:eastAsia="Calibri" w:hAnsi="Times New Roman"/>
                <w:sz w:val="20"/>
                <w:szCs w:val="20"/>
                <w:lang w:eastAsia="lv-LV"/>
              </w:rPr>
              <w:t xml:space="preserve">Komisijas </w:t>
            </w:r>
            <w:r w:rsidRPr="0033621A">
              <w:rPr>
                <w:rFonts w:ascii="Times New Roman" w:eastAsia="Calibri" w:hAnsi="Times New Roman"/>
                <w:sz w:val="20"/>
                <w:szCs w:val="20"/>
                <w:lang w:eastAsia="lv-LV"/>
              </w:rPr>
              <w:t>2014.gada darba programma</w:t>
            </w:r>
          </w:p>
        </w:tc>
      </w:tr>
      <w:tr w:rsidR="00C530E4" w:rsidRPr="00BD3725" w:rsidTr="00B0595F">
        <w:trPr>
          <w:trHeight w:val="237"/>
        </w:trPr>
        <w:tc>
          <w:tcPr>
            <w:tcW w:w="534" w:type="dxa"/>
          </w:tcPr>
          <w:p w:rsidR="00090DEA" w:rsidRDefault="001E351F">
            <w:pPr>
              <w:spacing w:after="0" w:line="240" w:lineRule="auto"/>
              <w:jc w:val="center"/>
              <w:rPr>
                <w:rFonts w:ascii="Times New Roman" w:eastAsia="Calibri" w:hAnsi="Times New Roman"/>
                <w:i/>
                <w:sz w:val="20"/>
                <w:szCs w:val="20"/>
                <w:lang w:eastAsia="lv-LV"/>
              </w:rPr>
            </w:pPr>
            <w:r w:rsidRPr="001E351F">
              <w:rPr>
                <w:rFonts w:ascii="Times New Roman" w:eastAsia="Calibri" w:hAnsi="Times New Roman"/>
                <w:i/>
                <w:sz w:val="20"/>
                <w:szCs w:val="20"/>
                <w:lang w:eastAsia="lv-LV"/>
              </w:rPr>
              <w:t>1</w:t>
            </w:r>
          </w:p>
        </w:tc>
        <w:tc>
          <w:tcPr>
            <w:tcW w:w="1701" w:type="dxa"/>
            <w:shd w:val="clear" w:color="auto" w:fill="auto"/>
          </w:tcPr>
          <w:p w:rsidR="00090DEA" w:rsidRDefault="00BD3725">
            <w:pPr>
              <w:spacing w:after="0" w:line="240" w:lineRule="auto"/>
              <w:jc w:val="center"/>
              <w:rPr>
                <w:rFonts w:ascii="Times New Roman" w:eastAsia="Calibri" w:hAnsi="Times New Roman"/>
                <w:i/>
                <w:sz w:val="20"/>
                <w:szCs w:val="20"/>
                <w:lang w:eastAsia="lv-LV"/>
              </w:rPr>
            </w:pPr>
            <w:r w:rsidRPr="00BD3725">
              <w:rPr>
                <w:rFonts w:ascii="Times New Roman" w:eastAsia="Calibri" w:hAnsi="Times New Roman"/>
                <w:i/>
                <w:sz w:val="20"/>
                <w:szCs w:val="20"/>
                <w:lang w:eastAsia="lv-LV"/>
              </w:rPr>
              <w:t>2</w:t>
            </w:r>
          </w:p>
        </w:tc>
        <w:tc>
          <w:tcPr>
            <w:tcW w:w="1559" w:type="dxa"/>
            <w:shd w:val="clear" w:color="auto" w:fill="auto"/>
          </w:tcPr>
          <w:p w:rsidR="00090DEA" w:rsidRDefault="001E351F">
            <w:pPr>
              <w:spacing w:after="0" w:line="240" w:lineRule="auto"/>
              <w:jc w:val="center"/>
              <w:rPr>
                <w:rFonts w:ascii="Times New Roman" w:eastAsia="Calibri" w:hAnsi="Times New Roman"/>
                <w:i/>
                <w:sz w:val="20"/>
                <w:szCs w:val="20"/>
                <w:lang w:eastAsia="lv-LV"/>
              </w:rPr>
            </w:pPr>
            <w:r w:rsidRPr="001E351F">
              <w:rPr>
                <w:rFonts w:ascii="Times New Roman" w:eastAsia="Calibri" w:hAnsi="Times New Roman"/>
                <w:i/>
                <w:sz w:val="20"/>
                <w:szCs w:val="20"/>
                <w:lang w:eastAsia="lv-LV"/>
              </w:rPr>
              <w:t>3</w:t>
            </w:r>
          </w:p>
        </w:tc>
        <w:tc>
          <w:tcPr>
            <w:tcW w:w="1417" w:type="dxa"/>
            <w:shd w:val="clear" w:color="auto" w:fill="auto"/>
          </w:tcPr>
          <w:p w:rsidR="00090DEA" w:rsidRDefault="001E351F">
            <w:pPr>
              <w:spacing w:after="0" w:line="240" w:lineRule="auto"/>
              <w:jc w:val="center"/>
              <w:rPr>
                <w:rFonts w:ascii="Times New Roman" w:eastAsia="Calibri" w:hAnsi="Times New Roman"/>
                <w:i/>
                <w:sz w:val="20"/>
                <w:szCs w:val="20"/>
                <w:lang w:eastAsia="lv-LV"/>
              </w:rPr>
            </w:pPr>
            <w:r w:rsidRPr="001E351F">
              <w:rPr>
                <w:rFonts w:ascii="Times New Roman" w:eastAsia="Calibri" w:hAnsi="Times New Roman"/>
                <w:i/>
                <w:sz w:val="20"/>
                <w:szCs w:val="20"/>
                <w:lang w:eastAsia="lv-LV"/>
              </w:rPr>
              <w:t>4</w:t>
            </w:r>
          </w:p>
        </w:tc>
        <w:tc>
          <w:tcPr>
            <w:tcW w:w="1560" w:type="dxa"/>
            <w:shd w:val="clear" w:color="auto" w:fill="auto"/>
          </w:tcPr>
          <w:p w:rsidR="00090DEA" w:rsidRDefault="001E351F">
            <w:pPr>
              <w:spacing w:after="0" w:line="240" w:lineRule="auto"/>
              <w:jc w:val="center"/>
              <w:rPr>
                <w:rFonts w:ascii="Times New Roman" w:eastAsia="Calibri" w:hAnsi="Times New Roman"/>
                <w:i/>
                <w:sz w:val="20"/>
                <w:szCs w:val="20"/>
                <w:lang w:eastAsia="lv-LV"/>
              </w:rPr>
            </w:pPr>
            <w:r w:rsidRPr="001E351F">
              <w:rPr>
                <w:rFonts w:ascii="Times New Roman" w:eastAsia="Calibri" w:hAnsi="Times New Roman"/>
                <w:i/>
                <w:sz w:val="20"/>
                <w:szCs w:val="20"/>
                <w:lang w:eastAsia="lv-LV"/>
              </w:rPr>
              <w:t>5</w:t>
            </w:r>
          </w:p>
        </w:tc>
        <w:tc>
          <w:tcPr>
            <w:tcW w:w="1417" w:type="dxa"/>
            <w:shd w:val="clear" w:color="auto" w:fill="auto"/>
          </w:tcPr>
          <w:p w:rsidR="00090DEA" w:rsidRDefault="001E351F">
            <w:pPr>
              <w:spacing w:after="0" w:line="240" w:lineRule="auto"/>
              <w:jc w:val="center"/>
              <w:rPr>
                <w:rFonts w:ascii="Times New Roman" w:eastAsia="Calibri" w:hAnsi="Times New Roman"/>
                <w:i/>
                <w:sz w:val="20"/>
                <w:szCs w:val="20"/>
                <w:lang w:eastAsia="lv-LV"/>
              </w:rPr>
            </w:pPr>
            <w:r w:rsidRPr="001E351F">
              <w:rPr>
                <w:rFonts w:ascii="Times New Roman" w:eastAsia="Calibri" w:hAnsi="Times New Roman"/>
                <w:i/>
                <w:sz w:val="20"/>
                <w:szCs w:val="20"/>
                <w:lang w:eastAsia="lv-LV"/>
              </w:rPr>
              <w:t>6</w:t>
            </w:r>
          </w:p>
        </w:tc>
        <w:tc>
          <w:tcPr>
            <w:tcW w:w="1559" w:type="dxa"/>
            <w:shd w:val="clear" w:color="auto" w:fill="auto"/>
          </w:tcPr>
          <w:p w:rsidR="00090DEA" w:rsidRDefault="001E351F">
            <w:pPr>
              <w:spacing w:after="0" w:line="240" w:lineRule="auto"/>
              <w:jc w:val="center"/>
              <w:rPr>
                <w:rFonts w:ascii="Times New Roman" w:eastAsia="Calibri" w:hAnsi="Times New Roman"/>
                <w:i/>
                <w:sz w:val="20"/>
                <w:szCs w:val="20"/>
                <w:lang w:eastAsia="lv-LV"/>
              </w:rPr>
            </w:pPr>
            <w:r w:rsidRPr="001E351F">
              <w:rPr>
                <w:rFonts w:ascii="Times New Roman" w:eastAsia="Calibri" w:hAnsi="Times New Roman"/>
                <w:i/>
                <w:sz w:val="20"/>
                <w:szCs w:val="20"/>
                <w:lang w:eastAsia="lv-LV"/>
              </w:rPr>
              <w:t>7</w:t>
            </w:r>
          </w:p>
        </w:tc>
      </w:tr>
      <w:tr w:rsidR="00C530E4" w:rsidRPr="0033621A" w:rsidTr="00B0595F">
        <w:trPr>
          <w:trHeight w:val="237"/>
        </w:trPr>
        <w:tc>
          <w:tcPr>
            <w:tcW w:w="534" w:type="dxa"/>
            <w:vAlign w:val="center"/>
          </w:tcPr>
          <w:p w:rsidR="00BD3725" w:rsidRPr="00BD3725" w:rsidRDefault="00BD3725" w:rsidP="00C530E4">
            <w:pPr>
              <w:spacing w:after="0" w:line="240" w:lineRule="auto"/>
              <w:rPr>
                <w:rFonts w:ascii="Times New Roman" w:eastAsia="Calibri" w:hAnsi="Times New Roman"/>
                <w:sz w:val="20"/>
                <w:szCs w:val="20"/>
                <w:lang w:eastAsia="lv-LV"/>
              </w:rPr>
            </w:pPr>
            <w:r w:rsidRPr="00BD3725">
              <w:rPr>
                <w:rFonts w:ascii="Times New Roman" w:eastAsia="Calibri" w:hAnsi="Times New Roman"/>
                <w:sz w:val="20"/>
                <w:szCs w:val="20"/>
                <w:lang w:eastAsia="lv-LV"/>
              </w:rPr>
              <w:t>1.</w:t>
            </w:r>
          </w:p>
        </w:tc>
        <w:tc>
          <w:tcPr>
            <w:tcW w:w="1701" w:type="dxa"/>
            <w:shd w:val="clear" w:color="auto" w:fill="auto"/>
            <w:vAlign w:val="center"/>
          </w:tcPr>
          <w:p w:rsidR="00F238EF" w:rsidRPr="00E86236" w:rsidRDefault="00BD3725" w:rsidP="00C530E4">
            <w:pPr>
              <w:spacing w:after="0" w:line="240" w:lineRule="auto"/>
              <w:rPr>
                <w:rFonts w:ascii="Times New Roman" w:eastAsia="Calibri" w:hAnsi="Times New Roman"/>
                <w:i/>
                <w:sz w:val="20"/>
                <w:szCs w:val="20"/>
                <w:lang w:eastAsia="lv-LV"/>
              </w:rPr>
            </w:pPr>
            <w:proofErr w:type="spellStart"/>
            <w:r w:rsidRPr="00E86236">
              <w:rPr>
                <w:rFonts w:ascii="Times New Roman" w:eastAsia="Calibri" w:hAnsi="Times New Roman"/>
                <w:i/>
                <w:sz w:val="20"/>
                <w:szCs w:val="20"/>
                <w:lang w:eastAsia="lv-LV"/>
              </w:rPr>
              <w:t>Eurydice</w:t>
            </w:r>
            <w:proofErr w:type="spellEnd"/>
          </w:p>
        </w:tc>
        <w:tc>
          <w:tcPr>
            <w:tcW w:w="1559" w:type="dxa"/>
            <w:shd w:val="clear" w:color="auto" w:fill="auto"/>
            <w:vAlign w:val="center"/>
          </w:tcPr>
          <w:p w:rsidR="00BD3725" w:rsidRPr="00C530E4" w:rsidRDefault="00CA2C62" w:rsidP="00C530E4">
            <w:pPr>
              <w:spacing w:after="0" w:line="240" w:lineRule="auto"/>
              <w:jc w:val="center"/>
              <w:rPr>
                <w:rFonts w:ascii="Times New Roman" w:eastAsia="Calibri" w:hAnsi="Times New Roman"/>
                <w:sz w:val="20"/>
                <w:szCs w:val="20"/>
                <w:lang w:eastAsia="lv-LV"/>
              </w:rPr>
            </w:pPr>
            <w:r w:rsidRPr="00C530E4">
              <w:rPr>
                <w:rFonts w:ascii="Times New Roman" w:eastAsia="Calibri" w:hAnsi="Times New Roman"/>
                <w:sz w:val="20"/>
                <w:szCs w:val="20"/>
                <w:lang w:eastAsia="lv-LV"/>
              </w:rPr>
              <w:t>26 548</w:t>
            </w:r>
          </w:p>
        </w:tc>
        <w:tc>
          <w:tcPr>
            <w:tcW w:w="1417" w:type="dxa"/>
            <w:shd w:val="clear" w:color="auto" w:fill="auto"/>
            <w:vAlign w:val="center"/>
          </w:tcPr>
          <w:p w:rsidR="00BD3725" w:rsidRPr="00C530E4" w:rsidRDefault="00CA2C62" w:rsidP="00C530E4">
            <w:pPr>
              <w:spacing w:after="0" w:line="240" w:lineRule="auto"/>
              <w:jc w:val="center"/>
              <w:rPr>
                <w:rFonts w:ascii="Times New Roman" w:eastAsia="Calibri" w:hAnsi="Times New Roman"/>
                <w:sz w:val="20"/>
                <w:szCs w:val="20"/>
                <w:lang w:eastAsia="lv-LV"/>
              </w:rPr>
            </w:pPr>
            <w:r w:rsidRPr="00C530E4">
              <w:rPr>
                <w:rFonts w:ascii="Times New Roman" w:eastAsia="Calibri" w:hAnsi="Times New Roman"/>
                <w:sz w:val="20"/>
                <w:szCs w:val="20"/>
                <w:lang w:eastAsia="lv-LV"/>
              </w:rPr>
              <w:t>75%</w:t>
            </w:r>
          </w:p>
        </w:tc>
        <w:tc>
          <w:tcPr>
            <w:tcW w:w="1560" w:type="dxa"/>
            <w:shd w:val="clear" w:color="auto" w:fill="auto"/>
            <w:vAlign w:val="center"/>
          </w:tcPr>
          <w:p w:rsidR="00BD3725" w:rsidRPr="00E86236" w:rsidRDefault="00BD3725" w:rsidP="00C530E4">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8 850</w:t>
            </w:r>
          </w:p>
        </w:tc>
        <w:tc>
          <w:tcPr>
            <w:tcW w:w="1417" w:type="dxa"/>
            <w:shd w:val="clear" w:color="auto" w:fill="auto"/>
            <w:vAlign w:val="center"/>
          </w:tcPr>
          <w:p w:rsidR="00BD3725" w:rsidRPr="00E86236" w:rsidRDefault="00BD3725" w:rsidP="00C530E4">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VIAA, 70.08.00</w:t>
            </w:r>
          </w:p>
        </w:tc>
        <w:tc>
          <w:tcPr>
            <w:tcW w:w="1559" w:type="dxa"/>
            <w:shd w:val="clear" w:color="auto" w:fill="auto"/>
            <w:vAlign w:val="center"/>
          </w:tcPr>
          <w:p w:rsidR="00BD3725" w:rsidRPr="00E86236" w:rsidRDefault="00BD3725" w:rsidP="00C530E4">
            <w:pPr>
              <w:spacing w:after="0" w:line="240" w:lineRule="auto"/>
              <w:rPr>
                <w:rFonts w:ascii="Times New Roman" w:eastAsia="Calibri" w:hAnsi="Times New Roman"/>
                <w:sz w:val="20"/>
                <w:szCs w:val="20"/>
                <w:lang w:eastAsia="lv-LV"/>
              </w:rPr>
            </w:pPr>
            <w:r w:rsidRPr="00E86236">
              <w:rPr>
                <w:rFonts w:ascii="Times New Roman" w:eastAsia="Calibri" w:hAnsi="Times New Roman"/>
                <w:sz w:val="20"/>
                <w:szCs w:val="20"/>
                <w:lang w:eastAsia="lv-LV"/>
              </w:rPr>
              <w:t>3.pielikums, 8.2.1.2. sadaļa</w:t>
            </w:r>
          </w:p>
        </w:tc>
      </w:tr>
      <w:tr w:rsidR="00BD3725" w:rsidRPr="00F050CA" w:rsidTr="00B0595F">
        <w:trPr>
          <w:trHeight w:val="224"/>
        </w:trPr>
        <w:tc>
          <w:tcPr>
            <w:tcW w:w="534" w:type="dxa"/>
          </w:tcPr>
          <w:p w:rsidR="00BD3725" w:rsidRPr="00F050CA" w:rsidRDefault="00F050CA" w:rsidP="00F050CA">
            <w:pPr>
              <w:spacing w:after="0" w:line="240" w:lineRule="auto"/>
              <w:rPr>
                <w:rFonts w:ascii="Times New Roman" w:eastAsia="Calibri" w:hAnsi="Times New Roman"/>
                <w:sz w:val="20"/>
                <w:szCs w:val="20"/>
                <w:lang w:eastAsia="lv-LV"/>
              </w:rPr>
            </w:pPr>
            <w:r>
              <w:rPr>
                <w:rFonts w:ascii="Times New Roman" w:eastAsia="Calibri" w:hAnsi="Times New Roman"/>
                <w:sz w:val="20"/>
                <w:szCs w:val="20"/>
                <w:lang w:eastAsia="lv-LV"/>
              </w:rPr>
              <w:t>2.</w:t>
            </w:r>
          </w:p>
        </w:tc>
        <w:tc>
          <w:tcPr>
            <w:tcW w:w="1701" w:type="dxa"/>
            <w:shd w:val="clear" w:color="auto" w:fill="auto"/>
            <w:vAlign w:val="center"/>
          </w:tcPr>
          <w:p w:rsidR="00F238EF" w:rsidRPr="00F050CA" w:rsidRDefault="00BD3725" w:rsidP="00F050CA">
            <w:pPr>
              <w:spacing w:after="0" w:line="240" w:lineRule="auto"/>
              <w:rPr>
                <w:rFonts w:ascii="Times New Roman" w:eastAsia="Calibri" w:hAnsi="Times New Roman"/>
                <w:i/>
                <w:sz w:val="20"/>
                <w:szCs w:val="20"/>
                <w:lang w:eastAsia="lv-LV"/>
              </w:rPr>
            </w:pPr>
            <w:proofErr w:type="spellStart"/>
            <w:r w:rsidRPr="00F050CA">
              <w:rPr>
                <w:rFonts w:ascii="Times New Roman" w:eastAsia="Calibri" w:hAnsi="Times New Roman"/>
                <w:i/>
                <w:sz w:val="20"/>
                <w:szCs w:val="20"/>
                <w:lang w:eastAsia="lv-LV"/>
              </w:rPr>
              <w:t>Euroguidance</w:t>
            </w:r>
            <w:proofErr w:type="spellEnd"/>
          </w:p>
        </w:tc>
        <w:tc>
          <w:tcPr>
            <w:tcW w:w="1559" w:type="dxa"/>
            <w:shd w:val="clear" w:color="auto" w:fill="auto"/>
            <w:vAlign w:val="center"/>
          </w:tcPr>
          <w:p w:rsidR="00BD3725" w:rsidRPr="00F050CA" w:rsidRDefault="00CA2C62" w:rsidP="00F050CA">
            <w:pPr>
              <w:spacing w:after="0" w:line="240" w:lineRule="auto"/>
              <w:jc w:val="center"/>
              <w:rPr>
                <w:rFonts w:ascii="Times New Roman" w:eastAsia="Calibri" w:hAnsi="Times New Roman"/>
                <w:sz w:val="20"/>
                <w:szCs w:val="20"/>
                <w:lang w:eastAsia="lv-LV"/>
              </w:rPr>
            </w:pPr>
            <w:r w:rsidRPr="00F050CA">
              <w:rPr>
                <w:rFonts w:ascii="Times New Roman" w:eastAsia="Calibri" w:hAnsi="Times New Roman"/>
                <w:sz w:val="20"/>
                <w:szCs w:val="20"/>
                <w:lang w:eastAsia="lv-LV"/>
              </w:rPr>
              <w:t>49 000</w:t>
            </w:r>
          </w:p>
        </w:tc>
        <w:tc>
          <w:tcPr>
            <w:tcW w:w="1417" w:type="dxa"/>
            <w:shd w:val="clear" w:color="auto" w:fill="auto"/>
            <w:vAlign w:val="center"/>
          </w:tcPr>
          <w:p w:rsidR="00BD3725" w:rsidRPr="00F050CA" w:rsidRDefault="00CA2C62" w:rsidP="00F050CA">
            <w:pPr>
              <w:spacing w:after="0" w:line="240" w:lineRule="auto"/>
              <w:jc w:val="center"/>
              <w:rPr>
                <w:rFonts w:ascii="Times New Roman" w:eastAsia="Calibri" w:hAnsi="Times New Roman"/>
                <w:sz w:val="20"/>
                <w:szCs w:val="20"/>
                <w:lang w:eastAsia="lv-LV"/>
              </w:rPr>
            </w:pPr>
            <w:r w:rsidRPr="00F050CA">
              <w:rPr>
                <w:rFonts w:ascii="Times New Roman" w:eastAsia="Calibri" w:hAnsi="Times New Roman"/>
                <w:sz w:val="20"/>
                <w:szCs w:val="20"/>
                <w:lang w:eastAsia="lv-LV"/>
              </w:rPr>
              <w:t>60%</w:t>
            </w:r>
          </w:p>
        </w:tc>
        <w:tc>
          <w:tcPr>
            <w:tcW w:w="1560" w:type="dxa"/>
            <w:shd w:val="clear" w:color="auto" w:fill="auto"/>
            <w:vAlign w:val="center"/>
          </w:tcPr>
          <w:p w:rsidR="00BD3725" w:rsidRPr="00F050CA" w:rsidRDefault="00BD3725" w:rsidP="00F050CA">
            <w:pPr>
              <w:spacing w:after="0" w:line="240" w:lineRule="auto"/>
              <w:jc w:val="center"/>
              <w:rPr>
                <w:rFonts w:ascii="Times New Roman" w:eastAsia="Calibri" w:hAnsi="Times New Roman"/>
                <w:sz w:val="20"/>
                <w:szCs w:val="20"/>
                <w:lang w:eastAsia="lv-LV"/>
              </w:rPr>
            </w:pPr>
            <w:r w:rsidRPr="00F050CA">
              <w:rPr>
                <w:rFonts w:ascii="Times New Roman" w:eastAsia="Calibri" w:hAnsi="Times New Roman"/>
                <w:sz w:val="20"/>
                <w:szCs w:val="20"/>
                <w:lang w:eastAsia="lv-LV"/>
              </w:rPr>
              <w:t>32 667</w:t>
            </w:r>
          </w:p>
        </w:tc>
        <w:tc>
          <w:tcPr>
            <w:tcW w:w="1417" w:type="dxa"/>
            <w:shd w:val="clear" w:color="auto" w:fill="auto"/>
            <w:vAlign w:val="center"/>
          </w:tcPr>
          <w:p w:rsidR="00BD3725" w:rsidRPr="00F050CA" w:rsidRDefault="00BD3725" w:rsidP="00F050CA">
            <w:pPr>
              <w:spacing w:after="0" w:line="240" w:lineRule="auto"/>
              <w:jc w:val="center"/>
              <w:rPr>
                <w:rFonts w:ascii="Times New Roman" w:eastAsia="Calibri" w:hAnsi="Times New Roman"/>
                <w:sz w:val="20"/>
                <w:szCs w:val="20"/>
                <w:lang w:eastAsia="lv-LV"/>
              </w:rPr>
            </w:pPr>
            <w:r w:rsidRPr="00F050CA">
              <w:rPr>
                <w:rFonts w:ascii="Times New Roman" w:eastAsia="Calibri" w:hAnsi="Times New Roman"/>
                <w:sz w:val="20"/>
                <w:szCs w:val="20"/>
                <w:lang w:eastAsia="lv-LV"/>
              </w:rPr>
              <w:t>VIAA, 70.08.00</w:t>
            </w:r>
          </w:p>
        </w:tc>
        <w:tc>
          <w:tcPr>
            <w:tcW w:w="1559" w:type="dxa"/>
            <w:shd w:val="clear" w:color="auto" w:fill="auto"/>
          </w:tcPr>
          <w:p w:rsidR="00BD3725" w:rsidRPr="00F050CA" w:rsidRDefault="00BD3725" w:rsidP="0033621A">
            <w:pPr>
              <w:spacing w:after="0" w:line="240" w:lineRule="auto"/>
              <w:jc w:val="both"/>
              <w:rPr>
                <w:rFonts w:ascii="Times New Roman" w:eastAsia="Calibri" w:hAnsi="Times New Roman"/>
                <w:sz w:val="20"/>
                <w:szCs w:val="20"/>
                <w:lang w:eastAsia="lv-LV"/>
              </w:rPr>
            </w:pPr>
            <w:r w:rsidRPr="00F050CA">
              <w:rPr>
                <w:rFonts w:ascii="Times New Roman" w:eastAsia="Calibri" w:hAnsi="Times New Roman"/>
                <w:sz w:val="20"/>
                <w:szCs w:val="20"/>
                <w:lang w:eastAsia="lv-LV"/>
              </w:rPr>
              <w:t xml:space="preserve">3.pielikums, </w:t>
            </w:r>
            <w:r w:rsidRPr="00F050CA">
              <w:rPr>
                <w:rFonts w:ascii="Times New Roman" w:eastAsia="Calibri" w:hAnsi="Times New Roman"/>
                <w:sz w:val="20"/>
                <w:szCs w:val="24"/>
                <w:lang w:eastAsia="lv-LV"/>
              </w:rPr>
              <w:t xml:space="preserve">8.4.3.2. </w:t>
            </w:r>
            <w:r w:rsidRPr="00F050CA">
              <w:rPr>
                <w:rFonts w:ascii="Times New Roman" w:eastAsia="Calibri" w:hAnsi="Times New Roman"/>
                <w:sz w:val="20"/>
                <w:szCs w:val="20"/>
                <w:lang w:eastAsia="lv-LV"/>
              </w:rPr>
              <w:t>sadaļa</w:t>
            </w:r>
          </w:p>
        </w:tc>
      </w:tr>
      <w:tr w:rsidR="00BD3725" w:rsidRPr="00643D1E" w:rsidTr="00B0595F">
        <w:trPr>
          <w:trHeight w:val="224"/>
        </w:trPr>
        <w:tc>
          <w:tcPr>
            <w:tcW w:w="534" w:type="dxa"/>
          </w:tcPr>
          <w:p w:rsidR="00BD3725" w:rsidRPr="00BD3725" w:rsidRDefault="00F050CA" w:rsidP="0033621A">
            <w:pPr>
              <w:spacing w:after="0" w:line="240" w:lineRule="auto"/>
              <w:jc w:val="both"/>
              <w:rPr>
                <w:rFonts w:ascii="Times New Roman" w:eastAsia="Calibri" w:hAnsi="Times New Roman"/>
                <w:sz w:val="20"/>
                <w:szCs w:val="20"/>
                <w:lang w:eastAsia="lv-LV"/>
              </w:rPr>
            </w:pPr>
            <w:r>
              <w:rPr>
                <w:rFonts w:ascii="Times New Roman" w:eastAsia="Calibri" w:hAnsi="Times New Roman"/>
                <w:sz w:val="20"/>
                <w:szCs w:val="20"/>
                <w:lang w:eastAsia="lv-LV"/>
              </w:rPr>
              <w:t>3.</w:t>
            </w:r>
          </w:p>
        </w:tc>
        <w:tc>
          <w:tcPr>
            <w:tcW w:w="1701" w:type="dxa"/>
            <w:shd w:val="clear" w:color="auto" w:fill="auto"/>
            <w:vAlign w:val="center"/>
          </w:tcPr>
          <w:p w:rsidR="00F238EF" w:rsidRPr="00E86236" w:rsidRDefault="00BD3725" w:rsidP="00F050CA">
            <w:pPr>
              <w:spacing w:after="0" w:line="240" w:lineRule="auto"/>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ECVET</w:t>
            </w:r>
          </w:p>
        </w:tc>
        <w:tc>
          <w:tcPr>
            <w:tcW w:w="1559" w:type="dxa"/>
            <w:shd w:val="clear" w:color="auto" w:fill="auto"/>
            <w:vAlign w:val="center"/>
          </w:tcPr>
          <w:p w:rsidR="00BD3725" w:rsidRPr="00F050CA" w:rsidRDefault="00CA2C62" w:rsidP="00F050CA">
            <w:pPr>
              <w:spacing w:after="0" w:line="240" w:lineRule="auto"/>
              <w:jc w:val="center"/>
              <w:rPr>
                <w:rFonts w:ascii="Times New Roman" w:eastAsia="Calibri" w:hAnsi="Times New Roman"/>
                <w:sz w:val="20"/>
                <w:szCs w:val="20"/>
                <w:lang w:eastAsia="lv-LV"/>
              </w:rPr>
            </w:pPr>
            <w:r w:rsidRPr="00F050CA">
              <w:rPr>
                <w:rFonts w:ascii="Times New Roman" w:eastAsia="Calibri" w:hAnsi="Times New Roman"/>
                <w:sz w:val="20"/>
                <w:szCs w:val="20"/>
                <w:lang w:eastAsia="lv-LV"/>
              </w:rPr>
              <w:t>26 050</w:t>
            </w:r>
          </w:p>
        </w:tc>
        <w:tc>
          <w:tcPr>
            <w:tcW w:w="1417" w:type="dxa"/>
            <w:shd w:val="clear" w:color="auto" w:fill="auto"/>
            <w:vAlign w:val="center"/>
          </w:tcPr>
          <w:p w:rsidR="00BD3725" w:rsidRPr="00F050CA" w:rsidRDefault="00CA2C62" w:rsidP="00F050CA">
            <w:pPr>
              <w:spacing w:after="0" w:line="240" w:lineRule="auto"/>
              <w:jc w:val="center"/>
              <w:rPr>
                <w:rFonts w:ascii="Times New Roman" w:eastAsia="Calibri" w:hAnsi="Times New Roman"/>
                <w:sz w:val="20"/>
                <w:szCs w:val="20"/>
                <w:lang w:eastAsia="lv-LV"/>
              </w:rPr>
            </w:pPr>
            <w:r w:rsidRPr="00F050CA">
              <w:rPr>
                <w:rFonts w:ascii="Times New Roman" w:eastAsia="Calibri" w:hAnsi="Times New Roman"/>
                <w:sz w:val="20"/>
                <w:szCs w:val="20"/>
                <w:lang w:eastAsia="lv-LV"/>
              </w:rPr>
              <w:t>90%</w:t>
            </w:r>
          </w:p>
        </w:tc>
        <w:tc>
          <w:tcPr>
            <w:tcW w:w="1560" w:type="dxa"/>
            <w:shd w:val="clear" w:color="auto" w:fill="auto"/>
            <w:vAlign w:val="center"/>
          </w:tcPr>
          <w:p w:rsidR="00BD3725" w:rsidRPr="00E86236" w:rsidRDefault="00BD3725" w:rsidP="00F050CA">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2 895</w:t>
            </w:r>
          </w:p>
        </w:tc>
        <w:tc>
          <w:tcPr>
            <w:tcW w:w="1417" w:type="dxa"/>
            <w:shd w:val="clear" w:color="auto" w:fill="auto"/>
            <w:vAlign w:val="center"/>
          </w:tcPr>
          <w:p w:rsidR="00BD3725" w:rsidRPr="00E86236" w:rsidRDefault="00BD3725" w:rsidP="00F050CA">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VIAA, 70.08.00</w:t>
            </w:r>
          </w:p>
        </w:tc>
        <w:tc>
          <w:tcPr>
            <w:tcW w:w="1559" w:type="dxa"/>
            <w:shd w:val="clear" w:color="auto" w:fill="auto"/>
          </w:tcPr>
          <w:p w:rsidR="00BD3725" w:rsidRPr="00E86236" w:rsidRDefault="00BD3725" w:rsidP="0033621A">
            <w:pPr>
              <w:spacing w:after="0" w:line="240" w:lineRule="auto"/>
              <w:jc w:val="both"/>
              <w:rPr>
                <w:rFonts w:ascii="Times New Roman" w:eastAsia="Calibri" w:hAnsi="Times New Roman"/>
                <w:sz w:val="20"/>
                <w:szCs w:val="20"/>
                <w:lang w:eastAsia="lv-LV"/>
              </w:rPr>
            </w:pPr>
            <w:r w:rsidRPr="00E86236">
              <w:rPr>
                <w:rFonts w:ascii="Times New Roman" w:eastAsia="Calibri" w:hAnsi="Times New Roman"/>
                <w:sz w:val="20"/>
                <w:szCs w:val="20"/>
                <w:lang w:eastAsia="lv-LV"/>
              </w:rPr>
              <w:t>8.4.1.1. sadaļa, 2.pielikums</w:t>
            </w:r>
          </w:p>
        </w:tc>
      </w:tr>
      <w:tr w:rsidR="00BD3725" w:rsidRPr="00643D1E" w:rsidDel="00957A42" w:rsidTr="00B0595F">
        <w:trPr>
          <w:trHeight w:val="687"/>
        </w:trPr>
        <w:tc>
          <w:tcPr>
            <w:tcW w:w="534" w:type="dxa"/>
          </w:tcPr>
          <w:p w:rsidR="00BD3725" w:rsidRPr="00BD3725" w:rsidDel="00957A42" w:rsidRDefault="00F050CA" w:rsidP="0033621A">
            <w:pPr>
              <w:spacing w:after="0" w:line="240" w:lineRule="auto"/>
              <w:jc w:val="both"/>
              <w:rPr>
                <w:rFonts w:ascii="Times New Roman" w:eastAsia="Calibri" w:hAnsi="Times New Roman"/>
                <w:sz w:val="20"/>
                <w:szCs w:val="20"/>
                <w:lang w:eastAsia="lv-LV"/>
              </w:rPr>
            </w:pPr>
            <w:r>
              <w:rPr>
                <w:rFonts w:ascii="Times New Roman" w:eastAsia="Calibri" w:hAnsi="Times New Roman"/>
                <w:sz w:val="20"/>
                <w:szCs w:val="20"/>
                <w:lang w:eastAsia="lv-LV"/>
              </w:rPr>
              <w:t>4.</w:t>
            </w:r>
          </w:p>
        </w:tc>
        <w:tc>
          <w:tcPr>
            <w:tcW w:w="1701" w:type="dxa"/>
            <w:shd w:val="clear" w:color="auto" w:fill="auto"/>
          </w:tcPr>
          <w:p w:rsidR="00F238EF" w:rsidRDefault="00BD3725" w:rsidP="00F050CA">
            <w:pPr>
              <w:spacing w:after="0" w:line="240" w:lineRule="auto"/>
              <w:jc w:val="both"/>
              <w:rPr>
                <w:rFonts w:ascii="Times New Roman" w:eastAsia="Calibri" w:hAnsi="Times New Roman"/>
                <w:i/>
                <w:sz w:val="20"/>
                <w:szCs w:val="20"/>
                <w:vertAlign w:val="superscript"/>
                <w:lang w:eastAsia="lv-LV"/>
              </w:rPr>
            </w:pPr>
            <w:r w:rsidRPr="00E86236" w:rsidDel="00957A42">
              <w:rPr>
                <w:rFonts w:ascii="Times New Roman" w:eastAsia="Calibri" w:hAnsi="Times New Roman"/>
                <w:i/>
                <w:sz w:val="20"/>
                <w:szCs w:val="20"/>
                <w:lang w:eastAsia="lv-LV"/>
              </w:rPr>
              <w:t>Starptautiskās sadarbības aktivitātes</w:t>
            </w:r>
            <w:r w:rsidR="00F050CA">
              <w:rPr>
                <w:rFonts w:ascii="Times New Roman" w:eastAsia="Calibri" w:hAnsi="Times New Roman"/>
                <w:i/>
                <w:sz w:val="20"/>
                <w:szCs w:val="20"/>
                <w:vertAlign w:val="superscript"/>
                <w:lang w:eastAsia="lv-LV"/>
              </w:rPr>
              <w:t xml:space="preserve"> </w:t>
            </w:r>
          </w:p>
          <w:p w:rsidR="00F050CA" w:rsidRPr="00F050CA" w:rsidDel="00957A42" w:rsidRDefault="00F050CA" w:rsidP="008E65EB">
            <w:pPr>
              <w:spacing w:after="0" w:line="240" w:lineRule="auto"/>
              <w:jc w:val="both"/>
              <w:rPr>
                <w:rFonts w:ascii="Times New Roman" w:eastAsia="Calibri" w:hAnsi="Times New Roman"/>
                <w:sz w:val="20"/>
                <w:szCs w:val="20"/>
                <w:lang w:eastAsia="lv-LV"/>
              </w:rPr>
            </w:pPr>
          </w:p>
        </w:tc>
        <w:tc>
          <w:tcPr>
            <w:tcW w:w="1559" w:type="dxa"/>
            <w:shd w:val="clear" w:color="auto" w:fill="auto"/>
            <w:vAlign w:val="center"/>
          </w:tcPr>
          <w:p w:rsidR="00BD3725" w:rsidRPr="00F050CA" w:rsidDel="00957A42" w:rsidRDefault="00BD3725" w:rsidP="00F050CA">
            <w:pPr>
              <w:spacing w:after="0" w:line="240" w:lineRule="auto"/>
              <w:jc w:val="center"/>
              <w:rPr>
                <w:rFonts w:ascii="Times New Roman" w:eastAsia="Calibri" w:hAnsi="Times New Roman"/>
                <w:sz w:val="20"/>
                <w:szCs w:val="20"/>
                <w:lang w:eastAsia="lv-LV"/>
              </w:rPr>
            </w:pPr>
            <w:r w:rsidRPr="00F050CA" w:rsidDel="00957A42">
              <w:rPr>
                <w:rFonts w:ascii="Times New Roman" w:eastAsia="Calibri" w:hAnsi="Times New Roman"/>
                <w:sz w:val="20"/>
                <w:szCs w:val="20"/>
                <w:lang w:eastAsia="lv-LV"/>
              </w:rPr>
              <w:t>38 000</w:t>
            </w:r>
          </w:p>
        </w:tc>
        <w:tc>
          <w:tcPr>
            <w:tcW w:w="1417" w:type="dxa"/>
            <w:shd w:val="clear" w:color="auto" w:fill="auto"/>
            <w:vAlign w:val="center"/>
          </w:tcPr>
          <w:p w:rsidR="00BD3725" w:rsidRPr="00646B59" w:rsidDel="00957A42" w:rsidRDefault="00002809" w:rsidP="00B855F3">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80%</w:t>
            </w:r>
          </w:p>
        </w:tc>
        <w:tc>
          <w:tcPr>
            <w:tcW w:w="1560" w:type="dxa"/>
            <w:shd w:val="clear" w:color="auto" w:fill="auto"/>
            <w:vAlign w:val="center"/>
          </w:tcPr>
          <w:p w:rsidR="00BD3725" w:rsidRPr="00646B59" w:rsidDel="00957A42" w:rsidRDefault="00B855F3" w:rsidP="00F050CA">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9 500</w:t>
            </w:r>
          </w:p>
        </w:tc>
        <w:tc>
          <w:tcPr>
            <w:tcW w:w="1417" w:type="dxa"/>
            <w:shd w:val="clear" w:color="auto" w:fill="auto"/>
            <w:vAlign w:val="center"/>
          </w:tcPr>
          <w:p w:rsidR="00BD3725" w:rsidRPr="00646B59" w:rsidDel="00957A42" w:rsidRDefault="00BD3725" w:rsidP="00F050CA">
            <w:pPr>
              <w:spacing w:after="0" w:line="240" w:lineRule="auto"/>
              <w:jc w:val="center"/>
              <w:rPr>
                <w:rFonts w:ascii="Times New Roman" w:eastAsia="Calibri" w:hAnsi="Times New Roman"/>
                <w:sz w:val="20"/>
                <w:szCs w:val="20"/>
                <w:lang w:eastAsia="lv-LV"/>
              </w:rPr>
            </w:pPr>
            <w:r w:rsidRPr="00646B59" w:rsidDel="00957A42">
              <w:rPr>
                <w:rFonts w:ascii="Times New Roman" w:eastAsia="Calibri" w:hAnsi="Times New Roman"/>
                <w:sz w:val="20"/>
                <w:szCs w:val="20"/>
                <w:lang w:eastAsia="lv-LV"/>
              </w:rPr>
              <w:t>VIAA, 70.08.00</w:t>
            </w:r>
          </w:p>
        </w:tc>
        <w:tc>
          <w:tcPr>
            <w:tcW w:w="1559" w:type="dxa"/>
            <w:shd w:val="clear" w:color="auto" w:fill="auto"/>
          </w:tcPr>
          <w:p w:rsidR="001C3080" w:rsidRPr="00646B59" w:rsidRDefault="001C3080" w:rsidP="001C3080">
            <w:pPr>
              <w:spacing w:after="0" w:line="240" w:lineRule="auto"/>
              <w:jc w:val="both"/>
              <w:rPr>
                <w:rFonts w:ascii="Times New Roman" w:eastAsia="Calibri" w:hAnsi="Times New Roman"/>
                <w:i/>
                <w:sz w:val="20"/>
                <w:szCs w:val="20"/>
                <w:lang w:eastAsia="lv-LV"/>
              </w:rPr>
            </w:pPr>
            <w:r w:rsidRPr="00646B59">
              <w:rPr>
                <w:rFonts w:ascii="Times New Roman" w:eastAsia="Calibri" w:hAnsi="Times New Roman"/>
                <w:sz w:val="20"/>
                <w:szCs w:val="20"/>
                <w:lang w:eastAsia="lv-LV"/>
              </w:rPr>
              <w:t>7.2.1.sadaļa</w:t>
            </w:r>
          </w:p>
          <w:p w:rsidR="00BD3725" w:rsidRPr="00646B59" w:rsidDel="00957A42" w:rsidRDefault="00BD3725" w:rsidP="001C3080">
            <w:pPr>
              <w:spacing w:after="0" w:line="240" w:lineRule="auto"/>
              <w:jc w:val="both"/>
              <w:rPr>
                <w:rFonts w:ascii="Times New Roman" w:eastAsia="Calibri" w:hAnsi="Times New Roman"/>
                <w:sz w:val="20"/>
                <w:szCs w:val="20"/>
                <w:lang w:eastAsia="lv-LV"/>
              </w:rPr>
            </w:pPr>
            <w:proofErr w:type="spellStart"/>
            <w:r w:rsidRPr="00646B59">
              <w:rPr>
                <w:rFonts w:ascii="Times New Roman" w:eastAsia="Calibri" w:hAnsi="Times New Roman"/>
                <w:i/>
                <w:sz w:val="20"/>
                <w:szCs w:val="20"/>
                <w:lang w:eastAsia="lv-LV"/>
              </w:rPr>
              <w:t>Key</w:t>
            </w:r>
            <w:proofErr w:type="spellEnd"/>
            <w:r w:rsidRPr="00646B59">
              <w:rPr>
                <w:rFonts w:ascii="Times New Roman" w:eastAsia="Calibri" w:hAnsi="Times New Roman"/>
                <w:i/>
                <w:sz w:val="20"/>
                <w:szCs w:val="20"/>
                <w:lang w:eastAsia="lv-LV"/>
              </w:rPr>
              <w:t xml:space="preserve"> </w:t>
            </w:r>
            <w:proofErr w:type="spellStart"/>
            <w:r w:rsidRPr="00646B59">
              <w:rPr>
                <w:rFonts w:ascii="Times New Roman" w:eastAsia="Calibri" w:hAnsi="Times New Roman"/>
                <w:i/>
                <w:sz w:val="20"/>
                <w:szCs w:val="20"/>
                <w:lang w:eastAsia="lv-LV"/>
              </w:rPr>
              <w:t>action</w:t>
            </w:r>
            <w:proofErr w:type="spellEnd"/>
            <w:r w:rsidRPr="00646B59">
              <w:rPr>
                <w:rFonts w:ascii="Times New Roman" w:eastAsia="Calibri" w:hAnsi="Times New Roman"/>
                <w:i/>
                <w:sz w:val="20"/>
                <w:szCs w:val="20"/>
                <w:lang w:eastAsia="lv-LV"/>
              </w:rPr>
              <w:t xml:space="preserve"> 2</w:t>
            </w:r>
            <w:r w:rsidRPr="00646B59">
              <w:rPr>
                <w:rFonts w:ascii="Times New Roman" w:eastAsia="Calibri" w:hAnsi="Times New Roman"/>
                <w:sz w:val="20"/>
                <w:szCs w:val="20"/>
                <w:lang w:eastAsia="lv-LV"/>
              </w:rPr>
              <w:t>, nav atsevišķi izdalīts</w:t>
            </w:r>
            <w:r w:rsidR="009B6C5B" w:rsidRPr="00646B59">
              <w:rPr>
                <w:rFonts w:ascii="Times New Roman" w:eastAsia="Calibri" w:hAnsi="Times New Roman"/>
                <w:sz w:val="20"/>
                <w:szCs w:val="20"/>
                <w:lang w:eastAsia="lv-LV"/>
              </w:rPr>
              <w:t xml:space="preserve"> (skat. </w:t>
            </w:r>
            <w:r w:rsidR="009B6C5B" w:rsidRPr="00646B59">
              <w:rPr>
                <w:rFonts w:ascii="Times New Roman" w:eastAsia="Calibri" w:hAnsi="Times New Roman"/>
                <w:sz w:val="20"/>
                <w:szCs w:val="20"/>
                <w:lang w:eastAsia="lv-LV"/>
              </w:rPr>
              <w:lastRenderedPageBreak/>
              <w:t>skaidrojumu informatīvā ziņojuma 24.punktā)</w:t>
            </w:r>
            <w:r w:rsidR="001C3080" w:rsidRPr="00646B59">
              <w:rPr>
                <w:rFonts w:ascii="Times New Roman" w:eastAsia="Calibri" w:hAnsi="Times New Roman"/>
                <w:sz w:val="20"/>
                <w:szCs w:val="20"/>
                <w:lang w:eastAsia="lv-LV"/>
              </w:rPr>
              <w:t xml:space="preserve"> </w:t>
            </w:r>
          </w:p>
        </w:tc>
      </w:tr>
      <w:tr w:rsidR="00BD3725" w:rsidRPr="0033621A" w:rsidTr="009B6C5B">
        <w:trPr>
          <w:trHeight w:val="224"/>
        </w:trPr>
        <w:tc>
          <w:tcPr>
            <w:tcW w:w="534" w:type="dxa"/>
            <w:vAlign w:val="center"/>
          </w:tcPr>
          <w:p w:rsidR="00BD3725" w:rsidRPr="00BD3725" w:rsidRDefault="00F050CA" w:rsidP="00F050CA">
            <w:pPr>
              <w:spacing w:after="0" w:line="240" w:lineRule="auto"/>
              <w:rPr>
                <w:rFonts w:ascii="Times New Roman" w:eastAsia="Calibri" w:hAnsi="Times New Roman"/>
                <w:sz w:val="20"/>
                <w:szCs w:val="20"/>
                <w:lang w:eastAsia="lv-LV"/>
              </w:rPr>
            </w:pPr>
            <w:r>
              <w:rPr>
                <w:rFonts w:ascii="Times New Roman" w:eastAsia="Calibri" w:hAnsi="Times New Roman"/>
                <w:sz w:val="20"/>
                <w:szCs w:val="20"/>
                <w:lang w:eastAsia="lv-LV"/>
              </w:rPr>
              <w:lastRenderedPageBreak/>
              <w:t>5.</w:t>
            </w:r>
          </w:p>
        </w:tc>
        <w:tc>
          <w:tcPr>
            <w:tcW w:w="1701" w:type="dxa"/>
            <w:shd w:val="clear" w:color="auto" w:fill="auto"/>
            <w:vAlign w:val="center"/>
          </w:tcPr>
          <w:p w:rsidR="00F238EF" w:rsidRPr="00E86236" w:rsidRDefault="00BD3725" w:rsidP="00F050CA">
            <w:pPr>
              <w:spacing w:after="0" w:line="240" w:lineRule="auto"/>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EURODESK</w:t>
            </w:r>
          </w:p>
        </w:tc>
        <w:tc>
          <w:tcPr>
            <w:tcW w:w="1559" w:type="dxa"/>
            <w:shd w:val="clear" w:color="auto" w:fill="auto"/>
            <w:vAlign w:val="center"/>
          </w:tcPr>
          <w:p w:rsidR="00BD3725" w:rsidRPr="00F050CA" w:rsidRDefault="00CA2C62" w:rsidP="00F050CA">
            <w:pPr>
              <w:spacing w:after="0" w:line="240" w:lineRule="auto"/>
              <w:jc w:val="center"/>
              <w:rPr>
                <w:rFonts w:ascii="Times New Roman" w:eastAsia="Calibri" w:hAnsi="Times New Roman"/>
                <w:sz w:val="20"/>
                <w:szCs w:val="20"/>
                <w:lang w:eastAsia="lv-LV"/>
              </w:rPr>
            </w:pPr>
            <w:r w:rsidRPr="00F050CA">
              <w:rPr>
                <w:rFonts w:ascii="Times New Roman" w:eastAsia="Calibri" w:hAnsi="Times New Roman"/>
                <w:sz w:val="20"/>
                <w:szCs w:val="20"/>
                <w:lang w:eastAsia="lv-LV"/>
              </w:rPr>
              <w:t>23 535</w:t>
            </w:r>
          </w:p>
        </w:tc>
        <w:tc>
          <w:tcPr>
            <w:tcW w:w="1417" w:type="dxa"/>
            <w:shd w:val="clear" w:color="auto" w:fill="auto"/>
            <w:vAlign w:val="center"/>
          </w:tcPr>
          <w:p w:rsidR="00BD3725" w:rsidRPr="00F050CA" w:rsidRDefault="00CA2C62" w:rsidP="00F050CA">
            <w:pPr>
              <w:spacing w:after="0" w:line="240" w:lineRule="auto"/>
              <w:jc w:val="center"/>
              <w:rPr>
                <w:rFonts w:ascii="Times New Roman" w:eastAsia="Calibri" w:hAnsi="Times New Roman"/>
                <w:sz w:val="20"/>
                <w:szCs w:val="20"/>
                <w:lang w:eastAsia="lv-LV"/>
              </w:rPr>
            </w:pPr>
            <w:r w:rsidRPr="00F050CA">
              <w:rPr>
                <w:rFonts w:ascii="Times New Roman" w:eastAsia="Calibri" w:hAnsi="Times New Roman"/>
                <w:sz w:val="20"/>
                <w:szCs w:val="20"/>
                <w:lang w:eastAsia="lv-LV"/>
              </w:rPr>
              <w:t>60%</w:t>
            </w:r>
          </w:p>
        </w:tc>
        <w:tc>
          <w:tcPr>
            <w:tcW w:w="1560" w:type="dxa"/>
            <w:shd w:val="clear" w:color="auto" w:fill="auto"/>
            <w:vAlign w:val="center"/>
          </w:tcPr>
          <w:p w:rsidR="00BD3725" w:rsidRPr="00E86236" w:rsidRDefault="00BD3725" w:rsidP="00F050CA">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15 690</w:t>
            </w:r>
          </w:p>
        </w:tc>
        <w:tc>
          <w:tcPr>
            <w:tcW w:w="1417" w:type="dxa"/>
            <w:shd w:val="clear" w:color="auto" w:fill="auto"/>
            <w:vAlign w:val="center"/>
          </w:tcPr>
          <w:p w:rsidR="00BD3725" w:rsidRPr="00E86236" w:rsidRDefault="00BD3725" w:rsidP="00F050CA">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JSPA, 70.10.00</w:t>
            </w:r>
          </w:p>
        </w:tc>
        <w:tc>
          <w:tcPr>
            <w:tcW w:w="1559" w:type="dxa"/>
            <w:shd w:val="clear" w:color="auto" w:fill="auto"/>
            <w:vAlign w:val="center"/>
          </w:tcPr>
          <w:p w:rsidR="00BD3725" w:rsidRPr="00E86236" w:rsidRDefault="00BD3725" w:rsidP="009B6C5B">
            <w:pPr>
              <w:spacing w:after="0" w:line="240" w:lineRule="auto"/>
              <w:rPr>
                <w:rFonts w:ascii="Times New Roman" w:eastAsia="Calibri" w:hAnsi="Times New Roman"/>
                <w:sz w:val="20"/>
                <w:szCs w:val="20"/>
                <w:lang w:eastAsia="lv-LV"/>
              </w:rPr>
            </w:pPr>
            <w:r w:rsidRPr="00E86236">
              <w:rPr>
                <w:rFonts w:ascii="Times New Roman" w:eastAsia="Calibri" w:hAnsi="Times New Roman"/>
                <w:sz w:val="20"/>
                <w:szCs w:val="20"/>
                <w:lang w:eastAsia="lv-LV"/>
              </w:rPr>
              <w:t>8.4.3.4. sadaļa, 2.pielikums</w:t>
            </w:r>
          </w:p>
        </w:tc>
      </w:tr>
      <w:tr w:rsidR="00BD3725" w:rsidRPr="0033621A" w:rsidTr="009B6C5B">
        <w:trPr>
          <w:trHeight w:val="237"/>
        </w:trPr>
        <w:tc>
          <w:tcPr>
            <w:tcW w:w="534" w:type="dxa"/>
            <w:vAlign w:val="center"/>
          </w:tcPr>
          <w:p w:rsidR="00BD3725" w:rsidRPr="00BD3725" w:rsidRDefault="00F050CA" w:rsidP="00F050CA">
            <w:pPr>
              <w:spacing w:after="0" w:line="240" w:lineRule="auto"/>
              <w:rPr>
                <w:rFonts w:ascii="Times New Roman" w:eastAsia="Calibri" w:hAnsi="Times New Roman"/>
                <w:sz w:val="20"/>
                <w:szCs w:val="20"/>
                <w:lang w:eastAsia="lv-LV"/>
              </w:rPr>
            </w:pPr>
            <w:r>
              <w:rPr>
                <w:rFonts w:ascii="Times New Roman" w:eastAsia="Calibri" w:hAnsi="Times New Roman"/>
                <w:sz w:val="20"/>
                <w:szCs w:val="20"/>
                <w:lang w:eastAsia="lv-LV"/>
              </w:rPr>
              <w:t>6.</w:t>
            </w:r>
          </w:p>
        </w:tc>
        <w:tc>
          <w:tcPr>
            <w:tcW w:w="1701" w:type="dxa"/>
            <w:shd w:val="clear" w:color="auto" w:fill="auto"/>
            <w:vAlign w:val="center"/>
          </w:tcPr>
          <w:p w:rsidR="00F238EF" w:rsidRPr="00E86236" w:rsidRDefault="00BD3725" w:rsidP="00F050CA">
            <w:pPr>
              <w:spacing w:after="0" w:line="240" w:lineRule="auto"/>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e-</w:t>
            </w:r>
            <w:proofErr w:type="spellStart"/>
            <w:r w:rsidRPr="00E86236">
              <w:rPr>
                <w:rFonts w:ascii="Times New Roman" w:eastAsia="Calibri" w:hAnsi="Times New Roman"/>
                <w:i/>
                <w:sz w:val="20"/>
                <w:szCs w:val="20"/>
                <w:lang w:eastAsia="lv-LV"/>
              </w:rPr>
              <w:t>Twinning</w:t>
            </w:r>
            <w:proofErr w:type="spellEnd"/>
          </w:p>
        </w:tc>
        <w:tc>
          <w:tcPr>
            <w:tcW w:w="1559" w:type="dxa"/>
            <w:shd w:val="clear" w:color="auto" w:fill="auto"/>
            <w:vAlign w:val="center"/>
          </w:tcPr>
          <w:p w:rsidR="00BD3725" w:rsidRPr="00660A3A" w:rsidRDefault="00452CE3"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 xml:space="preserve">147 </w:t>
            </w:r>
            <w:r w:rsidR="00BD3725" w:rsidRPr="00660A3A">
              <w:rPr>
                <w:rFonts w:ascii="Times New Roman" w:eastAsia="Calibri" w:hAnsi="Times New Roman"/>
                <w:sz w:val="20"/>
                <w:szCs w:val="20"/>
                <w:lang w:eastAsia="lv-LV"/>
              </w:rPr>
              <w:t>000</w:t>
            </w:r>
          </w:p>
        </w:tc>
        <w:tc>
          <w:tcPr>
            <w:tcW w:w="1417" w:type="dxa"/>
            <w:shd w:val="clear" w:color="auto" w:fill="auto"/>
            <w:vAlign w:val="center"/>
          </w:tcPr>
          <w:p w:rsidR="00BD3725" w:rsidRPr="00660A3A" w:rsidRDefault="00CA2C62"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80%</w:t>
            </w:r>
          </w:p>
        </w:tc>
        <w:tc>
          <w:tcPr>
            <w:tcW w:w="1560" w:type="dxa"/>
            <w:shd w:val="clear" w:color="auto" w:fill="auto"/>
            <w:vAlign w:val="center"/>
          </w:tcPr>
          <w:p w:rsidR="00BD3725" w:rsidRPr="00660A3A" w:rsidRDefault="00BD3725"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 xml:space="preserve">36 </w:t>
            </w:r>
            <w:r w:rsidR="00300993" w:rsidRPr="00660A3A">
              <w:rPr>
                <w:rFonts w:ascii="Times New Roman" w:eastAsia="Calibri" w:hAnsi="Times New Roman"/>
                <w:sz w:val="20"/>
                <w:szCs w:val="20"/>
                <w:lang w:eastAsia="lv-LV"/>
              </w:rPr>
              <w:t>750</w:t>
            </w:r>
          </w:p>
        </w:tc>
        <w:tc>
          <w:tcPr>
            <w:tcW w:w="1417" w:type="dxa"/>
            <w:shd w:val="clear" w:color="auto" w:fill="auto"/>
            <w:vAlign w:val="center"/>
          </w:tcPr>
          <w:p w:rsidR="00BD3725" w:rsidRPr="00E86236" w:rsidRDefault="00BD3725" w:rsidP="00F050CA">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JSPA, 70.10.00</w:t>
            </w:r>
          </w:p>
        </w:tc>
        <w:tc>
          <w:tcPr>
            <w:tcW w:w="1559" w:type="dxa"/>
            <w:shd w:val="clear" w:color="auto" w:fill="auto"/>
            <w:vAlign w:val="center"/>
          </w:tcPr>
          <w:p w:rsidR="00BD3725" w:rsidRPr="00E86236" w:rsidRDefault="00BD3725" w:rsidP="009B6C5B">
            <w:pPr>
              <w:spacing w:after="0" w:line="240" w:lineRule="auto"/>
              <w:rPr>
                <w:rFonts w:ascii="Times New Roman" w:eastAsia="Calibri" w:hAnsi="Times New Roman"/>
                <w:sz w:val="20"/>
                <w:szCs w:val="20"/>
                <w:lang w:eastAsia="lv-LV"/>
              </w:rPr>
            </w:pPr>
            <w:r w:rsidRPr="00E86236">
              <w:rPr>
                <w:rFonts w:ascii="Times New Roman" w:eastAsia="Calibri" w:hAnsi="Times New Roman"/>
                <w:sz w:val="20"/>
                <w:szCs w:val="20"/>
                <w:lang w:eastAsia="lv-LV"/>
              </w:rPr>
              <w:t>7.4.2. sadaļa, 3.pielikums</w:t>
            </w:r>
          </w:p>
        </w:tc>
      </w:tr>
      <w:tr w:rsidR="00BD3725" w:rsidRPr="0033621A" w:rsidTr="009B6C5B">
        <w:trPr>
          <w:trHeight w:val="237"/>
        </w:trPr>
        <w:tc>
          <w:tcPr>
            <w:tcW w:w="534" w:type="dxa"/>
            <w:vAlign w:val="center"/>
          </w:tcPr>
          <w:p w:rsidR="00BD3725" w:rsidRPr="00BD3725" w:rsidRDefault="00F050CA" w:rsidP="00F050CA">
            <w:pPr>
              <w:spacing w:after="0" w:line="240" w:lineRule="auto"/>
              <w:rPr>
                <w:rFonts w:ascii="Times New Roman" w:eastAsia="Calibri" w:hAnsi="Times New Roman"/>
                <w:sz w:val="20"/>
                <w:szCs w:val="20"/>
                <w:lang w:eastAsia="lv-LV"/>
              </w:rPr>
            </w:pPr>
            <w:r>
              <w:rPr>
                <w:rFonts w:ascii="Times New Roman" w:eastAsia="Calibri" w:hAnsi="Times New Roman"/>
                <w:sz w:val="20"/>
                <w:szCs w:val="20"/>
                <w:lang w:eastAsia="lv-LV"/>
              </w:rPr>
              <w:t>7.</w:t>
            </w:r>
          </w:p>
        </w:tc>
        <w:tc>
          <w:tcPr>
            <w:tcW w:w="1701" w:type="dxa"/>
            <w:shd w:val="clear" w:color="auto" w:fill="auto"/>
            <w:vAlign w:val="center"/>
          </w:tcPr>
          <w:p w:rsidR="00F238EF" w:rsidRPr="00E86236" w:rsidRDefault="00BD3725" w:rsidP="00F050CA">
            <w:pPr>
              <w:spacing w:after="0" w:line="240" w:lineRule="auto"/>
              <w:rPr>
                <w:rFonts w:ascii="Times New Roman" w:eastAsia="Calibri" w:hAnsi="Times New Roman"/>
                <w:i/>
                <w:sz w:val="20"/>
                <w:szCs w:val="20"/>
                <w:lang w:eastAsia="lv-LV"/>
              </w:rPr>
            </w:pPr>
            <w:proofErr w:type="spellStart"/>
            <w:r w:rsidRPr="00E86236">
              <w:rPr>
                <w:rFonts w:ascii="Times New Roman" w:eastAsia="Calibri" w:hAnsi="Times New Roman"/>
                <w:i/>
                <w:sz w:val="20"/>
                <w:szCs w:val="20"/>
                <w:lang w:eastAsia="lv-LV"/>
              </w:rPr>
              <w:t>Europass</w:t>
            </w:r>
            <w:proofErr w:type="spellEnd"/>
          </w:p>
        </w:tc>
        <w:tc>
          <w:tcPr>
            <w:tcW w:w="1559" w:type="dxa"/>
            <w:shd w:val="clear" w:color="auto" w:fill="auto"/>
            <w:vAlign w:val="center"/>
          </w:tcPr>
          <w:p w:rsidR="00BD3725" w:rsidRPr="00660A3A" w:rsidRDefault="00CA2C62" w:rsidP="00F050CA">
            <w:pPr>
              <w:spacing w:after="0" w:line="240" w:lineRule="auto"/>
              <w:jc w:val="center"/>
              <w:rPr>
                <w:rFonts w:ascii="Times New Roman" w:eastAsia="Calibri" w:hAnsi="Times New Roman"/>
                <w:sz w:val="20"/>
                <w:szCs w:val="20"/>
                <w:vertAlign w:val="superscript"/>
                <w:lang w:eastAsia="lv-LV"/>
              </w:rPr>
            </w:pPr>
            <w:r w:rsidRPr="00660A3A">
              <w:rPr>
                <w:rFonts w:ascii="Times New Roman" w:eastAsia="Calibri" w:hAnsi="Times New Roman"/>
                <w:sz w:val="20"/>
                <w:szCs w:val="20"/>
                <w:lang w:eastAsia="lv-LV"/>
              </w:rPr>
              <w:t>55 000</w:t>
            </w:r>
          </w:p>
        </w:tc>
        <w:tc>
          <w:tcPr>
            <w:tcW w:w="1417" w:type="dxa"/>
            <w:shd w:val="clear" w:color="auto" w:fill="auto"/>
            <w:vAlign w:val="center"/>
          </w:tcPr>
          <w:p w:rsidR="00BD3725" w:rsidRPr="00660A3A" w:rsidRDefault="00CA2C62"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60%</w:t>
            </w:r>
          </w:p>
        </w:tc>
        <w:tc>
          <w:tcPr>
            <w:tcW w:w="1560" w:type="dxa"/>
            <w:shd w:val="clear" w:color="auto" w:fill="auto"/>
            <w:vAlign w:val="center"/>
          </w:tcPr>
          <w:p w:rsidR="00BD3725" w:rsidRPr="00660A3A" w:rsidRDefault="00BD3725"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36 667</w:t>
            </w:r>
          </w:p>
        </w:tc>
        <w:tc>
          <w:tcPr>
            <w:tcW w:w="1417" w:type="dxa"/>
            <w:shd w:val="clear" w:color="auto" w:fill="auto"/>
            <w:vAlign w:val="center"/>
          </w:tcPr>
          <w:p w:rsidR="00BD3725" w:rsidRPr="00E86236" w:rsidRDefault="00BD3725" w:rsidP="00F050CA">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AIC, IZM, 70.11.00</w:t>
            </w:r>
          </w:p>
        </w:tc>
        <w:tc>
          <w:tcPr>
            <w:tcW w:w="1559" w:type="dxa"/>
            <w:shd w:val="clear" w:color="auto" w:fill="auto"/>
            <w:vAlign w:val="center"/>
          </w:tcPr>
          <w:p w:rsidR="00BD3725" w:rsidRPr="00E86236" w:rsidRDefault="00BD3725" w:rsidP="009B6C5B">
            <w:pPr>
              <w:spacing w:after="0" w:line="240" w:lineRule="auto"/>
              <w:rPr>
                <w:rFonts w:ascii="Times New Roman" w:eastAsia="Calibri" w:hAnsi="Times New Roman"/>
                <w:sz w:val="20"/>
                <w:szCs w:val="20"/>
                <w:lang w:eastAsia="lv-LV"/>
              </w:rPr>
            </w:pPr>
            <w:r w:rsidRPr="00E86236">
              <w:rPr>
                <w:rFonts w:ascii="Times New Roman" w:eastAsia="Calibri" w:hAnsi="Times New Roman"/>
                <w:sz w:val="20"/>
                <w:szCs w:val="20"/>
                <w:lang w:eastAsia="lv-LV"/>
              </w:rPr>
              <w:t>8.4.3.1. sadaļa</w:t>
            </w:r>
          </w:p>
          <w:p w:rsidR="00BD3725" w:rsidRPr="00E86236" w:rsidRDefault="00BD3725" w:rsidP="009B6C5B">
            <w:pPr>
              <w:spacing w:after="0" w:line="240" w:lineRule="auto"/>
              <w:rPr>
                <w:rFonts w:ascii="Times New Roman" w:eastAsia="Calibri" w:hAnsi="Times New Roman"/>
                <w:sz w:val="20"/>
                <w:szCs w:val="20"/>
                <w:lang w:eastAsia="lv-LV"/>
              </w:rPr>
            </w:pPr>
            <w:r w:rsidRPr="00E86236">
              <w:rPr>
                <w:rFonts w:ascii="Times New Roman" w:eastAsia="Calibri" w:hAnsi="Times New Roman"/>
                <w:sz w:val="20"/>
                <w:szCs w:val="20"/>
                <w:lang w:eastAsia="lv-LV"/>
              </w:rPr>
              <w:t>3.pielikums</w:t>
            </w:r>
          </w:p>
        </w:tc>
      </w:tr>
      <w:tr w:rsidR="00BD3725" w:rsidRPr="0033621A" w:rsidTr="009B6C5B">
        <w:trPr>
          <w:trHeight w:val="237"/>
        </w:trPr>
        <w:tc>
          <w:tcPr>
            <w:tcW w:w="534" w:type="dxa"/>
            <w:vAlign w:val="center"/>
          </w:tcPr>
          <w:p w:rsidR="00BD3725" w:rsidRPr="00BD3725" w:rsidRDefault="00F050CA" w:rsidP="00F050CA">
            <w:pPr>
              <w:spacing w:after="0" w:line="240" w:lineRule="auto"/>
              <w:rPr>
                <w:rFonts w:ascii="Times New Roman" w:eastAsia="Calibri" w:hAnsi="Times New Roman"/>
                <w:sz w:val="20"/>
                <w:szCs w:val="20"/>
                <w:lang w:eastAsia="lv-LV"/>
              </w:rPr>
            </w:pPr>
            <w:r>
              <w:rPr>
                <w:rFonts w:ascii="Times New Roman" w:eastAsia="Calibri" w:hAnsi="Times New Roman"/>
                <w:sz w:val="20"/>
                <w:szCs w:val="20"/>
                <w:lang w:eastAsia="lv-LV"/>
              </w:rPr>
              <w:t>8.</w:t>
            </w:r>
          </w:p>
        </w:tc>
        <w:tc>
          <w:tcPr>
            <w:tcW w:w="1701" w:type="dxa"/>
            <w:shd w:val="clear" w:color="auto" w:fill="auto"/>
            <w:vAlign w:val="center"/>
          </w:tcPr>
          <w:p w:rsidR="00F238EF" w:rsidRPr="00E86236" w:rsidRDefault="00BD3725" w:rsidP="00F050CA">
            <w:pPr>
              <w:spacing w:after="0" w:line="240" w:lineRule="auto"/>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EPALE</w:t>
            </w:r>
          </w:p>
        </w:tc>
        <w:tc>
          <w:tcPr>
            <w:tcW w:w="1559" w:type="dxa"/>
            <w:shd w:val="clear" w:color="auto" w:fill="auto"/>
            <w:vAlign w:val="center"/>
          </w:tcPr>
          <w:p w:rsidR="00BD3725" w:rsidRPr="00660A3A" w:rsidRDefault="00BD3725"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 xml:space="preserve">111 </w:t>
            </w:r>
            <w:r w:rsidR="00271144" w:rsidRPr="00660A3A">
              <w:rPr>
                <w:rFonts w:ascii="Times New Roman" w:eastAsia="Calibri" w:hAnsi="Times New Roman"/>
                <w:sz w:val="20"/>
                <w:szCs w:val="20"/>
                <w:lang w:eastAsia="lv-LV"/>
              </w:rPr>
              <w:t>300</w:t>
            </w:r>
          </w:p>
        </w:tc>
        <w:tc>
          <w:tcPr>
            <w:tcW w:w="1417" w:type="dxa"/>
            <w:shd w:val="clear" w:color="auto" w:fill="auto"/>
            <w:vAlign w:val="center"/>
          </w:tcPr>
          <w:p w:rsidR="00BD3725" w:rsidRPr="00660A3A" w:rsidRDefault="00BD3725"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80%</w:t>
            </w:r>
          </w:p>
        </w:tc>
        <w:tc>
          <w:tcPr>
            <w:tcW w:w="1560" w:type="dxa"/>
            <w:shd w:val="clear" w:color="auto" w:fill="auto"/>
            <w:vAlign w:val="center"/>
          </w:tcPr>
          <w:p w:rsidR="00BD3725" w:rsidRPr="00660A3A" w:rsidRDefault="00BD3725"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 xml:space="preserve">27 </w:t>
            </w:r>
            <w:r w:rsidR="00300993" w:rsidRPr="00660A3A">
              <w:rPr>
                <w:rFonts w:ascii="Times New Roman" w:eastAsia="Calibri" w:hAnsi="Times New Roman"/>
                <w:sz w:val="20"/>
                <w:szCs w:val="20"/>
                <w:lang w:eastAsia="lv-LV"/>
              </w:rPr>
              <w:t>825</w:t>
            </w:r>
          </w:p>
        </w:tc>
        <w:tc>
          <w:tcPr>
            <w:tcW w:w="1417" w:type="dxa"/>
            <w:shd w:val="clear" w:color="auto" w:fill="auto"/>
            <w:vAlign w:val="center"/>
          </w:tcPr>
          <w:p w:rsidR="00BD3725" w:rsidRPr="00E86236" w:rsidRDefault="00BD3725" w:rsidP="00F050CA">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IZM, 70.11.00</w:t>
            </w:r>
          </w:p>
        </w:tc>
        <w:tc>
          <w:tcPr>
            <w:tcW w:w="1559" w:type="dxa"/>
            <w:shd w:val="clear" w:color="auto" w:fill="auto"/>
            <w:vAlign w:val="center"/>
          </w:tcPr>
          <w:p w:rsidR="00BD3725" w:rsidRPr="00E86236" w:rsidRDefault="00BD3725" w:rsidP="009B6C5B">
            <w:pPr>
              <w:spacing w:after="0" w:line="240" w:lineRule="auto"/>
              <w:rPr>
                <w:rFonts w:ascii="Times New Roman" w:eastAsia="Calibri" w:hAnsi="Times New Roman"/>
                <w:sz w:val="20"/>
                <w:szCs w:val="20"/>
                <w:lang w:eastAsia="lv-LV"/>
              </w:rPr>
            </w:pPr>
            <w:r w:rsidRPr="00E86236">
              <w:rPr>
                <w:rFonts w:ascii="Times New Roman" w:eastAsia="Calibri" w:hAnsi="Times New Roman"/>
                <w:sz w:val="20"/>
                <w:szCs w:val="20"/>
                <w:lang w:eastAsia="lv-LV"/>
              </w:rPr>
              <w:t>7.4.3. sadaļa, 3.pielikums</w:t>
            </w:r>
          </w:p>
        </w:tc>
      </w:tr>
      <w:tr w:rsidR="00BD3725" w:rsidRPr="0033621A" w:rsidTr="009B6C5B">
        <w:trPr>
          <w:trHeight w:val="237"/>
        </w:trPr>
        <w:tc>
          <w:tcPr>
            <w:tcW w:w="534" w:type="dxa"/>
            <w:vAlign w:val="center"/>
          </w:tcPr>
          <w:p w:rsidR="00BD3725" w:rsidRPr="00BD3725" w:rsidRDefault="00F050CA" w:rsidP="00F050CA">
            <w:pPr>
              <w:spacing w:after="0" w:line="240" w:lineRule="auto"/>
              <w:rPr>
                <w:rFonts w:ascii="Times New Roman" w:eastAsia="Calibri" w:hAnsi="Times New Roman"/>
                <w:sz w:val="20"/>
                <w:szCs w:val="20"/>
                <w:lang w:eastAsia="lv-LV"/>
              </w:rPr>
            </w:pPr>
            <w:r>
              <w:rPr>
                <w:rFonts w:ascii="Times New Roman" w:eastAsia="Calibri" w:hAnsi="Times New Roman"/>
                <w:sz w:val="20"/>
                <w:szCs w:val="20"/>
                <w:lang w:eastAsia="lv-LV"/>
              </w:rPr>
              <w:t>9.</w:t>
            </w:r>
          </w:p>
        </w:tc>
        <w:tc>
          <w:tcPr>
            <w:tcW w:w="1701" w:type="dxa"/>
            <w:shd w:val="clear" w:color="auto" w:fill="auto"/>
            <w:vAlign w:val="center"/>
          </w:tcPr>
          <w:p w:rsidR="00F238EF" w:rsidRPr="00E86236" w:rsidRDefault="00BD3725" w:rsidP="00F050CA">
            <w:pPr>
              <w:spacing w:after="0" w:line="240" w:lineRule="auto"/>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EAAL (</w:t>
            </w:r>
            <w:proofErr w:type="spellStart"/>
            <w:r w:rsidRPr="00E86236">
              <w:rPr>
                <w:rFonts w:ascii="Times New Roman" w:eastAsia="Calibri" w:hAnsi="Times New Roman"/>
                <w:i/>
                <w:sz w:val="20"/>
                <w:szCs w:val="20"/>
                <w:lang w:eastAsia="lv-LV"/>
              </w:rPr>
              <w:t>National</w:t>
            </w:r>
            <w:proofErr w:type="spellEnd"/>
            <w:r w:rsidRPr="00E86236">
              <w:rPr>
                <w:rFonts w:ascii="Times New Roman" w:eastAsia="Calibri" w:hAnsi="Times New Roman"/>
                <w:i/>
                <w:sz w:val="20"/>
                <w:szCs w:val="20"/>
                <w:lang w:eastAsia="lv-LV"/>
              </w:rPr>
              <w:t xml:space="preserve"> </w:t>
            </w:r>
            <w:proofErr w:type="spellStart"/>
            <w:r w:rsidRPr="00E86236">
              <w:rPr>
                <w:rFonts w:ascii="Times New Roman" w:eastAsia="Calibri" w:hAnsi="Times New Roman"/>
                <w:i/>
                <w:sz w:val="20"/>
                <w:szCs w:val="20"/>
                <w:lang w:eastAsia="lv-LV"/>
              </w:rPr>
              <w:t>Coordinators</w:t>
            </w:r>
            <w:proofErr w:type="spellEnd"/>
            <w:r w:rsidRPr="00E86236">
              <w:rPr>
                <w:rFonts w:ascii="Times New Roman" w:eastAsia="Calibri" w:hAnsi="Times New Roman"/>
                <w:i/>
                <w:sz w:val="20"/>
                <w:szCs w:val="20"/>
                <w:lang w:eastAsia="lv-LV"/>
              </w:rPr>
              <w:t xml:space="preserve"> EU </w:t>
            </w:r>
            <w:proofErr w:type="spellStart"/>
            <w:r w:rsidRPr="00E86236">
              <w:rPr>
                <w:rFonts w:ascii="Times New Roman" w:eastAsia="Calibri" w:hAnsi="Times New Roman"/>
                <w:i/>
                <w:sz w:val="20"/>
                <w:szCs w:val="20"/>
                <w:lang w:eastAsia="lv-LV"/>
              </w:rPr>
              <w:t>Agenda</w:t>
            </w:r>
            <w:proofErr w:type="spellEnd"/>
            <w:r w:rsidRPr="00E86236">
              <w:rPr>
                <w:rFonts w:ascii="Times New Roman" w:eastAsia="Calibri" w:hAnsi="Times New Roman"/>
                <w:i/>
                <w:sz w:val="20"/>
                <w:szCs w:val="20"/>
                <w:lang w:eastAsia="lv-LV"/>
              </w:rPr>
              <w:t xml:space="preserve"> </w:t>
            </w:r>
            <w:proofErr w:type="spellStart"/>
            <w:r w:rsidRPr="00E86236">
              <w:rPr>
                <w:rFonts w:ascii="Times New Roman" w:eastAsia="Calibri" w:hAnsi="Times New Roman"/>
                <w:i/>
                <w:sz w:val="20"/>
                <w:szCs w:val="20"/>
                <w:lang w:eastAsia="lv-LV"/>
              </w:rPr>
              <w:t>for</w:t>
            </w:r>
            <w:proofErr w:type="spellEnd"/>
            <w:r w:rsidRPr="00E86236">
              <w:rPr>
                <w:rFonts w:ascii="Times New Roman" w:eastAsia="Calibri" w:hAnsi="Times New Roman"/>
                <w:i/>
                <w:sz w:val="20"/>
                <w:szCs w:val="20"/>
                <w:lang w:eastAsia="lv-LV"/>
              </w:rPr>
              <w:t xml:space="preserve"> </w:t>
            </w:r>
            <w:proofErr w:type="spellStart"/>
            <w:r w:rsidRPr="00E86236">
              <w:rPr>
                <w:rFonts w:ascii="Times New Roman" w:eastAsia="Calibri" w:hAnsi="Times New Roman"/>
                <w:i/>
                <w:sz w:val="20"/>
                <w:szCs w:val="20"/>
                <w:lang w:eastAsia="lv-LV"/>
              </w:rPr>
              <w:t>Adult</w:t>
            </w:r>
            <w:proofErr w:type="spellEnd"/>
            <w:r w:rsidRPr="00E86236">
              <w:rPr>
                <w:rFonts w:ascii="Times New Roman" w:eastAsia="Calibri" w:hAnsi="Times New Roman"/>
                <w:i/>
                <w:sz w:val="20"/>
                <w:szCs w:val="20"/>
                <w:lang w:eastAsia="lv-LV"/>
              </w:rPr>
              <w:t xml:space="preserve"> </w:t>
            </w:r>
            <w:proofErr w:type="spellStart"/>
            <w:r w:rsidRPr="00E86236">
              <w:rPr>
                <w:rFonts w:ascii="Times New Roman" w:eastAsia="Calibri" w:hAnsi="Times New Roman"/>
                <w:i/>
                <w:sz w:val="20"/>
                <w:szCs w:val="20"/>
                <w:lang w:eastAsia="lv-LV"/>
              </w:rPr>
              <w:t>learning</w:t>
            </w:r>
            <w:proofErr w:type="spellEnd"/>
            <w:r w:rsidRPr="00E86236">
              <w:rPr>
                <w:rFonts w:ascii="Times New Roman" w:eastAsia="Calibri" w:hAnsi="Times New Roman"/>
                <w:i/>
                <w:sz w:val="20"/>
                <w:szCs w:val="20"/>
                <w:lang w:eastAsia="lv-LV"/>
              </w:rPr>
              <w:t>)</w:t>
            </w:r>
          </w:p>
        </w:tc>
        <w:tc>
          <w:tcPr>
            <w:tcW w:w="1559" w:type="dxa"/>
            <w:shd w:val="clear" w:color="auto" w:fill="auto"/>
            <w:vAlign w:val="center"/>
          </w:tcPr>
          <w:p w:rsidR="00BD3725" w:rsidRPr="00660A3A" w:rsidRDefault="006A6AE1"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96 680</w:t>
            </w:r>
          </w:p>
        </w:tc>
        <w:tc>
          <w:tcPr>
            <w:tcW w:w="1417" w:type="dxa"/>
            <w:shd w:val="clear" w:color="auto" w:fill="auto"/>
            <w:vAlign w:val="center"/>
          </w:tcPr>
          <w:p w:rsidR="00BD3725" w:rsidRPr="00660A3A" w:rsidRDefault="00BD3725"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75%</w:t>
            </w:r>
          </w:p>
        </w:tc>
        <w:tc>
          <w:tcPr>
            <w:tcW w:w="1560" w:type="dxa"/>
            <w:shd w:val="clear" w:color="auto" w:fill="auto"/>
            <w:vAlign w:val="center"/>
          </w:tcPr>
          <w:p w:rsidR="00BD3725" w:rsidRPr="00660A3A" w:rsidRDefault="00300993"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32 227</w:t>
            </w:r>
          </w:p>
        </w:tc>
        <w:tc>
          <w:tcPr>
            <w:tcW w:w="1417" w:type="dxa"/>
            <w:shd w:val="clear" w:color="auto" w:fill="auto"/>
            <w:vAlign w:val="center"/>
          </w:tcPr>
          <w:p w:rsidR="00BD3725" w:rsidRPr="00E86236" w:rsidRDefault="00BD3725" w:rsidP="00F050CA">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IZM, 70.11.00</w:t>
            </w:r>
          </w:p>
        </w:tc>
        <w:tc>
          <w:tcPr>
            <w:tcW w:w="1559" w:type="dxa"/>
            <w:shd w:val="clear" w:color="auto" w:fill="auto"/>
            <w:vAlign w:val="center"/>
          </w:tcPr>
          <w:p w:rsidR="00BD3725" w:rsidRPr="00E86236" w:rsidRDefault="00BD3725" w:rsidP="009B6C5B">
            <w:pPr>
              <w:spacing w:after="0" w:line="240" w:lineRule="auto"/>
              <w:rPr>
                <w:rFonts w:ascii="Times New Roman" w:eastAsia="Calibri" w:hAnsi="Times New Roman"/>
                <w:sz w:val="20"/>
                <w:szCs w:val="20"/>
                <w:lang w:eastAsia="lv-LV"/>
              </w:rPr>
            </w:pPr>
            <w:r w:rsidRPr="00E86236">
              <w:rPr>
                <w:rFonts w:ascii="Times New Roman" w:eastAsia="Calibri" w:hAnsi="Times New Roman"/>
                <w:sz w:val="20"/>
                <w:szCs w:val="20"/>
                <w:lang w:eastAsia="lv-LV"/>
              </w:rPr>
              <w:t>8.4.3.10. sadaļa, 3.pielikums</w:t>
            </w:r>
          </w:p>
        </w:tc>
      </w:tr>
      <w:tr w:rsidR="00BD3725" w:rsidRPr="0033621A" w:rsidTr="009B6C5B">
        <w:trPr>
          <w:trHeight w:val="237"/>
        </w:trPr>
        <w:tc>
          <w:tcPr>
            <w:tcW w:w="534" w:type="dxa"/>
            <w:vAlign w:val="center"/>
          </w:tcPr>
          <w:p w:rsidR="00BD3725" w:rsidRPr="00BD3725" w:rsidRDefault="00F050CA" w:rsidP="00F050CA">
            <w:pPr>
              <w:spacing w:after="0" w:line="240" w:lineRule="auto"/>
              <w:rPr>
                <w:rFonts w:ascii="Times New Roman" w:eastAsia="Calibri" w:hAnsi="Times New Roman"/>
                <w:sz w:val="20"/>
                <w:szCs w:val="20"/>
                <w:lang w:eastAsia="lv-LV"/>
              </w:rPr>
            </w:pPr>
            <w:r>
              <w:rPr>
                <w:rFonts w:ascii="Times New Roman" w:eastAsia="Calibri" w:hAnsi="Times New Roman"/>
                <w:sz w:val="20"/>
                <w:szCs w:val="20"/>
                <w:lang w:eastAsia="lv-LV"/>
              </w:rPr>
              <w:t>10.</w:t>
            </w:r>
          </w:p>
        </w:tc>
        <w:tc>
          <w:tcPr>
            <w:tcW w:w="1701" w:type="dxa"/>
            <w:shd w:val="clear" w:color="auto" w:fill="auto"/>
            <w:vAlign w:val="center"/>
          </w:tcPr>
          <w:p w:rsidR="00F238EF" w:rsidRPr="00E86236" w:rsidRDefault="00BD3725" w:rsidP="00F050CA">
            <w:pPr>
              <w:spacing w:after="0" w:line="240" w:lineRule="auto"/>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 xml:space="preserve">EQF </w:t>
            </w:r>
            <w:proofErr w:type="spellStart"/>
            <w:r w:rsidRPr="00E86236">
              <w:rPr>
                <w:rFonts w:ascii="Times New Roman" w:eastAsia="Calibri" w:hAnsi="Times New Roman"/>
                <w:i/>
                <w:sz w:val="20"/>
                <w:szCs w:val="20"/>
                <w:lang w:eastAsia="lv-LV"/>
              </w:rPr>
              <w:t>National</w:t>
            </w:r>
            <w:proofErr w:type="spellEnd"/>
            <w:r w:rsidRPr="00E86236">
              <w:rPr>
                <w:rFonts w:ascii="Times New Roman" w:eastAsia="Calibri" w:hAnsi="Times New Roman"/>
                <w:i/>
                <w:sz w:val="20"/>
                <w:szCs w:val="20"/>
                <w:lang w:eastAsia="lv-LV"/>
              </w:rPr>
              <w:t xml:space="preserve"> </w:t>
            </w:r>
            <w:proofErr w:type="spellStart"/>
            <w:r w:rsidRPr="00E86236">
              <w:rPr>
                <w:rFonts w:ascii="Times New Roman" w:eastAsia="Calibri" w:hAnsi="Times New Roman"/>
                <w:i/>
                <w:sz w:val="20"/>
                <w:szCs w:val="20"/>
                <w:lang w:eastAsia="lv-LV"/>
              </w:rPr>
              <w:t>Coordination</w:t>
            </w:r>
            <w:proofErr w:type="spellEnd"/>
            <w:r w:rsidRPr="00E86236">
              <w:rPr>
                <w:rFonts w:ascii="Times New Roman" w:eastAsia="Calibri" w:hAnsi="Times New Roman"/>
                <w:i/>
                <w:sz w:val="20"/>
                <w:szCs w:val="20"/>
                <w:lang w:eastAsia="lv-LV"/>
              </w:rPr>
              <w:t xml:space="preserve"> </w:t>
            </w:r>
            <w:proofErr w:type="spellStart"/>
            <w:r w:rsidRPr="00E86236">
              <w:rPr>
                <w:rFonts w:ascii="Times New Roman" w:eastAsia="Calibri" w:hAnsi="Times New Roman"/>
                <w:i/>
                <w:sz w:val="20"/>
                <w:szCs w:val="20"/>
                <w:lang w:eastAsia="lv-LV"/>
              </w:rPr>
              <w:t>Points</w:t>
            </w:r>
            <w:proofErr w:type="spellEnd"/>
          </w:p>
        </w:tc>
        <w:tc>
          <w:tcPr>
            <w:tcW w:w="1559" w:type="dxa"/>
            <w:shd w:val="clear" w:color="auto" w:fill="auto"/>
            <w:vAlign w:val="center"/>
          </w:tcPr>
          <w:p w:rsidR="00BD3725" w:rsidRPr="00660A3A" w:rsidRDefault="00CA2C62" w:rsidP="00F050CA">
            <w:pPr>
              <w:spacing w:after="0" w:line="240" w:lineRule="auto"/>
              <w:jc w:val="center"/>
              <w:rPr>
                <w:rFonts w:ascii="Times New Roman" w:eastAsia="Calibri" w:hAnsi="Times New Roman"/>
                <w:sz w:val="20"/>
                <w:szCs w:val="20"/>
                <w:vertAlign w:val="superscript"/>
                <w:lang w:eastAsia="lv-LV"/>
              </w:rPr>
            </w:pPr>
            <w:r w:rsidRPr="00660A3A">
              <w:rPr>
                <w:rFonts w:ascii="Times New Roman" w:eastAsia="Calibri" w:hAnsi="Times New Roman"/>
                <w:sz w:val="20"/>
                <w:szCs w:val="20"/>
                <w:lang w:eastAsia="lv-LV"/>
              </w:rPr>
              <w:t>35 000</w:t>
            </w:r>
          </w:p>
        </w:tc>
        <w:tc>
          <w:tcPr>
            <w:tcW w:w="1417" w:type="dxa"/>
            <w:shd w:val="clear" w:color="auto" w:fill="auto"/>
            <w:vAlign w:val="center"/>
          </w:tcPr>
          <w:p w:rsidR="00BD3725" w:rsidRPr="00660A3A" w:rsidRDefault="00BD3725"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85%</w:t>
            </w:r>
          </w:p>
        </w:tc>
        <w:tc>
          <w:tcPr>
            <w:tcW w:w="1560" w:type="dxa"/>
            <w:shd w:val="clear" w:color="auto" w:fill="auto"/>
            <w:vAlign w:val="center"/>
          </w:tcPr>
          <w:p w:rsidR="00BD3725" w:rsidRPr="00660A3A" w:rsidRDefault="00BD3725" w:rsidP="00F050CA">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6 177</w:t>
            </w:r>
          </w:p>
        </w:tc>
        <w:tc>
          <w:tcPr>
            <w:tcW w:w="1417" w:type="dxa"/>
            <w:shd w:val="clear" w:color="auto" w:fill="auto"/>
            <w:vAlign w:val="center"/>
          </w:tcPr>
          <w:p w:rsidR="00BD3725" w:rsidRPr="00E86236" w:rsidRDefault="00BD3725" w:rsidP="00F050CA">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AIC, IZM, 70.11.00</w:t>
            </w:r>
          </w:p>
        </w:tc>
        <w:tc>
          <w:tcPr>
            <w:tcW w:w="1559" w:type="dxa"/>
            <w:shd w:val="clear" w:color="auto" w:fill="auto"/>
            <w:vAlign w:val="center"/>
          </w:tcPr>
          <w:p w:rsidR="00BD3725" w:rsidRPr="00E86236" w:rsidRDefault="00BD3725" w:rsidP="009B6C5B">
            <w:pPr>
              <w:spacing w:after="0" w:line="240" w:lineRule="auto"/>
              <w:rPr>
                <w:rFonts w:ascii="Times New Roman" w:eastAsia="Calibri" w:hAnsi="Times New Roman"/>
                <w:sz w:val="20"/>
                <w:szCs w:val="20"/>
                <w:lang w:eastAsia="lv-LV"/>
              </w:rPr>
            </w:pPr>
            <w:r w:rsidRPr="00E86236">
              <w:rPr>
                <w:rFonts w:ascii="Times New Roman" w:eastAsia="Calibri" w:hAnsi="Times New Roman"/>
                <w:sz w:val="20"/>
                <w:szCs w:val="20"/>
                <w:lang w:eastAsia="lv-LV"/>
              </w:rPr>
              <w:t>8.4.3.8. sadaļa, 3.pielikums</w:t>
            </w:r>
          </w:p>
        </w:tc>
      </w:tr>
      <w:tr w:rsidR="009B6C5B" w:rsidRPr="0033621A" w:rsidTr="009B6C5B">
        <w:trPr>
          <w:trHeight w:val="237"/>
        </w:trPr>
        <w:tc>
          <w:tcPr>
            <w:tcW w:w="534" w:type="dxa"/>
            <w:vAlign w:val="center"/>
          </w:tcPr>
          <w:p w:rsidR="009B6C5B" w:rsidRDefault="009B6C5B" w:rsidP="00F050CA">
            <w:pPr>
              <w:spacing w:after="0" w:line="240" w:lineRule="auto"/>
              <w:rPr>
                <w:rFonts w:ascii="Times New Roman" w:eastAsia="Calibri" w:hAnsi="Times New Roman"/>
                <w:sz w:val="20"/>
                <w:szCs w:val="20"/>
                <w:lang w:eastAsia="lv-LV"/>
              </w:rPr>
            </w:pPr>
            <w:r>
              <w:rPr>
                <w:rFonts w:ascii="Times New Roman" w:eastAsia="Calibri" w:hAnsi="Times New Roman"/>
                <w:sz w:val="20"/>
                <w:szCs w:val="20"/>
                <w:lang w:eastAsia="lv-LV"/>
              </w:rPr>
              <w:t>11.</w:t>
            </w:r>
          </w:p>
        </w:tc>
        <w:tc>
          <w:tcPr>
            <w:tcW w:w="1701" w:type="dxa"/>
            <w:shd w:val="clear" w:color="auto" w:fill="auto"/>
            <w:vAlign w:val="center"/>
          </w:tcPr>
          <w:p w:rsidR="009B6C5B" w:rsidRPr="00E86236" w:rsidRDefault="009B6C5B" w:rsidP="00F050CA">
            <w:pPr>
              <w:spacing w:after="0" w:line="240" w:lineRule="auto"/>
              <w:rPr>
                <w:rFonts w:ascii="Times New Roman" w:eastAsia="Calibri" w:hAnsi="Times New Roman"/>
                <w:i/>
                <w:sz w:val="20"/>
                <w:szCs w:val="20"/>
                <w:lang w:eastAsia="lv-LV"/>
              </w:rPr>
            </w:pPr>
            <w:r w:rsidRPr="009B6C5B">
              <w:rPr>
                <w:rFonts w:ascii="Times New Roman" w:eastAsia="Calibri" w:hAnsi="Times New Roman"/>
                <w:i/>
                <w:sz w:val="20"/>
                <w:szCs w:val="20"/>
                <w:lang w:eastAsia="lv-LV"/>
              </w:rPr>
              <w:t>EQF-</w:t>
            </w:r>
            <w:proofErr w:type="spellStart"/>
            <w:r w:rsidRPr="009B6C5B">
              <w:rPr>
                <w:rFonts w:ascii="Times New Roman" w:eastAsia="Calibri" w:hAnsi="Times New Roman"/>
                <w:i/>
                <w:sz w:val="20"/>
                <w:szCs w:val="20"/>
                <w:lang w:eastAsia="lv-LV"/>
              </w:rPr>
              <w:t>Ploteus</w:t>
            </w:r>
            <w:proofErr w:type="spellEnd"/>
          </w:p>
        </w:tc>
        <w:tc>
          <w:tcPr>
            <w:tcW w:w="1559" w:type="dxa"/>
            <w:shd w:val="clear" w:color="auto" w:fill="auto"/>
            <w:vAlign w:val="center"/>
          </w:tcPr>
          <w:p w:rsidR="009B6C5B" w:rsidRPr="00660A3A" w:rsidRDefault="009B6C5B" w:rsidP="009B6C5B">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6 903</w:t>
            </w:r>
          </w:p>
        </w:tc>
        <w:tc>
          <w:tcPr>
            <w:tcW w:w="1417" w:type="dxa"/>
            <w:shd w:val="clear" w:color="auto" w:fill="auto"/>
            <w:vAlign w:val="center"/>
          </w:tcPr>
          <w:p w:rsidR="009B6C5B" w:rsidRPr="00660A3A" w:rsidRDefault="009B6C5B" w:rsidP="009B6C5B">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75%</w:t>
            </w:r>
          </w:p>
        </w:tc>
        <w:tc>
          <w:tcPr>
            <w:tcW w:w="1560" w:type="dxa"/>
            <w:shd w:val="clear" w:color="auto" w:fill="auto"/>
            <w:vAlign w:val="center"/>
          </w:tcPr>
          <w:p w:rsidR="009B6C5B" w:rsidRPr="00660A3A" w:rsidRDefault="009B6C5B" w:rsidP="009B6C5B">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w:t>
            </w:r>
          </w:p>
        </w:tc>
        <w:tc>
          <w:tcPr>
            <w:tcW w:w="1417" w:type="dxa"/>
            <w:shd w:val="clear" w:color="auto" w:fill="auto"/>
            <w:vAlign w:val="center"/>
          </w:tcPr>
          <w:p w:rsidR="009B6C5B" w:rsidRPr="009B6C5B" w:rsidRDefault="009B6C5B" w:rsidP="009B6C5B">
            <w:pPr>
              <w:spacing w:after="0" w:line="240" w:lineRule="auto"/>
              <w:jc w:val="center"/>
              <w:rPr>
                <w:rFonts w:ascii="Times New Roman" w:eastAsia="Calibri" w:hAnsi="Times New Roman"/>
                <w:sz w:val="20"/>
                <w:szCs w:val="20"/>
                <w:lang w:eastAsia="lv-LV"/>
              </w:rPr>
            </w:pPr>
            <w:r w:rsidRPr="009B6C5B">
              <w:rPr>
                <w:rFonts w:ascii="Times New Roman" w:eastAsia="Calibri" w:hAnsi="Times New Roman"/>
                <w:sz w:val="20"/>
                <w:szCs w:val="20"/>
                <w:lang w:eastAsia="lv-LV"/>
              </w:rPr>
              <w:t>VIAA, 70.08.00</w:t>
            </w:r>
          </w:p>
        </w:tc>
        <w:tc>
          <w:tcPr>
            <w:tcW w:w="1559" w:type="dxa"/>
            <w:shd w:val="clear" w:color="auto" w:fill="auto"/>
            <w:vAlign w:val="center"/>
          </w:tcPr>
          <w:p w:rsidR="009B6C5B" w:rsidRPr="009B6C5B" w:rsidRDefault="009B6C5B" w:rsidP="009B6C5B">
            <w:pPr>
              <w:spacing w:after="0" w:line="240" w:lineRule="auto"/>
              <w:rPr>
                <w:rFonts w:ascii="Times New Roman" w:eastAsia="Calibri" w:hAnsi="Times New Roman"/>
                <w:sz w:val="20"/>
                <w:szCs w:val="20"/>
                <w:lang w:eastAsia="lv-LV"/>
              </w:rPr>
            </w:pPr>
            <w:r w:rsidRPr="009B6C5B">
              <w:rPr>
                <w:rFonts w:ascii="Times New Roman" w:eastAsia="Calibri" w:hAnsi="Times New Roman"/>
                <w:sz w:val="20"/>
                <w:szCs w:val="20"/>
                <w:lang w:eastAsia="lv-LV"/>
              </w:rPr>
              <w:t>7.4.4.1., 8.4.3.2. sadaļa</w:t>
            </w:r>
          </w:p>
        </w:tc>
      </w:tr>
      <w:tr w:rsidR="009B6C5B" w:rsidRPr="001073A1" w:rsidTr="00B0595F">
        <w:trPr>
          <w:trHeight w:val="237"/>
        </w:trPr>
        <w:tc>
          <w:tcPr>
            <w:tcW w:w="534" w:type="dxa"/>
          </w:tcPr>
          <w:p w:rsidR="009B6C5B" w:rsidRPr="001073A1" w:rsidRDefault="009B6C5B" w:rsidP="001E2665">
            <w:pPr>
              <w:spacing w:after="0" w:line="240" w:lineRule="auto"/>
              <w:jc w:val="both"/>
              <w:rPr>
                <w:rFonts w:ascii="Times New Roman" w:eastAsia="Calibri" w:hAnsi="Times New Roman"/>
                <w:b/>
                <w:sz w:val="20"/>
                <w:szCs w:val="20"/>
                <w:lang w:eastAsia="lv-LV"/>
              </w:rPr>
            </w:pPr>
          </w:p>
        </w:tc>
        <w:tc>
          <w:tcPr>
            <w:tcW w:w="1701" w:type="dxa"/>
            <w:shd w:val="clear" w:color="auto" w:fill="auto"/>
          </w:tcPr>
          <w:p w:rsidR="009B6C5B" w:rsidRPr="00646B59" w:rsidRDefault="009B6C5B" w:rsidP="00F050CA">
            <w:pPr>
              <w:spacing w:after="0" w:line="240" w:lineRule="auto"/>
              <w:jc w:val="both"/>
              <w:rPr>
                <w:rFonts w:ascii="Times New Roman" w:eastAsia="Calibri" w:hAnsi="Times New Roman"/>
                <w:i/>
                <w:sz w:val="19"/>
                <w:szCs w:val="19"/>
                <w:lang w:eastAsia="lv-LV"/>
              </w:rPr>
            </w:pPr>
            <w:r w:rsidRPr="00646B59">
              <w:rPr>
                <w:rFonts w:ascii="Times New Roman" w:eastAsia="Calibri" w:hAnsi="Times New Roman"/>
                <w:i/>
                <w:sz w:val="20"/>
                <w:szCs w:val="20"/>
                <w:lang w:eastAsia="lv-LV"/>
              </w:rPr>
              <w:t>Kopā</w:t>
            </w:r>
          </w:p>
        </w:tc>
        <w:tc>
          <w:tcPr>
            <w:tcW w:w="1559" w:type="dxa"/>
            <w:shd w:val="clear" w:color="auto" w:fill="auto"/>
            <w:vAlign w:val="center"/>
          </w:tcPr>
          <w:p w:rsidR="009B6C5B" w:rsidRPr="00646B59" w:rsidRDefault="009B6C5B"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615 016</w:t>
            </w:r>
          </w:p>
        </w:tc>
        <w:tc>
          <w:tcPr>
            <w:tcW w:w="1417" w:type="dxa"/>
            <w:shd w:val="clear" w:color="auto" w:fill="auto"/>
            <w:vAlign w:val="center"/>
          </w:tcPr>
          <w:p w:rsidR="009B6C5B" w:rsidRPr="00646B59" w:rsidRDefault="009B6C5B"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x</w:t>
            </w:r>
          </w:p>
        </w:tc>
        <w:tc>
          <w:tcPr>
            <w:tcW w:w="1560" w:type="dxa"/>
            <w:shd w:val="clear" w:color="auto" w:fill="auto"/>
            <w:vAlign w:val="center"/>
          </w:tcPr>
          <w:p w:rsidR="009B6C5B" w:rsidRPr="00646B59" w:rsidRDefault="001E30D5"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209 248</w:t>
            </w:r>
          </w:p>
        </w:tc>
        <w:tc>
          <w:tcPr>
            <w:tcW w:w="1417" w:type="dxa"/>
            <w:shd w:val="clear" w:color="auto" w:fill="auto"/>
            <w:vAlign w:val="center"/>
          </w:tcPr>
          <w:p w:rsidR="009B6C5B" w:rsidRPr="00646B59" w:rsidRDefault="009B6C5B"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x</w:t>
            </w:r>
          </w:p>
        </w:tc>
        <w:tc>
          <w:tcPr>
            <w:tcW w:w="1559" w:type="dxa"/>
            <w:shd w:val="clear" w:color="auto" w:fill="auto"/>
            <w:vAlign w:val="center"/>
          </w:tcPr>
          <w:p w:rsidR="009B6C5B" w:rsidRPr="00646B59" w:rsidRDefault="009B6C5B"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x</w:t>
            </w:r>
          </w:p>
        </w:tc>
      </w:tr>
      <w:tr w:rsidR="009B6C5B" w:rsidRPr="001073A1" w:rsidTr="00B0595F">
        <w:trPr>
          <w:trHeight w:val="237"/>
        </w:trPr>
        <w:tc>
          <w:tcPr>
            <w:tcW w:w="534" w:type="dxa"/>
          </w:tcPr>
          <w:p w:rsidR="009B6C5B" w:rsidRPr="001073A1" w:rsidRDefault="009B6C5B" w:rsidP="001E2665">
            <w:pPr>
              <w:spacing w:after="0" w:line="240" w:lineRule="auto"/>
              <w:jc w:val="both"/>
              <w:rPr>
                <w:rFonts w:ascii="Times New Roman" w:eastAsia="Calibri" w:hAnsi="Times New Roman"/>
                <w:b/>
                <w:sz w:val="20"/>
                <w:szCs w:val="20"/>
                <w:lang w:eastAsia="lv-LV"/>
              </w:rPr>
            </w:pPr>
          </w:p>
        </w:tc>
        <w:tc>
          <w:tcPr>
            <w:tcW w:w="1701" w:type="dxa"/>
            <w:shd w:val="clear" w:color="auto" w:fill="auto"/>
          </w:tcPr>
          <w:p w:rsidR="009B6C5B" w:rsidRPr="00646B59" w:rsidRDefault="009B6C5B" w:rsidP="00F050CA">
            <w:pPr>
              <w:spacing w:after="0" w:line="240" w:lineRule="auto"/>
              <w:jc w:val="both"/>
              <w:rPr>
                <w:rFonts w:ascii="Times New Roman" w:eastAsia="Calibri" w:hAnsi="Times New Roman"/>
                <w:i/>
                <w:sz w:val="20"/>
                <w:szCs w:val="20"/>
                <w:lang w:eastAsia="lv-LV"/>
              </w:rPr>
            </w:pPr>
            <w:r w:rsidRPr="00646B59">
              <w:rPr>
                <w:rFonts w:ascii="Times New Roman" w:eastAsia="Calibri" w:hAnsi="Times New Roman"/>
                <w:i/>
                <w:sz w:val="20"/>
                <w:szCs w:val="20"/>
                <w:lang w:eastAsia="lv-LV"/>
              </w:rPr>
              <w:t>tai skaitā:</w:t>
            </w:r>
          </w:p>
        </w:tc>
        <w:tc>
          <w:tcPr>
            <w:tcW w:w="1559" w:type="dxa"/>
            <w:shd w:val="clear" w:color="auto" w:fill="auto"/>
            <w:vAlign w:val="center"/>
          </w:tcPr>
          <w:p w:rsidR="009B6C5B" w:rsidRPr="00646B59" w:rsidRDefault="009B6C5B" w:rsidP="001073A1">
            <w:pPr>
              <w:spacing w:after="0" w:line="240" w:lineRule="auto"/>
              <w:jc w:val="center"/>
              <w:rPr>
                <w:rFonts w:ascii="Times New Roman" w:eastAsia="Calibri" w:hAnsi="Times New Roman"/>
                <w:sz w:val="20"/>
                <w:szCs w:val="20"/>
                <w:lang w:eastAsia="lv-LV"/>
              </w:rPr>
            </w:pPr>
          </w:p>
        </w:tc>
        <w:tc>
          <w:tcPr>
            <w:tcW w:w="1417" w:type="dxa"/>
            <w:shd w:val="clear" w:color="auto" w:fill="auto"/>
            <w:vAlign w:val="center"/>
          </w:tcPr>
          <w:p w:rsidR="009B6C5B" w:rsidRPr="00646B59" w:rsidRDefault="009B6C5B" w:rsidP="001073A1">
            <w:pPr>
              <w:spacing w:after="0" w:line="240" w:lineRule="auto"/>
              <w:jc w:val="center"/>
              <w:rPr>
                <w:rFonts w:ascii="Times New Roman" w:eastAsia="Calibri" w:hAnsi="Times New Roman"/>
                <w:sz w:val="20"/>
                <w:szCs w:val="20"/>
                <w:lang w:eastAsia="lv-LV"/>
              </w:rPr>
            </w:pPr>
          </w:p>
        </w:tc>
        <w:tc>
          <w:tcPr>
            <w:tcW w:w="1560" w:type="dxa"/>
            <w:shd w:val="clear" w:color="auto" w:fill="auto"/>
            <w:vAlign w:val="center"/>
          </w:tcPr>
          <w:p w:rsidR="009B6C5B" w:rsidRPr="00646B59" w:rsidRDefault="009B6C5B" w:rsidP="001073A1">
            <w:pPr>
              <w:spacing w:after="0" w:line="240" w:lineRule="auto"/>
              <w:jc w:val="center"/>
              <w:rPr>
                <w:rFonts w:ascii="Times New Roman" w:eastAsia="Calibri" w:hAnsi="Times New Roman"/>
                <w:sz w:val="20"/>
                <w:szCs w:val="20"/>
                <w:lang w:eastAsia="lv-LV"/>
              </w:rPr>
            </w:pPr>
          </w:p>
        </w:tc>
        <w:tc>
          <w:tcPr>
            <w:tcW w:w="1417" w:type="dxa"/>
            <w:shd w:val="clear" w:color="auto" w:fill="auto"/>
            <w:vAlign w:val="center"/>
          </w:tcPr>
          <w:p w:rsidR="009B6C5B" w:rsidRPr="00646B59" w:rsidRDefault="009B6C5B" w:rsidP="001073A1">
            <w:pPr>
              <w:spacing w:after="0" w:line="240" w:lineRule="auto"/>
              <w:jc w:val="center"/>
              <w:rPr>
                <w:rFonts w:ascii="Times New Roman" w:eastAsia="Calibri" w:hAnsi="Times New Roman"/>
                <w:sz w:val="20"/>
                <w:szCs w:val="20"/>
                <w:lang w:eastAsia="lv-LV"/>
              </w:rPr>
            </w:pPr>
          </w:p>
        </w:tc>
        <w:tc>
          <w:tcPr>
            <w:tcW w:w="1559" w:type="dxa"/>
            <w:shd w:val="clear" w:color="auto" w:fill="auto"/>
            <w:vAlign w:val="center"/>
          </w:tcPr>
          <w:p w:rsidR="009B6C5B" w:rsidRPr="00646B59" w:rsidRDefault="009B6C5B" w:rsidP="001073A1">
            <w:pPr>
              <w:spacing w:after="0" w:line="240" w:lineRule="auto"/>
              <w:jc w:val="center"/>
              <w:rPr>
                <w:rFonts w:ascii="Times New Roman" w:eastAsia="Calibri" w:hAnsi="Times New Roman"/>
                <w:sz w:val="20"/>
                <w:szCs w:val="20"/>
                <w:lang w:eastAsia="lv-LV"/>
              </w:rPr>
            </w:pPr>
          </w:p>
        </w:tc>
      </w:tr>
      <w:tr w:rsidR="009B6C5B" w:rsidRPr="0033621A" w:rsidTr="00B0595F">
        <w:trPr>
          <w:trHeight w:val="237"/>
        </w:trPr>
        <w:tc>
          <w:tcPr>
            <w:tcW w:w="534" w:type="dxa"/>
          </w:tcPr>
          <w:p w:rsidR="009B6C5B" w:rsidRPr="00BD3725" w:rsidRDefault="009B6C5B" w:rsidP="001E2665">
            <w:pPr>
              <w:spacing w:after="0" w:line="240" w:lineRule="auto"/>
              <w:jc w:val="both"/>
              <w:rPr>
                <w:rFonts w:ascii="Times New Roman" w:eastAsia="Calibri" w:hAnsi="Times New Roman"/>
                <w:sz w:val="20"/>
                <w:szCs w:val="20"/>
                <w:lang w:eastAsia="lv-LV"/>
              </w:rPr>
            </w:pPr>
          </w:p>
        </w:tc>
        <w:tc>
          <w:tcPr>
            <w:tcW w:w="1701" w:type="dxa"/>
            <w:shd w:val="clear" w:color="auto" w:fill="auto"/>
          </w:tcPr>
          <w:p w:rsidR="009B6C5B" w:rsidRPr="00E86236" w:rsidRDefault="009B6C5B" w:rsidP="001E2665">
            <w:pPr>
              <w:spacing w:after="0" w:line="240" w:lineRule="auto"/>
              <w:jc w:val="both"/>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70.08.00</w:t>
            </w:r>
          </w:p>
        </w:tc>
        <w:tc>
          <w:tcPr>
            <w:tcW w:w="1559" w:type="dxa"/>
            <w:shd w:val="clear" w:color="auto" w:fill="auto"/>
          </w:tcPr>
          <w:p w:rsidR="009B6C5B" w:rsidRPr="00646B59" w:rsidRDefault="009B6C5B"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146 501</w:t>
            </w:r>
          </w:p>
        </w:tc>
        <w:tc>
          <w:tcPr>
            <w:tcW w:w="1417" w:type="dxa"/>
            <w:shd w:val="clear" w:color="auto" w:fill="auto"/>
          </w:tcPr>
          <w:p w:rsidR="009B6C5B" w:rsidRPr="00646B59" w:rsidRDefault="009B6C5B"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x</w:t>
            </w:r>
          </w:p>
        </w:tc>
        <w:tc>
          <w:tcPr>
            <w:tcW w:w="1560" w:type="dxa"/>
            <w:shd w:val="clear" w:color="auto" w:fill="auto"/>
          </w:tcPr>
          <w:p w:rsidR="009B6C5B" w:rsidRPr="00646B59" w:rsidRDefault="001E30D5"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53 912</w:t>
            </w:r>
          </w:p>
        </w:tc>
        <w:tc>
          <w:tcPr>
            <w:tcW w:w="1417" w:type="dxa"/>
            <w:shd w:val="clear" w:color="auto" w:fill="auto"/>
          </w:tcPr>
          <w:p w:rsidR="009B6C5B" w:rsidRPr="00646B59" w:rsidRDefault="009B6C5B"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x</w:t>
            </w:r>
          </w:p>
        </w:tc>
        <w:tc>
          <w:tcPr>
            <w:tcW w:w="1559" w:type="dxa"/>
            <w:shd w:val="clear" w:color="auto" w:fill="auto"/>
          </w:tcPr>
          <w:p w:rsidR="009B6C5B" w:rsidRPr="00646B59" w:rsidRDefault="009B6C5B" w:rsidP="001073A1">
            <w:pPr>
              <w:spacing w:after="0" w:line="240" w:lineRule="auto"/>
              <w:jc w:val="center"/>
              <w:rPr>
                <w:rFonts w:ascii="Times New Roman" w:eastAsia="Calibri" w:hAnsi="Times New Roman"/>
                <w:sz w:val="20"/>
                <w:szCs w:val="20"/>
                <w:lang w:eastAsia="lv-LV"/>
              </w:rPr>
            </w:pPr>
            <w:r w:rsidRPr="00646B59">
              <w:rPr>
                <w:rFonts w:ascii="Times New Roman" w:eastAsia="Calibri" w:hAnsi="Times New Roman"/>
                <w:sz w:val="20"/>
                <w:szCs w:val="20"/>
                <w:lang w:eastAsia="lv-LV"/>
              </w:rPr>
              <w:t>x</w:t>
            </w:r>
          </w:p>
        </w:tc>
      </w:tr>
      <w:tr w:rsidR="009B6C5B" w:rsidRPr="0033621A" w:rsidTr="00B0595F">
        <w:trPr>
          <w:trHeight w:val="237"/>
        </w:trPr>
        <w:tc>
          <w:tcPr>
            <w:tcW w:w="534" w:type="dxa"/>
          </w:tcPr>
          <w:p w:rsidR="009B6C5B" w:rsidRPr="00BD3725" w:rsidRDefault="009B6C5B" w:rsidP="001E2665">
            <w:pPr>
              <w:spacing w:after="0" w:line="240" w:lineRule="auto"/>
              <w:jc w:val="both"/>
              <w:rPr>
                <w:rFonts w:ascii="Times New Roman" w:eastAsia="Calibri" w:hAnsi="Times New Roman"/>
                <w:sz w:val="20"/>
                <w:szCs w:val="20"/>
                <w:lang w:eastAsia="lv-LV"/>
              </w:rPr>
            </w:pPr>
          </w:p>
        </w:tc>
        <w:tc>
          <w:tcPr>
            <w:tcW w:w="1701" w:type="dxa"/>
            <w:shd w:val="clear" w:color="auto" w:fill="auto"/>
          </w:tcPr>
          <w:p w:rsidR="009B6C5B" w:rsidRPr="00E86236" w:rsidRDefault="009B6C5B" w:rsidP="001E2665">
            <w:pPr>
              <w:spacing w:after="0" w:line="240" w:lineRule="auto"/>
              <w:jc w:val="both"/>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70.10.00</w:t>
            </w:r>
          </w:p>
        </w:tc>
        <w:tc>
          <w:tcPr>
            <w:tcW w:w="1559" w:type="dxa"/>
            <w:shd w:val="clear" w:color="auto" w:fill="auto"/>
          </w:tcPr>
          <w:p w:rsidR="009B6C5B" w:rsidRPr="00660A3A" w:rsidRDefault="009B6C5B" w:rsidP="001073A1">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170 535</w:t>
            </w:r>
          </w:p>
        </w:tc>
        <w:tc>
          <w:tcPr>
            <w:tcW w:w="1417" w:type="dxa"/>
            <w:shd w:val="clear" w:color="auto" w:fill="auto"/>
          </w:tcPr>
          <w:p w:rsidR="009B6C5B" w:rsidRPr="00660A3A" w:rsidRDefault="009B6C5B" w:rsidP="001073A1">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x</w:t>
            </w:r>
          </w:p>
        </w:tc>
        <w:tc>
          <w:tcPr>
            <w:tcW w:w="1560" w:type="dxa"/>
            <w:shd w:val="clear" w:color="auto" w:fill="auto"/>
          </w:tcPr>
          <w:p w:rsidR="009B6C5B" w:rsidRPr="00660A3A" w:rsidRDefault="009B6C5B" w:rsidP="001073A1">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52 440</w:t>
            </w:r>
          </w:p>
        </w:tc>
        <w:tc>
          <w:tcPr>
            <w:tcW w:w="1417" w:type="dxa"/>
            <w:shd w:val="clear" w:color="auto" w:fill="auto"/>
          </w:tcPr>
          <w:p w:rsidR="009B6C5B" w:rsidRPr="00E86236" w:rsidRDefault="009B6C5B" w:rsidP="001073A1">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x</w:t>
            </w:r>
          </w:p>
        </w:tc>
        <w:tc>
          <w:tcPr>
            <w:tcW w:w="1559" w:type="dxa"/>
            <w:shd w:val="clear" w:color="auto" w:fill="auto"/>
          </w:tcPr>
          <w:p w:rsidR="009B6C5B" w:rsidRPr="00E86236" w:rsidRDefault="009B6C5B" w:rsidP="001073A1">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x</w:t>
            </w:r>
          </w:p>
        </w:tc>
      </w:tr>
      <w:tr w:rsidR="009B6C5B" w:rsidRPr="0033621A" w:rsidTr="00B0595F">
        <w:trPr>
          <w:trHeight w:val="237"/>
        </w:trPr>
        <w:tc>
          <w:tcPr>
            <w:tcW w:w="534" w:type="dxa"/>
          </w:tcPr>
          <w:p w:rsidR="009B6C5B" w:rsidRPr="00BD3725" w:rsidRDefault="009B6C5B" w:rsidP="001E2665">
            <w:pPr>
              <w:spacing w:after="0" w:line="240" w:lineRule="auto"/>
              <w:jc w:val="both"/>
              <w:rPr>
                <w:rFonts w:ascii="Times New Roman" w:eastAsia="Calibri" w:hAnsi="Times New Roman"/>
                <w:sz w:val="20"/>
                <w:szCs w:val="20"/>
                <w:lang w:eastAsia="lv-LV"/>
              </w:rPr>
            </w:pPr>
          </w:p>
        </w:tc>
        <w:tc>
          <w:tcPr>
            <w:tcW w:w="1701" w:type="dxa"/>
            <w:shd w:val="clear" w:color="auto" w:fill="auto"/>
          </w:tcPr>
          <w:p w:rsidR="009B6C5B" w:rsidRDefault="009B6C5B" w:rsidP="001073A1">
            <w:pPr>
              <w:spacing w:after="0" w:line="240" w:lineRule="auto"/>
              <w:jc w:val="both"/>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 xml:space="preserve">70.11.00 </w:t>
            </w:r>
          </w:p>
          <w:p w:rsidR="009B6C5B" w:rsidRPr="00E86236" w:rsidRDefault="009B6C5B" w:rsidP="001073A1">
            <w:pPr>
              <w:spacing w:after="0" w:line="240" w:lineRule="auto"/>
              <w:jc w:val="both"/>
              <w:rPr>
                <w:rFonts w:ascii="Times New Roman" w:eastAsia="Calibri" w:hAnsi="Times New Roman"/>
                <w:i/>
                <w:sz w:val="20"/>
                <w:szCs w:val="20"/>
                <w:lang w:eastAsia="lv-LV"/>
              </w:rPr>
            </w:pPr>
            <w:r w:rsidRPr="00E86236">
              <w:rPr>
                <w:rFonts w:ascii="Times New Roman" w:eastAsia="Calibri" w:hAnsi="Times New Roman"/>
                <w:i/>
                <w:sz w:val="20"/>
                <w:szCs w:val="20"/>
                <w:lang w:eastAsia="lv-LV"/>
              </w:rPr>
              <w:t>(</w:t>
            </w:r>
            <w:r>
              <w:rPr>
                <w:rFonts w:ascii="Times New Roman" w:eastAsia="Calibri" w:hAnsi="Times New Roman"/>
                <w:i/>
                <w:sz w:val="20"/>
                <w:szCs w:val="20"/>
                <w:lang w:eastAsia="lv-LV"/>
              </w:rPr>
              <w:t>tai skaitā nepieciešamais valsts līdzfinansējums AIC īstenotajiem pasākumiem – 7.,10</w:t>
            </w:r>
            <w:r w:rsidRPr="00E86236">
              <w:rPr>
                <w:rFonts w:ascii="Times New Roman" w:eastAsia="Calibri" w:hAnsi="Times New Roman"/>
                <w:i/>
                <w:sz w:val="20"/>
                <w:szCs w:val="20"/>
                <w:lang w:eastAsia="lv-LV"/>
              </w:rPr>
              <w:t>)</w:t>
            </w:r>
          </w:p>
        </w:tc>
        <w:tc>
          <w:tcPr>
            <w:tcW w:w="1559" w:type="dxa"/>
            <w:shd w:val="clear" w:color="auto" w:fill="auto"/>
          </w:tcPr>
          <w:p w:rsidR="009B6C5B" w:rsidRPr="00660A3A" w:rsidRDefault="009B6C5B" w:rsidP="001073A1">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207 980</w:t>
            </w:r>
          </w:p>
        </w:tc>
        <w:tc>
          <w:tcPr>
            <w:tcW w:w="1417" w:type="dxa"/>
            <w:shd w:val="clear" w:color="auto" w:fill="auto"/>
          </w:tcPr>
          <w:p w:rsidR="009B6C5B" w:rsidRPr="00660A3A" w:rsidRDefault="009B6C5B" w:rsidP="001073A1">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x</w:t>
            </w:r>
          </w:p>
        </w:tc>
        <w:tc>
          <w:tcPr>
            <w:tcW w:w="1560" w:type="dxa"/>
            <w:shd w:val="clear" w:color="auto" w:fill="auto"/>
          </w:tcPr>
          <w:p w:rsidR="009B6C5B" w:rsidRPr="00660A3A" w:rsidRDefault="009B6C5B" w:rsidP="001073A1">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102 896</w:t>
            </w:r>
          </w:p>
        </w:tc>
        <w:tc>
          <w:tcPr>
            <w:tcW w:w="1417" w:type="dxa"/>
            <w:shd w:val="clear" w:color="auto" w:fill="auto"/>
          </w:tcPr>
          <w:p w:rsidR="009B6C5B" w:rsidRPr="00E86236" w:rsidRDefault="009B6C5B" w:rsidP="001073A1">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x</w:t>
            </w:r>
          </w:p>
        </w:tc>
        <w:tc>
          <w:tcPr>
            <w:tcW w:w="1559" w:type="dxa"/>
            <w:shd w:val="clear" w:color="auto" w:fill="auto"/>
          </w:tcPr>
          <w:p w:rsidR="009B6C5B" w:rsidRPr="00E86236" w:rsidRDefault="009B6C5B" w:rsidP="001073A1">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x</w:t>
            </w:r>
          </w:p>
        </w:tc>
      </w:tr>
      <w:tr w:rsidR="009B6C5B" w:rsidRPr="0033621A" w:rsidTr="00B0595F">
        <w:trPr>
          <w:trHeight w:val="237"/>
        </w:trPr>
        <w:tc>
          <w:tcPr>
            <w:tcW w:w="534" w:type="dxa"/>
          </w:tcPr>
          <w:p w:rsidR="009B6C5B" w:rsidRPr="00BD3725" w:rsidRDefault="009B6C5B" w:rsidP="001E2665">
            <w:pPr>
              <w:spacing w:after="0" w:line="240" w:lineRule="auto"/>
              <w:jc w:val="both"/>
              <w:rPr>
                <w:rFonts w:ascii="Times New Roman" w:eastAsia="Calibri" w:hAnsi="Times New Roman"/>
                <w:sz w:val="20"/>
                <w:szCs w:val="20"/>
                <w:lang w:eastAsia="lv-LV"/>
              </w:rPr>
            </w:pPr>
          </w:p>
        </w:tc>
        <w:tc>
          <w:tcPr>
            <w:tcW w:w="1701" w:type="dxa"/>
            <w:shd w:val="clear" w:color="auto" w:fill="auto"/>
          </w:tcPr>
          <w:p w:rsidR="009B6C5B" w:rsidRPr="00E86236" w:rsidRDefault="009B6C5B" w:rsidP="001073A1">
            <w:pPr>
              <w:spacing w:after="0" w:line="240" w:lineRule="auto"/>
              <w:jc w:val="both"/>
              <w:rPr>
                <w:rFonts w:ascii="Times New Roman" w:eastAsia="Calibri" w:hAnsi="Times New Roman"/>
                <w:i/>
                <w:sz w:val="20"/>
                <w:szCs w:val="20"/>
                <w:lang w:eastAsia="lv-LV"/>
              </w:rPr>
            </w:pPr>
            <w:r>
              <w:rPr>
                <w:rFonts w:ascii="Times New Roman" w:eastAsia="Calibri" w:hAnsi="Times New Roman"/>
                <w:i/>
                <w:sz w:val="20"/>
                <w:szCs w:val="20"/>
                <w:lang w:eastAsia="lv-LV"/>
              </w:rPr>
              <w:t xml:space="preserve">AIC (Komisijas </w:t>
            </w:r>
            <w:r w:rsidR="00237ABB">
              <w:rPr>
                <w:rFonts w:ascii="Times New Roman" w:eastAsia="Calibri" w:hAnsi="Times New Roman"/>
                <w:i/>
                <w:sz w:val="20"/>
                <w:szCs w:val="20"/>
                <w:lang w:eastAsia="lv-LV"/>
              </w:rPr>
              <w:t xml:space="preserve">grants (ES </w:t>
            </w:r>
            <w:r>
              <w:rPr>
                <w:rFonts w:ascii="Times New Roman" w:eastAsia="Calibri" w:hAnsi="Times New Roman"/>
                <w:i/>
                <w:sz w:val="20"/>
                <w:szCs w:val="20"/>
                <w:lang w:eastAsia="lv-LV"/>
              </w:rPr>
              <w:t>finansējums</w:t>
            </w:r>
            <w:r w:rsidR="00237ABB">
              <w:rPr>
                <w:rFonts w:ascii="Times New Roman" w:eastAsia="Calibri" w:hAnsi="Times New Roman"/>
                <w:i/>
                <w:sz w:val="20"/>
                <w:szCs w:val="20"/>
                <w:lang w:eastAsia="lv-LV"/>
              </w:rPr>
              <w:t>)</w:t>
            </w:r>
            <w:r>
              <w:rPr>
                <w:rFonts w:ascii="Times New Roman" w:eastAsia="Calibri" w:hAnsi="Times New Roman"/>
                <w:i/>
                <w:sz w:val="20"/>
                <w:szCs w:val="20"/>
                <w:lang w:eastAsia="lv-LV"/>
              </w:rPr>
              <w:t xml:space="preserve"> IZM budžetā netiek plānots)</w:t>
            </w:r>
          </w:p>
        </w:tc>
        <w:tc>
          <w:tcPr>
            <w:tcW w:w="1559" w:type="dxa"/>
            <w:shd w:val="clear" w:color="auto" w:fill="auto"/>
          </w:tcPr>
          <w:p w:rsidR="009B6C5B" w:rsidRPr="00660A3A" w:rsidRDefault="009B6C5B" w:rsidP="001073A1">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90 000</w:t>
            </w:r>
          </w:p>
        </w:tc>
        <w:tc>
          <w:tcPr>
            <w:tcW w:w="1417" w:type="dxa"/>
            <w:shd w:val="clear" w:color="auto" w:fill="auto"/>
          </w:tcPr>
          <w:p w:rsidR="009B6C5B" w:rsidRPr="00660A3A" w:rsidRDefault="009B6C5B" w:rsidP="001073A1">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x</w:t>
            </w:r>
          </w:p>
        </w:tc>
        <w:tc>
          <w:tcPr>
            <w:tcW w:w="1560" w:type="dxa"/>
            <w:shd w:val="clear" w:color="auto" w:fill="auto"/>
          </w:tcPr>
          <w:p w:rsidR="009B6C5B" w:rsidRPr="00660A3A" w:rsidRDefault="009B6C5B" w:rsidP="001073A1">
            <w:pPr>
              <w:spacing w:after="0" w:line="240" w:lineRule="auto"/>
              <w:jc w:val="center"/>
              <w:rPr>
                <w:rFonts w:ascii="Times New Roman" w:eastAsia="Calibri" w:hAnsi="Times New Roman"/>
                <w:sz w:val="20"/>
                <w:szCs w:val="20"/>
                <w:lang w:eastAsia="lv-LV"/>
              </w:rPr>
            </w:pPr>
            <w:r w:rsidRPr="00660A3A">
              <w:rPr>
                <w:rFonts w:ascii="Times New Roman" w:eastAsia="Calibri" w:hAnsi="Times New Roman"/>
                <w:sz w:val="20"/>
                <w:szCs w:val="20"/>
                <w:lang w:eastAsia="lv-LV"/>
              </w:rPr>
              <w:t>0</w:t>
            </w:r>
          </w:p>
        </w:tc>
        <w:tc>
          <w:tcPr>
            <w:tcW w:w="1417" w:type="dxa"/>
            <w:shd w:val="clear" w:color="auto" w:fill="auto"/>
          </w:tcPr>
          <w:p w:rsidR="009B6C5B" w:rsidRPr="00E86236" w:rsidRDefault="009B6C5B" w:rsidP="001073A1">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x</w:t>
            </w:r>
          </w:p>
        </w:tc>
        <w:tc>
          <w:tcPr>
            <w:tcW w:w="1559" w:type="dxa"/>
            <w:shd w:val="clear" w:color="auto" w:fill="auto"/>
          </w:tcPr>
          <w:p w:rsidR="009B6C5B" w:rsidRPr="00E86236" w:rsidRDefault="009B6C5B" w:rsidP="001073A1">
            <w:pPr>
              <w:spacing w:after="0" w:line="240" w:lineRule="auto"/>
              <w:jc w:val="center"/>
              <w:rPr>
                <w:rFonts w:ascii="Times New Roman" w:eastAsia="Calibri" w:hAnsi="Times New Roman"/>
                <w:sz w:val="20"/>
                <w:szCs w:val="20"/>
                <w:lang w:eastAsia="lv-LV"/>
              </w:rPr>
            </w:pPr>
            <w:r w:rsidRPr="00E86236">
              <w:rPr>
                <w:rFonts w:ascii="Times New Roman" w:eastAsia="Calibri" w:hAnsi="Times New Roman"/>
                <w:sz w:val="20"/>
                <w:szCs w:val="20"/>
                <w:lang w:eastAsia="lv-LV"/>
              </w:rPr>
              <w:t>x</w:t>
            </w:r>
          </w:p>
        </w:tc>
      </w:tr>
    </w:tbl>
    <w:p w:rsidR="00721682" w:rsidRDefault="00721682" w:rsidP="00307618">
      <w:pPr>
        <w:spacing w:after="0" w:line="240" w:lineRule="auto"/>
        <w:jc w:val="both"/>
        <w:rPr>
          <w:rFonts w:ascii="Times New Roman" w:hAnsi="Times New Roman"/>
          <w:sz w:val="20"/>
          <w:szCs w:val="20"/>
          <w:vertAlign w:val="superscript"/>
        </w:rPr>
      </w:pPr>
    </w:p>
    <w:p w:rsidR="00D03690" w:rsidRPr="00BD3725" w:rsidRDefault="00C66F02" w:rsidP="00B0595F">
      <w:pPr>
        <w:spacing w:after="0" w:line="240" w:lineRule="auto"/>
        <w:ind w:firstLine="720"/>
        <w:jc w:val="both"/>
        <w:rPr>
          <w:rFonts w:ascii="Times New Roman" w:hAnsi="Times New Roman"/>
          <w:sz w:val="24"/>
          <w:szCs w:val="24"/>
        </w:rPr>
      </w:pPr>
      <w:r w:rsidRPr="00A26226">
        <w:rPr>
          <w:rFonts w:ascii="Times New Roman" w:hAnsi="Times New Roman"/>
          <w:sz w:val="24"/>
          <w:szCs w:val="24"/>
        </w:rPr>
        <w:t>2</w:t>
      </w:r>
      <w:r w:rsidR="008E65EB" w:rsidRPr="00A26226">
        <w:rPr>
          <w:rFonts w:ascii="Times New Roman" w:hAnsi="Times New Roman"/>
          <w:sz w:val="24"/>
          <w:szCs w:val="24"/>
        </w:rPr>
        <w:t>3</w:t>
      </w:r>
      <w:r w:rsidRPr="00A26226">
        <w:rPr>
          <w:rFonts w:ascii="Times New Roman" w:hAnsi="Times New Roman"/>
          <w:sz w:val="24"/>
          <w:szCs w:val="24"/>
        </w:rPr>
        <w:t xml:space="preserve">. </w:t>
      </w:r>
      <w:r w:rsidR="00CA2C62" w:rsidRPr="00A26226">
        <w:rPr>
          <w:rFonts w:ascii="Times New Roman" w:hAnsi="Times New Roman"/>
          <w:sz w:val="24"/>
          <w:szCs w:val="24"/>
        </w:rPr>
        <w:t xml:space="preserve">Informatīvā ziņojuma 3.tabulas </w:t>
      </w:r>
      <w:r w:rsidR="00BD3725" w:rsidRPr="00A26226">
        <w:rPr>
          <w:rFonts w:ascii="Times New Roman" w:hAnsi="Times New Roman"/>
          <w:sz w:val="24"/>
          <w:szCs w:val="24"/>
        </w:rPr>
        <w:t>2.kolonnā „</w:t>
      </w:r>
      <w:r w:rsidR="00B0595F" w:rsidRPr="00A26226">
        <w:rPr>
          <w:rFonts w:ascii="Times New Roman" w:eastAsia="Calibri" w:hAnsi="Times New Roman"/>
          <w:sz w:val="24"/>
          <w:szCs w:val="24"/>
          <w:lang w:eastAsia="lv-LV"/>
        </w:rPr>
        <w:t>2014.gada darba programmā noteiktais Komisijas grants,</w:t>
      </w:r>
      <w:r w:rsidR="00B0595F" w:rsidRPr="00B0595F">
        <w:rPr>
          <w:rFonts w:ascii="Times New Roman" w:eastAsia="Calibri" w:hAnsi="Times New Roman"/>
          <w:sz w:val="24"/>
          <w:szCs w:val="24"/>
          <w:lang w:eastAsia="lv-LV"/>
        </w:rPr>
        <w:t xml:space="preserve"> EUR</w:t>
      </w:r>
      <w:r w:rsidR="00BD3725" w:rsidRPr="00B0595F">
        <w:rPr>
          <w:rFonts w:ascii="Times New Roman" w:hAnsi="Times New Roman"/>
          <w:sz w:val="24"/>
          <w:szCs w:val="24"/>
        </w:rPr>
        <w:t>”</w:t>
      </w:r>
      <w:r w:rsidR="00BD3725">
        <w:rPr>
          <w:rFonts w:ascii="Times New Roman" w:hAnsi="Times New Roman"/>
          <w:sz w:val="24"/>
          <w:szCs w:val="24"/>
        </w:rPr>
        <w:t xml:space="preserve"> ir norādīts finansējum</w:t>
      </w:r>
      <w:r w:rsidR="005B70E7">
        <w:rPr>
          <w:rFonts w:ascii="Times New Roman" w:hAnsi="Times New Roman"/>
          <w:sz w:val="24"/>
          <w:szCs w:val="24"/>
        </w:rPr>
        <w:t xml:space="preserve">s </w:t>
      </w:r>
      <w:r w:rsidR="00BD3725">
        <w:rPr>
          <w:rFonts w:ascii="Times New Roman" w:hAnsi="Times New Roman"/>
          <w:sz w:val="24"/>
          <w:szCs w:val="24"/>
        </w:rPr>
        <w:t>atbilstoši Komisijas darba prog</w:t>
      </w:r>
      <w:r w:rsidR="00B0595F">
        <w:rPr>
          <w:rFonts w:ascii="Times New Roman" w:hAnsi="Times New Roman"/>
          <w:sz w:val="24"/>
          <w:szCs w:val="24"/>
        </w:rPr>
        <w:t xml:space="preserve">rammā paredzētajam finansējumam, savukārt 5.kolonnā – nepieciešamais valsts līdzfinansējuma apmērs, ievērojot </w:t>
      </w:r>
      <w:r w:rsidR="005B70E7">
        <w:rPr>
          <w:rFonts w:ascii="Times New Roman" w:hAnsi="Times New Roman"/>
          <w:sz w:val="24"/>
          <w:szCs w:val="24"/>
        </w:rPr>
        <w:t xml:space="preserve">3.tabulas </w:t>
      </w:r>
      <w:r w:rsidR="00B0595F">
        <w:rPr>
          <w:rFonts w:ascii="Times New Roman" w:hAnsi="Times New Roman"/>
          <w:sz w:val="24"/>
          <w:szCs w:val="24"/>
        </w:rPr>
        <w:t>4.kolonnā noteikto Komisijas finansējuma likmi.</w:t>
      </w:r>
      <w:r w:rsidR="00BD3725">
        <w:rPr>
          <w:rFonts w:ascii="Times New Roman" w:hAnsi="Times New Roman"/>
          <w:sz w:val="24"/>
          <w:szCs w:val="24"/>
        </w:rPr>
        <w:t xml:space="preserve"> Ņemot vērā, ka</w:t>
      </w:r>
      <w:r w:rsidR="005B70E7">
        <w:rPr>
          <w:rFonts w:ascii="Times New Roman" w:hAnsi="Times New Roman"/>
          <w:sz w:val="24"/>
          <w:szCs w:val="24"/>
        </w:rPr>
        <w:t xml:space="preserve"> šobrīd ir pieejams tikai </w:t>
      </w:r>
      <w:r w:rsidR="005B70E7" w:rsidRPr="005B70E7">
        <w:rPr>
          <w:rFonts w:ascii="Times New Roman" w:hAnsi="Times New Roman"/>
          <w:sz w:val="24"/>
          <w:szCs w:val="24"/>
        </w:rPr>
        <w:t xml:space="preserve">Komisijas 2015.gada </w:t>
      </w:r>
      <w:r w:rsidR="00A3718C" w:rsidRPr="005B70E7">
        <w:rPr>
          <w:rFonts w:ascii="Times New Roman" w:hAnsi="Times New Roman"/>
          <w:sz w:val="24"/>
          <w:szCs w:val="24"/>
        </w:rPr>
        <w:t>darba programmas projekt</w:t>
      </w:r>
      <w:r w:rsidR="005B70E7" w:rsidRPr="005B70E7">
        <w:rPr>
          <w:rFonts w:ascii="Times New Roman" w:hAnsi="Times New Roman"/>
          <w:sz w:val="24"/>
          <w:szCs w:val="24"/>
        </w:rPr>
        <w:t>s</w:t>
      </w:r>
      <w:r w:rsidR="005B70E7">
        <w:rPr>
          <w:rFonts w:ascii="Times New Roman" w:hAnsi="Times New Roman"/>
          <w:sz w:val="24"/>
          <w:szCs w:val="24"/>
        </w:rPr>
        <w:t>, savukārt saskaņā ar projekt</w:t>
      </w:r>
      <w:r w:rsidR="00A26226">
        <w:rPr>
          <w:rFonts w:ascii="Times New Roman" w:hAnsi="Times New Roman"/>
          <w:sz w:val="24"/>
          <w:szCs w:val="24"/>
        </w:rPr>
        <w:t xml:space="preserve">u finansējuma apmērs 2015.gadā </w:t>
      </w:r>
      <w:r w:rsidR="00A26226" w:rsidRPr="00A26226">
        <w:rPr>
          <w:rFonts w:ascii="Times New Roman" w:hAnsi="Times New Roman"/>
          <w:sz w:val="24"/>
          <w:szCs w:val="24"/>
        </w:rPr>
        <w:t>atbalsta pasākumu politikas reformām</w:t>
      </w:r>
      <w:r w:rsidR="00A26226">
        <w:rPr>
          <w:rFonts w:ascii="Times New Roman" w:hAnsi="Times New Roman"/>
          <w:sz w:val="24"/>
          <w:szCs w:val="24"/>
        </w:rPr>
        <w:t xml:space="preserve"> pieaugs un finansējuma apmērs ir plānots pieaugošs arī turpmākajos gados</w:t>
      </w:r>
      <w:r w:rsidR="00A3718C">
        <w:rPr>
          <w:rFonts w:ascii="Times New Roman" w:hAnsi="Times New Roman"/>
          <w:sz w:val="24"/>
          <w:szCs w:val="24"/>
        </w:rPr>
        <w:t xml:space="preserve">, tad plānojot ilgtermiņa saistības, </w:t>
      </w:r>
      <w:r w:rsidR="00BD3725">
        <w:rPr>
          <w:rFonts w:ascii="Times New Roman" w:hAnsi="Times New Roman"/>
          <w:sz w:val="24"/>
          <w:szCs w:val="24"/>
        </w:rPr>
        <w:t>finansējumu</w:t>
      </w:r>
      <w:r w:rsidR="00A26226">
        <w:rPr>
          <w:rFonts w:ascii="Times New Roman" w:hAnsi="Times New Roman"/>
          <w:sz w:val="24"/>
          <w:szCs w:val="24"/>
        </w:rPr>
        <w:t xml:space="preserve"> nepieciešams plānot ne mazāku kā </w:t>
      </w:r>
      <w:r w:rsidR="00BD3725">
        <w:rPr>
          <w:rFonts w:ascii="Times New Roman" w:hAnsi="Times New Roman"/>
          <w:sz w:val="24"/>
          <w:szCs w:val="24"/>
        </w:rPr>
        <w:t>201</w:t>
      </w:r>
      <w:r w:rsidR="00A26226">
        <w:rPr>
          <w:rFonts w:ascii="Times New Roman" w:hAnsi="Times New Roman"/>
          <w:sz w:val="24"/>
          <w:szCs w:val="24"/>
        </w:rPr>
        <w:t>4.gadā norādītā</w:t>
      </w:r>
      <w:r w:rsidR="00F851D4">
        <w:rPr>
          <w:rFonts w:ascii="Times New Roman" w:hAnsi="Times New Roman"/>
          <w:sz w:val="24"/>
          <w:szCs w:val="24"/>
        </w:rPr>
        <w:t xml:space="preserve"> finansējuma </w:t>
      </w:r>
      <w:r w:rsidR="00BD3725">
        <w:rPr>
          <w:rFonts w:ascii="Times New Roman" w:hAnsi="Times New Roman"/>
          <w:sz w:val="24"/>
          <w:szCs w:val="24"/>
        </w:rPr>
        <w:t>apmērā</w:t>
      </w:r>
      <w:r w:rsidR="00A26226">
        <w:rPr>
          <w:rFonts w:ascii="Times New Roman" w:hAnsi="Times New Roman"/>
          <w:sz w:val="24"/>
          <w:szCs w:val="24"/>
        </w:rPr>
        <w:t xml:space="preserve"> (izņemot finansējumu 3.tabulas 11.rindā norādītajam pasākumam </w:t>
      </w:r>
      <w:r w:rsidR="00A26226" w:rsidRPr="00A26226">
        <w:rPr>
          <w:rFonts w:ascii="Times New Roman" w:eastAsia="Calibri" w:hAnsi="Times New Roman"/>
          <w:i/>
          <w:sz w:val="24"/>
          <w:szCs w:val="24"/>
          <w:lang w:eastAsia="lv-LV"/>
        </w:rPr>
        <w:t>EQF-</w:t>
      </w:r>
      <w:proofErr w:type="spellStart"/>
      <w:r w:rsidR="00A26226" w:rsidRPr="00A26226">
        <w:rPr>
          <w:rFonts w:ascii="Times New Roman" w:eastAsia="Calibri" w:hAnsi="Times New Roman"/>
          <w:i/>
          <w:sz w:val="24"/>
          <w:szCs w:val="24"/>
          <w:lang w:eastAsia="lv-LV"/>
        </w:rPr>
        <w:t>Ploteus</w:t>
      </w:r>
      <w:proofErr w:type="spellEnd"/>
      <w:r w:rsidR="00A26226" w:rsidRPr="00A26226">
        <w:rPr>
          <w:rFonts w:ascii="Times New Roman" w:eastAsia="Calibri" w:hAnsi="Times New Roman"/>
          <w:sz w:val="24"/>
          <w:szCs w:val="24"/>
          <w:lang w:eastAsia="lv-LV"/>
        </w:rPr>
        <w:t>, kur izmaksas ir tikai 2014.gadā)</w:t>
      </w:r>
      <w:r w:rsidR="00BD3725" w:rsidRPr="00A26226">
        <w:rPr>
          <w:rFonts w:ascii="Times New Roman" w:hAnsi="Times New Roman"/>
          <w:sz w:val="24"/>
          <w:szCs w:val="24"/>
        </w:rPr>
        <w:t>,</w:t>
      </w:r>
      <w:r w:rsidR="00A26226">
        <w:rPr>
          <w:rFonts w:ascii="Times New Roman" w:hAnsi="Times New Roman"/>
          <w:sz w:val="24"/>
          <w:szCs w:val="24"/>
        </w:rPr>
        <w:t xml:space="preserve"> </w:t>
      </w:r>
      <w:r w:rsidR="00BD3725">
        <w:rPr>
          <w:rFonts w:ascii="Times New Roman" w:hAnsi="Times New Roman"/>
          <w:sz w:val="24"/>
          <w:szCs w:val="24"/>
        </w:rPr>
        <w:t xml:space="preserve"> to attiecīgi precizējot atbilstoši Komisijas darba programmā paredzētajam finansējumam</w:t>
      </w:r>
      <w:r w:rsidR="00A3718C">
        <w:rPr>
          <w:rFonts w:ascii="Times New Roman" w:hAnsi="Times New Roman"/>
          <w:sz w:val="24"/>
          <w:szCs w:val="24"/>
        </w:rPr>
        <w:t xml:space="preserve"> </w:t>
      </w:r>
      <w:r w:rsidR="00A3718C" w:rsidRPr="00E86236">
        <w:rPr>
          <w:rFonts w:ascii="Times New Roman" w:hAnsi="Times New Roman"/>
          <w:sz w:val="24"/>
          <w:szCs w:val="24"/>
        </w:rPr>
        <w:t>likumprojekta par vidējā termiņa budžeta ietvaru un likumprojekta par valsts budžetu kārtējam gadam izstrādes gaitā</w:t>
      </w:r>
      <w:r w:rsidR="00BD3725">
        <w:rPr>
          <w:rFonts w:ascii="Times New Roman" w:hAnsi="Times New Roman"/>
          <w:sz w:val="24"/>
          <w:szCs w:val="24"/>
        </w:rPr>
        <w:t xml:space="preserve">. </w:t>
      </w:r>
    </w:p>
    <w:p w:rsidR="001B7658" w:rsidRPr="00660A3A" w:rsidRDefault="00CA2C62" w:rsidP="001B7658">
      <w:pPr>
        <w:autoSpaceDE w:val="0"/>
        <w:autoSpaceDN w:val="0"/>
        <w:adjustRightInd w:val="0"/>
        <w:spacing w:after="0" w:line="240" w:lineRule="auto"/>
        <w:ind w:firstLine="720"/>
        <w:jc w:val="both"/>
        <w:rPr>
          <w:rFonts w:ascii="Times New Roman" w:hAnsi="Times New Roman"/>
          <w:color w:val="000000"/>
          <w:sz w:val="24"/>
          <w:szCs w:val="24"/>
        </w:rPr>
      </w:pPr>
      <w:r w:rsidRPr="00660A3A">
        <w:rPr>
          <w:rFonts w:ascii="Times New Roman" w:hAnsi="Times New Roman"/>
          <w:sz w:val="24"/>
          <w:szCs w:val="24"/>
        </w:rPr>
        <w:lastRenderedPageBreak/>
        <w:t>2</w:t>
      </w:r>
      <w:r w:rsidR="008E65EB" w:rsidRPr="00660A3A">
        <w:rPr>
          <w:rFonts w:ascii="Times New Roman" w:hAnsi="Times New Roman"/>
          <w:sz w:val="24"/>
          <w:szCs w:val="24"/>
        </w:rPr>
        <w:t>4</w:t>
      </w:r>
      <w:r w:rsidRPr="00660A3A">
        <w:rPr>
          <w:rFonts w:ascii="Times New Roman" w:hAnsi="Times New Roman"/>
          <w:sz w:val="24"/>
          <w:szCs w:val="24"/>
        </w:rPr>
        <w:t xml:space="preserve">. </w:t>
      </w:r>
      <w:r w:rsidR="00455A22" w:rsidRPr="00660A3A">
        <w:rPr>
          <w:rFonts w:ascii="Times New Roman" w:hAnsi="Times New Roman"/>
          <w:sz w:val="24"/>
          <w:szCs w:val="24"/>
        </w:rPr>
        <w:t xml:space="preserve">Informatīvā ziņojuma 3.tabulas </w:t>
      </w:r>
      <w:r w:rsidR="00F851D4" w:rsidRPr="00660A3A">
        <w:rPr>
          <w:rFonts w:ascii="Times New Roman" w:hAnsi="Times New Roman"/>
          <w:sz w:val="24"/>
          <w:szCs w:val="24"/>
        </w:rPr>
        <w:t>4.punktā minēt</w:t>
      </w:r>
      <w:r w:rsidR="00AC4356" w:rsidRPr="00660A3A">
        <w:rPr>
          <w:rFonts w:ascii="Times New Roman" w:hAnsi="Times New Roman"/>
          <w:sz w:val="24"/>
          <w:szCs w:val="24"/>
        </w:rPr>
        <w:t>ais</w:t>
      </w:r>
      <w:r w:rsidR="00F851D4" w:rsidRPr="00660A3A">
        <w:rPr>
          <w:rFonts w:ascii="Times New Roman" w:hAnsi="Times New Roman"/>
          <w:sz w:val="24"/>
          <w:szCs w:val="24"/>
        </w:rPr>
        <w:t xml:space="preserve"> pasākum</w:t>
      </w:r>
      <w:r w:rsidR="00EC4A55" w:rsidRPr="00660A3A">
        <w:rPr>
          <w:rFonts w:ascii="Times New Roman" w:hAnsi="Times New Roman"/>
          <w:sz w:val="24"/>
          <w:szCs w:val="24"/>
        </w:rPr>
        <w:t>s</w:t>
      </w:r>
      <w:r w:rsidR="00F851D4" w:rsidRPr="00660A3A">
        <w:rPr>
          <w:rFonts w:ascii="Times New Roman" w:hAnsi="Times New Roman"/>
          <w:sz w:val="24"/>
          <w:szCs w:val="24"/>
        </w:rPr>
        <w:t xml:space="preserve"> „</w:t>
      </w:r>
      <w:r w:rsidR="00F851D4" w:rsidRPr="00660A3A" w:rsidDel="00957A42">
        <w:rPr>
          <w:rFonts w:ascii="Times New Roman" w:eastAsia="Calibri" w:hAnsi="Times New Roman"/>
          <w:i/>
          <w:sz w:val="24"/>
          <w:szCs w:val="24"/>
          <w:lang w:eastAsia="lv-LV"/>
        </w:rPr>
        <w:t>Starptautiskās sadarbības aktivitāte</w:t>
      </w:r>
      <w:r w:rsidR="00F851D4" w:rsidRPr="00660A3A">
        <w:rPr>
          <w:rFonts w:ascii="Times New Roman" w:eastAsia="Calibri" w:hAnsi="Times New Roman"/>
          <w:i/>
          <w:sz w:val="24"/>
          <w:szCs w:val="24"/>
          <w:lang w:eastAsia="lv-LV"/>
        </w:rPr>
        <w:t>s”</w:t>
      </w:r>
      <w:r w:rsidR="00EC4A55" w:rsidRPr="00660A3A">
        <w:rPr>
          <w:rFonts w:ascii="Times New Roman" w:eastAsia="Calibri" w:hAnsi="Times New Roman"/>
          <w:sz w:val="24"/>
          <w:szCs w:val="24"/>
          <w:vertAlign w:val="superscript"/>
          <w:lang w:eastAsia="lv-LV"/>
        </w:rPr>
        <w:t xml:space="preserve"> </w:t>
      </w:r>
      <w:r w:rsidR="00EC4A55" w:rsidRPr="00660A3A">
        <w:rPr>
          <w:rFonts w:ascii="Times New Roman" w:eastAsia="Calibri" w:hAnsi="Times New Roman"/>
          <w:sz w:val="24"/>
          <w:szCs w:val="24"/>
          <w:lang w:eastAsia="lv-LV"/>
        </w:rPr>
        <w:t xml:space="preserve">tiks īstenots </w:t>
      </w:r>
      <w:r w:rsidR="00AC4356" w:rsidRPr="00660A3A">
        <w:rPr>
          <w:rFonts w:ascii="Times New Roman" w:hAnsi="Times New Roman"/>
          <w:sz w:val="24"/>
          <w:szCs w:val="24"/>
        </w:rPr>
        <w:t xml:space="preserve">programmas </w:t>
      </w:r>
      <w:r w:rsidR="00AC4356" w:rsidRPr="00660A3A">
        <w:rPr>
          <w:rFonts w:ascii="Times New Roman" w:hAnsi="Times New Roman"/>
          <w:i/>
          <w:sz w:val="24"/>
          <w:szCs w:val="24"/>
        </w:rPr>
        <w:t>Erasmus+</w:t>
      </w:r>
      <w:r w:rsidR="00AC4356" w:rsidRPr="00660A3A">
        <w:rPr>
          <w:rFonts w:ascii="Times New Roman" w:hAnsi="Times New Roman"/>
          <w:sz w:val="24"/>
          <w:szCs w:val="24"/>
        </w:rPr>
        <w:t xml:space="preserve"> </w:t>
      </w:r>
      <w:r w:rsidR="00EC4A55" w:rsidRPr="00660A3A">
        <w:rPr>
          <w:rFonts w:ascii="Times New Roman" w:eastAsia="Calibri" w:hAnsi="Times New Roman"/>
          <w:sz w:val="24"/>
          <w:szCs w:val="24"/>
          <w:lang w:eastAsia="lv-LV"/>
        </w:rPr>
        <w:t>2.pamatdarbības „</w:t>
      </w:r>
      <w:r w:rsidR="00EC4A55" w:rsidRPr="00660A3A">
        <w:rPr>
          <w:rFonts w:ascii="Times New Roman" w:hAnsi="Times New Roman"/>
          <w:sz w:val="24"/>
          <w:szCs w:val="24"/>
        </w:rPr>
        <w:t>Sadarbība inovācijas veicināšanai un labās prakses apmaiņa” ietvaros. Tajā</w:t>
      </w:r>
      <w:r w:rsidR="00EC4A55" w:rsidRPr="00660A3A">
        <w:rPr>
          <w:rFonts w:ascii="Times New Roman" w:hAnsi="Times New Roman"/>
          <w:sz w:val="18"/>
          <w:szCs w:val="18"/>
        </w:rPr>
        <w:t xml:space="preserve"> </w:t>
      </w:r>
      <w:r w:rsidR="00F851D4" w:rsidRPr="00660A3A">
        <w:rPr>
          <w:rFonts w:ascii="Times New Roman" w:hAnsi="Times New Roman"/>
          <w:color w:val="000000"/>
          <w:sz w:val="24"/>
          <w:szCs w:val="24"/>
        </w:rPr>
        <w:t>tiek plānota</w:t>
      </w:r>
      <w:r w:rsidR="004C03BA" w:rsidRPr="00660A3A">
        <w:rPr>
          <w:rFonts w:ascii="Times New Roman" w:hAnsi="Times New Roman"/>
          <w:color w:val="000000"/>
          <w:sz w:val="24"/>
          <w:szCs w:val="24"/>
        </w:rPr>
        <w:t xml:space="preserve"> Latvijas pārstāvju līdzdalīb</w:t>
      </w:r>
      <w:r w:rsidR="00F851D4" w:rsidRPr="00660A3A">
        <w:rPr>
          <w:rFonts w:ascii="Times New Roman" w:hAnsi="Times New Roman"/>
          <w:color w:val="000000"/>
          <w:sz w:val="24"/>
          <w:szCs w:val="24"/>
        </w:rPr>
        <w:t>a</w:t>
      </w:r>
      <w:r w:rsidR="004C03BA" w:rsidRPr="00660A3A">
        <w:rPr>
          <w:rFonts w:ascii="Times New Roman" w:hAnsi="Times New Roman"/>
          <w:color w:val="000000"/>
          <w:sz w:val="24"/>
          <w:szCs w:val="24"/>
        </w:rPr>
        <w:t xml:space="preserve"> valsts aģentūru organizētajos projektu veidotāju atbalsta/</w:t>
      </w:r>
      <w:proofErr w:type="spellStart"/>
      <w:r w:rsidR="004C03BA" w:rsidRPr="00660A3A">
        <w:rPr>
          <w:rFonts w:ascii="Times New Roman" w:hAnsi="Times New Roman"/>
          <w:color w:val="000000"/>
          <w:sz w:val="24"/>
          <w:szCs w:val="24"/>
        </w:rPr>
        <w:t>kontaktsemināros</w:t>
      </w:r>
      <w:proofErr w:type="spellEnd"/>
      <w:r w:rsidR="004C03BA" w:rsidRPr="00660A3A">
        <w:rPr>
          <w:rFonts w:ascii="Times New Roman" w:hAnsi="Times New Roman"/>
          <w:color w:val="000000"/>
          <w:sz w:val="24"/>
          <w:szCs w:val="24"/>
        </w:rPr>
        <w:t>, kā arī organizatorisk</w:t>
      </w:r>
      <w:r w:rsidR="00F851D4" w:rsidRPr="00660A3A">
        <w:rPr>
          <w:rFonts w:ascii="Times New Roman" w:hAnsi="Times New Roman"/>
          <w:color w:val="000000"/>
          <w:sz w:val="24"/>
          <w:szCs w:val="24"/>
        </w:rPr>
        <w:t>ie izdevumi</w:t>
      </w:r>
      <w:r w:rsidR="004C03BA" w:rsidRPr="00660A3A">
        <w:rPr>
          <w:rFonts w:ascii="Times New Roman" w:hAnsi="Times New Roman"/>
          <w:color w:val="000000"/>
          <w:sz w:val="24"/>
          <w:szCs w:val="24"/>
        </w:rPr>
        <w:t xml:space="preserve"> VIAA plānotajam </w:t>
      </w:r>
      <w:proofErr w:type="spellStart"/>
      <w:r w:rsidR="004C03BA" w:rsidRPr="00660A3A">
        <w:rPr>
          <w:rFonts w:ascii="Times New Roman" w:hAnsi="Times New Roman"/>
          <w:color w:val="000000"/>
          <w:sz w:val="24"/>
          <w:szCs w:val="24"/>
        </w:rPr>
        <w:t>kontaktsemināram</w:t>
      </w:r>
      <w:proofErr w:type="spellEnd"/>
      <w:r w:rsidR="004C03BA" w:rsidRPr="00660A3A">
        <w:rPr>
          <w:rFonts w:ascii="Times New Roman" w:hAnsi="Times New Roman"/>
          <w:color w:val="000000"/>
          <w:sz w:val="24"/>
          <w:szCs w:val="24"/>
        </w:rPr>
        <w:t xml:space="preserve"> citu programmas valstu projektu veidotājiem 2014.gada septembrī </w:t>
      </w:r>
      <w:r w:rsidR="004C03BA" w:rsidRPr="00660A3A">
        <w:rPr>
          <w:rFonts w:ascii="Times New Roman" w:hAnsi="Times New Roman"/>
          <w:i/>
          <w:color w:val="000000"/>
          <w:sz w:val="24"/>
          <w:szCs w:val="24"/>
        </w:rPr>
        <w:t>„</w:t>
      </w:r>
      <w:proofErr w:type="spellStart"/>
      <w:r w:rsidR="004C03BA" w:rsidRPr="00660A3A">
        <w:rPr>
          <w:rFonts w:ascii="Times New Roman" w:hAnsi="Times New Roman"/>
          <w:i/>
          <w:color w:val="000000"/>
          <w:sz w:val="24"/>
          <w:szCs w:val="24"/>
        </w:rPr>
        <w:t>Interdisciplinary</w:t>
      </w:r>
      <w:proofErr w:type="spellEnd"/>
      <w:r w:rsidR="004C03BA" w:rsidRPr="00660A3A">
        <w:rPr>
          <w:rFonts w:ascii="Times New Roman" w:hAnsi="Times New Roman"/>
          <w:i/>
          <w:color w:val="000000"/>
          <w:sz w:val="24"/>
          <w:szCs w:val="24"/>
        </w:rPr>
        <w:t xml:space="preserve"> </w:t>
      </w:r>
      <w:proofErr w:type="spellStart"/>
      <w:r w:rsidR="004C03BA" w:rsidRPr="00660A3A">
        <w:rPr>
          <w:rFonts w:ascii="Times New Roman" w:hAnsi="Times New Roman"/>
          <w:i/>
          <w:color w:val="000000"/>
          <w:sz w:val="24"/>
          <w:szCs w:val="24"/>
        </w:rPr>
        <w:t>approach</w:t>
      </w:r>
      <w:proofErr w:type="spellEnd"/>
      <w:r w:rsidR="004C03BA" w:rsidRPr="00660A3A">
        <w:rPr>
          <w:rFonts w:ascii="Times New Roman" w:hAnsi="Times New Roman"/>
          <w:i/>
          <w:color w:val="000000"/>
          <w:sz w:val="24"/>
          <w:szCs w:val="24"/>
        </w:rPr>
        <w:t xml:space="preserve"> </w:t>
      </w:r>
      <w:proofErr w:type="spellStart"/>
      <w:r w:rsidR="004C03BA" w:rsidRPr="00660A3A">
        <w:rPr>
          <w:rFonts w:ascii="Times New Roman" w:hAnsi="Times New Roman"/>
          <w:i/>
          <w:color w:val="000000"/>
          <w:sz w:val="24"/>
          <w:szCs w:val="24"/>
        </w:rPr>
        <w:t>in</w:t>
      </w:r>
      <w:proofErr w:type="spellEnd"/>
      <w:r w:rsidR="004C03BA" w:rsidRPr="00660A3A">
        <w:rPr>
          <w:rFonts w:ascii="Times New Roman" w:hAnsi="Times New Roman"/>
          <w:i/>
          <w:color w:val="000000"/>
          <w:sz w:val="24"/>
          <w:szCs w:val="24"/>
        </w:rPr>
        <w:t xml:space="preserve"> </w:t>
      </w:r>
      <w:proofErr w:type="spellStart"/>
      <w:r w:rsidR="004C03BA" w:rsidRPr="00660A3A">
        <w:rPr>
          <w:rFonts w:ascii="Times New Roman" w:hAnsi="Times New Roman"/>
          <w:i/>
          <w:color w:val="000000"/>
          <w:sz w:val="24"/>
          <w:szCs w:val="24"/>
        </w:rPr>
        <w:t>teaching</w:t>
      </w:r>
      <w:proofErr w:type="spellEnd"/>
      <w:r w:rsidR="004C03BA" w:rsidRPr="00660A3A">
        <w:rPr>
          <w:rFonts w:ascii="Times New Roman" w:hAnsi="Times New Roman"/>
          <w:i/>
          <w:color w:val="000000"/>
          <w:sz w:val="24"/>
          <w:szCs w:val="24"/>
        </w:rPr>
        <w:t xml:space="preserve"> </w:t>
      </w:r>
      <w:proofErr w:type="spellStart"/>
      <w:r w:rsidR="004C03BA" w:rsidRPr="00660A3A">
        <w:rPr>
          <w:rFonts w:ascii="Times New Roman" w:hAnsi="Times New Roman"/>
          <w:i/>
          <w:color w:val="000000"/>
          <w:sz w:val="24"/>
          <w:szCs w:val="24"/>
        </w:rPr>
        <w:t>and</w:t>
      </w:r>
      <w:proofErr w:type="spellEnd"/>
      <w:r w:rsidR="004C03BA" w:rsidRPr="00660A3A">
        <w:rPr>
          <w:rFonts w:ascii="Times New Roman" w:hAnsi="Times New Roman"/>
          <w:i/>
          <w:color w:val="000000"/>
          <w:sz w:val="24"/>
          <w:szCs w:val="24"/>
        </w:rPr>
        <w:t xml:space="preserve"> </w:t>
      </w:r>
      <w:proofErr w:type="spellStart"/>
      <w:r w:rsidR="004C03BA" w:rsidRPr="00660A3A">
        <w:rPr>
          <w:rFonts w:ascii="Times New Roman" w:hAnsi="Times New Roman"/>
          <w:i/>
          <w:color w:val="000000"/>
          <w:sz w:val="24"/>
          <w:szCs w:val="24"/>
        </w:rPr>
        <w:t>learning</w:t>
      </w:r>
      <w:proofErr w:type="spellEnd"/>
      <w:r w:rsidR="004C03BA" w:rsidRPr="00660A3A">
        <w:rPr>
          <w:rFonts w:ascii="Times New Roman" w:hAnsi="Times New Roman"/>
          <w:i/>
          <w:color w:val="000000"/>
          <w:sz w:val="24"/>
          <w:szCs w:val="24"/>
        </w:rPr>
        <w:t xml:space="preserve"> to </w:t>
      </w:r>
      <w:proofErr w:type="spellStart"/>
      <w:r w:rsidR="004C03BA" w:rsidRPr="00660A3A">
        <w:rPr>
          <w:rFonts w:ascii="Times New Roman" w:hAnsi="Times New Roman"/>
          <w:i/>
          <w:color w:val="000000"/>
          <w:sz w:val="24"/>
          <w:szCs w:val="24"/>
        </w:rPr>
        <w:t>promote</w:t>
      </w:r>
      <w:proofErr w:type="spellEnd"/>
      <w:r w:rsidR="004C03BA" w:rsidRPr="00660A3A">
        <w:rPr>
          <w:rFonts w:ascii="Times New Roman" w:hAnsi="Times New Roman"/>
          <w:i/>
          <w:color w:val="000000"/>
          <w:sz w:val="24"/>
          <w:szCs w:val="24"/>
        </w:rPr>
        <w:t xml:space="preserve"> </w:t>
      </w:r>
      <w:proofErr w:type="spellStart"/>
      <w:r w:rsidR="004C03BA" w:rsidRPr="00660A3A">
        <w:rPr>
          <w:rFonts w:ascii="Times New Roman" w:hAnsi="Times New Roman"/>
          <w:i/>
          <w:color w:val="000000"/>
          <w:sz w:val="24"/>
          <w:szCs w:val="24"/>
        </w:rPr>
        <w:t>learners</w:t>
      </w:r>
      <w:proofErr w:type="spellEnd"/>
      <w:r w:rsidR="004C03BA" w:rsidRPr="00660A3A">
        <w:rPr>
          <w:rFonts w:ascii="Times New Roman" w:hAnsi="Times New Roman"/>
          <w:i/>
          <w:color w:val="000000"/>
          <w:sz w:val="24"/>
          <w:szCs w:val="24"/>
        </w:rPr>
        <w:t xml:space="preserve"> </w:t>
      </w:r>
      <w:proofErr w:type="spellStart"/>
      <w:r w:rsidR="004C03BA" w:rsidRPr="00660A3A">
        <w:rPr>
          <w:rFonts w:ascii="Times New Roman" w:hAnsi="Times New Roman"/>
          <w:i/>
          <w:color w:val="000000"/>
          <w:sz w:val="24"/>
          <w:szCs w:val="24"/>
        </w:rPr>
        <w:t>creativity</w:t>
      </w:r>
      <w:proofErr w:type="spellEnd"/>
      <w:r w:rsidR="004C03BA" w:rsidRPr="00660A3A">
        <w:rPr>
          <w:rFonts w:ascii="Times New Roman" w:hAnsi="Times New Roman"/>
          <w:i/>
          <w:color w:val="000000"/>
          <w:sz w:val="24"/>
          <w:szCs w:val="24"/>
        </w:rPr>
        <w:t xml:space="preserve"> </w:t>
      </w:r>
      <w:proofErr w:type="spellStart"/>
      <w:r w:rsidR="004C03BA" w:rsidRPr="00660A3A">
        <w:rPr>
          <w:rFonts w:ascii="Times New Roman" w:hAnsi="Times New Roman"/>
          <w:i/>
          <w:color w:val="000000"/>
          <w:sz w:val="24"/>
          <w:szCs w:val="24"/>
        </w:rPr>
        <w:t>and</w:t>
      </w:r>
      <w:proofErr w:type="spellEnd"/>
      <w:r w:rsidR="004C03BA" w:rsidRPr="00660A3A">
        <w:rPr>
          <w:rFonts w:ascii="Times New Roman" w:hAnsi="Times New Roman"/>
          <w:i/>
          <w:color w:val="000000"/>
          <w:sz w:val="24"/>
          <w:szCs w:val="24"/>
        </w:rPr>
        <w:t xml:space="preserve"> </w:t>
      </w:r>
      <w:proofErr w:type="spellStart"/>
      <w:r w:rsidR="00002809" w:rsidRPr="00660A3A">
        <w:rPr>
          <w:rFonts w:ascii="Times New Roman" w:hAnsi="Times New Roman"/>
          <w:i/>
          <w:sz w:val="24"/>
          <w:szCs w:val="24"/>
        </w:rPr>
        <w:t>entrepreneurship</w:t>
      </w:r>
      <w:proofErr w:type="spellEnd"/>
      <w:r w:rsidR="00002809" w:rsidRPr="00660A3A">
        <w:rPr>
          <w:rFonts w:ascii="Times New Roman" w:hAnsi="Times New Roman"/>
          <w:i/>
          <w:sz w:val="24"/>
          <w:szCs w:val="24"/>
        </w:rPr>
        <w:t xml:space="preserve"> </w:t>
      </w:r>
      <w:proofErr w:type="spellStart"/>
      <w:r w:rsidR="00002809" w:rsidRPr="00660A3A">
        <w:rPr>
          <w:rFonts w:ascii="Times New Roman" w:hAnsi="Times New Roman"/>
          <w:i/>
          <w:sz w:val="24"/>
          <w:szCs w:val="24"/>
        </w:rPr>
        <w:t>skills</w:t>
      </w:r>
      <w:proofErr w:type="spellEnd"/>
      <w:r w:rsidR="00002809" w:rsidRPr="00660A3A">
        <w:rPr>
          <w:rFonts w:ascii="Times New Roman" w:hAnsi="Times New Roman"/>
          <w:i/>
          <w:sz w:val="24"/>
          <w:szCs w:val="24"/>
        </w:rPr>
        <w:t xml:space="preserve">” </w:t>
      </w:r>
      <w:r w:rsidR="001B7658" w:rsidRPr="00660A3A">
        <w:rPr>
          <w:rFonts w:ascii="Times New Roman" w:hAnsi="Times New Roman"/>
          <w:i/>
          <w:sz w:val="24"/>
          <w:szCs w:val="24"/>
        </w:rPr>
        <w:t>(</w:t>
      </w:r>
      <w:r w:rsidR="00002809" w:rsidRPr="00660A3A">
        <w:rPr>
          <w:rFonts w:ascii="Times New Roman" w:hAnsi="Times New Roman"/>
          <w:i/>
          <w:sz w:val="24"/>
          <w:szCs w:val="24"/>
        </w:rPr>
        <w:t>i</w:t>
      </w:r>
      <w:r w:rsidR="001B7658" w:rsidRPr="00660A3A">
        <w:rPr>
          <w:rFonts w:ascii="Times New Roman" w:hAnsi="Times New Roman"/>
          <w:i/>
          <w:sz w:val="24"/>
          <w:szCs w:val="24"/>
        </w:rPr>
        <w:t xml:space="preserve">nformācija par semināru pieejama tīmekļa vietnē: </w:t>
      </w:r>
      <w:hyperlink r:id="rId8" w:history="1">
        <w:r w:rsidR="004C03BA" w:rsidRPr="00660A3A">
          <w:rPr>
            <w:rStyle w:val="Hyperlink"/>
            <w:rFonts w:ascii="Times New Roman" w:hAnsi="Times New Roman"/>
            <w:color w:val="auto"/>
            <w:sz w:val="24"/>
            <w:szCs w:val="24"/>
          </w:rPr>
          <w:t>http://www.viaa.gov.lv/lat/muzizglitibas_programma/erasmus_plus/erasmus_plus_jaunumi/?text_id=24148</w:t>
        </w:r>
      </w:hyperlink>
      <w:r w:rsidR="001B7658" w:rsidRPr="00660A3A">
        <w:rPr>
          <w:rFonts w:ascii="Times New Roman" w:hAnsi="Times New Roman"/>
          <w:sz w:val="24"/>
          <w:szCs w:val="24"/>
        </w:rPr>
        <w:t xml:space="preserve">). </w:t>
      </w:r>
      <w:r w:rsidR="004C03BA" w:rsidRPr="00660A3A">
        <w:rPr>
          <w:rFonts w:ascii="Times New Roman" w:hAnsi="Times New Roman"/>
          <w:sz w:val="24"/>
          <w:szCs w:val="24"/>
        </w:rPr>
        <w:t>2014</w:t>
      </w:r>
      <w:r w:rsidR="004C03BA" w:rsidRPr="00660A3A">
        <w:rPr>
          <w:rFonts w:ascii="Times New Roman" w:hAnsi="Times New Roman"/>
          <w:color w:val="000000"/>
          <w:sz w:val="24"/>
          <w:szCs w:val="24"/>
        </w:rPr>
        <w:t>.gadā nepieciešamā</w:t>
      </w:r>
      <w:r w:rsidR="00002809" w:rsidRPr="00660A3A">
        <w:rPr>
          <w:rFonts w:ascii="Times New Roman" w:hAnsi="Times New Roman"/>
          <w:color w:val="000000"/>
          <w:sz w:val="24"/>
          <w:szCs w:val="24"/>
        </w:rPr>
        <w:t xml:space="preserve"> ES</w:t>
      </w:r>
      <w:r w:rsidR="004C03BA" w:rsidRPr="00660A3A">
        <w:rPr>
          <w:rFonts w:ascii="Times New Roman" w:hAnsi="Times New Roman"/>
          <w:color w:val="000000"/>
          <w:sz w:val="24"/>
          <w:szCs w:val="24"/>
        </w:rPr>
        <w:t xml:space="preserve"> finansējuma apmērs</w:t>
      </w:r>
      <w:r w:rsidR="00002809" w:rsidRPr="00660A3A">
        <w:rPr>
          <w:rFonts w:ascii="Times New Roman" w:hAnsi="Times New Roman"/>
          <w:color w:val="000000"/>
          <w:sz w:val="24"/>
          <w:szCs w:val="24"/>
        </w:rPr>
        <w:t xml:space="preserve"> – EUR 38 000 </w:t>
      </w:r>
      <w:r w:rsidR="004C03BA" w:rsidRPr="00660A3A">
        <w:rPr>
          <w:rFonts w:ascii="Times New Roman" w:hAnsi="Times New Roman"/>
          <w:color w:val="000000"/>
          <w:sz w:val="24"/>
          <w:szCs w:val="24"/>
        </w:rPr>
        <w:t xml:space="preserve"> ir noteikts VIAA darba programm</w:t>
      </w:r>
      <w:r w:rsidR="001B7658" w:rsidRPr="00660A3A">
        <w:rPr>
          <w:rFonts w:ascii="Times New Roman" w:hAnsi="Times New Roman"/>
          <w:color w:val="000000"/>
          <w:sz w:val="24"/>
          <w:szCs w:val="24"/>
        </w:rPr>
        <w:t>ā, kas Komisijai ir iesniegta 2014.gada 30.jūnijā.</w:t>
      </w:r>
      <w:r w:rsidR="00002809" w:rsidRPr="00660A3A">
        <w:rPr>
          <w:rFonts w:ascii="Times New Roman" w:hAnsi="Times New Roman"/>
          <w:color w:val="000000"/>
          <w:sz w:val="24"/>
          <w:szCs w:val="24"/>
        </w:rPr>
        <w:t xml:space="preserve"> </w:t>
      </w:r>
    </w:p>
    <w:p w:rsidR="007212AD" w:rsidRPr="00660A3A" w:rsidRDefault="004C03BA" w:rsidP="00313E51">
      <w:pPr>
        <w:autoSpaceDE w:val="0"/>
        <w:autoSpaceDN w:val="0"/>
        <w:adjustRightInd w:val="0"/>
        <w:spacing w:after="0" w:line="240" w:lineRule="auto"/>
        <w:ind w:firstLine="720"/>
        <w:jc w:val="both"/>
        <w:rPr>
          <w:rFonts w:ascii="Times New Roman" w:hAnsi="Times New Roman"/>
          <w:sz w:val="24"/>
          <w:szCs w:val="24"/>
        </w:rPr>
      </w:pPr>
      <w:r w:rsidRPr="00660A3A">
        <w:rPr>
          <w:rFonts w:ascii="Times New Roman" w:hAnsi="Times New Roman"/>
          <w:sz w:val="24"/>
          <w:szCs w:val="24"/>
        </w:rPr>
        <w:t>2</w:t>
      </w:r>
      <w:r w:rsidR="001C3080">
        <w:rPr>
          <w:rFonts w:ascii="Times New Roman" w:hAnsi="Times New Roman"/>
          <w:sz w:val="24"/>
          <w:szCs w:val="24"/>
        </w:rPr>
        <w:t>5</w:t>
      </w:r>
      <w:r w:rsidRPr="00660A3A">
        <w:rPr>
          <w:rFonts w:ascii="Times New Roman" w:hAnsi="Times New Roman"/>
          <w:sz w:val="24"/>
          <w:szCs w:val="24"/>
        </w:rPr>
        <w:t xml:space="preserve">. </w:t>
      </w:r>
      <w:r w:rsidR="00313E51" w:rsidRPr="00660A3A">
        <w:rPr>
          <w:rFonts w:ascii="Times New Roman" w:hAnsi="Times New Roman"/>
          <w:sz w:val="24"/>
          <w:szCs w:val="24"/>
        </w:rPr>
        <w:t>Informatīvā ziņojuma 3.tabulas 7.punktā un 10.punktā norādītā a</w:t>
      </w:r>
      <w:r w:rsidRPr="00660A3A">
        <w:rPr>
          <w:rFonts w:ascii="Times New Roman" w:hAnsi="Times New Roman"/>
          <w:sz w:val="24"/>
          <w:szCs w:val="24"/>
        </w:rPr>
        <w:t>tbal</w:t>
      </w:r>
      <w:r w:rsidR="00313E51" w:rsidRPr="00660A3A">
        <w:rPr>
          <w:rFonts w:ascii="Times New Roman" w:hAnsi="Times New Roman"/>
          <w:sz w:val="24"/>
          <w:szCs w:val="24"/>
        </w:rPr>
        <w:t xml:space="preserve">sta pasākumu politikas reformām ieviesējs </w:t>
      </w:r>
      <w:r w:rsidRPr="00660A3A">
        <w:rPr>
          <w:rFonts w:ascii="Times New Roman" w:hAnsi="Times New Roman"/>
          <w:sz w:val="24"/>
          <w:szCs w:val="24"/>
        </w:rPr>
        <w:t>ir Akadēmiskās informācijas centr</w:t>
      </w:r>
      <w:r w:rsidR="00313E51" w:rsidRPr="00660A3A">
        <w:rPr>
          <w:rFonts w:ascii="Times New Roman" w:hAnsi="Times New Roman"/>
          <w:sz w:val="24"/>
          <w:szCs w:val="24"/>
        </w:rPr>
        <w:t>s</w:t>
      </w:r>
      <w:r w:rsidRPr="00660A3A">
        <w:rPr>
          <w:rFonts w:ascii="Times New Roman" w:hAnsi="Times New Roman"/>
          <w:sz w:val="24"/>
          <w:szCs w:val="24"/>
        </w:rPr>
        <w:t xml:space="preserve"> (turpmāk – AIC)</w:t>
      </w:r>
      <w:r w:rsidR="00313E51" w:rsidRPr="00660A3A">
        <w:rPr>
          <w:rFonts w:ascii="Times New Roman" w:hAnsi="Times New Roman"/>
          <w:sz w:val="24"/>
          <w:szCs w:val="24"/>
        </w:rPr>
        <w:t>, līdz ar to Komisijas grants šo pasākumu īstenošanai tiek pārskaitīts</w:t>
      </w:r>
      <w:r w:rsidR="003746FB" w:rsidRPr="00660A3A">
        <w:rPr>
          <w:rFonts w:ascii="Times New Roman" w:hAnsi="Times New Roman"/>
          <w:sz w:val="24"/>
          <w:szCs w:val="24"/>
        </w:rPr>
        <w:t xml:space="preserve"> tieši</w:t>
      </w:r>
      <w:r w:rsidR="00313E51" w:rsidRPr="00660A3A">
        <w:rPr>
          <w:rFonts w:ascii="Times New Roman" w:hAnsi="Times New Roman"/>
          <w:sz w:val="24"/>
          <w:szCs w:val="24"/>
        </w:rPr>
        <w:t xml:space="preserve"> uz AIC kontu, savukārt valsts budžeta līdzfinansējums tiek plānots </w:t>
      </w:r>
      <w:r w:rsidRPr="00660A3A">
        <w:rPr>
          <w:rFonts w:ascii="Times New Roman" w:hAnsi="Times New Roman"/>
          <w:sz w:val="24"/>
          <w:szCs w:val="24"/>
        </w:rPr>
        <w:t>IZM 70.11.00 budžeta apakšprogrammā</w:t>
      </w:r>
      <w:r w:rsidR="003746FB" w:rsidRPr="00660A3A">
        <w:rPr>
          <w:rFonts w:ascii="Times New Roman" w:hAnsi="Times New Roman"/>
          <w:sz w:val="24"/>
          <w:szCs w:val="24"/>
        </w:rPr>
        <w:t xml:space="preserve"> un tiek piešķirts AIC ar līgumu</w:t>
      </w:r>
      <w:r w:rsidR="00313E51" w:rsidRPr="00660A3A">
        <w:rPr>
          <w:rFonts w:ascii="Times New Roman" w:hAnsi="Times New Roman"/>
          <w:sz w:val="24"/>
          <w:szCs w:val="24"/>
        </w:rPr>
        <w:t>.</w:t>
      </w:r>
    </w:p>
    <w:p w:rsidR="00DC684F" w:rsidRPr="00660A3A" w:rsidRDefault="004C03BA" w:rsidP="00313E51">
      <w:pPr>
        <w:spacing w:after="0" w:line="240" w:lineRule="auto"/>
        <w:ind w:firstLine="720"/>
        <w:jc w:val="both"/>
        <w:rPr>
          <w:rFonts w:ascii="Times New Roman" w:hAnsi="Times New Roman"/>
          <w:color w:val="000000"/>
          <w:sz w:val="24"/>
          <w:szCs w:val="24"/>
        </w:rPr>
      </w:pPr>
      <w:r w:rsidRPr="00660A3A">
        <w:rPr>
          <w:rFonts w:ascii="Times New Roman" w:hAnsi="Times New Roman"/>
          <w:color w:val="000000"/>
          <w:sz w:val="24"/>
          <w:szCs w:val="24"/>
        </w:rPr>
        <w:t>2</w:t>
      </w:r>
      <w:r w:rsidR="001C3080">
        <w:rPr>
          <w:rFonts w:ascii="Times New Roman" w:hAnsi="Times New Roman"/>
          <w:color w:val="000000"/>
          <w:sz w:val="24"/>
          <w:szCs w:val="24"/>
        </w:rPr>
        <w:t>6</w:t>
      </w:r>
      <w:r w:rsidRPr="00660A3A">
        <w:rPr>
          <w:rFonts w:ascii="Times New Roman" w:hAnsi="Times New Roman"/>
          <w:color w:val="000000"/>
          <w:sz w:val="24"/>
          <w:szCs w:val="24"/>
        </w:rPr>
        <w:t>.</w:t>
      </w:r>
      <w:r w:rsidR="00A3718C" w:rsidRPr="00660A3A">
        <w:rPr>
          <w:rFonts w:ascii="Times New Roman" w:hAnsi="Times New Roman"/>
          <w:color w:val="000000"/>
          <w:sz w:val="24"/>
          <w:szCs w:val="24"/>
        </w:rPr>
        <w:t xml:space="preserve"> Saskaņā ar Komisijas</w:t>
      </w:r>
      <w:r w:rsidR="00237ABB" w:rsidRPr="00660A3A">
        <w:rPr>
          <w:rFonts w:ascii="Times New Roman" w:hAnsi="Times New Roman"/>
          <w:color w:val="000000"/>
          <w:sz w:val="24"/>
          <w:szCs w:val="24"/>
        </w:rPr>
        <w:t xml:space="preserve"> 2014.gada</w:t>
      </w:r>
      <w:r w:rsidR="00A3718C" w:rsidRPr="00660A3A">
        <w:rPr>
          <w:rFonts w:ascii="Times New Roman" w:hAnsi="Times New Roman"/>
          <w:color w:val="000000"/>
          <w:sz w:val="24"/>
          <w:szCs w:val="24"/>
        </w:rPr>
        <w:t xml:space="preserve"> darba programmas 8.2.1.8.sadaļā</w:t>
      </w:r>
      <w:r w:rsidR="00D3053E" w:rsidRPr="00660A3A">
        <w:rPr>
          <w:rFonts w:ascii="Times New Roman" w:hAnsi="Times New Roman"/>
          <w:color w:val="000000"/>
          <w:sz w:val="24"/>
          <w:szCs w:val="24"/>
        </w:rPr>
        <w:t xml:space="preserve"> un 10.2.5.sadaļā</w:t>
      </w:r>
      <w:r w:rsidR="00A3718C" w:rsidRPr="00660A3A">
        <w:rPr>
          <w:rFonts w:ascii="Times New Roman" w:hAnsi="Times New Roman"/>
          <w:color w:val="000000"/>
          <w:sz w:val="24"/>
          <w:szCs w:val="24"/>
        </w:rPr>
        <w:t xml:space="preserve"> norādīto, Latvij</w:t>
      </w:r>
      <w:r w:rsidR="0072695E" w:rsidRPr="00660A3A">
        <w:rPr>
          <w:rFonts w:ascii="Times New Roman" w:hAnsi="Times New Roman"/>
          <w:color w:val="000000"/>
          <w:sz w:val="24"/>
          <w:szCs w:val="24"/>
        </w:rPr>
        <w:t xml:space="preserve">ai ir iespēja pieteikties Komisijas finansējumam </w:t>
      </w:r>
      <w:r w:rsidR="003746FB" w:rsidRPr="00660A3A">
        <w:rPr>
          <w:rFonts w:ascii="Times New Roman" w:hAnsi="Times New Roman"/>
          <w:color w:val="000000"/>
          <w:sz w:val="24"/>
          <w:szCs w:val="24"/>
        </w:rPr>
        <w:t xml:space="preserve">ES </w:t>
      </w:r>
      <w:r w:rsidR="0072695E" w:rsidRPr="00660A3A">
        <w:rPr>
          <w:rFonts w:ascii="Times New Roman" w:hAnsi="Times New Roman"/>
          <w:color w:val="000000"/>
          <w:sz w:val="24"/>
          <w:szCs w:val="24"/>
        </w:rPr>
        <w:t>Prezidentūras pasākumu organizēšanai, iesniedzot atbilstošu</w:t>
      </w:r>
      <w:r w:rsidR="003746FB" w:rsidRPr="00660A3A">
        <w:rPr>
          <w:rFonts w:ascii="Times New Roman" w:hAnsi="Times New Roman"/>
          <w:color w:val="000000"/>
          <w:sz w:val="24"/>
          <w:szCs w:val="24"/>
        </w:rPr>
        <w:t>s</w:t>
      </w:r>
      <w:r w:rsidR="0072695E" w:rsidRPr="00660A3A">
        <w:rPr>
          <w:rFonts w:ascii="Times New Roman" w:hAnsi="Times New Roman"/>
          <w:color w:val="000000"/>
          <w:sz w:val="24"/>
          <w:szCs w:val="24"/>
        </w:rPr>
        <w:t xml:space="preserve"> projekta pieteikumu</w:t>
      </w:r>
      <w:r w:rsidR="003746FB" w:rsidRPr="00660A3A">
        <w:rPr>
          <w:rFonts w:ascii="Times New Roman" w:hAnsi="Times New Roman"/>
          <w:color w:val="000000"/>
          <w:sz w:val="24"/>
          <w:szCs w:val="24"/>
        </w:rPr>
        <w:t>s</w:t>
      </w:r>
      <w:r w:rsidR="0072695E" w:rsidRPr="00660A3A">
        <w:rPr>
          <w:rFonts w:ascii="Times New Roman" w:hAnsi="Times New Roman"/>
          <w:color w:val="000000"/>
          <w:sz w:val="24"/>
          <w:szCs w:val="24"/>
        </w:rPr>
        <w:t>. Saskaņā ar Komisijas darba programmas norādīto maksimālais Komisijas atbalsts ir 80% no projekta finansējuma</w:t>
      </w:r>
      <w:r w:rsidR="00DC684F" w:rsidRPr="00660A3A">
        <w:rPr>
          <w:rFonts w:ascii="Times New Roman" w:hAnsi="Times New Roman"/>
          <w:color w:val="000000"/>
          <w:sz w:val="24"/>
          <w:szCs w:val="24"/>
        </w:rPr>
        <w:t>.</w:t>
      </w:r>
      <w:r w:rsidR="0072695E" w:rsidRPr="00660A3A">
        <w:rPr>
          <w:rFonts w:ascii="Times New Roman" w:hAnsi="Times New Roman"/>
          <w:color w:val="000000"/>
          <w:sz w:val="24"/>
          <w:szCs w:val="24"/>
        </w:rPr>
        <w:t xml:space="preserve"> </w:t>
      </w:r>
      <w:r w:rsidRPr="00660A3A">
        <w:rPr>
          <w:rFonts w:ascii="Times New Roman" w:hAnsi="Times New Roman"/>
          <w:color w:val="000000"/>
          <w:sz w:val="24"/>
          <w:szCs w:val="24"/>
        </w:rPr>
        <w:t>Latvijas Prezidentūras ietvaros tiek plānot</w:t>
      </w:r>
      <w:r w:rsidR="00DC684F" w:rsidRPr="00660A3A">
        <w:rPr>
          <w:rFonts w:ascii="Times New Roman" w:hAnsi="Times New Roman"/>
          <w:color w:val="000000"/>
          <w:sz w:val="24"/>
          <w:szCs w:val="24"/>
        </w:rPr>
        <w:t>i</w:t>
      </w:r>
      <w:r w:rsidR="00D3053E" w:rsidRPr="00660A3A">
        <w:rPr>
          <w:rFonts w:ascii="Times New Roman" w:hAnsi="Times New Roman"/>
          <w:color w:val="000000"/>
          <w:sz w:val="24"/>
          <w:szCs w:val="24"/>
        </w:rPr>
        <w:t xml:space="preserve"> 5.tabulā norādītie pasākumi: </w:t>
      </w:r>
    </w:p>
    <w:p w:rsidR="00E551FA" w:rsidRPr="00660A3A" w:rsidRDefault="00E551FA" w:rsidP="00E551FA">
      <w:pPr>
        <w:spacing w:after="0" w:line="240" w:lineRule="auto"/>
        <w:ind w:firstLine="720"/>
        <w:jc w:val="right"/>
        <w:rPr>
          <w:rFonts w:ascii="Times New Roman" w:hAnsi="Times New Roman"/>
          <w:color w:val="000000"/>
          <w:sz w:val="24"/>
          <w:szCs w:val="24"/>
        </w:rPr>
      </w:pPr>
    </w:p>
    <w:p w:rsidR="00E551FA" w:rsidRPr="00660A3A" w:rsidRDefault="001C2DB0" w:rsidP="00E551FA">
      <w:pPr>
        <w:spacing w:after="0" w:line="240" w:lineRule="auto"/>
        <w:ind w:firstLine="720"/>
        <w:jc w:val="right"/>
        <w:rPr>
          <w:rFonts w:ascii="Times New Roman" w:hAnsi="Times New Roman"/>
          <w:color w:val="000000"/>
          <w:sz w:val="24"/>
          <w:szCs w:val="24"/>
        </w:rPr>
      </w:pPr>
      <w:r w:rsidRPr="00646B59">
        <w:rPr>
          <w:rFonts w:ascii="Times New Roman" w:hAnsi="Times New Roman"/>
          <w:color w:val="000000"/>
          <w:sz w:val="24"/>
          <w:szCs w:val="24"/>
        </w:rPr>
        <w:t>4</w:t>
      </w:r>
      <w:r w:rsidR="00D3053E" w:rsidRPr="00646B59">
        <w:rPr>
          <w:rFonts w:ascii="Times New Roman" w:hAnsi="Times New Roman"/>
          <w:color w:val="000000"/>
          <w:sz w:val="24"/>
          <w:szCs w:val="24"/>
        </w:rPr>
        <w:t>.</w:t>
      </w:r>
      <w:r w:rsidR="00D3053E" w:rsidRPr="00660A3A">
        <w:rPr>
          <w:rFonts w:ascii="Times New Roman" w:hAnsi="Times New Roman"/>
          <w:color w:val="000000"/>
          <w:sz w:val="24"/>
          <w:szCs w:val="24"/>
        </w:rPr>
        <w:t>tabula</w:t>
      </w:r>
    </w:p>
    <w:p w:rsidR="00D3053E" w:rsidRPr="00660A3A" w:rsidRDefault="00D3053E" w:rsidP="00660A3A">
      <w:pPr>
        <w:spacing w:before="120" w:after="120" w:line="240" w:lineRule="auto"/>
        <w:ind w:firstLine="720"/>
        <w:jc w:val="center"/>
        <w:rPr>
          <w:rFonts w:ascii="Times New Roman" w:hAnsi="Times New Roman"/>
          <w:color w:val="000000"/>
          <w:sz w:val="24"/>
          <w:szCs w:val="24"/>
        </w:rPr>
      </w:pPr>
      <w:r w:rsidRPr="00660A3A">
        <w:rPr>
          <w:rFonts w:ascii="Times New Roman" w:hAnsi="Times New Roman"/>
          <w:color w:val="000000"/>
          <w:sz w:val="24"/>
          <w:szCs w:val="24"/>
        </w:rPr>
        <w:t xml:space="preserve">Prezidentūras pasākumi, kuriem plānots programmas </w:t>
      </w:r>
      <w:r w:rsidRPr="00660A3A">
        <w:rPr>
          <w:rFonts w:ascii="Times New Roman" w:hAnsi="Times New Roman"/>
          <w:i/>
          <w:color w:val="000000"/>
          <w:sz w:val="24"/>
          <w:szCs w:val="24"/>
        </w:rPr>
        <w:t>Erasmus+</w:t>
      </w:r>
      <w:r w:rsidRPr="00660A3A">
        <w:rPr>
          <w:rFonts w:ascii="Times New Roman" w:hAnsi="Times New Roman"/>
          <w:color w:val="000000"/>
          <w:sz w:val="24"/>
          <w:szCs w:val="24"/>
        </w:rPr>
        <w:t xml:space="preserve"> finansējums</w:t>
      </w:r>
    </w:p>
    <w:tbl>
      <w:tblPr>
        <w:tblStyle w:val="TableGrid"/>
        <w:tblW w:w="0" w:type="auto"/>
        <w:tblLayout w:type="fixed"/>
        <w:tblLook w:val="04A0"/>
      </w:tblPr>
      <w:tblGrid>
        <w:gridCol w:w="883"/>
        <w:gridCol w:w="2719"/>
        <w:gridCol w:w="1563"/>
        <w:gridCol w:w="1322"/>
        <w:gridCol w:w="1804"/>
        <w:gridCol w:w="1563"/>
      </w:tblGrid>
      <w:tr w:rsidR="00D3053E" w:rsidRPr="00660A3A" w:rsidTr="00F93E27">
        <w:tc>
          <w:tcPr>
            <w:tcW w:w="883" w:type="dxa"/>
          </w:tcPr>
          <w:p w:rsidR="00D3053E" w:rsidRPr="00660A3A" w:rsidRDefault="00D3053E" w:rsidP="00313E51">
            <w:pPr>
              <w:spacing w:after="0" w:line="240" w:lineRule="auto"/>
              <w:jc w:val="both"/>
              <w:rPr>
                <w:rFonts w:ascii="Times New Roman" w:hAnsi="Times New Roman"/>
                <w:color w:val="000000"/>
                <w:sz w:val="20"/>
                <w:szCs w:val="20"/>
              </w:rPr>
            </w:pPr>
            <w:proofErr w:type="spellStart"/>
            <w:r w:rsidRPr="00660A3A">
              <w:rPr>
                <w:rFonts w:ascii="Times New Roman" w:hAnsi="Times New Roman"/>
                <w:color w:val="000000"/>
                <w:sz w:val="20"/>
                <w:szCs w:val="20"/>
              </w:rPr>
              <w:t>Nr.p.k</w:t>
            </w:r>
            <w:proofErr w:type="spellEnd"/>
            <w:r w:rsidRPr="00660A3A">
              <w:rPr>
                <w:rFonts w:ascii="Times New Roman" w:hAnsi="Times New Roman"/>
                <w:color w:val="000000"/>
                <w:sz w:val="20"/>
                <w:szCs w:val="20"/>
              </w:rPr>
              <w:t>.</w:t>
            </w:r>
          </w:p>
        </w:tc>
        <w:tc>
          <w:tcPr>
            <w:tcW w:w="2719" w:type="dxa"/>
            <w:vAlign w:val="center"/>
          </w:tcPr>
          <w:p w:rsidR="00D3053E" w:rsidRPr="00660A3A" w:rsidRDefault="00D3053E" w:rsidP="00F93E27">
            <w:pPr>
              <w:spacing w:after="0" w:line="240" w:lineRule="auto"/>
              <w:jc w:val="center"/>
              <w:rPr>
                <w:rFonts w:ascii="Times New Roman" w:hAnsi="Times New Roman"/>
                <w:color w:val="000000"/>
                <w:sz w:val="20"/>
                <w:szCs w:val="20"/>
              </w:rPr>
            </w:pPr>
            <w:r w:rsidRPr="00660A3A">
              <w:rPr>
                <w:rFonts w:ascii="Times New Roman" w:hAnsi="Times New Roman"/>
                <w:color w:val="000000"/>
                <w:sz w:val="20"/>
                <w:szCs w:val="20"/>
              </w:rPr>
              <w:t>Pasākuma nosaukums</w:t>
            </w:r>
          </w:p>
        </w:tc>
        <w:tc>
          <w:tcPr>
            <w:tcW w:w="1563" w:type="dxa"/>
            <w:vAlign w:val="center"/>
          </w:tcPr>
          <w:p w:rsidR="00D3053E" w:rsidRPr="00660A3A" w:rsidRDefault="00D3053E" w:rsidP="00F93E27">
            <w:pPr>
              <w:spacing w:after="0" w:line="240" w:lineRule="auto"/>
              <w:jc w:val="center"/>
              <w:rPr>
                <w:rFonts w:ascii="Times New Roman" w:hAnsi="Times New Roman"/>
                <w:color w:val="000000"/>
                <w:sz w:val="20"/>
                <w:szCs w:val="20"/>
              </w:rPr>
            </w:pPr>
            <w:r w:rsidRPr="00660A3A">
              <w:rPr>
                <w:rFonts w:ascii="Times New Roman" w:hAnsi="Times New Roman"/>
                <w:color w:val="000000"/>
                <w:sz w:val="20"/>
                <w:szCs w:val="20"/>
              </w:rPr>
              <w:t>Plānotais maksimālais ES finansējums, EUR</w:t>
            </w:r>
          </w:p>
        </w:tc>
        <w:tc>
          <w:tcPr>
            <w:tcW w:w="1322" w:type="dxa"/>
            <w:vAlign w:val="center"/>
          </w:tcPr>
          <w:p w:rsidR="00D3053E" w:rsidRPr="00660A3A" w:rsidRDefault="00D3053E" w:rsidP="00F93E27">
            <w:pPr>
              <w:spacing w:after="0" w:line="240" w:lineRule="auto"/>
              <w:jc w:val="center"/>
              <w:rPr>
                <w:rFonts w:ascii="Times New Roman" w:hAnsi="Times New Roman"/>
                <w:color w:val="000000"/>
                <w:sz w:val="20"/>
                <w:szCs w:val="20"/>
              </w:rPr>
            </w:pPr>
            <w:r w:rsidRPr="00660A3A">
              <w:rPr>
                <w:rFonts w:ascii="Times New Roman" w:hAnsi="Times New Roman"/>
                <w:color w:val="000000"/>
                <w:sz w:val="20"/>
                <w:szCs w:val="20"/>
              </w:rPr>
              <w:t>ES finansējuma likme</w:t>
            </w:r>
          </w:p>
        </w:tc>
        <w:tc>
          <w:tcPr>
            <w:tcW w:w="1804" w:type="dxa"/>
            <w:vAlign w:val="center"/>
          </w:tcPr>
          <w:p w:rsidR="00D3053E" w:rsidRPr="00660A3A" w:rsidRDefault="00D3053E" w:rsidP="00F93E27">
            <w:pPr>
              <w:spacing w:after="0" w:line="240" w:lineRule="auto"/>
              <w:jc w:val="center"/>
              <w:rPr>
                <w:rFonts w:ascii="Times New Roman" w:hAnsi="Times New Roman"/>
                <w:color w:val="000000"/>
                <w:sz w:val="20"/>
                <w:szCs w:val="20"/>
              </w:rPr>
            </w:pPr>
            <w:r w:rsidRPr="00660A3A">
              <w:rPr>
                <w:rFonts w:ascii="Times New Roman" w:hAnsi="Times New Roman"/>
                <w:color w:val="000000"/>
                <w:sz w:val="20"/>
                <w:szCs w:val="20"/>
              </w:rPr>
              <w:t>Nepieciešamais valsts budžeta līdzfinansējums, EUR</w:t>
            </w:r>
          </w:p>
        </w:tc>
        <w:tc>
          <w:tcPr>
            <w:tcW w:w="1563" w:type="dxa"/>
            <w:vAlign w:val="center"/>
          </w:tcPr>
          <w:p w:rsidR="00D3053E" w:rsidRPr="00660A3A" w:rsidRDefault="00D3053E" w:rsidP="00F93E27">
            <w:pPr>
              <w:spacing w:after="0" w:line="240" w:lineRule="auto"/>
              <w:jc w:val="center"/>
              <w:rPr>
                <w:rFonts w:ascii="Times New Roman" w:hAnsi="Times New Roman"/>
                <w:color w:val="000000"/>
                <w:sz w:val="20"/>
                <w:szCs w:val="20"/>
              </w:rPr>
            </w:pPr>
            <w:r w:rsidRPr="00660A3A">
              <w:rPr>
                <w:rFonts w:ascii="Times New Roman" w:hAnsi="Times New Roman"/>
                <w:color w:val="000000"/>
                <w:sz w:val="20"/>
                <w:szCs w:val="20"/>
              </w:rPr>
              <w:t>Finansējums kopā</w:t>
            </w:r>
          </w:p>
        </w:tc>
      </w:tr>
      <w:tr w:rsidR="00D3053E" w:rsidRPr="00660A3A" w:rsidTr="00F93E27">
        <w:tc>
          <w:tcPr>
            <w:tcW w:w="883" w:type="dxa"/>
          </w:tcPr>
          <w:p w:rsidR="00D3053E" w:rsidRPr="00660A3A" w:rsidRDefault="00D3053E" w:rsidP="00313E51">
            <w:pPr>
              <w:spacing w:after="0" w:line="240" w:lineRule="auto"/>
              <w:jc w:val="both"/>
              <w:rPr>
                <w:rFonts w:ascii="Times New Roman" w:hAnsi="Times New Roman"/>
                <w:color w:val="000000"/>
              </w:rPr>
            </w:pPr>
            <w:r w:rsidRPr="00660A3A">
              <w:rPr>
                <w:rFonts w:ascii="Times New Roman" w:hAnsi="Times New Roman"/>
                <w:color w:val="000000"/>
              </w:rPr>
              <w:t>1.</w:t>
            </w:r>
          </w:p>
        </w:tc>
        <w:tc>
          <w:tcPr>
            <w:tcW w:w="2719" w:type="dxa"/>
          </w:tcPr>
          <w:p w:rsidR="00D3053E" w:rsidRPr="00660A3A" w:rsidRDefault="00D3053E" w:rsidP="00313E51">
            <w:pPr>
              <w:spacing w:after="0" w:line="240" w:lineRule="auto"/>
              <w:jc w:val="both"/>
              <w:rPr>
                <w:rFonts w:ascii="Times New Roman" w:hAnsi="Times New Roman"/>
                <w:color w:val="000000"/>
              </w:rPr>
            </w:pPr>
            <w:r w:rsidRPr="00660A3A">
              <w:rPr>
                <w:rFonts w:ascii="Times New Roman" w:hAnsi="Times New Roman"/>
                <w:color w:val="000000"/>
              </w:rPr>
              <w:t>ES Jaunatnes konference strukturētā dialoga ietvaros un Jaunatnes lietu ģenerāldirektoru sanāksme</w:t>
            </w:r>
          </w:p>
        </w:tc>
        <w:tc>
          <w:tcPr>
            <w:tcW w:w="1563" w:type="dxa"/>
            <w:vAlign w:val="center"/>
          </w:tcPr>
          <w:p w:rsidR="00D3053E" w:rsidRPr="00660A3A" w:rsidRDefault="00D3053E" w:rsidP="00D3053E">
            <w:pPr>
              <w:spacing w:after="0" w:line="240" w:lineRule="auto"/>
              <w:jc w:val="center"/>
              <w:rPr>
                <w:rFonts w:ascii="Times New Roman" w:hAnsi="Times New Roman"/>
                <w:color w:val="000000"/>
              </w:rPr>
            </w:pPr>
            <w:r w:rsidRPr="00660A3A">
              <w:rPr>
                <w:rFonts w:ascii="Times New Roman" w:hAnsi="Times New Roman"/>
                <w:color w:val="000000"/>
              </w:rPr>
              <w:t>250 000</w:t>
            </w:r>
          </w:p>
        </w:tc>
        <w:tc>
          <w:tcPr>
            <w:tcW w:w="1322" w:type="dxa"/>
            <w:vAlign w:val="center"/>
          </w:tcPr>
          <w:p w:rsidR="00D3053E" w:rsidRPr="00660A3A" w:rsidRDefault="00D3053E" w:rsidP="00D3053E">
            <w:pPr>
              <w:spacing w:after="0" w:line="240" w:lineRule="auto"/>
              <w:jc w:val="center"/>
              <w:rPr>
                <w:rFonts w:ascii="Times New Roman" w:hAnsi="Times New Roman"/>
                <w:color w:val="000000"/>
              </w:rPr>
            </w:pPr>
            <w:r w:rsidRPr="00660A3A">
              <w:rPr>
                <w:rFonts w:ascii="Times New Roman" w:hAnsi="Times New Roman"/>
                <w:color w:val="000000"/>
              </w:rPr>
              <w:t>80%</w:t>
            </w:r>
          </w:p>
        </w:tc>
        <w:tc>
          <w:tcPr>
            <w:tcW w:w="1804" w:type="dxa"/>
            <w:vAlign w:val="center"/>
          </w:tcPr>
          <w:p w:rsidR="00D3053E" w:rsidRPr="00660A3A" w:rsidRDefault="00D3053E" w:rsidP="00D3053E">
            <w:pPr>
              <w:spacing w:after="0" w:line="240" w:lineRule="auto"/>
              <w:jc w:val="center"/>
              <w:rPr>
                <w:rFonts w:ascii="Times New Roman" w:hAnsi="Times New Roman"/>
                <w:color w:val="000000"/>
              </w:rPr>
            </w:pPr>
            <w:r w:rsidRPr="00660A3A">
              <w:rPr>
                <w:rFonts w:ascii="Times New Roman" w:hAnsi="Times New Roman"/>
                <w:color w:val="000000"/>
              </w:rPr>
              <w:t>62 500</w:t>
            </w:r>
          </w:p>
        </w:tc>
        <w:tc>
          <w:tcPr>
            <w:tcW w:w="1563" w:type="dxa"/>
            <w:vAlign w:val="center"/>
          </w:tcPr>
          <w:p w:rsidR="00D3053E" w:rsidRPr="00660A3A" w:rsidRDefault="00D3053E" w:rsidP="00D3053E">
            <w:pPr>
              <w:spacing w:after="0" w:line="240" w:lineRule="auto"/>
              <w:jc w:val="center"/>
              <w:rPr>
                <w:rFonts w:ascii="Times New Roman" w:hAnsi="Times New Roman"/>
                <w:color w:val="000000"/>
              </w:rPr>
            </w:pPr>
            <w:r w:rsidRPr="00660A3A">
              <w:rPr>
                <w:rFonts w:ascii="Times New Roman" w:hAnsi="Times New Roman"/>
                <w:color w:val="000000"/>
              </w:rPr>
              <w:t>312 500</w:t>
            </w:r>
          </w:p>
        </w:tc>
      </w:tr>
      <w:tr w:rsidR="00D3053E" w:rsidRPr="00660A3A" w:rsidTr="00F93E27">
        <w:tc>
          <w:tcPr>
            <w:tcW w:w="883" w:type="dxa"/>
          </w:tcPr>
          <w:p w:rsidR="00D3053E" w:rsidRPr="00660A3A" w:rsidRDefault="00D3053E" w:rsidP="00313E51">
            <w:pPr>
              <w:spacing w:after="0" w:line="240" w:lineRule="auto"/>
              <w:jc w:val="both"/>
              <w:rPr>
                <w:rFonts w:ascii="Times New Roman" w:hAnsi="Times New Roman"/>
                <w:color w:val="000000"/>
              </w:rPr>
            </w:pPr>
            <w:r w:rsidRPr="00660A3A">
              <w:rPr>
                <w:rFonts w:ascii="Times New Roman" w:hAnsi="Times New Roman"/>
                <w:color w:val="000000"/>
              </w:rPr>
              <w:t>2.</w:t>
            </w:r>
          </w:p>
        </w:tc>
        <w:tc>
          <w:tcPr>
            <w:tcW w:w="2719" w:type="dxa"/>
          </w:tcPr>
          <w:p w:rsidR="00D3053E" w:rsidRPr="00660A3A" w:rsidRDefault="00D3053E" w:rsidP="00313E51">
            <w:pPr>
              <w:spacing w:after="0" w:line="240" w:lineRule="auto"/>
              <w:jc w:val="both"/>
              <w:rPr>
                <w:rFonts w:ascii="Times New Roman" w:hAnsi="Times New Roman"/>
                <w:color w:val="000000"/>
              </w:rPr>
            </w:pPr>
            <w:r w:rsidRPr="00660A3A">
              <w:rPr>
                <w:rFonts w:ascii="Times New Roman" w:hAnsi="Times New Roman"/>
                <w:color w:val="000000"/>
              </w:rPr>
              <w:t>Augstākās izglītības ģenerāldirektoru sanāksme</w:t>
            </w:r>
          </w:p>
        </w:tc>
        <w:tc>
          <w:tcPr>
            <w:tcW w:w="1563" w:type="dxa"/>
            <w:vAlign w:val="center"/>
          </w:tcPr>
          <w:p w:rsidR="00D3053E" w:rsidRPr="00660A3A" w:rsidRDefault="00D3053E" w:rsidP="00D3053E">
            <w:pPr>
              <w:spacing w:after="0" w:line="240" w:lineRule="auto"/>
              <w:jc w:val="center"/>
              <w:rPr>
                <w:rFonts w:ascii="Times New Roman" w:hAnsi="Times New Roman"/>
                <w:color w:val="000000"/>
              </w:rPr>
            </w:pPr>
            <w:r w:rsidRPr="00660A3A">
              <w:rPr>
                <w:rFonts w:ascii="Times New Roman" w:hAnsi="Times New Roman"/>
                <w:color w:val="000000"/>
              </w:rPr>
              <w:t>50 000</w:t>
            </w:r>
          </w:p>
        </w:tc>
        <w:tc>
          <w:tcPr>
            <w:tcW w:w="1322" w:type="dxa"/>
            <w:vAlign w:val="center"/>
          </w:tcPr>
          <w:p w:rsidR="00D3053E" w:rsidRPr="00660A3A" w:rsidRDefault="00D3053E" w:rsidP="00D3053E">
            <w:pPr>
              <w:spacing w:after="0" w:line="240" w:lineRule="auto"/>
              <w:jc w:val="center"/>
              <w:rPr>
                <w:rFonts w:ascii="Times New Roman" w:hAnsi="Times New Roman"/>
                <w:color w:val="000000"/>
              </w:rPr>
            </w:pPr>
            <w:r w:rsidRPr="00660A3A">
              <w:rPr>
                <w:rFonts w:ascii="Times New Roman" w:hAnsi="Times New Roman"/>
                <w:color w:val="000000"/>
              </w:rPr>
              <w:t>80%</w:t>
            </w:r>
          </w:p>
        </w:tc>
        <w:tc>
          <w:tcPr>
            <w:tcW w:w="1804" w:type="dxa"/>
            <w:vAlign w:val="center"/>
          </w:tcPr>
          <w:p w:rsidR="00D3053E" w:rsidRPr="00660A3A" w:rsidRDefault="00D3053E" w:rsidP="00D3053E">
            <w:pPr>
              <w:spacing w:after="0" w:line="240" w:lineRule="auto"/>
              <w:jc w:val="center"/>
              <w:rPr>
                <w:rFonts w:ascii="Times New Roman" w:hAnsi="Times New Roman"/>
                <w:color w:val="000000"/>
              </w:rPr>
            </w:pPr>
            <w:r w:rsidRPr="00660A3A">
              <w:rPr>
                <w:rFonts w:ascii="Times New Roman" w:hAnsi="Times New Roman"/>
                <w:color w:val="000000"/>
              </w:rPr>
              <w:t>12 500</w:t>
            </w:r>
          </w:p>
        </w:tc>
        <w:tc>
          <w:tcPr>
            <w:tcW w:w="1563" w:type="dxa"/>
            <w:vAlign w:val="center"/>
          </w:tcPr>
          <w:p w:rsidR="00D3053E" w:rsidRPr="00660A3A" w:rsidRDefault="00D3053E" w:rsidP="00D3053E">
            <w:pPr>
              <w:spacing w:after="0" w:line="240" w:lineRule="auto"/>
              <w:jc w:val="center"/>
              <w:rPr>
                <w:rFonts w:ascii="Times New Roman" w:hAnsi="Times New Roman"/>
                <w:color w:val="000000"/>
              </w:rPr>
            </w:pPr>
            <w:r w:rsidRPr="00660A3A">
              <w:rPr>
                <w:rFonts w:ascii="Times New Roman" w:hAnsi="Times New Roman"/>
                <w:color w:val="000000"/>
              </w:rPr>
              <w:t>62 500</w:t>
            </w:r>
          </w:p>
        </w:tc>
      </w:tr>
      <w:tr w:rsidR="00F93E27" w:rsidRPr="00660A3A" w:rsidTr="00F93E27">
        <w:tc>
          <w:tcPr>
            <w:tcW w:w="883"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3.</w:t>
            </w:r>
          </w:p>
        </w:tc>
        <w:tc>
          <w:tcPr>
            <w:tcW w:w="2719"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Sporta konference</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250 000</w:t>
            </w:r>
          </w:p>
        </w:tc>
        <w:tc>
          <w:tcPr>
            <w:tcW w:w="1322"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80%</w:t>
            </w:r>
          </w:p>
        </w:tc>
        <w:tc>
          <w:tcPr>
            <w:tcW w:w="1804"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62 500</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312 500</w:t>
            </w:r>
          </w:p>
        </w:tc>
      </w:tr>
      <w:tr w:rsidR="00F93E27" w:rsidRPr="00660A3A" w:rsidTr="00F93E27">
        <w:tc>
          <w:tcPr>
            <w:tcW w:w="883"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4.</w:t>
            </w:r>
          </w:p>
        </w:tc>
        <w:tc>
          <w:tcPr>
            <w:tcW w:w="2719"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Sporta ģenerāldirektoru sanāksme</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50 000</w:t>
            </w:r>
          </w:p>
        </w:tc>
        <w:tc>
          <w:tcPr>
            <w:tcW w:w="1322"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80%</w:t>
            </w:r>
          </w:p>
        </w:tc>
        <w:tc>
          <w:tcPr>
            <w:tcW w:w="1804"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12 500</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62 500</w:t>
            </w:r>
          </w:p>
        </w:tc>
      </w:tr>
      <w:tr w:rsidR="00F93E27" w:rsidRPr="00660A3A" w:rsidTr="00F93E27">
        <w:tc>
          <w:tcPr>
            <w:tcW w:w="883"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5.</w:t>
            </w:r>
          </w:p>
        </w:tc>
        <w:tc>
          <w:tcPr>
            <w:tcW w:w="2719"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Profesionālās izglītības ģenerāldirektoru sanāksme</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50 000</w:t>
            </w:r>
          </w:p>
        </w:tc>
        <w:tc>
          <w:tcPr>
            <w:tcW w:w="1322"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80%</w:t>
            </w:r>
          </w:p>
        </w:tc>
        <w:tc>
          <w:tcPr>
            <w:tcW w:w="1804"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12 500</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62 500</w:t>
            </w:r>
          </w:p>
        </w:tc>
      </w:tr>
      <w:tr w:rsidR="00F93E27" w:rsidRPr="00660A3A" w:rsidTr="00F93E27">
        <w:tc>
          <w:tcPr>
            <w:tcW w:w="883"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6.</w:t>
            </w:r>
          </w:p>
        </w:tc>
        <w:tc>
          <w:tcPr>
            <w:tcW w:w="2719"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Skolu ģenerāldirektoru sanāksme</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50 000</w:t>
            </w:r>
          </w:p>
        </w:tc>
        <w:tc>
          <w:tcPr>
            <w:tcW w:w="1322"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80%</w:t>
            </w:r>
          </w:p>
        </w:tc>
        <w:tc>
          <w:tcPr>
            <w:tcW w:w="1804"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12 500</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62 500</w:t>
            </w:r>
          </w:p>
        </w:tc>
      </w:tr>
      <w:tr w:rsidR="00F93E27" w:rsidRPr="00660A3A" w:rsidTr="00F93E27">
        <w:tc>
          <w:tcPr>
            <w:tcW w:w="883"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7.</w:t>
            </w:r>
          </w:p>
        </w:tc>
        <w:tc>
          <w:tcPr>
            <w:tcW w:w="2719"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Profesionālās izglītības ministru augsta līmeņa sanāksme</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50 000</w:t>
            </w:r>
          </w:p>
        </w:tc>
        <w:tc>
          <w:tcPr>
            <w:tcW w:w="1322"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80%</w:t>
            </w:r>
          </w:p>
        </w:tc>
        <w:tc>
          <w:tcPr>
            <w:tcW w:w="1804"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12 500</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62 500</w:t>
            </w:r>
          </w:p>
        </w:tc>
      </w:tr>
      <w:tr w:rsidR="00F93E27" w:rsidRPr="00660A3A" w:rsidTr="00F93E27">
        <w:tc>
          <w:tcPr>
            <w:tcW w:w="883" w:type="dxa"/>
          </w:tcPr>
          <w:p w:rsidR="00F93E27" w:rsidRPr="00660A3A" w:rsidRDefault="00F93E27" w:rsidP="00313E51">
            <w:pPr>
              <w:spacing w:after="0" w:line="240" w:lineRule="auto"/>
              <w:jc w:val="both"/>
              <w:rPr>
                <w:rFonts w:ascii="Times New Roman" w:hAnsi="Times New Roman"/>
                <w:color w:val="000000"/>
              </w:rPr>
            </w:pPr>
          </w:p>
        </w:tc>
        <w:tc>
          <w:tcPr>
            <w:tcW w:w="2719" w:type="dxa"/>
          </w:tcPr>
          <w:p w:rsidR="00F93E27" w:rsidRPr="00660A3A" w:rsidRDefault="00F93E27" w:rsidP="00313E51">
            <w:pPr>
              <w:spacing w:after="0" w:line="240" w:lineRule="auto"/>
              <w:jc w:val="both"/>
              <w:rPr>
                <w:rFonts w:ascii="Times New Roman" w:hAnsi="Times New Roman"/>
                <w:color w:val="000000"/>
              </w:rPr>
            </w:pPr>
            <w:r w:rsidRPr="00660A3A">
              <w:rPr>
                <w:rFonts w:ascii="Times New Roman" w:hAnsi="Times New Roman"/>
                <w:color w:val="000000"/>
              </w:rPr>
              <w:t>KOPĀ</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750 000</w:t>
            </w:r>
          </w:p>
        </w:tc>
        <w:tc>
          <w:tcPr>
            <w:tcW w:w="1322"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80%</w:t>
            </w:r>
          </w:p>
        </w:tc>
        <w:tc>
          <w:tcPr>
            <w:tcW w:w="1804"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187 500</w:t>
            </w:r>
          </w:p>
        </w:tc>
        <w:tc>
          <w:tcPr>
            <w:tcW w:w="1563" w:type="dxa"/>
            <w:vAlign w:val="center"/>
          </w:tcPr>
          <w:p w:rsidR="00F93E27" w:rsidRPr="00660A3A" w:rsidRDefault="00F93E27" w:rsidP="00002809">
            <w:pPr>
              <w:spacing w:after="0" w:line="240" w:lineRule="auto"/>
              <w:jc w:val="center"/>
              <w:rPr>
                <w:rFonts w:ascii="Times New Roman" w:hAnsi="Times New Roman"/>
                <w:color w:val="000000"/>
              </w:rPr>
            </w:pPr>
            <w:r w:rsidRPr="00660A3A">
              <w:rPr>
                <w:rFonts w:ascii="Times New Roman" w:hAnsi="Times New Roman"/>
                <w:color w:val="000000"/>
              </w:rPr>
              <w:t>937 500</w:t>
            </w:r>
          </w:p>
        </w:tc>
      </w:tr>
    </w:tbl>
    <w:p w:rsidR="00D3053E" w:rsidRDefault="00D3053E" w:rsidP="00313E51">
      <w:pPr>
        <w:spacing w:after="0" w:line="240" w:lineRule="auto"/>
        <w:ind w:firstLine="720"/>
        <w:jc w:val="both"/>
        <w:rPr>
          <w:rFonts w:ascii="Times New Roman" w:hAnsi="Times New Roman"/>
          <w:b/>
          <w:color w:val="000000"/>
          <w:sz w:val="24"/>
          <w:szCs w:val="24"/>
        </w:rPr>
      </w:pPr>
    </w:p>
    <w:p w:rsidR="007212AD" w:rsidRPr="00660A3A" w:rsidRDefault="00D3053E" w:rsidP="00313E51">
      <w:pPr>
        <w:spacing w:after="0" w:line="240" w:lineRule="auto"/>
        <w:ind w:firstLine="720"/>
        <w:jc w:val="both"/>
        <w:rPr>
          <w:rFonts w:ascii="Times New Roman" w:hAnsi="Times New Roman"/>
          <w:sz w:val="24"/>
          <w:szCs w:val="24"/>
        </w:rPr>
      </w:pPr>
      <w:r w:rsidRPr="00660A3A">
        <w:rPr>
          <w:rFonts w:ascii="Times New Roman" w:hAnsi="Times New Roman"/>
          <w:sz w:val="24"/>
          <w:szCs w:val="24"/>
        </w:rPr>
        <w:t>2</w:t>
      </w:r>
      <w:r w:rsidR="001C3080">
        <w:rPr>
          <w:rFonts w:ascii="Times New Roman" w:hAnsi="Times New Roman"/>
          <w:sz w:val="24"/>
          <w:szCs w:val="24"/>
        </w:rPr>
        <w:t>7</w:t>
      </w:r>
      <w:r w:rsidRPr="00660A3A">
        <w:rPr>
          <w:rFonts w:ascii="Times New Roman" w:hAnsi="Times New Roman"/>
          <w:sz w:val="24"/>
          <w:szCs w:val="24"/>
        </w:rPr>
        <w:t xml:space="preserve">. Informatīvā ziņojuma 5.tabulā minētie pasākumi ir </w:t>
      </w:r>
      <w:r w:rsidR="004C03BA" w:rsidRPr="00660A3A">
        <w:rPr>
          <w:rFonts w:ascii="Times New Roman" w:hAnsi="Times New Roman"/>
          <w:sz w:val="24"/>
          <w:szCs w:val="24"/>
        </w:rPr>
        <w:t>iekļauta Latvijas prezidentūras ES Padomē laikā Latvijā notiekošo pasākumu kalendāra projektā, kas tuvākajā laikā</w:t>
      </w:r>
      <w:r w:rsidR="003746FB" w:rsidRPr="00660A3A">
        <w:rPr>
          <w:rFonts w:ascii="Times New Roman" w:hAnsi="Times New Roman"/>
          <w:sz w:val="24"/>
          <w:szCs w:val="24"/>
        </w:rPr>
        <w:t>,</w:t>
      </w:r>
      <w:r w:rsidR="004C03BA" w:rsidRPr="00660A3A">
        <w:rPr>
          <w:rFonts w:ascii="Times New Roman" w:hAnsi="Times New Roman"/>
          <w:sz w:val="24"/>
          <w:szCs w:val="24"/>
        </w:rPr>
        <w:t xml:space="preserve"> kopā ar Latvijas prezidentūras ES Padomē sekretariāta sagatavoto informatīvo ziņojumu „Par Latvijas prezidentūras Eiropas Savienības Padomē laikā Latvijā notiekošo pasākumu kalendāra sagatavošanu” tiks iesniegts apstiprināšanai Ministru kabinetā.</w:t>
      </w:r>
      <w:r w:rsidR="002F4845" w:rsidRPr="00660A3A">
        <w:rPr>
          <w:rFonts w:ascii="Times New Roman" w:hAnsi="Times New Roman"/>
          <w:sz w:val="24"/>
          <w:szCs w:val="24"/>
        </w:rPr>
        <w:t xml:space="preserve"> Ņemot vērā, ka faktiskā projekta īstenošana tiks uzsākta tikai 2015.gadā</w:t>
      </w:r>
      <w:r w:rsidR="00F93E27" w:rsidRPr="00660A3A">
        <w:rPr>
          <w:rFonts w:ascii="Times New Roman" w:hAnsi="Times New Roman"/>
          <w:sz w:val="24"/>
          <w:szCs w:val="24"/>
        </w:rPr>
        <w:t xml:space="preserve"> (pasākumi plānoti 2015.gada februārī – aprīlī)</w:t>
      </w:r>
      <w:r w:rsidR="002F4845" w:rsidRPr="00660A3A">
        <w:rPr>
          <w:rFonts w:ascii="Times New Roman" w:hAnsi="Times New Roman"/>
          <w:sz w:val="24"/>
          <w:szCs w:val="24"/>
        </w:rPr>
        <w:t>, tad</w:t>
      </w:r>
      <w:r w:rsidR="00313E51" w:rsidRPr="00660A3A">
        <w:rPr>
          <w:rFonts w:ascii="Times New Roman" w:hAnsi="Times New Roman"/>
          <w:sz w:val="24"/>
          <w:szCs w:val="24"/>
        </w:rPr>
        <w:t xml:space="preserve"> </w:t>
      </w:r>
      <w:r w:rsidR="002F4845" w:rsidRPr="00660A3A">
        <w:rPr>
          <w:rFonts w:ascii="Times New Roman" w:hAnsi="Times New Roman"/>
          <w:sz w:val="24"/>
          <w:szCs w:val="24"/>
        </w:rPr>
        <w:t>budžeta ilgtermiņa saistībās</w:t>
      </w:r>
      <w:r w:rsidR="00774639" w:rsidRPr="00660A3A">
        <w:rPr>
          <w:rFonts w:ascii="Times New Roman" w:hAnsi="Times New Roman"/>
          <w:sz w:val="24"/>
          <w:szCs w:val="24"/>
        </w:rPr>
        <w:t xml:space="preserve"> IZM 70.11.00 budžeta apakšprogrammā</w:t>
      </w:r>
      <w:r w:rsidR="002F4845" w:rsidRPr="00660A3A">
        <w:rPr>
          <w:rFonts w:ascii="Times New Roman" w:hAnsi="Times New Roman"/>
          <w:sz w:val="24"/>
          <w:szCs w:val="24"/>
        </w:rPr>
        <w:t xml:space="preserve"> 2015.gadam ir jāparedz finansējums </w:t>
      </w:r>
      <w:r w:rsidR="00F93E27" w:rsidRPr="00660A3A">
        <w:rPr>
          <w:rFonts w:ascii="Times New Roman" w:hAnsi="Times New Roman"/>
          <w:sz w:val="24"/>
          <w:szCs w:val="24"/>
        </w:rPr>
        <w:t>937 500</w:t>
      </w:r>
      <w:r w:rsidR="002F4845" w:rsidRPr="00660A3A">
        <w:rPr>
          <w:rFonts w:ascii="Times New Roman" w:hAnsi="Times New Roman"/>
          <w:sz w:val="24"/>
          <w:szCs w:val="24"/>
        </w:rPr>
        <w:t xml:space="preserve"> EUR apmērā, tai skaitā ārvalstu finanšu palīdzība iestādes ieņēmumos – </w:t>
      </w:r>
      <w:r w:rsidR="00F93E27" w:rsidRPr="00660A3A">
        <w:rPr>
          <w:rFonts w:ascii="Times New Roman" w:hAnsi="Times New Roman"/>
          <w:sz w:val="24"/>
          <w:szCs w:val="24"/>
        </w:rPr>
        <w:t xml:space="preserve">750 000 </w:t>
      </w:r>
      <w:r w:rsidR="002F4845" w:rsidRPr="00660A3A">
        <w:rPr>
          <w:rFonts w:ascii="Times New Roman" w:hAnsi="Times New Roman"/>
          <w:sz w:val="24"/>
          <w:szCs w:val="24"/>
        </w:rPr>
        <w:t xml:space="preserve">EUR un dotācija no vispārējiem </w:t>
      </w:r>
      <w:r w:rsidR="002F4845" w:rsidRPr="00660A3A">
        <w:rPr>
          <w:rFonts w:ascii="Times New Roman" w:hAnsi="Times New Roman"/>
          <w:sz w:val="24"/>
          <w:szCs w:val="24"/>
        </w:rPr>
        <w:lastRenderedPageBreak/>
        <w:t xml:space="preserve">ieņēmumiem – </w:t>
      </w:r>
      <w:r w:rsidR="00F93E27" w:rsidRPr="00660A3A">
        <w:rPr>
          <w:rFonts w:ascii="Times New Roman" w:hAnsi="Times New Roman"/>
          <w:sz w:val="24"/>
          <w:szCs w:val="24"/>
        </w:rPr>
        <w:t>187 500 EUR</w:t>
      </w:r>
      <w:r w:rsidR="002F4845" w:rsidRPr="00660A3A">
        <w:rPr>
          <w:rFonts w:ascii="Times New Roman" w:hAnsi="Times New Roman"/>
          <w:sz w:val="24"/>
          <w:szCs w:val="24"/>
        </w:rPr>
        <w:t>, to attiecīgi precizējot atbilstoši apstiprinātā projekta izmaksām likumprojekta par vidējā termiņa budžeta ietvaru un likumprojekta par valsts budžetu kārtējam gadam izstrādes gaitā.</w:t>
      </w:r>
    </w:p>
    <w:p w:rsidR="00957A42" w:rsidRPr="00954573" w:rsidRDefault="00957A42" w:rsidP="00E301A9">
      <w:pPr>
        <w:spacing w:after="0" w:line="240" w:lineRule="auto"/>
        <w:jc w:val="both"/>
        <w:rPr>
          <w:rFonts w:ascii="Times New Roman" w:hAnsi="Times New Roman"/>
          <w:i/>
          <w:color w:val="000000"/>
          <w:sz w:val="24"/>
          <w:szCs w:val="20"/>
        </w:rPr>
      </w:pPr>
    </w:p>
    <w:p w:rsidR="00FE5972" w:rsidRDefault="00FE5972" w:rsidP="00FE5972">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D794D">
        <w:rPr>
          <w:rFonts w:ascii="Times New Roman" w:hAnsi="Times New Roman"/>
          <w:b/>
          <w:sz w:val="24"/>
          <w:szCs w:val="24"/>
        </w:rPr>
        <w:t xml:space="preserve">Informācija par </w:t>
      </w:r>
      <w:r>
        <w:rPr>
          <w:rFonts w:ascii="Times New Roman" w:hAnsi="Times New Roman"/>
          <w:b/>
          <w:sz w:val="24"/>
          <w:szCs w:val="24"/>
        </w:rPr>
        <w:t xml:space="preserve">nepieciešamo valsts līdzfinansējumu </w:t>
      </w:r>
      <w:r w:rsidRPr="0093392F">
        <w:rPr>
          <w:rFonts w:ascii="Times New Roman" w:hAnsi="Times New Roman"/>
          <w:b/>
          <w:i/>
          <w:sz w:val="24"/>
          <w:szCs w:val="24"/>
        </w:rPr>
        <w:t xml:space="preserve">Erasmus+ </w:t>
      </w:r>
      <w:r>
        <w:rPr>
          <w:rFonts w:ascii="Times New Roman" w:hAnsi="Times New Roman"/>
          <w:b/>
          <w:sz w:val="24"/>
          <w:szCs w:val="24"/>
        </w:rPr>
        <w:t>mobilitātes aktivitāšu nodrošināšanai augstākajā izglītībā</w:t>
      </w:r>
    </w:p>
    <w:p w:rsidR="00FE5972" w:rsidRPr="001D794D" w:rsidRDefault="00FE5972" w:rsidP="00FE5972">
      <w:pPr>
        <w:spacing w:after="0" w:line="240" w:lineRule="auto"/>
        <w:jc w:val="center"/>
        <w:rPr>
          <w:rFonts w:ascii="Times New Roman" w:hAnsi="Times New Roman"/>
          <w:b/>
          <w:sz w:val="24"/>
          <w:szCs w:val="24"/>
        </w:rPr>
      </w:pPr>
    </w:p>
    <w:p w:rsidR="00FE5972" w:rsidRPr="001D794D" w:rsidRDefault="008E65EB" w:rsidP="00FE5972">
      <w:pPr>
        <w:spacing w:after="0" w:line="240" w:lineRule="auto"/>
        <w:ind w:firstLine="720"/>
        <w:jc w:val="both"/>
        <w:rPr>
          <w:rFonts w:ascii="Times New Roman" w:hAnsi="Times New Roman"/>
          <w:sz w:val="24"/>
          <w:szCs w:val="24"/>
        </w:rPr>
      </w:pPr>
      <w:r>
        <w:rPr>
          <w:rFonts w:ascii="Times New Roman" w:hAnsi="Times New Roman"/>
          <w:sz w:val="24"/>
          <w:szCs w:val="24"/>
        </w:rPr>
        <w:t>2</w:t>
      </w:r>
      <w:r w:rsidR="001C3080">
        <w:rPr>
          <w:rFonts w:ascii="Times New Roman" w:hAnsi="Times New Roman"/>
          <w:sz w:val="24"/>
          <w:szCs w:val="24"/>
        </w:rPr>
        <w:t>8</w:t>
      </w:r>
      <w:r w:rsidR="00FE5972" w:rsidRPr="001D794D">
        <w:rPr>
          <w:rFonts w:ascii="Times New Roman" w:hAnsi="Times New Roman"/>
          <w:sz w:val="24"/>
          <w:szCs w:val="24"/>
        </w:rPr>
        <w:t>. Lai paaugstinātu augstākās izglītības kvalitāti</w:t>
      </w:r>
      <w:r w:rsidR="000F76AA">
        <w:rPr>
          <w:rFonts w:ascii="Times New Roman" w:hAnsi="Times New Roman"/>
          <w:sz w:val="24"/>
          <w:szCs w:val="24"/>
        </w:rPr>
        <w:t xml:space="preserve"> un </w:t>
      </w:r>
      <w:r w:rsidR="00FE5972" w:rsidRPr="001D794D">
        <w:rPr>
          <w:rFonts w:ascii="Times New Roman" w:hAnsi="Times New Roman"/>
          <w:sz w:val="24"/>
          <w:szCs w:val="24"/>
        </w:rPr>
        <w:t>starptautisko konkurētspēju</w:t>
      </w:r>
      <w:r w:rsidR="00844996">
        <w:rPr>
          <w:rFonts w:ascii="Times New Roman" w:hAnsi="Times New Roman"/>
          <w:sz w:val="24"/>
          <w:szCs w:val="24"/>
        </w:rPr>
        <w:t xml:space="preserve"> </w:t>
      </w:r>
      <w:r w:rsidR="00FE5972" w:rsidRPr="001D794D">
        <w:rPr>
          <w:rFonts w:ascii="Times New Roman" w:hAnsi="Times New Roman"/>
          <w:sz w:val="24"/>
          <w:szCs w:val="24"/>
        </w:rPr>
        <w:t>internacionalizācij</w:t>
      </w:r>
      <w:r w:rsidR="000F76AA">
        <w:rPr>
          <w:rFonts w:ascii="Times New Roman" w:hAnsi="Times New Roman"/>
          <w:sz w:val="24"/>
          <w:szCs w:val="24"/>
        </w:rPr>
        <w:t>a</w:t>
      </w:r>
      <w:r w:rsidR="00FE5972" w:rsidRPr="001D794D">
        <w:rPr>
          <w:rFonts w:ascii="Times New Roman" w:hAnsi="Times New Roman"/>
          <w:sz w:val="24"/>
          <w:szCs w:val="24"/>
        </w:rPr>
        <w:t xml:space="preserve"> tās dažādajos aspektos (mobilitāte, ārvalstu studentu un pasniedzēju piesaiste, kopīgas programmas un projekti) ir nepieciešama</w:t>
      </w:r>
      <w:r w:rsidR="000F76AA">
        <w:rPr>
          <w:rFonts w:ascii="Times New Roman" w:hAnsi="Times New Roman"/>
          <w:sz w:val="24"/>
          <w:szCs w:val="24"/>
        </w:rPr>
        <w:t xml:space="preserve"> un</w:t>
      </w:r>
      <w:r w:rsidR="00FE5972" w:rsidRPr="001D794D">
        <w:rPr>
          <w:rFonts w:ascii="Times New Roman" w:hAnsi="Times New Roman"/>
          <w:sz w:val="24"/>
          <w:szCs w:val="24"/>
        </w:rPr>
        <w:t xml:space="preserve"> </w:t>
      </w:r>
      <w:r w:rsidR="00F67411" w:rsidRPr="007C7DED">
        <w:rPr>
          <w:rFonts w:ascii="Times New Roman" w:hAnsi="Times New Roman"/>
          <w:sz w:val="24"/>
          <w:szCs w:val="24"/>
        </w:rPr>
        <w:t>būtiska</w:t>
      </w:r>
      <w:r w:rsidR="00FE5972" w:rsidRPr="001D794D">
        <w:rPr>
          <w:rFonts w:ascii="Times New Roman" w:hAnsi="Times New Roman"/>
          <w:sz w:val="24"/>
          <w:szCs w:val="24"/>
        </w:rPr>
        <w:t xml:space="preserve"> </w:t>
      </w:r>
      <w:r w:rsidR="00FE5972" w:rsidRPr="00A604E8">
        <w:rPr>
          <w:rFonts w:ascii="Times New Roman" w:hAnsi="Times New Roman"/>
          <w:sz w:val="24"/>
          <w:szCs w:val="24"/>
        </w:rPr>
        <w:t>darbības dimensija</w:t>
      </w:r>
      <w:r w:rsidR="00FE5972" w:rsidRPr="001D794D">
        <w:rPr>
          <w:rFonts w:ascii="Times New Roman" w:hAnsi="Times New Roman"/>
          <w:sz w:val="24"/>
          <w:szCs w:val="24"/>
        </w:rPr>
        <w:t xml:space="preserve"> augstākajā izglītībā. Kopumā internacionalizācijas līmenis Latvijas </w:t>
      </w:r>
      <w:r w:rsidR="00FE5972">
        <w:rPr>
          <w:rFonts w:ascii="Times New Roman" w:hAnsi="Times New Roman"/>
          <w:sz w:val="24"/>
          <w:szCs w:val="24"/>
        </w:rPr>
        <w:t>augstākajā izglītībā</w:t>
      </w:r>
      <w:r w:rsidR="00FE5972" w:rsidRPr="001D794D">
        <w:rPr>
          <w:rFonts w:ascii="Times New Roman" w:hAnsi="Times New Roman"/>
          <w:sz w:val="24"/>
          <w:szCs w:val="24"/>
        </w:rPr>
        <w:t xml:space="preserve"> ir nepietiekams.</w:t>
      </w:r>
    </w:p>
    <w:p w:rsidR="00FE5972" w:rsidRPr="00643D1E" w:rsidRDefault="001C3080" w:rsidP="00FE5972">
      <w:pPr>
        <w:spacing w:after="0" w:line="240" w:lineRule="auto"/>
        <w:ind w:firstLine="720"/>
        <w:jc w:val="both"/>
        <w:rPr>
          <w:rFonts w:ascii="Times New Roman" w:hAnsi="Times New Roman"/>
          <w:sz w:val="24"/>
          <w:szCs w:val="24"/>
        </w:rPr>
      </w:pPr>
      <w:r>
        <w:rPr>
          <w:rFonts w:ascii="Times New Roman" w:hAnsi="Times New Roman"/>
          <w:sz w:val="24"/>
          <w:szCs w:val="24"/>
        </w:rPr>
        <w:t>29</w:t>
      </w:r>
      <w:r w:rsidR="00FE5972" w:rsidRPr="001D794D">
        <w:rPr>
          <w:rFonts w:ascii="Times New Roman" w:hAnsi="Times New Roman"/>
          <w:sz w:val="24"/>
          <w:szCs w:val="24"/>
        </w:rPr>
        <w:t>. Latvijas student</w:t>
      </w:r>
      <w:r w:rsidR="00FE5972">
        <w:rPr>
          <w:rFonts w:ascii="Times New Roman" w:hAnsi="Times New Roman"/>
          <w:sz w:val="24"/>
          <w:szCs w:val="24"/>
        </w:rPr>
        <w:t>u</w:t>
      </w:r>
      <w:r w:rsidR="000F76AA">
        <w:rPr>
          <w:rFonts w:ascii="Times New Roman" w:hAnsi="Times New Roman"/>
          <w:sz w:val="24"/>
          <w:szCs w:val="24"/>
        </w:rPr>
        <w:t xml:space="preserve"> mobilitātei </w:t>
      </w:r>
      <w:r w:rsidR="00D20C84">
        <w:rPr>
          <w:rFonts w:ascii="Times New Roman" w:hAnsi="Times New Roman"/>
          <w:sz w:val="24"/>
          <w:szCs w:val="24"/>
        </w:rPr>
        <w:t>studijām citās</w:t>
      </w:r>
      <w:r w:rsidR="00D20C84" w:rsidRPr="00322145">
        <w:rPr>
          <w:rFonts w:ascii="Times New Roman" w:hAnsi="Times New Roman"/>
          <w:sz w:val="24"/>
          <w:szCs w:val="24"/>
        </w:rPr>
        <w:t xml:space="preserve"> </w:t>
      </w:r>
      <w:r w:rsidR="00322145">
        <w:rPr>
          <w:rFonts w:ascii="Times New Roman" w:hAnsi="Times New Roman"/>
          <w:sz w:val="24"/>
          <w:szCs w:val="24"/>
        </w:rPr>
        <w:t xml:space="preserve">programmas </w:t>
      </w:r>
      <w:r w:rsidR="00FD77B8" w:rsidRPr="00FD77B8">
        <w:rPr>
          <w:rFonts w:ascii="Times New Roman" w:hAnsi="Times New Roman"/>
          <w:i/>
          <w:sz w:val="24"/>
          <w:szCs w:val="24"/>
        </w:rPr>
        <w:t>Erasmus+</w:t>
      </w:r>
      <w:r w:rsidR="00322145">
        <w:rPr>
          <w:rFonts w:ascii="Times New Roman" w:hAnsi="Times New Roman"/>
          <w:sz w:val="24"/>
          <w:szCs w:val="24"/>
        </w:rPr>
        <w:t xml:space="preserve"> dalībvalstī</w:t>
      </w:r>
      <w:r w:rsidR="00D20C84">
        <w:rPr>
          <w:rFonts w:ascii="Times New Roman" w:hAnsi="Times New Roman"/>
          <w:sz w:val="24"/>
          <w:szCs w:val="24"/>
        </w:rPr>
        <w:t>s</w:t>
      </w:r>
      <w:r w:rsidR="00FE5972" w:rsidRPr="001D794D">
        <w:rPr>
          <w:rFonts w:ascii="Times New Roman" w:hAnsi="Times New Roman"/>
          <w:sz w:val="24"/>
          <w:szCs w:val="24"/>
        </w:rPr>
        <w:t xml:space="preserve"> ir </w:t>
      </w:r>
      <w:r w:rsidR="00A245BD">
        <w:rPr>
          <w:rFonts w:ascii="Times New Roman" w:hAnsi="Times New Roman"/>
          <w:sz w:val="24"/>
          <w:szCs w:val="24"/>
        </w:rPr>
        <w:t>nozīmīga</w:t>
      </w:r>
      <w:r w:rsidR="00A245BD" w:rsidRPr="001D794D">
        <w:rPr>
          <w:rFonts w:ascii="Times New Roman" w:hAnsi="Times New Roman"/>
          <w:sz w:val="24"/>
          <w:szCs w:val="24"/>
        </w:rPr>
        <w:t xml:space="preserve"> </w:t>
      </w:r>
      <w:r w:rsidR="00FE5972" w:rsidRPr="001D794D">
        <w:rPr>
          <w:rFonts w:ascii="Times New Roman" w:hAnsi="Times New Roman"/>
          <w:sz w:val="24"/>
          <w:szCs w:val="24"/>
        </w:rPr>
        <w:t xml:space="preserve">loma indivīda </w:t>
      </w:r>
      <w:r w:rsidR="00D20C84" w:rsidRPr="001D794D">
        <w:rPr>
          <w:rFonts w:ascii="Times New Roman" w:hAnsi="Times New Roman"/>
          <w:sz w:val="24"/>
          <w:szCs w:val="24"/>
        </w:rPr>
        <w:t xml:space="preserve">kopējā </w:t>
      </w:r>
      <w:r w:rsidR="00FE5972" w:rsidRPr="001D794D">
        <w:rPr>
          <w:rFonts w:ascii="Times New Roman" w:hAnsi="Times New Roman"/>
          <w:sz w:val="24"/>
          <w:szCs w:val="24"/>
        </w:rPr>
        <w:t xml:space="preserve">studiju procesā, jo studiju pieredze ārvalstīs dažādo studiju rezultātus un saturu, dod </w:t>
      </w:r>
      <w:proofErr w:type="spellStart"/>
      <w:r w:rsidR="00FE5972" w:rsidRPr="001D794D">
        <w:rPr>
          <w:rFonts w:ascii="Times New Roman" w:hAnsi="Times New Roman"/>
          <w:sz w:val="24"/>
          <w:szCs w:val="24"/>
        </w:rPr>
        <w:t>starpkultūru</w:t>
      </w:r>
      <w:proofErr w:type="spellEnd"/>
      <w:r w:rsidR="00FE5972" w:rsidRPr="001D794D">
        <w:rPr>
          <w:rFonts w:ascii="Times New Roman" w:hAnsi="Times New Roman"/>
          <w:sz w:val="24"/>
          <w:szCs w:val="24"/>
        </w:rPr>
        <w:t xml:space="preserve"> pieredzi, labāk sagatavojot jaunos speciālistus darbam starptautiskā vidē, </w:t>
      </w:r>
      <w:r w:rsidR="00FE5972" w:rsidRPr="00643D1E">
        <w:rPr>
          <w:rFonts w:ascii="Times New Roman" w:hAnsi="Times New Roman"/>
          <w:sz w:val="24"/>
          <w:szCs w:val="24"/>
        </w:rPr>
        <w:t xml:space="preserve">kas ir </w:t>
      </w:r>
      <w:r w:rsidR="00FD77B8" w:rsidRPr="00643D1E">
        <w:rPr>
          <w:rFonts w:ascii="Times New Roman" w:hAnsi="Times New Roman"/>
          <w:sz w:val="24"/>
          <w:szCs w:val="24"/>
        </w:rPr>
        <w:t>būtiski</w:t>
      </w:r>
      <w:r w:rsidR="00FE5972" w:rsidRPr="00643D1E">
        <w:rPr>
          <w:rFonts w:ascii="Times New Roman" w:hAnsi="Times New Roman"/>
          <w:sz w:val="24"/>
          <w:szCs w:val="24"/>
        </w:rPr>
        <w:t xml:space="preserve"> arī Latvijas uzņēmumiem.</w:t>
      </w:r>
    </w:p>
    <w:p w:rsidR="00FE5972" w:rsidRPr="00643D1E" w:rsidRDefault="00A96697" w:rsidP="00FE5972">
      <w:pPr>
        <w:spacing w:after="0" w:line="240" w:lineRule="auto"/>
        <w:ind w:firstLine="720"/>
        <w:jc w:val="both"/>
        <w:rPr>
          <w:rFonts w:ascii="Times New Roman" w:hAnsi="Times New Roman"/>
          <w:sz w:val="24"/>
          <w:szCs w:val="24"/>
        </w:rPr>
      </w:pPr>
      <w:r>
        <w:rPr>
          <w:rFonts w:ascii="Times New Roman" w:hAnsi="Times New Roman"/>
          <w:sz w:val="24"/>
          <w:szCs w:val="24"/>
        </w:rPr>
        <w:t>3</w:t>
      </w:r>
      <w:r w:rsidR="001C3080">
        <w:rPr>
          <w:rFonts w:ascii="Times New Roman" w:hAnsi="Times New Roman"/>
          <w:sz w:val="24"/>
          <w:szCs w:val="24"/>
        </w:rPr>
        <w:t>0</w:t>
      </w:r>
      <w:r w:rsidR="00FE5972" w:rsidRPr="00643D1E">
        <w:rPr>
          <w:rFonts w:ascii="Times New Roman" w:hAnsi="Times New Roman"/>
          <w:sz w:val="24"/>
          <w:szCs w:val="24"/>
        </w:rPr>
        <w:t xml:space="preserve">. Institucionālā līmenī mobilitāte veicina zināšanu apmaiņu, veido personāla un starpinstitūciju kontaktus, radot vidi jaunām idejām un pieredzei. Latvijas augstākās izglītības iestādēm šādi ieguvumi ir </w:t>
      </w:r>
      <w:r w:rsidR="00A245BD" w:rsidRPr="00643D1E">
        <w:rPr>
          <w:rFonts w:ascii="Times New Roman" w:hAnsi="Times New Roman"/>
          <w:sz w:val="24"/>
          <w:szCs w:val="24"/>
        </w:rPr>
        <w:t xml:space="preserve">ļoti </w:t>
      </w:r>
      <w:r w:rsidR="00FE5972" w:rsidRPr="00643D1E">
        <w:rPr>
          <w:rFonts w:ascii="Times New Roman" w:hAnsi="Times New Roman"/>
          <w:sz w:val="24"/>
          <w:szCs w:val="24"/>
        </w:rPr>
        <w:t xml:space="preserve">nepieciešami, tāpēc </w:t>
      </w:r>
      <w:r w:rsidR="00D63D41">
        <w:rPr>
          <w:rFonts w:ascii="Times New Roman" w:hAnsi="Times New Roman"/>
          <w:sz w:val="24"/>
          <w:szCs w:val="24"/>
        </w:rPr>
        <w:t xml:space="preserve">ir </w:t>
      </w:r>
      <w:r w:rsidR="00FE5972" w:rsidRPr="00643D1E">
        <w:rPr>
          <w:rFonts w:ascii="Times New Roman" w:hAnsi="Times New Roman"/>
          <w:sz w:val="24"/>
          <w:szCs w:val="24"/>
        </w:rPr>
        <w:t xml:space="preserve">īpaši atbalstāma akadēmiskā personāla apmaiņa un sadarbība (īpaši Baltijas, Ziemeļvalstu, Centrāleiropas un Rietumeiropas reģionā), kas </w:t>
      </w:r>
      <w:r w:rsidR="00D20C84">
        <w:rPr>
          <w:rFonts w:ascii="Times New Roman" w:hAnsi="Times New Roman"/>
          <w:sz w:val="24"/>
          <w:szCs w:val="24"/>
        </w:rPr>
        <w:t xml:space="preserve">turklāt </w:t>
      </w:r>
      <w:r w:rsidR="00FE5972" w:rsidRPr="00643D1E">
        <w:rPr>
          <w:rFonts w:ascii="Times New Roman" w:hAnsi="Times New Roman"/>
          <w:sz w:val="24"/>
          <w:szCs w:val="24"/>
        </w:rPr>
        <w:t xml:space="preserve">veicina studiju satura internacionalizāciju. </w:t>
      </w:r>
    </w:p>
    <w:p w:rsidR="00FE5972" w:rsidRDefault="008E65EB" w:rsidP="00FE5972">
      <w:pPr>
        <w:spacing w:after="0" w:line="240" w:lineRule="auto"/>
        <w:ind w:firstLine="720"/>
        <w:jc w:val="both"/>
        <w:rPr>
          <w:rFonts w:ascii="Times New Roman" w:hAnsi="Times New Roman"/>
          <w:sz w:val="24"/>
          <w:szCs w:val="24"/>
        </w:rPr>
      </w:pPr>
      <w:r>
        <w:rPr>
          <w:rFonts w:ascii="Times New Roman" w:hAnsi="Times New Roman"/>
          <w:sz w:val="24"/>
          <w:szCs w:val="24"/>
        </w:rPr>
        <w:t>3</w:t>
      </w:r>
      <w:r w:rsidR="001C3080">
        <w:rPr>
          <w:rFonts w:ascii="Times New Roman" w:hAnsi="Times New Roman"/>
          <w:sz w:val="24"/>
          <w:szCs w:val="24"/>
        </w:rPr>
        <w:t>1</w:t>
      </w:r>
      <w:r w:rsidR="00FE5972" w:rsidRPr="00643D1E">
        <w:rPr>
          <w:rFonts w:ascii="Times New Roman" w:hAnsi="Times New Roman"/>
          <w:sz w:val="24"/>
          <w:szCs w:val="24"/>
        </w:rPr>
        <w:t xml:space="preserve">. Izglītības attīstības pamatnostādnēs 2014.-2020 kā problēmjautājumi tiek izvirzīti arī augstākās izglītības internacionalizācijas pasākumi un izglītības starptautiskā konkurētspēja globalizācijas apstākļos. Lai nodrošinātu kvalitatīvu augstāko izglītību, programmā </w:t>
      </w:r>
      <w:r w:rsidR="00FE5972" w:rsidRPr="00643D1E">
        <w:rPr>
          <w:rFonts w:ascii="Times New Roman" w:hAnsi="Times New Roman"/>
          <w:i/>
          <w:sz w:val="24"/>
          <w:szCs w:val="24"/>
        </w:rPr>
        <w:t>Erasmus+</w:t>
      </w:r>
      <w:r w:rsidR="00FE5972" w:rsidRPr="00643D1E">
        <w:rPr>
          <w:rFonts w:ascii="Times New Roman" w:hAnsi="Times New Roman"/>
          <w:sz w:val="24"/>
          <w:szCs w:val="24"/>
        </w:rPr>
        <w:t xml:space="preserve"> paredzētie mobilitātes pasākumi un stratēģiskā partnerība ir </w:t>
      </w:r>
      <w:r w:rsidR="00A245BD" w:rsidRPr="00643D1E">
        <w:rPr>
          <w:rFonts w:ascii="Times New Roman" w:hAnsi="Times New Roman"/>
          <w:sz w:val="24"/>
          <w:szCs w:val="24"/>
        </w:rPr>
        <w:t xml:space="preserve">nozīmīgi </w:t>
      </w:r>
      <w:r w:rsidR="00FE5972" w:rsidRPr="00643D1E">
        <w:rPr>
          <w:rFonts w:ascii="Times New Roman" w:hAnsi="Times New Roman"/>
          <w:sz w:val="24"/>
          <w:szCs w:val="24"/>
        </w:rPr>
        <w:t>instrumenti internacionalizācijas un starptautiskās konkurētspējas paaugstināšanai Latvijā</w:t>
      </w:r>
      <w:r w:rsidR="00FE5972">
        <w:rPr>
          <w:rFonts w:ascii="Times New Roman" w:hAnsi="Times New Roman"/>
          <w:sz w:val="24"/>
          <w:szCs w:val="24"/>
        </w:rPr>
        <w:t xml:space="preserve">. Informatīvā ziņojuma </w:t>
      </w:r>
      <w:r w:rsidR="00A96697">
        <w:rPr>
          <w:rFonts w:ascii="Times New Roman" w:hAnsi="Times New Roman"/>
          <w:sz w:val="24"/>
          <w:szCs w:val="24"/>
        </w:rPr>
        <w:t>5</w:t>
      </w:r>
      <w:r w:rsidR="00FE5972">
        <w:rPr>
          <w:rFonts w:ascii="Times New Roman" w:hAnsi="Times New Roman"/>
          <w:sz w:val="24"/>
          <w:szCs w:val="24"/>
        </w:rPr>
        <w:t xml:space="preserve">.tabulā ir norādīti Izglītības attīstības pamatnostādnēs 2014.-2020 noteiktie rezultatīvie rādītāji, kas sasniedzami rīcības virziena „Izglītības starptautiskā konkurētspēja globalizācijas apstākļos” ietvaros augstākajā izglītībā. </w:t>
      </w:r>
    </w:p>
    <w:p w:rsidR="00FE5972" w:rsidRDefault="00560452" w:rsidP="00FE5972">
      <w:pPr>
        <w:spacing w:before="120" w:after="120" w:line="240" w:lineRule="auto"/>
        <w:ind w:firstLine="720"/>
        <w:jc w:val="right"/>
        <w:rPr>
          <w:rFonts w:ascii="Times New Roman" w:hAnsi="Times New Roman"/>
          <w:sz w:val="24"/>
          <w:szCs w:val="24"/>
        </w:rPr>
      </w:pPr>
      <w:r w:rsidRPr="00660A3A">
        <w:rPr>
          <w:rFonts w:ascii="Times New Roman" w:hAnsi="Times New Roman"/>
          <w:sz w:val="24"/>
          <w:szCs w:val="24"/>
        </w:rPr>
        <w:t>5</w:t>
      </w:r>
      <w:r w:rsidR="00FE5972" w:rsidRPr="00660A3A">
        <w:rPr>
          <w:rFonts w:ascii="Times New Roman" w:hAnsi="Times New Roman"/>
          <w:sz w:val="24"/>
          <w:szCs w:val="24"/>
        </w:rPr>
        <w:t>.</w:t>
      </w:r>
      <w:r w:rsidR="00FE5972">
        <w:rPr>
          <w:rFonts w:ascii="Times New Roman" w:hAnsi="Times New Roman"/>
          <w:sz w:val="24"/>
          <w:szCs w:val="24"/>
        </w:rPr>
        <w:t>tabula</w:t>
      </w:r>
    </w:p>
    <w:p w:rsidR="00FE5972" w:rsidRDefault="00FE5972" w:rsidP="00FE5972">
      <w:pPr>
        <w:spacing w:after="120" w:line="240" w:lineRule="auto"/>
        <w:ind w:firstLine="720"/>
        <w:jc w:val="center"/>
        <w:rPr>
          <w:rFonts w:ascii="Times New Roman" w:hAnsi="Times New Roman"/>
          <w:sz w:val="24"/>
          <w:szCs w:val="24"/>
        </w:rPr>
      </w:pPr>
      <w:r>
        <w:rPr>
          <w:rFonts w:ascii="Times New Roman" w:hAnsi="Times New Roman"/>
          <w:sz w:val="24"/>
          <w:szCs w:val="24"/>
        </w:rPr>
        <w:t>Izglītības attīstības pamatnostādnēs</w:t>
      </w:r>
      <w:r w:rsidR="00537791">
        <w:rPr>
          <w:rFonts w:ascii="Times New Roman" w:hAnsi="Times New Roman"/>
          <w:sz w:val="24"/>
          <w:szCs w:val="24"/>
        </w:rPr>
        <w:t xml:space="preserve"> 2014.-2020</w:t>
      </w:r>
      <w:r>
        <w:rPr>
          <w:rFonts w:ascii="Times New Roman" w:hAnsi="Times New Roman"/>
          <w:sz w:val="24"/>
          <w:szCs w:val="24"/>
        </w:rPr>
        <w:t xml:space="preserve"> noteiktie rezultatīvie rādītāji augstākās izglītības internacionalizācijas aspektā </w:t>
      </w:r>
    </w:p>
    <w:tbl>
      <w:tblPr>
        <w:tblStyle w:val="TableGrid"/>
        <w:tblW w:w="0" w:type="auto"/>
        <w:tblLook w:val="04A0"/>
      </w:tblPr>
      <w:tblGrid>
        <w:gridCol w:w="5637"/>
        <w:gridCol w:w="1310"/>
        <w:gridCol w:w="1170"/>
        <w:gridCol w:w="1063"/>
      </w:tblGrid>
      <w:tr w:rsidR="00FE5972" w:rsidRPr="0052727A" w:rsidTr="00E35131">
        <w:tc>
          <w:tcPr>
            <w:tcW w:w="5637" w:type="dxa"/>
            <w:vAlign w:val="center"/>
          </w:tcPr>
          <w:p w:rsidR="00FE5972" w:rsidRPr="0052727A" w:rsidRDefault="00FE5972" w:rsidP="00E35131">
            <w:pPr>
              <w:jc w:val="center"/>
              <w:rPr>
                <w:rFonts w:ascii="Times New Roman" w:hAnsi="Times New Roman"/>
                <w:szCs w:val="24"/>
              </w:rPr>
            </w:pPr>
            <w:r>
              <w:rPr>
                <w:rFonts w:ascii="Times New Roman" w:hAnsi="Times New Roman"/>
                <w:szCs w:val="24"/>
              </w:rPr>
              <w:t>Rezultatīvais rādītājs</w:t>
            </w:r>
          </w:p>
        </w:tc>
        <w:tc>
          <w:tcPr>
            <w:tcW w:w="1310" w:type="dxa"/>
            <w:vAlign w:val="center"/>
          </w:tcPr>
          <w:p w:rsidR="00FE5972" w:rsidRDefault="00FE5972" w:rsidP="00E35131">
            <w:pPr>
              <w:jc w:val="center"/>
              <w:rPr>
                <w:rFonts w:ascii="Times New Roman" w:hAnsi="Times New Roman"/>
                <w:szCs w:val="24"/>
              </w:rPr>
            </w:pPr>
            <w:r w:rsidRPr="0052727A">
              <w:rPr>
                <w:rFonts w:ascii="Times New Roman" w:hAnsi="Times New Roman"/>
                <w:szCs w:val="24"/>
              </w:rPr>
              <w:t>2012</w:t>
            </w:r>
          </w:p>
          <w:p w:rsidR="00FE5972" w:rsidRPr="0052727A" w:rsidRDefault="00FE5972" w:rsidP="00E35131">
            <w:pPr>
              <w:jc w:val="center"/>
              <w:rPr>
                <w:rFonts w:ascii="Times New Roman" w:hAnsi="Times New Roman"/>
                <w:szCs w:val="24"/>
              </w:rPr>
            </w:pPr>
            <w:r w:rsidRPr="0052727A">
              <w:rPr>
                <w:rFonts w:ascii="Times New Roman" w:hAnsi="Times New Roman"/>
                <w:szCs w:val="24"/>
              </w:rPr>
              <w:t>(bāzes gads)</w:t>
            </w:r>
          </w:p>
        </w:tc>
        <w:tc>
          <w:tcPr>
            <w:tcW w:w="1170" w:type="dxa"/>
            <w:vAlign w:val="center"/>
          </w:tcPr>
          <w:p w:rsidR="00FE5972" w:rsidRPr="0052727A" w:rsidRDefault="00FE5972" w:rsidP="00E35131">
            <w:pPr>
              <w:jc w:val="center"/>
              <w:rPr>
                <w:rFonts w:ascii="Times New Roman" w:hAnsi="Times New Roman"/>
                <w:szCs w:val="24"/>
              </w:rPr>
            </w:pPr>
            <w:r w:rsidRPr="0052727A">
              <w:rPr>
                <w:rFonts w:ascii="Times New Roman" w:hAnsi="Times New Roman"/>
                <w:szCs w:val="24"/>
              </w:rPr>
              <w:t>2017</w:t>
            </w:r>
          </w:p>
        </w:tc>
        <w:tc>
          <w:tcPr>
            <w:tcW w:w="1063" w:type="dxa"/>
            <w:vAlign w:val="center"/>
          </w:tcPr>
          <w:p w:rsidR="00FE5972" w:rsidRPr="0052727A" w:rsidRDefault="00FE5972" w:rsidP="00E35131">
            <w:pPr>
              <w:jc w:val="center"/>
              <w:rPr>
                <w:rFonts w:ascii="Times New Roman" w:hAnsi="Times New Roman"/>
                <w:szCs w:val="24"/>
              </w:rPr>
            </w:pPr>
            <w:r w:rsidRPr="0052727A">
              <w:rPr>
                <w:rFonts w:ascii="Times New Roman" w:hAnsi="Times New Roman"/>
                <w:szCs w:val="24"/>
              </w:rPr>
              <w:t>2020</w:t>
            </w:r>
          </w:p>
        </w:tc>
      </w:tr>
      <w:tr w:rsidR="00FE5972" w:rsidRPr="0052727A" w:rsidTr="00537791">
        <w:tc>
          <w:tcPr>
            <w:tcW w:w="5637" w:type="dxa"/>
          </w:tcPr>
          <w:p w:rsidR="00FE5972" w:rsidRPr="0052727A" w:rsidRDefault="00FE5972" w:rsidP="00A241DF">
            <w:pPr>
              <w:spacing w:after="0" w:line="240" w:lineRule="auto"/>
              <w:jc w:val="both"/>
              <w:rPr>
                <w:rFonts w:ascii="Times New Roman" w:hAnsi="Times New Roman"/>
                <w:szCs w:val="24"/>
              </w:rPr>
            </w:pPr>
            <w:r w:rsidRPr="0052727A">
              <w:rPr>
                <w:rFonts w:ascii="Times New Roman" w:hAnsi="Times New Roman"/>
                <w:szCs w:val="24"/>
              </w:rPr>
              <w:t>Latvijas augstskolu studentu skaits, kas piedalījušies mobilitātes aktivitātēs</w:t>
            </w:r>
          </w:p>
        </w:tc>
        <w:tc>
          <w:tcPr>
            <w:tcW w:w="1310" w:type="dxa"/>
            <w:vAlign w:val="center"/>
          </w:tcPr>
          <w:p w:rsidR="00FE5972" w:rsidRPr="0052727A" w:rsidRDefault="00FE5972" w:rsidP="00537791">
            <w:pPr>
              <w:spacing w:after="0" w:line="240" w:lineRule="auto"/>
              <w:jc w:val="center"/>
              <w:rPr>
                <w:rFonts w:ascii="Times New Roman" w:hAnsi="Times New Roman"/>
                <w:szCs w:val="24"/>
              </w:rPr>
            </w:pPr>
            <w:r w:rsidRPr="0052727A">
              <w:rPr>
                <w:rFonts w:ascii="Times New Roman" w:hAnsi="Times New Roman"/>
                <w:szCs w:val="24"/>
              </w:rPr>
              <w:t>1960</w:t>
            </w:r>
          </w:p>
        </w:tc>
        <w:tc>
          <w:tcPr>
            <w:tcW w:w="1170" w:type="dxa"/>
            <w:vAlign w:val="center"/>
          </w:tcPr>
          <w:p w:rsidR="00FE5972" w:rsidRPr="0052727A" w:rsidRDefault="00FE5972" w:rsidP="00537791">
            <w:pPr>
              <w:spacing w:after="0" w:line="240" w:lineRule="auto"/>
              <w:jc w:val="center"/>
              <w:rPr>
                <w:rFonts w:ascii="Times New Roman" w:hAnsi="Times New Roman"/>
                <w:szCs w:val="24"/>
              </w:rPr>
            </w:pPr>
            <w:r w:rsidRPr="0052727A">
              <w:rPr>
                <w:rFonts w:ascii="Times New Roman" w:hAnsi="Times New Roman"/>
                <w:szCs w:val="24"/>
              </w:rPr>
              <w:t>1960</w:t>
            </w:r>
          </w:p>
        </w:tc>
        <w:tc>
          <w:tcPr>
            <w:tcW w:w="1063" w:type="dxa"/>
            <w:vAlign w:val="center"/>
          </w:tcPr>
          <w:p w:rsidR="00FE5972" w:rsidRPr="0052727A" w:rsidRDefault="00FE5972" w:rsidP="00537791">
            <w:pPr>
              <w:spacing w:after="0" w:line="240" w:lineRule="auto"/>
              <w:jc w:val="center"/>
              <w:rPr>
                <w:rFonts w:ascii="Times New Roman" w:hAnsi="Times New Roman"/>
                <w:szCs w:val="24"/>
              </w:rPr>
            </w:pPr>
            <w:r w:rsidRPr="0052727A">
              <w:rPr>
                <w:rFonts w:ascii="Times New Roman" w:hAnsi="Times New Roman"/>
                <w:szCs w:val="24"/>
              </w:rPr>
              <w:t>2548</w:t>
            </w:r>
          </w:p>
        </w:tc>
      </w:tr>
      <w:tr w:rsidR="00FE5972" w:rsidRPr="0052727A" w:rsidTr="00537791">
        <w:tc>
          <w:tcPr>
            <w:tcW w:w="5637" w:type="dxa"/>
          </w:tcPr>
          <w:p w:rsidR="00DD4CCC" w:rsidRDefault="00FE5972">
            <w:pPr>
              <w:spacing w:after="0" w:line="240" w:lineRule="auto"/>
              <w:jc w:val="both"/>
              <w:rPr>
                <w:rFonts w:ascii="Times New Roman" w:eastAsia="宋体" w:hAnsi="Times New Roman"/>
                <w:szCs w:val="24"/>
                <w:lang w:eastAsia="zh-CN"/>
              </w:rPr>
            </w:pPr>
            <w:r w:rsidRPr="0052727A">
              <w:rPr>
                <w:rFonts w:ascii="Times New Roman" w:hAnsi="Times New Roman"/>
                <w:szCs w:val="24"/>
              </w:rPr>
              <w:t>Augstskolu absolventu, kas studiju ietvaros ir studējuši vai bijuši praksē ārvalstīs % īpatsvars no kopējā absolventu skaita</w:t>
            </w:r>
          </w:p>
        </w:tc>
        <w:tc>
          <w:tcPr>
            <w:tcW w:w="1310" w:type="dxa"/>
            <w:vAlign w:val="center"/>
          </w:tcPr>
          <w:p w:rsidR="00FE5972" w:rsidRPr="0052727A" w:rsidRDefault="00FE5972" w:rsidP="00537791">
            <w:pPr>
              <w:jc w:val="center"/>
              <w:rPr>
                <w:rFonts w:ascii="Times New Roman" w:hAnsi="Times New Roman"/>
                <w:szCs w:val="24"/>
              </w:rPr>
            </w:pPr>
            <w:r w:rsidRPr="0052727A">
              <w:rPr>
                <w:rFonts w:ascii="Times New Roman" w:hAnsi="Times New Roman"/>
                <w:szCs w:val="24"/>
              </w:rPr>
              <w:t>13,7</w:t>
            </w:r>
          </w:p>
        </w:tc>
        <w:tc>
          <w:tcPr>
            <w:tcW w:w="1170" w:type="dxa"/>
            <w:vAlign w:val="center"/>
          </w:tcPr>
          <w:p w:rsidR="00FE5972" w:rsidRPr="0052727A" w:rsidRDefault="00FE5972" w:rsidP="00537791">
            <w:pPr>
              <w:jc w:val="center"/>
              <w:rPr>
                <w:rFonts w:ascii="Times New Roman" w:hAnsi="Times New Roman"/>
                <w:szCs w:val="24"/>
              </w:rPr>
            </w:pPr>
            <w:r w:rsidRPr="0052727A">
              <w:rPr>
                <w:rFonts w:ascii="Times New Roman" w:hAnsi="Times New Roman"/>
                <w:szCs w:val="24"/>
              </w:rPr>
              <w:t>15</w:t>
            </w:r>
          </w:p>
        </w:tc>
        <w:tc>
          <w:tcPr>
            <w:tcW w:w="1063" w:type="dxa"/>
            <w:vAlign w:val="center"/>
          </w:tcPr>
          <w:p w:rsidR="00FE5972" w:rsidRPr="0052727A" w:rsidRDefault="00FE5972" w:rsidP="00537791">
            <w:pPr>
              <w:jc w:val="center"/>
              <w:rPr>
                <w:rFonts w:ascii="Times New Roman" w:hAnsi="Times New Roman"/>
                <w:szCs w:val="24"/>
              </w:rPr>
            </w:pPr>
            <w:r w:rsidRPr="0052727A">
              <w:rPr>
                <w:rFonts w:ascii="Times New Roman" w:hAnsi="Times New Roman"/>
                <w:szCs w:val="24"/>
              </w:rPr>
              <w:t>20</w:t>
            </w:r>
          </w:p>
        </w:tc>
      </w:tr>
      <w:tr w:rsidR="00FE5972" w:rsidRPr="0052727A" w:rsidTr="00537791">
        <w:tc>
          <w:tcPr>
            <w:tcW w:w="5637" w:type="dxa"/>
          </w:tcPr>
          <w:p w:rsidR="00DD4CCC" w:rsidRDefault="00FE5972">
            <w:pPr>
              <w:spacing w:after="0" w:line="240" w:lineRule="auto"/>
              <w:jc w:val="both"/>
              <w:rPr>
                <w:rFonts w:ascii="Times New Roman" w:eastAsia="宋体" w:hAnsi="Times New Roman"/>
                <w:szCs w:val="24"/>
                <w:lang w:eastAsia="zh-CN"/>
              </w:rPr>
            </w:pPr>
            <w:r w:rsidRPr="0052727A">
              <w:rPr>
                <w:rFonts w:ascii="Times New Roman" w:hAnsi="Times New Roman"/>
                <w:szCs w:val="24"/>
              </w:rPr>
              <w:t>Akadēmiskā personāla skaits, kas piedalījušies mobilitātes aktivitātēs</w:t>
            </w:r>
          </w:p>
        </w:tc>
        <w:tc>
          <w:tcPr>
            <w:tcW w:w="1310" w:type="dxa"/>
            <w:vAlign w:val="center"/>
          </w:tcPr>
          <w:p w:rsidR="00DD4CCC" w:rsidRDefault="00FE5972" w:rsidP="00537791">
            <w:pPr>
              <w:spacing w:after="0"/>
              <w:jc w:val="center"/>
              <w:rPr>
                <w:rFonts w:ascii="Times New Roman" w:eastAsia="宋体" w:hAnsi="Times New Roman"/>
                <w:szCs w:val="24"/>
                <w:lang w:eastAsia="zh-CN"/>
              </w:rPr>
            </w:pPr>
            <w:r w:rsidRPr="0052727A">
              <w:rPr>
                <w:rFonts w:ascii="Times New Roman" w:hAnsi="Times New Roman"/>
                <w:szCs w:val="24"/>
              </w:rPr>
              <w:t>1035</w:t>
            </w:r>
          </w:p>
        </w:tc>
        <w:tc>
          <w:tcPr>
            <w:tcW w:w="1170" w:type="dxa"/>
            <w:vAlign w:val="center"/>
          </w:tcPr>
          <w:p w:rsidR="00DD4CCC" w:rsidRDefault="00FE5972" w:rsidP="00537791">
            <w:pPr>
              <w:spacing w:after="0"/>
              <w:jc w:val="center"/>
              <w:rPr>
                <w:rFonts w:ascii="Times New Roman" w:eastAsia="宋体" w:hAnsi="Times New Roman"/>
                <w:szCs w:val="24"/>
                <w:lang w:eastAsia="zh-CN"/>
              </w:rPr>
            </w:pPr>
            <w:r w:rsidRPr="0052727A">
              <w:rPr>
                <w:rFonts w:ascii="Times New Roman" w:hAnsi="Times New Roman"/>
                <w:szCs w:val="24"/>
              </w:rPr>
              <w:t>1035</w:t>
            </w:r>
          </w:p>
        </w:tc>
        <w:tc>
          <w:tcPr>
            <w:tcW w:w="1063" w:type="dxa"/>
            <w:vAlign w:val="center"/>
          </w:tcPr>
          <w:p w:rsidR="00DD4CCC" w:rsidRDefault="00FE5972" w:rsidP="00537791">
            <w:pPr>
              <w:spacing w:after="0"/>
              <w:jc w:val="center"/>
              <w:rPr>
                <w:rFonts w:ascii="Times New Roman" w:eastAsia="宋体" w:hAnsi="Times New Roman"/>
                <w:szCs w:val="24"/>
                <w:lang w:eastAsia="zh-CN"/>
              </w:rPr>
            </w:pPr>
            <w:r w:rsidRPr="0052727A">
              <w:rPr>
                <w:rFonts w:ascii="Times New Roman" w:hAnsi="Times New Roman"/>
                <w:szCs w:val="24"/>
              </w:rPr>
              <w:t>1345</w:t>
            </w:r>
          </w:p>
        </w:tc>
      </w:tr>
    </w:tbl>
    <w:p w:rsidR="00020C54" w:rsidRDefault="00020C54" w:rsidP="00020C54">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Times New Roman" w:eastAsiaTheme="minorHAnsi" w:hAnsi="Times New Roman"/>
          <w:sz w:val="24"/>
          <w:szCs w:val="24"/>
        </w:rPr>
      </w:pPr>
    </w:p>
    <w:p w:rsidR="00DD4CCC" w:rsidRDefault="00020C54" w:rsidP="00020C54">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8E65EB">
        <w:rPr>
          <w:rFonts w:ascii="Times New Roman" w:eastAsiaTheme="minorHAnsi" w:hAnsi="Times New Roman"/>
          <w:sz w:val="24"/>
          <w:szCs w:val="24"/>
        </w:rPr>
        <w:t>3</w:t>
      </w:r>
      <w:r w:rsidR="001C3080">
        <w:rPr>
          <w:rFonts w:ascii="Times New Roman" w:eastAsiaTheme="minorHAnsi" w:hAnsi="Times New Roman"/>
          <w:sz w:val="24"/>
          <w:szCs w:val="24"/>
        </w:rPr>
        <w:t>2</w:t>
      </w:r>
      <w:r w:rsidRPr="00020C54">
        <w:rPr>
          <w:rFonts w:ascii="Times New Roman" w:eastAsiaTheme="minorHAnsi" w:hAnsi="Times New Roman"/>
          <w:sz w:val="24"/>
          <w:szCs w:val="24"/>
        </w:rPr>
        <w:t xml:space="preserve">. Saskaņā ar </w:t>
      </w:r>
      <w:r w:rsidR="00CA062B">
        <w:rPr>
          <w:rFonts w:ascii="Times New Roman" w:eastAsiaTheme="minorHAnsi" w:hAnsi="Times New Roman"/>
          <w:sz w:val="24"/>
          <w:szCs w:val="24"/>
        </w:rPr>
        <w:t xml:space="preserve">jaunāko </w:t>
      </w:r>
      <w:r>
        <w:rPr>
          <w:rFonts w:ascii="Times New Roman" w:eastAsiaTheme="minorHAnsi" w:hAnsi="Times New Roman"/>
          <w:sz w:val="24"/>
          <w:szCs w:val="24"/>
        </w:rPr>
        <w:t>pieejamo oficiālo statistiku</w:t>
      </w:r>
      <w:r w:rsidRPr="00020C54">
        <w:rPr>
          <w:rFonts w:ascii="Times New Roman" w:eastAsiaTheme="minorHAnsi" w:hAnsi="Times New Roman"/>
          <w:sz w:val="24"/>
          <w:szCs w:val="24"/>
        </w:rPr>
        <w:t xml:space="preserve"> 201</w:t>
      </w:r>
      <w:r>
        <w:rPr>
          <w:rFonts w:ascii="Times New Roman" w:eastAsiaTheme="minorHAnsi" w:hAnsi="Times New Roman"/>
          <w:sz w:val="24"/>
          <w:szCs w:val="24"/>
        </w:rPr>
        <w:t>1</w:t>
      </w:r>
      <w:r w:rsidRPr="00020C54">
        <w:rPr>
          <w:rFonts w:ascii="Times New Roman" w:eastAsiaTheme="minorHAnsi" w:hAnsi="Times New Roman"/>
          <w:sz w:val="24"/>
          <w:szCs w:val="24"/>
        </w:rPr>
        <w:t>./201</w:t>
      </w:r>
      <w:r>
        <w:rPr>
          <w:rFonts w:ascii="Times New Roman" w:eastAsiaTheme="minorHAnsi" w:hAnsi="Times New Roman"/>
          <w:sz w:val="24"/>
          <w:szCs w:val="24"/>
        </w:rPr>
        <w:t>2</w:t>
      </w:r>
      <w:r w:rsidRPr="00020C54">
        <w:rPr>
          <w:rFonts w:ascii="Times New Roman" w:eastAsiaTheme="minorHAnsi" w:hAnsi="Times New Roman"/>
          <w:sz w:val="24"/>
          <w:szCs w:val="24"/>
        </w:rPr>
        <w:t xml:space="preserve">.akadēmiskajā gadā </w:t>
      </w:r>
      <w:r w:rsidRPr="00020C54">
        <w:rPr>
          <w:rFonts w:ascii="Times New Roman" w:hAnsi="Times New Roman"/>
          <w:sz w:val="24"/>
          <w:szCs w:val="24"/>
        </w:rPr>
        <w:t xml:space="preserve">ES programmas mobilitātei un sadarbībai augstākajā izglītībā </w:t>
      </w:r>
      <w:r w:rsidR="00CA062B" w:rsidRPr="000739D6">
        <w:rPr>
          <w:rFonts w:ascii="Times New Roman" w:hAnsi="Times New Roman"/>
          <w:sz w:val="24"/>
          <w:szCs w:val="24"/>
        </w:rPr>
        <w:t xml:space="preserve">ES rīcības programmas mūžizglītības jomā </w:t>
      </w:r>
      <w:r w:rsidR="00CA062B">
        <w:rPr>
          <w:rFonts w:ascii="Times New Roman" w:hAnsi="Times New Roman"/>
          <w:sz w:val="24"/>
          <w:szCs w:val="24"/>
        </w:rPr>
        <w:t xml:space="preserve">apakšprogrammā </w:t>
      </w:r>
      <w:r w:rsidRPr="00020C54">
        <w:rPr>
          <w:rFonts w:ascii="Times New Roman" w:eastAsiaTheme="minorHAnsi" w:hAnsi="Times New Roman"/>
          <w:i/>
          <w:sz w:val="24"/>
          <w:szCs w:val="24"/>
        </w:rPr>
        <w:t>Erasmus</w:t>
      </w:r>
      <w:r>
        <w:rPr>
          <w:rFonts w:ascii="Times New Roman" w:eastAsiaTheme="minorHAnsi" w:hAnsi="Times New Roman"/>
          <w:sz w:val="24"/>
          <w:szCs w:val="24"/>
        </w:rPr>
        <w:t xml:space="preserve"> piedalījās 2194 studenti (studentu mobilitāte un prakses kopā), personāla mobilitātē (docētāji un personāla apmācība) – 994 personas, kopā šāda rezultāta sasniegšanai izlietojot finans</w:t>
      </w:r>
      <w:r w:rsidR="00DD4CCC">
        <w:rPr>
          <w:rFonts w:ascii="Times New Roman" w:eastAsiaTheme="minorHAnsi" w:hAnsi="Times New Roman"/>
          <w:sz w:val="24"/>
          <w:szCs w:val="24"/>
        </w:rPr>
        <w:t xml:space="preserve">ējumu 7,7 milj. EUR apmērā. Attiecīgi iepriekšējā periodā izlietotais finansējums un sasniegtie </w:t>
      </w:r>
      <w:proofErr w:type="spellStart"/>
      <w:r w:rsidR="00DD4CCC">
        <w:rPr>
          <w:rFonts w:ascii="Times New Roman" w:eastAsiaTheme="minorHAnsi" w:hAnsi="Times New Roman"/>
          <w:sz w:val="24"/>
          <w:szCs w:val="24"/>
        </w:rPr>
        <w:t>mobilitāšu</w:t>
      </w:r>
      <w:proofErr w:type="spellEnd"/>
      <w:r w:rsidR="00DD4CCC">
        <w:rPr>
          <w:rFonts w:ascii="Times New Roman" w:eastAsiaTheme="minorHAnsi" w:hAnsi="Times New Roman"/>
          <w:sz w:val="24"/>
          <w:szCs w:val="24"/>
        </w:rPr>
        <w:t xml:space="preserve"> rādītāji ir: 2010./2011.akadēmiskajā gadā – 1959 studentu mobilitātes, 1044 personāla mobilitātes, izlietots finansējums 6,5 milj.</w:t>
      </w:r>
      <w:r w:rsidR="007C7DED">
        <w:rPr>
          <w:rFonts w:ascii="Times New Roman" w:eastAsiaTheme="minorHAnsi" w:hAnsi="Times New Roman"/>
          <w:sz w:val="24"/>
          <w:szCs w:val="24"/>
        </w:rPr>
        <w:t xml:space="preserve"> </w:t>
      </w:r>
      <w:r w:rsidR="00DD4CCC">
        <w:rPr>
          <w:rFonts w:ascii="Times New Roman" w:eastAsiaTheme="minorHAnsi" w:hAnsi="Times New Roman"/>
          <w:sz w:val="24"/>
          <w:szCs w:val="24"/>
        </w:rPr>
        <w:t xml:space="preserve">EUR apmērā; </w:t>
      </w:r>
      <w:r w:rsidR="00DD4CCC">
        <w:rPr>
          <w:rFonts w:ascii="Times New Roman" w:eastAsiaTheme="minorHAnsi" w:hAnsi="Times New Roman"/>
          <w:sz w:val="24"/>
          <w:szCs w:val="24"/>
        </w:rPr>
        <w:lastRenderedPageBreak/>
        <w:t xml:space="preserve">2009./2010.akadēmiskajā gadā – 1736 studentu mobilitātes un 783 personāla mobilitātes, izlietots finansējums 6,4 milj. EUR apmērā. </w:t>
      </w:r>
    </w:p>
    <w:p w:rsidR="009844B8" w:rsidRPr="00660A3A" w:rsidRDefault="009844B8" w:rsidP="00020C54">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8E65EB">
        <w:rPr>
          <w:rFonts w:ascii="Times New Roman" w:eastAsiaTheme="minorHAnsi" w:hAnsi="Times New Roman"/>
          <w:sz w:val="24"/>
          <w:szCs w:val="24"/>
        </w:rPr>
        <w:t>3</w:t>
      </w:r>
      <w:r w:rsidR="001C3080">
        <w:rPr>
          <w:rFonts w:ascii="Times New Roman" w:eastAsiaTheme="minorHAnsi" w:hAnsi="Times New Roman"/>
          <w:sz w:val="24"/>
          <w:szCs w:val="24"/>
        </w:rPr>
        <w:t>3</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Mobilitāšu</w:t>
      </w:r>
      <w:proofErr w:type="spellEnd"/>
      <w:r>
        <w:rPr>
          <w:rFonts w:ascii="Times New Roman" w:eastAsiaTheme="minorHAnsi" w:hAnsi="Times New Roman"/>
          <w:sz w:val="24"/>
          <w:szCs w:val="24"/>
        </w:rPr>
        <w:t xml:space="preserve"> skaits lielā mērā </w:t>
      </w:r>
      <w:r w:rsidR="00954573">
        <w:rPr>
          <w:rFonts w:ascii="Times New Roman" w:eastAsiaTheme="minorHAnsi" w:hAnsi="Times New Roman"/>
          <w:sz w:val="24"/>
          <w:szCs w:val="24"/>
        </w:rPr>
        <w:t xml:space="preserve">ir </w:t>
      </w:r>
      <w:r>
        <w:rPr>
          <w:rFonts w:ascii="Times New Roman" w:eastAsiaTheme="minorHAnsi" w:hAnsi="Times New Roman"/>
          <w:sz w:val="24"/>
          <w:szCs w:val="24"/>
        </w:rPr>
        <w:t xml:space="preserve">atkarīgs no pieejamā finansējuma, ko apliecina arī iepriekšējos periodos sasniegtie </w:t>
      </w:r>
      <w:proofErr w:type="spellStart"/>
      <w:r>
        <w:rPr>
          <w:rFonts w:ascii="Times New Roman" w:eastAsiaTheme="minorHAnsi" w:hAnsi="Times New Roman"/>
          <w:sz w:val="24"/>
          <w:szCs w:val="24"/>
        </w:rPr>
        <w:t>mobilitāšu</w:t>
      </w:r>
      <w:proofErr w:type="spellEnd"/>
      <w:r>
        <w:rPr>
          <w:rFonts w:ascii="Times New Roman" w:eastAsiaTheme="minorHAnsi" w:hAnsi="Times New Roman"/>
          <w:sz w:val="24"/>
          <w:szCs w:val="24"/>
        </w:rPr>
        <w:t xml:space="preserve"> rādī</w:t>
      </w:r>
      <w:r w:rsidR="00954573">
        <w:rPr>
          <w:rFonts w:ascii="Times New Roman" w:eastAsiaTheme="minorHAnsi" w:hAnsi="Times New Roman"/>
          <w:sz w:val="24"/>
          <w:szCs w:val="24"/>
        </w:rPr>
        <w:t xml:space="preserve">tāji pret izlietoto finansējumu. To apliecina arī fakts, </w:t>
      </w:r>
      <w:r w:rsidR="00954573" w:rsidRPr="00660A3A">
        <w:rPr>
          <w:rFonts w:ascii="Times New Roman" w:eastAsiaTheme="minorHAnsi" w:hAnsi="Times New Roman"/>
          <w:sz w:val="24"/>
          <w:szCs w:val="24"/>
        </w:rPr>
        <w:t>ka</w:t>
      </w:r>
      <w:r w:rsidRPr="00660A3A">
        <w:rPr>
          <w:rFonts w:ascii="Times New Roman" w:eastAsiaTheme="minorHAnsi" w:hAnsi="Times New Roman"/>
          <w:sz w:val="24"/>
          <w:szCs w:val="24"/>
        </w:rPr>
        <w:t xml:space="preserve"> </w:t>
      </w:r>
      <w:proofErr w:type="spellStart"/>
      <w:r w:rsidRPr="00660A3A">
        <w:rPr>
          <w:rFonts w:ascii="Times New Roman" w:eastAsiaTheme="minorHAnsi" w:hAnsi="Times New Roman"/>
          <w:sz w:val="24"/>
          <w:szCs w:val="24"/>
        </w:rPr>
        <w:t>mobilitāšu</w:t>
      </w:r>
      <w:proofErr w:type="spellEnd"/>
      <w:r w:rsidRPr="00660A3A">
        <w:rPr>
          <w:rFonts w:ascii="Times New Roman" w:eastAsiaTheme="minorHAnsi" w:hAnsi="Times New Roman"/>
          <w:sz w:val="24"/>
          <w:szCs w:val="24"/>
        </w:rPr>
        <w:t xml:space="preserve"> skaita pieaugums </w:t>
      </w:r>
      <w:r w:rsidRPr="00660A3A">
        <w:rPr>
          <w:rFonts w:ascii="Times New Roman" w:hAnsi="Times New Roman"/>
          <w:sz w:val="24"/>
          <w:szCs w:val="24"/>
        </w:rPr>
        <w:t>kopš 2007.gada, kad netika nodrošināts nacionālais līdzfinansējum</w:t>
      </w:r>
      <w:r w:rsidR="00954573" w:rsidRPr="00660A3A">
        <w:rPr>
          <w:rFonts w:ascii="Times New Roman" w:hAnsi="Times New Roman"/>
          <w:sz w:val="24"/>
          <w:szCs w:val="24"/>
        </w:rPr>
        <w:t>s</w:t>
      </w:r>
      <w:r w:rsidRPr="00660A3A">
        <w:rPr>
          <w:rFonts w:ascii="Times New Roman" w:hAnsi="Times New Roman"/>
          <w:sz w:val="24"/>
          <w:szCs w:val="24"/>
        </w:rPr>
        <w:t>,</w:t>
      </w:r>
      <w:r w:rsidR="00954573" w:rsidRPr="00660A3A">
        <w:rPr>
          <w:rFonts w:ascii="Times New Roman" w:hAnsi="Times New Roman"/>
          <w:sz w:val="24"/>
          <w:szCs w:val="24"/>
        </w:rPr>
        <w:t xml:space="preserve"> ir pieaudzis</w:t>
      </w:r>
      <w:r w:rsidRPr="00660A3A">
        <w:rPr>
          <w:rFonts w:ascii="Times New Roman" w:hAnsi="Times New Roman"/>
          <w:sz w:val="24"/>
          <w:szCs w:val="24"/>
        </w:rPr>
        <w:t xml:space="preserve"> par 85%, sasniedzot augstāko pieauguma rādītāju</w:t>
      </w:r>
      <w:r w:rsidR="00954573" w:rsidRPr="00660A3A">
        <w:rPr>
          <w:rFonts w:ascii="Times New Roman" w:hAnsi="Times New Roman"/>
          <w:sz w:val="24"/>
          <w:szCs w:val="24"/>
        </w:rPr>
        <w:t xml:space="preserve"> 2011./2012.gadā</w:t>
      </w:r>
      <w:r w:rsidRPr="00660A3A">
        <w:rPr>
          <w:rFonts w:ascii="Times New Roman" w:hAnsi="Times New Roman"/>
          <w:sz w:val="24"/>
          <w:szCs w:val="24"/>
        </w:rPr>
        <w:t xml:space="preserve"> dalībvalstīs (Eiropas Komisijas statistikas pārskats par programmu Erasmus 2011 – 12 (</w:t>
      </w:r>
      <w:r w:rsidRPr="00660A3A">
        <w:rPr>
          <w:rFonts w:ascii="Times New Roman" w:hAnsi="Times New Roman"/>
          <w:i/>
          <w:sz w:val="24"/>
          <w:szCs w:val="24"/>
        </w:rPr>
        <w:t xml:space="preserve">A </w:t>
      </w:r>
      <w:proofErr w:type="spellStart"/>
      <w:r w:rsidRPr="00660A3A">
        <w:rPr>
          <w:rFonts w:ascii="Times New Roman" w:hAnsi="Times New Roman"/>
          <w:i/>
          <w:sz w:val="24"/>
          <w:szCs w:val="24"/>
        </w:rPr>
        <w:t>statistical</w:t>
      </w:r>
      <w:proofErr w:type="spellEnd"/>
      <w:r w:rsidRPr="00660A3A">
        <w:rPr>
          <w:rFonts w:ascii="Times New Roman" w:hAnsi="Times New Roman"/>
          <w:i/>
          <w:sz w:val="24"/>
          <w:szCs w:val="24"/>
        </w:rPr>
        <w:t xml:space="preserve"> </w:t>
      </w:r>
      <w:proofErr w:type="spellStart"/>
      <w:r w:rsidRPr="00660A3A">
        <w:rPr>
          <w:rFonts w:ascii="Times New Roman" w:hAnsi="Times New Roman"/>
          <w:i/>
          <w:sz w:val="24"/>
          <w:szCs w:val="24"/>
        </w:rPr>
        <w:t>Overview</w:t>
      </w:r>
      <w:proofErr w:type="spellEnd"/>
      <w:r w:rsidRPr="00660A3A">
        <w:rPr>
          <w:rFonts w:ascii="Times New Roman" w:hAnsi="Times New Roman"/>
          <w:i/>
          <w:sz w:val="24"/>
          <w:szCs w:val="24"/>
        </w:rPr>
        <w:t xml:space="preserve"> </w:t>
      </w:r>
      <w:proofErr w:type="spellStart"/>
      <w:r w:rsidRPr="00660A3A">
        <w:rPr>
          <w:rFonts w:ascii="Times New Roman" w:hAnsi="Times New Roman"/>
          <w:i/>
          <w:sz w:val="24"/>
          <w:szCs w:val="24"/>
        </w:rPr>
        <w:t>of</w:t>
      </w:r>
      <w:proofErr w:type="spellEnd"/>
      <w:r w:rsidRPr="00660A3A">
        <w:rPr>
          <w:rFonts w:ascii="Times New Roman" w:hAnsi="Times New Roman"/>
          <w:i/>
          <w:sz w:val="24"/>
          <w:szCs w:val="24"/>
        </w:rPr>
        <w:t xml:space="preserve"> </w:t>
      </w:r>
      <w:proofErr w:type="spellStart"/>
      <w:r w:rsidRPr="00660A3A">
        <w:rPr>
          <w:rFonts w:ascii="Times New Roman" w:hAnsi="Times New Roman"/>
          <w:i/>
          <w:sz w:val="24"/>
          <w:szCs w:val="24"/>
        </w:rPr>
        <w:t>the</w:t>
      </w:r>
      <w:proofErr w:type="spellEnd"/>
      <w:r w:rsidRPr="00660A3A">
        <w:rPr>
          <w:rFonts w:ascii="Times New Roman" w:hAnsi="Times New Roman"/>
          <w:i/>
          <w:sz w:val="24"/>
          <w:szCs w:val="24"/>
        </w:rPr>
        <w:t xml:space="preserve"> ERASMUS </w:t>
      </w:r>
      <w:proofErr w:type="spellStart"/>
      <w:r w:rsidRPr="00660A3A">
        <w:rPr>
          <w:rFonts w:ascii="Times New Roman" w:hAnsi="Times New Roman"/>
          <w:i/>
          <w:sz w:val="24"/>
          <w:szCs w:val="24"/>
        </w:rPr>
        <w:t>Programme</w:t>
      </w:r>
      <w:proofErr w:type="spellEnd"/>
      <w:r w:rsidRPr="00660A3A">
        <w:rPr>
          <w:rFonts w:ascii="Times New Roman" w:hAnsi="Times New Roman"/>
          <w:i/>
          <w:sz w:val="24"/>
          <w:szCs w:val="24"/>
        </w:rPr>
        <w:t xml:space="preserve"> </w:t>
      </w:r>
      <w:proofErr w:type="spellStart"/>
      <w:r w:rsidRPr="00660A3A">
        <w:rPr>
          <w:rFonts w:ascii="Times New Roman" w:hAnsi="Times New Roman"/>
          <w:i/>
          <w:sz w:val="24"/>
          <w:szCs w:val="24"/>
        </w:rPr>
        <w:t>in</w:t>
      </w:r>
      <w:proofErr w:type="spellEnd"/>
      <w:r w:rsidRPr="00660A3A">
        <w:rPr>
          <w:rFonts w:ascii="Times New Roman" w:hAnsi="Times New Roman"/>
          <w:i/>
          <w:sz w:val="24"/>
          <w:szCs w:val="24"/>
        </w:rPr>
        <w:t xml:space="preserve"> 2011-12</w:t>
      </w:r>
      <w:r w:rsidRPr="00660A3A">
        <w:rPr>
          <w:rFonts w:ascii="Times New Roman" w:hAnsi="Times New Roman"/>
          <w:sz w:val="24"/>
          <w:szCs w:val="24"/>
        </w:rPr>
        <w:t xml:space="preserve">). </w:t>
      </w:r>
    </w:p>
    <w:p w:rsidR="0026377A" w:rsidRPr="00660A3A" w:rsidRDefault="00FE5972" w:rsidP="00FE5972">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Times New Roman" w:eastAsiaTheme="minorHAnsi" w:hAnsi="Times New Roman"/>
          <w:sz w:val="24"/>
          <w:szCs w:val="24"/>
        </w:rPr>
      </w:pPr>
      <w:r w:rsidRPr="00660A3A">
        <w:rPr>
          <w:rFonts w:ascii="Times New Roman" w:eastAsiaTheme="minorHAnsi" w:hAnsi="Times New Roman"/>
          <w:sz w:val="24"/>
          <w:szCs w:val="24"/>
        </w:rPr>
        <w:tab/>
      </w:r>
      <w:r w:rsidR="008E65EB" w:rsidRPr="00660A3A">
        <w:rPr>
          <w:rFonts w:ascii="Times New Roman" w:eastAsiaTheme="minorHAnsi" w:hAnsi="Times New Roman"/>
          <w:sz w:val="24"/>
          <w:szCs w:val="24"/>
        </w:rPr>
        <w:t>3</w:t>
      </w:r>
      <w:r w:rsidR="001C3080">
        <w:rPr>
          <w:rFonts w:ascii="Times New Roman" w:eastAsiaTheme="minorHAnsi" w:hAnsi="Times New Roman"/>
          <w:sz w:val="24"/>
          <w:szCs w:val="24"/>
        </w:rPr>
        <w:t>4</w:t>
      </w:r>
      <w:r w:rsidRPr="00660A3A">
        <w:rPr>
          <w:rFonts w:ascii="Times New Roman" w:eastAsiaTheme="minorHAnsi" w:hAnsi="Times New Roman"/>
          <w:sz w:val="24"/>
          <w:szCs w:val="24"/>
        </w:rPr>
        <w:t xml:space="preserve">. </w:t>
      </w:r>
      <w:r w:rsidR="00A241DF" w:rsidRPr="00660A3A">
        <w:rPr>
          <w:rFonts w:ascii="Times New Roman" w:eastAsiaTheme="minorHAnsi" w:hAnsi="Times New Roman"/>
          <w:sz w:val="24"/>
          <w:szCs w:val="24"/>
        </w:rPr>
        <w:t xml:space="preserve">Komisijas </w:t>
      </w:r>
      <w:r w:rsidRPr="00660A3A">
        <w:rPr>
          <w:rFonts w:ascii="Times New Roman" w:eastAsiaTheme="minorHAnsi" w:hAnsi="Times New Roman"/>
          <w:sz w:val="24"/>
          <w:szCs w:val="24"/>
        </w:rPr>
        <w:t xml:space="preserve">2014.gada darba programmā </w:t>
      </w:r>
      <w:r w:rsidR="00537791" w:rsidRPr="00660A3A">
        <w:rPr>
          <w:rFonts w:ascii="Times New Roman" w:eastAsiaTheme="minorHAnsi" w:hAnsi="Times New Roman"/>
          <w:sz w:val="24"/>
          <w:szCs w:val="24"/>
        </w:rPr>
        <w:t xml:space="preserve">noteiktā 2014.gadā </w:t>
      </w:r>
      <w:r w:rsidRPr="00660A3A">
        <w:rPr>
          <w:rFonts w:ascii="Times New Roman" w:eastAsiaTheme="minorHAnsi" w:hAnsi="Times New Roman"/>
          <w:sz w:val="24"/>
          <w:szCs w:val="24"/>
        </w:rPr>
        <w:t xml:space="preserve">Latvijai pieejamā ES budžeta dotācija augstākajai izglītībai programmas </w:t>
      </w:r>
      <w:r w:rsidRPr="00660A3A">
        <w:rPr>
          <w:rFonts w:ascii="Times New Roman" w:eastAsiaTheme="minorHAnsi" w:hAnsi="Times New Roman"/>
          <w:i/>
          <w:sz w:val="24"/>
          <w:szCs w:val="24"/>
        </w:rPr>
        <w:t>Erasmus+</w:t>
      </w:r>
      <w:r w:rsidRPr="00660A3A">
        <w:rPr>
          <w:rFonts w:ascii="Times New Roman" w:eastAsiaTheme="minorHAnsi" w:hAnsi="Times New Roman"/>
          <w:sz w:val="24"/>
          <w:szCs w:val="24"/>
        </w:rPr>
        <w:t xml:space="preserve"> ietvaros studentu </w:t>
      </w:r>
      <w:proofErr w:type="spellStart"/>
      <w:r w:rsidRPr="00660A3A">
        <w:rPr>
          <w:rFonts w:ascii="Times New Roman" w:eastAsiaTheme="minorHAnsi" w:hAnsi="Times New Roman"/>
          <w:sz w:val="24"/>
          <w:szCs w:val="24"/>
        </w:rPr>
        <w:t>mobilitātēm</w:t>
      </w:r>
      <w:proofErr w:type="spellEnd"/>
      <w:r w:rsidRPr="00660A3A">
        <w:rPr>
          <w:rFonts w:ascii="Times New Roman" w:eastAsiaTheme="minorHAnsi" w:hAnsi="Times New Roman"/>
          <w:sz w:val="24"/>
          <w:szCs w:val="24"/>
        </w:rPr>
        <w:t xml:space="preserve"> ir </w:t>
      </w:r>
      <w:r w:rsidR="009C1EA7" w:rsidRPr="00660A3A">
        <w:rPr>
          <w:rFonts w:ascii="Times New Roman" w:eastAsiaTheme="minorHAnsi" w:hAnsi="Times New Roman"/>
          <w:sz w:val="24"/>
          <w:szCs w:val="24"/>
        </w:rPr>
        <w:t>EUR 5 2</w:t>
      </w:r>
      <w:r w:rsidR="00BC140B" w:rsidRPr="00660A3A">
        <w:rPr>
          <w:rFonts w:ascii="Times New Roman" w:eastAsiaTheme="minorHAnsi" w:hAnsi="Times New Roman"/>
          <w:sz w:val="24"/>
          <w:szCs w:val="24"/>
        </w:rPr>
        <w:t>67</w:t>
      </w:r>
      <w:r w:rsidR="009C1EA7" w:rsidRPr="00660A3A">
        <w:rPr>
          <w:rFonts w:ascii="Times New Roman" w:eastAsiaTheme="minorHAnsi" w:hAnsi="Times New Roman"/>
          <w:sz w:val="24"/>
          <w:szCs w:val="24"/>
        </w:rPr>
        <w:t> </w:t>
      </w:r>
      <w:r w:rsidR="00BC140B" w:rsidRPr="00660A3A">
        <w:rPr>
          <w:rFonts w:ascii="Times New Roman" w:eastAsiaTheme="minorHAnsi" w:hAnsi="Times New Roman"/>
          <w:sz w:val="24"/>
          <w:szCs w:val="24"/>
        </w:rPr>
        <w:t>545</w:t>
      </w:r>
      <w:r w:rsidRPr="00660A3A">
        <w:rPr>
          <w:rFonts w:ascii="Times New Roman" w:eastAsiaTheme="minorHAnsi" w:hAnsi="Times New Roman"/>
          <w:sz w:val="24"/>
          <w:szCs w:val="24"/>
        </w:rPr>
        <w:t xml:space="preserve">, personāla </w:t>
      </w:r>
      <w:proofErr w:type="spellStart"/>
      <w:r w:rsidRPr="00660A3A">
        <w:rPr>
          <w:rFonts w:ascii="Times New Roman" w:eastAsiaTheme="minorHAnsi" w:hAnsi="Times New Roman"/>
          <w:sz w:val="24"/>
          <w:szCs w:val="24"/>
        </w:rPr>
        <w:t>mobilitātēm</w:t>
      </w:r>
      <w:proofErr w:type="spellEnd"/>
      <w:r w:rsidRPr="00660A3A">
        <w:rPr>
          <w:rFonts w:ascii="Times New Roman" w:eastAsiaTheme="minorHAnsi" w:hAnsi="Times New Roman"/>
          <w:sz w:val="24"/>
          <w:szCs w:val="24"/>
        </w:rPr>
        <w:t xml:space="preserve"> – EUR </w:t>
      </w:r>
      <w:r w:rsidR="00BC140B" w:rsidRPr="00660A3A">
        <w:rPr>
          <w:rFonts w:ascii="Times New Roman" w:eastAsiaTheme="minorHAnsi" w:hAnsi="Times New Roman"/>
          <w:sz w:val="24"/>
          <w:szCs w:val="24"/>
        </w:rPr>
        <w:t>401 531</w:t>
      </w:r>
      <w:r w:rsidRPr="00660A3A">
        <w:rPr>
          <w:rFonts w:ascii="Times New Roman" w:eastAsiaTheme="minorHAnsi" w:hAnsi="Times New Roman"/>
          <w:sz w:val="24"/>
          <w:szCs w:val="24"/>
        </w:rPr>
        <w:t>, stratēģiskajām partnerībām – EUR</w:t>
      </w:r>
      <w:r w:rsidR="00BC140B" w:rsidRPr="00660A3A">
        <w:rPr>
          <w:rFonts w:ascii="Times New Roman" w:eastAsiaTheme="minorHAnsi" w:hAnsi="Times New Roman"/>
          <w:sz w:val="24"/>
          <w:szCs w:val="24"/>
        </w:rPr>
        <w:t> </w:t>
      </w:r>
      <w:r w:rsidRPr="00660A3A">
        <w:rPr>
          <w:rFonts w:ascii="Times New Roman" w:eastAsiaTheme="minorHAnsi" w:hAnsi="Times New Roman"/>
          <w:sz w:val="24"/>
          <w:szCs w:val="24"/>
        </w:rPr>
        <w:t>45</w:t>
      </w:r>
      <w:r w:rsidR="00BC140B" w:rsidRPr="00660A3A">
        <w:rPr>
          <w:rFonts w:ascii="Times New Roman" w:eastAsiaTheme="minorHAnsi" w:hAnsi="Times New Roman"/>
          <w:sz w:val="24"/>
          <w:szCs w:val="24"/>
        </w:rPr>
        <w:t>4 342</w:t>
      </w:r>
      <w:r w:rsidR="00954573" w:rsidRPr="00660A3A">
        <w:rPr>
          <w:rFonts w:ascii="Times New Roman" w:eastAsiaTheme="minorHAnsi" w:hAnsi="Times New Roman"/>
          <w:sz w:val="24"/>
          <w:szCs w:val="24"/>
        </w:rPr>
        <w:t xml:space="preserve">, kas ir būtiski mazāka kā līdz šim kopējais </w:t>
      </w:r>
      <w:r w:rsidR="000F76AA" w:rsidRPr="00660A3A">
        <w:rPr>
          <w:rFonts w:ascii="Times New Roman" w:eastAsiaTheme="minorHAnsi" w:hAnsi="Times New Roman"/>
          <w:sz w:val="24"/>
          <w:szCs w:val="24"/>
        </w:rPr>
        <w:t xml:space="preserve">Latvijas </w:t>
      </w:r>
      <w:r w:rsidR="00954573" w:rsidRPr="00660A3A">
        <w:rPr>
          <w:rFonts w:ascii="Times New Roman" w:eastAsiaTheme="minorHAnsi" w:hAnsi="Times New Roman"/>
          <w:sz w:val="24"/>
          <w:szCs w:val="24"/>
        </w:rPr>
        <w:t xml:space="preserve">nodrošinātais finansējums </w:t>
      </w:r>
      <w:proofErr w:type="spellStart"/>
      <w:r w:rsidR="00954573" w:rsidRPr="00660A3A">
        <w:rPr>
          <w:rFonts w:ascii="Times New Roman" w:eastAsiaTheme="minorHAnsi" w:hAnsi="Times New Roman"/>
          <w:sz w:val="24"/>
          <w:szCs w:val="24"/>
        </w:rPr>
        <w:t>mobilitātēm</w:t>
      </w:r>
      <w:proofErr w:type="spellEnd"/>
      <w:r w:rsidR="00954573" w:rsidRPr="00660A3A">
        <w:rPr>
          <w:rFonts w:ascii="Times New Roman" w:eastAsiaTheme="minorHAnsi" w:hAnsi="Times New Roman"/>
          <w:sz w:val="24"/>
          <w:szCs w:val="24"/>
        </w:rPr>
        <w:t xml:space="preserve"> augstākajā izglītībā</w:t>
      </w:r>
      <w:r w:rsidRPr="00660A3A">
        <w:rPr>
          <w:rFonts w:ascii="Times New Roman" w:eastAsiaTheme="minorHAnsi" w:hAnsi="Times New Roman"/>
          <w:sz w:val="24"/>
          <w:szCs w:val="24"/>
        </w:rPr>
        <w:t xml:space="preserve">. </w:t>
      </w:r>
    </w:p>
    <w:p w:rsidR="00E8584B" w:rsidRPr="00660A3A" w:rsidRDefault="00020C54" w:rsidP="00FE5972">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Times New Roman" w:hAnsi="Times New Roman"/>
          <w:sz w:val="24"/>
          <w:szCs w:val="24"/>
        </w:rPr>
      </w:pPr>
      <w:r w:rsidRPr="00660A3A">
        <w:rPr>
          <w:rFonts w:ascii="Times New Roman" w:eastAsiaTheme="minorHAnsi" w:hAnsi="Times New Roman"/>
          <w:sz w:val="24"/>
          <w:szCs w:val="24"/>
        </w:rPr>
        <w:tab/>
      </w:r>
      <w:r w:rsidR="008E65EB" w:rsidRPr="00660A3A">
        <w:rPr>
          <w:rFonts w:ascii="Times New Roman" w:eastAsiaTheme="minorHAnsi" w:hAnsi="Times New Roman"/>
          <w:sz w:val="24"/>
          <w:szCs w:val="24"/>
        </w:rPr>
        <w:t>3</w:t>
      </w:r>
      <w:r w:rsidR="001C3080">
        <w:rPr>
          <w:rFonts w:ascii="Times New Roman" w:eastAsiaTheme="minorHAnsi" w:hAnsi="Times New Roman"/>
          <w:sz w:val="24"/>
          <w:szCs w:val="24"/>
        </w:rPr>
        <w:t>5</w:t>
      </w:r>
      <w:r w:rsidR="0026377A" w:rsidRPr="00660A3A">
        <w:rPr>
          <w:rFonts w:ascii="Times New Roman" w:eastAsiaTheme="minorHAnsi" w:hAnsi="Times New Roman"/>
          <w:sz w:val="24"/>
          <w:szCs w:val="24"/>
        </w:rPr>
        <w:t xml:space="preserve">. </w:t>
      </w:r>
      <w:r w:rsidR="00537791" w:rsidRPr="00660A3A">
        <w:rPr>
          <w:rFonts w:ascii="Times New Roman" w:eastAsiaTheme="minorHAnsi" w:hAnsi="Times New Roman"/>
          <w:sz w:val="24"/>
          <w:szCs w:val="24"/>
        </w:rPr>
        <w:t>M</w:t>
      </w:r>
      <w:r w:rsidR="00FE5972" w:rsidRPr="00660A3A">
        <w:rPr>
          <w:rFonts w:ascii="Times New Roman" w:eastAsiaTheme="minorHAnsi" w:hAnsi="Times New Roman"/>
          <w:sz w:val="24"/>
          <w:szCs w:val="24"/>
        </w:rPr>
        <w:t xml:space="preserve">obilitātes (gan studentu, gan personāla) </w:t>
      </w:r>
      <w:r w:rsidR="00A34B6D" w:rsidRPr="00660A3A">
        <w:rPr>
          <w:rFonts w:ascii="Times New Roman" w:eastAsiaTheme="minorHAnsi" w:hAnsi="Times New Roman"/>
          <w:sz w:val="24"/>
          <w:szCs w:val="24"/>
        </w:rPr>
        <w:t>saglabā</w:t>
      </w:r>
      <w:r w:rsidR="00FE5972" w:rsidRPr="00660A3A">
        <w:rPr>
          <w:rFonts w:ascii="Times New Roman" w:eastAsiaTheme="minorHAnsi" w:hAnsi="Times New Roman"/>
          <w:sz w:val="24"/>
          <w:szCs w:val="24"/>
        </w:rPr>
        <w:t>šana esošajā līmenī</w:t>
      </w:r>
      <w:r w:rsidR="00954573" w:rsidRPr="00660A3A">
        <w:rPr>
          <w:rFonts w:ascii="Times New Roman" w:eastAsiaTheme="minorHAnsi" w:hAnsi="Times New Roman"/>
          <w:sz w:val="24"/>
          <w:szCs w:val="24"/>
        </w:rPr>
        <w:t xml:space="preserve"> </w:t>
      </w:r>
      <w:r w:rsidR="00FE5972" w:rsidRPr="00660A3A">
        <w:rPr>
          <w:rFonts w:ascii="Times New Roman" w:eastAsiaTheme="minorHAnsi" w:hAnsi="Times New Roman"/>
          <w:sz w:val="24"/>
          <w:szCs w:val="24"/>
        </w:rPr>
        <w:t xml:space="preserve">un tās pieaugums </w:t>
      </w:r>
      <w:r w:rsidR="00645065" w:rsidRPr="00660A3A">
        <w:rPr>
          <w:rFonts w:ascii="Times New Roman" w:eastAsiaTheme="minorHAnsi" w:hAnsi="Times New Roman"/>
          <w:sz w:val="24"/>
          <w:szCs w:val="24"/>
        </w:rPr>
        <w:t xml:space="preserve">nav </w:t>
      </w:r>
      <w:r w:rsidR="00FE5972" w:rsidRPr="00660A3A">
        <w:rPr>
          <w:rFonts w:ascii="Times New Roman" w:eastAsiaTheme="minorHAnsi" w:hAnsi="Times New Roman"/>
          <w:sz w:val="24"/>
          <w:szCs w:val="24"/>
        </w:rPr>
        <w:t xml:space="preserve">iespējams tikai ar </w:t>
      </w:r>
      <w:r w:rsidR="0026377A" w:rsidRPr="00660A3A">
        <w:rPr>
          <w:rFonts w:ascii="Times New Roman" w:eastAsiaTheme="minorHAnsi" w:hAnsi="Times New Roman"/>
          <w:sz w:val="24"/>
          <w:szCs w:val="24"/>
        </w:rPr>
        <w:t>ES</w:t>
      </w:r>
      <w:r w:rsidR="00FE5972" w:rsidRPr="00660A3A">
        <w:rPr>
          <w:rFonts w:ascii="Times New Roman" w:eastAsiaTheme="minorHAnsi" w:hAnsi="Times New Roman"/>
          <w:sz w:val="24"/>
          <w:szCs w:val="24"/>
        </w:rPr>
        <w:t xml:space="preserve"> </w:t>
      </w:r>
      <w:r w:rsidR="00CE57FF" w:rsidRPr="00660A3A">
        <w:rPr>
          <w:rFonts w:ascii="Times New Roman" w:eastAsiaTheme="minorHAnsi" w:hAnsi="Times New Roman"/>
          <w:sz w:val="24"/>
          <w:szCs w:val="24"/>
        </w:rPr>
        <w:t>finansējumu, ņemot</w:t>
      </w:r>
      <w:r w:rsidR="00FE5972" w:rsidRPr="00660A3A">
        <w:rPr>
          <w:rFonts w:ascii="Times New Roman" w:eastAsiaTheme="minorHAnsi" w:hAnsi="Times New Roman"/>
          <w:sz w:val="24"/>
          <w:szCs w:val="24"/>
        </w:rPr>
        <w:t xml:space="preserve"> vērā, ka Komisijas </w:t>
      </w:r>
      <w:r w:rsidR="00CA062B" w:rsidRPr="00660A3A">
        <w:rPr>
          <w:rFonts w:ascii="Times New Roman" w:eastAsiaTheme="minorHAnsi" w:hAnsi="Times New Roman"/>
          <w:sz w:val="24"/>
          <w:szCs w:val="24"/>
        </w:rPr>
        <w:t xml:space="preserve">maksimālās </w:t>
      </w:r>
      <w:r w:rsidR="00FE5972" w:rsidRPr="00660A3A">
        <w:rPr>
          <w:rFonts w:ascii="Times New Roman" w:eastAsiaTheme="minorHAnsi" w:hAnsi="Times New Roman"/>
          <w:sz w:val="24"/>
          <w:szCs w:val="24"/>
        </w:rPr>
        <w:t>stipendiju likmes</w:t>
      </w:r>
      <w:r w:rsidR="009844B8" w:rsidRPr="00660A3A">
        <w:rPr>
          <w:rFonts w:ascii="Times New Roman" w:eastAsiaTheme="minorHAnsi" w:hAnsi="Times New Roman"/>
          <w:sz w:val="24"/>
          <w:szCs w:val="24"/>
        </w:rPr>
        <w:t xml:space="preserve"> (skat.</w:t>
      </w:r>
      <w:r w:rsidR="00954573" w:rsidRPr="00660A3A">
        <w:rPr>
          <w:rFonts w:ascii="Times New Roman" w:eastAsiaTheme="minorHAnsi" w:hAnsi="Times New Roman"/>
          <w:sz w:val="24"/>
          <w:szCs w:val="24"/>
        </w:rPr>
        <w:t xml:space="preserve"> </w:t>
      </w:r>
      <w:r w:rsidR="009844B8" w:rsidRPr="00660A3A">
        <w:rPr>
          <w:rFonts w:ascii="Times New Roman" w:eastAsiaTheme="minorHAnsi" w:hAnsi="Times New Roman"/>
          <w:sz w:val="24"/>
          <w:szCs w:val="24"/>
        </w:rPr>
        <w:t xml:space="preserve">informatīvā ziņojuma </w:t>
      </w:r>
      <w:r w:rsidR="00954573" w:rsidRPr="00660A3A">
        <w:rPr>
          <w:rFonts w:ascii="Times New Roman" w:eastAsiaTheme="minorHAnsi" w:hAnsi="Times New Roman"/>
          <w:sz w:val="24"/>
          <w:szCs w:val="24"/>
        </w:rPr>
        <w:t>pielikuma 1</w:t>
      </w:r>
      <w:r w:rsidR="009844B8" w:rsidRPr="00660A3A">
        <w:rPr>
          <w:rFonts w:ascii="Times New Roman" w:eastAsiaTheme="minorHAnsi" w:hAnsi="Times New Roman"/>
          <w:sz w:val="24"/>
          <w:szCs w:val="24"/>
        </w:rPr>
        <w:t>.tabulas 5.kolonnu</w:t>
      </w:r>
      <w:r w:rsidR="00954573" w:rsidRPr="00660A3A">
        <w:rPr>
          <w:rFonts w:ascii="Times New Roman" w:eastAsiaTheme="minorHAnsi" w:hAnsi="Times New Roman"/>
          <w:sz w:val="24"/>
          <w:szCs w:val="24"/>
        </w:rPr>
        <w:t xml:space="preserve"> un </w:t>
      </w:r>
      <w:r w:rsidR="009F5E85" w:rsidRPr="00660A3A">
        <w:rPr>
          <w:rFonts w:ascii="Times New Roman" w:eastAsiaTheme="minorHAnsi" w:hAnsi="Times New Roman"/>
          <w:sz w:val="24"/>
          <w:szCs w:val="24"/>
        </w:rPr>
        <w:t xml:space="preserve">informatīvā ziņojuma pielikuma </w:t>
      </w:r>
      <w:r w:rsidR="00954573" w:rsidRPr="00660A3A">
        <w:rPr>
          <w:rFonts w:ascii="Times New Roman" w:eastAsiaTheme="minorHAnsi" w:hAnsi="Times New Roman"/>
          <w:sz w:val="24"/>
          <w:szCs w:val="24"/>
        </w:rPr>
        <w:t>2.tabulas 4.kolonnu</w:t>
      </w:r>
      <w:r w:rsidR="009844B8" w:rsidRPr="00660A3A">
        <w:rPr>
          <w:rFonts w:ascii="Times New Roman" w:eastAsiaTheme="minorHAnsi" w:hAnsi="Times New Roman"/>
          <w:sz w:val="24"/>
          <w:szCs w:val="24"/>
        </w:rPr>
        <w:t>)</w:t>
      </w:r>
      <w:r w:rsidR="00FE5972" w:rsidRPr="00660A3A">
        <w:rPr>
          <w:rFonts w:ascii="Times New Roman" w:eastAsiaTheme="minorHAnsi" w:hAnsi="Times New Roman"/>
          <w:sz w:val="24"/>
          <w:szCs w:val="24"/>
        </w:rPr>
        <w:t xml:space="preserve"> </w:t>
      </w:r>
      <w:r w:rsidR="00FE5972" w:rsidRPr="00660A3A">
        <w:rPr>
          <w:rFonts w:ascii="Times New Roman" w:hAnsi="Times New Roman"/>
          <w:sz w:val="24"/>
          <w:szCs w:val="24"/>
        </w:rPr>
        <w:t>izbraucošajiem augstskolu studentiem un personāla pārstāvjiem ir mazākas kā</w:t>
      </w:r>
      <w:r w:rsidR="00FE5972" w:rsidRPr="00A604E8">
        <w:rPr>
          <w:rFonts w:ascii="Times New Roman" w:hAnsi="Times New Roman"/>
          <w:sz w:val="24"/>
          <w:szCs w:val="24"/>
        </w:rPr>
        <w:t xml:space="preserve"> iepriekšējā periodā nodrošinātās (</w:t>
      </w:r>
      <w:r w:rsidR="00FE5972">
        <w:rPr>
          <w:rFonts w:ascii="Times New Roman" w:hAnsi="Times New Roman"/>
          <w:sz w:val="24"/>
          <w:szCs w:val="24"/>
        </w:rPr>
        <w:t xml:space="preserve">kopā </w:t>
      </w:r>
      <w:r w:rsidR="00FE5972" w:rsidRPr="00A604E8">
        <w:rPr>
          <w:rFonts w:ascii="Times New Roman" w:hAnsi="Times New Roman"/>
          <w:sz w:val="24"/>
          <w:szCs w:val="24"/>
        </w:rPr>
        <w:t>ar valsts budžeta līdzfinansējumu)</w:t>
      </w:r>
      <w:r w:rsidR="009844B8">
        <w:rPr>
          <w:rFonts w:ascii="Times New Roman" w:hAnsi="Times New Roman"/>
          <w:sz w:val="24"/>
          <w:szCs w:val="24"/>
        </w:rPr>
        <w:t xml:space="preserve"> (skat. informatīvā ziņojuma</w:t>
      </w:r>
      <w:r w:rsidR="00954573">
        <w:rPr>
          <w:rFonts w:ascii="Times New Roman" w:hAnsi="Times New Roman"/>
          <w:sz w:val="24"/>
          <w:szCs w:val="24"/>
        </w:rPr>
        <w:t xml:space="preserve"> pielikuma 1</w:t>
      </w:r>
      <w:r w:rsidR="009844B8">
        <w:rPr>
          <w:rFonts w:ascii="Times New Roman" w:hAnsi="Times New Roman"/>
          <w:sz w:val="24"/>
          <w:szCs w:val="24"/>
        </w:rPr>
        <w:t>.tabulas 4.kolonnu</w:t>
      </w:r>
      <w:r w:rsidR="00954573">
        <w:rPr>
          <w:rFonts w:ascii="Times New Roman" w:hAnsi="Times New Roman"/>
          <w:sz w:val="24"/>
          <w:szCs w:val="24"/>
        </w:rPr>
        <w:t xml:space="preserve"> un </w:t>
      </w:r>
      <w:r w:rsidR="009F5E85">
        <w:rPr>
          <w:rFonts w:ascii="Times New Roman" w:hAnsi="Times New Roman"/>
          <w:sz w:val="24"/>
          <w:szCs w:val="24"/>
        </w:rPr>
        <w:t xml:space="preserve">informatīvā ziņojuma pielikuma </w:t>
      </w:r>
      <w:r w:rsidR="00954573">
        <w:rPr>
          <w:rFonts w:ascii="Times New Roman" w:hAnsi="Times New Roman"/>
          <w:sz w:val="24"/>
          <w:szCs w:val="24"/>
        </w:rPr>
        <w:t>2.tabulas 3.kolonnu</w:t>
      </w:r>
      <w:r w:rsidR="009844B8">
        <w:rPr>
          <w:rFonts w:ascii="Times New Roman" w:hAnsi="Times New Roman"/>
          <w:sz w:val="24"/>
          <w:szCs w:val="24"/>
        </w:rPr>
        <w:t>)</w:t>
      </w:r>
      <w:r w:rsidR="00A241DF">
        <w:rPr>
          <w:rFonts w:ascii="Times New Roman" w:hAnsi="Times New Roman"/>
          <w:sz w:val="24"/>
          <w:szCs w:val="24"/>
        </w:rPr>
        <w:t xml:space="preserve">. 2011./2012.akadēmiskajā gadā (pēdējais akadēmiskais gads, par kuru pieejama oficiālā Komisijas statistika) </w:t>
      </w:r>
      <w:r w:rsidR="00CA062B">
        <w:rPr>
          <w:rFonts w:ascii="Times New Roman" w:hAnsi="Times New Roman"/>
          <w:sz w:val="24"/>
          <w:szCs w:val="24"/>
        </w:rPr>
        <w:t xml:space="preserve">vidējā </w:t>
      </w:r>
      <w:r w:rsidR="00A241DF">
        <w:rPr>
          <w:rFonts w:ascii="Times New Roman" w:hAnsi="Times New Roman"/>
          <w:sz w:val="24"/>
          <w:szCs w:val="24"/>
        </w:rPr>
        <w:t>nodrošinātā stipendija vienam studentam bija 650,70 EUR/mēnesī</w:t>
      </w:r>
      <w:r w:rsidR="0084309C">
        <w:rPr>
          <w:rFonts w:ascii="Times New Roman" w:hAnsi="Times New Roman"/>
          <w:sz w:val="24"/>
          <w:szCs w:val="24"/>
        </w:rPr>
        <w:t>, no kuriem 305,83 EUR bija ES finansējums</w:t>
      </w:r>
      <w:r w:rsidR="0026377A">
        <w:rPr>
          <w:rFonts w:ascii="Times New Roman" w:hAnsi="Times New Roman"/>
          <w:sz w:val="24"/>
          <w:szCs w:val="24"/>
        </w:rPr>
        <w:t xml:space="preserve">, savukārt programmā </w:t>
      </w:r>
      <w:r w:rsidR="0026377A" w:rsidRPr="00A241DF">
        <w:rPr>
          <w:rFonts w:ascii="Times New Roman" w:hAnsi="Times New Roman"/>
          <w:i/>
          <w:sz w:val="24"/>
          <w:szCs w:val="24"/>
        </w:rPr>
        <w:t>Erasmus+</w:t>
      </w:r>
      <w:r w:rsidR="0026377A">
        <w:rPr>
          <w:rFonts w:ascii="Times New Roman" w:hAnsi="Times New Roman"/>
          <w:sz w:val="24"/>
          <w:szCs w:val="24"/>
        </w:rPr>
        <w:t xml:space="preserve"> maksimālais Komisijas stipendijas apmērs  ir līmenī no 400 EUR līdz 500 EUR</w:t>
      </w:r>
      <w:r w:rsidR="009844B8">
        <w:rPr>
          <w:rFonts w:ascii="Times New Roman" w:hAnsi="Times New Roman"/>
          <w:sz w:val="24"/>
          <w:szCs w:val="24"/>
        </w:rPr>
        <w:t>, kas ir tikai 60% - 77%</w:t>
      </w:r>
      <w:r w:rsidR="00954573">
        <w:rPr>
          <w:rFonts w:ascii="Times New Roman" w:hAnsi="Times New Roman"/>
          <w:sz w:val="24"/>
          <w:szCs w:val="24"/>
        </w:rPr>
        <w:t xml:space="preserve"> no līdz šim vidēji </w:t>
      </w:r>
      <w:r w:rsidR="00954573" w:rsidRPr="00660A3A">
        <w:rPr>
          <w:rFonts w:ascii="Times New Roman" w:hAnsi="Times New Roman"/>
          <w:sz w:val="24"/>
          <w:szCs w:val="24"/>
        </w:rPr>
        <w:t>nodrošinātā</w:t>
      </w:r>
      <w:r w:rsidR="009844B8" w:rsidRPr="00660A3A">
        <w:rPr>
          <w:rFonts w:ascii="Times New Roman" w:hAnsi="Times New Roman"/>
          <w:sz w:val="24"/>
          <w:szCs w:val="24"/>
        </w:rPr>
        <w:t xml:space="preserve"> stipendijas</w:t>
      </w:r>
      <w:r w:rsidR="00954573" w:rsidRPr="00660A3A">
        <w:rPr>
          <w:rFonts w:ascii="Times New Roman" w:hAnsi="Times New Roman"/>
          <w:sz w:val="24"/>
          <w:szCs w:val="24"/>
        </w:rPr>
        <w:t xml:space="preserve"> apmēra</w:t>
      </w:r>
      <w:r w:rsidR="009844B8" w:rsidRPr="00660A3A">
        <w:rPr>
          <w:rFonts w:ascii="Times New Roman" w:hAnsi="Times New Roman"/>
          <w:sz w:val="24"/>
          <w:szCs w:val="24"/>
        </w:rPr>
        <w:t xml:space="preserve">. </w:t>
      </w:r>
      <w:r w:rsidR="00954573" w:rsidRPr="00660A3A">
        <w:rPr>
          <w:rFonts w:ascii="Times New Roman" w:hAnsi="Times New Roman"/>
          <w:sz w:val="24"/>
          <w:szCs w:val="24"/>
        </w:rPr>
        <w:t>A</w:t>
      </w:r>
      <w:r w:rsidR="0026377A" w:rsidRPr="00660A3A">
        <w:rPr>
          <w:rFonts w:ascii="Times New Roman" w:hAnsi="Times New Roman"/>
          <w:sz w:val="24"/>
          <w:szCs w:val="24"/>
        </w:rPr>
        <w:t xml:space="preserve">ttiecībā </w:t>
      </w:r>
      <w:r w:rsidR="00080C75" w:rsidRPr="00660A3A">
        <w:rPr>
          <w:rFonts w:ascii="Times New Roman" w:hAnsi="Times New Roman"/>
          <w:sz w:val="24"/>
          <w:szCs w:val="24"/>
        </w:rPr>
        <w:t>par</w:t>
      </w:r>
      <w:r w:rsidR="00CE57FF" w:rsidRPr="00660A3A">
        <w:rPr>
          <w:rFonts w:ascii="Times New Roman" w:hAnsi="Times New Roman"/>
          <w:sz w:val="24"/>
          <w:szCs w:val="24"/>
        </w:rPr>
        <w:t xml:space="preserve"> </w:t>
      </w:r>
      <w:r w:rsidR="0026377A" w:rsidRPr="00660A3A">
        <w:rPr>
          <w:rFonts w:ascii="Times New Roman" w:hAnsi="Times New Roman"/>
          <w:sz w:val="24"/>
          <w:szCs w:val="24"/>
        </w:rPr>
        <w:t xml:space="preserve">personāla mobilitāti, jāņem vērā, ka </w:t>
      </w:r>
      <w:r w:rsidR="00E8584B" w:rsidRPr="00660A3A">
        <w:rPr>
          <w:rFonts w:ascii="Times New Roman" w:hAnsi="Times New Roman"/>
          <w:sz w:val="24"/>
          <w:szCs w:val="24"/>
        </w:rPr>
        <w:t>Komisijas 2014.gada darba programmā personāla mobilitātei paredzēts piešķirt</w:t>
      </w:r>
      <w:r w:rsidR="009844B8" w:rsidRPr="00660A3A">
        <w:rPr>
          <w:rFonts w:ascii="Times New Roman" w:hAnsi="Times New Roman"/>
          <w:sz w:val="24"/>
          <w:szCs w:val="24"/>
        </w:rPr>
        <w:t xml:space="preserve"> ES</w:t>
      </w:r>
      <w:r w:rsidR="00E8584B" w:rsidRPr="00660A3A">
        <w:rPr>
          <w:rFonts w:ascii="Times New Roman" w:hAnsi="Times New Roman"/>
          <w:sz w:val="24"/>
          <w:szCs w:val="24"/>
        </w:rPr>
        <w:t xml:space="preserve"> finansējumu </w:t>
      </w:r>
      <w:r w:rsidR="00560452" w:rsidRPr="00660A3A">
        <w:rPr>
          <w:rFonts w:ascii="Times New Roman" w:hAnsi="Times New Roman"/>
          <w:sz w:val="24"/>
          <w:szCs w:val="24"/>
        </w:rPr>
        <w:t>401 531</w:t>
      </w:r>
      <w:r w:rsidR="00E8584B" w:rsidRPr="00660A3A">
        <w:rPr>
          <w:rFonts w:ascii="Times New Roman" w:hAnsi="Times New Roman"/>
          <w:sz w:val="24"/>
          <w:szCs w:val="24"/>
        </w:rPr>
        <w:t xml:space="preserve"> EUR</w:t>
      </w:r>
      <w:r w:rsidR="009844B8" w:rsidRPr="00660A3A">
        <w:rPr>
          <w:rFonts w:ascii="Times New Roman" w:hAnsi="Times New Roman"/>
          <w:sz w:val="24"/>
          <w:szCs w:val="24"/>
        </w:rPr>
        <w:t xml:space="preserve"> apmērā</w:t>
      </w:r>
      <w:r w:rsidR="00E8584B" w:rsidRPr="00660A3A">
        <w:rPr>
          <w:rFonts w:ascii="Times New Roman" w:hAnsi="Times New Roman"/>
          <w:sz w:val="24"/>
          <w:szCs w:val="24"/>
        </w:rPr>
        <w:t>, kamēr 2011./2012.</w:t>
      </w:r>
      <w:r w:rsidR="008B54D9" w:rsidRPr="00660A3A">
        <w:rPr>
          <w:rFonts w:ascii="Times New Roman" w:hAnsi="Times New Roman"/>
          <w:sz w:val="24"/>
          <w:szCs w:val="24"/>
        </w:rPr>
        <w:t xml:space="preserve"> akadēmiskajā</w:t>
      </w:r>
      <w:r w:rsidR="008B54D9" w:rsidRPr="00660A3A" w:rsidDel="008B54D9">
        <w:rPr>
          <w:rFonts w:ascii="Times New Roman" w:hAnsi="Times New Roman"/>
          <w:sz w:val="24"/>
          <w:szCs w:val="24"/>
        </w:rPr>
        <w:t xml:space="preserve"> </w:t>
      </w:r>
      <w:r w:rsidR="00E8584B" w:rsidRPr="00660A3A">
        <w:rPr>
          <w:rFonts w:ascii="Times New Roman" w:hAnsi="Times New Roman"/>
          <w:sz w:val="24"/>
          <w:szCs w:val="24"/>
        </w:rPr>
        <w:t>gadā mobilitātei tika novirzīts finansējums 1 110 031,42 EUR (kopā ar valsts līdzfinansējumu)</w:t>
      </w:r>
      <w:r w:rsidR="009844B8" w:rsidRPr="00660A3A">
        <w:rPr>
          <w:rFonts w:ascii="Times New Roman" w:hAnsi="Times New Roman"/>
          <w:sz w:val="24"/>
          <w:szCs w:val="24"/>
        </w:rPr>
        <w:t>, kas ir 2,5 reizes vairāk nekā 2014.gadā paredzētais ES finansējums</w:t>
      </w:r>
    </w:p>
    <w:p w:rsidR="00A245BD" w:rsidRPr="0026377A" w:rsidRDefault="008E65EB" w:rsidP="00A245BD">
      <w:pPr>
        <w:spacing w:after="0" w:line="240" w:lineRule="auto"/>
        <w:ind w:firstLine="720"/>
        <w:jc w:val="both"/>
        <w:rPr>
          <w:rFonts w:ascii="Times New Roman" w:eastAsiaTheme="minorHAnsi" w:hAnsi="Times New Roman"/>
          <w:color w:val="76923C" w:themeColor="accent3" w:themeShade="BF"/>
          <w:sz w:val="24"/>
          <w:szCs w:val="24"/>
        </w:rPr>
      </w:pPr>
      <w:r w:rsidRPr="00660A3A">
        <w:rPr>
          <w:rFonts w:ascii="Times New Roman" w:eastAsiaTheme="minorHAnsi" w:hAnsi="Times New Roman"/>
          <w:sz w:val="24"/>
          <w:szCs w:val="24"/>
        </w:rPr>
        <w:t>3</w:t>
      </w:r>
      <w:r w:rsidR="001C3080">
        <w:rPr>
          <w:rFonts w:ascii="Times New Roman" w:eastAsiaTheme="minorHAnsi" w:hAnsi="Times New Roman"/>
          <w:sz w:val="24"/>
          <w:szCs w:val="24"/>
        </w:rPr>
        <w:t>6</w:t>
      </w:r>
      <w:r w:rsidR="00A245BD" w:rsidRPr="00660A3A">
        <w:rPr>
          <w:rFonts w:ascii="Times New Roman" w:eastAsiaTheme="minorHAnsi" w:hAnsi="Times New Roman"/>
          <w:sz w:val="24"/>
          <w:szCs w:val="24"/>
        </w:rPr>
        <w:t xml:space="preserve">. Komisijas stipendijas maksimālais apmērs, kas ir norādīts </w:t>
      </w:r>
      <w:r w:rsidR="00BC616B" w:rsidRPr="00660A3A">
        <w:rPr>
          <w:rFonts w:ascii="Times New Roman" w:eastAsiaTheme="minorHAnsi" w:hAnsi="Times New Roman"/>
          <w:sz w:val="24"/>
          <w:szCs w:val="24"/>
        </w:rPr>
        <w:t xml:space="preserve">informatīvā ziņojuma pielikuma </w:t>
      </w:r>
      <w:r w:rsidR="00A245BD" w:rsidRPr="00660A3A">
        <w:rPr>
          <w:rFonts w:ascii="Times New Roman" w:eastAsiaTheme="minorHAnsi" w:hAnsi="Times New Roman"/>
          <w:sz w:val="24"/>
          <w:szCs w:val="24"/>
        </w:rPr>
        <w:t>2.tabulā, nesedz visas studenta uzturēšanās izmaksas attiecīg</w:t>
      </w:r>
      <w:r w:rsidR="009F5E85" w:rsidRPr="00660A3A">
        <w:rPr>
          <w:rFonts w:ascii="Times New Roman" w:eastAsiaTheme="minorHAnsi" w:hAnsi="Times New Roman"/>
          <w:sz w:val="24"/>
          <w:szCs w:val="24"/>
        </w:rPr>
        <w:t>ajā valstī, bet nosakot šo</w:t>
      </w:r>
      <w:r w:rsidR="00A245BD">
        <w:rPr>
          <w:rFonts w:ascii="Times New Roman" w:eastAsiaTheme="minorHAnsi" w:hAnsi="Times New Roman"/>
          <w:sz w:val="24"/>
          <w:szCs w:val="24"/>
        </w:rPr>
        <w:t xml:space="preserve"> izmaksu likmi, tiek paredzēts, ka daļu no izmaksām sedz nacionālais finansējums studentu stipendijām. Tāds pats princips tiek piemērots, nosakot maksimāl</w:t>
      </w:r>
      <w:r w:rsidR="009F5E85">
        <w:rPr>
          <w:rFonts w:ascii="Times New Roman" w:eastAsiaTheme="minorHAnsi" w:hAnsi="Times New Roman"/>
          <w:sz w:val="24"/>
          <w:szCs w:val="24"/>
        </w:rPr>
        <w:t>ā</w:t>
      </w:r>
      <w:r w:rsidR="00A245BD">
        <w:rPr>
          <w:rFonts w:ascii="Times New Roman" w:eastAsiaTheme="minorHAnsi" w:hAnsi="Times New Roman"/>
          <w:sz w:val="24"/>
          <w:szCs w:val="24"/>
        </w:rPr>
        <w:t xml:space="preserve">s </w:t>
      </w:r>
      <w:r w:rsidR="00F87E59">
        <w:rPr>
          <w:rFonts w:ascii="Times New Roman" w:eastAsiaTheme="minorHAnsi" w:hAnsi="Times New Roman"/>
          <w:sz w:val="24"/>
          <w:szCs w:val="24"/>
        </w:rPr>
        <w:t xml:space="preserve">Komisijas stipendijas </w:t>
      </w:r>
      <w:r w:rsidR="00A245BD">
        <w:rPr>
          <w:rFonts w:ascii="Times New Roman" w:eastAsiaTheme="minorHAnsi" w:hAnsi="Times New Roman"/>
          <w:sz w:val="24"/>
          <w:szCs w:val="24"/>
        </w:rPr>
        <w:t>likmes personālam.</w:t>
      </w:r>
    </w:p>
    <w:p w:rsidR="00FE5972" w:rsidRPr="00954573" w:rsidRDefault="00E8584B" w:rsidP="00954573">
      <w:pPr>
        <w:tabs>
          <w:tab w:val="left" w:pos="-720"/>
          <w:tab w:val="left" w:pos="0"/>
          <w:tab w:val="left" w:pos="720"/>
          <w:tab w:val="left" w:pos="1440"/>
          <w:tab w:val="left" w:pos="2160"/>
          <w:tab w:val="left" w:pos="2880"/>
          <w:tab w:val="left" w:pos="3600"/>
          <w:tab w:val="left" w:pos="4320"/>
        </w:tabs>
        <w:autoSpaceDE w:val="0"/>
        <w:adjustRightInd w:val="0"/>
        <w:spacing w:after="0" w:line="240" w:lineRule="auto"/>
        <w:jc w:val="both"/>
        <w:rPr>
          <w:rFonts w:ascii="Times New Roman" w:eastAsiaTheme="minorHAnsi" w:hAnsi="Times New Roman"/>
          <w:sz w:val="24"/>
          <w:szCs w:val="24"/>
        </w:rPr>
      </w:pPr>
      <w:r w:rsidRPr="00954573">
        <w:rPr>
          <w:rFonts w:ascii="Times New Roman" w:hAnsi="Times New Roman"/>
          <w:sz w:val="24"/>
          <w:szCs w:val="24"/>
        </w:rPr>
        <w:tab/>
      </w:r>
      <w:r w:rsidR="008E65EB">
        <w:rPr>
          <w:rFonts w:ascii="Times New Roman" w:hAnsi="Times New Roman"/>
          <w:sz w:val="24"/>
          <w:szCs w:val="24"/>
        </w:rPr>
        <w:t>3</w:t>
      </w:r>
      <w:r w:rsidR="001C3080">
        <w:rPr>
          <w:rFonts w:ascii="Times New Roman" w:hAnsi="Times New Roman"/>
          <w:sz w:val="24"/>
          <w:szCs w:val="24"/>
        </w:rPr>
        <w:t>7</w:t>
      </w:r>
      <w:r w:rsidR="0033112B" w:rsidRPr="00954573">
        <w:rPr>
          <w:rFonts w:ascii="Times New Roman" w:hAnsi="Times New Roman"/>
          <w:sz w:val="24"/>
          <w:szCs w:val="24"/>
        </w:rPr>
        <w:t xml:space="preserve">. </w:t>
      </w:r>
      <w:r w:rsidR="00CE57FF" w:rsidRPr="00954573">
        <w:rPr>
          <w:rFonts w:ascii="Times New Roman" w:hAnsi="Times New Roman"/>
          <w:sz w:val="24"/>
          <w:szCs w:val="24"/>
        </w:rPr>
        <w:t>V</w:t>
      </w:r>
      <w:r w:rsidRPr="00954573">
        <w:rPr>
          <w:rFonts w:ascii="Times New Roman" w:hAnsi="Times New Roman"/>
          <w:sz w:val="24"/>
          <w:szCs w:val="24"/>
        </w:rPr>
        <w:t xml:space="preserve">ērtējot </w:t>
      </w:r>
      <w:r w:rsidR="00CE57FF" w:rsidRPr="00954573">
        <w:rPr>
          <w:rFonts w:ascii="Times New Roman" w:hAnsi="Times New Roman"/>
          <w:sz w:val="24"/>
          <w:szCs w:val="24"/>
        </w:rPr>
        <w:t>nepieciešamā finansējuma apmēru</w:t>
      </w:r>
      <w:r w:rsidRPr="00954573">
        <w:rPr>
          <w:rFonts w:ascii="Times New Roman" w:hAnsi="Times New Roman"/>
          <w:sz w:val="24"/>
          <w:szCs w:val="24"/>
        </w:rPr>
        <w:t xml:space="preserve">, </w:t>
      </w:r>
      <w:r w:rsidR="00CE57FF" w:rsidRPr="00954573">
        <w:rPr>
          <w:rFonts w:ascii="Times New Roman" w:hAnsi="Times New Roman"/>
          <w:sz w:val="24"/>
          <w:szCs w:val="24"/>
        </w:rPr>
        <w:t>lai nodrošinātu mobilitāt</w:t>
      </w:r>
      <w:r w:rsidR="003D51B1" w:rsidRPr="00954573">
        <w:rPr>
          <w:rFonts w:ascii="Times New Roman" w:hAnsi="Times New Roman"/>
          <w:sz w:val="24"/>
          <w:szCs w:val="24"/>
        </w:rPr>
        <w:t>i</w:t>
      </w:r>
      <w:r w:rsidRPr="00954573">
        <w:rPr>
          <w:rFonts w:ascii="Times New Roman" w:hAnsi="Times New Roman"/>
          <w:sz w:val="24"/>
          <w:szCs w:val="24"/>
        </w:rPr>
        <w:t xml:space="preserve"> vismaz esošajā līmenī,</w:t>
      </w:r>
      <w:r w:rsidR="003D51B1" w:rsidRPr="00954573">
        <w:rPr>
          <w:rFonts w:ascii="Times New Roman" w:hAnsi="Times New Roman"/>
          <w:sz w:val="24"/>
          <w:szCs w:val="24"/>
        </w:rPr>
        <w:t xml:space="preserve"> ir jāvērtē arī studentu un personāla plūsma uz konkrētām valstu grupām (skat. informatīvā ziņojuma </w:t>
      </w:r>
      <w:r w:rsidR="00954573">
        <w:rPr>
          <w:rFonts w:ascii="Times New Roman" w:hAnsi="Times New Roman"/>
          <w:sz w:val="24"/>
          <w:szCs w:val="24"/>
        </w:rPr>
        <w:t>pielikuma 1.tabulas 3.</w:t>
      </w:r>
      <w:r w:rsidR="003D51B1" w:rsidRPr="00954573">
        <w:rPr>
          <w:rFonts w:ascii="Times New Roman" w:hAnsi="Times New Roman"/>
          <w:sz w:val="24"/>
          <w:szCs w:val="24"/>
        </w:rPr>
        <w:t>kolonnu</w:t>
      </w:r>
      <w:r w:rsidR="00954573">
        <w:rPr>
          <w:rFonts w:ascii="Times New Roman" w:hAnsi="Times New Roman"/>
          <w:sz w:val="24"/>
          <w:szCs w:val="24"/>
        </w:rPr>
        <w:t xml:space="preserve"> un</w:t>
      </w:r>
      <w:r w:rsidR="009F5E85">
        <w:rPr>
          <w:rFonts w:ascii="Times New Roman" w:hAnsi="Times New Roman"/>
          <w:sz w:val="24"/>
          <w:szCs w:val="24"/>
        </w:rPr>
        <w:t xml:space="preserve"> informatīvā ziņojuma pielikuma</w:t>
      </w:r>
      <w:r w:rsidR="00954573">
        <w:rPr>
          <w:rFonts w:ascii="Times New Roman" w:hAnsi="Times New Roman"/>
          <w:sz w:val="24"/>
          <w:szCs w:val="24"/>
        </w:rPr>
        <w:t xml:space="preserve"> 2.tabulas 2.kolonnu</w:t>
      </w:r>
      <w:r w:rsidR="003D51B1" w:rsidRPr="00954573">
        <w:rPr>
          <w:rFonts w:ascii="Times New Roman" w:hAnsi="Times New Roman"/>
          <w:sz w:val="24"/>
          <w:szCs w:val="24"/>
        </w:rPr>
        <w:t>), un ir</w:t>
      </w:r>
      <w:r w:rsidRPr="00954573">
        <w:rPr>
          <w:rFonts w:ascii="Times New Roman" w:hAnsi="Times New Roman"/>
          <w:sz w:val="24"/>
          <w:szCs w:val="24"/>
        </w:rPr>
        <w:t xml:space="preserve"> </w:t>
      </w:r>
      <w:r w:rsidR="0033112B" w:rsidRPr="00954573">
        <w:rPr>
          <w:rFonts w:ascii="Times New Roman" w:hAnsi="Times New Roman"/>
          <w:sz w:val="24"/>
          <w:szCs w:val="24"/>
        </w:rPr>
        <w:t>j</w:t>
      </w:r>
      <w:r w:rsidR="0033112B" w:rsidRPr="00954573">
        <w:rPr>
          <w:rFonts w:ascii="Times New Roman" w:eastAsiaTheme="minorHAnsi" w:hAnsi="Times New Roman"/>
          <w:sz w:val="24"/>
          <w:szCs w:val="24"/>
        </w:rPr>
        <w:t>āņem vērā arī konkrētas Latvijas augstskolu esošās sadarbības valstis un studentus interesējošās valstis, kurās tradicionāli ir augsta izglītības kvalitāte, bet tās ir salīdzinoši „dārgās” (</w:t>
      </w:r>
      <w:r w:rsidR="00DF7836" w:rsidRPr="00954573">
        <w:rPr>
          <w:rFonts w:ascii="Times New Roman" w:eastAsiaTheme="minorHAnsi" w:hAnsi="Times New Roman"/>
          <w:sz w:val="24"/>
          <w:szCs w:val="24"/>
        </w:rPr>
        <w:t xml:space="preserve">I </w:t>
      </w:r>
      <w:r w:rsidR="0033112B" w:rsidRPr="00954573">
        <w:rPr>
          <w:rFonts w:ascii="Times New Roman" w:eastAsiaTheme="minorHAnsi" w:hAnsi="Times New Roman"/>
          <w:sz w:val="24"/>
          <w:szCs w:val="24"/>
        </w:rPr>
        <w:t>grupa) vai „vidēji dārgās” (</w:t>
      </w:r>
      <w:r w:rsidR="00DF7836" w:rsidRPr="00954573">
        <w:rPr>
          <w:rFonts w:ascii="Times New Roman" w:eastAsiaTheme="minorHAnsi" w:hAnsi="Times New Roman"/>
          <w:sz w:val="24"/>
          <w:szCs w:val="24"/>
        </w:rPr>
        <w:t xml:space="preserve">II </w:t>
      </w:r>
      <w:r w:rsidR="0033112B" w:rsidRPr="00954573">
        <w:rPr>
          <w:rFonts w:ascii="Times New Roman" w:eastAsiaTheme="minorHAnsi" w:hAnsi="Times New Roman"/>
          <w:sz w:val="24"/>
          <w:szCs w:val="24"/>
        </w:rPr>
        <w:t>grupa) valstis. Mobilitāte uz Baltijas jūras reģiona „dārgajām” (</w:t>
      </w:r>
      <w:r w:rsidR="00DF7836" w:rsidRPr="00954573">
        <w:rPr>
          <w:rFonts w:ascii="Times New Roman" w:eastAsiaTheme="minorHAnsi" w:hAnsi="Times New Roman"/>
          <w:sz w:val="24"/>
          <w:szCs w:val="24"/>
        </w:rPr>
        <w:t xml:space="preserve">I </w:t>
      </w:r>
      <w:r w:rsidR="0033112B" w:rsidRPr="00954573">
        <w:rPr>
          <w:rFonts w:ascii="Times New Roman" w:eastAsiaTheme="minorHAnsi" w:hAnsi="Times New Roman"/>
          <w:sz w:val="24"/>
          <w:szCs w:val="24"/>
        </w:rPr>
        <w:t>grupa) un „vidēji dārgajām” (</w:t>
      </w:r>
      <w:r w:rsidR="00DF7836" w:rsidRPr="00954573">
        <w:rPr>
          <w:rFonts w:ascii="Times New Roman" w:eastAsiaTheme="minorHAnsi" w:hAnsi="Times New Roman"/>
          <w:sz w:val="24"/>
          <w:szCs w:val="24"/>
        </w:rPr>
        <w:t xml:space="preserve">II </w:t>
      </w:r>
      <w:r w:rsidR="0033112B" w:rsidRPr="00954573">
        <w:rPr>
          <w:rFonts w:ascii="Times New Roman" w:eastAsiaTheme="minorHAnsi" w:hAnsi="Times New Roman"/>
          <w:sz w:val="24"/>
          <w:szCs w:val="24"/>
        </w:rPr>
        <w:t>grupa) valstīm tādām kā: Somija, Dānija, Zviedrija, Norvēģija, Vācija, dod būtisku pievienoto vērtību individuālajai mobilitātei un institucionālajai sadarbībai</w:t>
      </w:r>
      <w:r w:rsidR="003D51B1" w:rsidRPr="00954573">
        <w:rPr>
          <w:rFonts w:ascii="Times New Roman" w:eastAsiaTheme="minorHAnsi" w:hAnsi="Times New Roman"/>
          <w:sz w:val="24"/>
          <w:szCs w:val="24"/>
        </w:rPr>
        <w:t>, taču vidējais stipendijas apmērs šajās valstīs ir pat līdz 40% augstāks nekā vidējais rādītājs visās valstu grupās kopā (piemēram, iepriekš m</w:t>
      </w:r>
      <w:r w:rsidR="0033112B" w:rsidRPr="00954573">
        <w:rPr>
          <w:rFonts w:ascii="Times New Roman" w:eastAsiaTheme="minorHAnsi" w:hAnsi="Times New Roman"/>
          <w:sz w:val="24"/>
          <w:szCs w:val="24"/>
        </w:rPr>
        <w:t>inētajās valstīs vidējais stipendijas apmērs 2012./2013.akadēmiskajā gadā studijām bija intervālā no 600 EUR līdz 910 EUR, praksēm – no 528 EUR līdz 696 EUR</w:t>
      </w:r>
      <w:r w:rsidR="003D51B1" w:rsidRPr="00954573">
        <w:rPr>
          <w:rFonts w:ascii="Times New Roman" w:eastAsiaTheme="minorHAnsi" w:hAnsi="Times New Roman"/>
          <w:sz w:val="24"/>
          <w:szCs w:val="24"/>
        </w:rPr>
        <w:t xml:space="preserve">, </w:t>
      </w:r>
      <w:r w:rsidR="00DF7836" w:rsidRPr="00954573">
        <w:rPr>
          <w:rFonts w:ascii="Times New Roman" w:eastAsiaTheme="minorHAnsi" w:hAnsi="Times New Roman"/>
          <w:sz w:val="24"/>
          <w:szCs w:val="24"/>
        </w:rPr>
        <w:t>VIAA dati</w:t>
      </w:r>
      <w:r w:rsidR="003D51B1" w:rsidRPr="00954573">
        <w:rPr>
          <w:rFonts w:ascii="Times New Roman" w:eastAsiaTheme="minorHAnsi" w:hAnsi="Times New Roman"/>
          <w:sz w:val="24"/>
          <w:szCs w:val="24"/>
        </w:rPr>
        <w:t>)</w:t>
      </w:r>
      <w:r w:rsidR="0033112B" w:rsidRPr="00954573">
        <w:rPr>
          <w:rFonts w:ascii="Times New Roman" w:eastAsiaTheme="minorHAnsi" w:hAnsi="Times New Roman"/>
          <w:sz w:val="24"/>
          <w:szCs w:val="24"/>
        </w:rPr>
        <w:t>.</w:t>
      </w:r>
    </w:p>
    <w:p w:rsidR="00FE5972" w:rsidRPr="00660A3A" w:rsidRDefault="008E65EB" w:rsidP="00FE5972">
      <w:pPr>
        <w:spacing w:after="0" w:line="240" w:lineRule="auto"/>
        <w:ind w:firstLine="720"/>
        <w:jc w:val="both"/>
        <w:rPr>
          <w:rFonts w:ascii="Times New Roman" w:hAnsi="Times New Roman"/>
          <w:sz w:val="24"/>
          <w:szCs w:val="24"/>
        </w:rPr>
      </w:pPr>
      <w:r>
        <w:rPr>
          <w:rFonts w:ascii="Times New Roman" w:hAnsi="Times New Roman"/>
          <w:sz w:val="24"/>
          <w:szCs w:val="24"/>
        </w:rPr>
        <w:t>3</w:t>
      </w:r>
      <w:r w:rsidR="001C3080">
        <w:rPr>
          <w:rFonts w:ascii="Times New Roman" w:hAnsi="Times New Roman"/>
          <w:sz w:val="24"/>
          <w:szCs w:val="24"/>
        </w:rPr>
        <w:t>8</w:t>
      </w:r>
      <w:r w:rsidR="00FE5972">
        <w:rPr>
          <w:rFonts w:ascii="Times New Roman" w:hAnsi="Times New Roman"/>
          <w:sz w:val="24"/>
          <w:szCs w:val="24"/>
        </w:rPr>
        <w:t xml:space="preserve">. </w:t>
      </w:r>
      <w:r w:rsidR="003D51B1">
        <w:rPr>
          <w:rFonts w:ascii="Times New Roman" w:hAnsi="Times New Roman"/>
          <w:sz w:val="24"/>
          <w:szCs w:val="24"/>
        </w:rPr>
        <w:t>N</w:t>
      </w:r>
      <w:r w:rsidR="00FE5972">
        <w:rPr>
          <w:rFonts w:ascii="Times New Roman" w:hAnsi="Times New Roman"/>
          <w:sz w:val="24"/>
          <w:szCs w:val="24"/>
        </w:rPr>
        <w:t xml:space="preserve">eskatoties uz </w:t>
      </w:r>
      <w:r w:rsidR="00DF7836">
        <w:rPr>
          <w:rFonts w:ascii="Times New Roman" w:hAnsi="Times New Roman"/>
          <w:sz w:val="24"/>
          <w:szCs w:val="24"/>
        </w:rPr>
        <w:t>līdz šim sasniegto augstāko pieauguma rādītāju dalībvalstīs kopš 2007.gada</w:t>
      </w:r>
      <w:r w:rsidR="00FE5972">
        <w:rPr>
          <w:rFonts w:ascii="Times New Roman" w:hAnsi="Times New Roman"/>
          <w:sz w:val="24"/>
          <w:szCs w:val="24"/>
        </w:rPr>
        <w:t>, j</w:t>
      </w:r>
      <w:r w:rsidR="00FE5972" w:rsidRPr="008D4038">
        <w:rPr>
          <w:rFonts w:ascii="Times New Roman" w:hAnsi="Times New Roman"/>
          <w:sz w:val="24"/>
          <w:szCs w:val="24"/>
        </w:rPr>
        <w:t>au 2011./2012.akadēmiskajā gadā tika novērota tendence, kas turpinājās arī 2012./2013.akadēmiskajā gadā – mobilitātes pie</w:t>
      </w:r>
      <w:r w:rsidR="003D51B1">
        <w:rPr>
          <w:rFonts w:ascii="Times New Roman" w:hAnsi="Times New Roman"/>
          <w:sz w:val="24"/>
          <w:szCs w:val="24"/>
        </w:rPr>
        <w:t>au</w:t>
      </w:r>
      <w:r w:rsidR="00FE5972" w:rsidRPr="008D4038">
        <w:rPr>
          <w:rFonts w:ascii="Times New Roman" w:hAnsi="Times New Roman"/>
          <w:sz w:val="24"/>
          <w:szCs w:val="24"/>
        </w:rPr>
        <w:t>gums, pat</w:t>
      </w:r>
      <w:r w:rsidR="00660710">
        <w:rPr>
          <w:rFonts w:ascii="Times New Roman" w:hAnsi="Times New Roman"/>
          <w:sz w:val="24"/>
          <w:szCs w:val="24"/>
        </w:rPr>
        <w:t xml:space="preserve"> </w:t>
      </w:r>
      <w:r w:rsidR="008B54D9">
        <w:rPr>
          <w:rFonts w:ascii="Times New Roman" w:hAnsi="Times New Roman"/>
          <w:sz w:val="24"/>
          <w:szCs w:val="24"/>
        </w:rPr>
        <w:t xml:space="preserve">pie </w:t>
      </w:r>
      <w:r w:rsidR="00FE5972" w:rsidRPr="008D4038">
        <w:rPr>
          <w:rFonts w:ascii="Times New Roman" w:hAnsi="Times New Roman"/>
          <w:sz w:val="24"/>
          <w:szCs w:val="24"/>
        </w:rPr>
        <w:t>valsts budžeta atbalst</w:t>
      </w:r>
      <w:r w:rsidR="00660710">
        <w:rPr>
          <w:rFonts w:ascii="Times New Roman" w:hAnsi="Times New Roman"/>
          <w:sz w:val="24"/>
          <w:szCs w:val="24"/>
        </w:rPr>
        <w:t>a</w:t>
      </w:r>
      <w:r w:rsidR="00FE5972" w:rsidRPr="008D4038">
        <w:rPr>
          <w:rFonts w:ascii="Times New Roman" w:hAnsi="Times New Roman"/>
          <w:sz w:val="24"/>
          <w:szCs w:val="24"/>
        </w:rPr>
        <w:t xml:space="preserve"> nav tik straujš kā iepriekšējos akadēmiskajos gados (iemesli – studenti nevēlas zaudēt darbu, kamēr atrodas mobilitātē, zemais stipendijas apjoms, personāla pārstāvjiem – zemais stipendijas apjoms, lielā noslodze). </w:t>
      </w:r>
      <w:r w:rsidR="00FE5972" w:rsidRPr="008D4038" w:rsidDel="008A3F9B">
        <w:rPr>
          <w:rFonts w:ascii="Times New Roman" w:hAnsi="Times New Roman"/>
          <w:sz w:val="24"/>
          <w:szCs w:val="24"/>
        </w:rPr>
        <w:t xml:space="preserve">Papildus tam, </w:t>
      </w:r>
      <w:r w:rsidR="00821778" w:rsidDel="008A3F9B">
        <w:rPr>
          <w:rFonts w:ascii="Times New Roman" w:hAnsi="Times New Roman"/>
          <w:sz w:val="24"/>
          <w:szCs w:val="24"/>
        </w:rPr>
        <w:t xml:space="preserve">no </w:t>
      </w:r>
      <w:r w:rsidR="00FE5972" w:rsidRPr="008D4038" w:rsidDel="008A3F9B">
        <w:rPr>
          <w:rFonts w:ascii="Times New Roman" w:hAnsi="Times New Roman"/>
          <w:sz w:val="24"/>
          <w:szCs w:val="24"/>
        </w:rPr>
        <w:t>konsultācijā</w:t>
      </w:r>
      <w:r w:rsidR="00821778" w:rsidDel="008A3F9B">
        <w:rPr>
          <w:rFonts w:ascii="Times New Roman" w:hAnsi="Times New Roman"/>
          <w:sz w:val="24"/>
          <w:szCs w:val="24"/>
        </w:rPr>
        <w:t>m</w:t>
      </w:r>
      <w:r w:rsidR="00FE5972" w:rsidRPr="008D4038" w:rsidDel="008A3F9B">
        <w:rPr>
          <w:rFonts w:ascii="Times New Roman" w:hAnsi="Times New Roman"/>
          <w:sz w:val="24"/>
          <w:szCs w:val="24"/>
        </w:rPr>
        <w:t xml:space="preserve"> ar augstskolu koordinatoriem tiek secināts, ka jau pēdējos gados daudzās ES valstīs ir pieaugusi dzīves dārdzība, t.sk., izmaksas par kopmītnēm </w:t>
      </w:r>
      <w:r w:rsidR="00FE5972" w:rsidRPr="008D4038" w:rsidDel="008A3F9B">
        <w:rPr>
          <w:rFonts w:ascii="Times New Roman" w:hAnsi="Times New Roman"/>
          <w:sz w:val="24"/>
          <w:szCs w:val="24"/>
        </w:rPr>
        <w:lastRenderedPageBreak/>
        <w:t>studentiem un viesnīcām augstskolu personāla pārstāvjiem</w:t>
      </w:r>
      <w:r w:rsidR="00DF7836" w:rsidDel="008A3F9B">
        <w:rPr>
          <w:rFonts w:ascii="Times New Roman" w:hAnsi="Times New Roman"/>
          <w:sz w:val="24"/>
          <w:szCs w:val="24"/>
        </w:rPr>
        <w:t xml:space="preserve">, pie kam studentiem piešķirtās </w:t>
      </w:r>
      <w:r w:rsidR="00DF7836" w:rsidRPr="00660A3A" w:rsidDel="008A3F9B">
        <w:rPr>
          <w:rFonts w:ascii="Times New Roman" w:hAnsi="Times New Roman"/>
          <w:sz w:val="24"/>
          <w:szCs w:val="24"/>
        </w:rPr>
        <w:t xml:space="preserve">stipendijas ietvaros ir jāsedz arī ceļa izdevumi. </w:t>
      </w:r>
    </w:p>
    <w:p w:rsidR="00FE5972" w:rsidRPr="00660A3A" w:rsidDel="008A3F9B" w:rsidRDefault="001C3080" w:rsidP="00FE5972">
      <w:pPr>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39</w:t>
      </w:r>
      <w:r w:rsidR="00FE5972" w:rsidRPr="00660A3A" w:rsidDel="008A3F9B">
        <w:rPr>
          <w:rFonts w:ascii="Times New Roman" w:eastAsiaTheme="minorHAnsi" w:hAnsi="Times New Roman"/>
          <w:sz w:val="24"/>
          <w:szCs w:val="24"/>
        </w:rPr>
        <w:t xml:space="preserve">. Tāpat ir jāņem vērā Latvijas ģimeņu ierobežotās iespējas nodrošināt papildu finansējumu studentu </w:t>
      </w:r>
      <w:proofErr w:type="spellStart"/>
      <w:r w:rsidR="00FE5972" w:rsidRPr="00660A3A" w:rsidDel="008A3F9B">
        <w:rPr>
          <w:rFonts w:ascii="Times New Roman" w:eastAsiaTheme="minorHAnsi" w:hAnsi="Times New Roman"/>
          <w:sz w:val="24"/>
          <w:szCs w:val="24"/>
        </w:rPr>
        <w:t>mobilitātēm</w:t>
      </w:r>
      <w:proofErr w:type="spellEnd"/>
      <w:r w:rsidR="00FE5972" w:rsidRPr="00660A3A" w:rsidDel="008A3F9B">
        <w:rPr>
          <w:rFonts w:ascii="Times New Roman" w:eastAsiaTheme="minorHAnsi" w:hAnsi="Times New Roman"/>
          <w:sz w:val="24"/>
          <w:szCs w:val="24"/>
        </w:rPr>
        <w:t xml:space="preserve">, jo ir būtiski nodrošināt vienlīdzīgas iespējas visiem studentiem neatkarīgi no viņu sociālajiem apstākļiem. </w:t>
      </w:r>
      <w:r w:rsidR="00645065" w:rsidRPr="00660A3A">
        <w:rPr>
          <w:rFonts w:ascii="Times New Roman" w:hAnsi="Times New Roman"/>
          <w:sz w:val="24"/>
          <w:szCs w:val="24"/>
        </w:rPr>
        <w:t>Latvijas augstskolās un koledžās 2014.gadā no 76 964</w:t>
      </w:r>
      <w:r w:rsidR="00645065" w:rsidRPr="00660A3A">
        <w:rPr>
          <w:rFonts w:ascii="Times New Roman" w:hAnsi="Times New Roman"/>
          <w:i/>
          <w:sz w:val="24"/>
          <w:szCs w:val="24"/>
        </w:rPr>
        <w:t xml:space="preserve"> </w:t>
      </w:r>
      <w:r w:rsidR="00645065" w:rsidRPr="00660A3A">
        <w:rPr>
          <w:rFonts w:ascii="Times New Roman" w:hAnsi="Times New Roman"/>
          <w:sz w:val="24"/>
          <w:szCs w:val="24"/>
        </w:rPr>
        <w:t>studējušajiem valsts finansētajās studiju vietās studē 30 348 studenti (Pārskats par Latvijas augstāko izglītību 2013.gadā (galvenie statistikas dati)), no kuriem saskaņā ar ministrijas aplēsēm stipendiju atbilstoši Ministru kabineta 24.08.2004 noteikumiem Nr.740 „</w:t>
      </w:r>
      <w:r w:rsidR="00645065" w:rsidRPr="00660A3A">
        <w:rPr>
          <w:rFonts w:ascii="Times New Roman" w:hAnsi="Times New Roman"/>
          <w:bCs/>
          <w:sz w:val="24"/>
          <w:szCs w:val="24"/>
        </w:rPr>
        <w:t>Noteikumi par stipendijām”</w:t>
      </w:r>
      <w:r w:rsidR="00645065" w:rsidRPr="00660A3A">
        <w:rPr>
          <w:rFonts w:ascii="Times New Roman" w:hAnsi="Times New Roman"/>
          <w:sz w:val="24"/>
          <w:szCs w:val="24"/>
        </w:rPr>
        <w:t xml:space="preserve"> saņem tikai katrs septītais studējošais, kas ir apmēram 14% no visiem valsts finansētajās studiju vietās studējošajiem jeb tikai 5,5% no visiem Latvijas augstskolās studējošajiem. Līdz ar to, valsts budžeta stipendiju, kas liel</w:t>
      </w:r>
      <w:r w:rsidR="00986CA4" w:rsidRPr="00660A3A">
        <w:rPr>
          <w:rFonts w:ascii="Times New Roman" w:hAnsi="Times New Roman"/>
          <w:sz w:val="24"/>
          <w:szCs w:val="24"/>
        </w:rPr>
        <w:t>ākajā gadījumā nepārsniedz 99,6 </w:t>
      </w:r>
      <w:r w:rsidR="00645065" w:rsidRPr="00660A3A">
        <w:rPr>
          <w:rFonts w:ascii="Times New Roman" w:hAnsi="Times New Roman"/>
          <w:sz w:val="24"/>
          <w:szCs w:val="24"/>
        </w:rPr>
        <w:t xml:space="preserve">EUR mēnesī, nevar uzskatīt par </w:t>
      </w:r>
      <w:r w:rsidR="00560452" w:rsidRPr="00660A3A">
        <w:rPr>
          <w:rFonts w:ascii="Times New Roman" w:hAnsi="Times New Roman"/>
          <w:sz w:val="24"/>
          <w:szCs w:val="24"/>
        </w:rPr>
        <w:t xml:space="preserve">būtisku līdzfinansējuma avotu </w:t>
      </w:r>
      <w:r w:rsidR="00986CA4" w:rsidRPr="00660A3A">
        <w:rPr>
          <w:rFonts w:ascii="Times New Roman" w:hAnsi="Times New Roman"/>
          <w:sz w:val="24"/>
          <w:szCs w:val="24"/>
        </w:rPr>
        <w:t xml:space="preserve">studentu </w:t>
      </w:r>
      <w:proofErr w:type="spellStart"/>
      <w:r w:rsidR="00986CA4" w:rsidRPr="00660A3A">
        <w:rPr>
          <w:rFonts w:ascii="Times New Roman" w:hAnsi="Times New Roman"/>
          <w:sz w:val="24"/>
          <w:szCs w:val="24"/>
        </w:rPr>
        <w:t>mobilitāt</w:t>
      </w:r>
      <w:r w:rsidR="00560452" w:rsidRPr="00660A3A">
        <w:rPr>
          <w:rFonts w:ascii="Times New Roman" w:hAnsi="Times New Roman"/>
          <w:sz w:val="24"/>
          <w:szCs w:val="24"/>
        </w:rPr>
        <w:t>ē</w:t>
      </w:r>
      <w:r w:rsidR="00986CA4" w:rsidRPr="00660A3A">
        <w:rPr>
          <w:rFonts w:ascii="Times New Roman" w:hAnsi="Times New Roman"/>
          <w:sz w:val="24"/>
          <w:szCs w:val="24"/>
        </w:rPr>
        <w:t>s</w:t>
      </w:r>
      <w:proofErr w:type="spellEnd"/>
      <w:r w:rsidR="00645065" w:rsidRPr="00660A3A">
        <w:rPr>
          <w:rFonts w:ascii="Times New Roman" w:hAnsi="Times New Roman"/>
          <w:sz w:val="24"/>
          <w:szCs w:val="24"/>
        </w:rPr>
        <w:t xml:space="preserve">. </w:t>
      </w:r>
    </w:p>
    <w:p w:rsidR="00FE5972" w:rsidRDefault="00A96697" w:rsidP="00FE5972">
      <w:pPr>
        <w:spacing w:after="0" w:line="240" w:lineRule="auto"/>
        <w:ind w:firstLine="720"/>
        <w:jc w:val="both"/>
        <w:rPr>
          <w:rFonts w:ascii="Times New Roman" w:hAnsi="Times New Roman"/>
          <w:sz w:val="24"/>
          <w:szCs w:val="24"/>
        </w:rPr>
      </w:pPr>
      <w:r w:rsidRPr="00660A3A">
        <w:rPr>
          <w:rFonts w:ascii="Times New Roman" w:hAnsi="Times New Roman"/>
          <w:sz w:val="24"/>
          <w:szCs w:val="24"/>
        </w:rPr>
        <w:t>4</w:t>
      </w:r>
      <w:r w:rsidR="001C3080">
        <w:rPr>
          <w:rFonts w:ascii="Times New Roman" w:hAnsi="Times New Roman"/>
          <w:sz w:val="24"/>
          <w:szCs w:val="24"/>
        </w:rPr>
        <w:t>0</w:t>
      </w:r>
      <w:r w:rsidR="00FE5972" w:rsidRPr="00660A3A">
        <w:rPr>
          <w:rFonts w:ascii="Times New Roman" w:hAnsi="Times New Roman"/>
          <w:sz w:val="24"/>
          <w:szCs w:val="24"/>
        </w:rPr>
        <w:t>. Lai sasniegtu nacionālos mērķus augstākās izglītības internacionalizācijai un starptautiskajai konkurētspējai saskaņā ar politikas plānošanas dokumentiem,</w:t>
      </w:r>
      <w:r w:rsidR="00B02125" w:rsidRPr="00660A3A">
        <w:rPr>
          <w:rFonts w:ascii="Times New Roman" w:hAnsi="Times New Roman"/>
          <w:sz w:val="24"/>
          <w:szCs w:val="24"/>
        </w:rPr>
        <w:t xml:space="preserve"> ievērojot, ka</w:t>
      </w:r>
      <w:r w:rsidR="00B02125">
        <w:rPr>
          <w:rFonts w:ascii="Times New Roman" w:hAnsi="Times New Roman"/>
          <w:sz w:val="24"/>
          <w:szCs w:val="24"/>
        </w:rPr>
        <w:t xml:space="preserve"> programma </w:t>
      </w:r>
      <w:r w:rsidR="00B02125" w:rsidRPr="000F3B18">
        <w:rPr>
          <w:rFonts w:ascii="Times New Roman" w:hAnsi="Times New Roman"/>
          <w:i/>
          <w:sz w:val="24"/>
          <w:szCs w:val="24"/>
        </w:rPr>
        <w:t>Er</w:t>
      </w:r>
      <w:r w:rsidR="00B02125" w:rsidRPr="0052003F">
        <w:rPr>
          <w:rFonts w:ascii="Times New Roman" w:hAnsi="Times New Roman"/>
          <w:i/>
          <w:sz w:val="24"/>
          <w:szCs w:val="24"/>
        </w:rPr>
        <w:t>asmus+</w:t>
      </w:r>
      <w:r w:rsidR="00B02125">
        <w:rPr>
          <w:rFonts w:ascii="Times New Roman" w:hAnsi="Times New Roman"/>
          <w:sz w:val="24"/>
          <w:szCs w:val="24"/>
        </w:rPr>
        <w:t xml:space="preserve"> ir nozīmīgākais un faktiski vienīgais instruments minēto mērķu sasniegšanai</w:t>
      </w:r>
      <w:r w:rsidR="009F5E85">
        <w:rPr>
          <w:rFonts w:ascii="Times New Roman" w:hAnsi="Times New Roman"/>
          <w:sz w:val="24"/>
          <w:szCs w:val="24"/>
        </w:rPr>
        <w:t>,</w:t>
      </w:r>
      <w:r w:rsidR="00B02125">
        <w:rPr>
          <w:rFonts w:ascii="Times New Roman" w:hAnsi="Times New Roman"/>
          <w:sz w:val="24"/>
          <w:szCs w:val="24"/>
        </w:rPr>
        <w:t xml:space="preserve"> un </w:t>
      </w:r>
      <w:r w:rsidR="003D51B1">
        <w:rPr>
          <w:rFonts w:ascii="Times New Roman" w:hAnsi="Times New Roman"/>
          <w:sz w:val="24"/>
          <w:szCs w:val="24"/>
        </w:rPr>
        <w:t>lai nodrošinātu vienlīdzīgas iespējas visiem studentiem neatkarīgi no viņu sociālajiem apstākļiem,</w:t>
      </w:r>
      <w:r w:rsidR="00B02125">
        <w:rPr>
          <w:rFonts w:ascii="Times New Roman" w:hAnsi="Times New Roman"/>
          <w:sz w:val="24"/>
          <w:szCs w:val="24"/>
        </w:rPr>
        <w:t xml:space="preserve"> programmas </w:t>
      </w:r>
      <w:r w:rsidR="00B02125" w:rsidRPr="00B02125">
        <w:rPr>
          <w:rFonts w:ascii="Times New Roman" w:hAnsi="Times New Roman"/>
          <w:i/>
          <w:sz w:val="24"/>
          <w:szCs w:val="24"/>
        </w:rPr>
        <w:t>Erasmus+</w:t>
      </w:r>
      <w:r w:rsidR="00B02125">
        <w:rPr>
          <w:rFonts w:ascii="Times New Roman" w:hAnsi="Times New Roman"/>
          <w:sz w:val="24"/>
          <w:szCs w:val="24"/>
        </w:rPr>
        <w:t xml:space="preserve"> ietvaros ir </w:t>
      </w:r>
      <w:r w:rsidR="00FE5972" w:rsidRPr="0052727A">
        <w:rPr>
          <w:rFonts w:ascii="Times New Roman" w:hAnsi="Times New Roman"/>
          <w:sz w:val="24"/>
          <w:szCs w:val="24"/>
        </w:rPr>
        <w:t>nepieciešami papildu atbalsta pasākumi</w:t>
      </w:r>
      <w:r w:rsidR="00FE5972">
        <w:rPr>
          <w:rFonts w:ascii="Times New Roman" w:hAnsi="Times New Roman"/>
          <w:sz w:val="24"/>
          <w:szCs w:val="24"/>
        </w:rPr>
        <w:t xml:space="preserve"> </w:t>
      </w:r>
      <w:r w:rsidR="00DF7836">
        <w:rPr>
          <w:rFonts w:ascii="Times New Roman" w:hAnsi="Times New Roman"/>
          <w:sz w:val="24"/>
          <w:szCs w:val="24"/>
        </w:rPr>
        <w:t xml:space="preserve">valsts </w:t>
      </w:r>
      <w:r w:rsidR="00FE5972">
        <w:rPr>
          <w:rFonts w:ascii="Times New Roman" w:hAnsi="Times New Roman"/>
          <w:sz w:val="24"/>
          <w:szCs w:val="24"/>
        </w:rPr>
        <w:t>līdzfinansējuma veidā</w:t>
      </w:r>
      <w:r w:rsidR="00DF7836">
        <w:rPr>
          <w:rFonts w:ascii="Times New Roman" w:hAnsi="Times New Roman"/>
          <w:sz w:val="24"/>
          <w:szCs w:val="24"/>
        </w:rPr>
        <w:t>, nodrošinot</w:t>
      </w:r>
      <w:r w:rsidR="00B02125">
        <w:rPr>
          <w:rFonts w:ascii="Times New Roman" w:hAnsi="Times New Roman"/>
          <w:sz w:val="24"/>
          <w:szCs w:val="24"/>
        </w:rPr>
        <w:t xml:space="preserve"> gan studentu, gan personāla</w:t>
      </w:r>
      <w:r w:rsidR="00DF7836">
        <w:rPr>
          <w:rFonts w:ascii="Times New Roman" w:hAnsi="Times New Roman"/>
          <w:sz w:val="24"/>
          <w:szCs w:val="24"/>
        </w:rPr>
        <w:t xml:space="preserve"> vidējās stipendijas apmēru</w:t>
      </w:r>
      <w:r w:rsidR="003D51B1">
        <w:rPr>
          <w:rFonts w:ascii="Times New Roman" w:hAnsi="Times New Roman"/>
          <w:sz w:val="24"/>
          <w:szCs w:val="24"/>
        </w:rPr>
        <w:t xml:space="preserve"> vismaz</w:t>
      </w:r>
      <w:r w:rsidR="00DF7836">
        <w:rPr>
          <w:rFonts w:ascii="Times New Roman" w:hAnsi="Times New Roman"/>
          <w:sz w:val="24"/>
          <w:szCs w:val="24"/>
        </w:rPr>
        <w:t xml:space="preserve"> līdzšinējā </w:t>
      </w:r>
      <w:r w:rsidR="00B02125">
        <w:rPr>
          <w:rFonts w:ascii="Times New Roman" w:hAnsi="Times New Roman"/>
          <w:sz w:val="24"/>
          <w:szCs w:val="24"/>
        </w:rPr>
        <w:t>līmenī</w:t>
      </w:r>
      <w:r w:rsidR="00FE5972" w:rsidRPr="0052003F">
        <w:rPr>
          <w:rFonts w:ascii="Times New Roman" w:hAnsi="Times New Roman"/>
          <w:sz w:val="24"/>
          <w:szCs w:val="24"/>
        </w:rPr>
        <w:t>.</w:t>
      </w:r>
    </w:p>
    <w:p w:rsidR="00EA5C26" w:rsidRPr="00660A3A" w:rsidRDefault="00DF4314" w:rsidP="00FE5972">
      <w:pPr>
        <w:spacing w:after="0" w:line="240" w:lineRule="auto"/>
        <w:ind w:firstLine="720"/>
        <w:jc w:val="both"/>
        <w:rPr>
          <w:rFonts w:ascii="Times New Roman" w:eastAsiaTheme="minorHAnsi" w:hAnsi="Times New Roman"/>
          <w:sz w:val="24"/>
          <w:szCs w:val="24"/>
        </w:rPr>
      </w:pPr>
      <w:r w:rsidRPr="00660A3A">
        <w:rPr>
          <w:rFonts w:ascii="Times New Roman" w:hAnsi="Times New Roman"/>
          <w:sz w:val="24"/>
          <w:szCs w:val="24"/>
        </w:rPr>
        <w:t>4</w:t>
      </w:r>
      <w:r w:rsidR="001C3080">
        <w:rPr>
          <w:rFonts w:ascii="Times New Roman" w:hAnsi="Times New Roman"/>
          <w:sz w:val="24"/>
          <w:szCs w:val="24"/>
        </w:rPr>
        <w:t>1</w:t>
      </w:r>
      <w:r w:rsidR="00FE5972" w:rsidRPr="00660A3A">
        <w:rPr>
          <w:rFonts w:ascii="Times New Roman" w:hAnsi="Times New Roman"/>
          <w:sz w:val="24"/>
          <w:szCs w:val="24"/>
        </w:rPr>
        <w:t xml:space="preserve">. </w:t>
      </w:r>
      <w:r w:rsidR="00166519" w:rsidRPr="00660A3A">
        <w:rPr>
          <w:rFonts w:ascii="Times New Roman" w:eastAsiaTheme="minorHAnsi" w:hAnsi="Times New Roman"/>
          <w:sz w:val="24"/>
          <w:szCs w:val="24"/>
        </w:rPr>
        <w:t xml:space="preserve">Komisijas </w:t>
      </w:r>
      <w:r w:rsidR="005B27BB" w:rsidRPr="00660A3A">
        <w:rPr>
          <w:rFonts w:ascii="Times New Roman" w:eastAsiaTheme="minorHAnsi" w:hAnsi="Times New Roman"/>
          <w:sz w:val="24"/>
          <w:szCs w:val="24"/>
        </w:rPr>
        <w:t>nostāja</w:t>
      </w:r>
      <w:r w:rsidR="00166519" w:rsidRPr="00660A3A">
        <w:rPr>
          <w:rFonts w:ascii="Times New Roman" w:eastAsiaTheme="minorHAnsi" w:hAnsi="Times New Roman"/>
          <w:sz w:val="24"/>
          <w:szCs w:val="24"/>
        </w:rPr>
        <w:t xml:space="preserve"> ir</w:t>
      </w:r>
      <w:r w:rsidR="005B27BB" w:rsidRPr="00660A3A">
        <w:rPr>
          <w:rFonts w:ascii="Times New Roman" w:eastAsiaTheme="minorHAnsi" w:hAnsi="Times New Roman"/>
          <w:sz w:val="24"/>
          <w:szCs w:val="24"/>
        </w:rPr>
        <w:t>, ka mobilitātes (gan studentu, gan personāla) aktivitātēm vismaz 20% finansējumam jābūt valsts līdzfinansējumam</w:t>
      </w:r>
      <w:r w:rsidR="00924944" w:rsidRPr="00660A3A">
        <w:rPr>
          <w:rFonts w:ascii="Times New Roman" w:eastAsiaTheme="minorHAnsi" w:hAnsi="Times New Roman"/>
          <w:sz w:val="24"/>
          <w:szCs w:val="24"/>
        </w:rPr>
        <w:t xml:space="preserve"> (skat. </w:t>
      </w:r>
      <w:r w:rsidR="004857D7" w:rsidRPr="00660A3A">
        <w:rPr>
          <w:rFonts w:ascii="Times New Roman" w:hAnsi="Times New Roman"/>
          <w:iCs/>
          <w:sz w:val="24"/>
          <w:szCs w:val="24"/>
        </w:rPr>
        <w:t xml:space="preserve">Komisijas 2014.gada </w:t>
      </w:r>
      <w:r w:rsidR="004857D7" w:rsidRPr="00660A3A">
        <w:rPr>
          <w:rFonts w:ascii="Times New Roman" w:eastAsiaTheme="minorHAnsi" w:hAnsi="Times New Roman"/>
          <w:sz w:val="24"/>
          <w:szCs w:val="24"/>
        </w:rPr>
        <w:t>d</w:t>
      </w:r>
      <w:r w:rsidR="00924944" w:rsidRPr="00660A3A">
        <w:rPr>
          <w:rFonts w:ascii="Times New Roman" w:eastAsiaTheme="minorHAnsi" w:hAnsi="Times New Roman"/>
          <w:sz w:val="24"/>
          <w:szCs w:val="24"/>
        </w:rPr>
        <w:t>arba programmas 6.2.1, 6.2.2.sadaļas un 1.pielikuma r</w:t>
      </w:r>
      <w:r w:rsidR="00F67411" w:rsidRPr="00660A3A">
        <w:rPr>
          <w:rFonts w:ascii="Times New Roman" w:eastAsiaTheme="minorHAnsi" w:hAnsi="Times New Roman"/>
          <w:sz w:val="24"/>
          <w:szCs w:val="24"/>
        </w:rPr>
        <w:t>ādītāju (rindu) Nr.1.00 un Nr.1.05)</w:t>
      </w:r>
      <w:r w:rsidR="002F2F17" w:rsidRPr="00660A3A">
        <w:rPr>
          <w:rFonts w:ascii="Times New Roman" w:eastAsiaTheme="minorHAnsi" w:hAnsi="Times New Roman"/>
          <w:sz w:val="24"/>
          <w:szCs w:val="24"/>
        </w:rPr>
        <w:t xml:space="preserve">, taču ņemot vērā informatīvā ziņojuma tekstā </w:t>
      </w:r>
      <w:r w:rsidR="00D4792C" w:rsidRPr="00660A3A">
        <w:rPr>
          <w:rFonts w:ascii="Times New Roman" w:eastAsiaTheme="minorHAnsi" w:hAnsi="Times New Roman"/>
          <w:sz w:val="24"/>
          <w:szCs w:val="24"/>
        </w:rPr>
        <w:t xml:space="preserve">iepriekš </w:t>
      </w:r>
      <w:r w:rsidR="002F2F17" w:rsidRPr="00660A3A">
        <w:rPr>
          <w:rFonts w:ascii="Times New Roman" w:eastAsiaTheme="minorHAnsi" w:hAnsi="Times New Roman"/>
          <w:sz w:val="24"/>
          <w:szCs w:val="24"/>
        </w:rPr>
        <w:t>izklāstītos faktorus – līdzšinējo</w:t>
      </w:r>
      <w:r w:rsidR="00560452" w:rsidRPr="00660A3A">
        <w:rPr>
          <w:rFonts w:ascii="Times New Roman" w:eastAsiaTheme="minorHAnsi" w:hAnsi="Times New Roman"/>
          <w:sz w:val="24"/>
          <w:szCs w:val="24"/>
        </w:rPr>
        <w:t xml:space="preserve"> nodrošināto stipendiju apmēru, tai skaitā sadalījumā pa valstu grupām, </w:t>
      </w:r>
      <w:r w:rsidR="002F2F17" w:rsidRPr="00660A3A">
        <w:rPr>
          <w:rFonts w:ascii="Times New Roman" w:eastAsiaTheme="minorHAnsi" w:hAnsi="Times New Roman"/>
          <w:sz w:val="24"/>
          <w:szCs w:val="24"/>
        </w:rPr>
        <w:t>Komisijas piešķirtās stipendijas apmēru, izdevumi, kas nevar tikt segti no Komisijas piešķirtā</w:t>
      </w:r>
      <w:r w:rsidRPr="00660A3A">
        <w:rPr>
          <w:rFonts w:ascii="Times New Roman" w:eastAsiaTheme="minorHAnsi" w:hAnsi="Times New Roman"/>
          <w:sz w:val="24"/>
          <w:szCs w:val="24"/>
        </w:rPr>
        <w:t xml:space="preserve"> granta (ES finansējuma)</w:t>
      </w:r>
      <w:r w:rsidR="00560452" w:rsidRPr="00660A3A">
        <w:rPr>
          <w:rFonts w:ascii="Times New Roman" w:eastAsiaTheme="minorHAnsi" w:hAnsi="Times New Roman"/>
          <w:sz w:val="24"/>
          <w:szCs w:val="24"/>
        </w:rPr>
        <w:t xml:space="preserve"> apmēru</w:t>
      </w:r>
      <w:r w:rsidR="002F2F17" w:rsidRPr="00660A3A">
        <w:rPr>
          <w:rFonts w:ascii="Times New Roman" w:eastAsiaTheme="minorHAnsi" w:hAnsi="Times New Roman"/>
          <w:sz w:val="24"/>
          <w:szCs w:val="24"/>
        </w:rPr>
        <w:t>, dzīves dārdzības pieaugums ES valstīs, vienlīdzīgu iespēj</w:t>
      </w:r>
      <w:r w:rsidR="00D4792C" w:rsidRPr="00660A3A">
        <w:rPr>
          <w:rFonts w:ascii="Times New Roman" w:eastAsiaTheme="minorHAnsi" w:hAnsi="Times New Roman"/>
          <w:sz w:val="24"/>
          <w:szCs w:val="24"/>
        </w:rPr>
        <w:t>u</w:t>
      </w:r>
      <w:r w:rsidR="002F2F17" w:rsidRPr="00660A3A">
        <w:rPr>
          <w:rFonts w:ascii="Times New Roman" w:eastAsiaTheme="minorHAnsi" w:hAnsi="Times New Roman"/>
          <w:sz w:val="24"/>
          <w:szCs w:val="24"/>
        </w:rPr>
        <w:t xml:space="preserve"> nodrošināšana visiem studentiem, līdzšinējās</w:t>
      </w:r>
      <w:r w:rsidR="00986CA4" w:rsidRPr="00660A3A">
        <w:rPr>
          <w:rFonts w:ascii="Times New Roman" w:eastAsiaTheme="minorHAnsi" w:hAnsi="Times New Roman"/>
          <w:sz w:val="24"/>
          <w:szCs w:val="24"/>
        </w:rPr>
        <w:t xml:space="preserve"> studentu</w:t>
      </w:r>
      <w:r w:rsidR="002F2F17" w:rsidRPr="00660A3A">
        <w:rPr>
          <w:rFonts w:ascii="Times New Roman" w:eastAsiaTheme="minorHAnsi" w:hAnsi="Times New Roman"/>
          <w:sz w:val="24"/>
          <w:szCs w:val="24"/>
        </w:rPr>
        <w:t xml:space="preserve"> mobilitātes sadalījumā pa valstīm, – valsts </w:t>
      </w:r>
      <w:r w:rsidR="00C54EB4" w:rsidRPr="00660A3A">
        <w:rPr>
          <w:rFonts w:ascii="Times New Roman" w:eastAsiaTheme="minorHAnsi" w:hAnsi="Times New Roman"/>
          <w:sz w:val="24"/>
          <w:szCs w:val="24"/>
        </w:rPr>
        <w:t>līdzfinansējums 20% apmērā nav pietiekams, lai</w:t>
      </w:r>
      <w:r w:rsidR="00986CA4" w:rsidRPr="00660A3A">
        <w:rPr>
          <w:rFonts w:ascii="Times New Roman" w:eastAsiaTheme="minorHAnsi" w:hAnsi="Times New Roman"/>
          <w:sz w:val="24"/>
          <w:szCs w:val="24"/>
        </w:rPr>
        <w:t xml:space="preserve"> nodrošinātu studentu </w:t>
      </w:r>
      <w:proofErr w:type="spellStart"/>
      <w:r w:rsidR="00986CA4" w:rsidRPr="00660A3A">
        <w:rPr>
          <w:rFonts w:ascii="Times New Roman" w:eastAsiaTheme="minorHAnsi" w:hAnsi="Times New Roman"/>
          <w:sz w:val="24"/>
          <w:szCs w:val="24"/>
        </w:rPr>
        <w:t>mobilitā</w:t>
      </w:r>
      <w:r w:rsidR="00C54EB4" w:rsidRPr="00660A3A">
        <w:rPr>
          <w:rFonts w:ascii="Times New Roman" w:eastAsiaTheme="minorHAnsi" w:hAnsi="Times New Roman"/>
          <w:sz w:val="24"/>
          <w:szCs w:val="24"/>
        </w:rPr>
        <w:t>šu</w:t>
      </w:r>
      <w:proofErr w:type="spellEnd"/>
      <w:r w:rsidR="00C54EB4" w:rsidRPr="00660A3A">
        <w:rPr>
          <w:rFonts w:ascii="Times New Roman" w:eastAsiaTheme="minorHAnsi" w:hAnsi="Times New Roman"/>
          <w:sz w:val="24"/>
          <w:szCs w:val="24"/>
        </w:rPr>
        <w:t xml:space="preserve"> skaitu vismaz iepriekšējo gadu līmenī, </w:t>
      </w:r>
      <w:r w:rsidR="00D4792C" w:rsidRPr="00660A3A">
        <w:rPr>
          <w:rFonts w:ascii="Times New Roman" w:eastAsiaTheme="minorHAnsi" w:hAnsi="Times New Roman"/>
          <w:sz w:val="24"/>
          <w:szCs w:val="24"/>
        </w:rPr>
        <w:t>tādē</w:t>
      </w:r>
      <w:r w:rsidRPr="00660A3A">
        <w:rPr>
          <w:rFonts w:ascii="Times New Roman" w:eastAsiaTheme="minorHAnsi" w:hAnsi="Times New Roman"/>
          <w:sz w:val="24"/>
          <w:szCs w:val="24"/>
        </w:rPr>
        <w:t xml:space="preserve">jādi </w:t>
      </w:r>
      <w:r w:rsidR="00C54EB4" w:rsidRPr="00660A3A">
        <w:rPr>
          <w:rFonts w:ascii="Times New Roman" w:eastAsiaTheme="minorHAnsi" w:hAnsi="Times New Roman"/>
          <w:sz w:val="24"/>
          <w:szCs w:val="24"/>
        </w:rPr>
        <w:t xml:space="preserve">apdraudot Izglītības attīstības pamatnostādnēs 2014-2020 noteikto rādītāju sasniegšanu. </w:t>
      </w:r>
    </w:p>
    <w:p w:rsidR="00F2785C" w:rsidRPr="00596B25" w:rsidRDefault="00DF4314" w:rsidP="00F2785C">
      <w:pPr>
        <w:spacing w:after="0" w:line="240" w:lineRule="auto"/>
        <w:ind w:firstLine="720"/>
        <w:jc w:val="both"/>
        <w:rPr>
          <w:rFonts w:ascii="Times New Roman" w:hAnsi="Times New Roman"/>
          <w:sz w:val="24"/>
          <w:szCs w:val="24"/>
        </w:rPr>
      </w:pPr>
      <w:r w:rsidRPr="00092244">
        <w:rPr>
          <w:rFonts w:ascii="Times New Roman" w:eastAsiaTheme="minorHAnsi" w:hAnsi="Times New Roman"/>
          <w:sz w:val="24"/>
          <w:szCs w:val="24"/>
        </w:rPr>
        <w:t>4</w:t>
      </w:r>
      <w:r w:rsidR="001C3080">
        <w:rPr>
          <w:rFonts w:ascii="Times New Roman" w:eastAsiaTheme="minorHAnsi" w:hAnsi="Times New Roman"/>
          <w:sz w:val="24"/>
          <w:szCs w:val="24"/>
        </w:rPr>
        <w:t>2</w:t>
      </w:r>
      <w:r w:rsidR="00E16455" w:rsidRPr="00092244">
        <w:rPr>
          <w:rFonts w:ascii="Times New Roman" w:eastAsiaTheme="minorHAnsi" w:hAnsi="Times New Roman"/>
          <w:sz w:val="24"/>
          <w:szCs w:val="24"/>
        </w:rPr>
        <w:t xml:space="preserve">. </w:t>
      </w:r>
      <w:r w:rsidR="00A96697" w:rsidRPr="00092244">
        <w:rPr>
          <w:rFonts w:ascii="Times New Roman" w:eastAsiaTheme="minorHAnsi" w:hAnsi="Times New Roman"/>
          <w:sz w:val="24"/>
          <w:szCs w:val="24"/>
        </w:rPr>
        <w:t xml:space="preserve">Lai nodrošinātu studentu </w:t>
      </w:r>
      <w:proofErr w:type="spellStart"/>
      <w:r w:rsidR="00A96697" w:rsidRPr="00092244">
        <w:rPr>
          <w:rFonts w:ascii="Times New Roman" w:eastAsiaTheme="minorHAnsi" w:hAnsi="Times New Roman"/>
          <w:sz w:val="24"/>
          <w:szCs w:val="24"/>
        </w:rPr>
        <w:t>mobilitāšu</w:t>
      </w:r>
      <w:proofErr w:type="spellEnd"/>
      <w:r w:rsidR="00A96697" w:rsidRPr="00092244">
        <w:rPr>
          <w:rFonts w:ascii="Times New Roman" w:eastAsiaTheme="minorHAnsi" w:hAnsi="Times New Roman"/>
          <w:sz w:val="24"/>
          <w:szCs w:val="24"/>
        </w:rPr>
        <w:t xml:space="preserve"> skaitu vismaz iepriekšējo gadu līmenī, v</w:t>
      </w:r>
      <w:r w:rsidR="00DF7836" w:rsidRPr="00092244">
        <w:rPr>
          <w:rFonts w:ascii="Times New Roman" w:eastAsiaTheme="minorHAnsi" w:hAnsi="Times New Roman"/>
          <w:sz w:val="24"/>
          <w:szCs w:val="24"/>
        </w:rPr>
        <w:t xml:space="preserve">alsts </w:t>
      </w:r>
      <w:r w:rsidR="00FE5972" w:rsidRPr="00092244">
        <w:rPr>
          <w:rFonts w:ascii="Times New Roman" w:eastAsiaTheme="minorHAnsi" w:hAnsi="Times New Roman"/>
          <w:sz w:val="24"/>
          <w:szCs w:val="24"/>
        </w:rPr>
        <w:t xml:space="preserve">līdzfinansējums </w:t>
      </w:r>
      <w:r w:rsidR="000E078A" w:rsidRPr="00092244">
        <w:rPr>
          <w:rFonts w:ascii="Times New Roman" w:eastAsiaTheme="minorHAnsi" w:hAnsi="Times New Roman"/>
          <w:sz w:val="24"/>
          <w:szCs w:val="24"/>
        </w:rPr>
        <w:t>viena studenta</w:t>
      </w:r>
      <w:r w:rsidR="00FE5972" w:rsidRPr="00092244">
        <w:rPr>
          <w:rFonts w:ascii="Times New Roman" w:eastAsiaTheme="minorHAnsi" w:hAnsi="Times New Roman"/>
          <w:sz w:val="24"/>
          <w:szCs w:val="24"/>
        </w:rPr>
        <w:t xml:space="preserve"> mobilitāt</w:t>
      </w:r>
      <w:r w:rsidR="000E078A" w:rsidRPr="00092244">
        <w:rPr>
          <w:rFonts w:ascii="Times New Roman" w:eastAsiaTheme="minorHAnsi" w:hAnsi="Times New Roman"/>
          <w:sz w:val="24"/>
          <w:szCs w:val="24"/>
        </w:rPr>
        <w:t>ei</w:t>
      </w:r>
      <w:r w:rsidR="00FE5972" w:rsidRPr="00092244">
        <w:rPr>
          <w:rFonts w:ascii="Times New Roman" w:eastAsiaTheme="minorHAnsi" w:hAnsi="Times New Roman"/>
          <w:sz w:val="24"/>
          <w:szCs w:val="24"/>
        </w:rPr>
        <w:t xml:space="preserve"> </w:t>
      </w:r>
      <w:r w:rsidR="000E078A" w:rsidRPr="00092244">
        <w:rPr>
          <w:rFonts w:ascii="Times New Roman" w:eastAsiaTheme="minorHAnsi" w:hAnsi="Times New Roman"/>
          <w:sz w:val="24"/>
          <w:szCs w:val="24"/>
        </w:rPr>
        <w:t>ir</w:t>
      </w:r>
      <w:r w:rsidR="00FE5972" w:rsidRPr="00092244">
        <w:rPr>
          <w:rFonts w:ascii="Times New Roman" w:eastAsiaTheme="minorHAnsi" w:hAnsi="Times New Roman"/>
          <w:sz w:val="24"/>
          <w:szCs w:val="24"/>
        </w:rPr>
        <w:t xml:space="preserve"> nepieciešams vismaz</w:t>
      </w:r>
      <w:r w:rsidR="00B02125" w:rsidRPr="00092244">
        <w:rPr>
          <w:rFonts w:ascii="Times New Roman" w:eastAsiaTheme="minorHAnsi" w:hAnsi="Times New Roman"/>
          <w:sz w:val="24"/>
          <w:szCs w:val="24"/>
        </w:rPr>
        <w:t xml:space="preserve"> 100 līdz </w:t>
      </w:r>
      <w:r w:rsidR="00891D52" w:rsidRPr="00596B25">
        <w:rPr>
          <w:rFonts w:ascii="Times New Roman" w:eastAsiaTheme="minorHAnsi" w:hAnsi="Times New Roman"/>
          <w:sz w:val="24"/>
          <w:szCs w:val="24"/>
        </w:rPr>
        <w:t>4</w:t>
      </w:r>
      <w:r w:rsidR="00B02125" w:rsidRPr="00596B25">
        <w:rPr>
          <w:rFonts w:ascii="Times New Roman" w:eastAsiaTheme="minorHAnsi" w:hAnsi="Times New Roman"/>
          <w:sz w:val="24"/>
          <w:szCs w:val="24"/>
        </w:rPr>
        <w:t>00 EUR/mēnesī atkarībā no valsts, uz kuru mobilitāte tiek veikta</w:t>
      </w:r>
      <w:r w:rsidR="00A96697" w:rsidRPr="00596B25">
        <w:rPr>
          <w:rFonts w:ascii="Times New Roman" w:eastAsiaTheme="minorHAnsi" w:hAnsi="Times New Roman"/>
          <w:sz w:val="24"/>
          <w:szCs w:val="24"/>
        </w:rPr>
        <w:t xml:space="preserve">. Pieņemot, ka vidēji gadā tiek nodrošinātas 1960 studentu mobilitātes, kuru ilgums ir 6 mēneši, un </w:t>
      </w:r>
      <w:proofErr w:type="spellStart"/>
      <w:r w:rsidR="00A96697" w:rsidRPr="00596B25">
        <w:rPr>
          <w:rFonts w:ascii="Times New Roman" w:hAnsi="Times New Roman"/>
          <w:sz w:val="24"/>
          <w:szCs w:val="24"/>
        </w:rPr>
        <w:t>mobilitāšu</w:t>
      </w:r>
      <w:proofErr w:type="spellEnd"/>
      <w:r w:rsidR="00A96697" w:rsidRPr="00596B25">
        <w:rPr>
          <w:rFonts w:ascii="Times New Roman" w:hAnsi="Times New Roman"/>
          <w:sz w:val="24"/>
          <w:szCs w:val="24"/>
        </w:rPr>
        <w:t xml:space="preserve"> procentuālais sadalījums pa valstu grupām būs šāds: I grupa – 40% studentu </w:t>
      </w:r>
      <w:proofErr w:type="spellStart"/>
      <w:r w:rsidR="00A96697" w:rsidRPr="00596B25">
        <w:rPr>
          <w:rFonts w:ascii="Times New Roman" w:hAnsi="Times New Roman"/>
          <w:sz w:val="24"/>
          <w:szCs w:val="24"/>
        </w:rPr>
        <w:t>mobilitāšu</w:t>
      </w:r>
      <w:proofErr w:type="spellEnd"/>
      <w:r w:rsidR="00A96697" w:rsidRPr="00596B25">
        <w:rPr>
          <w:rFonts w:ascii="Times New Roman" w:hAnsi="Times New Roman"/>
          <w:sz w:val="24"/>
          <w:szCs w:val="24"/>
        </w:rPr>
        <w:t xml:space="preserve">, II grupa – 45% studentu </w:t>
      </w:r>
      <w:proofErr w:type="spellStart"/>
      <w:r w:rsidR="00A96697" w:rsidRPr="00596B25">
        <w:rPr>
          <w:rFonts w:ascii="Times New Roman" w:hAnsi="Times New Roman"/>
          <w:sz w:val="24"/>
          <w:szCs w:val="24"/>
        </w:rPr>
        <w:t>mobilitāšu</w:t>
      </w:r>
      <w:proofErr w:type="spellEnd"/>
      <w:r w:rsidR="00A96697" w:rsidRPr="00596B25">
        <w:rPr>
          <w:rFonts w:ascii="Times New Roman" w:hAnsi="Times New Roman"/>
          <w:sz w:val="24"/>
          <w:szCs w:val="24"/>
        </w:rPr>
        <w:t xml:space="preserve"> un III grupa – 15% studentu</w:t>
      </w:r>
      <w:r w:rsidR="00D4792C" w:rsidRPr="00596B25">
        <w:rPr>
          <w:rFonts w:ascii="Times New Roman" w:hAnsi="Times New Roman"/>
          <w:sz w:val="24"/>
          <w:szCs w:val="24"/>
        </w:rPr>
        <w:t xml:space="preserve"> </w:t>
      </w:r>
      <w:proofErr w:type="spellStart"/>
      <w:r w:rsidR="00D4792C" w:rsidRPr="00596B25">
        <w:rPr>
          <w:rFonts w:ascii="Times New Roman" w:hAnsi="Times New Roman"/>
          <w:sz w:val="24"/>
          <w:szCs w:val="24"/>
        </w:rPr>
        <w:t>mobilitāšu</w:t>
      </w:r>
      <w:proofErr w:type="spellEnd"/>
      <w:r w:rsidR="00D4792C" w:rsidRPr="00596B25">
        <w:rPr>
          <w:rFonts w:ascii="Times New Roman" w:hAnsi="Times New Roman"/>
          <w:sz w:val="24"/>
          <w:szCs w:val="24"/>
        </w:rPr>
        <w:t xml:space="preserve"> (pieņēmums pamatoja</w:t>
      </w:r>
      <w:r w:rsidR="00A96697" w:rsidRPr="00596B25">
        <w:rPr>
          <w:rFonts w:ascii="Times New Roman" w:hAnsi="Times New Roman"/>
          <w:sz w:val="24"/>
          <w:szCs w:val="24"/>
        </w:rPr>
        <w:t>s uz līdzšinējo pieredzi un tendencēm</w:t>
      </w:r>
      <w:r w:rsidR="00F2785C" w:rsidRPr="00596B25">
        <w:rPr>
          <w:rFonts w:ascii="Times New Roman" w:hAnsi="Times New Roman"/>
          <w:sz w:val="24"/>
          <w:szCs w:val="24"/>
        </w:rPr>
        <w:t>, aprēķins informatīvā ziņojuma 2.pielikumā</w:t>
      </w:r>
      <w:r w:rsidR="00A96697" w:rsidRPr="00596B25">
        <w:rPr>
          <w:rFonts w:ascii="Times New Roman" w:hAnsi="Times New Roman"/>
          <w:sz w:val="24"/>
          <w:szCs w:val="24"/>
        </w:rPr>
        <w:t>)</w:t>
      </w:r>
      <w:r w:rsidR="00A96697" w:rsidRPr="00596B25">
        <w:rPr>
          <w:rFonts w:ascii="Times New Roman" w:eastAsiaTheme="minorHAnsi" w:hAnsi="Times New Roman"/>
          <w:sz w:val="24"/>
          <w:szCs w:val="24"/>
        </w:rPr>
        <w:t xml:space="preserve">, </w:t>
      </w:r>
      <w:r w:rsidR="00585BC9" w:rsidRPr="00596B25">
        <w:rPr>
          <w:rFonts w:ascii="Times New Roman" w:eastAsiaTheme="minorHAnsi" w:hAnsi="Times New Roman"/>
          <w:sz w:val="24"/>
          <w:szCs w:val="24"/>
        </w:rPr>
        <w:t>kopēj</w:t>
      </w:r>
      <w:r w:rsidR="00A96697" w:rsidRPr="00596B25">
        <w:rPr>
          <w:rFonts w:ascii="Times New Roman" w:eastAsiaTheme="minorHAnsi" w:hAnsi="Times New Roman"/>
          <w:sz w:val="24"/>
          <w:szCs w:val="24"/>
        </w:rPr>
        <w:t>ais</w:t>
      </w:r>
      <w:r w:rsidR="00585BC9" w:rsidRPr="00596B25">
        <w:rPr>
          <w:rFonts w:ascii="Times New Roman" w:eastAsiaTheme="minorHAnsi" w:hAnsi="Times New Roman"/>
          <w:sz w:val="24"/>
          <w:szCs w:val="24"/>
        </w:rPr>
        <w:t xml:space="preserve"> nepieciešam</w:t>
      </w:r>
      <w:r w:rsidR="00A96697" w:rsidRPr="00596B25">
        <w:rPr>
          <w:rFonts w:ascii="Times New Roman" w:eastAsiaTheme="minorHAnsi" w:hAnsi="Times New Roman"/>
          <w:sz w:val="24"/>
          <w:szCs w:val="24"/>
        </w:rPr>
        <w:t>ais</w:t>
      </w:r>
      <w:r w:rsidR="00585BC9" w:rsidRPr="00596B25">
        <w:rPr>
          <w:rFonts w:ascii="Times New Roman" w:eastAsiaTheme="minorHAnsi" w:hAnsi="Times New Roman"/>
          <w:sz w:val="24"/>
          <w:szCs w:val="24"/>
        </w:rPr>
        <w:t xml:space="preserve"> finansējum</w:t>
      </w:r>
      <w:r w:rsidR="00A96697" w:rsidRPr="00596B25">
        <w:rPr>
          <w:rFonts w:ascii="Times New Roman" w:eastAsiaTheme="minorHAnsi" w:hAnsi="Times New Roman"/>
          <w:sz w:val="24"/>
          <w:szCs w:val="24"/>
        </w:rPr>
        <w:t>s</w:t>
      </w:r>
      <w:r w:rsidR="00585BC9" w:rsidRPr="00596B25">
        <w:rPr>
          <w:rFonts w:ascii="Times New Roman" w:eastAsiaTheme="minorHAnsi" w:hAnsi="Times New Roman"/>
          <w:sz w:val="24"/>
          <w:szCs w:val="24"/>
        </w:rPr>
        <w:t xml:space="preserve"> studentu </w:t>
      </w:r>
      <w:proofErr w:type="spellStart"/>
      <w:r w:rsidR="00585BC9" w:rsidRPr="00596B25">
        <w:rPr>
          <w:rFonts w:ascii="Times New Roman" w:eastAsiaTheme="minorHAnsi" w:hAnsi="Times New Roman"/>
          <w:sz w:val="24"/>
          <w:szCs w:val="24"/>
        </w:rPr>
        <w:t>mobilitāšu</w:t>
      </w:r>
      <w:proofErr w:type="spellEnd"/>
      <w:r w:rsidR="00585BC9" w:rsidRPr="00596B25">
        <w:rPr>
          <w:rFonts w:ascii="Times New Roman" w:eastAsiaTheme="minorHAnsi" w:hAnsi="Times New Roman"/>
          <w:sz w:val="24"/>
          <w:szCs w:val="24"/>
        </w:rPr>
        <w:t xml:space="preserve"> nodrošināšanai ir</w:t>
      </w:r>
      <w:r w:rsidR="00EA5C26" w:rsidRPr="00596B25">
        <w:rPr>
          <w:rFonts w:ascii="Times New Roman" w:eastAsiaTheme="minorHAnsi" w:hAnsi="Times New Roman"/>
          <w:sz w:val="24"/>
          <w:szCs w:val="24"/>
        </w:rPr>
        <w:t xml:space="preserve"> </w:t>
      </w:r>
      <w:r w:rsidR="00F2785C" w:rsidRPr="00596B25">
        <w:rPr>
          <w:rFonts w:ascii="Times New Roman" w:hAnsi="Times New Roman"/>
          <w:sz w:val="24"/>
          <w:szCs w:val="24"/>
        </w:rPr>
        <w:t xml:space="preserve">2 851 800 EUR jeb </w:t>
      </w:r>
      <w:r w:rsidR="00A026EF" w:rsidRPr="00596B25">
        <w:rPr>
          <w:rFonts w:ascii="Times New Roman" w:hAnsi="Times New Roman"/>
          <w:sz w:val="24"/>
          <w:szCs w:val="24"/>
        </w:rPr>
        <w:t xml:space="preserve">vidēji </w:t>
      </w:r>
      <w:r w:rsidR="00585BC9" w:rsidRPr="00596B25">
        <w:rPr>
          <w:rFonts w:ascii="Times New Roman" w:eastAsiaTheme="minorHAnsi" w:hAnsi="Times New Roman"/>
          <w:sz w:val="24"/>
          <w:szCs w:val="24"/>
        </w:rPr>
        <w:t>3</w:t>
      </w:r>
      <w:r w:rsidR="00891D52" w:rsidRPr="00596B25">
        <w:rPr>
          <w:rFonts w:ascii="Times New Roman" w:eastAsiaTheme="minorHAnsi" w:hAnsi="Times New Roman"/>
          <w:sz w:val="24"/>
          <w:szCs w:val="24"/>
        </w:rPr>
        <w:t>5</w:t>
      </w:r>
      <w:r w:rsidR="00585BC9" w:rsidRPr="00596B25">
        <w:rPr>
          <w:rFonts w:ascii="Times New Roman" w:eastAsiaTheme="minorHAnsi" w:hAnsi="Times New Roman"/>
          <w:sz w:val="24"/>
          <w:szCs w:val="24"/>
        </w:rPr>
        <w:t>%</w:t>
      </w:r>
      <w:r w:rsidR="00F2785C" w:rsidRPr="00596B25">
        <w:rPr>
          <w:rFonts w:ascii="Times New Roman" w:eastAsiaTheme="minorHAnsi" w:hAnsi="Times New Roman"/>
          <w:sz w:val="24"/>
          <w:szCs w:val="24"/>
        </w:rPr>
        <w:t xml:space="preserve"> </w:t>
      </w:r>
      <w:r w:rsidR="00A24B28" w:rsidRPr="00596B25">
        <w:rPr>
          <w:rFonts w:ascii="Times New Roman" w:eastAsiaTheme="minorHAnsi" w:hAnsi="Times New Roman"/>
          <w:sz w:val="24"/>
          <w:szCs w:val="24"/>
        </w:rPr>
        <w:t>no kopējā</w:t>
      </w:r>
      <w:r w:rsidR="00F646C7" w:rsidRPr="00596B25">
        <w:rPr>
          <w:rFonts w:ascii="Times New Roman" w:eastAsiaTheme="minorHAnsi" w:hAnsi="Times New Roman"/>
          <w:sz w:val="24"/>
          <w:szCs w:val="24"/>
        </w:rPr>
        <w:t xml:space="preserve"> studentu </w:t>
      </w:r>
      <w:proofErr w:type="spellStart"/>
      <w:r w:rsidR="00F646C7" w:rsidRPr="00596B25">
        <w:rPr>
          <w:rFonts w:ascii="Times New Roman" w:eastAsiaTheme="minorHAnsi" w:hAnsi="Times New Roman"/>
          <w:sz w:val="24"/>
          <w:szCs w:val="24"/>
        </w:rPr>
        <w:t>mobilitātēm</w:t>
      </w:r>
      <w:proofErr w:type="spellEnd"/>
      <w:r w:rsidR="00F646C7" w:rsidRPr="00596B25">
        <w:rPr>
          <w:rFonts w:ascii="Times New Roman" w:eastAsiaTheme="minorHAnsi" w:hAnsi="Times New Roman"/>
          <w:sz w:val="24"/>
          <w:szCs w:val="24"/>
        </w:rPr>
        <w:t xml:space="preserve"> pieejamā</w:t>
      </w:r>
      <w:r w:rsidR="00A24B28" w:rsidRPr="00596B25">
        <w:rPr>
          <w:rFonts w:ascii="Times New Roman" w:eastAsiaTheme="minorHAnsi" w:hAnsi="Times New Roman"/>
          <w:sz w:val="24"/>
          <w:szCs w:val="24"/>
        </w:rPr>
        <w:t xml:space="preserve"> finansējuma</w:t>
      </w:r>
      <w:r w:rsidR="00F2785C" w:rsidRPr="00596B25">
        <w:rPr>
          <w:rFonts w:ascii="Times New Roman" w:eastAsiaTheme="minorHAnsi" w:hAnsi="Times New Roman"/>
          <w:sz w:val="24"/>
          <w:szCs w:val="24"/>
        </w:rPr>
        <w:t xml:space="preserve"> (procentuālais apmērs noapaļots līdz veselam skaitlim)</w:t>
      </w:r>
      <w:r w:rsidR="00596B25">
        <w:rPr>
          <w:rFonts w:ascii="Times New Roman" w:eastAsiaTheme="minorHAnsi" w:hAnsi="Times New Roman"/>
          <w:sz w:val="24"/>
          <w:szCs w:val="24"/>
        </w:rPr>
        <w:t>.</w:t>
      </w:r>
      <w:r w:rsidR="00F2785C" w:rsidRPr="00596B25">
        <w:rPr>
          <w:rFonts w:ascii="Times New Roman" w:eastAsiaTheme="minorHAnsi" w:hAnsi="Times New Roman"/>
          <w:sz w:val="24"/>
          <w:szCs w:val="24"/>
        </w:rPr>
        <w:t xml:space="preserve"> </w:t>
      </w:r>
      <w:r w:rsidRPr="00596B25">
        <w:rPr>
          <w:rFonts w:ascii="Times New Roman" w:eastAsiaTheme="minorHAnsi" w:hAnsi="Times New Roman"/>
          <w:sz w:val="24"/>
          <w:szCs w:val="24"/>
        </w:rPr>
        <w:t xml:space="preserve"> </w:t>
      </w:r>
    </w:p>
    <w:p w:rsidR="00B502EB" w:rsidRPr="00660A3A" w:rsidRDefault="00293F68" w:rsidP="00FE5972">
      <w:pPr>
        <w:spacing w:after="0" w:line="240" w:lineRule="auto"/>
        <w:ind w:firstLine="720"/>
        <w:jc w:val="both"/>
        <w:rPr>
          <w:rFonts w:ascii="Times New Roman" w:eastAsiaTheme="minorHAnsi" w:hAnsi="Times New Roman"/>
          <w:sz w:val="24"/>
          <w:szCs w:val="24"/>
        </w:rPr>
      </w:pPr>
      <w:r w:rsidRPr="00660A3A">
        <w:rPr>
          <w:rFonts w:ascii="Times New Roman" w:eastAsiaTheme="minorHAnsi" w:hAnsi="Times New Roman"/>
          <w:sz w:val="24"/>
          <w:szCs w:val="24"/>
        </w:rPr>
        <w:t>4</w:t>
      </w:r>
      <w:r w:rsidR="001C3080">
        <w:rPr>
          <w:rFonts w:ascii="Times New Roman" w:eastAsiaTheme="minorHAnsi" w:hAnsi="Times New Roman"/>
          <w:sz w:val="24"/>
          <w:szCs w:val="24"/>
        </w:rPr>
        <w:t>3</w:t>
      </w:r>
      <w:r w:rsidR="00585BC9" w:rsidRPr="00660A3A">
        <w:rPr>
          <w:rFonts w:ascii="Times New Roman" w:eastAsiaTheme="minorHAnsi" w:hAnsi="Times New Roman"/>
          <w:sz w:val="24"/>
          <w:szCs w:val="24"/>
        </w:rPr>
        <w:t>.</w:t>
      </w:r>
      <w:r w:rsidR="000E078A" w:rsidRPr="00660A3A">
        <w:rPr>
          <w:rFonts w:ascii="Times New Roman" w:eastAsiaTheme="minorHAnsi" w:hAnsi="Times New Roman"/>
          <w:sz w:val="24"/>
          <w:szCs w:val="24"/>
        </w:rPr>
        <w:t xml:space="preserve"> V</w:t>
      </w:r>
      <w:r w:rsidR="00B02125" w:rsidRPr="00660A3A">
        <w:rPr>
          <w:rFonts w:ascii="Times New Roman" w:eastAsiaTheme="minorHAnsi" w:hAnsi="Times New Roman"/>
          <w:sz w:val="24"/>
          <w:szCs w:val="24"/>
        </w:rPr>
        <w:t>alsts līdzfinansējums</w:t>
      </w:r>
      <w:r w:rsidR="000E078A" w:rsidRPr="00660A3A">
        <w:rPr>
          <w:rFonts w:ascii="Times New Roman" w:eastAsiaTheme="minorHAnsi" w:hAnsi="Times New Roman"/>
          <w:sz w:val="24"/>
          <w:szCs w:val="24"/>
        </w:rPr>
        <w:t xml:space="preserve"> vienai</w:t>
      </w:r>
      <w:r w:rsidR="00B02125" w:rsidRPr="00660A3A">
        <w:rPr>
          <w:rFonts w:ascii="Times New Roman" w:eastAsiaTheme="minorHAnsi" w:hAnsi="Times New Roman"/>
          <w:sz w:val="24"/>
          <w:szCs w:val="24"/>
        </w:rPr>
        <w:t xml:space="preserve"> personāla mobilitāt</w:t>
      </w:r>
      <w:r w:rsidR="000E078A" w:rsidRPr="00660A3A">
        <w:rPr>
          <w:rFonts w:ascii="Times New Roman" w:eastAsiaTheme="minorHAnsi" w:hAnsi="Times New Roman"/>
          <w:sz w:val="24"/>
          <w:szCs w:val="24"/>
        </w:rPr>
        <w:t>ei ir</w:t>
      </w:r>
      <w:r w:rsidR="00B02125" w:rsidRPr="00660A3A">
        <w:rPr>
          <w:rFonts w:ascii="Times New Roman" w:eastAsiaTheme="minorHAnsi" w:hAnsi="Times New Roman"/>
          <w:sz w:val="24"/>
          <w:szCs w:val="24"/>
        </w:rPr>
        <w:t xml:space="preserve"> nepieciešams vismaz 25 līdz 40 EUR/dienā atkarībā no valsts, uz kuru mobilitāte tiek veikt</w:t>
      </w:r>
      <w:r w:rsidR="00EC783C" w:rsidRPr="00660A3A">
        <w:rPr>
          <w:rFonts w:ascii="Times New Roman" w:eastAsiaTheme="minorHAnsi" w:hAnsi="Times New Roman"/>
          <w:sz w:val="24"/>
          <w:szCs w:val="24"/>
        </w:rPr>
        <w:t>a</w:t>
      </w:r>
      <w:r w:rsidR="00B502EB" w:rsidRPr="00660A3A">
        <w:rPr>
          <w:rFonts w:ascii="Times New Roman" w:eastAsiaTheme="minorHAnsi" w:hAnsi="Times New Roman"/>
          <w:sz w:val="24"/>
          <w:szCs w:val="24"/>
        </w:rPr>
        <w:t xml:space="preserve"> t.i., valsts līdzfinansējuma apmērs no kopējā nepieciešamā finansējuma apmēra personāla </w:t>
      </w:r>
      <w:proofErr w:type="spellStart"/>
      <w:r w:rsidR="00B502EB" w:rsidRPr="00660A3A">
        <w:rPr>
          <w:rFonts w:ascii="Times New Roman" w:eastAsiaTheme="minorHAnsi" w:hAnsi="Times New Roman"/>
          <w:sz w:val="24"/>
          <w:szCs w:val="24"/>
        </w:rPr>
        <w:t>mobilitāšu</w:t>
      </w:r>
      <w:proofErr w:type="spellEnd"/>
      <w:r w:rsidR="00B502EB" w:rsidRPr="00660A3A">
        <w:rPr>
          <w:rFonts w:ascii="Times New Roman" w:eastAsiaTheme="minorHAnsi" w:hAnsi="Times New Roman"/>
          <w:sz w:val="24"/>
          <w:szCs w:val="24"/>
        </w:rPr>
        <w:t xml:space="preserve"> nodrošināšanai ir nepieciešams 20% apmērā</w:t>
      </w:r>
      <w:r w:rsidRPr="00660A3A">
        <w:rPr>
          <w:rFonts w:ascii="Times New Roman" w:eastAsiaTheme="minorHAnsi" w:hAnsi="Times New Roman"/>
          <w:sz w:val="24"/>
          <w:szCs w:val="24"/>
        </w:rPr>
        <w:t xml:space="preserve"> jeb EUR </w:t>
      </w:r>
      <w:r w:rsidR="00986CA4" w:rsidRPr="00660A3A">
        <w:rPr>
          <w:rFonts w:ascii="Times New Roman" w:hAnsi="Times New Roman"/>
          <w:sz w:val="24"/>
          <w:szCs w:val="24"/>
        </w:rPr>
        <w:t>100 38</w:t>
      </w:r>
      <w:r w:rsidR="00A24B28" w:rsidRPr="00660A3A">
        <w:rPr>
          <w:rFonts w:ascii="Times New Roman" w:hAnsi="Times New Roman"/>
          <w:sz w:val="24"/>
          <w:szCs w:val="24"/>
        </w:rPr>
        <w:t>0</w:t>
      </w:r>
      <w:r w:rsidR="00A24B28" w:rsidRPr="00660A3A">
        <w:rPr>
          <w:rFonts w:ascii="Times New Roman" w:eastAsiaTheme="minorHAnsi" w:hAnsi="Times New Roman"/>
          <w:sz w:val="24"/>
          <w:szCs w:val="24"/>
        </w:rPr>
        <w:t>. Tiek plānots, ka pieejamā finansējuma ietvaros</w:t>
      </w:r>
      <w:r w:rsidR="003F0BFD">
        <w:rPr>
          <w:rFonts w:ascii="Times New Roman" w:eastAsiaTheme="minorHAnsi" w:hAnsi="Times New Roman"/>
          <w:sz w:val="24"/>
          <w:szCs w:val="24"/>
        </w:rPr>
        <w:t xml:space="preserve"> </w:t>
      </w:r>
      <w:r w:rsidR="00A24B28" w:rsidRPr="00660A3A">
        <w:rPr>
          <w:rFonts w:ascii="Times New Roman" w:eastAsiaTheme="minorHAnsi" w:hAnsi="Times New Roman"/>
          <w:sz w:val="24"/>
          <w:szCs w:val="24"/>
        </w:rPr>
        <w:t xml:space="preserve">tiks nodrošinātas 463 personāla mobilitātes. </w:t>
      </w:r>
    </w:p>
    <w:p w:rsidR="00D90DAF" w:rsidRPr="00660A3A" w:rsidRDefault="00293F68" w:rsidP="00D90DAF">
      <w:pPr>
        <w:spacing w:after="0" w:line="240" w:lineRule="auto"/>
        <w:ind w:firstLine="720"/>
        <w:jc w:val="both"/>
        <w:rPr>
          <w:rFonts w:ascii="Times New Roman" w:hAnsi="Times New Roman"/>
          <w:sz w:val="24"/>
          <w:szCs w:val="24"/>
        </w:rPr>
      </w:pPr>
      <w:r w:rsidRPr="00660A3A">
        <w:rPr>
          <w:rFonts w:ascii="Times New Roman" w:hAnsi="Times New Roman"/>
          <w:sz w:val="24"/>
          <w:szCs w:val="24"/>
        </w:rPr>
        <w:t>4</w:t>
      </w:r>
      <w:r w:rsidR="001C3080">
        <w:rPr>
          <w:rFonts w:ascii="Times New Roman" w:hAnsi="Times New Roman"/>
          <w:sz w:val="24"/>
          <w:szCs w:val="24"/>
        </w:rPr>
        <w:t>4</w:t>
      </w:r>
      <w:r w:rsidR="00585BC9" w:rsidRPr="00660A3A">
        <w:rPr>
          <w:rFonts w:ascii="Times New Roman" w:hAnsi="Times New Roman"/>
          <w:sz w:val="24"/>
          <w:szCs w:val="24"/>
        </w:rPr>
        <w:t xml:space="preserve">. Kopumā nepieciešamais valsts līdzfinansējums 2014.gadā ir </w:t>
      </w:r>
      <w:r w:rsidR="00585BC9" w:rsidRPr="00262BCE">
        <w:rPr>
          <w:rFonts w:ascii="Times New Roman" w:hAnsi="Times New Roman"/>
          <w:sz w:val="24"/>
          <w:szCs w:val="24"/>
        </w:rPr>
        <w:t xml:space="preserve">EUR </w:t>
      </w:r>
      <w:r w:rsidR="004C03BA" w:rsidRPr="00262BCE">
        <w:rPr>
          <w:rFonts w:ascii="Times New Roman" w:hAnsi="Times New Roman"/>
          <w:sz w:val="24"/>
          <w:szCs w:val="24"/>
        </w:rPr>
        <w:t>2</w:t>
      </w:r>
      <w:r w:rsidR="00F2785C" w:rsidRPr="00262BCE">
        <w:rPr>
          <w:rFonts w:ascii="Times New Roman" w:hAnsi="Times New Roman"/>
          <w:sz w:val="24"/>
          <w:szCs w:val="24"/>
        </w:rPr>
        <w:t> 952 180</w:t>
      </w:r>
      <w:r w:rsidR="005920FA" w:rsidRPr="00262BCE">
        <w:rPr>
          <w:rFonts w:ascii="Times New Roman" w:hAnsi="Times New Roman"/>
          <w:sz w:val="24"/>
          <w:szCs w:val="24"/>
        </w:rPr>
        <w:t>,</w:t>
      </w:r>
      <w:r w:rsidR="005920FA" w:rsidRPr="00660A3A">
        <w:rPr>
          <w:rFonts w:ascii="Times New Roman" w:hAnsi="Times New Roman"/>
          <w:sz w:val="24"/>
          <w:szCs w:val="24"/>
        </w:rPr>
        <w:t xml:space="preserve"> no kuriem studentu </w:t>
      </w:r>
      <w:proofErr w:type="spellStart"/>
      <w:r w:rsidR="005920FA" w:rsidRPr="00660A3A">
        <w:rPr>
          <w:rFonts w:ascii="Times New Roman" w:hAnsi="Times New Roman"/>
          <w:sz w:val="24"/>
          <w:szCs w:val="24"/>
        </w:rPr>
        <w:t>mobilitāšu</w:t>
      </w:r>
      <w:proofErr w:type="spellEnd"/>
      <w:r w:rsidR="005920FA" w:rsidRPr="00660A3A">
        <w:rPr>
          <w:rFonts w:ascii="Times New Roman" w:hAnsi="Times New Roman"/>
          <w:sz w:val="24"/>
          <w:szCs w:val="24"/>
        </w:rPr>
        <w:t xml:space="preserve"> nodrošināšanai ir </w:t>
      </w:r>
      <w:r w:rsidR="005920FA" w:rsidRPr="00262BCE">
        <w:rPr>
          <w:rFonts w:ascii="Times New Roman" w:hAnsi="Times New Roman"/>
          <w:sz w:val="24"/>
          <w:szCs w:val="24"/>
        </w:rPr>
        <w:t xml:space="preserve">EUR </w:t>
      </w:r>
      <w:r w:rsidR="003F0BFD" w:rsidRPr="00262BCE">
        <w:rPr>
          <w:rFonts w:ascii="Times New Roman" w:hAnsi="Times New Roman"/>
          <w:sz w:val="24"/>
          <w:szCs w:val="24"/>
        </w:rPr>
        <w:t>2</w:t>
      </w:r>
      <w:r w:rsidR="00F2785C" w:rsidRPr="00262BCE">
        <w:rPr>
          <w:rFonts w:ascii="Times New Roman" w:hAnsi="Times New Roman"/>
          <w:sz w:val="24"/>
          <w:szCs w:val="24"/>
        </w:rPr>
        <w:t> 851 800</w:t>
      </w:r>
      <w:r w:rsidR="003F0BFD">
        <w:rPr>
          <w:rFonts w:ascii="Times New Roman" w:hAnsi="Times New Roman"/>
          <w:sz w:val="24"/>
          <w:szCs w:val="24"/>
        </w:rPr>
        <w:t xml:space="preserve"> </w:t>
      </w:r>
      <w:r w:rsidR="005920FA" w:rsidRPr="00660A3A">
        <w:rPr>
          <w:rFonts w:ascii="Times New Roman" w:hAnsi="Times New Roman"/>
          <w:sz w:val="24"/>
          <w:szCs w:val="24"/>
        </w:rPr>
        <w:t xml:space="preserve">un personāla </w:t>
      </w:r>
      <w:proofErr w:type="spellStart"/>
      <w:r w:rsidR="005920FA" w:rsidRPr="00660A3A">
        <w:rPr>
          <w:rFonts w:ascii="Times New Roman" w:hAnsi="Times New Roman"/>
          <w:sz w:val="24"/>
          <w:szCs w:val="24"/>
        </w:rPr>
        <w:t>mobilitāšu</w:t>
      </w:r>
      <w:proofErr w:type="spellEnd"/>
      <w:r w:rsidR="005920FA" w:rsidRPr="00660A3A">
        <w:rPr>
          <w:rFonts w:ascii="Times New Roman" w:hAnsi="Times New Roman"/>
          <w:sz w:val="24"/>
          <w:szCs w:val="24"/>
        </w:rPr>
        <w:t xml:space="preserve"> nodrošināšanai – EUR </w:t>
      </w:r>
      <w:r w:rsidR="00D90DAF" w:rsidRPr="00660A3A">
        <w:rPr>
          <w:rFonts w:ascii="Times New Roman" w:hAnsi="Times New Roman"/>
          <w:sz w:val="24"/>
          <w:szCs w:val="24"/>
        </w:rPr>
        <w:t>100 38</w:t>
      </w:r>
      <w:r w:rsidR="00A24B28" w:rsidRPr="00660A3A">
        <w:rPr>
          <w:rFonts w:ascii="Times New Roman" w:hAnsi="Times New Roman"/>
          <w:sz w:val="24"/>
          <w:szCs w:val="24"/>
        </w:rPr>
        <w:t>0</w:t>
      </w:r>
      <w:r w:rsidR="00585BC9" w:rsidRPr="00660A3A">
        <w:rPr>
          <w:rFonts w:ascii="Times New Roman" w:hAnsi="Times New Roman"/>
          <w:sz w:val="24"/>
          <w:szCs w:val="24"/>
        </w:rPr>
        <w:t xml:space="preserve">. </w:t>
      </w:r>
    </w:p>
    <w:p w:rsidR="005920FA" w:rsidRPr="00660A3A" w:rsidRDefault="00293F68" w:rsidP="00D90DAF">
      <w:pPr>
        <w:spacing w:after="0" w:line="240" w:lineRule="auto"/>
        <w:ind w:firstLine="720"/>
        <w:jc w:val="both"/>
        <w:rPr>
          <w:rFonts w:ascii="Times New Roman" w:hAnsi="Times New Roman"/>
          <w:sz w:val="24"/>
          <w:szCs w:val="24"/>
        </w:rPr>
      </w:pPr>
      <w:r w:rsidRPr="00125D42">
        <w:rPr>
          <w:rFonts w:ascii="Times New Roman" w:hAnsi="Times New Roman"/>
          <w:sz w:val="24"/>
          <w:szCs w:val="24"/>
        </w:rPr>
        <w:t>4</w:t>
      </w:r>
      <w:r w:rsidR="001C3080" w:rsidRPr="00125D42">
        <w:rPr>
          <w:rFonts w:ascii="Times New Roman" w:hAnsi="Times New Roman"/>
          <w:sz w:val="24"/>
          <w:szCs w:val="24"/>
        </w:rPr>
        <w:t>5</w:t>
      </w:r>
      <w:r w:rsidR="005920FA" w:rsidRPr="00125D42">
        <w:rPr>
          <w:rFonts w:ascii="Times New Roman" w:hAnsi="Times New Roman"/>
          <w:sz w:val="24"/>
          <w:szCs w:val="24"/>
        </w:rPr>
        <w:t xml:space="preserve">. </w:t>
      </w:r>
      <w:r w:rsidR="00585BC9" w:rsidRPr="00125D42">
        <w:rPr>
          <w:rFonts w:ascii="Times New Roman" w:hAnsi="Times New Roman"/>
          <w:sz w:val="24"/>
          <w:szCs w:val="24"/>
        </w:rPr>
        <w:t xml:space="preserve">Turpmākajos programmas </w:t>
      </w:r>
      <w:r w:rsidR="00585BC9" w:rsidRPr="00125D42">
        <w:rPr>
          <w:rFonts w:ascii="Times New Roman" w:hAnsi="Times New Roman"/>
          <w:i/>
          <w:sz w:val="24"/>
          <w:szCs w:val="24"/>
        </w:rPr>
        <w:t>Erasmus+</w:t>
      </w:r>
      <w:r w:rsidR="00585BC9" w:rsidRPr="00125D42">
        <w:rPr>
          <w:rFonts w:ascii="Times New Roman" w:hAnsi="Times New Roman"/>
          <w:sz w:val="24"/>
          <w:szCs w:val="24"/>
        </w:rPr>
        <w:t xml:space="preserve"> īstenošanas gados nepieciešamais </w:t>
      </w:r>
      <w:r w:rsidR="00A24B28" w:rsidRPr="00125D42">
        <w:rPr>
          <w:rFonts w:ascii="Times New Roman" w:hAnsi="Times New Roman"/>
          <w:sz w:val="24"/>
          <w:szCs w:val="24"/>
        </w:rPr>
        <w:t>valsts budžeta līdz</w:t>
      </w:r>
      <w:r w:rsidR="00585BC9" w:rsidRPr="00125D42">
        <w:rPr>
          <w:rFonts w:ascii="Times New Roman" w:hAnsi="Times New Roman"/>
          <w:sz w:val="24"/>
          <w:szCs w:val="24"/>
        </w:rPr>
        <w:t>finansējums ir vismaz EUR </w:t>
      </w:r>
      <w:r w:rsidR="00E27B27" w:rsidRPr="00125D42">
        <w:rPr>
          <w:rFonts w:ascii="Times New Roman" w:hAnsi="Times New Roman"/>
          <w:sz w:val="24"/>
          <w:szCs w:val="24"/>
        </w:rPr>
        <w:t>2 952 180</w:t>
      </w:r>
      <w:r w:rsidR="005920FA" w:rsidRPr="00125D42">
        <w:rPr>
          <w:rFonts w:ascii="Times New Roman" w:hAnsi="Times New Roman"/>
          <w:sz w:val="24"/>
          <w:szCs w:val="24"/>
        </w:rPr>
        <w:t xml:space="preserve"> katrā no programmas īstenošanas gadiem</w:t>
      </w:r>
      <w:r w:rsidR="00585BC9" w:rsidRPr="00125D42">
        <w:rPr>
          <w:rFonts w:ascii="Times New Roman" w:hAnsi="Times New Roman"/>
          <w:sz w:val="24"/>
          <w:szCs w:val="24"/>
        </w:rPr>
        <w:t>, nodrošinot</w:t>
      </w:r>
      <w:r w:rsidR="00D90DAF" w:rsidRPr="00125D42">
        <w:rPr>
          <w:rFonts w:ascii="Times New Roman" w:hAnsi="Times New Roman"/>
          <w:sz w:val="24"/>
          <w:szCs w:val="24"/>
        </w:rPr>
        <w:t xml:space="preserve"> valsts līdzfinansējumu</w:t>
      </w:r>
      <w:r w:rsidR="00585BC9" w:rsidRPr="00125D42">
        <w:rPr>
          <w:rFonts w:ascii="Times New Roman" w:hAnsi="Times New Roman"/>
          <w:sz w:val="24"/>
          <w:szCs w:val="24"/>
        </w:rPr>
        <w:t xml:space="preserve"> 20% no </w:t>
      </w:r>
      <w:r w:rsidR="005920FA" w:rsidRPr="00125D42">
        <w:rPr>
          <w:rFonts w:ascii="Times New Roman" w:hAnsi="Times New Roman"/>
          <w:sz w:val="24"/>
          <w:szCs w:val="24"/>
        </w:rPr>
        <w:t xml:space="preserve">personāla </w:t>
      </w:r>
      <w:proofErr w:type="spellStart"/>
      <w:r w:rsidR="005920FA" w:rsidRPr="00125D42">
        <w:rPr>
          <w:rFonts w:ascii="Times New Roman" w:hAnsi="Times New Roman"/>
          <w:sz w:val="24"/>
          <w:szCs w:val="24"/>
        </w:rPr>
        <w:t>mobilitātēm</w:t>
      </w:r>
      <w:proofErr w:type="spellEnd"/>
      <w:r w:rsidR="005920FA" w:rsidRPr="00125D42">
        <w:rPr>
          <w:rFonts w:ascii="Times New Roman" w:hAnsi="Times New Roman"/>
          <w:sz w:val="24"/>
          <w:szCs w:val="24"/>
        </w:rPr>
        <w:t xml:space="preserve"> pieejamā finansējuma un </w:t>
      </w:r>
      <w:r w:rsidR="00A026EF" w:rsidRPr="00125D42">
        <w:rPr>
          <w:rFonts w:ascii="Times New Roman" w:hAnsi="Times New Roman"/>
          <w:sz w:val="24"/>
          <w:szCs w:val="24"/>
        </w:rPr>
        <w:t xml:space="preserve">vidēji </w:t>
      </w:r>
      <w:r w:rsidR="00E27B27" w:rsidRPr="00125D42">
        <w:rPr>
          <w:rFonts w:ascii="Times New Roman" w:hAnsi="Times New Roman"/>
          <w:sz w:val="24"/>
          <w:szCs w:val="24"/>
        </w:rPr>
        <w:t>35</w:t>
      </w:r>
      <w:r w:rsidR="005920FA" w:rsidRPr="00125D42">
        <w:rPr>
          <w:rFonts w:ascii="Times New Roman" w:hAnsi="Times New Roman"/>
          <w:sz w:val="24"/>
          <w:szCs w:val="24"/>
        </w:rPr>
        <w:t xml:space="preserve">% no </w:t>
      </w:r>
      <w:r w:rsidR="00585BC9" w:rsidRPr="00125D42">
        <w:rPr>
          <w:rFonts w:ascii="Times New Roman" w:hAnsi="Times New Roman"/>
          <w:sz w:val="24"/>
          <w:szCs w:val="24"/>
        </w:rPr>
        <w:t>studentu</w:t>
      </w:r>
      <w:r w:rsidR="005920FA" w:rsidRPr="00125D42">
        <w:rPr>
          <w:rFonts w:ascii="Times New Roman" w:hAnsi="Times New Roman"/>
          <w:sz w:val="24"/>
          <w:szCs w:val="24"/>
        </w:rPr>
        <w:t xml:space="preserve"> </w:t>
      </w:r>
      <w:proofErr w:type="spellStart"/>
      <w:r w:rsidR="005920FA" w:rsidRPr="00125D42">
        <w:rPr>
          <w:rFonts w:ascii="Times New Roman" w:hAnsi="Times New Roman"/>
          <w:sz w:val="24"/>
          <w:szCs w:val="24"/>
        </w:rPr>
        <w:t>mobilitātēm</w:t>
      </w:r>
      <w:proofErr w:type="spellEnd"/>
      <w:r w:rsidR="005920FA" w:rsidRPr="00125D42">
        <w:rPr>
          <w:rFonts w:ascii="Times New Roman" w:hAnsi="Times New Roman"/>
          <w:sz w:val="24"/>
          <w:szCs w:val="24"/>
        </w:rPr>
        <w:t xml:space="preserve"> pieejamā finansējuma.</w:t>
      </w:r>
      <w:r w:rsidR="005920FA" w:rsidRPr="00660A3A">
        <w:rPr>
          <w:rFonts w:ascii="Times New Roman" w:hAnsi="Times New Roman"/>
          <w:sz w:val="24"/>
          <w:szCs w:val="24"/>
        </w:rPr>
        <w:t xml:space="preserve"> N</w:t>
      </w:r>
      <w:r w:rsidR="00585BC9" w:rsidRPr="00660A3A">
        <w:rPr>
          <w:rFonts w:ascii="Times New Roman" w:hAnsi="Times New Roman"/>
          <w:sz w:val="24"/>
          <w:szCs w:val="24"/>
        </w:rPr>
        <w:t xml:space="preserve">epieciešamā valsts līdzfinansējuma apmērs var mainīties atkarībā no Komisijas ikgadējā darba programmā konkrētajam gadam noteiktā Latvijai pieejamā ES finansējuma apmēra (informācija par plānoto finansējumu decentralizēto pasākumu </w:t>
      </w:r>
      <w:r w:rsidR="00585BC9" w:rsidRPr="00660A3A">
        <w:rPr>
          <w:rFonts w:ascii="Times New Roman" w:hAnsi="Times New Roman"/>
          <w:sz w:val="24"/>
          <w:szCs w:val="24"/>
        </w:rPr>
        <w:lastRenderedPageBreak/>
        <w:t>īstenošanai pieejama informatīvā ziņojuma 1.sadaļas 6.punktā)</w:t>
      </w:r>
      <w:r w:rsidR="005920FA" w:rsidRPr="00660A3A">
        <w:rPr>
          <w:rFonts w:ascii="Times New Roman" w:hAnsi="Times New Roman"/>
          <w:sz w:val="24"/>
          <w:szCs w:val="24"/>
        </w:rPr>
        <w:t>, līdz ar</w:t>
      </w:r>
      <w:r w:rsidR="00D90DAF" w:rsidRPr="00660A3A">
        <w:rPr>
          <w:rFonts w:ascii="Times New Roman" w:hAnsi="Times New Roman"/>
          <w:sz w:val="24"/>
          <w:szCs w:val="24"/>
        </w:rPr>
        <w:t xml:space="preserve"> to</w:t>
      </w:r>
      <w:r w:rsidR="005920FA" w:rsidRPr="00660A3A">
        <w:rPr>
          <w:rFonts w:ascii="Times New Roman" w:hAnsi="Times New Roman"/>
          <w:sz w:val="24"/>
          <w:szCs w:val="24"/>
        </w:rPr>
        <w:t xml:space="preserve"> turpmākajos programmas </w:t>
      </w:r>
      <w:r w:rsidR="005920FA" w:rsidRPr="00660A3A">
        <w:rPr>
          <w:rFonts w:ascii="Times New Roman" w:hAnsi="Times New Roman"/>
          <w:i/>
          <w:sz w:val="24"/>
          <w:szCs w:val="24"/>
        </w:rPr>
        <w:t>Erasmus+</w:t>
      </w:r>
      <w:r w:rsidR="005920FA" w:rsidRPr="00660A3A">
        <w:rPr>
          <w:rFonts w:ascii="Times New Roman" w:hAnsi="Times New Roman"/>
          <w:sz w:val="24"/>
          <w:szCs w:val="24"/>
        </w:rPr>
        <w:t xml:space="preserve"> īstenošanas gados, tas ir precizējams atbilstoši Komisijas ikgadējās darba programmās plānotajam finansējumam likumprojekta par vidējā termiņa budžeta ietvaru un likumprojekta par valsts budžetu kārtējam gadam izstrādes gaitā.</w:t>
      </w:r>
      <w:r w:rsidR="005920FA" w:rsidRPr="00660A3A">
        <w:rPr>
          <w:rFonts w:ascii="Times New Roman" w:hAnsi="Times New Roman"/>
          <w:szCs w:val="28"/>
        </w:rPr>
        <w:t xml:space="preserve"> </w:t>
      </w:r>
    </w:p>
    <w:p w:rsidR="003D51B1" w:rsidRPr="00660A3A" w:rsidRDefault="00293F68" w:rsidP="003D51B1">
      <w:pPr>
        <w:spacing w:after="0" w:line="240" w:lineRule="auto"/>
        <w:ind w:firstLine="720"/>
        <w:jc w:val="both"/>
        <w:rPr>
          <w:rFonts w:ascii="Times New Roman" w:eastAsiaTheme="minorHAnsi" w:hAnsi="Times New Roman"/>
          <w:sz w:val="24"/>
          <w:szCs w:val="24"/>
        </w:rPr>
      </w:pPr>
      <w:r w:rsidRPr="00660A3A">
        <w:rPr>
          <w:rFonts w:ascii="Times New Roman" w:eastAsiaTheme="minorHAnsi" w:hAnsi="Times New Roman"/>
          <w:sz w:val="24"/>
          <w:szCs w:val="24"/>
        </w:rPr>
        <w:t>4</w:t>
      </w:r>
      <w:r w:rsidR="001C3080">
        <w:rPr>
          <w:rFonts w:ascii="Times New Roman" w:eastAsiaTheme="minorHAnsi" w:hAnsi="Times New Roman"/>
          <w:sz w:val="24"/>
          <w:szCs w:val="24"/>
        </w:rPr>
        <w:t>6</w:t>
      </w:r>
      <w:r w:rsidR="003D51B1" w:rsidRPr="00660A3A">
        <w:rPr>
          <w:rFonts w:ascii="Times New Roman" w:eastAsiaTheme="minorHAnsi" w:hAnsi="Times New Roman"/>
          <w:sz w:val="24"/>
          <w:szCs w:val="24"/>
        </w:rPr>
        <w:t xml:space="preserve">. </w:t>
      </w:r>
      <w:r w:rsidR="00EC783C" w:rsidRPr="00660A3A">
        <w:rPr>
          <w:rFonts w:ascii="Times New Roman" w:eastAsiaTheme="minorHAnsi" w:hAnsi="Times New Roman"/>
          <w:sz w:val="24"/>
          <w:szCs w:val="24"/>
        </w:rPr>
        <w:t xml:space="preserve">Ja valsts līdzfinansējums tiek būtiski samazināts vai netiek piešķirts, tad tiek prognozēts, ka </w:t>
      </w:r>
      <w:r w:rsidR="005A124E" w:rsidRPr="00660A3A">
        <w:rPr>
          <w:rFonts w:ascii="Times New Roman" w:eastAsiaTheme="minorHAnsi" w:hAnsi="Times New Roman"/>
          <w:sz w:val="24"/>
          <w:szCs w:val="24"/>
        </w:rPr>
        <w:t xml:space="preserve">kritīsies </w:t>
      </w:r>
      <w:r w:rsidR="00FC3EE1" w:rsidRPr="00660A3A">
        <w:rPr>
          <w:rFonts w:ascii="Times New Roman" w:eastAsiaTheme="minorHAnsi" w:hAnsi="Times New Roman"/>
          <w:sz w:val="24"/>
          <w:szCs w:val="24"/>
        </w:rPr>
        <w:t xml:space="preserve">Latvijas studentu </w:t>
      </w:r>
      <w:r w:rsidR="005A124E" w:rsidRPr="00660A3A">
        <w:rPr>
          <w:rFonts w:ascii="Times New Roman" w:eastAsiaTheme="minorHAnsi" w:hAnsi="Times New Roman"/>
          <w:sz w:val="24"/>
          <w:szCs w:val="24"/>
        </w:rPr>
        <w:t>mobilitāte</w:t>
      </w:r>
      <w:r w:rsidR="00FC3EE1" w:rsidRPr="00660A3A">
        <w:rPr>
          <w:rFonts w:ascii="Times New Roman" w:eastAsiaTheme="minorHAnsi" w:hAnsi="Times New Roman"/>
          <w:sz w:val="24"/>
          <w:szCs w:val="24"/>
        </w:rPr>
        <w:t xml:space="preserve"> uz citām valstīm</w:t>
      </w:r>
      <w:r w:rsidR="005A124E" w:rsidRPr="00660A3A">
        <w:rPr>
          <w:rFonts w:ascii="Times New Roman" w:eastAsiaTheme="minorHAnsi" w:hAnsi="Times New Roman"/>
          <w:sz w:val="24"/>
          <w:szCs w:val="24"/>
        </w:rPr>
        <w:t xml:space="preserve">, tādējādi </w:t>
      </w:r>
      <w:r w:rsidR="003D51B1" w:rsidRPr="00660A3A">
        <w:rPr>
          <w:rFonts w:ascii="Times New Roman" w:eastAsiaTheme="minorHAnsi" w:hAnsi="Times New Roman"/>
          <w:sz w:val="24"/>
          <w:szCs w:val="24"/>
        </w:rPr>
        <w:t xml:space="preserve">nebūs iespējams nodrošināt politikas plānošanas dokumentos noteiktos mērķus augstākās izglītības internacionalizācijai un starptautiskajai konkurētspējai. </w:t>
      </w:r>
    </w:p>
    <w:p w:rsidR="00645065" w:rsidRPr="00660A3A" w:rsidRDefault="00D90DAF" w:rsidP="00645065">
      <w:pPr>
        <w:spacing w:after="0" w:line="240" w:lineRule="auto"/>
        <w:ind w:firstLine="720"/>
        <w:jc w:val="both"/>
        <w:rPr>
          <w:rFonts w:ascii="Times New Roman" w:eastAsiaTheme="minorHAnsi" w:hAnsi="Times New Roman"/>
          <w:sz w:val="24"/>
          <w:szCs w:val="24"/>
        </w:rPr>
      </w:pPr>
      <w:r w:rsidRPr="00660A3A">
        <w:rPr>
          <w:rFonts w:ascii="Times New Roman" w:hAnsi="Times New Roman"/>
          <w:sz w:val="24"/>
          <w:szCs w:val="24"/>
        </w:rPr>
        <w:t>4</w:t>
      </w:r>
      <w:r w:rsidR="001C3080">
        <w:rPr>
          <w:rFonts w:ascii="Times New Roman" w:hAnsi="Times New Roman"/>
          <w:sz w:val="24"/>
          <w:szCs w:val="24"/>
        </w:rPr>
        <w:t>7</w:t>
      </w:r>
      <w:r w:rsidR="00645065" w:rsidRPr="00660A3A">
        <w:rPr>
          <w:rFonts w:ascii="Times New Roman" w:hAnsi="Times New Roman"/>
          <w:sz w:val="24"/>
          <w:szCs w:val="24"/>
        </w:rPr>
        <w:t xml:space="preserve">. Nodrošinot stipendijas studentiem un personālam tikai Komisijas noteiktajā apjomā, ir būtiski apdraudēta Izglītības attīstības pamatnostādnēs 2014.-2020 noteikto rādītāju sasniegšana, pie kam jāievēro  arī apstāklis, ka Komisija ES finansējumu dalībvalstīm piešķir pēc konkrētas aprēķina formulas, kurā viens no rādītājiem ir iepriekšējā izpilde (skat. regulas Nr.1288/2013 18.pantu). </w:t>
      </w:r>
    </w:p>
    <w:p w:rsidR="00645065" w:rsidRPr="000E078A" w:rsidRDefault="00645065" w:rsidP="003D51B1">
      <w:pPr>
        <w:spacing w:after="0" w:line="240" w:lineRule="auto"/>
        <w:ind w:firstLine="720"/>
        <w:jc w:val="both"/>
        <w:rPr>
          <w:rFonts w:ascii="Times New Roman" w:eastAsiaTheme="minorHAnsi" w:hAnsi="Times New Roman"/>
          <w:sz w:val="24"/>
          <w:szCs w:val="24"/>
        </w:rPr>
      </w:pPr>
    </w:p>
    <w:p w:rsidR="009C6E43" w:rsidRDefault="00FE01FF" w:rsidP="00FE01FF">
      <w:pPr>
        <w:spacing w:after="0" w:line="240" w:lineRule="auto"/>
        <w:jc w:val="center"/>
        <w:rPr>
          <w:rFonts w:ascii="Times New Roman" w:hAnsi="Times New Roman"/>
          <w:b/>
          <w:sz w:val="24"/>
          <w:szCs w:val="24"/>
        </w:rPr>
      </w:pPr>
      <w:r w:rsidRPr="00293F68">
        <w:rPr>
          <w:rFonts w:ascii="Times New Roman" w:hAnsi="Times New Roman"/>
          <w:b/>
          <w:sz w:val="24"/>
          <w:szCs w:val="24"/>
        </w:rPr>
        <w:t>II. Turpmākā rīcība</w:t>
      </w:r>
    </w:p>
    <w:p w:rsidR="00B47801" w:rsidRDefault="00B47801" w:rsidP="00FE01FF">
      <w:pPr>
        <w:spacing w:after="0" w:line="240" w:lineRule="auto"/>
        <w:jc w:val="center"/>
        <w:rPr>
          <w:rFonts w:ascii="Times New Roman" w:hAnsi="Times New Roman"/>
          <w:b/>
          <w:sz w:val="24"/>
          <w:szCs w:val="24"/>
        </w:rPr>
      </w:pPr>
    </w:p>
    <w:p w:rsidR="002553D8" w:rsidRDefault="00E27B27" w:rsidP="002553D8">
      <w:pPr>
        <w:spacing w:after="0" w:line="240" w:lineRule="auto"/>
        <w:ind w:firstLine="567"/>
        <w:jc w:val="both"/>
        <w:rPr>
          <w:rFonts w:ascii="Times New Roman" w:hAnsi="Times New Roman"/>
          <w:sz w:val="24"/>
          <w:szCs w:val="24"/>
        </w:rPr>
      </w:pPr>
      <w:r>
        <w:rPr>
          <w:rFonts w:ascii="Times New Roman" w:hAnsi="Times New Roman"/>
          <w:sz w:val="24"/>
          <w:szCs w:val="24"/>
        </w:rPr>
        <w:t>4</w:t>
      </w:r>
      <w:r w:rsidR="001C3080">
        <w:rPr>
          <w:rFonts w:ascii="Times New Roman" w:hAnsi="Times New Roman"/>
          <w:sz w:val="24"/>
          <w:szCs w:val="24"/>
        </w:rPr>
        <w:t>8</w:t>
      </w:r>
      <w:r w:rsidR="002553D8">
        <w:rPr>
          <w:rFonts w:ascii="Times New Roman" w:hAnsi="Times New Roman"/>
          <w:sz w:val="24"/>
          <w:szCs w:val="24"/>
        </w:rPr>
        <w:t xml:space="preserve">. </w:t>
      </w:r>
      <w:r w:rsidR="002553D8" w:rsidRPr="00C60019">
        <w:rPr>
          <w:rFonts w:ascii="Times New Roman" w:hAnsi="Times New Roman"/>
          <w:sz w:val="24"/>
          <w:szCs w:val="24"/>
        </w:rPr>
        <w:t xml:space="preserve">Lai nodrošinātu </w:t>
      </w:r>
      <w:r w:rsidR="002553D8">
        <w:rPr>
          <w:rFonts w:ascii="Times New Roman" w:hAnsi="Times New Roman"/>
          <w:sz w:val="24"/>
          <w:szCs w:val="24"/>
        </w:rPr>
        <w:t xml:space="preserve">programmas </w:t>
      </w:r>
      <w:r w:rsidR="002553D8" w:rsidRPr="00C60019">
        <w:rPr>
          <w:rFonts w:ascii="Times New Roman" w:hAnsi="Times New Roman"/>
          <w:i/>
          <w:sz w:val="24"/>
          <w:szCs w:val="24"/>
        </w:rPr>
        <w:t>Erasmus+</w:t>
      </w:r>
      <w:r w:rsidR="002553D8">
        <w:rPr>
          <w:rFonts w:ascii="Times New Roman" w:hAnsi="Times New Roman"/>
          <w:sz w:val="24"/>
          <w:szCs w:val="24"/>
        </w:rPr>
        <w:t xml:space="preserve"> īstenošanu Latvijā,</w:t>
      </w:r>
      <w:r w:rsidR="00322A39">
        <w:rPr>
          <w:rFonts w:ascii="Times New Roman" w:hAnsi="Times New Roman"/>
          <w:sz w:val="24"/>
          <w:szCs w:val="24"/>
        </w:rPr>
        <w:t xml:space="preserve"> 2014.gadā</w:t>
      </w:r>
      <w:r w:rsidR="002553D8">
        <w:rPr>
          <w:rFonts w:ascii="Times New Roman" w:hAnsi="Times New Roman"/>
          <w:sz w:val="24"/>
          <w:szCs w:val="24"/>
        </w:rPr>
        <w:t xml:space="preserve"> nepieciešams </w:t>
      </w:r>
      <w:r w:rsidR="003C3164">
        <w:rPr>
          <w:rFonts w:ascii="Times New Roman" w:hAnsi="Times New Roman"/>
          <w:sz w:val="24"/>
          <w:szCs w:val="24"/>
        </w:rPr>
        <w:t xml:space="preserve">IZM budžetā </w:t>
      </w:r>
      <w:r w:rsidR="002553D8">
        <w:rPr>
          <w:rFonts w:ascii="Times New Roman" w:hAnsi="Times New Roman"/>
          <w:sz w:val="24"/>
          <w:szCs w:val="24"/>
        </w:rPr>
        <w:t>palielināt</w:t>
      </w:r>
      <w:r w:rsidR="003C3164">
        <w:rPr>
          <w:rFonts w:ascii="Times New Roman" w:hAnsi="Times New Roman"/>
          <w:sz w:val="24"/>
          <w:szCs w:val="24"/>
        </w:rPr>
        <w:t xml:space="preserve"> finansējumu šādā apmērā: </w:t>
      </w:r>
    </w:p>
    <w:p w:rsidR="00713FD8" w:rsidRDefault="00713FD8" w:rsidP="002553D8">
      <w:pPr>
        <w:spacing w:after="0" w:line="240" w:lineRule="auto"/>
        <w:ind w:firstLine="567"/>
        <w:jc w:val="both"/>
        <w:rPr>
          <w:rFonts w:ascii="Times New Roman" w:hAnsi="Times New Roman"/>
          <w:sz w:val="24"/>
          <w:szCs w:val="24"/>
        </w:rPr>
        <w:sectPr w:rsidR="00713FD8" w:rsidSect="00E50EEB">
          <w:headerReference w:type="default" r:id="rId9"/>
          <w:footerReference w:type="default" r:id="rId10"/>
          <w:footerReference w:type="first" r:id="rId11"/>
          <w:pgSz w:w="11906" w:h="16838"/>
          <w:pgMar w:top="1134" w:right="1134" w:bottom="1134" w:left="1134" w:header="709" w:footer="709" w:gutter="0"/>
          <w:cols w:space="708"/>
          <w:titlePg/>
          <w:docGrid w:linePitch="360"/>
        </w:sectPr>
      </w:pPr>
    </w:p>
    <w:p w:rsidR="00713FD8" w:rsidRDefault="00713FD8" w:rsidP="002553D8">
      <w:pPr>
        <w:spacing w:after="0" w:line="240" w:lineRule="auto"/>
        <w:ind w:firstLine="567"/>
        <w:jc w:val="both"/>
        <w:rPr>
          <w:rFonts w:ascii="Times New Roman" w:hAnsi="Times New Roman"/>
          <w:sz w:val="24"/>
          <w:szCs w:val="24"/>
        </w:rPr>
      </w:pPr>
    </w:p>
    <w:p w:rsidR="00AE1A25" w:rsidRPr="00660A3A" w:rsidRDefault="001C3080" w:rsidP="00AE1A25">
      <w:pPr>
        <w:spacing w:after="0" w:line="240" w:lineRule="auto"/>
        <w:ind w:firstLine="567"/>
        <w:jc w:val="right"/>
        <w:rPr>
          <w:rFonts w:ascii="Times New Roman" w:hAnsi="Times New Roman"/>
          <w:sz w:val="24"/>
          <w:szCs w:val="24"/>
        </w:rPr>
      </w:pPr>
      <w:r w:rsidRPr="00B80E83">
        <w:rPr>
          <w:rFonts w:ascii="Times New Roman" w:hAnsi="Times New Roman"/>
          <w:sz w:val="24"/>
          <w:szCs w:val="24"/>
        </w:rPr>
        <w:t>6</w:t>
      </w:r>
      <w:r w:rsidR="00AE1A25" w:rsidRPr="00B80E83">
        <w:rPr>
          <w:rFonts w:ascii="Times New Roman" w:hAnsi="Times New Roman"/>
          <w:sz w:val="24"/>
          <w:szCs w:val="24"/>
        </w:rPr>
        <w:t>.</w:t>
      </w:r>
      <w:r w:rsidR="00AE1A25" w:rsidRPr="001C3080">
        <w:rPr>
          <w:rFonts w:ascii="Times New Roman" w:hAnsi="Times New Roman"/>
          <w:sz w:val="24"/>
          <w:szCs w:val="24"/>
        </w:rPr>
        <w:t>tabula</w:t>
      </w:r>
    </w:p>
    <w:p w:rsidR="00AE1A25" w:rsidRDefault="00AE1A25" w:rsidP="00BF7896">
      <w:pPr>
        <w:spacing w:after="120" w:line="240" w:lineRule="auto"/>
        <w:ind w:firstLine="567"/>
        <w:jc w:val="center"/>
        <w:rPr>
          <w:rFonts w:ascii="Times New Roman" w:hAnsi="Times New Roman"/>
          <w:sz w:val="24"/>
          <w:szCs w:val="24"/>
        </w:rPr>
      </w:pPr>
      <w:r>
        <w:rPr>
          <w:rFonts w:ascii="Times New Roman" w:hAnsi="Times New Roman"/>
          <w:sz w:val="24"/>
          <w:szCs w:val="24"/>
        </w:rPr>
        <w:t xml:space="preserve">Kopsavilkums par papildu nepieciešamo finansējumu programmas </w:t>
      </w:r>
      <w:r w:rsidRPr="00293F68">
        <w:rPr>
          <w:rFonts w:ascii="Times New Roman" w:hAnsi="Times New Roman"/>
          <w:i/>
          <w:sz w:val="24"/>
          <w:szCs w:val="24"/>
        </w:rPr>
        <w:t>Erasmus+</w:t>
      </w:r>
      <w:r>
        <w:rPr>
          <w:rFonts w:ascii="Times New Roman" w:hAnsi="Times New Roman"/>
          <w:sz w:val="24"/>
          <w:szCs w:val="24"/>
        </w:rPr>
        <w:t xml:space="preserve"> </w:t>
      </w:r>
      <w:r w:rsidR="00575ABE">
        <w:rPr>
          <w:rFonts w:ascii="Times New Roman" w:hAnsi="Times New Roman"/>
          <w:sz w:val="24"/>
          <w:szCs w:val="24"/>
        </w:rPr>
        <w:t>īstenošanai 2014.gadā</w:t>
      </w:r>
      <w:r w:rsidR="00293F68">
        <w:rPr>
          <w:rFonts w:ascii="Times New Roman" w:hAnsi="Times New Roman"/>
          <w:sz w:val="24"/>
          <w:szCs w:val="24"/>
        </w:rPr>
        <w:t xml:space="preserve"> sadalījumā pa budžeta apakšprogrammām</w:t>
      </w:r>
      <w:r w:rsidR="00575ABE">
        <w:rPr>
          <w:rFonts w:ascii="Times New Roman" w:hAnsi="Times New Roman"/>
          <w:sz w:val="24"/>
          <w:szCs w:val="24"/>
        </w:rPr>
        <w:t>, EUR</w:t>
      </w:r>
    </w:p>
    <w:p w:rsidR="00713FD8" w:rsidRDefault="00713FD8" w:rsidP="00BF7896">
      <w:pPr>
        <w:spacing w:after="120" w:line="240" w:lineRule="auto"/>
        <w:ind w:firstLine="567"/>
        <w:jc w:val="center"/>
        <w:rPr>
          <w:rFonts w:ascii="Times New Roman" w:hAnsi="Times New Roman"/>
          <w:sz w:val="24"/>
          <w:szCs w:val="24"/>
        </w:rPr>
      </w:pPr>
    </w:p>
    <w:tbl>
      <w:tblPr>
        <w:tblStyle w:val="TableGrid"/>
        <w:tblW w:w="13808" w:type="dxa"/>
        <w:tblLook w:val="04A0"/>
      </w:tblPr>
      <w:tblGrid>
        <w:gridCol w:w="1136"/>
        <w:gridCol w:w="936"/>
        <w:gridCol w:w="936"/>
        <w:gridCol w:w="1056"/>
        <w:gridCol w:w="936"/>
        <w:gridCol w:w="936"/>
        <w:gridCol w:w="936"/>
        <w:gridCol w:w="1176"/>
        <w:gridCol w:w="1056"/>
        <w:gridCol w:w="1176"/>
        <w:gridCol w:w="1176"/>
        <w:gridCol w:w="1176"/>
        <w:gridCol w:w="1176"/>
      </w:tblGrid>
      <w:tr w:rsidR="00713FD8" w:rsidRPr="00B80E83" w:rsidTr="00713FD8">
        <w:trPr>
          <w:cantSplit/>
          <w:trHeight w:val="471"/>
        </w:trPr>
        <w:tc>
          <w:tcPr>
            <w:tcW w:w="1136" w:type="dxa"/>
            <w:vMerge w:val="restart"/>
            <w:textDirection w:val="btLr"/>
          </w:tcPr>
          <w:p w:rsidR="00713FD8" w:rsidRPr="00713FD8" w:rsidRDefault="00713FD8" w:rsidP="006934D8">
            <w:pPr>
              <w:rPr>
                <w:rFonts w:ascii="Times New Roman" w:hAnsi="Times New Roman"/>
                <w:sz w:val="24"/>
                <w:szCs w:val="24"/>
              </w:rPr>
            </w:pPr>
            <w:r w:rsidRPr="00713FD8">
              <w:rPr>
                <w:rFonts w:ascii="Times New Roman" w:hAnsi="Times New Roman"/>
                <w:sz w:val="24"/>
                <w:szCs w:val="24"/>
              </w:rPr>
              <w:t>Iestāde, budžeta apakšprogramma</w:t>
            </w:r>
          </w:p>
        </w:tc>
        <w:tc>
          <w:tcPr>
            <w:tcW w:w="2928" w:type="dxa"/>
            <w:gridSpan w:val="3"/>
          </w:tcPr>
          <w:p w:rsidR="00713FD8" w:rsidRPr="00713FD8" w:rsidRDefault="00713FD8" w:rsidP="00575ABE">
            <w:pPr>
              <w:spacing w:after="0" w:line="240" w:lineRule="auto"/>
              <w:rPr>
                <w:rFonts w:ascii="Times New Roman" w:hAnsi="Times New Roman"/>
                <w:sz w:val="24"/>
                <w:szCs w:val="24"/>
              </w:rPr>
            </w:pPr>
            <w:r w:rsidRPr="00713FD8">
              <w:rPr>
                <w:rFonts w:ascii="Times New Roman" w:hAnsi="Times New Roman"/>
                <w:sz w:val="24"/>
                <w:szCs w:val="24"/>
              </w:rPr>
              <w:t>Valsts aģentūru darbības nodrošināšana</w:t>
            </w:r>
          </w:p>
        </w:tc>
        <w:tc>
          <w:tcPr>
            <w:tcW w:w="2808" w:type="dxa"/>
            <w:gridSpan w:val="3"/>
          </w:tcPr>
          <w:p w:rsidR="00713FD8" w:rsidRPr="00713FD8" w:rsidRDefault="00713FD8" w:rsidP="00575ABE">
            <w:pPr>
              <w:spacing w:after="0" w:line="240" w:lineRule="auto"/>
              <w:rPr>
                <w:rFonts w:ascii="Times New Roman" w:hAnsi="Times New Roman"/>
                <w:sz w:val="24"/>
                <w:szCs w:val="24"/>
              </w:rPr>
            </w:pPr>
            <w:r w:rsidRPr="00713FD8">
              <w:rPr>
                <w:rFonts w:ascii="Times New Roman" w:hAnsi="Times New Roman"/>
                <w:sz w:val="24"/>
                <w:szCs w:val="24"/>
              </w:rPr>
              <w:t>Atbalsts politikas reformu ieviešanai</w:t>
            </w:r>
          </w:p>
        </w:tc>
        <w:tc>
          <w:tcPr>
            <w:tcW w:w="3408" w:type="dxa"/>
            <w:gridSpan w:val="3"/>
          </w:tcPr>
          <w:p w:rsidR="00713FD8" w:rsidRPr="00B80E83" w:rsidRDefault="00713FD8" w:rsidP="00A755BB">
            <w:pPr>
              <w:spacing w:after="0" w:line="240" w:lineRule="auto"/>
              <w:rPr>
                <w:rFonts w:ascii="Times New Roman" w:hAnsi="Times New Roman"/>
                <w:sz w:val="24"/>
                <w:szCs w:val="24"/>
              </w:rPr>
            </w:pPr>
            <w:r w:rsidRPr="00B80E83">
              <w:rPr>
                <w:rFonts w:ascii="Times New Roman" w:hAnsi="Times New Roman"/>
                <w:i/>
                <w:sz w:val="24"/>
                <w:szCs w:val="24"/>
              </w:rPr>
              <w:t>Erasmus+</w:t>
            </w:r>
            <w:r w:rsidRPr="00B80E83">
              <w:rPr>
                <w:rFonts w:ascii="Times New Roman" w:hAnsi="Times New Roman"/>
                <w:sz w:val="24"/>
                <w:szCs w:val="24"/>
              </w:rPr>
              <w:t xml:space="preserve"> projektu īstenošana, EUR 2014.gads </w:t>
            </w:r>
          </w:p>
        </w:tc>
        <w:tc>
          <w:tcPr>
            <w:tcW w:w="3528" w:type="dxa"/>
            <w:gridSpan w:val="3"/>
          </w:tcPr>
          <w:p w:rsidR="00713FD8" w:rsidRPr="00B80E83" w:rsidRDefault="00713FD8" w:rsidP="00713FD8">
            <w:pPr>
              <w:spacing w:after="0" w:line="240" w:lineRule="auto"/>
              <w:jc w:val="center"/>
              <w:rPr>
                <w:rFonts w:ascii="Times New Roman" w:hAnsi="Times New Roman"/>
                <w:sz w:val="24"/>
                <w:szCs w:val="24"/>
              </w:rPr>
            </w:pPr>
            <w:r w:rsidRPr="00B80E83">
              <w:rPr>
                <w:rFonts w:ascii="Times New Roman" w:hAnsi="Times New Roman"/>
                <w:sz w:val="24"/>
                <w:szCs w:val="24"/>
              </w:rPr>
              <w:t>Pavisam kopā 2014.gadā</w:t>
            </w:r>
          </w:p>
        </w:tc>
      </w:tr>
      <w:tr w:rsidR="00713FD8" w:rsidRPr="00B80E83" w:rsidTr="00713FD8">
        <w:trPr>
          <w:cantSplit/>
          <w:trHeight w:val="2057"/>
        </w:trPr>
        <w:tc>
          <w:tcPr>
            <w:tcW w:w="1136" w:type="dxa"/>
            <w:vMerge/>
          </w:tcPr>
          <w:p w:rsidR="00713FD8" w:rsidRPr="00713FD8" w:rsidRDefault="00713FD8" w:rsidP="003C3164">
            <w:pPr>
              <w:spacing w:after="0" w:line="240" w:lineRule="auto"/>
              <w:jc w:val="both"/>
              <w:rPr>
                <w:rFonts w:ascii="Times New Roman" w:hAnsi="Times New Roman"/>
                <w:sz w:val="24"/>
                <w:szCs w:val="24"/>
              </w:rPr>
            </w:pPr>
          </w:p>
        </w:tc>
        <w:tc>
          <w:tcPr>
            <w:tcW w:w="936" w:type="dxa"/>
            <w:textDirection w:val="btLr"/>
          </w:tcPr>
          <w:p w:rsidR="00713FD8" w:rsidRPr="00713FD8" w:rsidRDefault="00713FD8" w:rsidP="006934D8">
            <w:pPr>
              <w:spacing w:after="0" w:line="240" w:lineRule="auto"/>
              <w:ind w:left="113" w:right="113"/>
              <w:jc w:val="both"/>
              <w:rPr>
                <w:rFonts w:ascii="Times New Roman" w:hAnsi="Times New Roman"/>
                <w:sz w:val="24"/>
                <w:szCs w:val="24"/>
              </w:rPr>
            </w:pPr>
            <w:r w:rsidRPr="00713FD8">
              <w:rPr>
                <w:rFonts w:ascii="Times New Roman" w:hAnsi="Times New Roman"/>
                <w:sz w:val="24"/>
                <w:szCs w:val="24"/>
              </w:rPr>
              <w:t xml:space="preserve">EK grants </w:t>
            </w:r>
          </w:p>
          <w:p w:rsidR="00713FD8" w:rsidRPr="00713FD8" w:rsidRDefault="00713FD8" w:rsidP="006934D8">
            <w:pPr>
              <w:spacing w:after="0" w:line="240" w:lineRule="auto"/>
              <w:ind w:left="113" w:right="113"/>
              <w:jc w:val="both"/>
              <w:rPr>
                <w:rFonts w:ascii="Times New Roman" w:hAnsi="Times New Roman"/>
                <w:sz w:val="24"/>
                <w:szCs w:val="24"/>
              </w:rPr>
            </w:pPr>
            <w:r w:rsidRPr="00713FD8">
              <w:rPr>
                <w:rFonts w:ascii="Times New Roman" w:hAnsi="Times New Roman"/>
                <w:sz w:val="24"/>
                <w:szCs w:val="24"/>
              </w:rPr>
              <w:t>(ĀFP</w:t>
            </w:r>
            <w:r w:rsidRPr="00713FD8">
              <w:rPr>
                <w:rFonts w:ascii="Times New Roman" w:hAnsi="Times New Roman"/>
                <w:sz w:val="24"/>
                <w:szCs w:val="24"/>
                <w:vertAlign w:val="superscript"/>
              </w:rPr>
              <w:t>1</w:t>
            </w:r>
            <w:r w:rsidRPr="00713FD8">
              <w:rPr>
                <w:rFonts w:ascii="Times New Roman" w:hAnsi="Times New Roman"/>
                <w:sz w:val="24"/>
                <w:szCs w:val="24"/>
              </w:rPr>
              <w:t>)</w:t>
            </w:r>
          </w:p>
        </w:tc>
        <w:tc>
          <w:tcPr>
            <w:tcW w:w="936" w:type="dxa"/>
            <w:textDirection w:val="btLr"/>
          </w:tcPr>
          <w:p w:rsidR="00713FD8" w:rsidRPr="00713FD8" w:rsidRDefault="00713FD8" w:rsidP="00E83817">
            <w:pPr>
              <w:spacing w:after="0" w:line="240" w:lineRule="auto"/>
              <w:ind w:left="113" w:right="113"/>
              <w:rPr>
                <w:rFonts w:ascii="Times New Roman" w:hAnsi="Times New Roman"/>
                <w:sz w:val="24"/>
                <w:szCs w:val="24"/>
              </w:rPr>
            </w:pPr>
            <w:r w:rsidRPr="00713FD8">
              <w:rPr>
                <w:rFonts w:ascii="Times New Roman" w:hAnsi="Times New Roman"/>
                <w:sz w:val="24"/>
                <w:szCs w:val="24"/>
              </w:rPr>
              <w:t>Valsts budžeta līdzfinansējums</w:t>
            </w:r>
          </w:p>
        </w:tc>
        <w:tc>
          <w:tcPr>
            <w:tcW w:w="1056" w:type="dxa"/>
            <w:textDirection w:val="btLr"/>
          </w:tcPr>
          <w:p w:rsidR="00713FD8" w:rsidRPr="00713FD8" w:rsidRDefault="00713FD8" w:rsidP="006934D8">
            <w:pPr>
              <w:spacing w:after="0" w:line="240" w:lineRule="auto"/>
              <w:ind w:left="113" w:right="113"/>
              <w:jc w:val="both"/>
              <w:rPr>
                <w:rFonts w:ascii="Times New Roman" w:hAnsi="Times New Roman"/>
                <w:sz w:val="24"/>
                <w:szCs w:val="24"/>
              </w:rPr>
            </w:pPr>
            <w:r w:rsidRPr="00713FD8">
              <w:rPr>
                <w:rFonts w:ascii="Times New Roman" w:hAnsi="Times New Roman"/>
                <w:sz w:val="24"/>
                <w:szCs w:val="24"/>
              </w:rPr>
              <w:t>Kopā</w:t>
            </w:r>
          </w:p>
          <w:p w:rsidR="00713FD8" w:rsidRPr="00713FD8" w:rsidRDefault="00713FD8" w:rsidP="006934D8">
            <w:pPr>
              <w:spacing w:after="0" w:line="240" w:lineRule="auto"/>
              <w:ind w:left="113" w:right="113"/>
              <w:jc w:val="both"/>
              <w:rPr>
                <w:rFonts w:ascii="Times New Roman" w:hAnsi="Times New Roman"/>
                <w:sz w:val="24"/>
                <w:szCs w:val="24"/>
              </w:rPr>
            </w:pPr>
          </w:p>
        </w:tc>
        <w:tc>
          <w:tcPr>
            <w:tcW w:w="936" w:type="dxa"/>
            <w:textDirection w:val="btLr"/>
          </w:tcPr>
          <w:p w:rsidR="00713FD8" w:rsidRPr="00713FD8" w:rsidRDefault="00713FD8" w:rsidP="00AE1A25">
            <w:pPr>
              <w:spacing w:after="0" w:line="240" w:lineRule="auto"/>
              <w:ind w:left="113" w:right="113"/>
              <w:jc w:val="both"/>
              <w:rPr>
                <w:rFonts w:ascii="Times New Roman" w:hAnsi="Times New Roman"/>
                <w:sz w:val="24"/>
                <w:szCs w:val="24"/>
              </w:rPr>
            </w:pPr>
            <w:r w:rsidRPr="00713FD8">
              <w:rPr>
                <w:rFonts w:ascii="Times New Roman" w:hAnsi="Times New Roman"/>
                <w:sz w:val="24"/>
                <w:szCs w:val="24"/>
              </w:rPr>
              <w:t xml:space="preserve">EK grants </w:t>
            </w:r>
          </w:p>
          <w:p w:rsidR="00713FD8" w:rsidRPr="00713FD8" w:rsidRDefault="00713FD8" w:rsidP="00AE1A25">
            <w:pPr>
              <w:spacing w:after="0" w:line="240" w:lineRule="auto"/>
              <w:ind w:left="113" w:right="113"/>
              <w:jc w:val="both"/>
              <w:rPr>
                <w:rFonts w:ascii="Times New Roman" w:hAnsi="Times New Roman"/>
                <w:sz w:val="24"/>
                <w:szCs w:val="24"/>
              </w:rPr>
            </w:pPr>
            <w:r w:rsidRPr="00713FD8">
              <w:rPr>
                <w:rFonts w:ascii="Times New Roman" w:hAnsi="Times New Roman"/>
                <w:sz w:val="24"/>
                <w:szCs w:val="24"/>
              </w:rPr>
              <w:t>(ĀFP</w:t>
            </w:r>
            <w:r w:rsidRPr="00713FD8">
              <w:rPr>
                <w:rFonts w:ascii="Times New Roman" w:hAnsi="Times New Roman"/>
                <w:sz w:val="24"/>
                <w:szCs w:val="24"/>
                <w:vertAlign w:val="superscript"/>
              </w:rPr>
              <w:t>1</w:t>
            </w:r>
            <w:r w:rsidRPr="00713FD8">
              <w:rPr>
                <w:rFonts w:ascii="Times New Roman" w:hAnsi="Times New Roman"/>
                <w:sz w:val="24"/>
                <w:szCs w:val="24"/>
              </w:rPr>
              <w:t>)</w:t>
            </w:r>
          </w:p>
        </w:tc>
        <w:tc>
          <w:tcPr>
            <w:tcW w:w="936" w:type="dxa"/>
            <w:textDirection w:val="btLr"/>
          </w:tcPr>
          <w:p w:rsidR="00713FD8" w:rsidRPr="00713FD8" w:rsidRDefault="00713FD8" w:rsidP="00E83817">
            <w:pPr>
              <w:spacing w:after="0" w:line="240" w:lineRule="auto"/>
              <w:ind w:left="113" w:right="113"/>
              <w:rPr>
                <w:rFonts w:ascii="Times New Roman" w:hAnsi="Times New Roman"/>
                <w:sz w:val="24"/>
                <w:szCs w:val="24"/>
              </w:rPr>
            </w:pPr>
            <w:r w:rsidRPr="00713FD8">
              <w:rPr>
                <w:rFonts w:ascii="Times New Roman" w:hAnsi="Times New Roman"/>
                <w:sz w:val="24"/>
                <w:szCs w:val="24"/>
              </w:rPr>
              <w:t>Valsts budžeta līdzfinansējums</w:t>
            </w:r>
          </w:p>
        </w:tc>
        <w:tc>
          <w:tcPr>
            <w:tcW w:w="936" w:type="dxa"/>
            <w:textDirection w:val="btLr"/>
          </w:tcPr>
          <w:p w:rsidR="00713FD8" w:rsidRPr="00713FD8" w:rsidRDefault="00713FD8" w:rsidP="006934D8">
            <w:pPr>
              <w:spacing w:after="0" w:line="240" w:lineRule="auto"/>
              <w:ind w:left="113" w:right="113"/>
              <w:jc w:val="both"/>
              <w:rPr>
                <w:rFonts w:ascii="Times New Roman" w:hAnsi="Times New Roman"/>
                <w:sz w:val="24"/>
                <w:szCs w:val="24"/>
              </w:rPr>
            </w:pPr>
            <w:r w:rsidRPr="00713FD8">
              <w:rPr>
                <w:rFonts w:ascii="Times New Roman" w:hAnsi="Times New Roman"/>
                <w:sz w:val="24"/>
                <w:szCs w:val="24"/>
              </w:rPr>
              <w:t>Kopā</w:t>
            </w:r>
          </w:p>
          <w:p w:rsidR="00713FD8" w:rsidRPr="00713FD8" w:rsidRDefault="00713FD8" w:rsidP="006934D8">
            <w:pPr>
              <w:spacing w:after="0" w:line="240" w:lineRule="auto"/>
              <w:ind w:left="113" w:right="113"/>
              <w:jc w:val="both"/>
              <w:rPr>
                <w:rFonts w:ascii="Times New Roman" w:hAnsi="Times New Roman"/>
                <w:sz w:val="24"/>
                <w:szCs w:val="24"/>
              </w:rPr>
            </w:pPr>
          </w:p>
        </w:tc>
        <w:tc>
          <w:tcPr>
            <w:tcW w:w="1176" w:type="dxa"/>
            <w:textDirection w:val="btLr"/>
          </w:tcPr>
          <w:p w:rsidR="00713FD8" w:rsidRPr="00713FD8" w:rsidRDefault="00713FD8" w:rsidP="00AE1A25">
            <w:pPr>
              <w:spacing w:after="0" w:line="240" w:lineRule="auto"/>
              <w:ind w:left="113" w:right="113"/>
              <w:jc w:val="both"/>
              <w:rPr>
                <w:rFonts w:ascii="Times New Roman" w:hAnsi="Times New Roman"/>
                <w:sz w:val="24"/>
                <w:szCs w:val="24"/>
              </w:rPr>
            </w:pPr>
            <w:r w:rsidRPr="00713FD8">
              <w:rPr>
                <w:rFonts w:ascii="Times New Roman" w:hAnsi="Times New Roman"/>
                <w:sz w:val="24"/>
                <w:szCs w:val="24"/>
              </w:rPr>
              <w:t xml:space="preserve">EK grants </w:t>
            </w:r>
          </w:p>
          <w:p w:rsidR="00713FD8" w:rsidRPr="00713FD8" w:rsidRDefault="00713FD8" w:rsidP="00AE1A25">
            <w:pPr>
              <w:spacing w:after="0" w:line="240" w:lineRule="auto"/>
              <w:ind w:left="113" w:right="113"/>
              <w:jc w:val="both"/>
              <w:rPr>
                <w:rFonts w:ascii="Times New Roman" w:hAnsi="Times New Roman"/>
                <w:sz w:val="24"/>
                <w:szCs w:val="24"/>
              </w:rPr>
            </w:pPr>
            <w:r w:rsidRPr="00713FD8">
              <w:rPr>
                <w:rFonts w:ascii="Times New Roman" w:hAnsi="Times New Roman"/>
                <w:sz w:val="24"/>
                <w:szCs w:val="24"/>
              </w:rPr>
              <w:t>(ĀFP</w:t>
            </w:r>
            <w:r w:rsidRPr="00713FD8">
              <w:rPr>
                <w:rFonts w:ascii="Times New Roman" w:hAnsi="Times New Roman"/>
                <w:sz w:val="24"/>
                <w:szCs w:val="24"/>
                <w:vertAlign w:val="superscript"/>
              </w:rPr>
              <w:t>1</w:t>
            </w:r>
            <w:r w:rsidRPr="00713FD8">
              <w:rPr>
                <w:rFonts w:ascii="Times New Roman" w:hAnsi="Times New Roman"/>
                <w:sz w:val="24"/>
                <w:szCs w:val="24"/>
              </w:rPr>
              <w:t>)</w:t>
            </w:r>
          </w:p>
        </w:tc>
        <w:tc>
          <w:tcPr>
            <w:tcW w:w="1056" w:type="dxa"/>
            <w:textDirection w:val="btLr"/>
          </w:tcPr>
          <w:p w:rsidR="00713FD8" w:rsidRPr="00B80E83" w:rsidRDefault="00713FD8" w:rsidP="00E83817">
            <w:pPr>
              <w:spacing w:after="0" w:line="240" w:lineRule="auto"/>
              <w:ind w:left="113" w:right="113"/>
              <w:rPr>
                <w:rFonts w:ascii="Times New Roman" w:hAnsi="Times New Roman"/>
                <w:sz w:val="24"/>
                <w:szCs w:val="24"/>
              </w:rPr>
            </w:pPr>
            <w:r w:rsidRPr="00B80E83">
              <w:rPr>
                <w:rFonts w:ascii="Times New Roman" w:hAnsi="Times New Roman"/>
                <w:sz w:val="24"/>
                <w:szCs w:val="24"/>
              </w:rPr>
              <w:t>Valsts budžeta līdzfinansējums</w:t>
            </w:r>
          </w:p>
        </w:tc>
        <w:tc>
          <w:tcPr>
            <w:tcW w:w="1176" w:type="dxa"/>
            <w:textDirection w:val="btLr"/>
          </w:tcPr>
          <w:p w:rsidR="00713FD8" w:rsidRPr="00B80E83" w:rsidRDefault="00713FD8" w:rsidP="006934D8">
            <w:pPr>
              <w:spacing w:after="0" w:line="240" w:lineRule="auto"/>
              <w:ind w:left="113" w:right="113"/>
              <w:jc w:val="both"/>
              <w:rPr>
                <w:rFonts w:ascii="Times New Roman" w:hAnsi="Times New Roman"/>
                <w:sz w:val="24"/>
                <w:szCs w:val="24"/>
              </w:rPr>
            </w:pPr>
            <w:r w:rsidRPr="00B80E83">
              <w:rPr>
                <w:rFonts w:ascii="Times New Roman" w:hAnsi="Times New Roman"/>
                <w:sz w:val="24"/>
                <w:szCs w:val="24"/>
              </w:rPr>
              <w:t>Kopā</w:t>
            </w:r>
          </w:p>
          <w:p w:rsidR="00713FD8" w:rsidRPr="00B80E83" w:rsidRDefault="00713FD8" w:rsidP="006934D8">
            <w:pPr>
              <w:spacing w:after="0" w:line="240" w:lineRule="auto"/>
              <w:ind w:left="113" w:right="113"/>
              <w:jc w:val="both"/>
              <w:rPr>
                <w:rFonts w:ascii="Times New Roman" w:hAnsi="Times New Roman"/>
                <w:sz w:val="24"/>
                <w:szCs w:val="24"/>
              </w:rPr>
            </w:pPr>
          </w:p>
        </w:tc>
        <w:tc>
          <w:tcPr>
            <w:tcW w:w="1176" w:type="dxa"/>
            <w:textDirection w:val="btLr"/>
          </w:tcPr>
          <w:p w:rsidR="00713FD8" w:rsidRPr="00B80E83" w:rsidRDefault="00713FD8" w:rsidP="00713FD8">
            <w:pPr>
              <w:spacing w:after="0" w:line="240" w:lineRule="auto"/>
              <w:ind w:left="113" w:right="113"/>
              <w:jc w:val="both"/>
              <w:rPr>
                <w:rFonts w:ascii="Times New Roman" w:hAnsi="Times New Roman"/>
                <w:sz w:val="24"/>
                <w:szCs w:val="24"/>
              </w:rPr>
            </w:pPr>
            <w:r w:rsidRPr="00B80E83">
              <w:rPr>
                <w:rFonts w:ascii="Times New Roman" w:hAnsi="Times New Roman"/>
                <w:sz w:val="24"/>
                <w:szCs w:val="24"/>
              </w:rPr>
              <w:t xml:space="preserve">EK grants </w:t>
            </w:r>
          </w:p>
          <w:p w:rsidR="00713FD8" w:rsidRPr="00B80E83" w:rsidRDefault="00713FD8" w:rsidP="00713FD8">
            <w:pPr>
              <w:spacing w:after="0" w:line="240" w:lineRule="auto"/>
              <w:ind w:left="113" w:right="113"/>
              <w:jc w:val="both"/>
              <w:rPr>
                <w:rFonts w:ascii="Times New Roman" w:hAnsi="Times New Roman"/>
                <w:sz w:val="24"/>
                <w:szCs w:val="24"/>
              </w:rPr>
            </w:pPr>
            <w:r w:rsidRPr="00B80E83">
              <w:rPr>
                <w:rFonts w:ascii="Times New Roman" w:hAnsi="Times New Roman"/>
                <w:sz w:val="24"/>
                <w:szCs w:val="24"/>
              </w:rPr>
              <w:t>(ĀFP</w:t>
            </w:r>
            <w:r w:rsidRPr="00B80E83">
              <w:rPr>
                <w:rFonts w:ascii="Times New Roman" w:hAnsi="Times New Roman"/>
                <w:sz w:val="24"/>
                <w:szCs w:val="24"/>
                <w:vertAlign w:val="superscript"/>
              </w:rPr>
              <w:t>1</w:t>
            </w:r>
            <w:r w:rsidRPr="00B80E83">
              <w:rPr>
                <w:rFonts w:ascii="Times New Roman" w:hAnsi="Times New Roman"/>
                <w:sz w:val="24"/>
                <w:szCs w:val="24"/>
              </w:rPr>
              <w:t>)</w:t>
            </w:r>
          </w:p>
        </w:tc>
        <w:tc>
          <w:tcPr>
            <w:tcW w:w="1176" w:type="dxa"/>
            <w:textDirection w:val="btLr"/>
          </w:tcPr>
          <w:p w:rsidR="00713FD8" w:rsidRPr="00B80E83" w:rsidRDefault="00713FD8" w:rsidP="00713FD8">
            <w:pPr>
              <w:spacing w:after="0" w:line="240" w:lineRule="auto"/>
              <w:ind w:left="113" w:right="113"/>
              <w:rPr>
                <w:rFonts w:ascii="Times New Roman" w:hAnsi="Times New Roman"/>
                <w:sz w:val="24"/>
                <w:szCs w:val="24"/>
              </w:rPr>
            </w:pPr>
            <w:r w:rsidRPr="00B80E83">
              <w:rPr>
                <w:rFonts w:ascii="Times New Roman" w:hAnsi="Times New Roman"/>
                <w:sz w:val="24"/>
                <w:szCs w:val="24"/>
              </w:rPr>
              <w:t>Valsts budžeta līdzfinansējums</w:t>
            </w:r>
          </w:p>
        </w:tc>
        <w:tc>
          <w:tcPr>
            <w:tcW w:w="1176" w:type="dxa"/>
            <w:textDirection w:val="btLr"/>
          </w:tcPr>
          <w:p w:rsidR="00713FD8" w:rsidRPr="00B80E83" w:rsidRDefault="00713FD8" w:rsidP="00713FD8">
            <w:pPr>
              <w:spacing w:after="0" w:line="240" w:lineRule="auto"/>
              <w:ind w:left="113" w:right="113"/>
              <w:jc w:val="both"/>
              <w:rPr>
                <w:rFonts w:ascii="Times New Roman" w:hAnsi="Times New Roman"/>
                <w:sz w:val="24"/>
                <w:szCs w:val="24"/>
              </w:rPr>
            </w:pPr>
            <w:r w:rsidRPr="00B80E83">
              <w:rPr>
                <w:rFonts w:ascii="Times New Roman" w:hAnsi="Times New Roman"/>
                <w:sz w:val="24"/>
                <w:szCs w:val="24"/>
              </w:rPr>
              <w:t>Kopā</w:t>
            </w:r>
          </w:p>
          <w:p w:rsidR="00713FD8" w:rsidRPr="00B80E83" w:rsidRDefault="00713FD8" w:rsidP="00713FD8">
            <w:pPr>
              <w:spacing w:after="0" w:line="240" w:lineRule="auto"/>
              <w:ind w:left="113" w:right="113"/>
              <w:jc w:val="both"/>
              <w:rPr>
                <w:rFonts w:ascii="Times New Roman" w:hAnsi="Times New Roman"/>
                <w:sz w:val="24"/>
                <w:szCs w:val="24"/>
              </w:rPr>
            </w:pPr>
          </w:p>
        </w:tc>
      </w:tr>
      <w:tr w:rsidR="00713FD8" w:rsidRPr="00B80E83" w:rsidTr="00713FD8">
        <w:trPr>
          <w:trHeight w:val="421"/>
        </w:trPr>
        <w:tc>
          <w:tcPr>
            <w:tcW w:w="11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70.08.00</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430493</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515988</w:t>
            </w:r>
          </w:p>
        </w:tc>
        <w:tc>
          <w:tcPr>
            <w:tcW w:w="105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946481</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146501</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53912</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200413</w:t>
            </w:r>
          </w:p>
        </w:tc>
        <w:tc>
          <w:tcPr>
            <w:tcW w:w="117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05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17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576994</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569900</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1146894</w:t>
            </w:r>
          </w:p>
        </w:tc>
      </w:tr>
      <w:tr w:rsidR="00713FD8" w:rsidRPr="00B80E83" w:rsidTr="00713FD8">
        <w:trPr>
          <w:trHeight w:val="421"/>
        </w:trPr>
        <w:tc>
          <w:tcPr>
            <w:tcW w:w="11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70.10.00</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286995</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181454</w:t>
            </w:r>
          </w:p>
        </w:tc>
        <w:tc>
          <w:tcPr>
            <w:tcW w:w="105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468449</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170535</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52440</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222975</w:t>
            </w:r>
          </w:p>
        </w:tc>
        <w:tc>
          <w:tcPr>
            <w:tcW w:w="117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05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17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457530</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233894</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691424</w:t>
            </w:r>
          </w:p>
        </w:tc>
      </w:tr>
      <w:tr w:rsidR="00713FD8" w:rsidRPr="00B80E83" w:rsidTr="00713FD8">
        <w:trPr>
          <w:trHeight w:val="421"/>
        </w:trPr>
        <w:tc>
          <w:tcPr>
            <w:tcW w:w="11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70.15.00</w:t>
            </w:r>
            <w:r w:rsidRPr="00713FD8">
              <w:rPr>
                <w:rFonts w:ascii="Times New Roman" w:hAnsi="Times New Roman"/>
                <w:sz w:val="24"/>
                <w:szCs w:val="24"/>
                <w:vertAlign w:val="superscript"/>
              </w:rPr>
              <w:t>2</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0</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0</w:t>
            </w:r>
          </w:p>
        </w:tc>
        <w:tc>
          <w:tcPr>
            <w:tcW w:w="105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0</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0</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17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14476682</w:t>
            </w:r>
          </w:p>
        </w:tc>
        <w:tc>
          <w:tcPr>
            <w:tcW w:w="105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2952180</w:t>
            </w:r>
          </w:p>
        </w:tc>
        <w:tc>
          <w:tcPr>
            <w:tcW w:w="1176" w:type="dxa"/>
            <w:vAlign w:val="center"/>
          </w:tcPr>
          <w:p w:rsidR="00713FD8" w:rsidRPr="00B80E83" w:rsidRDefault="00F82310" w:rsidP="00713FD8">
            <w:pPr>
              <w:spacing w:after="0" w:line="240" w:lineRule="auto"/>
              <w:rPr>
                <w:rFonts w:ascii="Times New Roman" w:hAnsi="Times New Roman"/>
                <w:sz w:val="24"/>
                <w:szCs w:val="24"/>
              </w:rPr>
            </w:pPr>
            <w:r w:rsidRPr="00B80E83">
              <w:rPr>
                <w:rFonts w:ascii="Times New Roman" w:hAnsi="Times New Roman"/>
                <w:sz w:val="24"/>
                <w:szCs w:val="24"/>
              </w:rPr>
              <w:t>17428862</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14476682</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2952180</w:t>
            </w:r>
          </w:p>
        </w:tc>
        <w:tc>
          <w:tcPr>
            <w:tcW w:w="1176" w:type="dxa"/>
          </w:tcPr>
          <w:p w:rsidR="00713FD8" w:rsidRPr="00B80E83" w:rsidRDefault="00F82310" w:rsidP="00713FD8">
            <w:pPr>
              <w:spacing w:after="0" w:line="240" w:lineRule="auto"/>
              <w:rPr>
                <w:rFonts w:ascii="Times New Roman" w:hAnsi="Times New Roman"/>
                <w:sz w:val="24"/>
                <w:szCs w:val="24"/>
              </w:rPr>
            </w:pPr>
            <w:r w:rsidRPr="00B80E83">
              <w:rPr>
                <w:rFonts w:ascii="Times New Roman" w:hAnsi="Times New Roman"/>
                <w:sz w:val="24"/>
                <w:szCs w:val="24"/>
              </w:rPr>
              <w:t>17428862</w:t>
            </w:r>
          </w:p>
        </w:tc>
      </w:tr>
      <w:tr w:rsidR="00713FD8" w:rsidRPr="00B80E83" w:rsidTr="00713FD8">
        <w:trPr>
          <w:trHeight w:val="421"/>
        </w:trPr>
        <w:tc>
          <w:tcPr>
            <w:tcW w:w="11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70.11.00</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0</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0</w:t>
            </w:r>
          </w:p>
        </w:tc>
        <w:tc>
          <w:tcPr>
            <w:tcW w:w="105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0</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207980</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102896</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310876</w:t>
            </w:r>
          </w:p>
        </w:tc>
        <w:tc>
          <w:tcPr>
            <w:tcW w:w="117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05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17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0</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207980</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102896</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310876</w:t>
            </w:r>
          </w:p>
        </w:tc>
      </w:tr>
      <w:tr w:rsidR="00713FD8" w:rsidRPr="00B80E83" w:rsidTr="00713FD8">
        <w:trPr>
          <w:trHeight w:val="421"/>
        </w:trPr>
        <w:tc>
          <w:tcPr>
            <w:tcW w:w="11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Kopā</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717488</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697442</w:t>
            </w:r>
          </w:p>
        </w:tc>
        <w:tc>
          <w:tcPr>
            <w:tcW w:w="105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1414930</w:t>
            </w:r>
          </w:p>
        </w:tc>
        <w:tc>
          <w:tcPr>
            <w:tcW w:w="936" w:type="dxa"/>
            <w:vAlign w:val="center"/>
          </w:tcPr>
          <w:p w:rsidR="00713FD8" w:rsidRPr="00713FD8" w:rsidRDefault="00713FD8" w:rsidP="00713FD8">
            <w:pPr>
              <w:spacing w:after="0" w:line="240" w:lineRule="auto"/>
              <w:rPr>
                <w:rFonts w:ascii="Times New Roman" w:hAnsi="Times New Roman"/>
                <w:sz w:val="24"/>
                <w:szCs w:val="24"/>
              </w:rPr>
            </w:pPr>
            <w:r w:rsidRPr="00713FD8">
              <w:rPr>
                <w:rFonts w:ascii="Times New Roman" w:hAnsi="Times New Roman"/>
                <w:sz w:val="24"/>
                <w:szCs w:val="24"/>
              </w:rPr>
              <w:t>525016</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209248</w:t>
            </w:r>
          </w:p>
        </w:tc>
        <w:tc>
          <w:tcPr>
            <w:tcW w:w="93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734264</w:t>
            </w:r>
          </w:p>
        </w:tc>
        <w:tc>
          <w:tcPr>
            <w:tcW w:w="117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14476682</w:t>
            </w:r>
          </w:p>
        </w:tc>
        <w:tc>
          <w:tcPr>
            <w:tcW w:w="1056" w:type="dxa"/>
            <w:vAlign w:val="center"/>
          </w:tcPr>
          <w:p w:rsidR="00713FD8" w:rsidRPr="00B80E83" w:rsidRDefault="00713FD8" w:rsidP="00713FD8">
            <w:pPr>
              <w:spacing w:after="0" w:line="240" w:lineRule="auto"/>
              <w:rPr>
                <w:rFonts w:ascii="Times New Roman" w:hAnsi="Times New Roman"/>
                <w:sz w:val="24"/>
                <w:szCs w:val="24"/>
              </w:rPr>
            </w:pPr>
            <w:r w:rsidRPr="00B80E83">
              <w:rPr>
                <w:rFonts w:ascii="Times New Roman" w:hAnsi="Times New Roman"/>
                <w:sz w:val="24"/>
                <w:szCs w:val="24"/>
              </w:rPr>
              <w:t>2952180</w:t>
            </w:r>
          </w:p>
        </w:tc>
        <w:tc>
          <w:tcPr>
            <w:tcW w:w="1176" w:type="dxa"/>
            <w:vAlign w:val="center"/>
          </w:tcPr>
          <w:p w:rsidR="00713FD8" w:rsidRPr="00B80E83" w:rsidRDefault="00F82310" w:rsidP="00713FD8">
            <w:pPr>
              <w:spacing w:after="0" w:line="240" w:lineRule="auto"/>
              <w:rPr>
                <w:rFonts w:ascii="Times New Roman" w:hAnsi="Times New Roman"/>
                <w:sz w:val="24"/>
                <w:szCs w:val="24"/>
              </w:rPr>
            </w:pPr>
            <w:r w:rsidRPr="00B80E83">
              <w:rPr>
                <w:rFonts w:ascii="Times New Roman" w:hAnsi="Times New Roman"/>
                <w:sz w:val="24"/>
                <w:szCs w:val="24"/>
              </w:rPr>
              <w:t>17428862</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15719186</w:t>
            </w:r>
          </w:p>
        </w:tc>
        <w:tc>
          <w:tcPr>
            <w:tcW w:w="1176" w:type="dxa"/>
          </w:tcPr>
          <w:p w:rsidR="00713FD8" w:rsidRPr="00B80E83" w:rsidRDefault="00DC723C" w:rsidP="00713FD8">
            <w:pPr>
              <w:spacing w:after="0" w:line="240" w:lineRule="auto"/>
              <w:rPr>
                <w:rFonts w:ascii="Times New Roman" w:hAnsi="Times New Roman"/>
                <w:sz w:val="24"/>
                <w:szCs w:val="24"/>
              </w:rPr>
            </w:pPr>
            <w:r w:rsidRPr="00B80E83">
              <w:rPr>
                <w:rFonts w:ascii="Times New Roman" w:hAnsi="Times New Roman"/>
                <w:sz w:val="24"/>
                <w:szCs w:val="24"/>
              </w:rPr>
              <w:t>3858870</w:t>
            </w:r>
          </w:p>
        </w:tc>
        <w:tc>
          <w:tcPr>
            <w:tcW w:w="1176" w:type="dxa"/>
          </w:tcPr>
          <w:p w:rsidR="00713FD8" w:rsidRPr="00B80E83" w:rsidRDefault="00756CA3" w:rsidP="00713FD8">
            <w:pPr>
              <w:spacing w:after="0" w:line="240" w:lineRule="auto"/>
              <w:rPr>
                <w:rFonts w:ascii="Times New Roman" w:hAnsi="Times New Roman"/>
                <w:sz w:val="24"/>
                <w:szCs w:val="24"/>
              </w:rPr>
            </w:pPr>
            <w:r w:rsidRPr="00B80E83">
              <w:rPr>
                <w:rFonts w:ascii="Times New Roman" w:hAnsi="Times New Roman"/>
                <w:sz w:val="24"/>
                <w:szCs w:val="24"/>
              </w:rPr>
              <w:t>19578056</w:t>
            </w:r>
          </w:p>
        </w:tc>
      </w:tr>
    </w:tbl>
    <w:p w:rsidR="003C3164" w:rsidRPr="00713FD8" w:rsidRDefault="00AE1A25" w:rsidP="003C3164">
      <w:pPr>
        <w:spacing w:after="0" w:line="240" w:lineRule="auto"/>
        <w:jc w:val="both"/>
        <w:rPr>
          <w:rFonts w:ascii="Times New Roman" w:hAnsi="Times New Roman"/>
          <w:sz w:val="20"/>
          <w:szCs w:val="20"/>
        </w:rPr>
      </w:pPr>
      <w:r w:rsidRPr="00713FD8">
        <w:rPr>
          <w:rFonts w:ascii="Times New Roman" w:hAnsi="Times New Roman"/>
          <w:sz w:val="20"/>
          <w:szCs w:val="20"/>
          <w:vertAlign w:val="superscript"/>
        </w:rPr>
        <w:t>1</w:t>
      </w:r>
      <w:r w:rsidRPr="00713FD8">
        <w:rPr>
          <w:rFonts w:ascii="Times New Roman" w:hAnsi="Times New Roman"/>
          <w:sz w:val="20"/>
          <w:szCs w:val="20"/>
        </w:rPr>
        <w:t xml:space="preserve"> ĀFP – ārvalstu finanšu palīdzība iestādes ieņēmumos;</w:t>
      </w:r>
    </w:p>
    <w:p w:rsidR="0005304D" w:rsidRPr="00713FD8" w:rsidRDefault="00AE1A25" w:rsidP="003C3164">
      <w:pPr>
        <w:spacing w:after="0" w:line="240" w:lineRule="auto"/>
        <w:jc w:val="both"/>
        <w:rPr>
          <w:rFonts w:ascii="Times New Roman" w:hAnsi="Times New Roman"/>
          <w:sz w:val="20"/>
          <w:szCs w:val="20"/>
        </w:rPr>
      </w:pPr>
      <w:r w:rsidRPr="00713FD8">
        <w:rPr>
          <w:rFonts w:ascii="Times New Roman" w:hAnsi="Times New Roman"/>
          <w:sz w:val="20"/>
          <w:szCs w:val="20"/>
          <w:vertAlign w:val="superscript"/>
        </w:rPr>
        <w:t>2</w:t>
      </w:r>
      <w:r w:rsidRPr="00713FD8">
        <w:rPr>
          <w:rFonts w:ascii="Times New Roman" w:hAnsi="Times New Roman"/>
          <w:sz w:val="20"/>
          <w:szCs w:val="20"/>
        </w:rPr>
        <w:t xml:space="preserve"> jaunizveidojama budžeta apakšprogramma 70.15.00 „Eiropas Savienības programmas </w:t>
      </w:r>
      <w:r w:rsidRPr="00713FD8">
        <w:rPr>
          <w:rFonts w:ascii="Times New Roman" w:hAnsi="Times New Roman"/>
          <w:i/>
          <w:sz w:val="20"/>
          <w:szCs w:val="20"/>
        </w:rPr>
        <w:t>Erasmus+</w:t>
      </w:r>
      <w:r w:rsidRPr="00713FD8">
        <w:rPr>
          <w:rFonts w:ascii="Times New Roman" w:hAnsi="Times New Roman"/>
          <w:sz w:val="20"/>
          <w:szCs w:val="20"/>
        </w:rPr>
        <w:t xml:space="preserve"> </w:t>
      </w:r>
      <w:r w:rsidR="00553BE0" w:rsidRPr="00713FD8">
        <w:rPr>
          <w:rFonts w:ascii="Times New Roman" w:hAnsi="Times New Roman"/>
          <w:sz w:val="20"/>
          <w:szCs w:val="20"/>
        </w:rPr>
        <w:t xml:space="preserve">projektu </w:t>
      </w:r>
      <w:r w:rsidRPr="00713FD8">
        <w:rPr>
          <w:rFonts w:ascii="Times New Roman" w:hAnsi="Times New Roman"/>
          <w:sz w:val="20"/>
          <w:szCs w:val="20"/>
        </w:rPr>
        <w:t>īstenošanas nodrošināšana”</w:t>
      </w:r>
      <w:r w:rsidR="00986CA4" w:rsidRPr="00713FD8">
        <w:rPr>
          <w:rFonts w:ascii="Times New Roman" w:hAnsi="Times New Roman"/>
          <w:sz w:val="20"/>
          <w:szCs w:val="20"/>
        </w:rPr>
        <w:t xml:space="preserve">, kurā tiks plānots finansējums programmas </w:t>
      </w:r>
      <w:r w:rsidR="00986CA4" w:rsidRPr="00713FD8">
        <w:rPr>
          <w:rFonts w:ascii="Times New Roman" w:hAnsi="Times New Roman"/>
          <w:i/>
          <w:sz w:val="20"/>
          <w:szCs w:val="20"/>
        </w:rPr>
        <w:t>Erasmus+</w:t>
      </w:r>
      <w:r w:rsidR="00986CA4" w:rsidRPr="00713FD8">
        <w:rPr>
          <w:rFonts w:ascii="Times New Roman" w:hAnsi="Times New Roman"/>
          <w:sz w:val="20"/>
          <w:szCs w:val="20"/>
        </w:rPr>
        <w:t xml:space="preserve"> projektu īstenošanai</w:t>
      </w:r>
      <w:r w:rsidRPr="00713FD8">
        <w:rPr>
          <w:rFonts w:ascii="Times New Roman" w:hAnsi="Times New Roman"/>
          <w:sz w:val="20"/>
          <w:szCs w:val="20"/>
        </w:rPr>
        <w:t>.</w:t>
      </w:r>
    </w:p>
    <w:p w:rsidR="00713FD8" w:rsidRDefault="00713FD8" w:rsidP="003C3164">
      <w:pPr>
        <w:spacing w:after="0" w:line="240" w:lineRule="auto"/>
        <w:jc w:val="both"/>
        <w:rPr>
          <w:rFonts w:ascii="Times New Roman" w:hAnsi="Times New Roman"/>
          <w:sz w:val="20"/>
          <w:szCs w:val="20"/>
        </w:rPr>
      </w:pPr>
    </w:p>
    <w:p w:rsidR="00713FD8" w:rsidRDefault="00713FD8" w:rsidP="003C3164">
      <w:pPr>
        <w:spacing w:after="0" w:line="240" w:lineRule="auto"/>
        <w:jc w:val="both"/>
        <w:rPr>
          <w:rFonts w:ascii="Times New Roman" w:hAnsi="Times New Roman"/>
          <w:sz w:val="20"/>
          <w:szCs w:val="20"/>
        </w:rPr>
        <w:sectPr w:rsidR="00713FD8" w:rsidSect="00713FD8">
          <w:pgSz w:w="16838" w:h="11906" w:orient="landscape"/>
          <w:pgMar w:top="1134" w:right="1134" w:bottom="1134" w:left="1134" w:header="709" w:footer="709" w:gutter="0"/>
          <w:cols w:space="708"/>
          <w:docGrid w:linePitch="360"/>
        </w:sectPr>
      </w:pPr>
    </w:p>
    <w:p w:rsidR="00D01666" w:rsidRDefault="00710607" w:rsidP="002553D8">
      <w:pPr>
        <w:spacing w:after="0" w:line="240" w:lineRule="auto"/>
        <w:ind w:firstLine="567"/>
        <w:jc w:val="both"/>
        <w:rPr>
          <w:rFonts w:ascii="Times New Roman" w:hAnsi="Times New Roman"/>
          <w:sz w:val="24"/>
          <w:szCs w:val="24"/>
        </w:rPr>
      </w:pPr>
      <w:r w:rsidRPr="0046795B">
        <w:rPr>
          <w:rFonts w:ascii="Times New Roman" w:hAnsi="Times New Roman"/>
          <w:sz w:val="24"/>
          <w:szCs w:val="24"/>
        </w:rPr>
        <w:lastRenderedPageBreak/>
        <w:t>49</w:t>
      </w:r>
      <w:r w:rsidR="0089039D" w:rsidRPr="0046795B">
        <w:rPr>
          <w:rFonts w:ascii="Times New Roman" w:hAnsi="Times New Roman"/>
          <w:sz w:val="24"/>
          <w:szCs w:val="24"/>
        </w:rPr>
        <w:t>.</w:t>
      </w:r>
      <w:r w:rsidR="0089039D" w:rsidRPr="00E86236">
        <w:rPr>
          <w:rFonts w:ascii="Times New Roman" w:hAnsi="Times New Roman"/>
          <w:sz w:val="24"/>
          <w:szCs w:val="24"/>
        </w:rPr>
        <w:t xml:space="preserve"> Lai nodrošinātu </w:t>
      </w:r>
      <w:r w:rsidR="00045537" w:rsidRPr="00E86236">
        <w:rPr>
          <w:rFonts w:ascii="Times New Roman" w:hAnsi="Times New Roman"/>
          <w:sz w:val="24"/>
          <w:szCs w:val="24"/>
        </w:rPr>
        <w:t xml:space="preserve">valsts budžeta līdzfinansējumu un </w:t>
      </w:r>
      <w:r w:rsidR="0089039D" w:rsidRPr="00E86236">
        <w:rPr>
          <w:rFonts w:ascii="Times New Roman" w:hAnsi="Times New Roman"/>
          <w:sz w:val="24"/>
          <w:szCs w:val="24"/>
        </w:rPr>
        <w:t xml:space="preserve">ES finansējumu (ārvalstu finanšu palīdzību iestādes ieņēmumos) programmas </w:t>
      </w:r>
      <w:r w:rsidR="0089039D" w:rsidRPr="00E86236">
        <w:rPr>
          <w:rFonts w:ascii="Times New Roman" w:hAnsi="Times New Roman"/>
          <w:i/>
          <w:sz w:val="24"/>
          <w:szCs w:val="24"/>
        </w:rPr>
        <w:t>Erasmus+</w:t>
      </w:r>
      <w:r w:rsidR="0089039D" w:rsidRPr="00E86236">
        <w:rPr>
          <w:rFonts w:ascii="Times New Roman" w:hAnsi="Times New Roman"/>
          <w:sz w:val="24"/>
          <w:szCs w:val="24"/>
        </w:rPr>
        <w:t xml:space="preserve"> īstenošan</w:t>
      </w:r>
      <w:r w:rsidR="00D01666">
        <w:rPr>
          <w:rFonts w:ascii="Times New Roman" w:hAnsi="Times New Roman"/>
          <w:sz w:val="24"/>
          <w:szCs w:val="24"/>
        </w:rPr>
        <w:t>ai</w:t>
      </w:r>
      <w:r w:rsidR="0089039D" w:rsidRPr="00E86236">
        <w:rPr>
          <w:rFonts w:ascii="Times New Roman" w:hAnsi="Times New Roman"/>
          <w:sz w:val="24"/>
          <w:szCs w:val="24"/>
        </w:rPr>
        <w:t xml:space="preserve"> ilgtermiņa saistības</w:t>
      </w:r>
      <w:r w:rsidR="00D01666">
        <w:rPr>
          <w:rFonts w:ascii="Times New Roman" w:hAnsi="Times New Roman"/>
          <w:sz w:val="24"/>
          <w:szCs w:val="24"/>
        </w:rPr>
        <w:t xml:space="preserve"> turpmākajos programmas īstenošanas gados paredzēt:</w:t>
      </w:r>
    </w:p>
    <w:p w:rsidR="00D01666" w:rsidRDefault="00710607" w:rsidP="002553D8">
      <w:pPr>
        <w:spacing w:after="0" w:line="240" w:lineRule="auto"/>
        <w:ind w:firstLine="567"/>
        <w:jc w:val="both"/>
        <w:rPr>
          <w:rFonts w:ascii="Times New Roman" w:hAnsi="Times New Roman"/>
          <w:sz w:val="24"/>
          <w:szCs w:val="24"/>
        </w:rPr>
      </w:pPr>
      <w:r>
        <w:rPr>
          <w:rFonts w:ascii="Times New Roman" w:hAnsi="Times New Roman"/>
          <w:sz w:val="24"/>
          <w:szCs w:val="24"/>
        </w:rPr>
        <w:t>49</w:t>
      </w:r>
      <w:r w:rsidR="00D01666">
        <w:rPr>
          <w:rFonts w:ascii="Times New Roman" w:hAnsi="Times New Roman"/>
          <w:sz w:val="24"/>
          <w:szCs w:val="24"/>
        </w:rPr>
        <w:t xml:space="preserve">.1. </w:t>
      </w:r>
      <w:r w:rsidR="0041709D" w:rsidRPr="00E86236">
        <w:rPr>
          <w:rFonts w:ascii="Times New Roman" w:hAnsi="Times New Roman"/>
          <w:sz w:val="24"/>
          <w:szCs w:val="24"/>
        </w:rPr>
        <w:t>atbalsta pasākumu politikas reformām īstenošanai</w:t>
      </w:r>
      <w:r w:rsidR="0046795B">
        <w:rPr>
          <w:rFonts w:ascii="Times New Roman" w:hAnsi="Times New Roman"/>
          <w:sz w:val="24"/>
          <w:szCs w:val="24"/>
        </w:rPr>
        <w:t xml:space="preserve"> </w:t>
      </w:r>
      <w:r w:rsidR="0046795B" w:rsidRPr="00B80E83">
        <w:rPr>
          <w:rFonts w:ascii="Times New Roman" w:hAnsi="Times New Roman"/>
          <w:sz w:val="24"/>
          <w:szCs w:val="24"/>
        </w:rPr>
        <w:t>(izņemot Prezidentūras pasākumu nodrošināšanai)</w:t>
      </w:r>
      <w:r w:rsidR="00D01666" w:rsidRPr="00B80E83">
        <w:rPr>
          <w:rFonts w:ascii="Times New Roman" w:hAnsi="Times New Roman"/>
          <w:sz w:val="24"/>
          <w:szCs w:val="24"/>
        </w:rPr>
        <w:t xml:space="preserve"> - 2014.gadā nepieciešamā finansējuma apmērā</w:t>
      </w:r>
      <w:r w:rsidR="00B86884" w:rsidRPr="00B80E83">
        <w:rPr>
          <w:rFonts w:ascii="Times New Roman" w:hAnsi="Times New Roman"/>
          <w:sz w:val="24"/>
          <w:szCs w:val="24"/>
        </w:rPr>
        <w:t xml:space="preserve"> jeb 209 248 EUR katrā no turpmākajiem programmas īstenošanas gadiem</w:t>
      </w:r>
      <w:r w:rsidR="00394308" w:rsidRPr="00B80E83">
        <w:rPr>
          <w:rFonts w:ascii="Times New Roman" w:hAnsi="Times New Roman"/>
          <w:sz w:val="24"/>
          <w:szCs w:val="24"/>
        </w:rPr>
        <w:t>,</w:t>
      </w:r>
      <w:r w:rsidR="00394308">
        <w:rPr>
          <w:rFonts w:ascii="Times New Roman" w:hAnsi="Times New Roman"/>
          <w:sz w:val="24"/>
          <w:szCs w:val="24"/>
        </w:rPr>
        <w:t xml:space="preserve"> </w:t>
      </w:r>
      <w:r w:rsidR="008169B1" w:rsidRPr="00E86236">
        <w:rPr>
          <w:rFonts w:ascii="Times New Roman" w:hAnsi="Times New Roman"/>
          <w:sz w:val="24"/>
          <w:szCs w:val="24"/>
        </w:rPr>
        <w:t>tās precizējot atbilstoši Komisijas ikgadējās darba programmās plānotajam finansējumam likumprojekta par vidējā termiņa budžeta ietvaru un likumprojekta par valsts budžetu kārtējam gadam izstrādes gaitā</w:t>
      </w:r>
      <w:r w:rsidR="008169B1">
        <w:rPr>
          <w:rFonts w:ascii="Times New Roman" w:hAnsi="Times New Roman"/>
          <w:sz w:val="24"/>
          <w:szCs w:val="24"/>
        </w:rPr>
        <w:t>;</w:t>
      </w:r>
      <w:r w:rsidR="0041709D" w:rsidRPr="00E86236">
        <w:rPr>
          <w:rFonts w:ascii="Times New Roman" w:hAnsi="Times New Roman"/>
          <w:sz w:val="24"/>
          <w:szCs w:val="24"/>
        </w:rPr>
        <w:t xml:space="preserve"> </w:t>
      </w:r>
    </w:p>
    <w:p w:rsidR="0046795B" w:rsidRPr="00B30C4E" w:rsidRDefault="0046795B" w:rsidP="002553D8">
      <w:pPr>
        <w:spacing w:after="0" w:line="240" w:lineRule="auto"/>
        <w:ind w:firstLine="567"/>
        <w:jc w:val="both"/>
        <w:rPr>
          <w:rFonts w:ascii="Times New Roman" w:hAnsi="Times New Roman"/>
          <w:sz w:val="24"/>
          <w:szCs w:val="24"/>
        </w:rPr>
      </w:pPr>
      <w:r w:rsidRPr="00B30C4E">
        <w:rPr>
          <w:rFonts w:ascii="Times New Roman" w:hAnsi="Times New Roman"/>
          <w:sz w:val="24"/>
          <w:szCs w:val="24"/>
        </w:rPr>
        <w:t>49.2. Prezidentūras pasākumu nodrošināšanai 2015.gadā – 187 500 EUR;</w:t>
      </w:r>
    </w:p>
    <w:p w:rsidR="00D01666" w:rsidRPr="002102FA" w:rsidRDefault="00710607" w:rsidP="002553D8">
      <w:pPr>
        <w:spacing w:after="0" w:line="240" w:lineRule="auto"/>
        <w:ind w:firstLine="567"/>
        <w:jc w:val="both"/>
        <w:rPr>
          <w:rFonts w:ascii="Times New Roman" w:hAnsi="Times New Roman"/>
          <w:sz w:val="24"/>
          <w:szCs w:val="24"/>
        </w:rPr>
      </w:pPr>
      <w:r w:rsidRPr="002102FA">
        <w:rPr>
          <w:rFonts w:ascii="Times New Roman" w:hAnsi="Times New Roman"/>
          <w:sz w:val="24"/>
          <w:szCs w:val="24"/>
        </w:rPr>
        <w:t>49</w:t>
      </w:r>
      <w:r w:rsidR="00D01666" w:rsidRPr="002102FA">
        <w:rPr>
          <w:rFonts w:ascii="Times New Roman" w:hAnsi="Times New Roman"/>
          <w:sz w:val="24"/>
          <w:szCs w:val="24"/>
        </w:rPr>
        <w:t>.</w:t>
      </w:r>
      <w:r w:rsidR="0046795B" w:rsidRPr="002102FA">
        <w:rPr>
          <w:rFonts w:ascii="Times New Roman" w:hAnsi="Times New Roman"/>
          <w:sz w:val="24"/>
          <w:szCs w:val="24"/>
        </w:rPr>
        <w:t>3</w:t>
      </w:r>
      <w:r w:rsidR="00D01666" w:rsidRPr="002102FA">
        <w:rPr>
          <w:rFonts w:ascii="Times New Roman" w:hAnsi="Times New Roman"/>
          <w:sz w:val="24"/>
          <w:szCs w:val="24"/>
        </w:rPr>
        <w:t xml:space="preserve">. </w:t>
      </w:r>
      <w:r w:rsidR="0041709D" w:rsidRPr="002102FA">
        <w:rPr>
          <w:rFonts w:ascii="Times New Roman" w:hAnsi="Times New Roman"/>
          <w:sz w:val="24"/>
          <w:szCs w:val="24"/>
        </w:rPr>
        <w:t xml:space="preserve">programmas </w:t>
      </w:r>
      <w:r w:rsidR="0041709D" w:rsidRPr="002102FA">
        <w:rPr>
          <w:rFonts w:ascii="Times New Roman" w:hAnsi="Times New Roman"/>
          <w:i/>
          <w:sz w:val="24"/>
          <w:szCs w:val="24"/>
        </w:rPr>
        <w:t>Erasmus+</w:t>
      </w:r>
      <w:r w:rsidR="0041709D" w:rsidRPr="002102FA">
        <w:rPr>
          <w:rFonts w:ascii="Times New Roman" w:hAnsi="Times New Roman"/>
          <w:sz w:val="24"/>
          <w:szCs w:val="24"/>
        </w:rPr>
        <w:t xml:space="preserve"> projektu īstenošanai</w:t>
      </w:r>
      <w:r w:rsidR="0089039D" w:rsidRPr="002102FA">
        <w:rPr>
          <w:rFonts w:ascii="Times New Roman" w:hAnsi="Times New Roman"/>
          <w:sz w:val="24"/>
          <w:szCs w:val="24"/>
        </w:rPr>
        <w:t xml:space="preserve"> </w:t>
      </w:r>
      <w:r w:rsidR="00D01666" w:rsidRPr="002102FA">
        <w:rPr>
          <w:rFonts w:ascii="Times New Roman" w:hAnsi="Times New Roman"/>
          <w:sz w:val="24"/>
          <w:szCs w:val="24"/>
        </w:rPr>
        <w:t>-</w:t>
      </w:r>
      <w:r w:rsidR="00045537" w:rsidRPr="002102FA">
        <w:rPr>
          <w:rFonts w:ascii="Times New Roman" w:hAnsi="Times New Roman"/>
          <w:sz w:val="24"/>
          <w:szCs w:val="24"/>
        </w:rPr>
        <w:t xml:space="preserve"> 2014.gadā nepieciešamā finansējuma apmērā</w:t>
      </w:r>
      <w:r w:rsidR="00D01666" w:rsidRPr="002102FA">
        <w:rPr>
          <w:rFonts w:ascii="Times New Roman" w:hAnsi="Times New Roman"/>
          <w:sz w:val="24"/>
          <w:szCs w:val="24"/>
        </w:rPr>
        <w:t xml:space="preserve">, nodrošinot studentu </w:t>
      </w:r>
      <w:proofErr w:type="spellStart"/>
      <w:r w:rsidR="00D01666" w:rsidRPr="002102FA">
        <w:rPr>
          <w:rFonts w:ascii="Times New Roman" w:hAnsi="Times New Roman"/>
          <w:sz w:val="24"/>
          <w:szCs w:val="24"/>
        </w:rPr>
        <w:t>mobilitātēm</w:t>
      </w:r>
      <w:proofErr w:type="spellEnd"/>
      <w:r w:rsidR="00D01666" w:rsidRPr="002102FA">
        <w:rPr>
          <w:rFonts w:ascii="Times New Roman" w:hAnsi="Times New Roman"/>
          <w:sz w:val="24"/>
          <w:szCs w:val="24"/>
        </w:rPr>
        <w:t xml:space="preserve"> līdzfinansējumu</w:t>
      </w:r>
      <w:r w:rsidR="00AB1A67" w:rsidRPr="002102FA">
        <w:rPr>
          <w:rFonts w:ascii="Times New Roman" w:hAnsi="Times New Roman"/>
          <w:sz w:val="24"/>
          <w:szCs w:val="24"/>
        </w:rPr>
        <w:t xml:space="preserve"> vidēji</w:t>
      </w:r>
      <w:r w:rsidR="00D01666" w:rsidRPr="002102FA">
        <w:rPr>
          <w:rFonts w:ascii="Times New Roman" w:hAnsi="Times New Roman"/>
          <w:sz w:val="24"/>
          <w:szCs w:val="24"/>
        </w:rPr>
        <w:t xml:space="preserve"> 3</w:t>
      </w:r>
      <w:r w:rsidR="00043070" w:rsidRPr="002102FA">
        <w:rPr>
          <w:rFonts w:ascii="Times New Roman" w:hAnsi="Times New Roman"/>
          <w:sz w:val="24"/>
          <w:szCs w:val="24"/>
        </w:rPr>
        <w:t>5</w:t>
      </w:r>
      <w:r w:rsidR="00D01666" w:rsidRPr="002102FA">
        <w:rPr>
          <w:rFonts w:ascii="Times New Roman" w:hAnsi="Times New Roman"/>
          <w:sz w:val="24"/>
          <w:szCs w:val="24"/>
        </w:rPr>
        <w:t xml:space="preserve">% apmērā no studentu </w:t>
      </w:r>
      <w:proofErr w:type="spellStart"/>
      <w:r w:rsidR="00D01666" w:rsidRPr="002102FA">
        <w:rPr>
          <w:rFonts w:ascii="Times New Roman" w:hAnsi="Times New Roman"/>
          <w:sz w:val="24"/>
          <w:szCs w:val="24"/>
        </w:rPr>
        <w:t>mobilitātēm</w:t>
      </w:r>
      <w:proofErr w:type="spellEnd"/>
      <w:r w:rsidR="00D01666" w:rsidRPr="002102FA">
        <w:rPr>
          <w:rFonts w:ascii="Times New Roman" w:hAnsi="Times New Roman"/>
          <w:sz w:val="24"/>
          <w:szCs w:val="24"/>
        </w:rPr>
        <w:t xml:space="preserve"> kopējā pieejamā finansējuma un personāla </w:t>
      </w:r>
      <w:proofErr w:type="spellStart"/>
      <w:r w:rsidR="00D01666" w:rsidRPr="002102FA">
        <w:rPr>
          <w:rFonts w:ascii="Times New Roman" w:hAnsi="Times New Roman"/>
          <w:sz w:val="24"/>
          <w:szCs w:val="24"/>
        </w:rPr>
        <w:t>mobilitātēm</w:t>
      </w:r>
      <w:proofErr w:type="spellEnd"/>
      <w:r w:rsidR="00D01666" w:rsidRPr="002102FA">
        <w:rPr>
          <w:rFonts w:ascii="Times New Roman" w:hAnsi="Times New Roman"/>
          <w:sz w:val="24"/>
          <w:szCs w:val="24"/>
        </w:rPr>
        <w:t xml:space="preserve"> – 20% apmērā no personāla </w:t>
      </w:r>
      <w:proofErr w:type="spellStart"/>
      <w:r w:rsidR="00D01666" w:rsidRPr="002102FA">
        <w:rPr>
          <w:rFonts w:ascii="Times New Roman" w:hAnsi="Times New Roman"/>
          <w:sz w:val="24"/>
          <w:szCs w:val="24"/>
        </w:rPr>
        <w:t>mobilitātēm</w:t>
      </w:r>
      <w:proofErr w:type="spellEnd"/>
      <w:r w:rsidR="00D01666" w:rsidRPr="002102FA">
        <w:rPr>
          <w:rFonts w:ascii="Times New Roman" w:hAnsi="Times New Roman"/>
          <w:sz w:val="24"/>
          <w:szCs w:val="24"/>
        </w:rPr>
        <w:t xml:space="preserve"> kopējā pieejamā finansējuma</w:t>
      </w:r>
      <w:r w:rsidR="008169B1" w:rsidRPr="002102FA">
        <w:rPr>
          <w:rFonts w:ascii="Times New Roman" w:hAnsi="Times New Roman"/>
          <w:sz w:val="24"/>
          <w:szCs w:val="24"/>
        </w:rPr>
        <w:t>,</w:t>
      </w:r>
      <w:r w:rsidR="00394308" w:rsidRPr="002102FA">
        <w:rPr>
          <w:rFonts w:ascii="Times New Roman" w:hAnsi="Times New Roman"/>
          <w:sz w:val="24"/>
          <w:szCs w:val="24"/>
        </w:rPr>
        <w:t xml:space="preserve"> jeb </w:t>
      </w:r>
      <w:r w:rsidR="00043070" w:rsidRPr="002102FA">
        <w:rPr>
          <w:rFonts w:ascii="Times New Roman" w:hAnsi="Times New Roman"/>
          <w:sz w:val="24"/>
          <w:szCs w:val="24"/>
        </w:rPr>
        <w:t xml:space="preserve">2 952 180 </w:t>
      </w:r>
      <w:r w:rsidR="00394308" w:rsidRPr="002102FA">
        <w:rPr>
          <w:rFonts w:ascii="Times New Roman" w:hAnsi="Times New Roman"/>
          <w:sz w:val="24"/>
          <w:szCs w:val="24"/>
        </w:rPr>
        <w:t>EUR katrā no turpmākajiem programmas īstenošanas gadiem,</w:t>
      </w:r>
      <w:r w:rsidR="008169B1" w:rsidRPr="002102FA">
        <w:rPr>
          <w:rFonts w:ascii="Times New Roman" w:hAnsi="Times New Roman"/>
          <w:sz w:val="24"/>
          <w:szCs w:val="24"/>
        </w:rPr>
        <w:t xml:space="preserve"> tās precizējot atbilstoši Komisijas ikgadējās darba programmās plānotajam finansējumam likumprojekta par vidējā termiņa budžeta ietvaru un likumprojekta par valsts budžetu kārtējam gadam izstrādes gaitā;</w:t>
      </w:r>
    </w:p>
    <w:p w:rsidR="00D01666" w:rsidRDefault="00710607" w:rsidP="002553D8">
      <w:pPr>
        <w:spacing w:after="0" w:line="240" w:lineRule="auto"/>
        <w:ind w:firstLine="567"/>
        <w:jc w:val="both"/>
        <w:rPr>
          <w:rFonts w:ascii="Times New Roman" w:hAnsi="Times New Roman"/>
          <w:sz w:val="24"/>
          <w:szCs w:val="24"/>
        </w:rPr>
      </w:pPr>
      <w:r>
        <w:rPr>
          <w:rFonts w:ascii="Times New Roman" w:hAnsi="Times New Roman"/>
          <w:sz w:val="24"/>
          <w:szCs w:val="24"/>
        </w:rPr>
        <w:t>49</w:t>
      </w:r>
      <w:r w:rsidR="00D01666">
        <w:rPr>
          <w:rFonts w:ascii="Times New Roman" w:hAnsi="Times New Roman"/>
          <w:sz w:val="24"/>
          <w:szCs w:val="24"/>
        </w:rPr>
        <w:t>.</w:t>
      </w:r>
      <w:r w:rsidR="0046795B">
        <w:rPr>
          <w:rFonts w:ascii="Times New Roman" w:hAnsi="Times New Roman"/>
          <w:sz w:val="24"/>
          <w:szCs w:val="24"/>
        </w:rPr>
        <w:t>4</w:t>
      </w:r>
      <w:r w:rsidR="00D01666">
        <w:rPr>
          <w:rFonts w:ascii="Times New Roman" w:hAnsi="Times New Roman"/>
          <w:sz w:val="24"/>
          <w:szCs w:val="24"/>
        </w:rPr>
        <w:t xml:space="preserve">. </w:t>
      </w:r>
      <w:r w:rsidR="0041709D" w:rsidRPr="0046795B">
        <w:rPr>
          <w:rFonts w:ascii="Times New Roman" w:hAnsi="Times New Roman"/>
          <w:sz w:val="24"/>
          <w:szCs w:val="24"/>
        </w:rPr>
        <w:t>valsts aģentūru darbības nodrošināšanai</w:t>
      </w:r>
      <w:r w:rsidR="0041709D" w:rsidRPr="00E86236">
        <w:rPr>
          <w:rFonts w:ascii="Times New Roman" w:hAnsi="Times New Roman"/>
          <w:sz w:val="24"/>
          <w:szCs w:val="24"/>
        </w:rPr>
        <w:t xml:space="preserve"> – atbilstoši informatīvā ziņojuma </w:t>
      </w:r>
      <w:r w:rsidR="00BF7896" w:rsidRPr="001E30D5">
        <w:rPr>
          <w:rFonts w:ascii="Times New Roman" w:hAnsi="Times New Roman"/>
          <w:sz w:val="24"/>
          <w:szCs w:val="24"/>
        </w:rPr>
        <w:t>21.</w:t>
      </w:r>
      <w:r w:rsidR="0041709D" w:rsidRPr="001E30D5">
        <w:rPr>
          <w:rFonts w:ascii="Times New Roman" w:hAnsi="Times New Roman"/>
          <w:sz w:val="24"/>
          <w:szCs w:val="24"/>
        </w:rPr>
        <w:t>punktā</w:t>
      </w:r>
      <w:r w:rsidR="0041709D" w:rsidRPr="00E86236">
        <w:rPr>
          <w:rFonts w:ascii="Times New Roman" w:hAnsi="Times New Roman"/>
          <w:sz w:val="24"/>
          <w:szCs w:val="24"/>
        </w:rPr>
        <w:t xml:space="preserve"> noteiktajam</w:t>
      </w:r>
      <w:r w:rsidR="00394308">
        <w:rPr>
          <w:rFonts w:ascii="Times New Roman" w:hAnsi="Times New Roman"/>
          <w:sz w:val="24"/>
          <w:szCs w:val="24"/>
        </w:rPr>
        <w:t xml:space="preserve"> jeb </w:t>
      </w:r>
      <w:r w:rsidR="00394308" w:rsidRPr="002102FA">
        <w:rPr>
          <w:rFonts w:ascii="Times New Roman" w:hAnsi="Times New Roman"/>
          <w:sz w:val="24"/>
          <w:szCs w:val="24"/>
        </w:rPr>
        <w:t>2015.gadā – 710 564 EUR</w:t>
      </w:r>
      <w:r w:rsidR="008169B1" w:rsidRPr="002102FA">
        <w:rPr>
          <w:rFonts w:ascii="Times New Roman" w:hAnsi="Times New Roman"/>
          <w:sz w:val="24"/>
          <w:szCs w:val="24"/>
        </w:rPr>
        <w:t>,</w:t>
      </w:r>
      <w:r w:rsidR="00394308" w:rsidRPr="002102FA">
        <w:rPr>
          <w:rFonts w:ascii="Times New Roman" w:hAnsi="Times New Roman"/>
          <w:sz w:val="24"/>
          <w:szCs w:val="24"/>
        </w:rPr>
        <w:t xml:space="preserve"> 2016.gadā un katrā no turpmākajiem programmas īstenošanas gadiem – </w:t>
      </w:r>
      <w:r w:rsidR="0046795B" w:rsidRPr="002102FA">
        <w:rPr>
          <w:rFonts w:ascii="Times New Roman" w:hAnsi="Times New Roman"/>
          <w:sz w:val="24"/>
          <w:szCs w:val="24"/>
        </w:rPr>
        <w:t>684 057</w:t>
      </w:r>
      <w:r w:rsidR="00394308" w:rsidRPr="002102FA">
        <w:rPr>
          <w:rFonts w:ascii="Times New Roman" w:hAnsi="Times New Roman"/>
          <w:sz w:val="24"/>
          <w:szCs w:val="24"/>
        </w:rPr>
        <w:t xml:space="preserve"> EUR,</w:t>
      </w:r>
      <w:r w:rsidR="008169B1" w:rsidRPr="002102FA">
        <w:rPr>
          <w:rFonts w:ascii="Times New Roman" w:hAnsi="Times New Roman"/>
          <w:sz w:val="24"/>
          <w:szCs w:val="24"/>
        </w:rPr>
        <w:t xml:space="preserve"> tās precizējot atbilstoši Komisijas ikgadējās darba programmās plānotajam finansējumam likumprojekta par vidējā</w:t>
      </w:r>
      <w:r w:rsidR="008169B1" w:rsidRPr="00E86236">
        <w:rPr>
          <w:rFonts w:ascii="Times New Roman" w:hAnsi="Times New Roman"/>
          <w:sz w:val="24"/>
          <w:szCs w:val="24"/>
        </w:rPr>
        <w:t xml:space="preserve"> termiņa budžeta ietvaru un likumprojekta par valsts budžetu kārtējam gadam izstrādes gaitā</w:t>
      </w:r>
      <w:r w:rsidR="008169B1">
        <w:rPr>
          <w:rFonts w:ascii="Times New Roman" w:hAnsi="Times New Roman"/>
          <w:sz w:val="24"/>
          <w:szCs w:val="24"/>
        </w:rPr>
        <w:t>.</w:t>
      </w:r>
    </w:p>
    <w:p w:rsidR="00710607" w:rsidRPr="002102FA" w:rsidRDefault="00710607" w:rsidP="002553D8">
      <w:pPr>
        <w:spacing w:after="0" w:line="240" w:lineRule="auto"/>
        <w:ind w:firstLine="567"/>
        <w:jc w:val="both"/>
        <w:rPr>
          <w:rFonts w:ascii="Times New Roman" w:hAnsi="Times New Roman"/>
          <w:sz w:val="24"/>
          <w:szCs w:val="24"/>
        </w:rPr>
      </w:pPr>
      <w:r w:rsidRPr="002102FA">
        <w:rPr>
          <w:rFonts w:ascii="Times New Roman" w:hAnsi="Times New Roman"/>
          <w:sz w:val="24"/>
          <w:szCs w:val="24"/>
        </w:rPr>
        <w:t xml:space="preserve">50. Informācija par 2014.-2020.gadā nepieciešamo finansējumu programmas </w:t>
      </w:r>
      <w:r w:rsidRPr="002102FA">
        <w:rPr>
          <w:rFonts w:ascii="Times New Roman" w:hAnsi="Times New Roman"/>
          <w:i/>
          <w:sz w:val="24"/>
          <w:szCs w:val="24"/>
        </w:rPr>
        <w:t>Erasmus+</w:t>
      </w:r>
      <w:r w:rsidRPr="002102FA">
        <w:rPr>
          <w:rFonts w:ascii="Times New Roman" w:hAnsi="Times New Roman"/>
          <w:sz w:val="24"/>
          <w:szCs w:val="24"/>
        </w:rPr>
        <w:t xml:space="preserve"> īstenošanai sadalījumā pa gadiem un budžeta apakšprogrammām norādīta informatīvā ziņojuma 3.pielikumā. </w:t>
      </w:r>
    </w:p>
    <w:p w:rsidR="000F7F7C" w:rsidRPr="00E86236" w:rsidRDefault="000F7F7C" w:rsidP="002553D8">
      <w:pPr>
        <w:spacing w:after="0" w:line="240" w:lineRule="auto"/>
        <w:ind w:firstLine="567"/>
        <w:jc w:val="both"/>
        <w:rPr>
          <w:rFonts w:ascii="Times New Roman" w:hAnsi="Times New Roman"/>
          <w:sz w:val="24"/>
          <w:szCs w:val="24"/>
        </w:rPr>
      </w:pPr>
    </w:p>
    <w:p w:rsidR="0041709D" w:rsidRDefault="0041709D" w:rsidP="00FA6D5E">
      <w:pPr>
        <w:pStyle w:val="ListParagraph"/>
        <w:rPr>
          <w:rFonts w:ascii="Times New Roman" w:hAnsi="Times New Roman"/>
          <w:sz w:val="24"/>
          <w:szCs w:val="24"/>
        </w:rPr>
      </w:pPr>
    </w:p>
    <w:p w:rsidR="00FA6D5E" w:rsidRDefault="00FA6D5E" w:rsidP="00FA6D5E">
      <w:pPr>
        <w:pStyle w:val="ListParagraph"/>
        <w:rPr>
          <w:rFonts w:ascii="Times New Roman" w:hAnsi="Times New Roman"/>
          <w:sz w:val="24"/>
          <w:szCs w:val="24"/>
        </w:rPr>
      </w:pPr>
      <w:r>
        <w:rPr>
          <w:rFonts w:ascii="Times New Roman" w:hAnsi="Times New Roman"/>
          <w:sz w:val="24"/>
          <w:szCs w:val="24"/>
        </w:rPr>
        <w:t>Iesniedzējs:</w:t>
      </w:r>
    </w:p>
    <w:p w:rsidR="00FA6D5E" w:rsidRDefault="000B387A" w:rsidP="00FA6D5E">
      <w:pPr>
        <w:pStyle w:val="ListParagraph"/>
        <w:rPr>
          <w:rFonts w:ascii="Times New Roman" w:hAnsi="Times New Roman"/>
          <w:sz w:val="24"/>
          <w:szCs w:val="24"/>
        </w:rPr>
      </w:pPr>
      <w:r>
        <w:rPr>
          <w:rFonts w:ascii="Times New Roman" w:hAnsi="Times New Roman"/>
          <w:sz w:val="24"/>
          <w:szCs w:val="24"/>
        </w:rPr>
        <w:t>I</w:t>
      </w:r>
      <w:r w:rsidR="00FA6D5E">
        <w:rPr>
          <w:rFonts w:ascii="Times New Roman" w:hAnsi="Times New Roman"/>
          <w:sz w:val="24"/>
          <w:szCs w:val="24"/>
        </w:rPr>
        <w:t>zglītības un zinātnes ministre</w:t>
      </w:r>
      <w:r w:rsidR="00FA6D5E">
        <w:rPr>
          <w:rFonts w:ascii="Times New Roman" w:hAnsi="Times New Roman"/>
          <w:sz w:val="24"/>
          <w:szCs w:val="24"/>
        </w:rPr>
        <w:tab/>
      </w:r>
      <w:r w:rsidR="00FA6D5E">
        <w:rPr>
          <w:rFonts w:ascii="Times New Roman" w:hAnsi="Times New Roman"/>
          <w:sz w:val="24"/>
          <w:szCs w:val="24"/>
        </w:rPr>
        <w:tab/>
      </w:r>
      <w:r w:rsidR="00FA6D5E">
        <w:rPr>
          <w:rFonts w:ascii="Times New Roman" w:hAnsi="Times New Roman"/>
          <w:sz w:val="24"/>
          <w:szCs w:val="24"/>
        </w:rPr>
        <w:tab/>
      </w:r>
      <w:r w:rsidR="00FA6D5E">
        <w:rPr>
          <w:rFonts w:ascii="Times New Roman" w:hAnsi="Times New Roman"/>
          <w:sz w:val="24"/>
          <w:szCs w:val="24"/>
        </w:rPr>
        <w:tab/>
      </w:r>
      <w:r w:rsidR="00FA6D5E">
        <w:rPr>
          <w:rFonts w:ascii="Times New Roman" w:hAnsi="Times New Roman"/>
          <w:sz w:val="24"/>
          <w:szCs w:val="24"/>
        </w:rPr>
        <w:tab/>
        <w:t>I</w:t>
      </w:r>
      <w:r w:rsidR="00E80E60">
        <w:rPr>
          <w:rFonts w:ascii="Times New Roman" w:hAnsi="Times New Roman"/>
          <w:sz w:val="24"/>
          <w:szCs w:val="24"/>
        </w:rPr>
        <w:t xml:space="preserve">na </w:t>
      </w:r>
      <w:r w:rsidR="00FA6D5E">
        <w:rPr>
          <w:rFonts w:ascii="Times New Roman" w:hAnsi="Times New Roman"/>
          <w:sz w:val="24"/>
          <w:szCs w:val="24"/>
        </w:rPr>
        <w:t>Druviete</w:t>
      </w:r>
    </w:p>
    <w:p w:rsidR="00FA6D5E" w:rsidRDefault="00FA6D5E" w:rsidP="00FA6D5E">
      <w:pPr>
        <w:pStyle w:val="ListParagraph"/>
        <w:rPr>
          <w:rFonts w:ascii="Times New Roman" w:hAnsi="Times New Roman"/>
          <w:sz w:val="24"/>
          <w:szCs w:val="24"/>
        </w:rPr>
      </w:pPr>
    </w:p>
    <w:p w:rsidR="00FA6D5E" w:rsidRDefault="00FA6D5E" w:rsidP="00FA6D5E">
      <w:pPr>
        <w:pStyle w:val="ListParagraph"/>
        <w:rPr>
          <w:rFonts w:ascii="Times New Roman" w:hAnsi="Times New Roman"/>
          <w:sz w:val="24"/>
          <w:szCs w:val="24"/>
        </w:rPr>
      </w:pPr>
    </w:p>
    <w:p w:rsidR="000B387A" w:rsidRDefault="00FA6D5E" w:rsidP="00FA6D5E">
      <w:pPr>
        <w:pStyle w:val="ListParagraph"/>
        <w:rPr>
          <w:rFonts w:ascii="Times New Roman" w:hAnsi="Times New Roman"/>
          <w:sz w:val="24"/>
          <w:szCs w:val="24"/>
        </w:rPr>
      </w:pPr>
      <w:r>
        <w:rPr>
          <w:rFonts w:ascii="Times New Roman" w:hAnsi="Times New Roman"/>
          <w:sz w:val="24"/>
          <w:szCs w:val="24"/>
        </w:rPr>
        <w:t>V</w:t>
      </w:r>
      <w:r w:rsidR="00CE0F6F">
        <w:rPr>
          <w:rFonts w:ascii="Times New Roman" w:hAnsi="Times New Roman"/>
          <w:sz w:val="24"/>
          <w:szCs w:val="24"/>
        </w:rPr>
        <w:t>i</w:t>
      </w:r>
      <w:r>
        <w:rPr>
          <w:rFonts w:ascii="Times New Roman" w:hAnsi="Times New Roman"/>
          <w:sz w:val="24"/>
          <w:szCs w:val="24"/>
        </w:rPr>
        <w:t xml:space="preserve">zē: </w:t>
      </w:r>
    </w:p>
    <w:p w:rsidR="00FA6D5E" w:rsidRDefault="000B387A" w:rsidP="00FA6D5E">
      <w:pPr>
        <w:pStyle w:val="ListParagraph"/>
        <w:rPr>
          <w:rFonts w:ascii="Times New Roman" w:hAnsi="Times New Roman"/>
          <w:sz w:val="24"/>
          <w:szCs w:val="24"/>
        </w:rPr>
      </w:pPr>
      <w:r>
        <w:rPr>
          <w:rFonts w:ascii="Times New Roman" w:hAnsi="Times New Roman"/>
          <w:sz w:val="24"/>
          <w:szCs w:val="24"/>
        </w:rPr>
        <w:t>V</w:t>
      </w:r>
      <w:r w:rsidR="00FA6D5E">
        <w:rPr>
          <w:rFonts w:ascii="Times New Roman" w:hAnsi="Times New Roman"/>
          <w:sz w:val="24"/>
          <w:szCs w:val="24"/>
        </w:rPr>
        <w:t>alsts sekretāre</w:t>
      </w:r>
      <w:r w:rsidR="00FA6D5E">
        <w:rPr>
          <w:rFonts w:ascii="Times New Roman" w:hAnsi="Times New Roman"/>
          <w:sz w:val="24"/>
          <w:szCs w:val="24"/>
        </w:rPr>
        <w:tab/>
      </w:r>
      <w:r w:rsidR="00FA6D5E">
        <w:rPr>
          <w:rFonts w:ascii="Times New Roman" w:hAnsi="Times New Roman"/>
          <w:sz w:val="24"/>
          <w:szCs w:val="24"/>
        </w:rPr>
        <w:tab/>
      </w:r>
      <w:r w:rsidR="00FA6D5E">
        <w:rPr>
          <w:rFonts w:ascii="Times New Roman" w:hAnsi="Times New Roman"/>
          <w:sz w:val="24"/>
          <w:szCs w:val="24"/>
        </w:rPr>
        <w:tab/>
      </w:r>
      <w:r w:rsidR="00FA6D5E">
        <w:rPr>
          <w:rFonts w:ascii="Times New Roman" w:hAnsi="Times New Roman"/>
          <w:sz w:val="24"/>
          <w:szCs w:val="24"/>
        </w:rPr>
        <w:tab/>
      </w:r>
      <w:r w:rsidR="00FA6D5E">
        <w:rPr>
          <w:rFonts w:ascii="Times New Roman" w:hAnsi="Times New Roman"/>
          <w:sz w:val="24"/>
          <w:szCs w:val="24"/>
        </w:rPr>
        <w:tab/>
      </w:r>
      <w:r w:rsidR="00FA6D5E">
        <w:rPr>
          <w:rFonts w:ascii="Times New Roman" w:hAnsi="Times New Roman"/>
          <w:sz w:val="24"/>
          <w:szCs w:val="24"/>
        </w:rPr>
        <w:tab/>
      </w:r>
      <w:r w:rsidR="00FA6D5E">
        <w:rPr>
          <w:rFonts w:ascii="Times New Roman" w:hAnsi="Times New Roman"/>
          <w:sz w:val="24"/>
          <w:szCs w:val="24"/>
        </w:rPr>
        <w:tab/>
        <w:t>S</w:t>
      </w:r>
      <w:r w:rsidR="00E80E60">
        <w:rPr>
          <w:rFonts w:ascii="Times New Roman" w:hAnsi="Times New Roman"/>
          <w:sz w:val="24"/>
          <w:szCs w:val="24"/>
        </w:rPr>
        <w:t xml:space="preserve">anda </w:t>
      </w:r>
      <w:r w:rsidR="00FA6D5E">
        <w:rPr>
          <w:rFonts w:ascii="Times New Roman" w:hAnsi="Times New Roman"/>
          <w:sz w:val="24"/>
          <w:szCs w:val="24"/>
        </w:rPr>
        <w:t>Liepiņa</w:t>
      </w:r>
    </w:p>
    <w:p w:rsidR="000B387A" w:rsidRDefault="000B387A" w:rsidP="00FA6D5E">
      <w:pPr>
        <w:tabs>
          <w:tab w:val="left" w:pos="3360"/>
        </w:tabs>
        <w:spacing w:after="0" w:line="240" w:lineRule="auto"/>
        <w:jc w:val="both"/>
        <w:rPr>
          <w:rFonts w:ascii="Times New Roman" w:hAnsi="Times New Roman"/>
          <w:bCs/>
          <w:sz w:val="18"/>
          <w:szCs w:val="18"/>
        </w:rPr>
      </w:pPr>
    </w:p>
    <w:p w:rsidR="00BF7896" w:rsidRDefault="00BF7896" w:rsidP="00FA6D5E">
      <w:pPr>
        <w:tabs>
          <w:tab w:val="left" w:pos="3360"/>
        </w:tabs>
        <w:spacing w:after="0" w:line="240" w:lineRule="auto"/>
        <w:jc w:val="both"/>
        <w:rPr>
          <w:rFonts w:ascii="Times New Roman" w:hAnsi="Times New Roman"/>
          <w:bCs/>
          <w:sz w:val="18"/>
          <w:szCs w:val="18"/>
        </w:rPr>
      </w:pPr>
    </w:p>
    <w:p w:rsidR="00BF7896" w:rsidRDefault="00BF7896" w:rsidP="00FA6D5E">
      <w:pPr>
        <w:tabs>
          <w:tab w:val="left" w:pos="3360"/>
        </w:tabs>
        <w:spacing w:after="0" w:line="240" w:lineRule="auto"/>
        <w:jc w:val="both"/>
        <w:rPr>
          <w:rFonts w:ascii="Times New Roman" w:hAnsi="Times New Roman"/>
          <w:bCs/>
          <w:sz w:val="18"/>
          <w:szCs w:val="18"/>
        </w:rPr>
      </w:pPr>
    </w:p>
    <w:p w:rsidR="00BF7896" w:rsidRDefault="00BF7896" w:rsidP="00FA6D5E">
      <w:pPr>
        <w:tabs>
          <w:tab w:val="left" w:pos="3360"/>
        </w:tabs>
        <w:spacing w:after="0" w:line="240" w:lineRule="auto"/>
        <w:jc w:val="both"/>
        <w:rPr>
          <w:rFonts w:ascii="Times New Roman" w:hAnsi="Times New Roman"/>
          <w:bCs/>
          <w:sz w:val="18"/>
          <w:szCs w:val="18"/>
        </w:rPr>
      </w:pPr>
    </w:p>
    <w:p w:rsidR="00BF7896" w:rsidRDefault="00BF7896" w:rsidP="00FA6D5E">
      <w:pPr>
        <w:tabs>
          <w:tab w:val="left" w:pos="3360"/>
        </w:tabs>
        <w:spacing w:after="0" w:line="240" w:lineRule="auto"/>
        <w:jc w:val="both"/>
        <w:rPr>
          <w:rFonts w:ascii="Times New Roman" w:hAnsi="Times New Roman"/>
          <w:bCs/>
          <w:sz w:val="18"/>
          <w:szCs w:val="18"/>
        </w:rPr>
      </w:pPr>
    </w:p>
    <w:p w:rsidR="000B387A" w:rsidRDefault="000B387A" w:rsidP="00FA6D5E">
      <w:pPr>
        <w:tabs>
          <w:tab w:val="left" w:pos="3360"/>
        </w:tabs>
        <w:spacing w:after="0" w:line="240" w:lineRule="auto"/>
        <w:jc w:val="both"/>
        <w:rPr>
          <w:rFonts w:ascii="Times New Roman" w:hAnsi="Times New Roman"/>
          <w:bCs/>
          <w:sz w:val="18"/>
          <w:szCs w:val="18"/>
        </w:rPr>
      </w:pPr>
    </w:p>
    <w:p w:rsidR="00FA6D5E" w:rsidRPr="00F0565B" w:rsidRDefault="00D2045F" w:rsidP="00FA6D5E">
      <w:pPr>
        <w:tabs>
          <w:tab w:val="left" w:pos="3360"/>
        </w:tabs>
        <w:spacing w:after="0" w:line="240" w:lineRule="auto"/>
        <w:jc w:val="both"/>
        <w:rPr>
          <w:rFonts w:ascii="Times New Roman" w:hAnsi="Times New Roman"/>
          <w:bCs/>
          <w:sz w:val="18"/>
          <w:szCs w:val="18"/>
        </w:rPr>
      </w:pPr>
      <w:r w:rsidRPr="00F0565B">
        <w:rPr>
          <w:rFonts w:ascii="Times New Roman" w:hAnsi="Times New Roman"/>
          <w:bCs/>
          <w:sz w:val="18"/>
          <w:szCs w:val="18"/>
        </w:rPr>
        <w:fldChar w:fldCharType="begin"/>
      </w:r>
      <w:r w:rsidR="00FA6D5E" w:rsidRPr="00F0565B">
        <w:rPr>
          <w:rFonts w:ascii="Times New Roman" w:hAnsi="Times New Roman"/>
          <w:bCs/>
          <w:sz w:val="18"/>
          <w:szCs w:val="18"/>
        </w:rPr>
        <w:instrText xml:space="preserve"> SAVEDATE  \@ "dd.MM.yyyy. H:mm"  \* MERGEFORMAT </w:instrText>
      </w:r>
      <w:r w:rsidRPr="00F0565B">
        <w:rPr>
          <w:rFonts w:ascii="Times New Roman" w:hAnsi="Times New Roman"/>
          <w:bCs/>
          <w:sz w:val="18"/>
          <w:szCs w:val="18"/>
        </w:rPr>
        <w:fldChar w:fldCharType="separate"/>
      </w:r>
      <w:r w:rsidR="00305B83">
        <w:rPr>
          <w:rFonts w:ascii="Times New Roman" w:hAnsi="Times New Roman"/>
          <w:bCs/>
          <w:noProof/>
          <w:sz w:val="18"/>
          <w:szCs w:val="18"/>
        </w:rPr>
        <w:t>09.09.2014. 8:55</w:t>
      </w:r>
      <w:r w:rsidRPr="00F0565B">
        <w:rPr>
          <w:rFonts w:ascii="Times New Roman" w:hAnsi="Times New Roman"/>
          <w:bCs/>
          <w:sz w:val="18"/>
          <w:szCs w:val="18"/>
        </w:rPr>
        <w:fldChar w:fldCharType="end"/>
      </w:r>
    </w:p>
    <w:p w:rsidR="00FA6D5E" w:rsidRPr="00F0565B" w:rsidRDefault="00710607" w:rsidP="00FA6D5E">
      <w:pPr>
        <w:tabs>
          <w:tab w:val="left" w:pos="3360"/>
        </w:tabs>
        <w:spacing w:after="0" w:line="240" w:lineRule="auto"/>
        <w:jc w:val="both"/>
        <w:rPr>
          <w:rFonts w:ascii="Times New Roman" w:hAnsi="Times New Roman"/>
          <w:bCs/>
          <w:sz w:val="18"/>
          <w:szCs w:val="18"/>
        </w:rPr>
      </w:pPr>
      <w:r w:rsidRPr="009E741D">
        <w:rPr>
          <w:rFonts w:ascii="Times New Roman" w:hAnsi="Times New Roman"/>
          <w:bCs/>
          <w:sz w:val="18"/>
          <w:szCs w:val="18"/>
        </w:rPr>
        <w:t>58</w:t>
      </w:r>
      <w:r w:rsidR="009E741D" w:rsidRPr="009E741D">
        <w:rPr>
          <w:rFonts w:ascii="Times New Roman" w:hAnsi="Times New Roman"/>
          <w:bCs/>
          <w:sz w:val="18"/>
          <w:szCs w:val="18"/>
        </w:rPr>
        <w:t>93</w:t>
      </w:r>
    </w:p>
    <w:p w:rsidR="00FA6D5E" w:rsidRPr="00F0565B" w:rsidRDefault="00FA6D5E" w:rsidP="00FA6D5E">
      <w:pPr>
        <w:spacing w:after="0" w:line="240" w:lineRule="auto"/>
        <w:jc w:val="both"/>
        <w:rPr>
          <w:rFonts w:ascii="Times New Roman" w:hAnsi="Times New Roman"/>
          <w:sz w:val="18"/>
          <w:szCs w:val="18"/>
        </w:rPr>
      </w:pPr>
      <w:proofErr w:type="spellStart"/>
      <w:r w:rsidRPr="00F0565B">
        <w:rPr>
          <w:rFonts w:ascii="Times New Roman" w:hAnsi="Times New Roman"/>
          <w:sz w:val="18"/>
          <w:szCs w:val="18"/>
        </w:rPr>
        <w:t>I.Griķe</w:t>
      </w:r>
      <w:proofErr w:type="spellEnd"/>
    </w:p>
    <w:p w:rsidR="004D4CAF" w:rsidRDefault="00FA6D5E" w:rsidP="00F0565B">
      <w:pPr>
        <w:spacing w:after="0" w:line="240" w:lineRule="auto"/>
        <w:jc w:val="both"/>
        <w:rPr>
          <w:rFonts w:ascii="Times New Roman" w:hAnsi="Times New Roman"/>
          <w:sz w:val="18"/>
          <w:szCs w:val="18"/>
        </w:rPr>
      </w:pPr>
      <w:r w:rsidRPr="00F0565B">
        <w:rPr>
          <w:rFonts w:ascii="Times New Roman" w:hAnsi="Times New Roman"/>
          <w:sz w:val="18"/>
          <w:szCs w:val="18"/>
        </w:rPr>
        <w:t>6704</w:t>
      </w:r>
      <w:r w:rsidR="00F0565B" w:rsidRPr="00F0565B">
        <w:rPr>
          <w:rFonts w:ascii="Times New Roman" w:hAnsi="Times New Roman"/>
          <w:sz w:val="18"/>
          <w:szCs w:val="18"/>
        </w:rPr>
        <w:t>7826</w:t>
      </w:r>
    </w:p>
    <w:sectPr w:rsidR="004D4CAF" w:rsidSect="00713F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83" w:rsidRDefault="00B80E83" w:rsidP="00BA56BF">
      <w:pPr>
        <w:spacing w:after="0" w:line="240" w:lineRule="auto"/>
      </w:pPr>
      <w:r>
        <w:separator/>
      </w:r>
    </w:p>
  </w:endnote>
  <w:endnote w:type="continuationSeparator" w:id="0">
    <w:p w:rsidR="00B80E83" w:rsidRDefault="00B80E83" w:rsidP="00BA5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83" w:rsidRPr="0000410B" w:rsidRDefault="00B80E83" w:rsidP="0000410B">
    <w:pPr>
      <w:spacing w:after="0" w:line="240" w:lineRule="auto"/>
      <w:jc w:val="both"/>
      <w:rPr>
        <w:rFonts w:ascii="Times New Roman" w:hAnsi="Times New Roman"/>
        <w:sz w:val="20"/>
        <w:szCs w:val="20"/>
      </w:rPr>
    </w:pPr>
    <w:r w:rsidRPr="0000410B">
      <w:rPr>
        <w:rFonts w:ascii="Times New Roman" w:hAnsi="Times New Roman"/>
        <w:sz w:val="20"/>
        <w:szCs w:val="20"/>
      </w:rPr>
      <w:t>IZMZino_Erasmus+</w:t>
    </w:r>
    <w:r w:rsidR="00E50EEB">
      <w:rPr>
        <w:rFonts w:ascii="Times New Roman" w:hAnsi="Times New Roman"/>
        <w:sz w:val="20"/>
        <w:szCs w:val="20"/>
      </w:rPr>
      <w:t>_09</w:t>
    </w:r>
    <w:r>
      <w:rPr>
        <w:rFonts w:ascii="Times New Roman" w:hAnsi="Times New Roman"/>
        <w:sz w:val="20"/>
        <w:szCs w:val="20"/>
      </w:rPr>
      <w:t>0914</w:t>
    </w:r>
    <w:r w:rsidRPr="0000410B">
      <w:rPr>
        <w:rFonts w:ascii="Times New Roman" w:hAnsi="Times New Roman"/>
        <w:sz w:val="20"/>
        <w:szCs w:val="20"/>
      </w:rPr>
      <w:t xml:space="preserve">; </w:t>
    </w:r>
    <w:r>
      <w:rPr>
        <w:rFonts w:ascii="Times New Roman" w:hAnsi="Times New Roman"/>
        <w:sz w:val="20"/>
        <w:szCs w:val="20"/>
      </w:rPr>
      <w:t xml:space="preserve">Informatīvais ziņojums „Par </w:t>
    </w:r>
    <w:r w:rsidRPr="0000410B">
      <w:rPr>
        <w:rFonts w:ascii="Times New Roman" w:hAnsi="Times New Roman"/>
        <w:sz w:val="20"/>
        <w:szCs w:val="20"/>
      </w:rPr>
      <w:t>Eiropas Savienības programmas izglītības, apmācības, jaunatnes un sporta jomā „</w:t>
    </w:r>
    <w:r w:rsidRPr="0000410B">
      <w:rPr>
        <w:rFonts w:ascii="Times New Roman" w:hAnsi="Times New Roman"/>
        <w:i/>
        <w:sz w:val="20"/>
        <w:szCs w:val="20"/>
      </w:rPr>
      <w:t>Erasmus+</w:t>
    </w:r>
    <w:r w:rsidRPr="0000410B">
      <w:rPr>
        <w:rFonts w:ascii="Times New Roman" w:hAnsi="Times New Roman"/>
        <w:sz w:val="20"/>
        <w:szCs w:val="20"/>
      </w:rPr>
      <w:t>” īstenošanas nodrošināšanai nepieciešamo finansējumu</w:t>
    </w:r>
    <w:r>
      <w:rPr>
        <w:rFonts w:ascii="Times New Roman" w:hAnsi="Times New Roman"/>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83" w:rsidRPr="0000410B" w:rsidRDefault="00B80E83" w:rsidP="0000410B">
    <w:pPr>
      <w:spacing w:after="0" w:line="240" w:lineRule="auto"/>
      <w:jc w:val="both"/>
      <w:rPr>
        <w:rFonts w:ascii="Times New Roman" w:hAnsi="Times New Roman"/>
        <w:sz w:val="20"/>
        <w:szCs w:val="20"/>
      </w:rPr>
    </w:pPr>
    <w:r w:rsidRPr="0000410B">
      <w:rPr>
        <w:rFonts w:ascii="Times New Roman" w:hAnsi="Times New Roman"/>
        <w:sz w:val="20"/>
        <w:szCs w:val="20"/>
      </w:rPr>
      <w:t>IZMZino_Erasmus+</w:t>
    </w:r>
    <w:r>
      <w:rPr>
        <w:rFonts w:ascii="Times New Roman" w:hAnsi="Times New Roman"/>
        <w:sz w:val="20"/>
        <w:szCs w:val="20"/>
      </w:rPr>
      <w:t>_</w:t>
    </w:r>
    <w:r w:rsidR="00305B83">
      <w:rPr>
        <w:rFonts w:ascii="Times New Roman" w:hAnsi="Times New Roman"/>
        <w:sz w:val="20"/>
        <w:szCs w:val="20"/>
      </w:rPr>
      <w:t>0909</w:t>
    </w:r>
    <w:r>
      <w:rPr>
        <w:rFonts w:ascii="Times New Roman" w:hAnsi="Times New Roman"/>
        <w:sz w:val="20"/>
        <w:szCs w:val="20"/>
      </w:rPr>
      <w:t>14</w:t>
    </w:r>
    <w:r w:rsidRPr="0000410B">
      <w:rPr>
        <w:rFonts w:ascii="Times New Roman" w:hAnsi="Times New Roman"/>
        <w:sz w:val="20"/>
        <w:szCs w:val="20"/>
      </w:rPr>
      <w:t xml:space="preserve">; </w:t>
    </w:r>
    <w:r>
      <w:rPr>
        <w:rFonts w:ascii="Times New Roman" w:hAnsi="Times New Roman"/>
        <w:sz w:val="20"/>
        <w:szCs w:val="20"/>
      </w:rPr>
      <w:t xml:space="preserve">Informatīvais ziņojums „Par </w:t>
    </w:r>
    <w:r w:rsidRPr="0000410B">
      <w:rPr>
        <w:rFonts w:ascii="Times New Roman" w:hAnsi="Times New Roman"/>
        <w:sz w:val="20"/>
        <w:szCs w:val="20"/>
      </w:rPr>
      <w:t>Eiropas Savienības programmas izglītības, apmācības, jaunatnes un sporta jomā „</w:t>
    </w:r>
    <w:r w:rsidRPr="0000410B">
      <w:rPr>
        <w:rFonts w:ascii="Times New Roman" w:hAnsi="Times New Roman"/>
        <w:i/>
        <w:sz w:val="20"/>
        <w:szCs w:val="20"/>
      </w:rPr>
      <w:t>Erasmus+</w:t>
    </w:r>
    <w:r w:rsidRPr="0000410B">
      <w:rPr>
        <w:rFonts w:ascii="Times New Roman" w:hAnsi="Times New Roman"/>
        <w:sz w:val="20"/>
        <w:szCs w:val="20"/>
      </w:rPr>
      <w:t>” īstenošanas nodrošināšanai nepieciešamo finansējumu</w:t>
    </w:r>
    <w:r>
      <w:rPr>
        <w:rFonts w:ascii="Times New Roman" w:hAnsi="Times New Roman"/>
        <w:sz w:val="20"/>
        <w:szCs w:val="20"/>
      </w:rPr>
      <w:t>”</w:t>
    </w:r>
  </w:p>
  <w:p w:rsidR="00B80E83" w:rsidRDefault="00B80E83" w:rsidP="005710A6">
    <w:pPr>
      <w:spacing w:after="0" w:line="240" w:lineRule="auto"/>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83" w:rsidRDefault="00B80E83" w:rsidP="00BA56BF">
      <w:pPr>
        <w:spacing w:after="0" w:line="240" w:lineRule="auto"/>
      </w:pPr>
      <w:r>
        <w:separator/>
      </w:r>
    </w:p>
  </w:footnote>
  <w:footnote w:type="continuationSeparator" w:id="0">
    <w:p w:rsidR="00B80E83" w:rsidRDefault="00B80E83" w:rsidP="00BA5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83" w:rsidRPr="002553D8" w:rsidRDefault="00D2045F">
    <w:pPr>
      <w:pStyle w:val="Header"/>
      <w:jc w:val="center"/>
      <w:rPr>
        <w:rFonts w:ascii="Times New Roman" w:hAnsi="Times New Roman"/>
        <w:sz w:val="24"/>
        <w:szCs w:val="24"/>
      </w:rPr>
    </w:pPr>
    <w:r w:rsidRPr="002553D8">
      <w:rPr>
        <w:rFonts w:ascii="Times New Roman" w:hAnsi="Times New Roman"/>
        <w:sz w:val="24"/>
        <w:szCs w:val="24"/>
      </w:rPr>
      <w:fldChar w:fldCharType="begin"/>
    </w:r>
    <w:r w:rsidR="00B80E83" w:rsidRPr="002553D8">
      <w:rPr>
        <w:rFonts w:ascii="Times New Roman" w:hAnsi="Times New Roman"/>
        <w:sz w:val="24"/>
        <w:szCs w:val="24"/>
      </w:rPr>
      <w:instrText xml:space="preserve"> PAGE   \* MERGEFORMAT </w:instrText>
    </w:r>
    <w:r w:rsidRPr="002553D8">
      <w:rPr>
        <w:rFonts w:ascii="Times New Roman" w:hAnsi="Times New Roman"/>
        <w:sz w:val="24"/>
        <w:szCs w:val="24"/>
      </w:rPr>
      <w:fldChar w:fldCharType="separate"/>
    </w:r>
    <w:r w:rsidR="00305B83">
      <w:rPr>
        <w:rFonts w:ascii="Times New Roman" w:hAnsi="Times New Roman"/>
        <w:noProof/>
        <w:sz w:val="24"/>
        <w:szCs w:val="24"/>
      </w:rPr>
      <w:t>2</w:t>
    </w:r>
    <w:r w:rsidRPr="002553D8">
      <w:rPr>
        <w:rFonts w:ascii="Times New Roman" w:hAnsi="Times New Roman"/>
        <w:sz w:val="24"/>
        <w:szCs w:val="24"/>
      </w:rPr>
      <w:fldChar w:fldCharType="end"/>
    </w:r>
  </w:p>
  <w:p w:rsidR="00B80E83" w:rsidRDefault="00B80E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EB1"/>
    <w:multiLevelType w:val="hybridMultilevel"/>
    <w:tmpl w:val="120A6352"/>
    <w:lvl w:ilvl="0" w:tplc="73062934">
      <w:start w:val="1"/>
      <w:numFmt w:val="decimal"/>
      <w:lvlText w:val="%1."/>
      <w:lvlJc w:val="left"/>
      <w:pPr>
        <w:ind w:left="1452" w:hanging="88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A615813"/>
    <w:multiLevelType w:val="multilevel"/>
    <w:tmpl w:val="DCB819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D70107"/>
    <w:multiLevelType w:val="multilevel"/>
    <w:tmpl w:val="3AD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64237"/>
    <w:multiLevelType w:val="hybridMultilevel"/>
    <w:tmpl w:val="0FD47CD4"/>
    <w:lvl w:ilvl="0" w:tplc="56E63B30">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9F4FF5"/>
    <w:multiLevelType w:val="hybridMultilevel"/>
    <w:tmpl w:val="CA0CB95E"/>
    <w:lvl w:ilvl="0" w:tplc="AE22F8BC">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41B147A"/>
    <w:multiLevelType w:val="hybridMultilevel"/>
    <w:tmpl w:val="09D0E8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821F73"/>
    <w:multiLevelType w:val="hybridMultilevel"/>
    <w:tmpl w:val="42AAE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4811D7"/>
    <w:multiLevelType w:val="hybridMultilevel"/>
    <w:tmpl w:val="01F42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14408B9"/>
    <w:multiLevelType w:val="hybridMultilevel"/>
    <w:tmpl w:val="2AF2E3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94C3D2A"/>
    <w:multiLevelType w:val="multilevel"/>
    <w:tmpl w:val="6CB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36DA2"/>
    <w:multiLevelType w:val="multilevel"/>
    <w:tmpl w:val="5428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95580"/>
    <w:multiLevelType w:val="singleLevel"/>
    <w:tmpl w:val="75CC7CBA"/>
    <w:name w:val="Tiret 4"/>
    <w:lvl w:ilvl="0">
      <w:start w:val="1"/>
      <w:numFmt w:val="decimal"/>
      <w:pStyle w:val="Considrant"/>
      <w:lvlText w:val="(%1)"/>
      <w:lvlJc w:val="left"/>
      <w:pPr>
        <w:tabs>
          <w:tab w:val="num" w:pos="709"/>
        </w:tabs>
        <w:ind w:left="709" w:hanging="709"/>
      </w:pPr>
      <w:rPr>
        <w:rFonts w:cs="Times New Roman"/>
      </w:rPr>
    </w:lvl>
  </w:abstractNum>
  <w:num w:numId="1">
    <w:abstractNumId w:val="11"/>
  </w:num>
  <w:num w:numId="2">
    <w:abstractNumId w:val="2"/>
  </w:num>
  <w:num w:numId="3">
    <w:abstractNumId w:val="3"/>
  </w:num>
  <w:num w:numId="4">
    <w:abstractNumId w:val="8"/>
  </w:num>
  <w:num w:numId="5">
    <w:abstractNumId w:val="4"/>
  </w:num>
  <w:num w:numId="6">
    <w:abstractNumId w:val="10"/>
  </w:num>
  <w:num w:numId="7">
    <w:abstractNumId w:val="9"/>
  </w:num>
  <w:num w:numId="8">
    <w:abstractNumId w:val="7"/>
  </w:num>
  <w:num w:numId="9">
    <w:abstractNumId w:val="1"/>
  </w:num>
  <w:num w:numId="10">
    <w:abstractNumId w:val="5"/>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92D06"/>
    <w:rsid w:val="00002113"/>
    <w:rsid w:val="00002809"/>
    <w:rsid w:val="000031E2"/>
    <w:rsid w:val="0000410B"/>
    <w:rsid w:val="0000430D"/>
    <w:rsid w:val="00011730"/>
    <w:rsid w:val="00011A2F"/>
    <w:rsid w:val="00014DA6"/>
    <w:rsid w:val="00015D02"/>
    <w:rsid w:val="00020C54"/>
    <w:rsid w:val="0003023C"/>
    <w:rsid w:val="00032545"/>
    <w:rsid w:val="00036D8F"/>
    <w:rsid w:val="00037868"/>
    <w:rsid w:val="00040A39"/>
    <w:rsid w:val="00041EB2"/>
    <w:rsid w:val="00043070"/>
    <w:rsid w:val="0004315F"/>
    <w:rsid w:val="00045537"/>
    <w:rsid w:val="00052DFE"/>
    <w:rsid w:val="0005304D"/>
    <w:rsid w:val="000533FA"/>
    <w:rsid w:val="0005538B"/>
    <w:rsid w:val="00056D15"/>
    <w:rsid w:val="00060454"/>
    <w:rsid w:val="000604DD"/>
    <w:rsid w:val="00061B25"/>
    <w:rsid w:val="000631DD"/>
    <w:rsid w:val="000739D6"/>
    <w:rsid w:val="00076F53"/>
    <w:rsid w:val="00080C75"/>
    <w:rsid w:val="00081410"/>
    <w:rsid w:val="00082CF8"/>
    <w:rsid w:val="00084FDE"/>
    <w:rsid w:val="0008617F"/>
    <w:rsid w:val="000864CC"/>
    <w:rsid w:val="00090DEA"/>
    <w:rsid w:val="00092244"/>
    <w:rsid w:val="00093660"/>
    <w:rsid w:val="000A16B9"/>
    <w:rsid w:val="000A1AC6"/>
    <w:rsid w:val="000A1F45"/>
    <w:rsid w:val="000A2602"/>
    <w:rsid w:val="000A311C"/>
    <w:rsid w:val="000A3708"/>
    <w:rsid w:val="000A4AB8"/>
    <w:rsid w:val="000A56C7"/>
    <w:rsid w:val="000A5F98"/>
    <w:rsid w:val="000A7A96"/>
    <w:rsid w:val="000B0FB3"/>
    <w:rsid w:val="000B1233"/>
    <w:rsid w:val="000B387A"/>
    <w:rsid w:val="000B43FF"/>
    <w:rsid w:val="000B50D9"/>
    <w:rsid w:val="000B6B80"/>
    <w:rsid w:val="000B790B"/>
    <w:rsid w:val="000B7BD8"/>
    <w:rsid w:val="000C07D7"/>
    <w:rsid w:val="000C2055"/>
    <w:rsid w:val="000C34B4"/>
    <w:rsid w:val="000C6F48"/>
    <w:rsid w:val="000D0139"/>
    <w:rsid w:val="000D2166"/>
    <w:rsid w:val="000E078A"/>
    <w:rsid w:val="000E0C2B"/>
    <w:rsid w:val="000E0D50"/>
    <w:rsid w:val="000E3635"/>
    <w:rsid w:val="000F10AA"/>
    <w:rsid w:val="000F154C"/>
    <w:rsid w:val="000F189A"/>
    <w:rsid w:val="000F2683"/>
    <w:rsid w:val="000F3144"/>
    <w:rsid w:val="000F3B18"/>
    <w:rsid w:val="000F710B"/>
    <w:rsid w:val="000F76AA"/>
    <w:rsid w:val="000F7F7C"/>
    <w:rsid w:val="00101314"/>
    <w:rsid w:val="001021EC"/>
    <w:rsid w:val="00103094"/>
    <w:rsid w:val="00103EB8"/>
    <w:rsid w:val="001059D4"/>
    <w:rsid w:val="00106603"/>
    <w:rsid w:val="001073A1"/>
    <w:rsid w:val="0011064E"/>
    <w:rsid w:val="001132B4"/>
    <w:rsid w:val="00116AFE"/>
    <w:rsid w:val="00117D30"/>
    <w:rsid w:val="00122296"/>
    <w:rsid w:val="00122D85"/>
    <w:rsid w:val="00125044"/>
    <w:rsid w:val="00125D42"/>
    <w:rsid w:val="00130508"/>
    <w:rsid w:val="00131A69"/>
    <w:rsid w:val="0013329D"/>
    <w:rsid w:val="0013369B"/>
    <w:rsid w:val="0013476D"/>
    <w:rsid w:val="0013482B"/>
    <w:rsid w:val="001402C4"/>
    <w:rsid w:val="00143EE5"/>
    <w:rsid w:val="00143F6C"/>
    <w:rsid w:val="00145FD7"/>
    <w:rsid w:val="001478F0"/>
    <w:rsid w:val="00152052"/>
    <w:rsid w:val="00160472"/>
    <w:rsid w:val="00160496"/>
    <w:rsid w:val="00162D6C"/>
    <w:rsid w:val="00163612"/>
    <w:rsid w:val="001653F1"/>
    <w:rsid w:val="00165D3C"/>
    <w:rsid w:val="00165ED9"/>
    <w:rsid w:val="00166519"/>
    <w:rsid w:val="001707E6"/>
    <w:rsid w:val="0017320C"/>
    <w:rsid w:val="00176269"/>
    <w:rsid w:val="00177CBF"/>
    <w:rsid w:val="001813B8"/>
    <w:rsid w:val="0018501E"/>
    <w:rsid w:val="00187A49"/>
    <w:rsid w:val="0019028C"/>
    <w:rsid w:val="001924B7"/>
    <w:rsid w:val="00195B5C"/>
    <w:rsid w:val="001A04C6"/>
    <w:rsid w:val="001A59E8"/>
    <w:rsid w:val="001B7658"/>
    <w:rsid w:val="001C0887"/>
    <w:rsid w:val="001C138C"/>
    <w:rsid w:val="001C2DB0"/>
    <w:rsid w:val="001C3080"/>
    <w:rsid w:val="001C3532"/>
    <w:rsid w:val="001C72BC"/>
    <w:rsid w:val="001D4242"/>
    <w:rsid w:val="001D4CD6"/>
    <w:rsid w:val="001D61C8"/>
    <w:rsid w:val="001D794D"/>
    <w:rsid w:val="001E2665"/>
    <w:rsid w:val="001E2D70"/>
    <w:rsid w:val="001E30D5"/>
    <w:rsid w:val="001E351F"/>
    <w:rsid w:val="001E7583"/>
    <w:rsid w:val="001F4642"/>
    <w:rsid w:val="001F4780"/>
    <w:rsid w:val="001F590E"/>
    <w:rsid w:val="001F6CE6"/>
    <w:rsid w:val="002009C4"/>
    <w:rsid w:val="002054F8"/>
    <w:rsid w:val="00206E54"/>
    <w:rsid w:val="002102FA"/>
    <w:rsid w:val="00210AA3"/>
    <w:rsid w:val="00215A5B"/>
    <w:rsid w:val="002168EB"/>
    <w:rsid w:val="0023068C"/>
    <w:rsid w:val="00230EFC"/>
    <w:rsid w:val="002318DB"/>
    <w:rsid w:val="0023339F"/>
    <w:rsid w:val="00237ABB"/>
    <w:rsid w:val="002423ED"/>
    <w:rsid w:val="00242507"/>
    <w:rsid w:val="00243E29"/>
    <w:rsid w:val="00245949"/>
    <w:rsid w:val="0024704B"/>
    <w:rsid w:val="00252644"/>
    <w:rsid w:val="0025399F"/>
    <w:rsid w:val="0025438E"/>
    <w:rsid w:val="002553D8"/>
    <w:rsid w:val="002555E4"/>
    <w:rsid w:val="0025770F"/>
    <w:rsid w:val="0026270B"/>
    <w:rsid w:val="00262BCE"/>
    <w:rsid w:val="0026377A"/>
    <w:rsid w:val="00263F57"/>
    <w:rsid w:val="00264331"/>
    <w:rsid w:val="00264FA2"/>
    <w:rsid w:val="002679E1"/>
    <w:rsid w:val="00270052"/>
    <w:rsid w:val="00271144"/>
    <w:rsid w:val="002732E0"/>
    <w:rsid w:val="0027460D"/>
    <w:rsid w:val="002772B6"/>
    <w:rsid w:val="0027774C"/>
    <w:rsid w:val="00277779"/>
    <w:rsid w:val="00277B57"/>
    <w:rsid w:val="00280A25"/>
    <w:rsid w:val="00285229"/>
    <w:rsid w:val="002876E2"/>
    <w:rsid w:val="00290368"/>
    <w:rsid w:val="00293F68"/>
    <w:rsid w:val="0029461F"/>
    <w:rsid w:val="00294F8A"/>
    <w:rsid w:val="002970DE"/>
    <w:rsid w:val="002A023E"/>
    <w:rsid w:val="002A0B63"/>
    <w:rsid w:val="002A0FF9"/>
    <w:rsid w:val="002A447D"/>
    <w:rsid w:val="002A4E2B"/>
    <w:rsid w:val="002A5DDF"/>
    <w:rsid w:val="002A661B"/>
    <w:rsid w:val="002B13CD"/>
    <w:rsid w:val="002B49B7"/>
    <w:rsid w:val="002B73DD"/>
    <w:rsid w:val="002C74D1"/>
    <w:rsid w:val="002C75A2"/>
    <w:rsid w:val="002C75E9"/>
    <w:rsid w:val="002C7FCD"/>
    <w:rsid w:val="002D0632"/>
    <w:rsid w:val="002D08EB"/>
    <w:rsid w:val="002D0DB7"/>
    <w:rsid w:val="002D4809"/>
    <w:rsid w:val="002D4ACB"/>
    <w:rsid w:val="002D5230"/>
    <w:rsid w:val="002D5B62"/>
    <w:rsid w:val="002D67FB"/>
    <w:rsid w:val="002E27F5"/>
    <w:rsid w:val="002E7EE6"/>
    <w:rsid w:val="002F1C36"/>
    <w:rsid w:val="002F23BC"/>
    <w:rsid w:val="002F2F17"/>
    <w:rsid w:val="002F4845"/>
    <w:rsid w:val="002F51AB"/>
    <w:rsid w:val="002F54C1"/>
    <w:rsid w:val="003001C0"/>
    <w:rsid w:val="00300993"/>
    <w:rsid w:val="003019B1"/>
    <w:rsid w:val="00304684"/>
    <w:rsid w:val="00305B83"/>
    <w:rsid w:val="00306774"/>
    <w:rsid w:val="00307618"/>
    <w:rsid w:val="00313E51"/>
    <w:rsid w:val="00316DF7"/>
    <w:rsid w:val="00320B62"/>
    <w:rsid w:val="00321007"/>
    <w:rsid w:val="00322145"/>
    <w:rsid w:val="00322A39"/>
    <w:rsid w:val="003269DC"/>
    <w:rsid w:val="00327FFB"/>
    <w:rsid w:val="0033112B"/>
    <w:rsid w:val="00332322"/>
    <w:rsid w:val="003334C7"/>
    <w:rsid w:val="0033476D"/>
    <w:rsid w:val="0033531D"/>
    <w:rsid w:val="003361C7"/>
    <w:rsid w:val="0033621A"/>
    <w:rsid w:val="00336358"/>
    <w:rsid w:val="0033753F"/>
    <w:rsid w:val="0034501A"/>
    <w:rsid w:val="0034669D"/>
    <w:rsid w:val="003473FB"/>
    <w:rsid w:val="00350804"/>
    <w:rsid w:val="00351181"/>
    <w:rsid w:val="00351AAB"/>
    <w:rsid w:val="00351F97"/>
    <w:rsid w:val="00353606"/>
    <w:rsid w:val="003536F5"/>
    <w:rsid w:val="00354520"/>
    <w:rsid w:val="003603E1"/>
    <w:rsid w:val="00361822"/>
    <w:rsid w:val="00362000"/>
    <w:rsid w:val="00371D0B"/>
    <w:rsid w:val="00372307"/>
    <w:rsid w:val="003746FB"/>
    <w:rsid w:val="00374C2C"/>
    <w:rsid w:val="003773BC"/>
    <w:rsid w:val="00380995"/>
    <w:rsid w:val="003811D0"/>
    <w:rsid w:val="00385DA9"/>
    <w:rsid w:val="00386B7F"/>
    <w:rsid w:val="00392188"/>
    <w:rsid w:val="00392D06"/>
    <w:rsid w:val="00394308"/>
    <w:rsid w:val="003A0C05"/>
    <w:rsid w:val="003A159D"/>
    <w:rsid w:val="003A6034"/>
    <w:rsid w:val="003B760D"/>
    <w:rsid w:val="003C2AC7"/>
    <w:rsid w:val="003C3164"/>
    <w:rsid w:val="003C3FC5"/>
    <w:rsid w:val="003C691C"/>
    <w:rsid w:val="003C7D73"/>
    <w:rsid w:val="003D0B3D"/>
    <w:rsid w:val="003D13D6"/>
    <w:rsid w:val="003D3A14"/>
    <w:rsid w:val="003D45D7"/>
    <w:rsid w:val="003D51B1"/>
    <w:rsid w:val="003D52B7"/>
    <w:rsid w:val="003E1FC1"/>
    <w:rsid w:val="003E237C"/>
    <w:rsid w:val="003E478C"/>
    <w:rsid w:val="003E74F1"/>
    <w:rsid w:val="003F0BFD"/>
    <w:rsid w:val="003F2006"/>
    <w:rsid w:val="003F52E8"/>
    <w:rsid w:val="003F5602"/>
    <w:rsid w:val="00400C29"/>
    <w:rsid w:val="0040192A"/>
    <w:rsid w:val="00401A44"/>
    <w:rsid w:val="00401AF2"/>
    <w:rsid w:val="00401DEA"/>
    <w:rsid w:val="00403FB5"/>
    <w:rsid w:val="004048A5"/>
    <w:rsid w:val="00405D66"/>
    <w:rsid w:val="004112F6"/>
    <w:rsid w:val="0041205D"/>
    <w:rsid w:val="0041243C"/>
    <w:rsid w:val="0041248F"/>
    <w:rsid w:val="00416F27"/>
    <w:rsid w:val="0041709D"/>
    <w:rsid w:val="00417E2B"/>
    <w:rsid w:val="00420425"/>
    <w:rsid w:val="004232D7"/>
    <w:rsid w:val="0042713D"/>
    <w:rsid w:val="004322DA"/>
    <w:rsid w:val="00432E9B"/>
    <w:rsid w:val="00433D96"/>
    <w:rsid w:val="004346FA"/>
    <w:rsid w:val="00435608"/>
    <w:rsid w:val="00436E22"/>
    <w:rsid w:val="00437704"/>
    <w:rsid w:val="00437757"/>
    <w:rsid w:val="00442E69"/>
    <w:rsid w:val="004444E4"/>
    <w:rsid w:val="0044585E"/>
    <w:rsid w:val="0044728D"/>
    <w:rsid w:val="00452853"/>
    <w:rsid w:val="00452CE3"/>
    <w:rsid w:val="00452DE4"/>
    <w:rsid w:val="00455A22"/>
    <w:rsid w:val="00462C6E"/>
    <w:rsid w:val="00463DD9"/>
    <w:rsid w:val="00466CD1"/>
    <w:rsid w:val="0046795B"/>
    <w:rsid w:val="00472911"/>
    <w:rsid w:val="00482AD3"/>
    <w:rsid w:val="00484507"/>
    <w:rsid w:val="004857D7"/>
    <w:rsid w:val="00490B6A"/>
    <w:rsid w:val="00494934"/>
    <w:rsid w:val="00495444"/>
    <w:rsid w:val="00496D22"/>
    <w:rsid w:val="004970BF"/>
    <w:rsid w:val="00497903"/>
    <w:rsid w:val="00497CE3"/>
    <w:rsid w:val="004A2726"/>
    <w:rsid w:val="004A510B"/>
    <w:rsid w:val="004A6501"/>
    <w:rsid w:val="004A7E7D"/>
    <w:rsid w:val="004A7F16"/>
    <w:rsid w:val="004B1027"/>
    <w:rsid w:val="004B3060"/>
    <w:rsid w:val="004C03BA"/>
    <w:rsid w:val="004C0BD5"/>
    <w:rsid w:val="004C1772"/>
    <w:rsid w:val="004C6A9E"/>
    <w:rsid w:val="004D11DF"/>
    <w:rsid w:val="004D2D46"/>
    <w:rsid w:val="004D35AD"/>
    <w:rsid w:val="004D4CAF"/>
    <w:rsid w:val="004D60AF"/>
    <w:rsid w:val="004E087F"/>
    <w:rsid w:val="004E1C92"/>
    <w:rsid w:val="004E2EFE"/>
    <w:rsid w:val="004E3F3A"/>
    <w:rsid w:val="004E578F"/>
    <w:rsid w:val="004E614C"/>
    <w:rsid w:val="004F21A4"/>
    <w:rsid w:val="004F220F"/>
    <w:rsid w:val="004F68F0"/>
    <w:rsid w:val="004F75CF"/>
    <w:rsid w:val="00500A0F"/>
    <w:rsid w:val="00500AD0"/>
    <w:rsid w:val="0050112B"/>
    <w:rsid w:val="00506866"/>
    <w:rsid w:val="00511DBD"/>
    <w:rsid w:val="00512DB7"/>
    <w:rsid w:val="005169D8"/>
    <w:rsid w:val="00517D78"/>
    <w:rsid w:val="0052003F"/>
    <w:rsid w:val="0052344D"/>
    <w:rsid w:val="00525CD4"/>
    <w:rsid w:val="00526BB3"/>
    <w:rsid w:val="0052727A"/>
    <w:rsid w:val="00537791"/>
    <w:rsid w:val="00541E8B"/>
    <w:rsid w:val="005472E6"/>
    <w:rsid w:val="00552624"/>
    <w:rsid w:val="00553BE0"/>
    <w:rsid w:val="00555C5A"/>
    <w:rsid w:val="00560452"/>
    <w:rsid w:val="00560870"/>
    <w:rsid w:val="00561F69"/>
    <w:rsid w:val="005642DA"/>
    <w:rsid w:val="0056467E"/>
    <w:rsid w:val="00564785"/>
    <w:rsid w:val="00566537"/>
    <w:rsid w:val="0056773F"/>
    <w:rsid w:val="005710A6"/>
    <w:rsid w:val="00571680"/>
    <w:rsid w:val="00572719"/>
    <w:rsid w:val="00575ABE"/>
    <w:rsid w:val="00577D9D"/>
    <w:rsid w:val="005804F4"/>
    <w:rsid w:val="00585BC9"/>
    <w:rsid w:val="00586AFE"/>
    <w:rsid w:val="00587676"/>
    <w:rsid w:val="00587DE2"/>
    <w:rsid w:val="005916BF"/>
    <w:rsid w:val="005920FA"/>
    <w:rsid w:val="0059399E"/>
    <w:rsid w:val="00594113"/>
    <w:rsid w:val="00595109"/>
    <w:rsid w:val="00596B25"/>
    <w:rsid w:val="00597C14"/>
    <w:rsid w:val="005A124E"/>
    <w:rsid w:val="005A354E"/>
    <w:rsid w:val="005A5900"/>
    <w:rsid w:val="005A69B7"/>
    <w:rsid w:val="005B27BB"/>
    <w:rsid w:val="005B39F5"/>
    <w:rsid w:val="005B54A4"/>
    <w:rsid w:val="005B70E7"/>
    <w:rsid w:val="005C2C0F"/>
    <w:rsid w:val="005C58C0"/>
    <w:rsid w:val="005C6701"/>
    <w:rsid w:val="005C6C54"/>
    <w:rsid w:val="005C7481"/>
    <w:rsid w:val="005C7BF5"/>
    <w:rsid w:val="005D21F2"/>
    <w:rsid w:val="005D271E"/>
    <w:rsid w:val="005D522F"/>
    <w:rsid w:val="005D5677"/>
    <w:rsid w:val="005D5FFF"/>
    <w:rsid w:val="005D6019"/>
    <w:rsid w:val="005D638B"/>
    <w:rsid w:val="005E32E7"/>
    <w:rsid w:val="005E36A9"/>
    <w:rsid w:val="005E43F0"/>
    <w:rsid w:val="005E576F"/>
    <w:rsid w:val="005E58F5"/>
    <w:rsid w:val="005F0DCF"/>
    <w:rsid w:val="005F1226"/>
    <w:rsid w:val="005F3C2F"/>
    <w:rsid w:val="005F46C5"/>
    <w:rsid w:val="005F49C6"/>
    <w:rsid w:val="005F5BC0"/>
    <w:rsid w:val="005F72C3"/>
    <w:rsid w:val="005F7D80"/>
    <w:rsid w:val="00600F73"/>
    <w:rsid w:val="00604C43"/>
    <w:rsid w:val="0061051B"/>
    <w:rsid w:val="00612BFB"/>
    <w:rsid w:val="00613700"/>
    <w:rsid w:val="006166FC"/>
    <w:rsid w:val="00624706"/>
    <w:rsid w:val="0062485D"/>
    <w:rsid w:val="00625438"/>
    <w:rsid w:val="00630A8C"/>
    <w:rsid w:val="006334C4"/>
    <w:rsid w:val="0063637A"/>
    <w:rsid w:val="00637556"/>
    <w:rsid w:val="00637CA7"/>
    <w:rsid w:val="00643D1E"/>
    <w:rsid w:val="00645065"/>
    <w:rsid w:val="00646B59"/>
    <w:rsid w:val="00647599"/>
    <w:rsid w:val="00652C53"/>
    <w:rsid w:val="00653530"/>
    <w:rsid w:val="006544CE"/>
    <w:rsid w:val="0065785D"/>
    <w:rsid w:val="00660710"/>
    <w:rsid w:val="00660A3A"/>
    <w:rsid w:val="00663F22"/>
    <w:rsid w:val="00665761"/>
    <w:rsid w:val="006666B1"/>
    <w:rsid w:val="00675F13"/>
    <w:rsid w:val="00681651"/>
    <w:rsid w:val="00683E1F"/>
    <w:rsid w:val="00685806"/>
    <w:rsid w:val="006867C6"/>
    <w:rsid w:val="00686A73"/>
    <w:rsid w:val="006914C9"/>
    <w:rsid w:val="006917D0"/>
    <w:rsid w:val="006934D8"/>
    <w:rsid w:val="006942EB"/>
    <w:rsid w:val="00696405"/>
    <w:rsid w:val="006A203F"/>
    <w:rsid w:val="006A4055"/>
    <w:rsid w:val="006A47CA"/>
    <w:rsid w:val="006A6AE1"/>
    <w:rsid w:val="006B0AF5"/>
    <w:rsid w:val="006B1661"/>
    <w:rsid w:val="006B2038"/>
    <w:rsid w:val="006B4209"/>
    <w:rsid w:val="006B5398"/>
    <w:rsid w:val="006B5434"/>
    <w:rsid w:val="006C0AC0"/>
    <w:rsid w:val="006C144A"/>
    <w:rsid w:val="006C3C6C"/>
    <w:rsid w:val="006C455C"/>
    <w:rsid w:val="006C5E21"/>
    <w:rsid w:val="006C6338"/>
    <w:rsid w:val="006C7F63"/>
    <w:rsid w:val="006D579D"/>
    <w:rsid w:val="006D6344"/>
    <w:rsid w:val="006D78D4"/>
    <w:rsid w:val="006E0265"/>
    <w:rsid w:val="006E1AD8"/>
    <w:rsid w:val="006E2FD3"/>
    <w:rsid w:val="006F2137"/>
    <w:rsid w:val="006F4009"/>
    <w:rsid w:val="006F6E37"/>
    <w:rsid w:val="0070159B"/>
    <w:rsid w:val="00701650"/>
    <w:rsid w:val="00704298"/>
    <w:rsid w:val="007072C0"/>
    <w:rsid w:val="00710607"/>
    <w:rsid w:val="00710CB5"/>
    <w:rsid w:val="00711A57"/>
    <w:rsid w:val="00713FD8"/>
    <w:rsid w:val="0071725F"/>
    <w:rsid w:val="007212AD"/>
    <w:rsid w:val="00721682"/>
    <w:rsid w:val="00725020"/>
    <w:rsid w:val="00725D74"/>
    <w:rsid w:val="0072695E"/>
    <w:rsid w:val="00730009"/>
    <w:rsid w:val="00730ED9"/>
    <w:rsid w:val="00733C7A"/>
    <w:rsid w:val="0073617D"/>
    <w:rsid w:val="00736659"/>
    <w:rsid w:val="00736E40"/>
    <w:rsid w:val="00744F83"/>
    <w:rsid w:val="00745B9A"/>
    <w:rsid w:val="00747D07"/>
    <w:rsid w:val="00756CA3"/>
    <w:rsid w:val="007601CF"/>
    <w:rsid w:val="00762E2D"/>
    <w:rsid w:val="00765474"/>
    <w:rsid w:val="00766BC4"/>
    <w:rsid w:val="00767B3A"/>
    <w:rsid w:val="007703B1"/>
    <w:rsid w:val="00771FA1"/>
    <w:rsid w:val="00774639"/>
    <w:rsid w:val="00776080"/>
    <w:rsid w:val="00776AA7"/>
    <w:rsid w:val="007837B4"/>
    <w:rsid w:val="007867F2"/>
    <w:rsid w:val="00787896"/>
    <w:rsid w:val="007937E0"/>
    <w:rsid w:val="00795DEE"/>
    <w:rsid w:val="007974D6"/>
    <w:rsid w:val="007A097A"/>
    <w:rsid w:val="007A4E9D"/>
    <w:rsid w:val="007A5B10"/>
    <w:rsid w:val="007B27A7"/>
    <w:rsid w:val="007B71B3"/>
    <w:rsid w:val="007C1473"/>
    <w:rsid w:val="007C3088"/>
    <w:rsid w:val="007C3486"/>
    <w:rsid w:val="007C4346"/>
    <w:rsid w:val="007C5200"/>
    <w:rsid w:val="007C6870"/>
    <w:rsid w:val="007C718A"/>
    <w:rsid w:val="007C7DED"/>
    <w:rsid w:val="007D0357"/>
    <w:rsid w:val="007D0AD4"/>
    <w:rsid w:val="007D1A3C"/>
    <w:rsid w:val="007D5521"/>
    <w:rsid w:val="007E3C2A"/>
    <w:rsid w:val="007E40F7"/>
    <w:rsid w:val="007E42C8"/>
    <w:rsid w:val="007E5250"/>
    <w:rsid w:val="007F0E27"/>
    <w:rsid w:val="007F2259"/>
    <w:rsid w:val="007F4FBF"/>
    <w:rsid w:val="008034DA"/>
    <w:rsid w:val="00804E04"/>
    <w:rsid w:val="00805617"/>
    <w:rsid w:val="0080619B"/>
    <w:rsid w:val="00806405"/>
    <w:rsid w:val="00807722"/>
    <w:rsid w:val="00811D6E"/>
    <w:rsid w:val="008169B1"/>
    <w:rsid w:val="00816F37"/>
    <w:rsid w:val="00821778"/>
    <w:rsid w:val="00821ACC"/>
    <w:rsid w:val="00821B0C"/>
    <w:rsid w:val="0082421E"/>
    <w:rsid w:val="00824260"/>
    <w:rsid w:val="008260DB"/>
    <w:rsid w:val="0082665B"/>
    <w:rsid w:val="00826C7B"/>
    <w:rsid w:val="00834037"/>
    <w:rsid w:val="008343E8"/>
    <w:rsid w:val="00836293"/>
    <w:rsid w:val="00836D9C"/>
    <w:rsid w:val="008374DF"/>
    <w:rsid w:val="00842126"/>
    <w:rsid w:val="00842BD5"/>
    <w:rsid w:val="0084309C"/>
    <w:rsid w:val="008438C8"/>
    <w:rsid w:val="008442F8"/>
    <w:rsid w:val="00844996"/>
    <w:rsid w:val="00854C3E"/>
    <w:rsid w:val="0085576F"/>
    <w:rsid w:val="00855E19"/>
    <w:rsid w:val="00857755"/>
    <w:rsid w:val="008606B8"/>
    <w:rsid w:val="008626FC"/>
    <w:rsid w:val="00865922"/>
    <w:rsid w:val="00867C8A"/>
    <w:rsid w:val="0087661C"/>
    <w:rsid w:val="00877A4C"/>
    <w:rsid w:val="008806AB"/>
    <w:rsid w:val="00887B20"/>
    <w:rsid w:val="0089039D"/>
    <w:rsid w:val="00891D52"/>
    <w:rsid w:val="00893152"/>
    <w:rsid w:val="00895FDA"/>
    <w:rsid w:val="0089799B"/>
    <w:rsid w:val="00897C7B"/>
    <w:rsid w:val="008A193F"/>
    <w:rsid w:val="008A35DB"/>
    <w:rsid w:val="008A3F9B"/>
    <w:rsid w:val="008A58E8"/>
    <w:rsid w:val="008B0FFE"/>
    <w:rsid w:val="008B54D9"/>
    <w:rsid w:val="008B55D5"/>
    <w:rsid w:val="008B65AB"/>
    <w:rsid w:val="008C16D5"/>
    <w:rsid w:val="008C1B3D"/>
    <w:rsid w:val="008C3F1A"/>
    <w:rsid w:val="008C6010"/>
    <w:rsid w:val="008C648C"/>
    <w:rsid w:val="008C67C9"/>
    <w:rsid w:val="008C6FDE"/>
    <w:rsid w:val="008D14B3"/>
    <w:rsid w:val="008D3FC8"/>
    <w:rsid w:val="008D4038"/>
    <w:rsid w:val="008D425B"/>
    <w:rsid w:val="008D5CDC"/>
    <w:rsid w:val="008D68DC"/>
    <w:rsid w:val="008E17CE"/>
    <w:rsid w:val="008E3775"/>
    <w:rsid w:val="008E3B51"/>
    <w:rsid w:val="008E4A73"/>
    <w:rsid w:val="008E5B68"/>
    <w:rsid w:val="008E65EB"/>
    <w:rsid w:val="008F01A0"/>
    <w:rsid w:val="008F20D3"/>
    <w:rsid w:val="008F5068"/>
    <w:rsid w:val="008F7045"/>
    <w:rsid w:val="00900787"/>
    <w:rsid w:val="00901626"/>
    <w:rsid w:val="009072E5"/>
    <w:rsid w:val="00911656"/>
    <w:rsid w:val="00914882"/>
    <w:rsid w:val="009164EB"/>
    <w:rsid w:val="00921CCA"/>
    <w:rsid w:val="00921E0E"/>
    <w:rsid w:val="00923514"/>
    <w:rsid w:val="00923C02"/>
    <w:rsid w:val="00924944"/>
    <w:rsid w:val="009249F5"/>
    <w:rsid w:val="009251B5"/>
    <w:rsid w:val="00931F7C"/>
    <w:rsid w:val="0093392F"/>
    <w:rsid w:val="00941E69"/>
    <w:rsid w:val="0094248A"/>
    <w:rsid w:val="00943D77"/>
    <w:rsid w:val="009447A3"/>
    <w:rsid w:val="00951EEE"/>
    <w:rsid w:val="00954573"/>
    <w:rsid w:val="00954C04"/>
    <w:rsid w:val="00955719"/>
    <w:rsid w:val="00957A42"/>
    <w:rsid w:val="00963C94"/>
    <w:rsid w:val="009651CA"/>
    <w:rsid w:val="0096580C"/>
    <w:rsid w:val="009664B5"/>
    <w:rsid w:val="00967CC0"/>
    <w:rsid w:val="009705F4"/>
    <w:rsid w:val="009711B0"/>
    <w:rsid w:val="00974E99"/>
    <w:rsid w:val="00975D95"/>
    <w:rsid w:val="00977E70"/>
    <w:rsid w:val="00980F88"/>
    <w:rsid w:val="00981066"/>
    <w:rsid w:val="00981096"/>
    <w:rsid w:val="00981702"/>
    <w:rsid w:val="009844B8"/>
    <w:rsid w:val="00986CA4"/>
    <w:rsid w:val="00991D89"/>
    <w:rsid w:val="0099208A"/>
    <w:rsid w:val="00996020"/>
    <w:rsid w:val="009965B3"/>
    <w:rsid w:val="00997467"/>
    <w:rsid w:val="009A1DB0"/>
    <w:rsid w:val="009A3631"/>
    <w:rsid w:val="009A6EF5"/>
    <w:rsid w:val="009B1C8D"/>
    <w:rsid w:val="009B5474"/>
    <w:rsid w:val="009B6C5B"/>
    <w:rsid w:val="009C01AA"/>
    <w:rsid w:val="009C121C"/>
    <w:rsid w:val="009C1EA7"/>
    <w:rsid w:val="009C5D0C"/>
    <w:rsid w:val="009C6919"/>
    <w:rsid w:val="009C6E43"/>
    <w:rsid w:val="009D4F14"/>
    <w:rsid w:val="009E12DC"/>
    <w:rsid w:val="009E37DE"/>
    <w:rsid w:val="009E741D"/>
    <w:rsid w:val="009F5427"/>
    <w:rsid w:val="009F5E85"/>
    <w:rsid w:val="00A006FE"/>
    <w:rsid w:val="00A01D84"/>
    <w:rsid w:val="00A026EF"/>
    <w:rsid w:val="00A058AA"/>
    <w:rsid w:val="00A1034E"/>
    <w:rsid w:val="00A12F5D"/>
    <w:rsid w:val="00A132B3"/>
    <w:rsid w:val="00A13C8A"/>
    <w:rsid w:val="00A162B9"/>
    <w:rsid w:val="00A169E1"/>
    <w:rsid w:val="00A241DF"/>
    <w:rsid w:val="00A245BD"/>
    <w:rsid w:val="00A24B28"/>
    <w:rsid w:val="00A26226"/>
    <w:rsid w:val="00A34B6D"/>
    <w:rsid w:val="00A3718C"/>
    <w:rsid w:val="00A40980"/>
    <w:rsid w:val="00A44222"/>
    <w:rsid w:val="00A44B1A"/>
    <w:rsid w:val="00A469D7"/>
    <w:rsid w:val="00A56D2A"/>
    <w:rsid w:val="00A60793"/>
    <w:rsid w:val="00A62DA7"/>
    <w:rsid w:val="00A63A4A"/>
    <w:rsid w:val="00A6422C"/>
    <w:rsid w:val="00A6663B"/>
    <w:rsid w:val="00A66CE2"/>
    <w:rsid w:val="00A67048"/>
    <w:rsid w:val="00A671CA"/>
    <w:rsid w:val="00A73927"/>
    <w:rsid w:val="00A74E6D"/>
    <w:rsid w:val="00A755BB"/>
    <w:rsid w:val="00A77919"/>
    <w:rsid w:val="00A77F5C"/>
    <w:rsid w:val="00A85262"/>
    <w:rsid w:val="00A863D4"/>
    <w:rsid w:val="00A87666"/>
    <w:rsid w:val="00A96697"/>
    <w:rsid w:val="00AA042E"/>
    <w:rsid w:val="00AA1B9C"/>
    <w:rsid w:val="00AA5228"/>
    <w:rsid w:val="00AB08FA"/>
    <w:rsid w:val="00AB12FF"/>
    <w:rsid w:val="00AB1A67"/>
    <w:rsid w:val="00AB27F7"/>
    <w:rsid w:val="00AB5C59"/>
    <w:rsid w:val="00AB6798"/>
    <w:rsid w:val="00AC4356"/>
    <w:rsid w:val="00AC7553"/>
    <w:rsid w:val="00AD1DBF"/>
    <w:rsid w:val="00AD350B"/>
    <w:rsid w:val="00AD4387"/>
    <w:rsid w:val="00AD4BDC"/>
    <w:rsid w:val="00AD5565"/>
    <w:rsid w:val="00AD604D"/>
    <w:rsid w:val="00AD6F9B"/>
    <w:rsid w:val="00AD751C"/>
    <w:rsid w:val="00AE1A25"/>
    <w:rsid w:val="00AF029B"/>
    <w:rsid w:val="00AF1144"/>
    <w:rsid w:val="00AF4431"/>
    <w:rsid w:val="00AF620B"/>
    <w:rsid w:val="00AF71FE"/>
    <w:rsid w:val="00B02125"/>
    <w:rsid w:val="00B04DFA"/>
    <w:rsid w:val="00B05255"/>
    <w:rsid w:val="00B0595F"/>
    <w:rsid w:val="00B21DA8"/>
    <w:rsid w:val="00B21DBD"/>
    <w:rsid w:val="00B2337C"/>
    <w:rsid w:val="00B25FA3"/>
    <w:rsid w:val="00B3072F"/>
    <w:rsid w:val="00B30C4E"/>
    <w:rsid w:val="00B40074"/>
    <w:rsid w:val="00B40DE0"/>
    <w:rsid w:val="00B41C8B"/>
    <w:rsid w:val="00B43FC2"/>
    <w:rsid w:val="00B44E60"/>
    <w:rsid w:val="00B46374"/>
    <w:rsid w:val="00B47376"/>
    <w:rsid w:val="00B47801"/>
    <w:rsid w:val="00B502EB"/>
    <w:rsid w:val="00B540FE"/>
    <w:rsid w:val="00B62C91"/>
    <w:rsid w:val="00B66E6D"/>
    <w:rsid w:val="00B71383"/>
    <w:rsid w:val="00B71A54"/>
    <w:rsid w:val="00B80E83"/>
    <w:rsid w:val="00B81665"/>
    <w:rsid w:val="00B82204"/>
    <w:rsid w:val="00B82A8C"/>
    <w:rsid w:val="00B855D4"/>
    <w:rsid w:val="00B855F3"/>
    <w:rsid w:val="00B86884"/>
    <w:rsid w:val="00B940C5"/>
    <w:rsid w:val="00B95B03"/>
    <w:rsid w:val="00B96EF6"/>
    <w:rsid w:val="00BA139B"/>
    <w:rsid w:val="00BA56BF"/>
    <w:rsid w:val="00BB103D"/>
    <w:rsid w:val="00BB425D"/>
    <w:rsid w:val="00BB5CC6"/>
    <w:rsid w:val="00BC140B"/>
    <w:rsid w:val="00BC1497"/>
    <w:rsid w:val="00BC369B"/>
    <w:rsid w:val="00BC437D"/>
    <w:rsid w:val="00BC5953"/>
    <w:rsid w:val="00BC616B"/>
    <w:rsid w:val="00BD3725"/>
    <w:rsid w:val="00BD7292"/>
    <w:rsid w:val="00BE1F45"/>
    <w:rsid w:val="00BE26CF"/>
    <w:rsid w:val="00BE6F21"/>
    <w:rsid w:val="00BE760D"/>
    <w:rsid w:val="00BF3A7B"/>
    <w:rsid w:val="00BF7896"/>
    <w:rsid w:val="00BF7C9B"/>
    <w:rsid w:val="00C043E3"/>
    <w:rsid w:val="00C076F0"/>
    <w:rsid w:val="00C11B17"/>
    <w:rsid w:val="00C12561"/>
    <w:rsid w:val="00C131AF"/>
    <w:rsid w:val="00C14944"/>
    <w:rsid w:val="00C23387"/>
    <w:rsid w:val="00C24731"/>
    <w:rsid w:val="00C257F1"/>
    <w:rsid w:val="00C27FDB"/>
    <w:rsid w:val="00C4351B"/>
    <w:rsid w:val="00C44570"/>
    <w:rsid w:val="00C4634A"/>
    <w:rsid w:val="00C46F09"/>
    <w:rsid w:val="00C530E4"/>
    <w:rsid w:val="00C54808"/>
    <w:rsid w:val="00C54EB4"/>
    <w:rsid w:val="00C575DA"/>
    <w:rsid w:val="00C66F02"/>
    <w:rsid w:val="00C67E5C"/>
    <w:rsid w:val="00C72814"/>
    <w:rsid w:val="00C73A5B"/>
    <w:rsid w:val="00C7546D"/>
    <w:rsid w:val="00C77BED"/>
    <w:rsid w:val="00C8629D"/>
    <w:rsid w:val="00C86FE0"/>
    <w:rsid w:val="00C87E35"/>
    <w:rsid w:val="00C87EB4"/>
    <w:rsid w:val="00C95615"/>
    <w:rsid w:val="00CA062B"/>
    <w:rsid w:val="00CA2C62"/>
    <w:rsid w:val="00CA39D4"/>
    <w:rsid w:val="00CA4C03"/>
    <w:rsid w:val="00CB0F82"/>
    <w:rsid w:val="00CB18AD"/>
    <w:rsid w:val="00CB3DF5"/>
    <w:rsid w:val="00CB57B1"/>
    <w:rsid w:val="00CB613C"/>
    <w:rsid w:val="00CD0792"/>
    <w:rsid w:val="00CD2ED6"/>
    <w:rsid w:val="00CD71A0"/>
    <w:rsid w:val="00CD7871"/>
    <w:rsid w:val="00CE0F6F"/>
    <w:rsid w:val="00CE4D40"/>
    <w:rsid w:val="00CE57FF"/>
    <w:rsid w:val="00CE6967"/>
    <w:rsid w:val="00CE6D49"/>
    <w:rsid w:val="00CF1509"/>
    <w:rsid w:val="00CF18DC"/>
    <w:rsid w:val="00CF5077"/>
    <w:rsid w:val="00CF764B"/>
    <w:rsid w:val="00D01666"/>
    <w:rsid w:val="00D03690"/>
    <w:rsid w:val="00D046CD"/>
    <w:rsid w:val="00D10D35"/>
    <w:rsid w:val="00D1224B"/>
    <w:rsid w:val="00D13BD6"/>
    <w:rsid w:val="00D13D5C"/>
    <w:rsid w:val="00D156AF"/>
    <w:rsid w:val="00D2045F"/>
    <w:rsid w:val="00D206D4"/>
    <w:rsid w:val="00D20C84"/>
    <w:rsid w:val="00D21905"/>
    <w:rsid w:val="00D2283E"/>
    <w:rsid w:val="00D27FA5"/>
    <w:rsid w:val="00D3053E"/>
    <w:rsid w:val="00D31921"/>
    <w:rsid w:val="00D35F41"/>
    <w:rsid w:val="00D44FF3"/>
    <w:rsid w:val="00D4792C"/>
    <w:rsid w:val="00D50C42"/>
    <w:rsid w:val="00D529EC"/>
    <w:rsid w:val="00D57FD5"/>
    <w:rsid w:val="00D626B1"/>
    <w:rsid w:val="00D6316C"/>
    <w:rsid w:val="00D63D41"/>
    <w:rsid w:val="00D65E7C"/>
    <w:rsid w:val="00D71D14"/>
    <w:rsid w:val="00D74C2B"/>
    <w:rsid w:val="00D76517"/>
    <w:rsid w:val="00D76C92"/>
    <w:rsid w:val="00D76D03"/>
    <w:rsid w:val="00D76DB8"/>
    <w:rsid w:val="00D86482"/>
    <w:rsid w:val="00D90DAF"/>
    <w:rsid w:val="00D94DB0"/>
    <w:rsid w:val="00D9685D"/>
    <w:rsid w:val="00DA048E"/>
    <w:rsid w:val="00DA071D"/>
    <w:rsid w:val="00DA08EF"/>
    <w:rsid w:val="00DA10D1"/>
    <w:rsid w:val="00DA3616"/>
    <w:rsid w:val="00DA4EFD"/>
    <w:rsid w:val="00DB22E7"/>
    <w:rsid w:val="00DB5512"/>
    <w:rsid w:val="00DB687D"/>
    <w:rsid w:val="00DB6D73"/>
    <w:rsid w:val="00DB7479"/>
    <w:rsid w:val="00DC0B68"/>
    <w:rsid w:val="00DC1FD4"/>
    <w:rsid w:val="00DC4576"/>
    <w:rsid w:val="00DC684F"/>
    <w:rsid w:val="00DC723C"/>
    <w:rsid w:val="00DD3452"/>
    <w:rsid w:val="00DD4772"/>
    <w:rsid w:val="00DD4CCC"/>
    <w:rsid w:val="00DE1ECF"/>
    <w:rsid w:val="00DE218A"/>
    <w:rsid w:val="00DE35BC"/>
    <w:rsid w:val="00DF1612"/>
    <w:rsid w:val="00DF259E"/>
    <w:rsid w:val="00DF4314"/>
    <w:rsid w:val="00DF5417"/>
    <w:rsid w:val="00DF7836"/>
    <w:rsid w:val="00E06343"/>
    <w:rsid w:val="00E116C7"/>
    <w:rsid w:val="00E16455"/>
    <w:rsid w:val="00E17818"/>
    <w:rsid w:val="00E27B27"/>
    <w:rsid w:val="00E301A9"/>
    <w:rsid w:val="00E30B7D"/>
    <w:rsid w:val="00E3179D"/>
    <w:rsid w:val="00E35131"/>
    <w:rsid w:val="00E3741E"/>
    <w:rsid w:val="00E376D0"/>
    <w:rsid w:val="00E40F28"/>
    <w:rsid w:val="00E42138"/>
    <w:rsid w:val="00E4617B"/>
    <w:rsid w:val="00E50EEB"/>
    <w:rsid w:val="00E548EC"/>
    <w:rsid w:val="00E551FA"/>
    <w:rsid w:val="00E557EB"/>
    <w:rsid w:val="00E63E92"/>
    <w:rsid w:val="00E63F95"/>
    <w:rsid w:val="00E70E1A"/>
    <w:rsid w:val="00E73116"/>
    <w:rsid w:val="00E758C3"/>
    <w:rsid w:val="00E75A64"/>
    <w:rsid w:val="00E76498"/>
    <w:rsid w:val="00E80E60"/>
    <w:rsid w:val="00E829A1"/>
    <w:rsid w:val="00E83817"/>
    <w:rsid w:val="00E8584B"/>
    <w:rsid w:val="00E8622F"/>
    <w:rsid w:val="00E86236"/>
    <w:rsid w:val="00E86A9C"/>
    <w:rsid w:val="00E9071A"/>
    <w:rsid w:val="00E91B64"/>
    <w:rsid w:val="00E93401"/>
    <w:rsid w:val="00E94522"/>
    <w:rsid w:val="00EA0201"/>
    <w:rsid w:val="00EA49AA"/>
    <w:rsid w:val="00EA5C26"/>
    <w:rsid w:val="00EA78D0"/>
    <w:rsid w:val="00EB0ED6"/>
    <w:rsid w:val="00EB1631"/>
    <w:rsid w:val="00EC4A55"/>
    <w:rsid w:val="00EC6079"/>
    <w:rsid w:val="00EC783C"/>
    <w:rsid w:val="00ED0B9E"/>
    <w:rsid w:val="00ED4D4D"/>
    <w:rsid w:val="00ED5747"/>
    <w:rsid w:val="00ED5FCF"/>
    <w:rsid w:val="00EE0AB4"/>
    <w:rsid w:val="00EE3495"/>
    <w:rsid w:val="00EE4BFA"/>
    <w:rsid w:val="00EE64CE"/>
    <w:rsid w:val="00EE65E7"/>
    <w:rsid w:val="00EE76AF"/>
    <w:rsid w:val="00EF57A6"/>
    <w:rsid w:val="00EF57FF"/>
    <w:rsid w:val="00EF5C8F"/>
    <w:rsid w:val="00F0157D"/>
    <w:rsid w:val="00F0280F"/>
    <w:rsid w:val="00F05054"/>
    <w:rsid w:val="00F050CA"/>
    <w:rsid w:val="00F0565B"/>
    <w:rsid w:val="00F07D63"/>
    <w:rsid w:val="00F1271B"/>
    <w:rsid w:val="00F12E41"/>
    <w:rsid w:val="00F13667"/>
    <w:rsid w:val="00F15E98"/>
    <w:rsid w:val="00F164CD"/>
    <w:rsid w:val="00F17E29"/>
    <w:rsid w:val="00F207EF"/>
    <w:rsid w:val="00F20DFA"/>
    <w:rsid w:val="00F238EF"/>
    <w:rsid w:val="00F256C7"/>
    <w:rsid w:val="00F25E8D"/>
    <w:rsid w:val="00F2785C"/>
    <w:rsid w:val="00F320F7"/>
    <w:rsid w:val="00F32931"/>
    <w:rsid w:val="00F4359A"/>
    <w:rsid w:val="00F50A74"/>
    <w:rsid w:val="00F50E4C"/>
    <w:rsid w:val="00F53766"/>
    <w:rsid w:val="00F57AF3"/>
    <w:rsid w:val="00F60195"/>
    <w:rsid w:val="00F63D4C"/>
    <w:rsid w:val="00F64311"/>
    <w:rsid w:val="00F646C7"/>
    <w:rsid w:val="00F66D1B"/>
    <w:rsid w:val="00F66DF6"/>
    <w:rsid w:val="00F67411"/>
    <w:rsid w:val="00F71FA7"/>
    <w:rsid w:val="00F74B30"/>
    <w:rsid w:val="00F76411"/>
    <w:rsid w:val="00F76BA2"/>
    <w:rsid w:val="00F80613"/>
    <w:rsid w:val="00F81CAF"/>
    <w:rsid w:val="00F82310"/>
    <w:rsid w:val="00F8291E"/>
    <w:rsid w:val="00F851D4"/>
    <w:rsid w:val="00F863D3"/>
    <w:rsid w:val="00F86BC7"/>
    <w:rsid w:val="00F8767D"/>
    <w:rsid w:val="00F87E59"/>
    <w:rsid w:val="00F93E27"/>
    <w:rsid w:val="00F9684B"/>
    <w:rsid w:val="00F97E65"/>
    <w:rsid w:val="00FA19F2"/>
    <w:rsid w:val="00FA41E5"/>
    <w:rsid w:val="00FA5490"/>
    <w:rsid w:val="00FA6106"/>
    <w:rsid w:val="00FA6D5E"/>
    <w:rsid w:val="00FB6835"/>
    <w:rsid w:val="00FB7A5E"/>
    <w:rsid w:val="00FC3EE1"/>
    <w:rsid w:val="00FC4105"/>
    <w:rsid w:val="00FC55AB"/>
    <w:rsid w:val="00FC5EDC"/>
    <w:rsid w:val="00FC7EF9"/>
    <w:rsid w:val="00FD0BD7"/>
    <w:rsid w:val="00FD3D88"/>
    <w:rsid w:val="00FD77B8"/>
    <w:rsid w:val="00FE01FF"/>
    <w:rsid w:val="00FE5972"/>
    <w:rsid w:val="00FE6FEA"/>
    <w:rsid w:val="00FE7809"/>
    <w:rsid w:val="00FF319F"/>
    <w:rsid w:val="00FF4A62"/>
    <w:rsid w:val="00FF518F"/>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66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92D06"/>
    <w:pPr>
      <w:ind w:left="720"/>
      <w:contextualSpacing/>
    </w:pPr>
  </w:style>
  <w:style w:type="table" w:styleId="TableGrid">
    <w:name w:val="Table Grid"/>
    <w:basedOn w:val="TableNormal"/>
    <w:uiPriority w:val="59"/>
    <w:rsid w:val="00392D06"/>
    <w:rPr>
      <w:rFonts w:eastAsia="Calibri"/>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idrant">
    <w:name w:val="Considérant"/>
    <w:basedOn w:val="Normal"/>
    <w:rsid w:val="00392D06"/>
    <w:pPr>
      <w:numPr>
        <w:numId w:val="1"/>
      </w:numPr>
      <w:spacing w:before="120" w:after="120" w:line="240" w:lineRule="auto"/>
      <w:jc w:val="both"/>
    </w:pPr>
    <w:rPr>
      <w:rFonts w:ascii="Times New Roman" w:eastAsia="Times New Roman" w:hAnsi="Times New Roman"/>
      <w:snapToGrid w:val="0"/>
      <w:sz w:val="24"/>
      <w:szCs w:val="24"/>
      <w:lang w:eastAsia="en-GB"/>
    </w:rPr>
  </w:style>
  <w:style w:type="character" w:customStyle="1" w:styleId="at11">
    <w:name w:val="a__t11"/>
    <w:rsid w:val="00392D06"/>
    <w:rPr>
      <w:i/>
      <w:iCs/>
    </w:rPr>
  </w:style>
  <w:style w:type="character" w:customStyle="1" w:styleId="at4">
    <w:name w:val="a__t4"/>
    <w:basedOn w:val="DefaultParagraphFont"/>
    <w:rsid w:val="00E93401"/>
  </w:style>
  <w:style w:type="paragraph" w:styleId="NormalWeb">
    <w:name w:val="Normal (Web)"/>
    <w:basedOn w:val="Normal"/>
    <w:unhideWhenUsed/>
    <w:rsid w:val="00E93401"/>
    <w:pPr>
      <w:spacing w:before="100" w:beforeAutospacing="1" w:after="100" w:afterAutospacing="1" w:line="240" w:lineRule="auto"/>
      <w:jc w:val="both"/>
    </w:pPr>
    <w:rPr>
      <w:rFonts w:ascii="Verdana" w:eastAsia="Times New Roman" w:hAnsi="Verdana"/>
      <w:color w:val="002060"/>
      <w:sz w:val="18"/>
      <w:szCs w:val="18"/>
      <w:lang w:eastAsia="lv-LV"/>
    </w:rPr>
  </w:style>
  <w:style w:type="character" w:styleId="Strong">
    <w:name w:val="Strong"/>
    <w:uiPriority w:val="22"/>
    <w:qFormat/>
    <w:rsid w:val="00A469D7"/>
    <w:rPr>
      <w:b/>
      <w:bCs/>
    </w:rPr>
  </w:style>
  <w:style w:type="character" w:styleId="Emphasis">
    <w:name w:val="Emphasis"/>
    <w:uiPriority w:val="20"/>
    <w:qFormat/>
    <w:rsid w:val="00A469D7"/>
    <w:rPr>
      <w:i/>
      <w:iCs/>
    </w:rPr>
  </w:style>
  <w:style w:type="character" w:styleId="Hyperlink">
    <w:name w:val="Hyperlink"/>
    <w:uiPriority w:val="99"/>
    <w:unhideWhenUsed/>
    <w:rsid w:val="00A469D7"/>
    <w:rPr>
      <w:strike w:val="0"/>
      <w:dstrike w:val="0"/>
      <w:color w:val="A65E00"/>
      <w:u w:val="none"/>
      <w:effect w:val="none"/>
    </w:rPr>
  </w:style>
  <w:style w:type="paragraph" w:customStyle="1" w:styleId="5Normal">
    <w:name w:val="5 Normal"/>
    <w:basedOn w:val="Normal"/>
    <w:link w:val="5NormalChar"/>
    <w:rsid w:val="002643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lang w:val="en-GB" w:eastAsia="en-GB"/>
    </w:rPr>
  </w:style>
  <w:style w:type="character" w:customStyle="1" w:styleId="5NormalChar">
    <w:name w:val="5 Normal Char"/>
    <w:link w:val="5Normal"/>
    <w:locked/>
    <w:rsid w:val="00264331"/>
    <w:rPr>
      <w:rFonts w:ascii="Verdana" w:eastAsia="Times New Roman" w:hAnsi="Verdana" w:cs="Times New Roman"/>
      <w:spacing w:val="-2"/>
      <w:sz w:val="20"/>
      <w:szCs w:val="24"/>
      <w:lang w:val="en-GB" w:eastAsia="en-GB"/>
    </w:rPr>
  </w:style>
  <w:style w:type="paragraph" w:customStyle="1" w:styleId="Normal6">
    <w:name w:val="Normal6"/>
    <w:basedOn w:val="Normal"/>
    <w:uiPriority w:val="99"/>
    <w:rsid w:val="00DE35BC"/>
    <w:pPr>
      <w:widowControl w:val="0"/>
      <w:snapToGrid w:val="0"/>
      <w:spacing w:after="120" w:line="240" w:lineRule="auto"/>
    </w:pPr>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BA5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6BF"/>
  </w:style>
  <w:style w:type="paragraph" w:styleId="Footer">
    <w:name w:val="footer"/>
    <w:basedOn w:val="Normal"/>
    <w:link w:val="FooterChar"/>
    <w:uiPriority w:val="99"/>
    <w:semiHidden/>
    <w:unhideWhenUsed/>
    <w:rsid w:val="00BA56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A56BF"/>
  </w:style>
  <w:style w:type="character" w:customStyle="1" w:styleId="st">
    <w:name w:val="st"/>
    <w:basedOn w:val="DefaultParagraphFont"/>
    <w:rsid w:val="00762E2D"/>
  </w:style>
  <w:style w:type="paragraph" w:styleId="BalloonText">
    <w:name w:val="Balloon Text"/>
    <w:basedOn w:val="Normal"/>
    <w:link w:val="BalloonTextChar"/>
    <w:uiPriority w:val="99"/>
    <w:semiHidden/>
    <w:unhideWhenUsed/>
    <w:rsid w:val="007A4E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E9D"/>
    <w:rPr>
      <w:rFonts w:ascii="Tahoma" w:hAnsi="Tahoma" w:cs="Tahoma"/>
      <w:sz w:val="16"/>
      <w:szCs w:val="16"/>
    </w:rPr>
  </w:style>
  <w:style w:type="character" w:customStyle="1" w:styleId="italic">
    <w:name w:val="italic"/>
    <w:rsid w:val="00F71FA7"/>
    <w:rPr>
      <w:i/>
      <w:iCs/>
    </w:rPr>
  </w:style>
  <w:style w:type="character" w:customStyle="1" w:styleId="italic1">
    <w:name w:val="italic1"/>
    <w:rsid w:val="00F71FA7"/>
    <w:rPr>
      <w:i/>
      <w:iCs/>
    </w:rPr>
  </w:style>
  <w:style w:type="paragraph" w:customStyle="1" w:styleId="doc-ti1">
    <w:name w:val="doc-ti1"/>
    <w:basedOn w:val="Normal"/>
    <w:rsid w:val="00F71FA7"/>
    <w:pPr>
      <w:spacing w:before="192" w:after="192" w:line="240" w:lineRule="auto"/>
      <w:jc w:val="center"/>
    </w:pPr>
    <w:rPr>
      <w:rFonts w:ascii="Times New Roman" w:eastAsia="Times New Roman" w:hAnsi="Times New Roman"/>
      <w:b/>
      <w:bCs/>
      <w:sz w:val="18"/>
      <w:szCs w:val="18"/>
      <w:lang w:eastAsia="lv-LV"/>
    </w:rPr>
  </w:style>
  <w:style w:type="character" w:styleId="CommentReference">
    <w:name w:val="annotation reference"/>
    <w:uiPriority w:val="99"/>
    <w:semiHidden/>
    <w:unhideWhenUsed/>
    <w:rsid w:val="00561F69"/>
    <w:rPr>
      <w:sz w:val="16"/>
      <w:szCs w:val="16"/>
    </w:rPr>
  </w:style>
  <w:style w:type="paragraph" w:styleId="CommentText">
    <w:name w:val="annotation text"/>
    <w:basedOn w:val="Normal"/>
    <w:link w:val="CommentTextChar"/>
    <w:uiPriority w:val="99"/>
    <w:unhideWhenUsed/>
    <w:rsid w:val="00561F69"/>
    <w:pPr>
      <w:spacing w:line="240" w:lineRule="auto"/>
    </w:pPr>
    <w:rPr>
      <w:sz w:val="20"/>
      <w:szCs w:val="20"/>
    </w:rPr>
  </w:style>
  <w:style w:type="character" w:customStyle="1" w:styleId="CommentTextChar">
    <w:name w:val="Comment Text Char"/>
    <w:link w:val="CommentText"/>
    <w:uiPriority w:val="99"/>
    <w:rsid w:val="00561F69"/>
    <w:rPr>
      <w:sz w:val="20"/>
      <w:szCs w:val="20"/>
    </w:rPr>
  </w:style>
  <w:style w:type="paragraph" w:styleId="CommentSubject">
    <w:name w:val="annotation subject"/>
    <w:basedOn w:val="CommentText"/>
    <w:next w:val="CommentText"/>
    <w:link w:val="CommentSubjectChar"/>
    <w:uiPriority w:val="99"/>
    <w:semiHidden/>
    <w:unhideWhenUsed/>
    <w:rsid w:val="00561F69"/>
    <w:rPr>
      <w:b/>
      <w:bCs/>
    </w:rPr>
  </w:style>
  <w:style w:type="character" w:customStyle="1" w:styleId="CommentSubjectChar">
    <w:name w:val="Comment Subject Char"/>
    <w:link w:val="CommentSubject"/>
    <w:uiPriority w:val="99"/>
    <w:semiHidden/>
    <w:rsid w:val="00561F69"/>
    <w:rPr>
      <w:b/>
      <w:bCs/>
      <w:sz w:val="20"/>
      <w:szCs w:val="20"/>
    </w:rPr>
  </w:style>
  <w:style w:type="paragraph" w:customStyle="1" w:styleId="Default">
    <w:name w:val="Default"/>
    <w:rsid w:val="00F81CAF"/>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0E078A"/>
    <w:pPr>
      <w:ind w:left="720"/>
      <w:contextualSpacing/>
    </w:pPr>
  </w:style>
  <w:style w:type="paragraph" w:customStyle="1" w:styleId="normal0">
    <w:name w:val="normal"/>
    <w:basedOn w:val="Normal"/>
    <w:rsid w:val="0096580C"/>
    <w:pPr>
      <w:spacing w:before="86" w:after="0" w:line="240" w:lineRule="auto"/>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2287429">
      <w:bodyDiv w:val="1"/>
      <w:marLeft w:val="0"/>
      <w:marRight w:val="0"/>
      <w:marTop w:val="0"/>
      <w:marBottom w:val="0"/>
      <w:divBdr>
        <w:top w:val="none" w:sz="0" w:space="0" w:color="auto"/>
        <w:left w:val="none" w:sz="0" w:space="0" w:color="auto"/>
        <w:bottom w:val="none" w:sz="0" w:space="0" w:color="auto"/>
        <w:right w:val="none" w:sz="0" w:space="0" w:color="auto"/>
      </w:divBdr>
    </w:div>
    <w:div w:id="394470092">
      <w:bodyDiv w:val="1"/>
      <w:marLeft w:val="0"/>
      <w:marRight w:val="0"/>
      <w:marTop w:val="0"/>
      <w:marBottom w:val="0"/>
      <w:divBdr>
        <w:top w:val="none" w:sz="0" w:space="0" w:color="auto"/>
        <w:left w:val="none" w:sz="0" w:space="0" w:color="auto"/>
        <w:bottom w:val="none" w:sz="0" w:space="0" w:color="auto"/>
        <w:right w:val="none" w:sz="0" w:space="0" w:color="auto"/>
      </w:divBdr>
    </w:div>
    <w:div w:id="716665122">
      <w:bodyDiv w:val="1"/>
      <w:marLeft w:val="0"/>
      <w:marRight w:val="0"/>
      <w:marTop w:val="0"/>
      <w:marBottom w:val="0"/>
      <w:divBdr>
        <w:top w:val="none" w:sz="0" w:space="0" w:color="auto"/>
        <w:left w:val="none" w:sz="0" w:space="0" w:color="auto"/>
        <w:bottom w:val="none" w:sz="0" w:space="0" w:color="auto"/>
        <w:right w:val="none" w:sz="0" w:space="0" w:color="auto"/>
      </w:divBdr>
      <w:divsChild>
        <w:div w:id="2048336205">
          <w:marLeft w:val="0"/>
          <w:marRight w:val="0"/>
          <w:marTop w:val="0"/>
          <w:marBottom w:val="0"/>
          <w:divBdr>
            <w:top w:val="none" w:sz="0" w:space="0" w:color="auto"/>
            <w:left w:val="none" w:sz="0" w:space="0" w:color="auto"/>
            <w:bottom w:val="none" w:sz="0" w:space="0" w:color="auto"/>
            <w:right w:val="none" w:sz="0" w:space="0" w:color="auto"/>
          </w:divBdr>
          <w:divsChild>
            <w:div w:id="1861818513">
              <w:marLeft w:val="0"/>
              <w:marRight w:val="0"/>
              <w:marTop w:val="0"/>
              <w:marBottom w:val="0"/>
              <w:divBdr>
                <w:top w:val="none" w:sz="0" w:space="0" w:color="auto"/>
                <w:left w:val="none" w:sz="0" w:space="0" w:color="auto"/>
                <w:bottom w:val="none" w:sz="0" w:space="0" w:color="auto"/>
                <w:right w:val="none" w:sz="0" w:space="0" w:color="auto"/>
              </w:divBdr>
              <w:divsChild>
                <w:div w:id="1284456856">
                  <w:marLeft w:val="0"/>
                  <w:marRight w:val="0"/>
                  <w:marTop w:val="0"/>
                  <w:marBottom w:val="0"/>
                  <w:divBdr>
                    <w:top w:val="none" w:sz="0" w:space="0" w:color="auto"/>
                    <w:left w:val="none" w:sz="0" w:space="0" w:color="auto"/>
                    <w:bottom w:val="none" w:sz="0" w:space="0" w:color="auto"/>
                    <w:right w:val="none" w:sz="0" w:space="0" w:color="auto"/>
                  </w:divBdr>
                  <w:divsChild>
                    <w:div w:id="1607083269">
                      <w:marLeft w:val="1"/>
                      <w:marRight w:val="0"/>
                      <w:marTop w:val="0"/>
                      <w:marBottom w:val="0"/>
                      <w:divBdr>
                        <w:top w:val="none" w:sz="0" w:space="0" w:color="auto"/>
                        <w:left w:val="none" w:sz="0" w:space="0" w:color="auto"/>
                        <w:bottom w:val="none" w:sz="0" w:space="0" w:color="auto"/>
                        <w:right w:val="none" w:sz="0" w:space="0" w:color="auto"/>
                      </w:divBdr>
                      <w:divsChild>
                        <w:div w:id="1829593814">
                          <w:marLeft w:val="0"/>
                          <w:marRight w:val="0"/>
                          <w:marTop w:val="0"/>
                          <w:marBottom w:val="0"/>
                          <w:divBdr>
                            <w:top w:val="none" w:sz="0" w:space="0" w:color="auto"/>
                            <w:left w:val="none" w:sz="0" w:space="0" w:color="auto"/>
                            <w:bottom w:val="none" w:sz="0" w:space="0" w:color="auto"/>
                            <w:right w:val="none" w:sz="0" w:space="0" w:color="auto"/>
                          </w:divBdr>
                          <w:divsChild>
                            <w:div w:id="1063799396">
                              <w:marLeft w:val="0"/>
                              <w:marRight w:val="0"/>
                              <w:marTop w:val="0"/>
                              <w:marBottom w:val="360"/>
                              <w:divBdr>
                                <w:top w:val="none" w:sz="0" w:space="0" w:color="auto"/>
                                <w:left w:val="none" w:sz="0" w:space="0" w:color="auto"/>
                                <w:bottom w:val="none" w:sz="0" w:space="0" w:color="auto"/>
                                <w:right w:val="none" w:sz="0" w:space="0" w:color="auto"/>
                              </w:divBdr>
                              <w:divsChild>
                                <w:div w:id="2101482339">
                                  <w:marLeft w:val="0"/>
                                  <w:marRight w:val="0"/>
                                  <w:marTop w:val="0"/>
                                  <w:marBottom w:val="0"/>
                                  <w:divBdr>
                                    <w:top w:val="none" w:sz="0" w:space="0" w:color="auto"/>
                                    <w:left w:val="none" w:sz="0" w:space="0" w:color="auto"/>
                                    <w:bottom w:val="none" w:sz="0" w:space="0" w:color="auto"/>
                                    <w:right w:val="none" w:sz="0" w:space="0" w:color="auto"/>
                                  </w:divBdr>
                                  <w:divsChild>
                                    <w:div w:id="12947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09782">
      <w:bodyDiv w:val="1"/>
      <w:marLeft w:val="0"/>
      <w:marRight w:val="0"/>
      <w:marTop w:val="0"/>
      <w:marBottom w:val="0"/>
      <w:divBdr>
        <w:top w:val="none" w:sz="0" w:space="0" w:color="auto"/>
        <w:left w:val="none" w:sz="0" w:space="0" w:color="auto"/>
        <w:bottom w:val="none" w:sz="0" w:space="0" w:color="auto"/>
        <w:right w:val="none" w:sz="0" w:space="0" w:color="auto"/>
      </w:divBdr>
      <w:divsChild>
        <w:div w:id="905073230">
          <w:marLeft w:val="0"/>
          <w:marRight w:val="0"/>
          <w:marTop w:val="0"/>
          <w:marBottom w:val="0"/>
          <w:divBdr>
            <w:top w:val="none" w:sz="0" w:space="0" w:color="auto"/>
            <w:left w:val="none" w:sz="0" w:space="0" w:color="auto"/>
            <w:bottom w:val="none" w:sz="0" w:space="0" w:color="auto"/>
            <w:right w:val="none" w:sz="0" w:space="0" w:color="auto"/>
          </w:divBdr>
          <w:divsChild>
            <w:div w:id="1445272926">
              <w:marLeft w:val="0"/>
              <w:marRight w:val="0"/>
              <w:marTop w:val="188"/>
              <w:marBottom w:val="0"/>
              <w:divBdr>
                <w:top w:val="none" w:sz="0" w:space="0" w:color="auto"/>
                <w:left w:val="none" w:sz="0" w:space="0" w:color="auto"/>
                <w:bottom w:val="none" w:sz="0" w:space="0" w:color="auto"/>
                <w:right w:val="none" w:sz="0" w:space="0" w:color="auto"/>
              </w:divBdr>
              <w:divsChild>
                <w:div w:id="1708724768">
                  <w:marLeft w:val="250"/>
                  <w:marRight w:val="250"/>
                  <w:marTop w:val="0"/>
                  <w:marBottom w:val="0"/>
                  <w:divBdr>
                    <w:top w:val="none" w:sz="0" w:space="0" w:color="auto"/>
                    <w:left w:val="none" w:sz="0" w:space="0" w:color="auto"/>
                    <w:bottom w:val="none" w:sz="0" w:space="0" w:color="auto"/>
                    <w:right w:val="none" w:sz="0" w:space="0" w:color="auto"/>
                  </w:divBdr>
                  <w:divsChild>
                    <w:div w:id="222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79743">
      <w:bodyDiv w:val="1"/>
      <w:marLeft w:val="0"/>
      <w:marRight w:val="0"/>
      <w:marTop w:val="0"/>
      <w:marBottom w:val="0"/>
      <w:divBdr>
        <w:top w:val="none" w:sz="0" w:space="0" w:color="auto"/>
        <w:left w:val="none" w:sz="0" w:space="0" w:color="auto"/>
        <w:bottom w:val="none" w:sz="0" w:space="0" w:color="auto"/>
        <w:right w:val="none" w:sz="0" w:space="0" w:color="auto"/>
      </w:divBdr>
      <w:divsChild>
        <w:div w:id="1617516025">
          <w:marLeft w:val="0"/>
          <w:marRight w:val="0"/>
          <w:marTop w:val="0"/>
          <w:marBottom w:val="0"/>
          <w:divBdr>
            <w:top w:val="none" w:sz="0" w:space="0" w:color="auto"/>
            <w:left w:val="none" w:sz="0" w:space="0" w:color="auto"/>
            <w:bottom w:val="none" w:sz="0" w:space="0" w:color="auto"/>
            <w:right w:val="none" w:sz="0" w:space="0" w:color="auto"/>
          </w:divBdr>
          <w:divsChild>
            <w:div w:id="1151101311">
              <w:marLeft w:val="0"/>
              <w:marRight w:val="0"/>
              <w:marTop w:val="0"/>
              <w:marBottom w:val="0"/>
              <w:divBdr>
                <w:top w:val="none" w:sz="0" w:space="0" w:color="auto"/>
                <w:left w:val="none" w:sz="0" w:space="0" w:color="auto"/>
                <w:bottom w:val="none" w:sz="0" w:space="0" w:color="auto"/>
                <w:right w:val="none" w:sz="0" w:space="0" w:color="auto"/>
              </w:divBdr>
              <w:divsChild>
                <w:div w:id="219173145">
                  <w:marLeft w:val="0"/>
                  <w:marRight w:val="0"/>
                  <w:marTop w:val="0"/>
                  <w:marBottom w:val="0"/>
                  <w:divBdr>
                    <w:top w:val="none" w:sz="0" w:space="0" w:color="auto"/>
                    <w:left w:val="none" w:sz="0" w:space="0" w:color="auto"/>
                    <w:bottom w:val="none" w:sz="0" w:space="0" w:color="auto"/>
                    <w:right w:val="none" w:sz="0" w:space="0" w:color="auto"/>
                  </w:divBdr>
                  <w:divsChild>
                    <w:div w:id="45296236">
                      <w:marLeft w:val="1"/>
                      <w:marRight w:val="0"/>
                      <w:marTop w:val="0"/>
                      <w:marBottom w:val="0"/>
                      <w:divBdr>
                        <w:top w:val="none" w:sz="0" w:space="0" w:color="auto"/>
                        <w:left w:val="none" w:sz="0" w:space="0" w:color="auto"/>
                        <w:bottom w:val="none" w:sz="0" w:space="0" w:color="auto"/>
                        <w:right w:val="none" w:sz="0" w:space="0" w:color="auto"/>
                      </w:divBdr>
                      <w:divsChild>
                        <w:div w:id="81221885">
                          <w:marLeft w:val="0"/>
                          <w:marRight w:val="0"/>
                          <w:marTop w:val="0"/>
                          <w:marBottom w:val="0"/>
                          <w:divBdr>
                            <w:top w:val="none" w:sz="0" w:space="0" w:color="auto"/>
                            <w:left w:val="none" w:sz="0" w:space="0" w:color="auto"/>
                            <w:bottom w:val="none" w:sz="0" w:space="0" w:color="auto"/>
                            <w:right w:val="none" w:sz="0" w:space="0" w:color="auto"/>
                          </w:divBdr>
                          <w:divsChild>
                            <w:div w:id="106434214">
                              <w:marLeft w:val="0"/>
                              <w:marRight w:val="0"/>
                              <w:marTop w:val="0"/>
                              <w:marBottom w:val="360"/>
                              <w:divBdr>
                                <w:top w:val="none" w:sz="0" w:space="0" w:color="auto"/>
                                <w:left w:val="none" w:sz="0" w:space="0" w:color="auto"/>
                                <w:bottom w:val="none" w:sz="0" w:space="0" w:color="auto"/>
                                <w:right w:val="none" w:sz="0" w:space="0" w:color="auto"/>
                              </w:divBdr>
                              <w:divsChild>
                                <w:div w:id="747964750">
                                  <w:marLeft w:val="0"/>
                                  <w:marRight w:val="0"/>
                                  <w:marTop w:val="0"/>
                                  <w:marBottom w:val="0"/>
                                  <w:divBdr>
                                    <w:top w:val="none" w:sz="0" w:space="0" w:color="auto"/>
                                    <w:left w:val="none" w:sz="0" w:space="0" w:color="auto"/>
                                    <w:bottom w:val="none" w:sz="0" w:space="0" w:color="auto"/>
                                    <w:right w:val="none" w:sz="0" w:space="0" w:color="auto"/>
                                  </w:divBdr>
                                  <w:divsChild>
                                    <w:div w:id="15654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963304">
      <w:bodyDiv w:val="1"/>
      <w:marLeft w:val="0"/>
      <w:marRight w:val="0"/>
      <w:marTop w:val="0"/>
      <w:marBottom w:val="0"/>
      <w:divBdr>
        <w:top w:val="none" w:sz="0" w:space="0" w:color="auto"/>
        <w:left w:val="none" w:sz="0" w:space="0" w:color="auto"/>
        <w:bottom w:val="none" w:sz="0" w:space="0" w:color="auto"/>
        <w:right w:val="none" w:sz="0" w:space="0" w:color="auto"/>
      </w:divBdr>
      <w:divsChild>
        <w:div w:id="1911110432">
          <w:marLeft w:val="0"/>
          <w:marRight w:val="0"/>
          <w:marTop w:val="0"/>
          <w:marBottom w:val="0"/>
          <w:divBdr>
            <w:top w:val="none" w:sz="0" w:space="0" w:color="auto"/>
            <w:left w:val="none" w:sz="0" w:space="0" w:color="auto"/>
            <w:bottom w:val="none" w:sz="0" w:space="0" w:color="auto"/>
            <w:right w:val="none" w:sz="0" w:space="0" w:color="auto"/>
          </w:divBdr>
          <w:divsChild>
            <w:div w:id="685063682">
              <w:marLeft w:val="0"/>
              <w:marRight w:val="0"/>
              <w:marTop w:val="0"/>
              <w:marBottom w:val="0"/>
              <w:divBdr>
                <w:top w:val="none" w:sz="0" w:space="0" w:color="auto"/>
                <w:left w:val="none" w:sz="0" w:space="0" w:color="auto"/>
                <w:bottom w:val="none" w:sz="0" w:space="0" w:color="auto"/>
                <w:right w:val="none" w:sz="0" w:space="0" w:color="auto"/>
              </w:divBdr>
              <w:divsChild>
                <w:div w:id="1046418087">
                  <w:marLeft w:val="0"/>
                  <w:marRight w:val="0"/>
                  <w:marTop w:val="0"/>
                  <w:marBottom w:val="0"/>
                  <w:divBdr>
                    <w:top w:val="none" w:sz="0" w:space="0" w:color="auto"/>
                    <w:left w:val="none" w:sz="0" w:space="0" w:color="auto"/>
                    <w:bottom w:val="none" w:sz="0" w:space="0" w:color="auto"/>
                    <w:right w:val="none" w:sz="0" w:space="0" w:color="auto"/>
                  </w:divBdr>
                  <w:divsChild>
                    <w:div w:id="1444810064">
                      <w:marLeft w:val="0"/>
                      <w:marRight w:val="0"/>
                      <w:marTop w:val="0"/>
                      <w:marBottom w:val="0"/>
                      <w:divBdr>
                        <w:top w:val="none" w:sz="0" w:space="0" w:color="auto"/>
                        <w:left w:val="none" w:sz="0" w:space="0" w:color="auto"/>
                        <w:bottom w:val="none" w:sz="0" w:space="0" w:color="auto"/>
                        <w:right w:val="none" w:sz="0" w:space="0" w:color="auto"/>
                      </w:divBdr>
                      <w:divsChild>
                        <w:div w:id="1526215502">
                          <w:marLeft w:val="0"/>
                          <w:marRight w:val="0"/>
                          <w:marTop w:val="0"/>
                          <w:marBottom w:val="0"/>
                          <w:divBdr>
                            <w:top w:val="none" w:sz="0" w:space="0" w:color="auto"/>
                            <w:left w:val="none" w:sz="0" w:space="0" w:color="auto"/>
                            <w:bottom w:val="none" w:sz="0" w:space="0" w:color="auto"/>
                            <w:right w:val="none" w:sz="0" w:space="0" w:color="auto"/>
                          </w:divBdr>
                          <w:divsChild>
                            <w:div w:id="1323774401">
                              <w:marLeft w:val="0"/>
                              <w:marRight w:val="0"/>
                              <w:marTop w:val="0"/>
                              <w:marBottom w:val="0"/>
                              <w:divBdr>
                                <w:top w:val="none" w:sz="0" w:space="0" w:color="auto"/>
                                <w:left w:val="none" w:sz="0" w:space="0" w:color="auto"/>
                                <w:bottom w:val="none" w:sz="0" w:space="0" w:color="auto"/>
                                <w:right w:val="none" w:sz="0" w:space="0" w:color="auto"/>
                              </w:divBdr>
                              <w:divsChild>
                                <w:div w:id="925187048">
                                  <w:marLeft w:val="0"/>
                                  <w:marRight w:val="0"/>
                                  <w:marTop w:val="0"/>
                                  <w:marBottom w:val="0"/>
                                  <w:divBdr>
                                    <w:top w:val="none" w:sz="0" w:space="0" w:color="auto"/>
                                    <w:left w:val="none" w:sz="0" w:space="0" w:color="auto"/>
                                    <w:bottom w:val="none" w:sz="0" w:space="0" w:color="auto"/>
                                    <w:right w:val="none" w:sz="0" w:space="0" w:color="auto"/>
                                  </w:divBdr>
                                  <w:divsChild>
                                    <w:div w:id="882909915">
                                      <w:marLeft w:val="0"/>
                                      <w:marRight w:val="0"/>
                                      <w:marTop w:val="0"/>
                                      <w:marBottom w:val="0"/>
                                      <w:divBdr>
                                        <w:top w:val="none" w:sz="0" w:space="0" w:color="auto"/>
                                        <w:left w:val="none" w:sz="0" w:space="0" w:color="auto"/>
                                        <w:bottom w:val="none" w:sz="0" w:space="0" w:color="auto"/>
                                        <w:right w:val="none" w:sz="0" w:space="0" w:color="auto"/>
                                      </w:divBdr>
                                      <w:divsChild>
                                        <w:div w:id="1254166954">
                                          <w:marLeft w:val="0"/>
                                          <w:marRight w:val="0"/>
                                          <w:marTop w:val="0"/>
                                          <w:marBottom w:val="0"/>
                                          <w:divBdr>
                                            <w:top w:val="none" w:sz="0" w:space="0" w:color="auto"/>
                                            <w:left w:val="none" w:sz="0" w:space="0" w:color="auto"/>
                                            <w:bottom w:val="none" w:sz="0" w:space="0" w:color="auto"/>
                                            <w:right w:val="none" w:sz="0" w:space="0" w:color="auto"/>
                                          </w:divBdr>
                                          <w:divsChild>
                                            <w:div w:id="306476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627628">
      <w:bodyDiv w:val="1"/>
      <w:marLeft w:val="0"/>
      <w:marRight w:val="0"/>
      <w:marTop w:val="0"/>
      <w:marBottom w:val="0"/>
      <w:divBdr>
        <w:top w:val="none" w:sz="0" w:space="0" w:color="auto"/>
        <w:left w:val="none" w:sz="0" w:space="0" w:color="auto"/>
        <w:bottom w:val="none" w:sz="0" w:space="0" w:color="auto"/>
        <w:right w:val="none" w:sz="0" w:space="0" w:color="auto"/>
      </w:divBdr>
    </w:div>
    <w:div w:id="1577863638">
      <w:bodyDiv w:val="1"/>
      <w:marLeft w:val="0"/>
      <w:marRight w:val="0"/>
      <w:marTop w:val="0"/>
      <w:marBottom w:val="0"/>
      <w:divBdr>
        <w:top w:val="none" w:sz="0" w:space="0" w:color="auto"/>
        <w:left w:val="none" w:sz="0" w:space="0" w:color="auto"/>
        <w:bottom w:val="none" w:sz="0" w:space="0" w:color="auto"/>
        <w:right w:val="none" w:sz="0" w:space="0" w:color="auto"/>
      </w:divBdr>
      <w:divsChild>
        <w:div w:id="1721634025">
          <w:marLeft w:val="0"/>
          <w:marRight w:val="0"/>
          <w:marTop w:val="0"/>
          <w:marBottom w:val="0"/>
          <w:divBdr>
            <w:top w:val="none" w:sz="0" w:space="0" w:color="auto"/>
            <w:left w:val="none" w:sz="0" w:space="0" w:color="auto"/>
            <w:bottom w:val="none" w:sz="0" w:space="0" w:color="auto"/>
            <w:right w:val="none" w:sz="0" w:space="0" w:color="auto"/>
          </w:divBdr>
          <w:divsChild>
            <w:div w:id="764962546">
              <w:marLeft w:val="0"/>
              <w:marRight w:val="0"/>
              <w:marTop w:val="0"/>
              <w:marBottom w:val="0"/>
              <w:divBdr>
                <w:top w:val="none" w:sz="0" w:space="0" w:color="auto"/>
                <w:left w:val="none" w:sz="0" w:space="0" w:color="auto"/>
                <w:bottom w:val="none" w:sz="0" w:space="0" w:color="auto"/>
                <w:right w:val="none" w:sz="0" w:space="0" w:color="auto"/>
              </w:divBdr>
              <w:divsChild>
                <w:div w:id="1859271065">
                  <w:marLeft w:val="0"/>
                  <w:marRight w:val="0"/>
                  <w:marTop w:val="0"/>
                  <w:marBottom w:val="0"/>
                  <w:divBdr>
                    <w:top w:val="none" w:sz="0" w:space="0" w:color="auto"/>
                    <w:left w:val="none" w:sz="0" w:space="0" w:color="auto"/>
                    <w:bottom w:val="none" w:sz="0" w:space="0" w:color="auto"/>
                    <w:right w:val="none" w:sz="0" w:space="0" w:color="auto"/>
                  </w:divBdr>
                  <w:divsChild>
                    <w:div w:id="1130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09046">
      <w:bodyDiv w:val="1"/>
      <w:marLeft w:val="0"/>
      <w:marRight w:val="0"/>
      <w:marTop w:val="0"/>
      <w:marBottom w:val="0"/>
      <w:divBdr>
        <w:top w:val="none" w:sz="0" w:space="0" w:color="auto"/>
        <w:left w:val="none" w:sz="0" w:space="0" w:color="auto"/>
        <w:bottom w:val="none" w:sz="0" w:space="0" w:color="auto"/>
        <w:right w:val="none" w:sz="0" w:space="0" w:color="auto"/>
      </w:divBdr>
    </w:div>
    <w:div w:id="1853911612">
      <w:bodyDiv w:val="1"/>
      <w:marLeft w:val="0"/>
      <w:marRight w:val="0"/>
      <w:marTop w:val="0"/>
      <w:marBottom w:val="0"/>
      <w:divBdr>
        <w:top w:val="none" w:sz="0" w:space="0" w:color="auto"/>
        <w:left w:val="none" w:sz="0" w:space="0" w:color="auto"/>
        <w:bottom w:val="none" w:sz="0" w:space="0" w:color="auto"/>
        <w:right w:val="none" w:sz="0" w:space="0" w:color="auto"/>
      </w:divBdr>
    </w:div>
    <w:div w:id="1869682939">
      <w:bodyDiv w:val="1"/>
      <w:marLeft w:val="279"/>
      <w:marRight w:val="279"/>
      <w:marTop w:val="0"/>
      <w:marBottom w:val="0"/>
      <w:divBdr>
        <w:top w:val="none" w:sz="0" w:space="0" w:color="auto"/>
        <w:left w:val="none" w:sz="0" w:space="0" w:color="auto"/>
        <w:bottom w:val="none" w:sz="0" w:space="0" w:color="auto"/>
        <w:right w:val="none" w:sz="0" w:space="0" w:color="auto"/>
      </w:divBdr>
    </w:div>
    <w:div w:id="1921216042">
      <w:bodyDiv w:val="1"/>
      <w:marLeft w:val="0"/>
      <w:marRight w:val="0"/>
      <w:marTop w:val="0"/>
      <w:marBottom w:val="0"/>
      <w:divBdr>
        <w:top w:val="none" w:sz="0" w:space="0" w:color="auto"/>
        <w:left w:val="none" w:sz="0" w:space="0" w:color="auto"/>
        <w:bottom w:val="none" w:sz="0" w:space="0" w:color="auto"/>
        <w:right w:val="none" w:sz="0" w:space="0" w:color="auto"/>
      </w:divBdr>
    </w:div>
    <w:div w:id="2068724851">
      <w:bodyDiv w:val="1"/>
      <w:marLeft w:val="0"/>
      <w:marRight w:val="0"/>
      <w:marTop w:val="0"/>
      <w:marBottom w:val="0"/>
      <w:divBdr>
        <w:top w:val="none" w:sz="0" w:space="0" w:color="auto"/>
        <w:left w:val="none" w:sz="0" w:space="0" w:color="auto"/>
        <w:bottom w:val="none" w:sz="0" w:space="0" w:color="auto"/>
        <w:right w:val="none" w:sz="0" w:space="0" w:color="auto"/>
      </w:divBdr>
      <w:divsChild>
        <w:div w:id="1102607798">
          <w:marLeft w:val="0"/>
          <w:marRight w:val="0"/>
          <w:marTop w:val="0"/>
          <w:marBottom w:val="0"/>
          <w:divBdr>
            <w:top w:val="none" w:sz="0" w:space="0" w:color="auto"/>
            <w:left w:val="none" w:sz="0" w:space="0" w:color="auto"/>
            <w:bottom w:val="none" w:sz="0" w:space="0" w:color="auto"/>
            <w:right w:val="none" w:sz="0" w:space="0" w:color="auto"/>
          </w:divBdr>
          <w:divsChild>
            <w:div w:id="186797697">
              <w:marLeft w:val="0"/>
              <w:marRight w:val="0"/>
              <w:marTop w:val="0"/>
              <w:marBottom w:val="0"/>
              <w:divBdr>
                <w:top w:val="none" w:sz="0" w:space="0" w:color="auto"/>
                <w:left w:val="none" w:sz="0" w:space="0" w:color="auto"/>
                <w:bottom w:val="none" w:sz="0" w:space="0" w:color="auto"/>
                <w:right w:val="none" w:sz="0" w:space="0" w:color="auto"/>
              </w:divBdr>
              <w:divsChild>
                <w:div w:id="1992371377">
                  <w:marLeft w:val="0"/>
                  <w:marRight w:val="0"/>
                  <w:marTop w:val="0"/>
                  <w:marBottom w:val="0"/>
                  <w:divBdr>
                    <w:top w:val="none" w:sz="0" w:space="0" w:color="auto"/>
                    <w:left w:val="none" w:sz="0" w:space="0" w:color="auto"/>
                    <w:bottom w:val="none" w:sz="0" w:space="0" w:color="auto"/>
                    <w:right w:val="none" w:sz="0" w:space="0" w:color="auto"/>
                  </w:divBdr>
                  <w:divsChild>
                    <w:div w:id="345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iaa.gov.lv/lat/muzizglitibas_programma/erasmus_plus/erasmus_plus_jaunumi/?text_id=241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67A5A-2994-49D9-A202-019472DF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31056</Words>
  <Characters>17702</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IZM</Company>
  <LinksUpToDate>false</LinksUpToDate>
  <CharactersWithSpaces>48661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Eiropas Savienības programmas izglītības, apmācības, jaunatnes un sporta jomā "Erasmus+" īstenošanas nodrošināšanai nepieciešamo finansējumu</dc:subject>
  <dc:creator>I.Griķe</dc:creator>
  <dc:description>Inga.Grike@izm.gov.lv
67047826</dc:description>
  <cp:lastModifiedBy>igabrisa</cp:lastModifiedBy>
  <cp:revision>3</cp:revision>
  <cp:lastPrinted>2014-09-09T05:54:00Z</cp:lastPrinted>
  <dcterms:created xsi:type="dcterms:W3CDTF">2014-09-09T05:55:00Z</dcterms:created>
  <dcterms:modified xsi:type="dcterms:W3CDTF">2014-09-09T06:56:00Z</dcterms:modified>
</cp:coreProperties>
</file>