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E5" w:rsidRPr="00616E78" w:rsidRDefault="005471D0" w:rsidP="00CB0AE5">
      <w:pPr>
        <w:pStyle w:val="naisc"/>
        <w:spacing w:before="0" w:after="0"/>
        <w:jc w:val="center"/>
        <w:rPr>
          <w:sz w:val="26"/>
          <w:szCs w:val="26"/>
        </w:rPr>
      </w:pPr>
      <w:r w:rsidRPr="00616E78">
        <w:rPr>
          <w:b/>
          <w:sz w:val="26"/>
          <w:szCs w:val="26"/>
        </w:rPr>
        <w:t xml:space="preserve">Ministru kabineta rīkojuma projekta „Par studiju virziena atvēršanu sabiedrībā ar ierobežotu atbildību </w:t>
      </w:r>
      <w:r w:rsidRPr="00616E78">
        <w:rPr>
          <w:b/>
          <w:i/>
          <w:sz w:val="26"/>
          <w:szCs w:val="26"/>
        </w:rPr>
        <w:t>„</w:t>
      </w:r>
      <w:r w:rsidRPr="00616E78">
        <w:rPr>
          <w:b/>
          <w:sz w:val="26"/>
          <w:szCs w:val="26"/>
        </w:rPr>
        <w:t>HOTEL SCHOOL”</w:t>
      </w:r>
      <w:r w:rsidRPr="00616E78">
        <w:rPr>
          <w:b/>
          <w:i/>
          <w:sz w:val="26"/>
          <w:szCs w:val="26"/>
        </w:rPr>
        <w:t xml:space="preserve"> </w:t>
      </w:r>
      <w:r w:rsidR="00BC7479">
        <w:rPr>
          <w:b/>
          <w:sz w:val="26"/>
          <w:szCs w:val="26"/>
        </w:rPr>
        <w:t>Viesnīcu biznesa koledža</w:t>
      </w:r>
      <w:r w:rsidRPr="00616E78">
        <w:rPr>
          <w:b/>
          <w:sz w:val="26"/>
          <w:szCs w:val="26"/>
        </w:rPr>
        <w:t xml:space="preserve">” </w:t>
      </w:r>
      <w:r w:rsidRPr="00616E78">
        <w:rPr>
          <w:b/>
          <w:bCs/>
          <w:sz w:val="26"/>
          <w:szCs w:val="26"/>
        </w:rPr>
        <w:t>sākotnējās ietekmes novērtējuma ziņojums (anotācija)</w:t>
      </w:r>
    </w:p>
    <w:tbl>
      <w:tblPr>
        <w:tblW w:w="8900" w:type="dxa"/>
        <w:tblCellSpacing w:w="0" w:type="dxa"/>
        <w:tblInd w:w="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528"/>
        <w:gridCol w:w="5954"/>
      </w:tblGrid>
      <w:tr w:rsidR="00CB0AE5" w:rsidRPr="00616E78" w:rsidTr="00D960AE">
        <w:trPr>
          <w:tblCellSpacing w:w="0" w:type="dxa"/>
        </w:trPr>
        <w:tc>
          <w:tcPr>
            <w:tcW w:w="8900" w:type="dxa"/>
            <w:gridSpan w:val="3"/>
            <w:tcBorders>
              <w:top w:val="single" w:sz="4" w:space="0" w:color="auto"/>
              <w:left w:val="single" w:sz="4" w:space="0" w:color="auto"/>
              <w:bottom w:val="single" w:sz="4" w:space="0" w:color="auto"/>
              <w:right w:val="single" w:sz="4" w:space="0" w:color="auto"/>
            </w:tcBorders>
            <w:vAlign w:val="center"/>
            <w:hideMark/>
          </w:tcPr>
          <w:p w:rsidR="00CB0AE5" w:rsidRPr="00616E78" w:rsidRDefault="005471D0" w:rsidP="007F4D42">
            <w:pPr>
              <w:spacing w:before="75" w:after="75"/>
              <w:jc w:val="center"/>
              <w:rPr>
                <w:b/>
                <w:sz w:val="26"/>
                <w:szCs w:val="26"/>
              </w:rPr>
            </w:pPr>
            <w:r w:rsidRPr="00616E78">
              <w:rPr>
                <w:b/>
                <w:bCs/>
                <w:sz w:val="26"/>
                <w:szCs w:val="26"/>
              </w:rPr>
              <w:t> I. Tiesību akta projekta izstrādes nepieciešamība</w:t>
            </w:r>
          </w:p>
        </w:tc>
      </w:tr>
      <w:tr w:rsidR="00CB0AE5" w:rsidRPr="00616E78" w:rsidTr="00D960AE">
        <w:trPr>
          <w:trHeight w:val="3462"/>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1.</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xml:space="preserve"> Pamatojums:</w:t>
            </w:r>
          </w:p>
          <w:p w:rsidR="00CD4D44" w:rsidRPr="00616E78" w:rsidRDefault="00CD4D44">
            <w:pPr>
              <w:rPr>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3E726D" w:rsidRPr="00616E78" w:rsidRDefault="00933A5C" w:rsidP="00933A5C">
            <w:pPr>
              <w:jc w:val="both"/>
              <w:rPr>
                <w:sz w:val="26"/>
                <w:szCs w:val="26"/>
              </w:rPr>
            </w:pPr>
            <w:r w:rsidRPr="00616E78">
              <w:rPr>
                <w:sz w:val="26"/>
                <w:szCs w:val="26"/>
              </w:rPr>
              <w:t xml:space="preserve">    </w:t>
            </w:r>
            <w:r w:rsidR="005471D0" w:rsidRPr="00616E78">
              <w:rPr>
                <w:sz w:val="26"/>
                <w:szCs w:val="26"/>
              </w:rPr>
              <w:t>Ministru kabineta</w:t>
            </w:r>
            <w:r w:rsidR="00F721B4">
              <w:rPr>
                <w:sz w:val="26"/>
                <w:szCs w:val="26"/>
              </w:rPr>
              <w:t xml:space="preserve"> (turpmāk – MK)</w:t>
            </w:r>
            <w:r w:rsidR="005471D0" w:rsidRPr="00616E78">
              <w:rPr>
                <w:sz w:val="26"/>
                <w:szCs w:val="26"/>
              </w:rPr>
              <w:t xml:space="preserve"> rīkojuma projekts „Par studiju virziena atvēršanu sabiedrībā ar ierobežotu atbildību </w:t>
            </w:r>
            <w:r w:rsidR="00C1068F">
              <w:rPr>
                <w:sz w:val="26"/>
                <w:szCs w:val="26"/>
              </w:rPr>
              <w:t>“</w:t>
            </w:r>
            <w:r w:rsidR="005471D0" w:rsidRPr="00616E78">
              <w:rPr>
                <w:sz w:val="26"/>
                <w:szCs w:val="26"/>
              </w:rPr>
              <w:t>“HOTEL SCHOOL” Viesnīcu biznesa koledž</w:t>
            </w:r>
            <w:r w:rsidR="00C1068F">
              <w:rPr>
                <w:sz w:val="26"/>
                <w:szCs w:val="26"/>
              </w:rPr>
              <w:t>a”</w:t>
            </w:r>
            <w:r w:rsidR="005471D0" w:rsidRPr="00616E78">
              <w:rPr>
                <w:sz w:val="26"/>
                <w:szCs w:val="26"/>
              </w:rPr>
              <w:t>” (turpmāk – rīkojuma projekts) izstrādāts saskaņā ar Augstskolu likuma 55.</w:t>
            </w:r>
            <w:r w:rsidR="005471D0" w:rsidRPr="00616E78">
              <w:rPr>
                <w:sz w:val="26"/>
                <w:szCs w:val="26"/>
                <w:vertAlign w:val="superscript"/>
              </w:rPr>
              <w:t>2</w:t>
            </w:r>
            <w:r w:rsidR="005471D0" w:rsidRPr="00616E78">
              <w:rPr>
                <w:sz w:val="26"/>
                <w:szCs w:val="26"/>
              </w:rPr>
              <w:t xml:space="preserve"> panta trešajā daļā noteikto, ja augstskola vai koledža iesniedz licencēšanai studiju programmu jaunā augstskolas vai koledžas stu</w:t>
            </w:r>
            <w:r w:rsidR="00F721B4">
              <w:rPr>
                <w:sz w:val="26"/>
                <w:szCs w:val="26"/>
              </w:rPr>
              <w:t>diju virzienā, MK</w:t>
            </w:r>
            <w:r w:rsidR="005471D0" w:rsidRPr="00616E78">
              <w:rPr>
                <w:sz w:val="26"/>
                <w:szCs w:val="26"/>
              </w:rPr>
              <w:t xml:space="preserve"> </w:t>
            </w:r>
            <w:r w:rsidR="007759A8" w:rsidRPr="00616E78">
              <w:rPr>
                <w:sz w:val="26"/>
                <w:szCs w:val="26"/>
              </w:rPr>
              <w:t>izvērtē augstskolai vai koledžai pieejamos resursus un atbilstīb</w:t>
            </w:r>
            <w:r w:rsidR="007759A8">
              <w:rPr>
                <w:sz w:val="26"/>
                <w:szCs w:val="26"/>
              </w:rPr>
              <w:t>u valsts attīstības prioritātēm un</w:t>
            </w:r>
            <w:r w:rsidR="007759A8" w:rsidRPr="00616E78">
              <w:rPr>
                <w:sz w:val="26"/>
                <w:szCs w:val="26"/>
              </w:rPr>
              <w:t xml:space="preserve"> </w:t>
            </w:r>
            <w:r w:rsidR="005471D0" w:rsidRPr="00616E78">
              <w:rPr>
                <w:sz w:val="26"/>
                <w:szCs w:val="26"/>
              </w:rPr>
              <w:t>pieņem lēmumu par jauna studiju virziena atvēršanu attiecīgajā augstskolā vai koledžā.</w:t>
            </w:r>
          </w:p>
          <w:p w:rsidR="00CD4D44" w:rsidRDefault="007759A8" w:rsidP="00CF4F44">
            <w:pPr>
              <w:ind w:firstLine="284"/>
              <w:jc w:val="both"/>
              <w:rPr>
                <w:sz w:val="26"/>
                <w:szCs w:val="26"/>
              </w:rPr>
            </w:pPr>
            <w:r>
              <w:rPr>
                <w:sz w:val="26"/>
                <w:szCs w:val="26"/>
              </w:rPr>
              <w:t xml:space="preserve"> </w:t>
            </w:r>
            <w:r w:rsidR="005471D0" w:rsidRPr="00616E78">
              <w:rPr>
                <w:sz w:val="26"/>
                <w:szCs w:val="26"/>
              </w:rPr>
              <w:t xml:space="preserve">2013.gada 6.decembrī Izglītības un zinātnes ministrijā (turpmāk – ministrija)  </w:t>
            </w:r>
            <w:r w:rsidR="00E67489" w:rsidRPr="00616E78">
              <w:rPr>
                <w:sz w:val="26"/>
                <w:szCs w:val="26"/>
              </w:rPr>
              <w:t>saņemts sabiedrības ar ierobežotu atbildību</w:t>
            </w:r>
            <w:r w:rsidR="005471D0" w:rsidRPr="00616E78">
              <w:rPr>
                <w:sz w:val="26"/>
                <w:szCs w:val="26"/>
              </w:rPr>
              <w:t xml:space="preserve"> </w:t>
            </w:r>
            <w:r w:rsidR="00D709AB">
              <w:rPr>
                <w:sz w:val="26"/>
                <w:szCs w:val="26"/>
              </w:rPr>
              <w:t>“</w:t>
            </w:r>
            <w:r w:rsidR="00D709AB" w:rsidRPr="00616E78">
              <w:rPr>
                <w:sz w:val="26"/>
                <w:szCs w:val="26"/>
              </w:rPr>
              <w:t>“</w:t>
            </w:r>
            <w:r w:rsidR="005471D0" w:rsidRPr="00616E78">
              <w:rPr>
                <w:sz w:val="26"/>
                <w:szCs w:val="26"/>
              </w:rPr>
              <w:t>HOTEL SCHOOL” Viesnīcu biznesa koledža</w:t>
            </w:r>
            <w:r w:rsidR="00B7048B" w:rsidRPr="00616E78">
              <w:rPr>
                <w:sz w:val="26"/>
                <w:szCs w:val="26"/>
              </w:rPr>
              <w:t>”</w:t>
            </w:r>
            <w:r w:rsidR="005471D0" w:rsidRPr="00616E78">
              <w:rPr>
                <w:sz w:val="26"/>
                <w:szCs w:val="26"/>
              </w:rPr>
              <w:t xml:space="preserve"> (turpmāk - koledža) iesniegums par pirmā līmeņa </w:t>
            </w:r>
            <w:r w:rsidR="00BC7479">
              <w:rPr>
                <w:sz w:val="26"/>
                <w:szCs w:val="26"/>
              </w:rPr>
              <w:t xml:space="preserve">profesionālās </w:t>
            </w:r>
            <w:r w:rsidR="005471D0" w:rsidRPr="00616E78">
              <w:rPr>
                <w:sz w:val="26"/>
                <w:szCs w:val="26"/>
              </w:rPr>
              <w:t>augstākās izglītības programmas “Viesnīcu vadība” licencēšanu.</w:t>
            </w:r>
          </w:p>
          <w:p w:rsidR="00185B89" w:rsidRPr="00616E78" w:rsidRDefault="00185B89" w:rsidP="003B7246">
            <w:pPr>
              <w:jc w:val="both"/>
              <w:rPr>
                <w:b/>
                <w:sz w:val="26"/>
                <w:szCs w:val="26"/>
              </w:rPr>
            </w:pPr>
          </w:p>
        </w:tc>
      </w:tr>
      <w:tr w:rsidR="00CB0AE5" w:rsidRPr="00616E78" w:rsidTr="00D960AE">
        <w:trPr>
          <w:trHeight w:val="472"/>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2.</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 Pašreizējā situācija un problēmas, kuru risināšanai tiesību akta projekts izstrādāts, tiesiskā regulējuma mērķis un būtība</w:t>
            </w:r>
          </w:p>
        </w:tc>
        <w:tc>
          <w:tcPr>
            <w:tcW w:w="5954" w:type="dxa"/>
            <w:tcBorders>
              <w:top w:val="single" w:sz="4" w:space="0" w:color="auto"/>
              <w:left w:val="single" w:sz="4" w:space="0" w:color="auto"/>
              <w:bottom w:val="single" w:sz="4" w:space="0" w:color="auto"/>
              <w:right w:val="single" w:sz="4" w:space="0" w:color="auto"/>
            </w:tcBorders>
            <w:hideMark/>
          </w:tcPr>
          <w:p w:rsidR="00CD4D44" w:rsidRPr="002A2815" w:rsidRDefault="002A2815">
            <w:pPr>
              <w:pStyle w:val="ListParagraph"/>
              <w:tabs>
                <w:tab w:val="left" w:pos="0"/>
                <w:tab w:val="left" w:pos="426"/>
              </w:tabs>
              <w:ind w:left="0"/>
              <w:contextualSpacing w:val="0"/>
              <w:jc w:val="both"/>
              <w:rPr>
                <w:sz w:val="26"/>
                <w:szCs w:val="26"/>
              </w:rPr>
            </w:pPr>
            <w:r>
              <w:rPr>
                <w:sz w:val="26"/>
                <w:szCs w:val="26"/>
              </w:rPr>
              <w:t xml:space="preserve">    K</w:t>
            </w:r>
            <w:r w:rsidR="008B33AB" w:rsidRPr="002A2815">
              <w:rPr>
                <w:sz w:val="26"/>
                <w:szCs w:val="26"/>
              </w:rPr>
              <w:t>oledža</w:t>
            </w:r>
            <w:r>
              <w:rPr>
                <w:sz w:val="26"/>
                <w:szCs w:val="26"/>
              </w:rPr>
              <w:t xml:space="preserve"> </w:t>
            </w:r>
            <w:r w:rsidR="008B33AB" w:rsidRPr="002A2815">
              <w:rPr>
                <w:sz w:val="26"/>
                <w:szCs w:val="26"/>
              </w:rPr>
              <w:t>ir reģistrēta Izglītības iestāžu reģistrā 2013.gada 15.janvārī, reģistrācijas apliecības Nr.3347802926.</w:t>
            </w:r>
          </w:p>
          <w:p w:rsidR="00CD4D44" w:rsidRPr="00616E78" w:rsidRDefault="00C24BD0" w:rsidP="00330B6C">
            <w:pPr>
              <w:jc w:val="both"/>
              <w:rPr>
                <w:sz w:val="26"/>
                <w:szCs w:val="26"/>
              </w:rPr>
            </w:pPr>
            <w:r>
              <w:rPr>
                <w:sz w:val="26"/>
                <w:szCs w:val="26"/>
              </w:rPr>
              <w:t xml:space="preserve">     </w:t>
            </w:r>
            <w:r w:rsidR="008B33AB" w:rsidRPr="00616E78">
              <w:rPr>
                <w:sz w:val="26"/>
                <w:szCs w:val="26"/>
              </w:rPr>
              <w:t>Saskaņā ar Lursoft mājas lapā norādītajiem datiem, koledža savu pašreizējo nosaukumu ir ieguv</w:t>
            </w:r>
            <w:r>
              <w:rPr>
                <w:sz w:val="26"/>
                <w:szCs w:val="26"/>
              </w:rPr>
              <w:t xml:space="preserve">usi pēc </w:t>
            </w:r>
            <w:r w:rsidR="008B33AB" w:rsidRPr="00616E78">
              <w:rPr>
                <w:sz w:val="26"/>
                <w:szCs w:val="26"/>
              </w:rPr>
              <w:t>2012</w:t>
            </w:r>
            <w:r>
              <w:rPr>
                <w:sz w:val="26"/>
                <w:szCs w:val="26"/>
              </w:rPr>
              <w:t>. gada 12.decembra</w:t>
            </w:r>
            <w:r w:rsidR="008B33AB" w:rsidRPr="00616E78">
              <w:rPr>
                <w:sz w:val="26"/>
                <w:szCs w:val="26"/>
              </w:rPr>
              <w:t>, pirms tam šī sabiedrība ar ierobežotu atbildību ir bijusi reģistrēta  kā SIA “</w:t>
            </w:r>
            <w:r w:rsidR="000A30FB" w:rsidRPr="00616E78">
              <w:rPr>
                <w:sz w:val="26"/>
                <w:szCs w:val="26"/>
              </w:rPr>
              <w:t>HOTEL SCHOOL</w:t>
            </w:r>
            <w:r w:rsidR="008B33AB" w:rsidRPr="00616E78">
              <w:rPr>
                <w:sz w:val="26"/>
                <w:szCs w:val="26"/>
              </w:rPr>
              <w:t>” (28.04.2011- 12.12.12.2012, reģ. apliecības Nr. K141998) un savu darbību uzsākusi  2010. gadā ar firmu SIA “Darbs-ir” (Reģ Nr. 40103277684 (03.03.2010).</w:t>
            </w:r>
            <w:r>
              <w:rPr>
                <w:sz w:val="26"/>
                <w:szCs w:val="26"/>
              </w:rPr>
              <w:t xml:space="preserve"> </w:t>
            </w:r>
            <w:r w:rsidR="008B33AB" w:rsidRPr="00616E78">
              <w:rPr>
                <w:sz w:val="26"/>
                <w:szCs w:val="26"/>
              </w:rPr>
              <w:t>Uzņēmuma pamatkapitāls ir 2000 LVL, t.i., 2845.74 EUR.</w:t>
            </w:r>
            <w:r w:rsidR="00330B6C">
              <w:rPr>
                <w:sz w:val="26"/>
                <w:szCs w:val="26"/>
              </w:rPr>
              <w:t xml:space="preserve"> </w:t>
            </w:r>
            <w:r w:rsidR="00330B6C" w:rsidRPr="00330B6C">
              <w:rPr>
                <w:sz w:val="26"/>
                <w:szCs w:val="26"/>
              </w:rPr>
              <w:t xml:space="preserve">Koledžas studiju programmas pašnovērtējumā norāda, ka pirms savas darbības uzsākšanas koledžas statusā, tā darbojusies kā  mācību centrs,  saņēmusi akreditāciju par  “Edexcel” kvalitātes pārvaldības standartu ieviešanu apmācības nodrošināšanā,   kas pavēra plašākas iespējas piesaistīt arī ārvalstu izglītojamos, tai skaitā, piemēram, no Baltkrievijas, Ukrainas, Armēnijas, Kazahstānas u.c. </w:t>
            </w:r>
            <w:r w:rsidR="00330B6C" w:rsidRPr="00616E78">
              <w:rPr>
                <w:sz w:val="26"/>
                <w:szCs w:val="26"/>
              </w:rPr>
              <w:t>Mācību centrs savas</w:t>
            </w:r>
            <w:r w:rsidR="003A2FFA">
              <w:rPr>
                <w:sz w:val="26"/>
                <w:szCs w:val="26"/>
              </w:rPr>
              <w:t xml:space="preserve"> darbības laikā ir  izdevis 61</w:t>
            </w:r>
            <w:r w:rsidR="00330B6C" w:rsidRPr="00616E78">
              <w:rPr>
                <w:sz w:val="26"/>
                <w:szCs w:val="26"/>
              </w:rPr>
              <w:t xml:space="preserve"> apliecību par trešā kvalifikācijas līmeņa apguvi. </w:t>
            </w:r>
          </w:p>
          <w:p w:rsidR="00D1702E" w:rsidRPr="00D1702E" w:rsidRDefault="0037679A" w:rsidP="00D1702E">
            <w:pPr>
              <w:tabs>
                <w:tab w:val="left" w:pos="0"/>
                <w:tab w:val="left" w:pos="426"/>
              </w:tabs>
              <w:jc w:val="both"/>
              <w:rPr>
                <w:sz w:val="26"/>
                <w:szCs w:val="26"/>
              </w:rPr>
            </w:pPr>
            <w:r>
              <w:rPr>
                <w:sz w:val="26"/>
                <w:szCs w:val="26"/>
              </w:rPr>
              <w:t xml:space="preserve">   Izglītības kvalitātes valsts dienests</w:t>
            </w:r>
            <w:r w:rsidR="00F01185">
              <w:rPr>
                <w:sz w:val="26"/>
                <w:szCs w:val="26"/>
              </w:rPr>
              <w:t xml:space="preserve"> </w:t>
            </w:r>
            <w:r w:rsidR="005471D0" w:rsidRPr="00616E78">
              <w:rPr>
                <w:sz w:val="26"/>
                <w:szCs w:val="26"/>
              </w:rPr>
              <w:t xml:space="preserve">2013.gada </w:t>
            </w:r>
            <w:r w:rsidR="005471D0" w:rsidRPr="00616E78">
              <w:rPr>
                <w:sz w:val="26"/>
                <w:szCs w:val="26"/>
              </w:rPr>
              <w:lastRenderedPageBreak/>
              <w:t xml:space="preserve">13.augustā  </w:t>
            </w:r>
            <w:r>
              <w:rPr>
                <w:sz w:val="26"/>
                <w:szCs w:val="26"/>
              </w:rPr>
              <w:t>ir izsniedzis</w:t>
            </w:r>
            <w:r w:rsidR="005471D0" w:rsidRPr="00616E78">
              <w:rPr>
                <w:sz w:val="26"/>
                <w:szCs w:val="26"/>
              </w:rPr>
              <w:t xml:space="preserve"> izglītības iestādes reģistrācijas apliecību </w:t>
            </w:r>
            <w:r w:rsidR="005471D0" w:rsidRPr="00F01185">
              <w:rPr>
                <w:sz w:val="26"/>
                <w:szCs w:val="26"/>
              </w:rPr>
              <w:t>Nr.3360802057 koledžas struktūrvienībai – Profesionālās tālākizglītības un pilnveides izglītības iestāde</w:t>
            </w:r>
            <w:r w:rsidR="00906070">
              <w:rPr>
                <w:sz w:val="26"/>
                <w:szCs w:val="26"/>
              </w:rPr>
              <w:t>i</w:t>
            </w:r>
            <w:r w:rsidR="005471D0" w:rsidRPr="00F01185">
              <w:rPr>
                <w:sz w:val="26"/>
                <w:szCs w:val="26"/>
              </w:rPr>
              <w:t xml:space="preserve"> „Viesnīcu biznesa organizācijas skola”</w:t>
            </w:r>
            <w:r w:rsidR="00906070">
              <w:rPr>
                <w:sz w:val="26"/>
                <w:szCs w:val="26"/>
              </w:rPr>
              <w:t xml:space="preserve">, kas </w:t>
            </w:r>
            <w:r w:rsidR="00D1702E">
              <w:rPr>
                <w:sz w:val="26"/>
                <w:szCs w:val="26"/>
              </w:rPr>
              <w:t>ir saņēm</w:t>
            </w:r>
            <w:r w:rsidR="00634A2A">
              <w:rPr>
                <w:sz w:val="26"/>
                <w:szCs w:val="26"/>
              </w:rPr>
              <w:t>usi</w:t>
            </w:r>
            <w:r w:rsidR="00D1702E">
              <w:rPr>
                <w:sz w:val="26"/>
                <w:szCs w:val="26"/>
              </w:rPr>
              <w:t xml:space="preserve"> </w:t>
            </w:r>
            <w:r w:rsidR="00D1702E" w:rsidRPr="00906070">
              <w:rPr>
                <w:sz w:val="26"/>
                <w:szCs w:val="26"/>
              </w:rPr>
              <w:t xml:space="preserve">akreditācijas lapu ar </w:t>
            </w:r>
            <w:r w:rsidR="00D1702E" w:rsidRPr="00D1702E">
              <w:rPr>
                <w:sz w:val="26"/>
                <w:szCs w:val="26"/>
              </w:rPr>
              <w:t>akreditācijas termiņu - 2018.gada 28.februāris šādā</w:t>
            </w:r>
            <w:r w:rsidR="00D1702E">
              <w:rPr>
                <w:sz w:val="26"/>
                <w:szCs w:val="26"/>
              </w:rPr>
              <w:t xml:space="preserve">m </w:t>
            </w:r>
            <w:r w:rsidR="00D1702E" w:rsidRPr="0068526A">
              <w:rPr>
                <w:sz w:val="26"/>
                <w:szCs w:val="26"/>
              </w:rPr>
              <w:t>programmām: profesionālās tālākizglītības programmas „Viesnīcu pakalpojumi”, kods 30T 811 03, piešķiramā kvalifikācija – viesnīcu pakalpojumu speciālists, profesionālās pilnveides izglītības programmā „Pamatpakalpojumu sniegšana tūrisma mītnēs”, kods 20P 811 03, izglītības iestādes profesionālās pilnveides izglītības programmā „Kūrortviesnīcu darba specifika”, kods</w:t>
            </w:r>
            <w:r w:rsidR="00D1702E" w:rsidRPr="00616E78">
              <w:rPr>
                <w:sz w:val="26"/>
                <w:szCs w:val="26"/>
              </w:rPr>
              <w:t xml:space="preserve"> 20P 811 03</w:t>
            </w:r>
            <w:r w:rsidR="00D1702E">
              <w:rPr>
                <w:sz w:val="26"/>
                <w:szCs w:val="26"/>
              </w:rPr>
              <w:t xml:space="preserve">. </w:t>
            </w:r>
            <w:r w:rsidR="00D1702E" w:rsidRPr="00592226">
              <w:rPr>
                <w:sz w:val="26"/>
                <w:szCs w:val="26"/>
              </w:rPr>
              <w:t>Visu šo izglītības programmu</w:t>
            </w:r>
            <w:r w:rsidR="00592226">
              <w:rPr>
                <w:sz w:val="26"/>
                <w:szCs w:val="26"/>
              </w:rPr>
              <w:t xml:space="preserve"> un plānotās jaunās studiju programmas “Viesnīcu vadība”</w:t>
            </w:r>
            <w:r w:rsidR="00D1702E" w:rsidRPr="00592226">
              <w:rPr>
                <w:sz w:val="26"/>
                <w:szCs w:val="26"/>
              </w:rPr>
              <w:t xml:space="preserve"> īstenošanas vieta ir Smilšu iela 3, Rīgā</w:t>
            </w:r>
            <w:r w:rsidR="009D491D" w:rsidRPr="00592226">
              <w:rPr>
                <w:sz w:val="26"/>
                <w:szCs w:val="26"/>
              </w:rPr>
              <w:t xml:space="preserve">, kur koledža </w:t>
            </w:r>
            <w:r w:rsidR="00592226" w:rsidRPr="00592226">
              <w:rPr>
                <w:sz w:val="26"/>
                <w:szCs w:val="26"/>
              </w:rPr>
              <w:t>nomā</w:t>
            </w:r>
            <w:r w:rsidR="009D491D" w:rsidRPr="00592226">
              <w:rPr>
                <w:sz w:val="26"/>
                <w:szCs w:val="26"/>
              </w:rPr>
              <w:t xml:space="preserve"> telpas</w:t>
            </w:r>
            <w:r w:rsidR="008A7D92">
              <w:rPr>
                <w:sz w:val="26"/>
                <w:szCs w:val="26"/>
              </w:rPr>
              <w:t xml:space="preserve"> līdz </w:t>
            </w:r>
            <w:r w:rsidR="00592226" w:rsidRPr="00592226">
              <w:rPr>
                <w:sz w:val="26"/>
                <w:szCs w:val="26"/>
              </w:rPr>
              <w:t>2019.</w:t>
            </w:r>
            <w:r w:rsidR="008A7D92">
              <w:rPr>
                <w:sz w:val="26"/>
                <w:szCs w:val="26"/>
              </w:rPr>
              <w:t>gada 31.jūlijam</w:t>
            </w:r>
            <w:r w:rsidR="00592226" w:rsidRPr="00592226">
              <w:rPr>
                <w:sz w:val="26"/>
                <w:szCs w:val="26"/>
              </w:rPr>
              <w:t>, platība – 264.30 m</w:t>
            </w:r>
            <w:r w:rsidR="00592226" w:rsidRPr="00592226">
              <w:rPr>
                <w:sz w:val="26"/>
                <w:szCs w:val="26"/>
                <w:vertAlign w:val="superscript"/>
              </w:rPr>
              <w:t>2</w:t>
            </w:r>
            <w:r w:rsidR="00592226" w:rsidRPr="00592226">
              <w:rPr>
                <w:sz w:val="26"/>
                <w:szCs w:val="26"/>
              </w:rPr>
              <w:t xml:space="preserve"> un  proporcionālā daļa no koplietošanas telpām stāvā 94.54 m</w:t>
            </w:r>
            <w:r w:rsidR="00592226" w:rsidRPr="00592226">
              <w:rPr>
                <w:sz w:val="26"/>
                <w:szCs w:val="26"/>
                <w:vertAlign w:val="superscript"/>
              </w:rPr>
              <w:t>2</w:t>
            </w:r>
            <w:r w:rsidR="009D491D" w:rsidRPr="00592226">
              <w:rPr>
                <w:sz w:val="26"/>
                <w:szCs w:val="26"/>
              </w:rPr>
              <w:t xml:space="preserve"> </w:t>
            </w:r>
            <w:r w:rsidR="00D1702E" w:rsidRPr="00592226">
              <w:rPr>
                <w:sz w:val="26"/>
                <w:szCs w:val="26"/>
              </w:rPr>
              <w:t>.</w:t>
            </w:r>
            <w:r w:rsidR="00D1702E">
              <w:rPr>
                <w:sz w:val="26"/>
                <w:szCs w:val="26"/>
              </w:rPr>
              <w:t xml:space="preserve"> </w:t>
            </w:r>
          </w:p>
          <w:p w:rsidR="00E776C5" w:rsidRDefault="00330B6C" w:rsidP="003A2FFA">
            <w:pPr>
              <w:jc w:val="both"/>
              <w:rPr>
                <w:sz w:val="26"/>
                <w:szCs w:val="26"/>
              </w:rPr>
            </w:pPr>
            <w:r>
              <w:rPr>
                <w:sz w:val="26"/>
                <w:szCs w:val="26"/>
              </w:rPr>
              <w:t xml:space="preserve"> </w:t>
            </w:r>
            <w:r w:rsidR="003A2FFA">
              <w:rPr>
                <w:sz w:val="26"/>
                <w:szCs w:val="26"/>
              </w:rPr>
              <w:t xml:space="preserve">   </w:t>
            </w:r>
          </w:p>
          <w:p w:rsidR="00CF2506" w:rsidRPr="00616E78" w:rsidRDefault="00E776C5" w:rsidP="003A2FFA">
            <w:pPr>
              <w:jc w:val="both"/>
              <w:rPr>
                <w:sz w:val="26"/>
                <w:szCs w:val="26"/>
              </w:rPr>
            </w:pPr>
            <w:r>
              <w:rPr>
                <w:sz w:val="26"/>
                <w:szCs w:val="26"/>
              </w:rPr>
              <w:t xml:space="preserve">    </w:t>
            </w:r>
            <w:r w:rsidR="005471D0" w:rsidRPr="00616E78">
              <w:rPr>
                <w:sz w:val="26"/>
                <w:szCs w:val="26"/>
              </w:rPr>
              <w:t xml:space="preserve">Šobrīd studiju virziens „Viesnīcu un restorānu serviss, tūrisma </w:t>
            </w:r>
            <w:r w:rsidR="005471D0" w:rsidRPr="003A2FFA">
              <w:rPr>
                <w:sz w:val="26"/>
                <w:szCs w:val="26"/>
              </w:rPr>
              <w:t xml:space="preserve">un atpūtas organizācija” ir akreditēts 10 augstākās izglītības iestādēs, no tām </w:t>
            </w:r>
            <w:r w:rsidR="00DA302C">
              <w:rPr>
                <w:sz w:val="26"/>
                <w:szCs w:val="26"/>
              </w:rPr>
              <w:t>3</w:t>
            </w:r>
            <w:r w:rsidR="005471D0" w:rsidRPr="003A2FFA">
              <w:rPr>
                <w:sz w:val="26"/>
                <w:szCs w:val="26"/>
              </w:rPr>
              <w:t xml:space="preserve"> ir koledžas un 7 augstskolas.</w:t>
            </w:r>
            <w:r w:rsidR="005471D0" w:rsidRPr="00616E78">
              <w:rPr>
                <w:sz w:val="26"/>
                <w:szCs w:val="26"/>
              </w:rPr>
              <w:t xml:space="preserve"> Pirmā līmeņa profesionālās augstākās izglītības studiju programmas tiek īstenotas piecās augstākās izglītības iestādēs.</w:t>
            </w:r>
            <w:r w:rsidR="0031657E">
              <w:rPr>
                <w:sz w:val="26"/>
                <w:szCs w:val="26"/>
              </w:rPr>
              <w:t xml:space="preserve"> </w:t>
            </w:r>
            <w:r w:rsidR="0031657E" w:rsidRPr="00616E78">
              <w:rPr>
                <w:sz w:val="26"/>
                <w:szCs w:val="26"/>
              </w:rPr>
              <w:t>Koledžas studiju virziena „Viesnīcu un restorānu serviss, tūrisma un atpūtas organizācija” ietvaros plānots īstenot studiju programmu</w:t>
            </w:r>
            <w:r w:rsidR="00B451CC">
              <w:rPr>
                <w:sz w:val="26"/>
                <w:szCs w:val="26"/>
              </w:rPr>
              <w:t xml:space="preserve"> „Viesnīcu vadība”</w:t>
            </w:r>
            <w:r w:rsidR="0031657E" w:rsidRPr="00616E78">
              <w:rPr>
                <w:sz w:val="26"/>
                <w:szCs w:val="26"/>
              </w:rPr>
              <w:t xml:space="preserve"> latviešu, angļu un krievu  valodā, sagatavojot ceturtā līmeņa profesionālās kvalifikācijas speciālistus – Viesnīcu pakalpojumu organizatorus.</w:t>
            </w:r>
          </w:p>
          <w:p w:rsidR="00E422E3" w:rsidRDefault="003A2FFA" w:rsidP="00E422E3">
            <w:pPr>
              <w:jc w:val="both"/>
              <w:rPr>
                <w:sz w:val="26"/>
                <w:szCs w:val="26"/>
              </w:rPr>
            </w:pPr>
            <w:r>
              <w:rPr>
                <w:sz w:val="26"/>
                <w:szCs w:val="26"/>
              </w:rPr>
              <w:t xml:space="preserve">     </w:t>
            </w:r>
          </w:p>
          <w:p w:rsidR="005914A0" w:rsidRPr="00616E78" w:rsidRDefault="00E422E3" w:rsidP="00E422E3">
            <w:pPr>
              <w:jc w:val="both"/>
              <w:rPr>
                <w:sz w:val="26"/>
                <w:szCs w:val="26"/>
              </w:rPr>
            </w:pPr>
            <w:r>
              <w:rPr>
                <w:sz w:val="26"/>
                <w:szCs w:val="26"/>
              </w:rPr>
              <w:t xml:space="preserve">     </w:t>
            </w:r>
            <w:r w:rsidR="005471D0" w:rsidRPr="00616E78">
              <w:rPr>
                <w:sz w:val="26"/>
                <w:szCs w:val="26"/>
              </w:rPr>
              <w:t>Pamatojoties uz koledžas pieteikumu un saskaņā ar  Augstskolu likuma 55.</w:t>
            </w:r>
            <w:r w:rsidR="005471D0" w:rsidRPr="00616E78">
              <w:rPr>
                <w:sz w:val="26"/>
                <w:szCs w:val="26"/>
                <w:vertAlign w:val="superscript"/>
              </w:rPr>
              <w:t>2</w:t>
            </w:r>
            <w:r w:rsidR="008A7D92">
              <w:rPr>
                <w:sz w:val="26"/>
                <w:szCs w:val="26"/>
              </w:rPr>
              <w:t xml:space="preserve"> panta pirmo</w:t>
            </w:r>
            <w:r w:rsidR="005471D0" w:rsidRPr="00616E78">
              <w:rPr>
                <w:sz w:val="26"/>
                <w:szCs w:val="26"/>
              </w:rPr>
              <w:t xml:space="preserve"> daļu un MK 2013.gada 25.aprīļa noteikumu Nr.230 „Studiju programmu licencēšanas noteikumi” 14.punktu</w:t>
            </w:r>
            <w:r w:rsidR="005471D0" w:rsidRPr="00616E78">
              <w:rPr>
                <w:b/>
                <w:sz w:val="26"/>
                <w:szCs w:val="26"/>
              </w:rPr>
              <w:t xml:space="preserve">,  </w:t>
            </w:r>
            <w:r w:rsidR="005471D0" w:rsidRPr="00616E78">
              <w:rPr>
                <w:sz w:val="26"/>
                <w:szCs w:val="26"/>
              </w:rPr>
              <w:t>Izglītības un zinātnes ministrija</w:t>
            </w:r>
            <w:r w:rsidR="00DA302C">
              <w:rPr>
                <w:sz w:val="26"/>
                <w:szCs w:val="26"/>
              </w:rPr>
              <w:t xml:space="preserve"> (turpmāk – ministrija)</w:t>
            </w:r>
            <w:r w:rsidR="005471D0" w:rsidRPr="00616E78">
              <w:rPr>
                <w:sz w:val="26"/>
                <w:szCs w:val="26"/>
              </w:rPr>
              <w:t xml:space="preserve"> sagatavo un iesniedz </w:t>
            </w:r>
            <w:r w:rsidR="001E039F">
              <w:rPr>
                <w:sz w:val="26"/>
                <w:szCs w:val="26"/>
              </w:rPr>
              <w:t>MK</w:t>
            </w:r>
            <w:r w:rsidR="005471D0" w:rsidRPr="00616E78">
              <w:rPr>
                <w:sz w:val="26"/>
                <w:szCs w:val="26"/>
              </w:rPr>
              <w:t xml:space="preserve"> tiesību akta projektu par jauna studiju virziena atvēršanu vai par atteikumu atvērt jaunu studiju virzienu augstskolā vai koledžā. </w:t>
            </w:r>
          </w:p>
          <w:p w:rsidR="00CB0AE5" w:rsidRDefault="005471D0" w:rsidP="007F4D42">
            <w:pPr>
              <w:ind w:firstLine="284"/>
              <w:jc w:val="both"/>
              <w:rPr>
                <w:sz w:val="26"/>
                <w:szCs w:val="26"/>
              </w:rPr>
            </w:pPr>
            <w:r w:rsidRPr="00616E78">
              <w:rPr>
                <w:sz w:val="26"/>
                <w:szCs w:val="26"/>
              </w:rPr>
              <w:t xml:space="preserve">Minētajam tiesību akta projektam tiek pievienots eksperta atzinums, kā arī ministrijas, Ekonomikas ministrijas, Pārresoru koordinācijas centra, Augstākās izglītības padomes un Latvijas Darba devēju </w:t>
            </w:r>
            <w:r w:rsidRPr="00616E78">
              <w:rPr>
                <w:sz w:val="26"/>
                <w:szCs w:val="26"/>
              </w:rPr>
              <w:lastRenderedPageBreak/>
              <w:t>konfederācijas viedoklis par augstskolas vai koledžas jaunā studiju virziena atbilstību valsts attīstības prioritātēm.</w:t>
            </w:r>
            <w:r w:rsidR="00807344">
              <w:rPr>
                <w:sz w:val="26"/>
                <w:szCs w:val="26"/>
              </w:rPr>
              <w:t xml:space="preserve"> </w:t>
            </w:r>
          </w:p>
          <w:p w:rsidR="00E7665A" w:rsidRPr="00616E78" w:rsidRDefault="00B930A3" w:rsidP="007F4D42">
            <w:pPr>
              <w:ind w:firstLine="284"/>
              <w:jc w:val="both"/>
              <w:rPr>
                <w:sz w:val="26"/>
                <w:szCs w:val="26"/>
              </w:rPr>
            </w:pPr>
            <w:r>
              <w:rPr>
                <w:sz w:val="26"/>
                <w:szCs w:val="26"/>
              </w:rPr>
              <w:t xml:space="preserve">Studiju virziena atvēršanai nepieciešamos resursus izvērtēja Studiju  programmu </w:t>
            </w:r>
            <w:r w:rsidR="00634A2A">
              <w:rPr>
                <w:sz w:val="26"/>
                <w:szCs w:val="26"/>
              </w:rPr>
              <w:t>licencēšanas komisijas</w:t>
            </w:r>
            <w:r>
              <w:rPr>
                <w:sz w:val="26"/>
                <w:szCs w:val="26"/>
              </w:rPr>
              <w:t xml:space="preserve"> apstiprināta eksperte Biznesa augstskolas Turība lektore ģeogrāfijas zinātņu maģistre Ruta Žvale. </w:t>
            </w:r>
            <w:r w:rsidR="0036455D">
              <w:rPr>
                <w:sz w:val="26"/>
                <w:szCs w:val="26"/>
              </w:rPr>
              <w:t>Eksperte norāda, ka izstrādātais studiju programmas saturs un koledžas akadēmiskā personāla kvalifikācija atbilst studiju programmas īstenošanas nosacījumiem, tam ir pietiekama zinātniskā un profesionālā darba pieredze, svešvalodu zināš</w:t>
            </w:r>
            <w:r w:rsidR="007D3899">
              <w:rPr>
                <w:sz w:val="26"/>
                <w:szCs w:val="26"/>
              </w:rPr>
              <w:t xml:space="preserve">anas. </w:t>
            </w:r>
            <w:r w:rsidR="00807344">
              <w:rPr>
                <w:sz w:val="26"/>
                <w:szCs w:val="26"/>
              </w:rPr>
              <w:t xml:space="preserve">Studiju īstenošanas </w:t>
            </w:r>
            <w:r w:rsidR="00476724">
              <w:rPr>
                <w:sz w:val="26"/>
                <w:szCs w:val="26"/>
              </w:rPr>
              <w:t>infrastruktūru</w:t>
            </w:r>
            <w:r w:rsidR="00A07311">
              <w:rPr>
                <w:sz w:val="26"/>
                <w:szCs w:val="26"/>
              </w:rPr>
              <w:t>, t.sk.</w:t>
            </w:r>
            <w:r w:rsidR="00807344">
              <w:rPr>
                <w:sz w:val="26"/>
                <w:szCs w:val="26"/>
              </w:rPr>
              <w:t>, bibliotēkas r</w:t>
            </w:r>
            <w:r w:rsidR="00A310D7">
              <w:rPr>
                <w:sz w:val="26"/>
                <w:szCs w:val="26"/>
              </w:rPr>
              <w:t>esursus, eksperte uzskata par  daļēji atbilstošu studiju programmas kvalitatīvai īstenošanai</w:t>
            </w:r>
            <w:r w:rsidR="00476724">
              <w:rPr>
                <w:sz w:val="26"/>
                <w:szCs w:val="26"/>
              </w:rPr>
              <w:t>. Neskatoties uz to, ka koledžas pieteikumā akcentēts, ka ir iedalīti līdzekļi un bibliotēkas fonds tiek nemitīgi papildināts, ekspert</w:t>
            </w:r>
            <w:r w:rsidR="00DC6808">
              <w:rPr>
                <w:sz w:val="26"/>
                <w:szCs w:val="26"/>
              </w:rPr>
              <w:t>es</w:t>
            </w:r>
            <w:r w:rsidR="00476724">
              <w:rPr>
                <w:sz w:val="26"/>
                <w:szCs w:val="26"/>
              </w:rPr>
              <w:t xml:space="preserve"> vizītes laikā grāmatas bija vienā eksemplārā, kas nozīmē to, ka grāmatas var izmantot tikai viens students vienlaicīgi. </w:t>
            </w:r>
          </w:p>
          <w:p w:rsidR="00CD4D44" w:rsidRPr="00AE073B" w:rsidRDefault="001E039F">
            <w:pPr>
              <w:jc w:val="both"/>
              <w:rPr>
                <w:sz w:val="26"/>
                <w:szCs w:val="26"/>
              </w:rPr>
            </w:pPr>
            <w:r>
              <w:rPr>
                <w:sz w:val="26"/>
                <w:szCs w:val="26"/>
              </w:rPr>
              <w:t xml:space="preserve">      </w:t>
            </w:r>
            <w:r w:rsidR="005471D0" w:rsidRPr="00616E78">
              <w:rPr>
                <w:sz w:val="26"/>
                <w:szCs w:val="26"/>
              </w:rPr>
              <w:t xml:space="preserve">Pārresoru koordinācijas centrs, Augstākās izglītības padome un Latvijas Darba devēju konfederācija savos atzinumos norāda, ka nodarbināto skaita pieaugums paredzams „Izmitināšanas un ēdināšanas pakalpojumu” nozares attīstībā un būs nepieciešams darba spēks viesnīcu, restorānu un tūrisma jomā, līdz ar to ir jāpalielina atbilstošas izglītības piedāvājums. </w:t>
            </w:r>
            <w:r w:rsidR="005471D0" w:rsidRPr="00AE073B">
              <w:rPr>
                <w:sz w:val="26"/>
                <w:szCs w:val="26"/>
              </w:rPr>
              <w:t xml:space="preserve">Pārresoru koordinācijas centrs, Augstākās izglītības padome un Latvijas Darba devēju konfederācija uzskata, ka studiju virziena atvēršana koledžā atbilst valsts attīstības prioritātēm, kas definētas attīstības plānošanas dokumentos.  </w:t>
            </w:r>
          </w:p>
          <w:p w:rsidR="00E66E3B" w:rsidRDefault="00AE073B" w:rsidP="00E66E3B">
            <w:pPr>
              <w:jc w:val="both"/>
              <w:rPr>
                <w:sz w:val="26"/>
                <w:szCs w:val="26"/>
              </w:rPr>
            </w:pPr>
            <w:r>
              <w:rPr>
                <w:sz w:val="26"/>
                <w:szCs w:val="26"/>
              </w:rPr>
              <w:t xml:space="preserve">    </w:t>
            </w:r>
            <w:r w:rsidR="00844402">
              <w:rPr>
                <w:sz w:val="26"/>
                <w:szCs w:val="26"/>
              </w:rPr>
              <w:t>Ekonomikas ministrija</w:t>
            </w:r>
            <w:r w:rsidR="006D176C">
              <w:rPr>
                <w:sz w:val="26"/>
                <w:szCs w:val="26"/>
              </w:rPr>
              <w:t>,</w:t>
            </w:r>
            <w:r w:rsidR="005471D0" w:rsidRPr="00616E78">
              <w:rPr>
                <w:sz w:val="26"/>
                <w:szCs w:val="26"/>
              </w:rPr>
              <w:t xml:space="preserve"> </w:t>
            </w:r>
            <w:r w:rsidR="006D176C">
              <w:rPr>
                <w:sz w:val="26"/>
                <w:szCs w:val="26"/>
              </w:rPr>
              <w:t xml:space="preserve"> </w:t>
            </w:r>
            <w:r w:rsidR="005471D0" w:rsidRPr="00E4666C">
              <w:rPr>
                <w:sz w:val="26"/>
                <w:szCs w:val="26"/>
              </w:rPr>
              <w:t>atkārtoti izvērtējot  studi</w:t>
            </w:r>
            <w:r w:rsidR="00844402">
              <w:rPr>
                <w:sz w:val="26"/>
                <w:szCs w:val="26"/>
              </w:rPr>
              <w:t>ju programmas “Viesnīcu vadība” un</w:t>
            </w:r>
            <w:r w:rsidR="005471D0" w:rsidRPr="00E4666C">
              <w:rPr>
                <w:sz w:val="26"/>
                <w:szCs w:val="26"/>
              </w:rPr>
              <w:t xml:space="preserve"> jaunā studiju virziena </w:t>
            </w:r>
            <w:r w:rsidR="00633E98">
              <w:rPr>
                <w:sz w:val="26"/>
                <w:szCs w:val="26"/>
              </w:rPr>
              <w:t>„</w:t>
            </w:r>
            <w:r w:rsidR="005471D0" w:rsidRPr="00E4666C">
              <w:rPr>
                <w:sz w:val="26"/>
                <w:szCs w:val="26"/>
              </w:rPr>
              <w:t>Viesnīcu un restorānu serviss, tūrisma un atpūtas organizācija</w:t>
            </w:r>
            <w:r w:rsidR="00633E98">
              <w:rPr>
                <w:sz w:val="26"/>
                <w:szCs w:val="26"/>
              </w:rPr>
              <w:t>”</w:t>
            </w:r>
            <w:r w:rsidR="005471D0" w:rsidRPr="00E4666C">
              <w:rPr>
                <w:sz w:val="26"/>
                <w:szCs w:val="26"/>
              </w:rPr>
              <w:t xml:space="preserve">  atbilstību valsts attīstības prioritātēm,</w:t>
            </w:r>
            <w:r w:rsidR="005471D0" w:rsidRPr="00616E78">
              <w:rPr>
                <w:sz w:val="26"/>
                <w:szCs w:val="26"/>
              </w:rPr>
              <w:t xml:space="preserve"> </w:t>
            </w:r>
            <w:r w:rsidR="006D176C" w:rsidRPr="00616E78">
              <w:rPr>
                <w:sz w:val="26"/>
                <w:szCs w:val="26"/>
              </w:rPr>
              <w:t>2014</w:t>
            </w:r>
            <w:r w:rsidR="006D176C">
              <w:rPr>
                <w:sz w:val="26"/>
                <w:szCs w:val="26"/>
              </w:rPr>
              <w:t>. gada 24.oktobra</w:t>
            </w:r>
            <w:r w:rsidR="006D176C" w:rsidRPr="00616E78">
              <w:rPr>
                <w:sz w:val="26"/>
                <w:szCs w:val="26"/>
              </w:rPr>
              <w:t xml:space="preserve"> vēstu</w:t>
            </w:r>
            <w:r w:rsidR="006D176C">
              <w:rPr>
                <w:sz w:val="26"/>
                <w:szCs w:val="26"/>
              </w:rPr>
              <w:t>lē</w:t>
            </w:r>
            <w:r w:rsidR="006D176C">
              <w:rPr>
                <w:sz w:val="26"/>
                <w:szCs w:val="26"/>
              </w:rPr>
              <w:t xml:space="preserve"> Nr. 312-1-141170 </w:t>
            </w:r>
            <w:r w:rsidR="005471D0" w:rsidRPr="00616E78">
              <w:rPr>
                <w:sz w:val="26"/>
                <w:szCs w:val="26"/>
              </w:rPr>
              <w:t xml:space="preserve">norāda, ka, ņemot vērā </w:t>
            </w:r>
            <w:r w:rsidR="007506F5" w:rsidRPr="00616E78">
              <w:rPr>
                <w:sz w:val="26"/>
                <w:szCs w:val="26"/>
              </w:rPr>
              <w:t>attiecīgajam studiju virzienam</w:t>
            </w:r>
            <w:r w:rsidR="007506F5">
              <w:rPr>
                <w:sz w:val="26"/>
                <w:szCs w:val="26"/>
              </w:rPr>
              <w:t xml:space="preserve"> atbilstošu</w:t>
            </w:r>
            <w:r w:rsidR="007506F5" w:rsidRPr="00616E78">
              <w:rPr>
                <w:sz w:val="26"/>
                <w:szCs w:val="26"/>
              </w:rPr>
              <w:t xml:space="preserve"> </w:t>
            </w:r>
            <w:r w:rsidR="005471D0" w:rsidRPr="00616E78">
              <w:rPr>
                <w:sz w:val="26"/>
                <w:szCs w:val="26"/>
              </w:rPr>
              <w:t>pirmā līmeņa profesionālās augstākās izglītības studiju programm</w:t>
            </w:r>
            <w:r w:rsidR="007506F5">
              <w:rPr>
                <w:sz w:val="26"/>
                <w:szCs w:val="26"/>
              </w:rPr>
              <w:t>u īstenošanu</w:t>
            </w:r>
            <w:r w:rsidR="005471D0" w:rsidRPr="00616E78">
              <w:rPr>
                <w:sz w:val="26"/>
                <w:szCs w:val="26"/>
              </w:rPr>
              <w:t xml:space="preserve"> vairākās koledžās un augstskolās, Viesmīlības, ēdināšanas, tirdzniecības un citu pakalpojumu profesiju grupā var veidoties speciālistu pārpalikums. </w:t>
            </w:r>
            <w:r w:rsidR="005471D0" w:rsidRPr="00B31F4C">
              <w:rPr>
                <w:sz w:val="26"/>
                <w:szCs w:val="26"/>
              </w:rPr>
              <w:t xml:space="preserve">Ekonomikas ministrija uzsver, ka neredz nepieciešamību jaunas studiju programmas izveidei </w:t>
            </w:r>
            <w:r w:rsidR="007506F5">
              <w:rPr>
                <w:sz w:val="26"/>
                <w:szCs w:val="26"/>
              </w:rPr>
              <w:t>koledžā</w:t>
            </w:r>
            <w:r w:rsidR="005471D0" w:rsidRPr="00B31F4C">
              <w:rPr>
                <w:sz w:val="26"/>
                <w:szCs w:val="26"/>
              </w:rPr>
              <w:t>.</w:t>
            </w:r>
            <w:r w:rsidR="005471D0" w:rsidRPr="00616E78">
              <w:rPr>
                <w:b/>
                <w:sz w:val="26"/>
                <w:szCs w:val="26"/>
              </w:rPr>
              <w:t xml:space="preserve">   </w:t>
            </w:r>
          </w:p>
          <w:p w:rsidR="005D5F55" w:rsidRPr="00616E78" w:rsidRDefault="00E66E3B" w:rsidP="00E66E3B">
            <w:pPr>
              <w:jc w:val="both"/>
              <w:rPr>
                <w:sz w:val="26"/>
                <w:szCs w:val="26"/>
              </w:rPr>
            </w:pPr>
            <w:r>
              <w:rPr>
                <w:sz w:val="26"/>
                <w:szCs w:val="26"/>
              </w:rPr>
              <w:lastRenderedPageBreak/>
              <w:t xml:space="preserve">     </w:t>
            </w:r>
            <w:r w:rsidR="005471D0" w:rsidRPr="00616E78">
              <w:rPr>
                <w:sz w:val="26"/>
                <w:szCs w:val="26"/>
              </w:rPr>
              <w:t xml:space="preserve">Ministrija norāda, ka </w:t>
            </w:r>
            <w:r w:rsidR="005471D0" w:rsidRPr="00616E78">
              <w:rPr>
                <w:rStyle w:val="Strong"/>
                <w:rFonts w:eastAsia="Calibri"/>
                <w:b w:val="0"/>
                <w:sz w:val="26"/>
                <w:szCs w:val="26"/>
              </w:rPr>
              <w:t xml:space="preserve">studiju virziens, ko plāno īstenot koledža, atbilst </w:t>
            </w:r>
            <w:r w:rsidR="005D5F55" w:rsidRPr="00616E78">
              <w:rPr>
                <w:sz w:val="26"/>
                <w:szCs w:val="26"/>
              </w:rPr>
              <w:t>Izglītības attīstības pamatnostādnēs 2014.-2020.gadam, Latvijas Nacionālajā</w:t>
            </w:r>
            <w:r w:rsidR="005471D0" w:rsidRPr="00616E78">
              <w:rPr>
                <w:sz w:val="26"/>
                <w:szCs w:val="26"/>
              </w:rPr>
              <w:t xml:space="preserve"> attīstības plānā 2014.-2020.gadam un citos valsts attīstības plānošanas dokumentos noteiktajām prioritātēm attiecībā uz </w:t>
            </w:r>
            <w:r w:rsidR="005471D0" w:rsidRPr="00616E78">
              <w:rPr>
                <w:rStyle w:val="Strong"/>
                <w:rFonts w:eastAsia="Calibri"/>
                <w:b w:val="0"/>
                <w:sz w:val="26"/>
                <w:szCs w:val="26"/>
              </w:rPr>
              <w:t>darba tirgus pieprasījumu kā pirmā līmeņa augstākā profesionālā izglītība un izglītības tematiskajai grupai ar prognozējamu darbaspēka deficītu.</w:t>
            </w:r>
            <w:r w:rsidR="005D5F55" w:rsidRPr="00616E78">
              <w:rPr>
                <w:rStyle w:val="Strong"/>
                <w:rFonts w:eastAsia="Calibri"/>
                <w:sz w:val="26"/>
                <w:szCs w:val="26"/>
              </w:rPr>
              <w:t xml:space="preserve"> </w:t>
            </w:r>
          </w:p>
          <w:p w:rsidR="00CF2506" w:rsidRPr="00616E78" w:rsidRDefault="00E66E3B" w:rsidP="005D5F55">
            <w:pPr>
              <w:autoSpaceDE w:val="0"/>
              <w:autoSpaceDN w:val="0"/>
              <w:adjustRightInd w:val="0"/>
              <w:jc w:val="both"/>
              <w:rPr>
                <w:sz w:val="26"/>
                <w:szCs w:val="26"/>
              </w:rPr>
            </w:pPr>
            <w:r>
              <w:rPr>
                <w:b/>
                <w:sz w:val="26"/>
                <w:szCs w:val="26"/>
              </w:rPr>
              <w:t xml:space="preserve">    </w:t>
            </w:r>
            <w:r w:rsidR="005471D0" w:rsidRPr="00E66E3B">
              <w:rPr>
                <w:sz w:val="26"/>
                <w:szCs w:val="26"/>
              </w:rPr>
              <w:t>Nevienā citā koledžā netiek piedāvātas studijas šādu speciālistu sagatavošanai angļu valodā.</w:t>
            </w:r>
            <w:r w:rsidR="005D5F55" w:rsidRPr="00616E78">
              <w:rPr>
                <w:sz w:val="26"/>
                <w:szCs w:val="26"/>
              </w:rPr>
              <w:t xml:space="preserve"> </w:t>
            </w:r>
            <w:r w:rsidR="00D62886">
              <w:rPr>
                <w:sz w:val="26"/>
                <w:szCs w:val="26"/>
              </w:rPr>
              <w:t>Īstenojot</w:t>
            </w:r>
            <w:r w:rsidR="00D62886" w:rsidRPr="00616E78">
              <w:rPr>
                <w:sz w:val="26"/>
                <w:szCs w:val="26"/>
              </w:rPr>
              <w:t xml:space="preserve"> </w:t>
            </w:r>
            <w:r w:rsidR="005D5F55" w:rsidRPr="00616E78">
              <w:rPr>
                <w:sz w:val="26"/>
                <w:szCs w:val="26"/>
              </w:rPr>
              <w:t>studijas angļu valodā, piesaistot ārvalstu studentus un mācībspēkus, tiks veicināta augstākās izglītības internacionalizācija, līdz ar to tiks palielināts ārvalstu studentu skaita īpatsvars Latvijā, kas ir viens no mērķiem Latvijas ilgtspējīgas attīstības stratēģijā līdz 2030.gadam</w:t>
            </w:r>
            <w:r w:rsidR="00FB23D8">
              <w:rPr>
                <w:sz w:val="26"/>
                <w:szCs w:val="26"/>
              </w:rPr>
              <w:t xml:space="preserve"> (turpmāk – Latvija 2030)</w:t>
            </w:r>
            <w:r w:rsidR="005D5F55" w:rsidRPr="00616E78">
              <w:rPr>
                <w:sz w:val="26"/>
                <w:szCs w:val="26"/>
              </w:rPr>
              <w:t xml:space="preserve"> un a</w:t>
            </w:r>
            <w:r w:rsidR="00592226">
              <w:rPr>
                <w:sz w:val="26"/>
                <w:szCs w:val="26"/>
              </w:rPr>
              <w:t>tbilst arī  Latvijas Nacionālajā</w:t>
            </w:r>
            <w:r w:rsidR="005D5F55" w:rsidRPr="00616E78">
              <w:rPr>
                <w:sz w:val="26"/>
                <w:szCs w:val="26"/>
              </w:rPr>
              <w:t xml:space="preserve"> attīstības plānā 2014.-2020.gadam noteiktajam. Tāpat studijās paredzēts izmantot e-studiju vidi, tādējādi padarot izglītību pieejamāku. </w:t>
            </w:r>
          </w:p>
          <w:p w:rsidR="00CF2506" w:rsidRPr="00E7665A" w:rsidRDefault="00B7792D" w:rsidP="00B7792D">
            <w:pPr>
              <w:jc w:val="both"/>
              <w:rPr>
                <w:sz w:val="26"/>
                <w:szCs w:val="26"/>
              </w:rPr>
            </w:pPr>
            <w:r>
              <w:rPr>
                <w:sz w:val="26"/>
                <w:szCs w:val="26"/>
              </w:rPr>
              <w:t xml:space="preserve">      </w:t>
            </w:r>
            <w:r w:rsidR="005471D0" w:rsidRPr="00E7665A">
              <w:rPr>
                <w:sz w:val="26"/>
                <w:szCs w:val="26"/>
              </w:rPr>
              <w:t>Resursu izvērtējuma ziņā pamatnosacījumi studiju programmas īstenošanai, tostarp, studiju programmas satura kvalitāte, akadēmiskā personā</w:t>
            </w:r>
            <w:r w:rsidR="00592226">
              <w:rPr>
                <w:sz w:val="26"/>
                <w:szCs w:val="26"/>
              </w:rPr>
              <w:t>la kvalifikācija atbilst normatīvajos aktos noteiktajām prasībām</w:t>
            </w:r>
            <w:r w:rsidR="00111551">
              <w:rPr>
                <w:sz w:val="26"/>
                <w:szCs w:val="26"/>
              </w:rPr>
              <w:t xml:space="preserve">. </w:t>
            </w:r>
            <w:r w:rsidR="006421D8">
              <w:rPr>
                <w:sz w:val="26"/>
                <w:szCs w:val="26"/>
              </w:rPr>
              <w:t xml:space="preserve">Tomēr </w:t>
            </w:r>
            <w:r w:rsidR="00B92E6D">
              <w:rPr>
                <w:sz w:val="26"/>
                <w:szCs w:val="26"/>
              </w:rPr>
              <w:t xml:space="preserve">attiecībā uz koledžas </w:t>
            </w:r>
            <w:r w:rsidR="006421D8">
              <w:rPr>
                <w:sz w:val="26"/>
                <w:szCs w:val="26"/>
              </w:rPr>
              <w:t>plānotā darba raksturojum</w:t>
            </w:r>
            <w:r w:rsidR="00B92E6D">
              <w:rPr>
                <w:sz w:val="26"/>
                <w:szCs w:val="26"/>
              </w:rPr>
              <w:t>u jāatzīmē, ka</w:t>
            </w:r>
            <w:r w:rsidR="006421D8">
              <w:rPr>
                <w:sz w:val="26"/>
                <w:szCs w:val="26"/>
              </w:rPr>
              <w:t xml:space="preserve"> salīdzinājumā ar </w:t>
            </w:r>
            <w:r w:rsidR="005D7826">
              <w:rPr>
                <w:sz w:val="26"/>
                <w:szCs w:val="26"/>
              </w:rPr>
              <w:t>lielāko daļu</w:t>
            </w:r>
            <w:r w:rsidR="00B92E6D">
              <w:rPr>
                <w:sz w:val="26"/>
                <w:szCs w:val="26"/>
              </w:rPr>
              <w:t xml:space="preserve"> no </w:t>
            </w:r>
            <w:r w:rsidR="006421D8">
              <w:rPr>
                <w:sz w:val="26"/>
                <w:szCs w:val="26"/>
              </w:rPr>
              <w:t>pašlaik darbojošām koledžām</w:t>
            </w:r>
            <w:r w:rsidR="00195C57">
              <w:rPr>
                <w:sz w:val="26"/>
                <w:szCs w:val="26"/>
              </w:rPr>
              <w:t xml:space="preserve"> Latvijā</w:t>
            </w:r>
            <w:r w:rsidR="00B92E6D">
              <w:rPr>
                <w:sz w:val="26"/>
                <w:szCs w:val="26"/>
              </w:rPr>
              <w:t>,</w:t>
            </w:r>
            <w:r w:rsidR="000B1928">
              <w:rPr>
                <w:sz w:val="26"/>
                <w:szCs w:val="26"/>
              </w:rPr>
              <w:t xml:space="preserve"> </w:t>
            </w:r>
            <w:r w:rsidR="006421D8">
              <w:rPr>
                <w:sz w:val="26"/>
                <w:szCs w:val="26"/>
              </w:rPr>
              <w:t>studiju programmas licencēšanas gadījumā “</w:t>
            </w:r>
            <w:r w:rsidR="00A27D5E" w:rsidRPr="00616E78">
              <w:rPr>
                <w:sz w:val="26"/>
                <w:szCs w:val="26"/>
              </w:rPr>
              <w:t>HOTEL SCHOOL</w:t>
            </w:r>
            <w:r w:rsidR="006421D8">
              <w:rPr>
                <w:sz w:val="26"/>
                <w:szCs w:val="26"/>
              </w:rPr>
              <w:t>” Viesnīcu biznesa koledža būs neliela</w:t>
            </w:r>
            <w:r w:rsidR="00D62886">
              <w:rPr>
                <w:sz w:val="26"/>
                <w:szCs w:val="26"/>
              </w:rPr>
              <w:t>, jo īstenos tikai vienu studiju programmu</w:t>
            </w:r>
            <w:r w:rsidR="006421D8">
              <w:rPr>
                <w:sz w:val="26"/>
                <w:szCs w:val="26"/>
              </w:rPr>
              <w:t xml:space="preserve">, līdz ar to studiju kvalitātes nodrošināšanas izmaksas un administratīvie izdevumi uz vienu studējošo </w:t>
            </w:r>
            <w:r w:rsidR="00B92E6D">
              <w:rPr>
                <w:sz w:val="26"/>
                <w:szCs w:val="26"/>
              </w:rPr>
              <w:t xml:space="preserve">var būt </w:t>
            </w:r>
            <w:r w:rsidR="006421D8">
              <w:rPr>
                <w:sz w:val="26"/>
                <w:szCs w:val="26"/>
              </w:rPr>
              <w:t xml:space="preserve">augstāki nekā vidēji. </w:t>
            </w:r>
            <w:r w:rsidR="009F5EDF">
              <w:rPr>
                <w:sz w:val="26"/>
                <w:szCs w:val="26"/>
              </w:rPr>
              <w:t>Studiju programmas “Viesnīcu vadība” satura un realizācijas apraksts liecina, ka k</w:t>
            </w:r>
            <w:r w:rsidR="006421D8">
              <w:rPr>
                <w:sz w:val="26"/>
                <w:szCs w:val="26"/>
              </w:rPr>
              <w:t>oledža neplāno investēt studiju īstenošanā būtiskus līdzekļus, bet gan akadēmiskā personāla atalgojumu, gan materiāli tehniskās bāzes attīstību finansēt no studiju maksas ieņēmumiem. Pastāvot lejupejoša</w:t>
            </w:r>
            <w:r w:rsidR="001450B3">
              <w:rPr>
                <w:sz w:val="26"/>
                <w:szCs w:val="26"/>
              </w:rPr>
              <w:t>m</w:t>
            </w:r>
            <w:r w:rsidR="006421D8">
              <w:rPr>
                <w:sz w:val="26"/>
                <w:szCs w:val="26"/>
              </w:rPr>
              <w:t xml:space="preserve"> studējošo skaitam demogrāfisko apstākļu ietekmē, ministrija saskata </w:t>
            </w:r>
            <w:r w:rsidR="000B1928">
              <w:rPr>
                <w:sz w:val="26"/>
                <w:szCs w:val="26"/>
              </w:rPr>
              <w:t>drošticamus</w:t>
            </w:r>
            <w:r w:rsidR="006421D8">
              <w:rPr>
                <w:sz w:val="26"/>
                <w:szCs w:val="26"/>
              </w:rPr>
              <w:t xml:space="preserve"> riskus koledžas sekmīgas darbības ilgtspējai. Ministrijas ieskatā konstatētos</w:t>
            </w:r>
            <w:r w:rsidR="005471D0" w:rsidRPr="00E7665A">
              <w:rPr>
                <w:sz w:val="26"/>
                <w:szCs w:val="26"/>
              </w:rPr>
              <w:t xml:space="preserve"> trūkumus</w:t>
            </w:r>
            <w:r w:rsidR="006421D8">
              <w:rPr>
                <w:sz w:val="26"/>
                <w:szCs w:val="26"/>
              </w:rPr>
              <w:t xml:space="preserve"> koledžas resursu atbilstībā normatīvajos aktos noteiktajām prasībām</w:t>
            </w:r>
            <w:r w:rsidR="005471D0" w:rsidRPr="00E7665A">
              <w:rPr>
                <w:sz w:val="26"/>
                <w:szCs w:val="26"/>
              </w:rPr>
              <w:t xml:space="preserve"> iespējams novērst, bet to nozīmi padziļināt</w:t>
            </w:r>
            <w:r w:rsidR="00150E48">
              <w:rPr>
                <w:sz w:val="26"/>
                <w:szCs w:val="26"/>
              </w:rPr>
              <w:t>i izvērtēt ir Studiju programmu</w:t>
            </w:r>
            <w:bookmarkStart w:id="0" w:name="_GoBack"/>
            <w:bookmarkEnd w:id="0"/>
            <w:r w:rsidR="005471D0" w:rsidRPr="00E7665A">
              <w:rPr>
                <w:sz w:val="26"/>
                <w:szCs w:val="26"/>
              </w:rPr>
              <w:t xml:space="preserve"> licencēšanas komisijas pienākums studiju </w:t>
            </w:r>
            <w:r w:rsidR="005471D0" w:rsidRPr="00E7665A">
              <w:rPr>
                <w:sz w:val="26"/>
                <w:szCs w:val="26"/>
              </w:rPr>
              <w:lastRenderedPageBreak/>
              <w:t xml:space="preserve">programmas licencēšanas gaitā, kas seko studiju virziena atvēršanai. </w:t>
            </w:r>
          </w:p>
          <w:p w:rsidR="005D5F55" w:rsidRPr="00616E78" w:rsidRDefault="00E7665A" w:rsidP="005D5F55">
            <w:pPr>
              <w:autoSpaceDE w:val="0"/>
              <w:autoSpaceDN w:val="0"/>
              <w:adjustRightInd w:val="0"/>
              <w:jc w:val="both"/>
              <w:rPr>
                <w:sz w:val="26"/>
                <w:szCs w:val="26"/>
              </w:rPr>
            </w:pPr>
            <w:r>
              <w:rPr>
                <w:sz w:val="26"/>
                <w:szCs w:val="26"/>
              </w:rPr>
              <w:t xml:space="preserve">     </w:t>
            </w:r>
            <w:r w:rsidR="005D5F55" w:rsidRPr="00616E78">
              <w:rPr>
                <w:sz w:val="26"/>
                <w:szCs w:val="26"/>
              </w:rPr>
              <w:t>Kopumā ministrija secina, ka plānotā studiju virziena atvēršanas atbilstību valsts attīstības prioritātēm var pamatot ar nepārprotamiem apliecinājumiem, savukārt iespējamie trūkumi un riski ir balstīti pieņēmumos, kuri var izpildīties un var neizpildīties</w:t>
            </w:r>
            <w:r w:rsidR="00724248">
              <w:rPr>
                <w:sz w:val="26"/>
                <w:szCs w:val="26"/>
              </w:rPr>
              <w:t xml:space="preserve">. Piemēram, attiecībā uz </w:t>
            </w:r>
            <w:r w:rsidR="003F7F4B">
              <w:rPr>
                <w:sz w:val="26"/>
                <w:szCs w:val="26"/>
              </w:rPr>
              <w:t>konstatēto risku nodrošināt koledžas darbības ilgtspēju vispārēja studējošo skaita samazinājuma dē</w:t>
            </w:r>
            <w:r w:rsidR="001E3494">
              <w:rPr>
                <w:sz w:val="26"/>
                <w:szCs w:val="26"/>
              </w:rPr>
              <w:t>ļ</w:t>
            </w:r>
            <w:r w:rsidR="003F7F4B">
              <w:rPr>
                <w:sz w:val="26"/>
                <w:szCs w:val="26"/>
              </w:rPr>
              <w:t xml:space="preserve"> nevar uzskatīt par būtisku</w:t>
            </w:r>
            <w:r w:rsidR="001E3494">
              <w:rPr>
                <w:sz w:val="26"/>
                <w:szCs w:val="26"/>
              </w:rPr>
              <w:t xml:space="preserve"> </w:t>
            </w:r>
            <w:r w:rsidR="001E55F5">
              <w:rPr>
                <w:sz w:val="26"/>
                <w:szCs w:val="26"/>
              </w:rPr>
              <w:t>pamatojumu</w:t>
            </w:r>
            <w:r w:rsidR="003F7F4B">
              <w:rPr>
                <w:sz w:val="26"/>
                <w:szCs w:val="26"/>
              </w:rPr>
              <w:t xml:space="preserve"> </w:t>
            </w:r>
            <w:r w:rsidR="001E3494">
              <w:rPr>
                <w:sz w:val="26"/>
                <w:szCs w:val="26"/>
              </w:rPr>
              <w:t xml:space="preserve">studiju virziena </w:t>
            </w:r>
            <w:r w:rsidR="00500CC5">
              <w:rPr>
                <w:sz w:val="26"/>
                <w:szCs w:val="26"/>
              </w:rPr>
              <w:t>ne</w:t>
            </w:r>
            <w:r w:rsidR="001E3494">
              <w:rPr>
                <w:sz w:val="26"/>
                <w:szCs w:val="26"/>
              </w:rPr>
              <w:t>atvēr</w:t>
            </w:r>
            <w:r w:rsidR="00500CC5">
              <w:rPr>
                <w:sz w:val="26"/>
                <w:szCs w:val="26"/>
              </w:rPr>
              <w:t>šanai</w:t>
            </w:r>
            <w:r w:rsidR="003F7F4B">
              <w:rPr>
                <w:sz w:val="26"/>
                <w:szCs w:val="26"/>
              </w:rPr>
              <w:t xml:space="preserve">, jo koledžai ir </w:t>
            </w:r>
            <w:r w:rsidR="00395D99">
              <w:rPr>
                <w:sz w:val="26"/>
                <w:szCs w:val="26"/>
              </w:rPr>
              <w:t xml:space="preserve">brīvas </w:t>
            </w:r>
            <w:r w:rsidR="003F7F4B">
              <w:rPr>
                <w:sz w:val="26"/>
                <w:szCs w:val="26"/>
              </w:rPr>
              <w:t xml:space="preserve">tiesības </w:t>
            </w:r>
            <w:r w:rsidR="00922297">
              <w:rPr>
                <w:sz w:val="26"/>
                <w:szCs w:val="26"/>
              </w:rPr>
              <w:t>īstenot dažādus</w:t>
            </w:r>
            <w:r w:rsidR="00395D99">
              <w:rPr>
                <w:sz w:val="26"/>
                <w:szCs w:val="26"/>
              </w:rPr>
              <w:t xml:space="preserve"> potenciālo studentu piesaistes pasākumus</w:t>
            </w:r>
            <w:r w:rsidR="00FC3731">
              <w:rPr>
                <w:sz w:val="26"/>
                <w:szCs w:val="26"/>
              </w:rPr>
              <w:t>, kuru rezulta</w:t>
            </w:r>
            <w:r w:rsidR="00395D99">
              <w:rPr>
                <w:sz w:val="26"/>
                <w:szCs w:val="26"/>
              </w:rPr>
              <w:t>tivitāti nevar prognozēt.</w:t>
            </w:r>
            <w:r w:rsidR="00D1106C">
              <w:rPr>
                <w:sz w:val="26"/>
                <w:szCs w:val="26"/>
              </w:rPr>
              <w:t xml:space="preserve"> Atbilstoši </w:t>
            </w:r>
            <w:r w:rsidR="00D55C71" w:rsidRPr="00616E78">
              <w:rPr>
                <w:sz w:val="26"/>
                <w:szCs w:val="26"/>
              </w:rPr>
              <w:t xml:space="preserve">Administratīvā procesa likuma 5.pantā noteiktajam privātpersonu tiesību ievērošanas </w:t>
            </w:r>
            <w:r w:rsidR="00553D87">
              <w:rPr>
                <w:sz w:val="26"/>
                <w:szCs w:val="26"/>
              </w:rPr>
              <w:t>principam</w:t>
            </w:r>
            <w:r w:rsidR="005D5F55" w:rsidRPr="00616E78">
              <w:rPr>
                <w:sz w:val="26"/>
                <w:szCs w:val="26"/>
              </w:rPr>
              <w:t xml:space="preserve">, </w:t>
            </w:r>
            <w:r w:rsidR="00553D87">
              <w:rPr>
                <w:sz w:val="26"/>
                <w:szCs w:val="26"/>
              </w:rPr>
              <w:t>t.i.,</w:t>
            </w:r>
            <w:r w:rsidR="00724248">
              <w:rPr>
                <w:sz w:val="26"/>
                <w:szCs w:val="26"/>
              </w:rPr>
              <w:t xml:space="preserve"> pieņemot lēmumu pēc būtības, iestāde piemērojamo tiesību normu ietvaros veicina privātpersonas tiesību un tiesisko interešu </w:t>
            </w:r>
            <w:r w:rsidR="00724248" w:rsidRPr="000B0BCC">
              <w:rPr>
                <w:sz w:val="26"/>
                <w:szCs w:val="26"/>
              </w:rPr>
              <w:t>aizsardzību</w:t>
            </w:r>
            <w:r w:rsidR="000B0BCC" w:rsidRPr="000B0BCC">
              <w:rPr>
                <w:sz w:val="26"/>
                <w:szCs w:val="26"/>
              </w:rPr>
              <w:t>.</w:t>
            </w:r>
            <w:r w:rsidR="00553D87" w:rsidRPr="000B0BCC">
              <w:rPr>
                <w:sz w:val="26"/>
                <w:szCs w:val="26"/>
              </w:rPr>
              <w:t xml:space="preserve"> </w:t>
            </w:r>
            <w:r w:rsidR="000B0BCC" w:rsidRPr="000B0BCC">
              <w:rPr>
                <w:sz w:val="26"/>
                <w:szCs w:val="26"/>
              </w:rPr>
              <w:t>Latvijas Republikas Satversmes 106.pants nosaka, ka</w:t>
            </w:r>
            <w:r w:rsidR="00553D87" w:rsidRPr="000B0BCC">
              <w:rPr>
                <w:sz w:val="26"/>
                <w:szCs w:val="26"/>
              </w:rPr>
              <w:t xml:space="preserve"> </w:t>
            </w:r>
            <w:r w:rsidR="000B0BCC" w:rsidRPr="000B0BCC">
              <w:rPr>
                <w:sz w:val="26"/>
                <w:szCs w:val="26"/>
              </w:rPr>
              <w:t>ikvienam ir tiesības brīvi izvēlēties nodarbošanos atbilstoši savām spējām un kvalifikācijai</w:t>
            </w:r>
            <w:r w:rsidR="00553D87" w:rsidRPr="000B0BCC">
              <w:rPr>
                <w:sz w:val="26"/>
                <w:szCs w:val="26"/>
              </w:rPr>
              <w:t>.</w:t>
            </w:r>
            <w:r w:rsidR="00553D87">
              <w:rPr>
                <w:sz w:val="26"/>
                <w:szCs w:val="26"/>
              </w:rPr>
              <w:t xml:space="preserve"> </w:t>
            </w:r>
            <w:r w:rsidR="00724248">
              <w:rPr>
                <w:sz w:val="26"/>
                <w:szCs w:val="26"/>
              </w:rPr>
              <w:t>Līdz ar to</w:t>
            </w:r>
            <w:r w:rsidR="005D5F55" w:rsidRPr="00616E78">
              <w:rPr>
                <w:sz w:val="26"/>
                <w:szCs w:val="26"/>
              </w:rPr>
              <w:t xml:space="preserve"> </w:t>
            </w:r>
            <w:r w:rsidR="00724248">
              <w:rPr>
                <w:sz w:val="26"/>
                <w:szCs w:val="26"/>
              </w:rPr>
              <w:t xml:space="preserve">uzskatāms, ka ir pietiekams pamats atvērt studiju virzienu </w:t>
            </w:r>
            <w:r w:rsidR="00496CB0">
              <w:rPr>
                <w:sz w:val="26"/>
                <w:szCs w:val="26"/>
              </w:rPr>
              <w:t>„</w:t>
            </w:r>
            <w:r w:rsidR="00496CB0" w:rsidRPr="00E4666C">
              <w:rPr>
                <w:sz w:val="26"/>
                <w:szCs w:val="26"/>
              </w:rPr>
              <w:t>Viesnīcu un restorānu serviss, tūrisma un atpūtas organizācija</w:t>
            </w:r>
            <w:r w:rsidR="00496CB0">
              <w:rPr>
                <w:sz w:val="26"/>
                <w:szCs w:val="26"/>
              </w:rPr>
              <w:t>”</w:t>
            </w:r>
            <w:r w:rsidR="00496CB0" w:rsidRPr="00E4666C">
              <w:rPr>
                <w:sz w:val="26"/>
                <w:szCs w:val="26"/>
              </w:rPr>
              <w:t xml:space="preserve"> </w:t>
            </w:r>
            <w:r w:rsidR="00496CB0">
              <w:rPr>
                <w:sz w:val="26"/>
                <w:szCs w:val="26"/>
              </w:rPr>
              <w:t>koledžā.</w:t>
            </w:r>
          </w:p>
          <w:p w:rsidR="00CB0AE5" w:rsidRPr="00616E78" w:rsidRDefault="00CB0AE5" w:rsidP="00A46C7A">
            <w:pPr>
              <w:jc w:val="both"/>
              <w:rPr>
                <w:sz w:val="26"/>
                <w:szCs w:val="26"/>
              </w:rPr>
            </w:pPr>
          </w:p>
        </w:tc>
      </w:tr>
      <w:tr w:rsidR="00CB0AE5" w:rsidRPr="00616E78" w:rsidTr="00D960AE">
        <w:trPr>
          <w:trHeight w:val="476"/>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lastRenderedPageBreak/>
              <w:t> 3.</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Projekta izstrādē iesaistītās institūcijas</w:t>
            </w:r>
          </w:p>
        </w:tc>
        <w:tc>
          <w:tcPr>
            <w:tcW w:w="5954"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rPr>
                <w:sz w:val="26"/>
                <w:szCs w:val="26"/>
              </w:rPr>
            </w:pPr>
            <w:r w:rsidRPr="00616E78">
              <w:rPr>
                <w:sz w:val="26"/>
                <w:szCs w:val="26"/>
              </w:rPr>
              <w:t>Izglītības un zinātnes ministrija.</w:t>
            </w:r>
          </w:p>
        </w:tc>
      </w:tr>
      <w:tr w:rsidR="00CB0AE5" w:rsidRPr="00616E78" w:rsidTr="00D960AE">
        <w:trPr>
          <w:tblCellSpacing w:w="0" w:type="dxa"/>
        </w:trPr>
        <w:tc>
          <w:tcPr>
            <w:tcW w:w="41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4.</w:t>
            </w:r>
          </w:p>
        </w:tc>
        <w:tc>
          <w:tcPr>
            <w:tcW w:w="2528"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Cita informācija</w:t>
            </w:r>
          </w:p>
        </w:tc>
        <w:tc>
          <w:tcPr>
            <w:tcW w:w="5954" w:type="dxa"/>
            <w:tcBorders>
              <w:top w:val="single" w:sz="4" w:space="0" w:color="auto"/>
              <w:left w:val="single" w:sz="4" w:space="0" w:color="auto"/>
              <w:bottom w:val="single" w:sz="4" w:space="0" w:color="auto"/>
              <w:right w:val="single" w:sz="4" w:space="0" w:color="auto"/>
            </w:tcBorders>
            <w:hideMark/>
          </w:tcPr>
          <w:p w:rsidR="00CB0AE5" w:rsidRPr="00616E78" w:rsidRDefault="006127CD" w:rsidP="007F4D42">
            <w:pPr>
              <w:spacing w:before="75" w:after="75"/>
              <w:jc w:val="both"/>
              <w:rPr>
                <w:sz w:val="26"/>
                <w:szCs w:val="26"/>
              </w:rPr>
            </w:pPr>
            <w:r>
              <w:rPr>
                <w:sz w:val="26"/>
                <w:szCs w:val="26"/>
              </w:rPr>
              <w:t>N</w:t>
            </w:r>
            <w:r w:rsidR="005471D0" w:rsidRPr="00616E78">
              <w:rPr>
                <w:sz w:val="26"/>
                <w:szCs w:val="26"/>
              </w:rPr>
              <w:t>av</w:t>
            </w:r>
            <w:r w:rsidR="00AF710E">
              <w:rPr>
                <w:sz w:val="26"/>
                <w:szCs w:val="26"/>
              </w:rPr>
              <w:t>.</w:t>
            </w:r>
          </w:p>
        </w:tc>
      </w:tr>
    </w:tbl>
    <w:p w:rsidR="00CB0AE5" w:rsidRPr="00616E78" w:rsidRDefault="005471D0" w:rsidP="00CB0AE5">
      <w:pPr>
        <w:tabs>
          <w:tab w:val="right" w:pos="8820"/>
        </w:tabs>
        <w:rPr>
          <w:sz w:val="26"/>
          <w:szCs w:val="26"/>
        </w:rPr>
      </w:pPr>
      <w:r w:rsidRPr="00616E78">
        <w:rPr>
          <w:sz w:val="26"/>
          <w:szCs w:val="26"/>
        </w:rPr>
        <w:t> </w:t>
      </w:r>
    </w:p>
    <w:p w:rsidR="00CB0AE5" w:rsidRPr="00616E78" w:rsidRDefault="00CB0AE5" w:rsidP="00CB0AE5">
      <w:pPr>
        <w:tabs>
          <w:tab w:val="right" w:pos="8820"/>
        </w:tabs>
        <w:rPr>
          <w:sz w:val="26"/>
          <w:szCs w:val="26"/>
        </w:rPr>
      </w:pPr>
    </w:p>
    <w:tbl>
      <w:tblPr>
        <w:tblW w:w="93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2330"/>
        <w:gridCol w:w="6516"/>
      </w:tblGrid>
      <w:tr w:rsidR="00CB0AE5" w:rsidRPr="00616E78" w:rsidTr="001A6A58">
        <w:trPr>
          <w:tblCellSpacing w:w="0" w:type="dxa"/>
        </w:trPr>
        <w:tc>
          <w:tcPr>
            <w:tcW w:w="9366" w:type="dxa"/>
            <w:gridSpan w:val="3"/>
            <w:tcBorders>
              <w:top w:val="single" w:sz="4" w:space="0" w:color="auto"/>
              <w:left w:val="single" w:sz="4" w:space="0" w:color="auto"/>
              <w:bottom w:val="single" w:sz="4" w:space="0" w:color="auto"/>
              <w:right w:val="single" w:sz="4" w:space="0" w:color="auto"/>
            </w:tcBorders>
            <w:vAlign w:val="center"/>
            <w:hideMark/>
          </w:tcPr>
          <w:p w:rsidR="00CB0AE5" w:rsidRPr="00616E78" w:rsidRDefault="005471D0" w:rsidP="007F4D42">
            <w:pPr>
              <w:spacing w:before="150" w:after="150"/>
              <w:jc w:val="center"/>
              <w:rPr>
                <w:b/>
                <w:bCs/>
                <w:sz w:val="26"/>
                <w:szCs w:val="26"/>
              </w:rPr>
            </w:pPr>
            <w:r w:rsidRPr="00616E78">
              <w:rPr>
                <w:b/>
                <w:bCs/>
                <w:sz w:val="26"/>
                <w:szCs w:val="26"/>
              </w:rPr>
              <w:t>II. Tiesību akta projekta ietekme uz sabiedrību, tautsaimniecības attīstību un administratīvo slogu</w:t>
            </w:r>
          </w:p>
        </w:tc>
      </w:tr>
      <w:tr w:rsidR="00CB0AE5" w:rsidRPr="00616E78" w:rsidTr="001A6A58">
        <w:trPr>
          <w:trHeight w:val="46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1.</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Sabiedrības mērķgrupas, kuras tiesiskais regulējums ietekmē vai varētu ietekmēt</w:t>
            </w:r>
          </w:p>
        </w:tc>
        <w:tc>
          <w:tcPr>
            <w:tcW w:w="6516"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jc w:val="both"/>
              <w:rPr>
                <w:sz w:val="26"/>
                <w:szCs w:val="26"/>
              </w:rPr>
            </w:pPr>
            <w:r w:rsidRPr="00616E78">
              <w:rPr>
                <w:sz w:val="26"/>
                <w:szCs w:val="26"/>
              </w:rPr>
              <w:t>Rīkojuma projekts attiecas uz koledžu, kā arī uz potenciāliem  studējošajiem, kuri varētu studēt koledžas studiju programmās, ja tādas tiks licencētas.</w:t>
            </w:r>
          </w:p>
        </w:tc>
      </w:tr>
      <w:tr w:rsidR="00CB0AE5" w:rsidRPr="00616E78" w:rsidTr="001A6A58">
        <w:trPr>
          <w:trHeight w:val="51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2.</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Tiesiskā regulējuma ietekme uz tautsaimniecību un administratīvo slogu</w:t>
            </w:r>
          </w:p>
        </w:tc>
        <w:tc>
          <w:tcPr>
            <w:tcW w:w="6516"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ind w:right="-1"/>
              <w:jc w:val="both"/>
              <w:rPr>
                <w:sz w:val="26"/>
                <w:szCs w:val="26"/>
              </w:rPr>
            </w:pPr>
            <w:r w:rsidRPr="00616E78">
              <w:rPr>
                <w:sz w:val="26"/>
                <w:szCs w:val="26"/>
              </w:rPr>
              <w:t>Atverot studiju virzienu, Studiju programmu licencēšanas komisija lems par šim studiju virzienam attiecīg</w:t>
            </w:r>
            <w:r w:rsidR="0044468D">
              <w:rPr>
                <w:sz w:val="26"/>
                <w:szCs w:val="26"/>
              </w:rPr>
              <w:t>ās</w:t>
            </w:r>
            <w:r w:rsidRPr="00616E78">
              <w:rPr>
                <w:sz w:val="26"/>
                <w:szCs w:val="26"/>
              </w:rPr>
              <w:t xml:space="preserve"> studiju programm</w:t>
            </w:r>
            <w:r w:rsidR="0044468D">
              <w:rPr>
                <w:sz w:val="26"/>
                <w:szCs w:val="26"/>
              </w:rPr>
              <w:t>as</w:t>
            </w:r>
            <w:r w:rsidRPr="00616E78">
              <w:rPr>
                <w:sz w:val="26"/>
                <w:szCs w:val="26"/>
              </w:rPr>
              <w:t xml:space="preserve"> licencēšanu.</w:t>
            </w:r>
          </w:p>
        </w:tc>
      </w:tr>
      <w:tr w:rsidR="00CB0AE5" w:rsidRPr="00616E78" w:rsidTr="001A6A58">
        <w:trPr>
          <w:trHeight w:val="357"/>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lastRenderedPageBreak/>
              <w:t> 3.</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Administratīvo izmaksu monetārs novērtējums</w:t>
            </w:r>
          </w:p>
        </w:tc>
        <w:tc>
          <w:tcPr>
            <w:tcW w:w="6516"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xml:space="preserve"> Nav</w:t>
            </w:r>
            <w:r w:rsidR="00AF710E">
              <w:rPr>
                <w:sz w:val="26"/>
                <w:szCs w:val="26"/>
              </w:rPr>
              <w:t>.</w:t>
            </w:r>
          </w:p>
        </w:tc>
      </w:tr>
      <w:tr w:rsidR="00CB0AE5" w:rsidRPr="00616E78" w:rsidTr="001A6A58">
        <w:trPr>
          <w:tblCellSpacing w:w="0" w:type="dxa"/>
        </w:trPr>
        <w:tc>
          <w:tcPr>
            <w:tcW w:w="52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4.</w:t>
            </w:r>
          </w:p>
        </w:tc>
        <w:tc>
          <w:tcPr>
            <w:tcW w:w="2330" w:type="dxa"/>
            <w:tcBorders>
              <w:top w:val="single" w:sz="4" w:space="0" w:color="auto"/>
              <w:left w:val="single" w:sz="4" w:space="0" w:color="auto"/>
              <w:bottom w:val="single" w:sz="4" w:space="0" w:color="auto"/>
              <w:right w:val="single" w:sz="4" w:space="0" w:color="auto"/>
            </w:tcBorders>
            <w:hideMark/>
          </w:tcPr>
          <w:p w:rsidR="00CB0AE5" w:rsidRPr="00616E78" w:rsidRDefault="005471D0" w:rsidP="007F4D42">
            <w:pPr>
              <w:spacing w:before="75" w:after="75"/>
              <w:jc w:val="both"/>
              <w:rPr>
                <w:sz w:val="26"/>
                <w:szCs w:val="26"/>
              </w:rPr>
            </w:pPr>
            <w:r w:rsidRPr="00616E78">
              <w:rPr>
                <w:sz w:val="26"/>
                <w:szCs w:val="26"/>
              </w:rPr>
              <w:t> Cita informācija, riski</w:t>
            </w:r>
          </w:p>
        </w:tc>
        <w:tc>
          <w:tcPr>
            <w:tcW w:w="6516" w:type="dxa"/>
            <w:tcBorders>
              <w:top w:val="single" w:sz="4" w:space="0" w:color="auto"/>
              <w:left w:val="single" w:sz="4" w:space="0" w:color="auto"/>
              <w:bottom w:val="single" w:sz="4" w:space="0" w:color="auto"/>
              <w:right w:val="single" w:sz="4" w:space="0" w:color="auto"/>
            </w:tcBorders>
            <w:hideMark/>
          </w:tcPr>
          <w:p w:rsidR="00837B5E" w:rsidRPr="00616E78" w:rsidRDefault="00A46C7A" w:rsidP="00D876BD">
            <w:pPr>
              <w:jc w:val="both"/>
              <w:rPr>
                <w:sz w:val="26"/>
                <w:szCs w:val="26"/>
              </w:rPr>
            </w:pPr>
            <w:r>
              <w:rPr>
                <w:sz w:val="26"/>
                <w:szCs w:val="26"/>
              </w:rPr>
              <w:t xml:space="preserve">     </w:t>
            </w:r>
            <w:r w:rsidR="00837B5E" w:rsidRPr="00616E78">
              <w:rPr>
                <w:sz w:val="26"/>
                <w:szCs w:val="26"/>
              </w:rPr>
              <w:t>Ministru kabineta rīkojumam būs ietekme uz sabiedrību, jo</w:t>
            </w:r>
            <w:r w:rsidR="001914D2" w:rsidRPr="00616E78">
              <w:rPr>
                <w:sz w:val="26"/>
                <w:szCs w:val="26"/>
              </w:rPr>
              <w:t xml:space="preserve"> skar izglītības sistēmas attīstību, bet ikviena tiesības uz izglītību ir noteiktas Latvijas Republikas Satversmē (112.pants).</w:t>
            </w:r>
            <w:r w:rsidR="002D3413" w:rsidRPr="00616E78">
              <w:rPr>
                <w:sz w:val="26"/>
                <w:szCs w:val="26"/>
              </w:rPr>
              <w:t xml:space="preserve"> </w:t>
            </w:r>
            <w:r w:rsidR="00837B5E" w:rsidRPr="00616E78">
              <w:rPr>
                <w:sz w:val="26"/>
                <w:szCs w:val="26"/>
              </w:rPr>
              <w:t xml:space="preserve">Ar augstākās izglītības jomu </w:t>
            </w:r>
            <w:r w:rsidR="001914D2" w:rsidRPr="00616E78">
              <w:rPr>
                <w:sz w:val="26"/>
                <w:szCs w:val="26"/>
              </w:rPr>
              <w:t>valsts attīstības</w:t>
            </w:r>
            <w:r w:rsidR="00837B5E" w:rsidRPr="00616E78">
              <w:rPr>
                <w:sz w:val="26"/>
                <w:szCs w:val="26"/>
              </w:rPr>
              <w:t xml:space="preserve"> mērķu sasniegšana ir saistīta gan tieši, piemēram, nodrošinot tautsaimniecības attīstību ar kvalificēta darbaspēka resursiem, gan netieši, piemēram, dodot ieguldījumu ikviena cilvēka personības izaugsmē, zināšanu un pieredzes vairošanā, kas summējoties kāpina kopējo tautas labklājību un valsts izaugsmi. Līdz ar to augstākās izglītības sistēmas efektivitāte ir pats par sevi svarīgs priekšnoteikums visu citu valsts attīstības prioritāro mērķu sasniegšanai, no kuriem daļa ir vispārīga un to sasniegšanu raksturojošie indikatori nav tieši izmantojami kāda konkrēta studiju virziena atbilstības definētajām valsts attīstības prioritātēm izvērtēšanai.</w:t>
            </w:r>
          </w:p>
          <w:p w:rsidR="00837B5E" w:rsidRDefault="00A46C7A" w:rsidP="00A46C7A">
            <w:pPr>
              <w:jc w:val="both"/>
              <w:rPr>
                <w:sz w:val="26"/>
                <w:szCs w:val="26"/>
              </w:rPr>
            </w:pPr>
            <w:r w:rsidRPr="002B0C9F">
              <w:rPr>
                <w:sz w:val="26"/>
                <w:szCs w:val="26"/>
              </w:rPr>
              <w:t xml:space="preserve">     </w:t>
            </w:r>
            <w:r w:rsidR="00837B5E" w:rsidRPr="00616E78">
              <w:rPr>
                <w:sz w:val="26"/>
                <w:szCs w:val="26"/>
              </w:rPr>
              <w:t xml:space="preserve">Latvija 2030 ir valsts galvenais plānošanas instruments ar likuma spēku. Latvija 2030 nosaka, ka „efektīva … augstākās izglītības sistēma ir izšķirošs Latvijas konkurētspējas un cilvēkkapitāla vērtības faktors.” Izglītības attīstības pamatnostādnes 2014.-2020.gadam kā vienu no Latvijas augstākās izglītības pamatproblēmām izvirza sistēmas pārlieko sadrumstalotību, par ko liecina studējošo skaitam un </w:t>
            </w:r>
            <w:r w:rsidR="008F3B0B">
              <w:rPr>
                <w:sz w:val="26"/>
                <w:szCs w:val="26"/>
              </w:rPr>
              <w:t xml:space="preserve">tā </w:t>
            </w:r>
            <w:r w:rsidR="00837B5E" w:rsidRPr="00616E78">
              <w:rPr>
                <w:sz w:val="26"/>
                <w:szCs w:val="26"/>
              </w:rPr>
              <w:t>dinamikai neatbilstoši liels augstskolu un studiju programmu skaits. Augstākās izglītības resursu sadrumstalotība mazina augstskolu iespējas kļūt konkurētspējīgām starptautiskā līmenī un nodrošināt kvalitatīvu izglītību. Latvijas demogrāfiskajā situācijā augstākās izglītības pamatiezīme ir rūkošais studējošo skaits un prognozējamais studējošo skaita samazinājums ilgtermiņā.</w:t>
            </w:r>
          </w:p>
          <w:p w:rsidR="00EB130A" w:rsidRPr="00616E78" w:rsidRDefault="00EB130A" w:rsidP="00A46C7A">
            <w:pPr>
              <w:jc w:val="both"/>
              <w:rPr>
                <w:sz w:val="26"/>
                <w:szCs w:val="26"/>
              </w:rPr>
            </w:pPr>
            <w:r>
              <w:rPr>
                <w:sz w:val="26"/>
                <w:szCs w:val="26"/>
              </w:rPr>
              <w:t xml:space="preserve">    Tā kā jauna studiju virziena atvēršana nozīmē </w:t>
            </w:r>
            <w:r w:rsidR="00A7556A">
              <w:rPr>
                <w:sz w:val="26"/>
                <w:szCs w:val="26"/>
              </w:rPr>
              <w:t xml:space="preserve">vēl </w:t>
            </w:r>
            <w:r>
              <w:rPr>
                <w:sz w:val="26"/>
                <w:szCs w:val="26"/>
              </w:rPr>
              <w:t>vienas jaunas augstākās izglītības institūcijas darbības uzsākšanu</w:t>
            </w:r>
            <w:r w:rsidR="00A008D7">
              <w:rPr>
                <w:sz w:val="26"/>
                <w:szCs w:val="26"/>
              </w:rPr>
              <w:t xml:space="preserve">, </w:t>
            </w:r>
            <w:r w:rsidR="0071626F">
              <w:rPr>
                <w:sz w:val="26"/>
                <w:szCs w:val="26"/>
              </w:rPr>
              <w:t>kopējais augstākās izglītības piedāvājums paplašināsies, turpinot samazināties studentu skaitam.</w:t>
            </w:r>
          </w:p>
          <w:p w:rsidR="009B4AAC" w:rsidRPr="00616E78" w:rsidRDefault="009B4AAC" w:rsidP="008D6E8B">
            <w:pPr>
              <w:jc w:val="both"/>
              <w:rPr>
                <w:b/>
                <w:sz w:val="26"/>
                <w:szCs w:val="26"/>
              </w:rPr>
            </w:pPr>
          </w:p>
        </w:tc>
      </w:tr>
    </w:tbl>
    <w:p w:rsidR="00CB0AE5" w:rsidRPr="00616E78" w:rsidRDefault="00CB0AE5" w:rsidP="00CB0AE5">
      <w:pPr>
        <w:tabs>
          <w:tab w:val="right" w:pos="8820"/>
        </w:tabs>
        <w:rPr>
          <w:sz w:val="26"/>
          <w:szCs w:val="26"/>
        </w:rPr>
      </w:pPr>
    </w:p>
    <w:p w:rsidR="00CB0AE5" w:rsidRPr="00616E78" w:rsidRDefault="005471D0" w:rsidP="00CB0AE5">
      <w:pPr>
        <w:rPr>
          <w:iCs/>
          <w:sz w:val="26"/>
          <w:szCs w:val="26"/>
          <w:lang w:eastAsia="en-US"/>
        </w:rPr>
      </w:pPr>
      <w:r w:rsidRPr="00616E78">
        <w:rPr>
          <w:sz w:val="26"/>
          <w:szCs w:val="26"/>
        </w:rPr>
        <w:t> Anotācijas III, IV, V un VI sadaļa</w:t>
      </w:r>
      <w:r w:rsidRPr="00616E78">
        <w:rPr>
          <w:b/>
          <w:sz w:val="26"/>
          <w:szCs w:val="26"/>
        </w:rPr>
        <w:t xml:space="preserve"> – </w:t>
      </w:r>
      <w:r w:rsidRPr="00616E78">
        <w:rPr>
          <w:sz w:val="26"/>
          <w:szCs w:val="26"/>
        </w:rPr>
        <w:t>projekts šīs jomas neskar.</w:t>
      </w:r>
    </w:p>
    <w:p w:rsidR="00CB0AE5" w:rsidRPr="00616E78" w:rsidRDefault="00CB0AE5" w:rsidP="00CB0AE5">
      <w:pPr>
        <w:spacing w:before="75" w:after="75"/>
        <w:ind w:firstLine="375"/>
        <w:jc w:val="both"/>
        <w:outlineLvl w:val="0"/>
        <w:rPr>
          <w:b/>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2488"/>
        <w:gridCol w:w="6109"/>
      </w:tblGrid>
      <w:tr w:rsidR="00CB0AE5" w:rsidRPr="00616E78" w:rsidTr="001A6A58">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center"/>
              <w:rPr>
                <w:b/>
                <w:sz w:val="26"/>
                <w:szCs w:val="26"/>
              </w:rPr>
            </w:pPr>
            <w:r w:rsidRPr="00616E78">
              <w:rPr>
                <w:b/>
                <w:bCs/>
                <w:sz w:val="26"/>
                <w:szCs w:val="26"/>
              </w:rPr>
              <w:t xml:space="preserve"> VII. Tiesību </w:t>
            </w:r>
            <w:smartTag w:uri="schemas-tilde-lv/tildestengine" w:element="veidnes">
              <w:smartTagPr>
                <w:attr w:name="baseform" w:val="akt|s"/>
                <w:attr w:name="id" w:val="-1"/>
                <w:attr w:name="text" w:val="akta"/>
              </w:smartTagPr>
              <w:r w:rsidRPr="00616E78">
                <w:rPr>
                  <w:b/>
                  <w:bCs/>
                  <w:sz w:val="26"/>
                  <w:szCs w:val="26"/>
                </w:rPr>
                <w:t>akta</w:t>
              </w:r>
            </w:smartTag>
            <w:r w:rsidRPr="00616E78">
              <w:rPr>
                <w:b/>
                <w:bCs/>
                <w:sz w:val="26"/>
                <w:szCs w:val="26"/>
              </w:rPr>
              <w:t xml:space="preserve"> projekta izpildes nodrošināšana un tās ietekme uz institūcijām</w:t>
            </w:r>
          </w:p>
        </w:tc>
      </w:tr>
      <w:tr w:rsidR="00CB0AE5" w:rsidRPr="00616E78" w:rsidTr="00D960AE">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 1.</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Projekta izpildē iesaistītās institūcijas</w:t>
            </w:r>
          </w:p>
        </w:tc>
        <w:tc>
          <w:tcPr>
            <w:tcW w:w="6109" w:type="dxa"/>
            <w:tcBorders>
              <w:top w:val="single" w:sz="4" w:space="0" w:color="auto"/>
              <w:left w:val="single" w:sz="4" w:space="0" w:color="auto"/>
              <w:bottom w:val="single" w:sz="4" w:space="0" w:color="auto"/>
              <w:right w:val="single" w:sz="4" w:space="0" w:color="auto"/>
            </w:tcBorders>
          </w:tcPr>
          <w:p w:rsidR="00CB0AE5" w:rsidRDefault="001A6A58" w:rsidP="007F4D42">
            <w:pPr>
              <w:jc w:val="both"/>
              <w:rPr>
                <w:sz w:val="26"/>
                <w:szCs w:val="26"/>
              </w:rPr>
            </w:pPr>
            <w:r>
              <w:rPr>
                <w:sz w:val="26"/>
                <w:szCs w:val="26"/>
              </w:rPr>
              <w:t xml:space="preserve">   </w:t>
            </w:r>
            <w:r w:rsidR="005471D0" w:rsidRPr="00616E78">
              <w:rPr>
                <w:sz w:val="26"/>
                <w:szCs w:val="26"/>
              </w:rPr>
              <w:t>Rīkojuma projekta izpildē būs iesaistītas Studiju programmu licencēšanas komisija un koledža.</w:t>
            </w:r>
          </w:p>
          <w:p w:rsidR="00E116BA" w:rsidRPr="00616E78" w:rsidRDefault="00E116BA" w:rsidP="007F4D42">
            <w:pPr>
              <w:jc w:val="both"/>
              <w:rPr>
                <w:sz w:val="26"/>
                <w:szCs w:val="26"/>
                <w:highlight w:val="yellow"/>
              </w:rPr>
            </w:pPr>
          </w:p>
        </w:tc>
      </w:tr>
      <w:tr w:rsidR="00CB0AE5" w:rsidRPr="00616E78" w:rsidTr="00D960AE">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lastRenderedPageBreak/>
              <w:t> 2.</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jc w:val="both"/>
              <w:rPr>
                <w:sz w:val="26"/>
                <w:szCs w:val="26"/>
              </w:rPr>
            </w:pPr>
            <w:r w:rsidRPr="00616E78">
              <w:rPr>
                <w:sz w:val="26"/>
                <w:szCs w:val="26"/>
              </w:rPr>
              <w:t>Projekta izpildes ietekme uz pārvaldes funkcijām un institucionālo struktūru. Jaunu institūciju izveide, esošo institūciju likvidācija vai reorganizācija, to ietekme uz institūcijas cilvēkresursiem</w:t>
            </w:r>
          </w:p>
        </w:tc>
        <w:tc>
          <w:tcPr>
            <w:tcW w:w="6109" w:type="dxa"/>
            <w:tcBorders>
              <w:top w:val="single" w:sz="4" w:space="0" w:color="auto"/>
              <w:left w:val="single" w:sz="4" w:space="0" w:color="auto"/>
              <w:bottom w:val="single" w:sz="4" w:space="0" w:color="auto"/>
              <w:right w:val="single" w:sz="4" w:space="0" w:color="auto"/>
            </w:tcBorders>
          </w:tcPr>
          <w:p w:rsidR="00CB0AE5" w:rsidRPr="00616E78" w:rsidRDefault="001A6A58" w:rsidP="007F4D42">
            <w:pPr>
              <w:jc w:val="both"/>
              <w:rPr>
                <w:sz w:val="26"/>
                <w:szCs w:val="26"/>
                <w:highlight w:val="yellow"/>
              </w:rPr>
            </w:pPr>
            <w:r>
              <w:rPr>
                <w:sz w:val="26"/>
                <w:szCs w:val="26"/>
              </w:rPr>
              <w:t xml:space="preserve">   </w:t>
            </w:r>
            <w:r w:rsidR="005471D0" w:rsidRPr="00616E78">
              <w:rPr>
                <w:sz w:val="26"/>
                <w:szCs w:val="26"/>
              </w:rPr>
              <w:t>Pārvaldes funkcijas un uzdevumi netiek grozīti, institucionālā struktūra netiek mainīta. Jaunas institūcijas netiks izveidotas. Esošās institūcijas netiks likvidētas vai reorganizētas</w:t>
            </w:r>
            <w:r w:rsidR="006369D3">
              <w:rPr>
                <w:sz w:val="26"/>
                <w:szCs w:val="26"/>
              </w:rPr>
              <w:t>.</w:t>
            </w:r>
          </w:p>
        </w:tc>
      </w:tr>
      <w:tr w:rsidR="00CB0AE5" w:rsidRPr="00616E78" w:rsidTr="00D960AE">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rPr>
                <w:sz w:val="26"/>
                <w:szCs w:val="26"/>
              </w:rPr>
            </w:pPr>
            <w:r w:rsidRPr="00616E78">
              <w:rPr>
                <w:sz w:val="26"/>
                <w:szCs w:val="26"/>
              </w:rPr>
              <w:t> 3.</w:t>
            </w:r>
          </w:p>
        </w:tc>
        <w:tc>
          <w:tcPr>
            <w:tcW w:w="2488" w:type="dxa"/>
            <w:tcBorders>
              <w:top w:val="single" w:sz="4" w:space="0" w:color="auto"/>
              <w:left w:val="single" w:sz="4" w:space="0" w:color="auto"/>
              <w:bottom w:val="single" w:sz="4" w:space="0" w:color="auto"/>
              <w:right w:val="single" w:sz="4" w:space="0" w:color="auto"/>
            </w:tcBorders>
          </w:tcPr>
          <w:p w:rsidR="00CB0AE5" w:rsidRPr="00616E78" w:rsidRDefault="005471D0" w:rsidP="007F4D42">
            <w:pPr>
              <w:rPr>
                <w:sz w:val="26"/>
                <w:szCs w:val="26"/>
              </w:rPr>
            </w:pPr>
            <w:r w:rsidRPr="00616E78">
              <w:rPr>
                <w:sz w:val="26"/>
                <w:szCs w:val="26"/>
              </w:rPr>
              <w:t>Cita informācija</w:t>
            </w:r>
          </w:p>
        </w:tc>
        <w:tc>
          <w:tcPr>
            <w:tcW w:w="6109" w:type="dxa"/>
            <w:tcBorders>
              <w:top w:val="single" w:sz="4" w:space="0" w:color="auto"/>
              <w:left w:val="single" w:sz="4" w:space="0" w:color="auto"/>
              <w:bottom w:val="single" w:sz="4" w:space="0" w:color="auto"/>
              <w:right w:val="single" w:sz="4" w:space="0" w:color="auto"/>
            </w:tcBorders>
          </w:tcPr>
          <w:p w:rsidR="00CB0AE5" w:rsidRPr="00616E78" w:rsidRDefault="00025200" w:rsidP="007F4D42">
            <w:pPr>
              <w:rPr>
                <w:sz w:val="26"/>
                <w:szCs w:val="26"/>
              </w:rPr>
            </w:pPr>
            <w:r>
              <w:rPr>
                <w:sz w:val="26"/>
                <w:szCs w:val="26"/>
              </w:rPr>
              <w:t xml:space="preserve"> </w:t>
            </w:r>
            <w:r w:rsidR="00D67887">
              <w:rPr>
                <w:sz w:val="26"/>
                <w:szCs w:val="26"/>
              </w:rPr>
              <w:t xml:space="preserve">Nav. </w:t>
            </w:r>
          </w:p>
        </w:tc>
      </w:tr>
    </w:tbl>
    <w:p w:rsidR="00CB0AE5" w:rsidRPr="00616E78" w:rsidRDefault="00CB0AE5" w:rsidP="00CB0AE5">
      <w:pPr>
        <w:tabs>
          <w:tab w:val="right" w:pos="8820"/>
        </w:tabs>
        <w:rPr>
          <w:sz w:val="26"/>
          <w:szCs w:val="26"/>
        </w:rPr>
      </w:pPr>
    </w:p>
    <w:p w:rsidR="00CB0AE5" w:rsidRPr="00616E78" w:rsidRDefault="00CB0AE5" w:rsidP="00CB0AE5">
      <w:pPr>
        <w:tabs>
          <w:tab w:val="right" w:pos="8820"/>
        </w:tabs>
        <w:rPr>
          <w:sz w:val="26"/>
          <w:szCs w:val="26"/>
        </w:rPr>
      </w:pPr>
    </w:p>
    <w:p w:rsidR="00631149" w:rsidRPr="005517B2" w:rsidRDefault="00631149" w:rsidP="00631149">
      <w:pPr>
        <w:pStyle w:val="BodyText2"/>
        <w:spacing w:after="0" w:line="240" w:lineRule="auto"/>
        <w:ind w:firstLine="720"/>
        <w:jc w:val="both"/>
        <w:rPr>
          <w:sz w:val="26"/>
          <w:szCs w:val="26"/>
        </w:rPr>
      </w:pPr>
      <w:r w:rsidRPr="005517B2">
        <w:rPr>
          <w:sz w:val="26"/>
          <w:szCs w:val="26"/>
        </w:rPr>
        <w:t>Izglītības un zinātnes ministre</w:t>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t>Mārīte Seile</w:t>
      </w:r>
    </w:p>
    <w:p w:rsidR="00631149" w:rsidRPr="005517B2" w:rsidRDefault="00631149" w:rsidP="00631149">
      <w:pPr>
        <w:rPr>
          <w:sz w:val="26"/>
          <w:szCs w:val="26"/>
        </w:rPr>
      </w:pPr>
    </w:p>
    <w:p w:rsidR="00631149" w:rsidRPr="005517B2" w:rsidRDefault="00631149" w:rsidP="00631149">
      <w:pPr>
        <w:rPr>
          <w:sz w:val="26"/>
          <w:szCs w:val="26"/>
        </w:rPr>
      </w:pPr>
    </w:p>
    <w:p w:rsidR="00631149" w:rsidRPr="005517B2" w:rsidRDefault="00631149" w:rsidP="00631149">
      <w:pPr>
        <w:ind w:firstLine="720"/>
        <w:jc w:val="both"/>
        <w:rPr>
          <w:sz w:val="26"/>
          <w:szCs w:val="26"/>
        </w:rPr>
      </w:pPr>
      <w:r w:rsidRPr="005517B2">
        <w:rPr>
          <w:sz w:val="26"/>
          <w:szCs w:val="26"/>
        </w:rPr>
        <w:t>Vizē:</w:t>
      </w:r>
    </w:p>
    <w:p w:rsidR="00631149" w:rsidRPr="005517B2" w:rsidRDefault="00631149" w:rsidP="00631149">
      <w:pPr>
        <w:ind w:firstLine="720"/>
        <w:jc w:val="both"/>
        <w:rPr>
          <w:sz w:val="26"/>
          <w:szCs w:val="26"/>
        </w:rPr>
      </w:pPr>
      <w:r w:rsidRPr="005517B2">
        <w:rPr>
          <w:sz w:val="26"/>
          <w:szCs w:val="26"/>
        </w:rPr>
        <w:t>Valsts sekretāre</w:t>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t>Sanda Liepiņa</w:t>
      </w:r>
    </w:p>
    <w:p w:rsidR="00CB0AE5" w:rsidRPr="00616E78" w:rsidRDefault="00CB0AE5" w:rsidP="00CB0AE5">
      <w:pPr>
        <w:tabs>
          <w:tab w:val="left" w:pos="1134"/>
          <w:tab w:val="left" w:pos="6946"/>
        </w:tabs>
        <w:ind w:left="720"/>
        <w:jc w:val="both"/>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E555A2" w:rsidRPr="00616E78" w:rsidRDefault="00E555A2" w:rsidP="00E555A2">
      <w:pPr>
        <w:ind w:firstLine="720"/>
        <w:jc w:val="center"/>
        <w:rPr>
          <w:sz w:val="26"/>
          <w:szCs w:val="26"/>
        </w:rPr>
      </w:pPr>
    </w:p>
    <w:p w:rsidR="00E555A2" w:rsidRPr="00BC2571" w:rsidRDefault="00047318" w:rsidP="00E555A2">
      <w:pPr>
        <w:tabs>
          <w:tab w:val="left" w:pos="6804"/>
        </w:tabs>
        <w:ind w:firstLine="720"/>
        <w:rPr>
          <w:sz w:val="20"/>
          <w:szCs w:val="20"/>
        </w:rPr>
      </w:pPr>
      <w:r>
        <w:rPr>
          <w:sz w:val="20"/>
          <w:szCs w:val="20"/>
        </w:rPr>
        <w:t>2</w:t>
      </w:r>
      <w:r w:rsidR="00C12984">
        <w:rPr>
          <w:sz w:val="20"/>
          <w:szCs w:val="20"/>
        </w:rPr>
        <w:t>7</w:t>
      </w:r>
      <w:r w:rsidR="005471D0" w:rsidRPr="00BC2571">
        <w:rPr>
          <w:sz w:val="20"/>
          <w:szCs w:val="20"/>
        </w:rPr>
        <w:t xml:space="preserve">.11.2014. </w:t>
      </w:r>
    </w:p>
    <w:p w:rsidR="00E555A2" w:rsidRPr="00BC2571" w:rsidRDefault="005471D0" w:rsidP="00E555A2">
      <w:pPr>
        <w:tabs>
          <w:tab w:val="left" w:pos="6804"/>
        </w:tabs>
        <w:ind w:firstLine="720"/>
        <w:rPr>
          <w:sz w:val="20"/>
          <w:szCs w:val="20"/>
        </w:rPr>
      </w:pPr>
      <w:r w:rsidRPr="00BC2571">
        <w:rPr>
          <w:sz w:val="20"/>
          <w:szCs w:val="20"/>
        </w:rPr>
        <w:t>1</w:t>
      </w:r>
      <w:r w:rsidR="00805F5B">
        <w:rPr>
          <w:sz w:val="20"/>
          <w:szCs w:val="20"/>
        </w:rPr>
        <w:t>5</w:t>
      </w:r>
      <w:r w:rsidR="00F57940">
        <w:rPr>
          <w:sz w:val="20"/>
          <w:szCs w:val="20"/>
        </w:rPr>
        <w:t>9</w:t>
      </w:r>
      <w:r w:rsidR="00CB37B0">
        <w:rPr>
          <w:sz w:val="20"/>
          <w:szCs w:val="20"/>
        </w:rPr>
        <w:t>7</w:t>
      </w:r>
    </w:p>
    <w:p w:rsidR="008F3B0B" w:rsidRDefault="008F3B0B" w:rsidP="008F3B0B">
      <w:pPr>
        <w:tabs>
          <w:tab w:val="left" w:pos="6804"/>
        </w:tabs>
        <w:ind w:firstLine="720"/>
        <w:rPr>
          <w:sz w:val="20"/>
          <w:szCs w:val="20"/>
        </w:rPr>
      </w:pPr>
      <w:bookmarkStart w:id="1" w:name="OLE_LINK3"/>
      <w:bookmarkStart w:id="2" w:name="OLE_LINK4"/>
      <w:bookmarkStart w:id="3" w:name="OLE_LINK5"/>
      <w:bookmarkStart w:id="4" w:name="OLE_LINK6"/>
      <w:r>
        <w:rPr>
          <w:sz w:val="20"/>
          <w:szCs w:val="20"/>
        </w:rPr>
        <w:t>I.Stūre</w:t>
      </w:r>
    </w:p>
    <w:p w:rsidR="008F3B0B" w:rsidRPr="00BC2571" w:rsidRDefault="008F3B0B" w:rsidP="008F3B0B">
      <w:pPr>
        <w:tabs>
          <w:tab w:val="left" w:pos="6804"/>
        </w:tabs>
        <w:ind w:firstLine="720"/>
        <w:rPr>
          <w:sz w:val="20"/>
          <w:szCs w:val="20"/>
        </w:rPr>
      </w:pPr>
      <w:r>
        <w:rPr>
          <w:sz w:val="20"/>
          <w:szCs w:val="20"/>
        </w:rPr>
        <w:t>Inese.Sture@izm.gov.lv</w:t>
      </w:r>
    </w:p>
    <w:p w:rsidR="00E555A2" w:rsidRPr="00BC2571" w:rsidRDefault="005471D0" w:rsidP="00E555A2">
      <w:pPr>
        <w:tabs>
          <w:tab w:val="left" w:pos="6804"/>
        </w:tabs>
        <w:ind w:firstLine="720"/>
        <w:rPr>
          <w:sz w:val="20"/>
          <w:szCs w:val="20"/>
        </w:rPr>
      </w:pPr>
      <w:r w:rsidRPr="00BC2571">
        <w:rPr>
          <w:sz w:val="20"/>
          <w:szCs w:val="20"/>
        </w:rPr>
        <w:t>I.Miķelsone</w:t>
      </w:r>
    </w:p>
    <w:bookmarkEnd w:id="1"/>
    <w:bookmarkEnd w:id="2"/>
    <w:p w:rsidR="00E555A2" w:rsidRDefault="00805F5B" w:rsidP="00E555A2">
      <w:pPr>
        <w:tabs>
          <w:tab w:val="left" w:pos="6804"/>
        </w:tabs>
        <w:ind w:firstLine="720"/>
        <w:rPr>
          <w:sz w:val="20"/>
          <w:szCs w:val="20"/>
        </w:rPr>
      </w:pPr>
      <w:r>
        <w:rPr>
          <w:sz w:val="20"/>
          <w:szCs w:val="20"/>
        </w:rPr>
        <w:fldChar w:fldCharType="begin"/>
      </w:r>
      <w:r>
        <w:rPr>
          <w:sz w:val="20"/>
          <w:szCs w:val="20"/>
        </w:rPr>
        <w:instrText xml:space="preserve"> HYPERLINK "mailto:</w:instrText>
      </w:r>
      <w:r w:rsidRPr="00BC2571">
        <w:rPr>
          <w:sz w:val="20"/>
          <w:szCs w:val="20"/>
        </w:rPr>
        <w:instrText>Iveta.Mikelsone@izm.gov.lv</w:instrText>
      </w:r>
      <w:r>
        <w:rPr>
          <w:sz w:val="20"/>
          <w:szCs w:val="20"/>
        </w:rPr>
        <w:instrText xml:space="preserve">" </w:instrText>
      </w:r>
      <w:r>
        <w:rPr>
          <w:sz w:val="20"/>
          <w:szCs w:val="20"/>
        </w:rPr>
        <w:fldChar w:fldCharType="separate"/>
      </w:r>
      <w:r w:rsidRPr="00DB0BF7">
        <w:rPr>
          <w:rStyle w:val="Hyperlink"/>
          <w:sz w:val="20"/>
          <w:szCs w:val="20"/>
        </w:rPr>
        <w:t>Iveta.Mikelsone@izm.gov.lv</w:t>
      </w:r>
      <w:r>
        <w:rPr>
          <w:sz w:val="20"/>
          <w:szCs w:val="20"/>
        </w:rPr>
        <w:fldChar w:fldCharType="end"/>
      </w:r>
      <w:bookmarkEnd w:id="3"/>
      <w:bookmarkEnd w:id="4"/>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CB0AE5" w:rsidRPr="00616E78" w:rsidRDefault="00CB0AE5" w:rsidP="00CB0AE5">
      <w:pPr>
        <w:rPr>
          <w:sz w:val="26"/>
          <w:szCs w:val="26"/>
        </w:rPr>
      </w:pPr>
    </w:p>
    <w:p w:rsidR="00516FDA" w:rsidRPr="00616E78" w:rsidRDefault="00516FDA">
      <w:pPr>
        <w:rPr>
          <w:sz w:val="26"/>
          <w:szCs w:val="26"/>
        </w:rPr>
      </w:pPr>
    </w:p>
    <w:sectPr w:rsidR="00516FDA" w:rsidRPr="00616E78" w:rsidSect="005E4462">
      <w:headerReference w:type="default" r:id="rId8"/>
      <w:footerReference w:type="default" r:id="rId9"/>
      <w:footerReference w:type="first" r:id="rId10"/>
      <w:pgSz w:w="11906" w:h="16838"/>
      <w:pgMar w:top="1418" w:right="851" w:bottom="1134" w:left="1701" w:header="709" w:footer="7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0E" w:rsidRDefault="006B2B0E">
      <w:r>
        <w:separator/>
      </w:r>
    </w:p>
  </w:endnote>
  <w:endnote w:type="continuationSeparator" w:id="0">
    <w:p w:rsidR="006B2B0E" w:rsidRDefault="006B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A9" w:rsidRPr="008C53A9" w:rsidRDefault="000B02CA" w:rsidP="008C53A9">
    <w:pPr>
      <w:pStyle w:val="naisc"/>
      <w:spacing w:before="0" w:after="0"/>
      <w:rPr>
        <w:sz w:val="20"/>
        <w:szCs w:val="20"/>
      </w:rPr>
    </w:pPr>
    <w:r w:rsidRPr="000B02CA">
      <w:rPr>
        <w:sz w:val="20"/>
        <w:szCs w:val="20"/>
      </w:rPr>
      <w:t>IZManot_271114_Hotel</w:t>
    </w:r>
    <w:r w:rsidR="00CF6639" w:rsidRPr="008C53A9">
      <w:rPr>
        <w:sz w:val="20"/>
        <w:szCs w:val="20"/>
      </w:rPr>
      <w:t xml:space="preserve">; </w:t>
    </w:r>
    <w:r w:rsidR="008C53A9" w:rsidRPr="008C53A9">
      <w:rPr>
        <w:sz w:val="20"/>
        <w:szCs w:val="20"/>
      </w:rPr>
      <w:t xml:space="preserve">Ministru kabineta rīkojuma projekta „Par studiju virziena atvēršanu sabiedrībā ar ierobežotu atbildību </w:t>
    </w:r>
    <w:r w:rsidR="008C53A9" w:rsidRPr="008C53A9">
      <w:rPr>
        <w:i/>
        <w:sz w:val="20"/>
        <w:szCs w:val="20"/>
      </w:rPr>
      <w:t>„</w:t>
    </w:r>
    <w:r w:rsidR="008C53A9" w:rsidRPr="008C53A9">
      <w:rPr>
        <w:sz w:val="20"/>
        <w:szCs w:val="20"/>
      </w:rPr>
      <w:t>HOTEL SCHOOL”</w:t>
    </w:r>
    <w:r w:rsidR="008C53A9" w:rsidRPr="008C53A9">
      <w:rPr>
        <w:i/>
        <w:sz w:val="20"/>
        <w:szCs w:val="20"/>
      </w:rPr>
      <w:t xml:space="preserve"> </w:t>
    </w:r>
    <w:r w:rsidR="008C53A9" w:rsidRPr="008C53A9">
      <w:rPr>
        <w:sz w:val="20"/>
        <w:szCs w:val="20"/>
      </w:rPr>
      <w:t xml:space="preserve">Viesnīcu biznesa koledžā” </w:t>
    </w:r>
    <w:r w:rsidR="008C53A9" w:rsidRPr="008C53A9">
      <w:rPr>
        <w:bCs/>
        <w:sz w:val="20"/>
        <w:szCs w:val="20"/>
      </w:rPr>
      <w:t>sākotnējās ietekmes novērtējuma ziņojums (anotācija)</w:t>
    </w:r>
  </w:p>
  <w:p w:rsidR="00AB23DE" w:rsidRPr="005C6650" w:rsidRDefault="006B2B0E" w:rsidP="008C53A9">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Pr="00C32E9C" w:rsidRDefault="000B02CA" w:rsidP="00C32E9C">
    <w:pPr>
      <w:pStyle w:val="Footer"/>
      <w:jc w:val="both"/>
      <w:rPr>
        <w:sz w:val="20"/>
        <w:szCs w:val="20"/>
      </w:rPr>
    </w:pPr>
    <w:r w:rsidRPr="000B02CA">
      <w:rPr>
        <w:sz w:val="20"/>
        <w:szCs w:val="20"/>
      </w:rPr>
      <w:t>IZManot_271114_Hotel</w:t>
    </w:r>
    <w:r w:rsidR="00CF6639" w:rsidRPr="00EE2228">
      <w:rPr>
        <w:sz w:val="20"/>
        <w:szCs w:val="20"/>
      </w:rPr>
      <w:t xml:space="preserve">; Ministru kabineta rīkojuma projekta „Par studiju virziena atvēršanu </w:t>
    </w:r>
    <w:r w:rsidR="00CF6639">
      <w:rPr>
        <w:sz w:val="20"/>
        <w:szCs w:val="20"/>
      </w:rPr>
      <w:t xml:space="preserve">sabiedrībā ar ierobežotu atbildību “HOTEL SCHOOL” Viesnīcu biznesa koledžā” </w:t>
    </w:r>
    <w:r w:rsidR="00CF6639" w:rsidRPr="00EE2228">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0E" w:rsidRDefault="006B2B0E">
      <w:r>
        <w:separator/>
      </w:r>
    </w:p>
  </w:footnote>
  <w:footnote w:type="continuationSeparator" w:id="0">
    <w:p w:rsidR="006B2B0E" w:rsidRDefault="006B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Default="005471D0">
    <w:pPr>
      <w:pStyle w:val="Header"/>
      <w:jc w:val="center"/>
    </w:pPr>
    <w:r>
      <w:fldChar w:fldCharType="begin"/>
    </w:r>
    <w:r w:rsidR="00CF6639">
      <w:instrText xml:space="preserve"> PAGE   \* MERGEFORMAT </w:instrText>
    </w:r>
    <w:r>
      <w:fldChar w:fldCharType="separate"/>
    </w:r>
    <w:r w:rsidR="00150E48">
      <w:rPr>
        <w:noProof/>
      </w:rPr>
      <w:t>7</w:t>
    </w:r>
    <w:r>
      <w:rPr>
        <w:noProof/>
      </w:rPr>
      <w:fldChar w:fldCharType="end"/>
    </w:r>
  </w:p>
  <w:p w:rsidR="00AB23DE" w:rsidRDefault="006B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C15"/>
    <w:multiLevelType w:val="multilevel"/>
    <w:tmpl w:val="8682AE04"/>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5600704"/>
    <w:multiLevelType w:val="hybridMultilevel"/>
    <w:tmpl w:val="394C9D4C"/>
    <w:lvl w:ilvl="0" w:tplc="B01212B0">
      <w:start w:val="1"/>
      <w:numFmt w:val="decimal"/>
      <w:lvlText w:val="%1."/>
      <w:lvlJc w:val="left"/>
      <w:pPr>
        <w:ind w:left="660" w:hanging="360"/>
      </w:pPr>
      <w:rPr>
        <w:rFonts w:hint="default"/>
        <w:color w:val="auto"/>
        <w:sz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568563DD"/>
    <w:multiLevelType w:val="hybridMultilevel"/>
    <w:tmpl w:val="64B864EE"/>
    <w:lvl w:ilvl="0" w:tplc="24EA7DB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03C1FCF"/>
    <w:multiLevelType w:val="multilevel"/>
    <w:tmpl w:val="8682AE04"/>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0AE5"/>
    <w:rsid w:val="000146FD"/>
    <w:rsid w:val="00022BF9"/>
    <w:rsid w:val="00025200"/>
    <w:rsid w:val="00047318"/>
    <w:rsid w:val="00086470"/>
    <w:rsid w:val="000A199D"/>
    <w:rsid w:val="000A30FB"/>
    <w:rsid w:val="000B02CA"/>
    <w:rsid w:val="000B0BCC"/>
    <w:rsid w:val="000B1928"/>
    <w:rsid w:val="000B375E"/>
    <w:rsid w:val="000D4AB5"/>
    <w:rsid w:val="000D5D9C"/>
    <w:rsid w:val="000E4BAA"/>
    <w:rsid w:val="00107020"/>
    <w:rsid w:val="00111551"/>
    <w:rsid w:val="001175FD"/>
    <w:rsid w:val="001450B3"/>
    <w:rsid w:val="00150E48"/>
    <w:rsid w:val="00185B89"/>
    <w:rsid w:val="001914D2"/>
    <w:rsid w:val="00195C57"/>
    <w:rsid w:val="001A1FF7"/>
    <w:rsid w:val="001A33C6"/>
    <w:rsid w:val="001A6A58"/>
    <w:rsid w:val="001E039F"/>
    <w:rsid w:val="001E3494"/>
    <w:rsid w:val="001E55F5"/>
    <w:rsid w:val="00206925"/>
    <w:rsid w:val="00207DB0"/>
    <w:rsid w:val="002236EA"/>
    <w:rsid w:val="002A2815"/>
    <w:rsid w:val="002A480A"/>
    <w:rsid w:val="002B0C9F"/>
    <w:rsid w:val="002D3413"/>
    <w:rsid w:val="0030140F"/>
    <w:rsid w:val="0031657E"/>
    <w:rsid w:val="00330B6C"/>
    <w:rsid w:val="0036455D"/>
    <w:rsid w:val="00371FD4"/>
    <w:rsid w:val="0037679A"/>
    <w:rsid w:val="00395D99"/>
    <w:rsid w:val="003A2FFA"/>
    <w:rsid w:val="003B7246"/>
    <w:rsid w:val="003B736E"/>
    <w:rsid w:val="003E726D"/>
    <w:rsid w:val="003F7F4B"/>
    <w:rsid w:val="0044468D"/>
    <w:rsid w:val="00445932"/>
    <w:rsid w:val="00464029"/>
    <w:rsid w:val="00476724"/>
    <w:rsid w:val="00477F6A"/>
    <w:rsid w:val="00496CB0"/>
    <w:rsid w:val="004B5E44"/>
    <w:rsid w:val="00500CC5"/>
    <w:rsid w:val="00512203"/>
    <w:rsid w:val="00516FDA"/>
    <w:rsid w:val="005471D0"/>
    <w:rsid w:val="00553D87"/>
    <w:rsid w:val="00566A6C"/>
    <w:rsid w:val="005914A0"/>
    <w:rsid w:val="00592226"/>
    <w:rsid w:val="005B4282"/>
    <w:rsid w:val="005D5F55"/>
    <w:rsid w:val="005D7826"/>
    <w:rsid w:val="005E426F"/>
    <w:rsid w:val="006127CD"/>
    <w:rsid w:val="00616E78"/>
    <w:rsid w:val="00631149"/>
    <w:rsid w:val="00633E98"/>
    <w:rsid w:val="00634A2A"/>
    <w:rsid w:val="006369D3"/>
    <w:rsid w:val="006421D8"/>
    <w:rsid w:val="00656596"/>
    <w:rsid w:val="0068526A"/>
    <w:rsid w:val="006B2B0E"/>
    <w:rsid w:val="006D176C"/>
    <w:rsid w:val="006D3970"/>
    <w:rsid w:val="0071626F"/>
    <w:rsid w:val="00724248"/>
    <w:rsid w:val="0074098F"/>
    <w:rsid w:val="007506F5"/>
    <w:rsid w:val="007759A8"/>
    <w:rsid w:val="00796D1C"/>
    <w:rsid w:val="007D3899"/>
    <w:rsid w:val="007F5693"/>
    <w:rsid w:val="00801BD3"/>
    <w:rsid w:val="00805DB9"/>
    <w:rsid w:val="00805F5B"/>
    <w:rsid w:val="00807344"/>
    <w:rsid w:val="00837B5E"/>
    <w:rsid w:val="00844402"/>
    <w:rsid w:val="00871363"/>
    <w:rsid w:val="008A7D92"/>
    <w:rsid w:val="008B33AB"/>
    <w:rsid w:val="008C53A9"/>
    <w:rsid w:val="008D21F3"/>
    <w:rsid w:val="008D6E8B"/>
    <w:rsid w:val="008E34CD"/>
    <w:rsid w:val="008F3B0B"/>
    <w:rsid w:val="00906070"/>
    <w:rsid w:val="00906DC5"/>
    <w:rsid w:val="00922297"/>
    <w:rsid w:val="00933A5C"/>
    <w:rsid w:val="00990E94"/>
    <w:rsid w:val="009B4AAC"/>
    <w:rsid w:val="009C532E"/>
    <w:rsid w:val="009D04CA"/>
    <w:rsid w:val="009D491D"/>
    <w:rsid w:val="009F5EDF"/>
    <w:rsid w:val="00A008D7"/>
    <w:rsid w:val="00A07311"/>
    <w:rsid w:val="00A10285"/>
    <w:rsid w:val="00A26CAC"/>
    <w:rsid w:val="00A27D5E"/>
    <w:rsid w:val="00A301D6"/>
    <w:rsid w:val="00A310D7"/>
    <w:rsid w:val="00A46C7A"/>
    <w:rsid w:val="00A7556A"/>
    <w:rsid w:val="00AB2B09"/>
    <w:rsid w:val="00AD0F93"/>
    <w:rsid w:val="00AE073B"/>
    <w:rsid w:val="00AF710E"/>
    <w:rsid w:val="00B00D76"/>
    <w:rsid w:val="00B31F4C"/>
    <w:rsid w:val="00B451CC"/>
    <w:rsid w:val="00B7048B"/>
    <w:rsid w:val="00B7792D"/>
    <w:rsid w:val="00B86937"/>
    <w:rsid w:val="00B92E6D"/>
    <w:rsid w:val="00B930A3"/>
    <w:rsid w:val="00BC2571"/>
    <w:rsid w:val="00BC7479"/>
    <w:rsid w:val="00C1068F"/>
    <w:rsid w:val="00C12984"/>
    <w:rsid w:val="00C24BD0"/>
    <w:rsid w:val="00C26F63"/>
    <w:rsid w:val="00C602D7"/>
    <w:rsid w:val="00CB0AE5"/>
    <w:rsid w:val="00CB37B0"/>
    <w:rsid w:val="00CC0177"/>
    <w:rsid w:val="00CC5A98"/>
    <w:rsid w:val="00CD4D44"/>
    <w:rsid w:val="00CF2506"/>
    <w:rsid w:val="00CF4F44"/>
    <w:rsid w:val="00CF6639"/>
    <w:rsid w:val="00CF70ED"/>
    <w:rsid w:val="00D1106C"/>
    <w:rsid w:val="00D1702E"/>
    <w:rsid w:val="00D32212"/>
    <w:rsid w:val="00D340CC"/>
    <w:rsid w:val="00D55C71"/>
    <w:rsid w:val="00D573CB"/>
    <w:rsid w:val="00D62886"/>
    <w:rsid w:val="00D67887"/>
    <w:rsid w:val="00D709AB"/>
    <w:rsid w:val="00D76DD2"/>
    <w:rsid w:val="00D82215"/>
    <w:rsid w:val="00D8282A"/>
    <w:rsid w:val="00D876BD"/>
    <w:rsid w:val="00D960AE"/>
    <w:rsid w:val="00DA302C"/>
    <w:rsid w:val="00DC283D"/>
    <w:rsid w:val="00DC6808"/>
    <w:rsid w:val="00DF1DFE"/>
    <w:rsid w:val="00E116BA"/>
    <w:rsid w:val="00E2310B"/>
    <w:rsid w:val="00E26640"/>
    <w:rsid w:val="00E422E3"/>
    <w:rsid w:val="00E4666C"/>
    <w:rsid w:val="00E54C23"/>
    <w:rsid w:val="00E555A2"/>
    <w:rsid w:val="00E66E3B"/>
    <w:rsid w:val="00E67489"/>
    <w:rsid w:val="00E7665A"/>
    <w:rsid w:val="00E776C5"/>
    <w:rsid w:val="00EA04C9"/>
    <w:rsid w:val="00EB130A"/>
    <w:rsid w:val="00EC1597"/>
    <w:rsid w:val="00EF6E53"/>
    <w:rsid w:val="00F01185"/>
    <w:rsid w:val="00F11617"/>
    <w:rsid w:val="00F57940"/>
    <w:rsid w:val="00F603FF"/>
    <w:rsid w:val="00F721B4"/>
    <w:rsid w:val="00F762A2"/>
    <w:rsid w:val="00FB23D8"/>
    <w:rsid w:val="00FB38B4"/>
    <w:rsid w:val="00FB5040"/>
    <w:rsid w:val="00FC3731"/>
    <w:rsid w:val="00FC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296FA34-1C05-47EC-AC0E-60A571C3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E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837B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B0AE5"/>
    <w:pPr>
      <w:spacing w:before="100" w:beforeAutospacing="1" w:after="100" w:afterAutospacing="1"/>
    </w:pPr>
  </w:style>
  <w:style w:type="paragraph" w:customStyle="1" w:styleId="naisf">
    <w:name w:val="naisf"/>
    <w:basedOn w:val="Normal"/>
    <w:rsid w:val="00CB0AE5"/>
    <w:pPr>
      <w:spacing w:before="100" w:beforeAutospacing="1" w:after="100" w:afterAutospacing="1"/>
    </w:pPr>
  </w:style>
  <w:style w:type="paragraph" w:styleId="Footer">
    <w:name w:val="footer"/>
    <w:basedOn w:val="Normal"/>
    <w:link w:val="FooterChar"/>
    <w:uiPriority w:val="99"/>
    <w:rsid w:val="00CB0AE5"/>
    <w:pPr>
      <w:tabs>
        <w:tab w:val="center" w:pos="4153"/>
        <w:tab w:val="right" w:pos="8306"/>
      </w:tabs>
    </w:pPr>
  </w:style>
  <w:style w:type="character" w:customStyle="1" w:styleId="FooterChar">
    <w:name w:val="Footer Char"/>
    <w:basedOn w:val="DefaultParagraphFont"/>
    <w:link w:val="Footer"/>
    <w:uiPriority w:val="99"/>
    <w:rsid w:val="00CB0AE5"/>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B0AE5"/>
    <w:pPr>
      <w:tabs>
        <w:tab w:val="center" w:pos="4153"/>
        <w:tab w:val="right" w:pos="8306"/>
      </w:tabs>
    </w:pPr>
  </w:style>
  <w:style w:type="character" w:customStyle="1" w:styleId="HeaderChar">
    <w:name w:val="Header Char"/>
    <w:basedOn w:val="DefaultParagraphFont"/>
    <w:link w:val="Header"/>
    <w:uiPriority w:val="99"/>
    <w:rsid w:val="00CB0AE5"/>
    <w:rPr>
      <w:rFonts w:ascii="Times New Roman" w:eastAsia="Times New Roman" w:hAnsi="Times New Roman" w:cs="Times New Roman"/>
      <w:sz w:val="24"/>
      <w:szCs w:val="24"/>
      <w:lang w:eastAsia="lv-LV"/>
    </w:rPr>
  </w:style>
  <w:style w:type="paragraph" w:customStyle="1" w:styleId="StyleRight">
    <w:name w:val="Style Right"/>
    <w:basedOn w:val="Normal"/>
    <w:rsid w:val="00CB0AE5"/>
    <w:pPr>
      <w:spacing w:after="120"/>
      <w:ind w:firstLine="720"/>
      <w:jc w:val="right"/>
    </w:pPr>
    <w:rPr>
      <w:sz w:val="28"/>
      <w:szCs w:val="28"/>
      <w:lang w:eastAsia="en-US"/>
    </w:rPr>
  </w:style>
  <w:style w:type="paragraph" w:styleId="ListParagraph">
    <w:name w:val="List Paragraph"/>
    <w:basedOn w:val="Normal"/>
    <w:uiPriority w:val="99"/>
    <w:qFormat/>
    <w:rsid w:val="00CB0AE5"/>
    <w:pPr>
      <w:ind w:left="720"/>
      <w:contextualSpacing/>
    </w:pPr>
  </w:style>
  <w:style w:type="paragraph" w:styleId="BalloonText">
    <w:name w:val="Balloon Text"/>
    <w:basedOn w:val="Normal"/>
    <w:link w:val="BalloonTextChar"/>
    <w:uiPriority w:val="99"/>
    <w:semiHidden/>
    <w:unhideWhenUsed/>
    <w:rsid w:val="003E726D"/>
    <w:rPr>
      <w:rFonts w:ascii="Tahoma" w:hAnsi="Tahoma" w:cs="Tahoma"/>
      <w:sz w:val="16"/>
      <w:szCs w:val="16"/>
    </w:rPr>
  </w:style>
  <w:style w:type="character" w:customStyle="1" w:styleId="BalloonTextChar">
    <w:name w:val="Balloon Text Char"/>
    <w:basedOn w:val="DefaultParagraphFont"/>
    <w:link w:val="BalloonText"/>
    <w:uiPriority w:val="99"/>
    <w:semiHidden/>
    <w:rsid w:val="003E726D"/>
    <w:rPr>
      <w:rFonts w:ascii="Tahoma" w:eastAsia="Times New Roman" w:hAnsi="Tahoma" w:cs="Tahoma"/>
      <w:sz w:val="16"/>
      <w:szCs w:val="16"/>
      <w:lang w:eastAsia="lv-LV"/>
    </w:rPr>
  </w:style>
  <w:style w:type="character" w:styleId="Strong">
    <w:name w:val="Strong"/>
    <w:uiPriority w:val="22"/>
    <w:qFormat/>
    <w:rsid w:val="005D5F55"/>
    <w:rPr>
      <w:b/>
      <w:bCs/>
    </w:rPr>
  </w:style>
  <w:style w:type="character" w:styleId="FootnoteReference">
    <w:name w:val="footnote reference"/>
    <w:rsid w:val="00837B5E"/>
    <w:rPr>
      <w:rFonts w:cs="Times New Roman"/>
      <w:vertAlign w:val="superscript"/>
    </w:rPr>
  </w:style>
  <w:style w:type="paragraph" w:styleId="FootnoteText">
    <w:name w:val="footnote text"/>
    <w:basedOn w:val="Normal"/>
    <w:link w:val="FootnoteTextChar"/>
    <w:rsid w:val="00837B5E"/>
    <w:rPr>
      <w:sz w:val="20"/>
      <w:szCs w:val="20"/>
      <w:lang w:val="en-US" w:eastAsia="en-US"/>
    </w:rPr>
  </w:style>
  <w:style w:type="character" w:customStyle="1" w:styleId="FootnoteTextChar">
    <w:name w:val="Footnote Text Char"/>
    <w:basedOn w:val="DefaultParagraphFont"/>
    <w:link w:val="FootnoteText"/>
    <w:rsid w:val="00837B5E"/>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837B5E"/>
    <w:rPr>
      <w:rFonts w:asciiTheme="majorHAnsi" w:eastAsiaTheme="majorEastAsia" w:hAnsiTheme="majorHAnsi" w:cstheme="majorBidi"/>
      <w:b/>
      <w:bCs/>
      <w:color w:val="5B9BD5" w:themeColor="accent1"/>
      <w:sz w:val="26"/>
      <w:szCs w:val="26"/>
      <w:lang w:eastAsia="lv-LV"/>
    </w:rPr>
  </w:style>
  <w:style w:type="character" w:styleId="CommentReference">
    <w:name w:val="annotation reference"/>
    <w:basedOn w:val="DefaultParagraphFont"/>
    <w:uiPriority w:val="99"/>
    <w:semiHidden/>
    <w:unhideWhenUsed/>
    <w:rsid w:val="008B33AB"/>
    <w:rPr>
      <w:sz w:val="16"/>
      <w:szCs w:val="16"/>
    </w:rPr>
  </w:style>
  <w:style w:type="paragraph" w:styleId="CommentText">
    <w:name w:val="annotation text"/>
    <w:basedOn w:val="Normal"/>
    <w:link w:val="CommentTextChar"/>
    <w:uiPriority w:val="99"/>
    <w:semiHidden/>
    <w:unhideWhenUsed/>
    <w:rsid w:val="008B33AB"/>
    <w:rPr>
      <w:sz w:val="20"/>
      <w:szCs w:val="20"/>
    </w:rPr>
  </w:style>
  <w:style w:type="character" w:customStyle="1" w:styleId="CommentTextChar">
    <w:name w:val="Comment Text Char"/>
    <w:basedOn w:val="DefaultParagraphFont"/>
    <w:link w:val="CommentText"/>
    <w:uiPriority w:val="99"/>
    <w:semiHidden/>
    <w:rsid w:val="008B33A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33AB"/>
    <w:rPr>
      <w:b/>
      <w:bCs/>
    </w:rPr>
  </w:style>
  <w:style w:type="character" w:customStyle="1" w:styleId="CommentSubjectChar">
    <w:name w:val="Comment Subject Char"/>
    <w:basedOn w:val="CommentTextChar"/>
    <w:link w:val="CommentSubject"/>
    <w:uiPriority w:val="99"/>
    <w:semiHidden/>
    <w:rsid w:val="008B33AB"/>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805F5B"/>
    <w:rPr>
      <w:color w:val="0563C1" w:themeColor="hyperlink"/>
      <w:u w:val="single"/>
    </w:rPr>
  </w:style>
  <w:style w:type="paragraph" w:styleId="BodyText2">
    <w:name w:val="Body Text 2"/>
    <w:basedOn w:val="Normal"/>
    <w:link w:val="BodyText2Char"/>
    <w:rsid w:val="00631149"/>
    <w:pPr>
      <w:spacing w:after="120" w:line="480" w:lineRule="auto"/>
    </w:pPr>
    <w:rPr>
      <w:lang w:eastAsia="en-US"/>
    </w:rPr>
  </w:style>
  <w:style w:type="character" w:customStyle="1" w:styleId="BodyText2Char">
    <w:name w:val="Body Text 2 Char"/>
    <w:basedOn w:val="DefaultParagraphFont"/>
    <w:link w:val="BodyText2"/>
    <w:rsid w:val="006311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3745">
      <w:bodyDiv w:val="1"/>
      <w:marLeft w:val="0"/>
      <w:marRight w:val="0"/>
      <w:marTop w:val="0"/>
      <w:marBottom w:val="0"/>
      <w:divBdr>
        <w:top w:val="none" w:sz="0" w:space="0" w:color="auto"/>
        <w:left w:val="none" w:sz="0" w:space="0" w:color="auto"/>
        <w:bottom w:val="none" w:sz="0" w:space="0" w:color="auto"/>
        <w:right w:val="none" w:sz="0" w:space="0" w:color="auto"/>
      </w:divBdr>
      <w:divsChild>
        <w:div w:id="134027938">
          <w:marLeft w:val="0"/>
          <w:marRight w:val="0"/>
          <w:marTop w:val="0"/>
          <w:marBottom w:val="0"/>
          <w:divBdr>
            <w:top w:val="none" w:sz="0" w:space="0" w:color="auto"/>
            <w:left w:val="none" w:sz="0" w:space="0" w:color="auto"/>
            <w:bottom w:val="none" w:sz="0" w:space="0" w:color="auto"/>
            <w:right w:val="none" w:sz="0" w:space="0" w:color="auto"/>
          </w:divBdr>
          <w:divsChild>
            <w:div w:id="335576443">
              <w:marLeft w:val="0"/>
              <w:marRight w:val="0"/>
              <w:marTop w:val="0"/>
              <w:marBottom w:val="0"/>
              <w:divBdr>
                <w:top w:val="none" w:sz="0" w:space="0" w:color="auto"/>
                <w:left w:val="none" w:sz="0" w:space="0" w:color="auto"/>
                <w:bottom w:val="none" w:sz="0" w:space="0" w:color="auto"/>
                <w:right w:val="none" w:sz="0" w:space="0" w:color="auto"/>
              </w:divBdr>
              <w:divsChild>
                <w:div w:id="2103332286">
                  <w:marLeft w:val="0"/>
                  <w:marRight w:val="0"/>
                  <w:marTop w:val="0"/>
                  <w:marBottom w:val="0"/>
                  <w:divBdr>
                    <w:top w:val="none" w:sz="0" w:space="0" w:color="auto"/>
                    <w:left w:val="none" w:sz="0" w:space="0" w:color="auto"/>
                    <w:bottom w:val="none" w:sz="0" w:space="0" w:color="auto"/>
                    <w:right w:val="none" w:sz="0" w:space="0" w:color="auto"/>
                  </w:divBdr>
                  <w:divsChild>
                    <w:div w:id="1739210826">
                      <w:marLeft w:val="0"/>
                      <w:marRight w:val="0"/>
                      <w:marTop w:val="0"/>
                      <w:marBottom w:val="0"/>
                      <w:divBdr>
                        <w:top w:val="none" w:sz="0" w:space="0" w:color="auto"/>
                        <w:left w:val="none" w:sz="0" w:space="0" w:color="auto"/>
                        <w:bottom w:val="none" w:sz="0" w:space="0" w:color="auto"/>
                        <w:right w:val="none" w:sz="0" w:space="0" w:color="auto"/>
                      </w:divBdr>
                      <w:divsChild>
                        <w:div w:id="2036999103">
                          <w:marLeft w:val="0"/>
                          <w:marRight w:val="0"/>
                          <w:marTop w:val="0"/>
                          <w:marBottom w:val="0"/>
                          <w:divBdr>
                            <w:top w:val="none" w:sz="0" w:space="0" w:color="auto"/>
                            <w:left w:val="none" w:sz="0" w:space="0" w:color="auto"/>
                            <w:bottom w:val="none" w:sz="0" w:space="0" w:color="auto"/>
                            <w:right w:val="none" w:sz="0" w:space="0" w:color="auto"/>
                          </w:divBdr>
                          <w:divsChild>
                            <w:div w:id="2822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DF5D-1092-45CF-873A-5FD44C6B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8787</Words>
  <Characters>5010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Miķelsone</dc:creator>
  <cp:lastModifiedBy>Inese Stūre</cp:lastModifiedBy>
  <cp:revision>113</cp:revision>
  <cp:lastPrinted>2014-11-26T14:11:00Z</cp:lastPrinted>
  <dcterms:created xsi:type="dcterms:W3CDTF">2014-11-11T14:37:00Z</dcterms:created>
  <dcterms:modified xsi:type="dcterms:W3CDTF">2014-11-27T09:26:00Z</dcterms:modified>
</cp:coreProperties>
</file>