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89" w:rsidRPr="00953446" w:rsidRDefault="00EC7DD9" w:rsidP="00953446">
      <w:pPr>
        <w:pStyle w:val="naislab"/>
        <w:spacing w:before="0" w:after="0"/>
        <w:jc w:val="center"/>
        <w:rPr>
          <w:b/>
          <w:sz w:val="28"/>
          <w:szCs w:val="28"/>
        </w:rPr>
      </w:pPr>
      <w:r w:rsidRPr="00953446">
        <w:rPr>
          <w:b/>
          <w:sz w:val="28"/>
          <w:szCs w:val="28"/>
        </w:rPr>
        <w:t xml:space="preserve">Ministru kabineta noteikumu projekta  </w:t>
      </w:r>
    </w:p>
    <w:p w:rsidR="00140C89" w:rsidRPr="00953446" w:rsidRDefault="00EC7DD9" w:rsidP="00140C89">
      <w:pPr>
        <w:pStyle w:val="BodyText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953446">
        <w:rPr>
          <w:b/>
          <w:sz w:val="28"/>
          <w:szCs w:val="28"/>
        </w:rPr>
        <w:t xml:space="preserve">“Grozījums </w:t>
      </w:r>
      <w:r w:rsidR="00140C89" w:rsidRPr="00953446">
        <w:rPr>
          <w:b/>
          <w:sz w:val="28"/>
          <w:szCs w:val="28"/>
        </w:rPr>
        <w:t>Ministru kabineta 20</w:t>
      </w:r>
      <w:r w:rsidR="001C5988" w:rsidRPr="00953446">
        <w:rPr>
          <w:b/>
          <w:sz w:val="28"/>
          <w:szCs w:val="28"/>
        </w:rPr>
        <w:t>0</w:t>
      </w:r>
      <w:r w:rsidR="00140C89" w:rsidRPr="00953446">
        <w:rPr>
          <w:b/>
          <w:sz w:val="28"/>
          <w:szCs w:val="28"/>
        </w:rPr>
        <w:t>4.gada 17.augusta noteikumos Nr.719 „Studiju un zinātnes administrācijas nolikums”</w:t>
      </w:r>
      <w:bookmarkEnd w:id="0"/>
      <w:bookmarkEnd w:id="1"/>
      <w:r w:rsidRPr="00953446">
        <w:rPr>
          <w:b/>
          <w:sz w:val="28"/>
          <w:szCs w:val="28"/>
        </w:rPr>
        <w:t>”</w:t>
      </w:r>
      <w:r w:rsidR="00140C89" w:rsidRPr="00953446">
        <w:rPr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140C89" w:rsidRPr="00953446">
          <w:rPr>
            <w:b/>
            <w:sz w:val="28"/>
            <w:szCs w:val="28"/>
          </w:rPr>
          <w:t>ziņojums</w:t>
        </w:r>
      </w:smartTag>
      <w:r w:rsidR="00140C89" w:rsidRPr="00953446">
        <w:rPr>
          <w:b/>
          <w:sz w:val="28"/>
          <w:szCs w:val="28"/>
        </w:rPr>
        <w:t xml:space="preserve"> (anotācija) </w:t>
      </w: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41"/>
        <w:gridCol w:w="5670"/>
      </w:tblGrid>
      <w:tr w:rsidR="00953446" w:rsidRPr="00953446" w:rsidTr="00BB541D">
        <w:tc>
          <w:tcPr>
            <w:tcW w:w="9361" w:type="dxa"/>
            <w:gridSpan w:val="3"/>
            <w:vAlign w:val="center"/>
          </w:tcPr>
          <w:p w:rsidR="00140C89" w:rsidRPr="00953446" w:rsidRDefault="00140C89" w:rsidP="00BB541D">
            <w:pPr>
              <w:pStyle w:val="naisnod"/>
              <w:spacing w:before="0" w:after="0"/>
            </w:pPr>
            <w:r w:rsidRPr="00953446">
              <w:t>I. Tiesību akta projekta izstrādes nepieciešamība</w:t>
            </w:r>
          </w:p>
        </w:tc>
      </w:tr>
      <w:tr w:rsidR="00953446" w:rsidRPr="00953446" w:rsidTr="00BB541D">
        <w:trPr>
          <w:trHeight w:val="630"/>
        </w:trPr>
        <w:tc>
          <w:tcPr>
            <w:tcW w:w="550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t>1.</w:t>
            </w:r>
          </w:p>
        </w:tc>
        <w:tc>
          <w:tcPr>
            <w:tcW w:w="3141" w:type="dxa"/>
          </w:tcPr>
          <w:p w:rsidR="00140C89" w:rsidRPr="00953446" w:rsidRDefault="00140C89" w:rsidP="00BB541D">
            <w:pPr>
              <w:pStyle w:val="naiskr"/>
              <w:spacing w:before="0" w:after="0"/>
              <w:ind w:hanging="10"/>
              <w:rPr>
                <w:iCs/>
              </w:rPr>
            </w:pPr>
            <w:r w:rsidRPr="00953446">
              <w:rPr>
                <w:iCs/>
              </w:rPr>
              <w:t>Pamatojums</w:t>
            </w:r>
          </w:p>
        </w:tc>
        <w:tc>
          <w:tcPr>
            <w:tcW w:w="5670" w:type="dxa"/>
          </w:tcPr>
          <w:p w:rsidR="00140C89" w:rsidRPr="00953446" w:rsidRDefault="00140C89" w:rsidP="00B75143">
            <w:pPr>
              <w:pStyle w:val="BodyText"/>
              <w:jc w:val="both"/>
              <w:rPr>
                <w:b/>
              </w:rPr>
            </w:pPr>
            <w:r w:rsidRPr="00953446">
              <w:t>Ministru kabineta noteikumu projekts „</w:t>
            </w:r>
            <w:r w:rsidR="00B75143" w:rsidRPr="00953446">
              <w:t xml:space="preserve">Grozījums </w:t>
            </w:r>
            <w:r w:rsidRPr="00953446">
              <w:t>Ministru kabineta 20</w:t>
            </w:r>
            <w:r w:rsidR="001C5988" w:rsidRPr="00953446">
              <w:t>0</w:t>
            </w:r>
            <w:r w:rsidRPr="00953446">
              <w:t>4.gada 17.augusta noteikumos Nr.719 „Studiju un zinātnes administrācijas nolikums”</w:t>
            </w:r>
            <w:r w:rsidR="00A613AE" w:rsidRPr="00953446">
              <w:t>”</w:t>
            </w:r>
            <w:r w:rsidRPr="00953446">
              <w:rPr>
                <w:b/>
              </w:rPr>
              <w:t xml:space="preserve"> </w:t>
            </w:r>
            <w:r w:rsidRPr="00953446">
              <w:rPr>
                <w:bCs/>
              </w:rPr>
              <w:t xml:space="preserve">(turpmāk – noteikumu projekts) </w:t>
            </w:r>
            <w:r w:rsidRPr="00953446">
              <w:t xml:space="preserve">izstrādāts, </w:t>
            </w:r>
            <w:r w:rsidR="00823EE3" w:rsidRPr="00953446">
              <w:t xml:space="preserve">pamatojoties uz </w:t>
            </w:r>
            <w:r w:rsidR="00EC7DD9" w:rsidRPr="00953446">
              <w:t xml:space="preserve">Ministru kabineta 2014.gada 23.septembra sēdes </w:t>
            </w:r>
            <w:proofErr w:type="spellStart"/>
            <w:r w:rsidR="00EC7DD9" w:rsidRPr="00953446">
              <w:t>protokollēmuma</w:t>
            </w:r>
            <w:proofErr w:type="spellEnd"/>
            <w:r w:rsidR="00EC7DD9" w:rsidRPr="00953446">
              <w:t xml:space="preserve"> (prot.</w:t>
            </w:r>
            <w:r w:rsidR="00A613AE" w:rsidRPr="00953446">
              <w:t xml:space="preserve"> </w:t>
            </w:r>
            <w:r w:rsidR="00EC7DD9" w:rsidRPr="00953446">
              <w:t>Nr.50 42.§) “Noteikumu projekts “Grozījumi Ministru kabineta 2012.gada 18.decembra noteikumos Nr.934 “Valsts izglītības attīstības aģentūras nolikums””</w:t>
            </w:r>
            <w:r w:rsidR="00823EE3" w:rsidRPr="00953446">
              <w:t xml:space="preserve"> </w:t>
            </w:r>
            <w:r w:rsidR="00B75143" w:rsidRPr="00953446">
              <w:t xml:space="preserve">(turpmāk – MK sēdes </w:t>
            </w:r>
            <w:proofErr w:type="spellStart"/>
            <w:r w:rsidR="00B75143" w:rsidRPr="00953446">
              <w:t>protokollēmums</w:t>
            </w:r>
            <w:proofErr w:type="spellEnd"/>
            <w:r w:rsidR="00B75143" w:rsidRPr="00953446">
              <w:t xml:space="preserve">) </w:t>
            </w:r>
            <w:r w:rsidR="00823EE3" w:rsidRPr="00953446">
              <w:t xml:space="preserve">2.punktā </w:t>
            </w:r>
            <w:r w:rsidR="00EC7DD9" w:rsidRPr="00953446">
              <w:t>Izglītības un zinātnes ministrijai doto uzdevumu</w:t>
            </w:r>
            <w:r w:rsidR="00823EE3" w:rsidRPr="00953446">
              <w:t>.</w:t>
            </w:r>
            <w:r w:rsidR="00EC7DD9" w:rsidRPr="00953446">
              <w:t xml:space="preserve"> </w:t>
            </w:r>
            <w:r w:rsidR="00EC7DD9" w:rsidRPr="00953446">
              <w:rPr>
                <w:rFonts w:ascii="Tahoma" w:hAnsi="Tahoma" w:cs="Tahoma"/>
              </w:rPr>
              <w:t xml:space="preserve"> </w:t>
            </w:r>
          </w:p>
        </w:tc>
      </w:tr>
      <w:tr w:rsidR="00953446" w:rsidRPr="00953446" w:rsidTr="006144CB">
        <w:trPr>
          <w:trHeight w:val="1691"/>
        </w:trPr>
        <w:tc>
          <w:tcPr>
            <w:tcW w:w="550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t>2.</w:t>
            </w:r>
          </w:p>
        </w:tc>
        <w:tc>
          <w:tcPr>
            <w:tcW w:w="3141" w:type="dxa"/>
          </w:tcPr>
          <w:p w:rsidR="00140C89" w:rsidRPr="00953446" w:rsidRDefault="00140C89" w:rsidP="00BB541D">
            <w:pPr>
              <w:pStyle w:val="naiskr"/>
              <w:tabs>
                <w:tab w:val="left" w:pos="170"/>
              </w:tabs>
              <w:spacing w:before="0" w:after="0"/>
            </w:pPr>
            <w:r w:rsidRPr="00953446">
              <w:t>Pašreizējā situācija un problēmas, kuru risināšanai tiesību akta projekts izstrādāts, tiesiskā regulējuma mērķis un būtība</w:t>
            </w:r>
          </w:p>
          <w:p w:rsidR="00140C89" w:rsidRPr="00953446" w:rsidRDefault="00140C89" w:rsidP="00BB541D">
            <w:pPr>
              <w:pStyle w:val="naiskr"/>
              <w:tabs>
                <w:tab w:val="left" w:pos="170"/>
              </w:tabs>
              <w:spacing w:before="0" w:after="0"/>
            </w:pPr>
          </w:p>
          <w:p w:rsidR="00140C89" w:rsidRPr="00953446" w:rsidRDefault="00140C89" w:rsidP="00BB541D">
            <w:pPr>
              <w:pStyle w:val="naiskr"/>
              <w:tabs>
                <w:tab w:val="left" w:pos="170"/>
              </w:tabs>
              <w:spacing w:before="0" w:after="0"/>
            </w:pPr>
          </w:p>
          <w:p w:rsidR="00140C89" w:rsidRPr="00953446" w:rsidRDefault="00140C89" w:rsidP="00BB541D">
            <w:pPr>
              <w:jc w:val="both"/>
            </w:pPr>
          </w:p>
        </w:tc>
        <w:tc>
          <w:tcPr>
            <w:tcW w:w="5670" w:type="dxa"/>
          </w:tcPr>
          <w:p w:rsidR="00140C89" w:rsidRPr="00953446" w:rsidRDefault="00140C89" w:rsidP="00BB541D">
            <w:pPr>
              <w:jc w:val="both"/>
              <w:rPr>
                <w:bCs/>
              </w:rPr>
            </w:pPr>
            <w:r w:rsidRPr="00953446">
              <w:rPr>
                <w:bCs/>
              </w:rPr>
              <w:t xml:space="preserve">Ministru kabineta </w:t>
            </w:r>
            <w:r w:rsidR="00976B51" w:rsidRPr="00953446">
              <w:t>20</w:t>
            </w:r>
            <w:r w:rsidR="00A613AE" w:rsidRPr="00953446">
              <w:t>0</w:t>
            </w:r>
            <w:r w:rsidR="00976B51" w:rsidRPr="00953446">
              <w:t>4.gada 17.augusta noteikumos Nr.719 „Studiju un zinātnes administrācijas nolikums”</w:t>
            </w:r>
            <w:r w:rsidR="00976B51" w:rsidRPr="00953446">
              <w:rPr>
                <w:b/>
              </w:rPr>
              <w:t xml:space="preserve"> </w:t>
            </w:r>
            <w:r w:rsidRPr="00953446">
              <w:rPr>
                <w:bCs/>
              </w:rPr>
              <w:t xml:space="preserve">(turpmāk – Noteikumi </w:t>
            </w:r>
            <w:r w:rsidR="00976B51" w:rsidRPr="00953446">
              <w:rPr>
                <w:bCs/>
              </w:rPr>
              <w:t>Nr.719</w:t>
            </w:r>
            <w:r w:rsidRPr="00953446">
              <w:rPr>
                <w:bCs/>
              </w:rPr>
              <w:t xml:space="preserve">) nosaka </w:t>
            </w:r>
            <w:r w:rsidR="00EC7DD9" w:rsidRPr="00953446">
              <w:rPr>
                <w:bCs/>
              </w:rPr>
              <w:t xml:space="preserve">Studiju un zinātnes administrācijas (turpmāk – </w:t>
            </w:r>
            <w:r w:rsidR="00976B51" w:rsidRPr="00953446">
              <w:rPr>
                <w:bCs/>
              </w:rPr>
              <w:t>SZA</w:t>
            </w:r>
            <w:r w:rsidR="00EC7DD9" w:rsidRPr="00953446">
              <w:rPr>
                <w:bCs/>
              </w:rPr>
              <w:t>)</w:t>
            </w:r>
            <w:r w:rsidRPr="00953446">
              <w:rPr>
                <w:bCs/>
              </w:rPr>
              <w:t xml:space="preserve"> darbības mērķi, funkcijas, uzdevumus un kompetenci. </w:t>
            </w:r>
          </w:p>
          <w:p w:rsidR="00976B51" w:rsidRPr="00953446" w:rsidRDefault="00976B51" w:rsidP="00BB541D">
            <w:pPr>
              <w:jc w:val="both"/>
              <w:rPr>
                <w:bCs/>
              </w:rPr>
            </w:pPr>
          </w:p>
          <w:p w:rsidR="00976B51" w:rsidRPr="00953446" w:rsidRDefault="00976B51" w:rsidP="00BB541D">
            <w:pPr>
              <w:jc w:val="both"/>
              <w:rPr>
                <w:bCs/>
              </w:rPr>
            </w:pPr>
            <w:r w:rsidRPr="00953446">
              <w:rPr>
                <w:bCs/>
              </w:rPr>
              <w:t>Noteikumu Nr.719 3.10.</w:t>
            </w:r>
            <w:r w:rsidRPr="00953446">
              <w:rPr>
                <w:bCs/>
                <w:vertAlign w:val="superscript"/>
              </w:rPr>
              <w:t>1</w:t>
            </w:r>
            <w:r w:rsidRPr="00953446">
              <w:rPr>
                <w:bCs/>
              </w:rPr>
              <w:t xml:space="preserve"> </w:t>
            </w:r>
            <w:r w:rsidR="00EC7DD9" w:rsidRPr="00953446">
              <w:rPr>
                <w:bCs/>
              </w:rPr>
              <w:t>apakš</w:t>
            </w:r>
            <w:r w:rsidR="00422CFA" w:rsidRPr="00953446">
              <w:rPr>
                <w:bCs/>
              </w:rPr>
              <w:t xml:space="preserve">punkts </w:t>
            </w:r>
            <w:r w:rsidRPr="00953446">
              <w:rPr>
                <w:bCs/>
              </w:rPr>
              <w:t>nosaka, ka SZA īsteno Ietvara programmas Nacionālo kontaktpunktu koordinācijas un atbalsta pasākumu projektus, bet 3.10.</w:t>
            </w:r>
            <w:r w:rsidRPr="00953446">
              <w:rPr>
                <w:bCs/>
                <w:vertAlign w:val="superscript"/>
              </w:rPr>
              <w:t>2</w:t>
            </w:r>
            <w:r w:rsidRPr="00953446">
              <w:rPr>
                <w:bCs/>
              </w:rPr>
              <w:t xml:space="preserve"> </w:t>
            </w:r>
            <w:r w:rsidR="00EC7DD9" w:rsidRPr="00953446">
              <w:rPr>
                <w:bCs/>
              </w:rPr>
              <w:t>apakš</w:t>
            </w:r>
            <w:r w:rsidRPr="00953446">
              <w:rPr>
                <w:bCs/>
              </w:rPr>
              <w:t xml:space="preserve">punkts nosaka, ka SZA koordinē Eiropas Savienības un starptautisko pētniecības un tehnoloģiju attīstības programmu darbību Latvijā. </w:t>
            </w:r>
          </w:p>
          <w:p w:rsidR="00976B51" w:rsidRPr="00953446" w:rsidRDefault="00976B51" w:rsidP="00BB541D">
            <w:pPr>
              <w:jc w:val="both"/>
              <w:rPr>
                <w:bCs/>
              </w:rPr>
            </w:pPr>
          </w:p>
          <w:p w:rsidR="000A213E" w:rsidRPr="00953446" w:rsidRDefault="00422CFA" w:rsidP="00B75143">
            <w:pPr>
              <w:jc w:val="both"/>
            </w:pPr>
            <w:r w:rsidRPr="00953446">
              <w:rPr>
                <w:bCs/>
              </w:rPr>
              <w:t xml:space="preserve">Lai koncentrētu valsts pārvaldes iestāžu funkcijas un finanšu resursus, kas saistīti ar starptautisko pētījumu projektu koordinēšanu un administrēšanu, </w:t>
            </w:r>
            <w:r w:rsidR="000A213E" w:rsidRPr="00953446">
              <w:rPr>
                <w:bCs/>
              </w:rPr>
              <w:t xml:space="preserve">Ministru kabineta </w:t>
            </w:r>
            <w:r w:rsidR="00976B51" w:rsidRPr="00953446">
              <w:rPr>
                <w:bCs/>
              </w:rPr>
              <w:t xml:space="preserve">2014.gada 23.septembra sēdē </w:t>
            </w:r>
            <w:r w:rsidR="00823EE3" w:rsidRPr="00953446">
              <w:rPr>
                <w:bCs/>
              </w:rPr>
              <w:t xml:space="preserve">(prot. Nr.50 42.§) </w:t>
            </w:r>
            <w:r w:rsidR="00976B51" w:rsidRPr="00953446">
              <w:rPr>
                <w:bCs/>
              </w:rPr>
              <w:t xml:space="preserve">tika pieņemts </w:t>
            </w:r>
            <w:r w:rsidR="00823EE3" w:rsidRPr="00953446">
              <w:rPr>
                <w:bCs/>
              </w:rPr>
              <w:t xml:space="preserve">Ministru kabineta noteikumu projekts “Grozījumi </w:t>
            </w:r>
            <w:r w:rsidRPr="00953446">
              <w:rPr>
                <w:bCs/>
              </w:rPr>
              <w:t>Ministru kabineta 2012.gada 18.decembra noteikumos Nr.934 „Valsts izglītības attīstības aģentūras nolikums”</w:t>
            </w:r>
            <w:r w:rsidR="00823EE3" w:rsidRPr="00953446">
              <w:rPr>
                <w:bCs/>
              </w:rPr>
              <w:t xml:space="preserve">”, kas </w:t>
            </w:r>
            <w:r w:rsidRPr="00953446">
              <w:rPr>
                <w:bCs/>
              </w:rPr>
              <w:t xml:space="preserve"> paredz Valsts izglītības attīstības aģentūrai </w:t>
            </w:r>
            <w:r w:rsidR="00EE2977" w:rsidRPr="00953446">
              <w:rPr>
                <w:bCs/>
              </w:rPr>
              <w:t xml:space="preserve">(turpmāk – VIAA) </w:t>
            </w:r>
            <w:r w:rsidRPr="00953446">
              <w:rPr>
                <w:bCs/>
              </w:rPr>
              <w:t xml:space="preserve">nodot līdzšinējo SZA </w:t>
            </w:r>
            <w:r w:rsidR="00EE2977" w:rsidRPr="00953446">
              <w:t xml:space="preserve">kompetencē esošo uzdevumu – </w:t>
            </w:r>
            <w:r w:rsidRPr="00953446">
              <w:t xml:space="preserve">nodrošināt Eiropas Savienības Ietvara programmas Apvārsnis 2020 </w:t>
            </w:r>
            <w:r w:rsidRPr="00953446">
              <w:rPr>
                <w:i/>
              </w:rPr>
              <w:t xml:space="preserve">(HORIZON 2020) </w:t>
            </w:r>
            <w:r w:rsidRPr="00953446">
              <w:t>Nacionālā kontaktpunkta funkciju īstenošanu</w:t>
            </w:r>
            <w:r w:rsidR="000A213E" w:rsidRPr="00953446">
              <w:t>.</w:t>
            </w:r>
            <w:r w:rsidRPr="00953446">
              <w:t xml:space="preserve"> Līdz ar to </w:t>
            </w:r>
            <w:r w:rsidR="00EE2977" w:rsidRPr="00953446">
              <w:t>VIAA</w:t>
            </w:r>
            <w:r w:rsidRPr="00953446">
              <w:t xml:space="preserve"> kompetencē </w:t>
            </w:r>
            <w:r w:rsidR="00EE2977" w:rsidRPr="00953446">
              <w:t>tik</w:t>
            </w:r>
            <w:r w:rsidR="00913AEF" w:rsidRPr="00953446">
              <w:t>s</w:t>
            </w:r>
            <w:r w:rsidR="00EE2977" w:rsidRPr="00953446">
              <w:t xml:space="preserve"> nodota</w:t>
            </w:r>
            <w:r w:rsidRPr="00953446">
              <w:t xml:space="preserve"> Latvijas politikas īstenošana programmās, kas saistītas ar Latvijas dalību E</w:t>
            </w:r>
            <w:r w:rsidR="00526746" w:rsidRPr="00953446">
              <w:t xml:space="preserve">iropas </w:t>
            </w:r>
            <w:r w:rsidRPr="00953446">
              <w:t>S</w:t>
            </w:r>
            <w:r w:rsidR="00526746" w:rsidRPr="00953446">
              <w:t>avienības</w:t>
            </w:r>
            <w:r w:rsidRPr="00953446">
              <w:t xml:space="preserve"> programmās, tai skaitā līguma par Eiropas Savienības darbību 185. un 187.panta izrietošajām kopējām programmām un kopējās tehnoloģiju ierosmes.</w:t>
            </w:r>
            <w:r w:rsidR="00B75143" w:rsidRPr="00953446">
              <w:t xml:space="preserve"> </w:t>
            </w:r>
          </w:p>
          <w:p w:rsidR="000A213E" w:rsidRPr="00953446" w:rsidRDefault="00B75143" w:rsidP="00B75143">
            <w:pPr>
              <w:jc w:val="both"/>
            </w:pPr>
            <w:r w:rsidRPr="00953446">
              <w:lastRenderedPageBreak/>
              <w:t xml:space="preserve">MK sēdes </w:t>
            </w:r>
            <w:proofErr w:type="spellStart"/>
            <w:r w:rsidRPr="00953446">
              <w:t>protokollēmuma</w:t>
            </w:r>
            <w:proofErr w:type="spellEnd"/>
            <w:r w:rsidRPr="00953446">
              <w:t xml:space="preserve"> 1.punktā  ir dots uzdevums Valsts kancelejai sagatavot minēto Ministru kabineta noteikumu projektu parakstīšanai, bet nodot noteikumus publicēšanai vienlaikus ar šī </w:t>
            </w:r>
            <w:proofErr w:type="spellStart"/>
            <w:r w:rsidRPr="00953446">
              <w:t>protokolllēmuma</w:t>
            </w:r>
            <w:proofErr w:type="spellEnd"/>
            <w:r w:rsidRPr="00953446">
              <w:t xml:space="preserve"> 2.punktā minētajiem noteikumiem. Savukārt Izglītības un zinātnes ministrijai </w:t>
            </w:r>
            <w:r w:rsidR="00526746" w:rsidRPr="00953446">
              <w:t xml:space="preserve">MK sēdes </w:t>
            </w:r>
            <w:proofErr w:type="spellStart"/>
            <w:r w:rsidRPr="00953446">
              <w:t>protokollēmuma</w:t>
            </w:r>
            <w:proofErr w:type="spellEnd"/>
            <w:r w:rsidRPr="00953446">
              <w:t xml:space="preserve"> 2.punktā ir dots uzdevums </w:t>
            </w:r>
            <w:r w:rsidRPr="00953446">
              <w:rPr>
                <w:bCs/>
              </w:rPr>
              <w:t>s</w:t>
            </w:r>
            <w:r w:rsidR="00823EE3" w:rsidRPr="00953446">
              <w:t xml:space="preserve">teidzami sagatavot un iesniegt izskatīšanai Ministru kabineta 2014.gada 30.septembra sēdē tiesību akta projektu par grozījumiem </w:t>
            </w:r>
            <w:r w:rsidR="00526746" w:rsidRPr="00953446">
              <w:t>N</w:t>
            </w:r>
            <w:r w:rsidR="00823EE3" w:rsidRPr="00953446">
              <w:t>oteikumos Nr.719.</w:t>
            </w:r>
            <w:r w:rsidR="00823EE3" w:rsidRPr="009534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22CFA" w:rsidRPr="00953446" w:rsidRDefault="00422CFA" w:rsidP="00422CFA">
            <w:pPr>
              <w:jc w:val="both"/>
            </w:pPr>
          </w:p>
          <w:p w:rsidR="00526746" w:rsidRPr="00953446" w:rsidRDefault="00EE2977" w:rsidP="00953446">
            <w:pPr>
              <w:jc w:val="both"/>
            </w:pPr>
            <w:r w:rsidRPr="00953446">
              <w:t xml:space="preserve">Lai izpildītu </w:t>
            </w:r>
            <w:r w:rsidR="006B7A30" w:rsidRPr="00953446">
              <w:t>minēto uzdevumu</w:t>
            </w:r>
            <w:r w:rsidRPr="00953446">
              <w:t xml:space="preserve">, Izglītības un zinātnes ministrija ir izstrādājusi </w:t>
            </w:r>
            <w:r w:rsidR="006B7A30" w:rsidRPr="00953446">
              <w:t xml:space="preserve">noteikumu projektu, kas paredz svītrot Noteikumu </w:t>
            </w:r>
            <w:r w:rsidRPr="00953446">
              <w:t>Nr.719</w:t>
            </w:r>
            <w:r w:rsidR="006B7A30" w:rsidRPr="00953446">
              <w:t xml:space="preserve"> 3.10.</w:t>
            </w:r>
            <w:r w:rsidR="006B7A30" w:rsidRPr="00953446">
              <w:rPr>
                <w:vertAlign w:val="superscript"/>
              </w:rPr>
              <w:t>1</w:t>
            </w:r>
            <w:r w:rsidR="006B7A30" w:rsidRPr="00953446">
              <w:t xml:space="preserve"> un 3.10.</w:t>
            </w:r>
            <w:r w:rsidR="006B7A30" w:rsidRPr="00953446">
              <w:rPr>
                <w:vertAlign w:val="superscript"/>
              </w:rPr>
              <w:t>2</w:t>
            </w:r>
            <w:r w:rsidR="006B7A30" w:rsidRPr="00953446">
              <w:t>apakšpunktu.</w:t>
            </w:r>
            <w:r w:rsidR="00526746" w:rsidRPr="00953446">
              <w:t xml:space="preserve"> </w:t>
            </w:r>
          </w:p>
          <w:p w:rsidR="00140C89" w:rsidRPr="00953446" w:rsidRDefault="00140C89" w:rsidP="00953446">
            <w:pPr>
              <w:jc w:val="both"/>
            </w:pPr>
          </w:p>
        </w:tc>
      </w:tr>
      <w:tr w:rsidR="00953446" w:rsidRPr="00953446" w:rsidTr="00BB541D">
        <w:trPr>
          <w:trHeight w:val="476"/>
        </w:trPr>
        <w:tc>
          <w:tcPr>
            <w:tcW w:w="550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lastRenderedPageBreak/>
              <w:t>3.</w:t>
            </w:r>
          </w:p>
        </w:tc>
        <w:tc>
          <w:tcPr>
            <w:tcW w:w="3141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t>Projekta izstrādē iesaistītās institūcijas</w:t>
            </w:r>
          </w:p>
        </w:tc>
        <w:tc>
          <w:tcPr>
            <w:tcW w:w="5670" w:type="dxa"/>
          </w:tcPr>
          <w:p w:rsidR="00140C89" w:rsidRPr="00953446" w:rsidRDefault="00140C89" w:rsidP="003A5FBC">
            <w:pPr>
              <w:pStyle w:val="naiskr"/>
              <w:spacing w:before="0" w:after="0"/>
              <w:jc w:val="both"/>
            </w:pPr>
            <w:r w:rsidRPr="00953446">
              <w:rPr>
                <w:iCs/>
              </w:rPr>
              <w:t xml:space="preserve">Izglītības un zinātnes ministrija, VIAA, SZA. </w:t>
            </w:r>
          </w:p>
        </w:tc>
      </w:tr>
      <w:tr w:rsidR="00953446" w:rsidRPr="00953446" w:rsidTr="00BB541D">
        <w:tc>
          <w:tcPr>
            <w:tcW w:w="550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t>4.</w:t>
            </w:r>
          </w:p>
        </w:tc>
        <w:tc>
          <w:tcPr>
            <w:tcW w:w="3141" w:type="dxa"/>
          </w:tcPr>
          <w:p w:rsidR="00140C89" w:rsidRPr="00953446" w:rsidRDefault="00140C89" w:rsidP="00BB541D">
            <w:pPr>
              <w:pStyle w:val="naiskr"/>
              <w:spacing w:before="0" w:after="0"/>
            </w:pPr>
            <w:r w:rsidRPr="00953446">
              <w:t>Cita informācija</w:t>
            </w:r>
          </w:p>
        </w:tc>
        <w:tc>
          <w:tcPr>
            <w:tcW w:w="5670" w:type="dxa"/>
          </w:tcPr>
          <w:p w:rsidR="00140C89" w:rsidRPr="00953446" w:rsidRDefault="00140C89" w:rsidP="00BB541D">
            <w:pPr>
              <w:pStyle w:val="naiskr"/>
              <w:spacing w:before="0" w:after="0"/>
              <w:jc w:val="both"/>
            </w:pPr>
            <w:r w:rsidRPr="00953446">
              <w:t>Nav.</w:t>
            </w:r>
          </w:p>
        </w:tc>
      </w:tr>
    </w:tbl>
    <w:p w:rsidR="00140C89" w:rsidRPr="00953446" w:rsidRDefault="00140C89" w:rsidP="00140C89">
      <w:pPr>
        <w:pStyle w:val="naisf"/>
        <w:spacing w:before="0" w:after="0"/>
        <w:ind w:right="-568"/>
      </w:pPr>
    </w:p>
    <w:p w:rsidR="003A5FBC" w:rsidRPr="00953446" w:rsidRDefault="003A5FBC" w:rsidP="00140C89">
      <w:pPr>
        <w:pStyle w:val="naisf"/>
        <w:spacing w:before="0" w:after="0"/>
        <w:ind w:right="-568"/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953446" w:rsidRPr="00953446" w:rsidTr="003310A0">
        <w:tc>
          <w:tcPr>
            <w:tcW w:w="9356" w:type="dxa"/>
            <w:gridSpan w:val="3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953446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953446" w:rsidRPr="00953446" w:rsidTr="003310A0">
        <w:tc>
          <w:tcPr>
            <w:tcW w:w="709" w:type="dxa"/>
            <w:shd w:val="clear" w:color="auto" w:fill="auto"/>
          </w:tcPr>
          <w:p w:rsidR="00140C89" w:rsidRPr="00953446" w:rsidRDefault="00140C89" w:rsidP="003A5FBC">
            <w:pPr>
              <w:pStyle w:val="naisf"/>
              <w:numPr>
                <w:ilvl w:val="0"/>
                <w:numId w:val="1"/>
              </w:numPr>
              <w:spacing w:before="0" w:after="0"/>
            </w:pPr>
          </w:p>
        </w:tc>
        <w:tc>
          <w:tcPr>
            <w:tcW w:w="3544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  <w:r w:rsidRPr="00953446">
              <w:t xml:space="preserve">Sabiedrības </w:t>
            </w:r>
            <w:proofErr w:type="spellStart"/>
            <w:r w:rsidRPr="00953446">
              <w:t>mērķgrupas</w:t>
            </w:r>
            <w:proofErr w:type="spellEnd"/>
            <w:r w:rsidRPr="00953446">
              <w:t>, kuras tiesiskais regulējums ietekmē vai varētu ietekmēt</w:t>
            </w:r>
          </w:p>
        </w:tc>
        <w:tc>
          <w:tcPr>
            <w:tcW w:w="5103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</w:p>
          <w:p w:rsidR="00140C89" w:rsidRPr="00953446" w:rsidRDefault="003A5FBC" w:rsidP="00BB541D">
            <w:pPr>
              <w:pStyle w:val="naisf"/>
              <w:spacing w:before="0" w:after="0"/>
              <w:ind w:firstLine="0"/>
            </w:pPr>
            <w:r w:rsidRPr="00953446">
              <w:t>Latvijas akadēmiskais un zinātniskais personāls, komersanti.</w:t>
            </w:r>
            <w:r w:rsidR="00140C89" w:rsidRPr="00953446">
              <w:t xml:space="preserve"> </w:t>
            </w:r>
          </w:p>
        </w:tc>
      </w:tr>
      <w:tr w:rsidR="00953446" w:rsidRPr="00953446" w:rsidTr="003310A0">
        <w:tc>
          <w:tcPr>
            <w:tcW w:w="709" w:type="dxa"/>
            <w:shd w:val="clear" w:color="auto" w:fill="auto"/>
          </w:tcPr>
          <w:p w:rsidR="00140C89" w:rsidRPr="00953446" w:rsidRDefault="00140C89" w:rsidP="003A5FBC">
            <w:pPr>
              <w:pStyle w:val="naisf"/>
              <w:numPr>
                <w:ilvl w:val="0"/>
                <w:numId w:val="1"/>
              </w:numPr>
              <w:spacing w:before="0" w:after="0"/>
            </w:pPr>
          </w:p>
        </w:tc>
        <w:tc>
          <w:tcPr>
            <w:tcW w:w="3544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  <w:r w:rsidRPr="00953446">
              <w:t>Tiesiskā regulējuma ietekme uz tautsaimniecību un administratīvo slogu</w:t>
            </w:r>
          </w:p>
        </w:tc>
        <w:tc>
          <w:tcPr>
            <w:tcW w:w="5103" w:type="dxa"/>
            <w:shd w:val="clear" w:color="auto" w:fill="auto"/>
          </w:tcPr>
          <w:p w:rsidR="00140C89" w:rsidRPr="00953446" w:rsidRDefault="006B7A30" w:rsidP="006B7A30">
            <w:pPr>
              <w:pStyle w:val="naisf"/>
              <w:spacing w:before="0" w:after="0"/>
              <w:ind w:firstLine="0"/>
            </w:pPr>
            <w:r w:rsidRPr="00953446">
              <w:t>Noteikumu p</w:t>
            </w:r>
            <w:r w:rsidR="00140C89" w:rsidRPr="00953446">
              <w:t xml:space="preserve">rojekts </w:t>
            </w:r>
            <w:r w:rsidR="003A5FBC" w:rsidRPr="00953446">
              <w:t xml:space="preserve">koncentrē valsts pārvaldes iestāžu funkcijas </w:t>
            </w:r>
            <w:r w:rsidR="003A5FBC" w:rsidRPr="00953446">
              <w:rPr>
                <w:bCs/>
              </w:rPr>
              <w:t>un finanšu resursus, kas saistīti ar starptautisko pētījumu projektu koordinēšanu un administrēšanu vienā valsts pārvaldes iestādē –</w:t>
            </w:r>
            <w:r w:rsidR="0065673C" w:rsidRPr="00953446">
              <w:rPr>
                <w:bCs/>
              </w:rPr>
              <w:t xml:space="preserve"> VIAA. Projekts paredz </w:t>
            </w:r>
            <w:r w:rsidR="0065673C" w:rsidRPr="00953446">
              <w:t>akadēmiskajam un zinātniskajam personālam, komersantiem konsultācijas par projektu pieteikumiem un sekmīgo starptautisko pētījumu projektu finansēšanu veikt vienā vietā, uzlabojot pakalpojumu sniegšanas kvalitāti un ātrumu.</w:t>
            </w:r>
          </w:p>
        </w:tc>
      </w:tr>
      <w:tr w:rsidR="00953446" w:rsidRPr="00953446" w:rsidTr="003310A0">
        <w:tc>
          <w:tcPr>
            <w:tcW w:w="709" w:type="dxa"/>
            <w:shd w:val="clear" w:color="auto" w:fill="auto"/>
          </w:tcPr>
          <w:p w:rsidR="00140C89" w:rsidRPr="00953446" w:rsidRDefault="00140C89" w:rsidP="003A5FBC">
            <w:pPr>
              <w:pStyle w:val="naisf"/>
              <w:numPr>
                <w:ilvl w:val="0"/>
                <w:numId w:val="1"/>
              </w:numPr>
              <w:spacing w:before="0" w:after="0"/>
            </w:pPr>
          </w:p>
        </w:tc>
        <w:tc>
          <w:tcPr>
            <w:tcW w:w="3544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  <w:r w:rsidRPr="00953446">
              <w:t>Administratīvo izmaksu monetārs novērtējums</w:t>
            </w:r>
          </w:p>
        </w:tc>
        <w:tc>
          <w:tcPr>
            <w:tcW w:w="5103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  <w:rPr>
                <w:i/>
              </w:rPr>
            </w:pPr>
            <w:r w:rsidRPr="00953446">
              <w:t>Projekts šo jomu neskar.</w:t>
            </w:r>
          </w:p>
        </w:tc>
      </w:tr>
      <w:tr w:rsidR="00953446" w:rsidRPr="00953446" w:rsidTr="003310A0">
        <w:tc>
          <w:tcPr>
            <w:tcW w:w="709" w:type="dxa"/>
            <w:shd w:val="clear" w:color="auto" w:fill="auto"/>
          </w:tcPr>
          <w:p w:rsidR="00140C89" w:rsidRPr="00953446" w:rsidRDefault="00140C89" w:rsidP="003A5FBC">
            <w:pPr>
              <w:pStyle w:val="naisf"/>
              <w:numPr>
                <w:ilvl w:val="0"/>
                <w:numId w:val="1"/>
              </w:numPr>
              <w:spacing w:before="0" w:after="0"/>
            </w:pPr>
          </w:p>
        </w:tc>
        <w:tc>
          <w:tcPr>
            <w:tcW w:w="3544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  <w:r w:rsidRPr="00953446">
              <w:t>Cita informācija</w:t>
            </w:r>
          </w:p>
        </w:tc>
        <w:tc>
          <w:tcPr>
            <w:tcW w:w="5103" w:type="dxa"/>
            <w:shd w:val="clear" w:color="auto" w:fill="auto"/>
          </w:tcPr>
          <w:p w:rsidR="00140C89" w:rsidRPr="00953446" w:rsidRDefault="00140C89" w:rsidP="00BB541D">
            <w:pPr>
              <w:pStyle w:val="naisf"/>
              <w:spacing w:before="0" w:after="0"/>
              <w:ind w:firstLine="0"/>
            </w:pPr>
            <w:r w:rsidRPr="00953446">
              <w:t>Nav.</w:t>
            </w:r>
          </w:p>
        </w:tc>
      </w:tr>
    </w:tbl>
    <w:p w:rsidR="0065673C" w:rsidRPr="00953446" w:rsidRDefault="0065673C" w:rsidP="00140C89">
      <w:pPr>
        <w:pStyle w:val="naisf"/>
        <w:spacing w:before="0" w:after="0"/>
        <w:rPr>
          <w:i/>
        </w:rPr>
      </w:pPr>
    </w:p>
    <w:p w:rsidR="00140C89" w:rsidRPr="00953446" w:rsidRDefault="00140C89" w:rsidP="00140C89">
      <w:pPr>
        <w:pStyle w:val="naisf"/>
        <w:spacing w:before="0" w:after="0"/>
        <w:rPr>
          <w:b/>
          <w:i/>
          <w:iCs/>
        </w:rPr>
      </w:pPr>
      <w:r w:rsidRPr="00953446">
        <w:rPr>
          <w:i/>
        </w:rPr>
        <w:t xml:space="preserve"> </w:t>
      </w:r>
      <w:r w:rsidR="0065673C" w:rsidRPr="00953446">
        <w:rPr>
          <w:b/>
          <w:i/>
          <w:iCs/>
        </w:rPr>
        <w:t>Anotācijas III, IV, V un VI sadaļa – projekts šīs jomas neskar</w:t>
      </w:r>
    </w:p>
    <w:p w:rsidR="0065673C" w:rsidRPr="00953446" w:rsidRDefault="0065673C" w:rsidP="00140C89">
      <w:pPr>
        <w:pStyle w:val="naisf"/>
        <w:spacing w:before="0" w:after="0"/>
        <w:rPr>
          <w:b/>
          <w:i/>
          <w:iCs/>
        </w:rPr>
      </w:pPr>
    </w:p>
    <w:tbl>
      <w:tblPr>
        <w:tblW w:w="92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484"/>
        <w:gridCol w:w="4073"/>
      </w:tblGrid>
      <w:tr w:rsidR="00953446" w:rsidRPr="00953446" w:rsidTr="00A757AB">
        <w:tc>
          <w:tcPr>
            <w:tcW w:w="9276" w:type="dxa"/>
            <w:gridSpan w:val="3"/>
            <w:tcBorders>
              <w:top w:val="single" w:sz="4" w:space="0" w:color="auto"/>
            </w:tcBorders>
          </w:tcPr>
          <w:p w:rsidR="00140C89" w:rsidRPr="00953446" w:rsidRDefault="00140C89" w:rsidP="00BB541D">
            <w:pPr>
              <w:pStyle w:val="naisnod"/>
              <w:spacing w:before="0" w:after="0"/>
              <w:ind w:left="57" w:right="57"/>
            </w:pPr>
            <w:r w:rsidRPr="00953446">
              <w:t>VII. Tiesību akta projekta izpildes nodrošināšana un tās ietekme uz institūcijām</w:t>
            </w:r>
          </w:p>
        </w:tc>
      </w:tr>
      <w:tr w:rsidR="00953446" w:rsidRPr="00953446" w:rsidTr="00A757AB">
        <w:trPr>
          <w:trHeight w:val="427"/>
        </w:trPr>
        <w:tc>
          <w:tcPr>
            <w:tcW w:w="719" w:type="dxa"/>
          </w:tcPr>
          <w:p w:rsidR="00140C89" w:rsidRPr="00953446" w:rsidRDefault="00140C89" w:rsidP="00BB541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53446">
              <w:rPr>
                <w:b w:val="0"/>
              </w:rPr>
              <w:t>1.</w:t>
            </w:r>
          </w:p>
        </w:tc>
        <w:tc>
          <w:tcPr>
            <w:tcW w:w="4484" w:type="dxa"/>
          </w:tcPr>
          <w:p w:rsidR="00140C89" w:rsidRPr="00953446" w:rsidRDefault="00140C89" w:rsidP="00BB541D">
            <w:pPr>
              <w:pStyle w:val="naisf"/>
              <w:spacing w:before="0" w:after="0"/>
              <w:ind w:left="57" w:right="57" w:firstLine="0"/>
              <w:jc w:val="left"/>
            </w:pPr>
            <w:r w:rsidRPr="00953446">
              <w:t xml:space="preserve">Projekta izpildē iesaistītās institūcijas </w:t>
            </w:r>
          </w:p>
        </w:tc>
        <w:tc>
          <w:tcPr>
            <w:tcW w:w="4073" w:type="dxa"/>
          </w:tcPr>
          <w:p w:rsidR="00140C89" w:rsidRPr="00953446" w:rsidRDefault="00A757AB" w:rsidP="00BB541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53446">
              <w:rPr>
                <w:b w:val="0"/>
                <w:iCs/>
              </w:rPr>
              <w:t>SZA un VIAA</w:t>
            </w:r>
            <w:r w:rsidR="00140C89" w:rsidRPr="00953446">
              <w:rPr>
                <w:b w:val="0"/>
                <w:iCs/>
              </w:rPr>
              <w:t xml:space="preserve">. </w:t>
            </w:r>
          </w:p>
        </w:tc>
      </w:tr>
      <w:tr w:rsidR="00953446" w:rsidRPr="00953446" w:rsidTr="00A757AB">
        <w:trPr>
          <w:trHeight w:val="463"/>
        </w:trPr>
        <w:tc>
          <w:tcPr>
            <w:tcW w:w="719" w:type="dxa"/>
          </w:tcPr>
          <w:p w:rsidR="00140C89" w:rsidRPr="00953446" w:rsidRDefault="00140C89" w:rsidP="00BB541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53446">
              <w:rPr>
                <w:b w:val="0"/>
              </w:rPr>
              <w:t>2.</w:t>
            </w:r>
          </w:p>
        </w:tc>
        <w:tc>
          <w:tcPr>
            <w:tcW w:w="4484" w:type="dxa"/>
          </w:tcPr>
          <w:p w:rsidR="00140C89" w:rsidRPr="00953446" w:rsidRDefault="00140C89" w:rsidP="00BB541D">
            <w:r w:rsidRPr="00953446">
              <w:t xml:space="preserve">Projekta izpildes ietekme uz pārvaldes funkcijām un institucionālo struktūru. </w:t>
            </w:r>
          </w:p>
          <w:p w:rsidR="00140C89" w:rsidRPr="00953446" w:rsidRDefault="00140C89" w:rsidP="00BB541D">
            <w:pPr>
              <w:pStyle w:val="naisf"/>
              <w:spacing w:before="0" w:after="0"/>
              <w:ind w:left="57" w:right="57" w:firstLine="0"/>
              <w:jc w:val="left"/>
            </w:pPr>
            <w:r w:rsidRPr="00953446">
              <w:t>Jaunu institūciju izveide, esošu institūciju likvidācija vai reorganizācija, to ietekme uz institūcijas cilvēkresursiem</w:t>
            </w:r>
          </w:p>
        </w:tc>
        <w:tc>
          <w:tcPr>
            <w:tcW w:w="4073" w:type="dxa"/>
          </w:tcPr>
          <w:p w:rsidR="00140C89" w:rsidRPr="00953446" w:rsidRDefault="00A757AB" w:rsidP="00913AEF">
            <w:pPr>
              <w:pStyle w:val="naisnod"/>
              <w:spacing w:before="0" w:after="0"/>
              <w:ind w:left="57" w:right="57"/>
              <w:jc w:val="both"/>
              <w:rPr>
                <w:b w:val="0"/>
                <w:i/>
                <w:iCs/>
              </w:rPr>
            </w:pPr>
            <w:r w:rsidRPr="00953446">
              <w:rPr>
                <w:b w:val="0"/>
                <w:iCs/>
              </w:rPr>
              <w:t>Noteikum</w:t>
            </w:r>
            <w:r w:rsidR="006B7A30" w:rsidRPr="00953446">
              <w:rPr>
                <w:b w:val="0"/>
                <w:iCs/>
              </w:rPr>
              <w:t>u</w:t>
            </w:r>
            <w:r w:rsidRPr="00953446">
              <w:rPr>
                <w:b w:val="0"/>
                <w:iCs/>
              </w:rPr>
              <w:t xml:space="preserve"> </w:t>
            </w:r>
            <w:r w:rsidRPr="00953446">
              <w:rPr>
                <w:b w:val="0"/>
                <w:bCs w:val="0"/>
              </w:rPr>
              <w:t>Nr.719 3.10.</w:t>
            </w:r>
            <w:r w:rsidRPr="00953446">
              <w:rPr>
                <w:b w:val="0"/>
                <w:bCs w:val="0"/>
                <w:vertAlign w:val="superscript"/>
              </w:rPr>
              <w:t>1</w:t>
            </w:r>
            <w:r w:rsidRPr="00953446">
              <w:rPr>
                <w:b w:val="0"/>
                <w:bCs w:val="0"/>
              </w:rPr>
              <w:t xml:space="preserve"> un 3.10.</w:t>
            </w:r>
            <w:r w:rsidRPr="00953446">
              <w:rPr>
                <w:b w:val="0"/>
                <w:bCs w:val="0"/>
                <w:vertAlign w:val="superscript"/>
              </w:rPr>
              <w:t>2</w:t>
            </w:r>
            <w:r w:rsidRPr="00953446">
              <w:rPr>
                <w:b w:val="0"/>
                <w:bCs w:val="0"/>
              </w:rPr>
              <w:t xml:space="preserve"> </w:t>
            </w:r>
            <w:r w:rsidR="006B7A30" w:rsidRPr="00953446">
              <w:rPr>
                <w:b w:val="0"/>
                <w:bCs w:val="0"/>
              </w:rPr>
              <w:t>apakš</w:t>
            </w:r>
            <w:r w:rsidRPr="00953446">
              <w:rPr>
                <w:b w:val="0"/>
                <w:bCs w:val="0"/>
              </w:rPr>
              <w:t>punktā</w:t>
            </w:r>
            <w:r w:rsidRPr="00953446">
              <w:rPr>
                <w:bCs w:val="0"/>
              </w:rPr>
              <w:t xml:space="preserve"> </w:t>
            </w:r>
            <w:r w:rsidR="006B7A30" w:rsidRPr="00953446">
              <w:rPr>
                <w:b w:val="0"/>
                <w:bCs w:val="0"/>
              </w:rPr>
              <w:t>minētās</w:t>
            </w:r>
            <w:r w:rsidR="006B7A30" w:rsidRPr="00953446">
              <w:rPr>
                <w:bCs w:val="0"/>
              </w:rPr>
              <w:t xml:space="preserve"> </w:t>
            </w:r>
            <w:r w:rsidRPr="00953446">
              <w:rPr>
                <w:b w:val="0"/>
                <w:bCs w:val="0"/>
              </w:rPr>
              <w:t xml:space="preserve">funkcijas </w:t>
            </w:r>
            <w:r w:rsidR="006B7A30" w:rsidRPr="00953446">
              <w:rPr>
                <w:b w:val="0"/>
                <w:bCs w:val="0"/>
              </w:rPr>
              <w:t xml:space="preserve">tiek </w:t>
            </w:r>
            <w:r w:rsidR="001A5CA2" w:rsidRPr="00953446">
              <w:rPr>
                <w:b w:val="0"/>
                <w:bCs w:val="0"/>
              </w:rPr>
              <w:t xml:space="preserve"> </w:t>
            </w:r>
            <w:r w:rsidRPr="00953446">
              <w:rPr>
                <w:b w:val="0"/>
                <w:bCs w:val="0"/>
              </w:rPr>
              <w:t>nodot</w:t>
            </w:r>
            <w:r w:rsidR="006B7A30" w:rsidRPr="00953446">
              <w:rPr>
                <w:b w:val="0"/>
                <w:bCs w:val="0"/>
              </w:rPr>
              <w:t>as</w:t>
            </w:r>
            <w:r w:rsidRPr="00953446">
              <w:rPr>
                <w:b w:val="0"/>
                <w:bCs w:val="0"/>
              </w:rPr>
              <w:t xml:space="preserve"> VIAA, </w:t>
            </w:r>
            <w:r w:rsidR="001A5CA2" w:rsidRPr="00953446">
              <w:rPr>
                <w:b w:val="0"/>
                <w:bCs w:val="0"/>
              </w:rPr>
              <w:t>tai skaitā</w:t>
            </w:r>
            <w:r w:rsidRPr="00953446">
              <w:rPr>
                <w:b w:val="0"/>
                <w:bCs w:val="0"/>
              </w:rPr>
              <w:t xml:space="preserve"> šo funkciju īstenošanai </w:t>
            </w:r>
            <w:r w:rsidR="006B7A30" w:rsidRPr="00953446">
              <w:rPr>
                <w:b w:val="0"/>
                <w:bCs w:val="0"/>
              </w:rPr>
              <w:t xml:space="preserve">nepieciešamie </w:t>
            </w:r>
            <w:r w:rsidR="003310A0" w:rsidRPr="00953446">
              <w:rPr>
                <w:b w:val="0"/>
                <w:bCs w:val="0"/>
              </w:rPr>
              <w:t xml:space="preserve">finanšu </w:t>
            </w:r>
            <w:r w:rsidR="006B7A30" w:rsidRPr="00953446">
              <w:rPr>
                <w:b w:val="0"/>
                <w:bCs w:val="0"/>
              </w:rPr>
              <w:t xml:space="preserve">resursi </w:t>
            </w:r>
            <w:r w:rsidRPr="00953446">
              <w:rPr>
                <w:b w:val="0"/>
                <w:bCs w:val="0"/>
              </w:rPr>
              <w:t xml:space="preserve">un </w:t>
            </w:r>
            <w:r w:rsidR="003310A0" w:rsidRPr="00953446">
              <w:rPr>
                <w:b w:val="0"/>
                <w:bCs w:val="0"/>
              </w:rPr>
              <w:t xml:space="preserve">amata štata vietas </w:t>
            </w:r>
            <w:r w:rsidRPr="00953446">
              <w:rPr>
                <w:b w:val="0"/>
                <w:bCs w:val="0"/>
              </w:rPr>
              <w:t xml:space="preserve">atbilstoši </w:t>
            </w:r>
            <w:r w:rsidRPr="00953446">
              <w:rPr>
                <w:b w:val="0"/>
                <w:bCs w:val="0"/>
              </w:rPr>
              <w:lastRenderedPageBreak/>
              <w:t xml:space="preserve">Ministru kabineta 2014.gada 23.septembra </w:t>
            </w:r>
            <w:r w:rsidR="00526746" w:rsidRPr="00953446">
              <w:rPr>
                <w:b w:val="0"/>
                <w:bCs w:val="0"/>
              </w:rPr>
              <w:t>rīkojum</w:t>
            </w:r>
            <w:r w:rsidR="00913AEF" w:rsidRPr="00953446">
              <w:rPr>
                <w:b w:val="0"/>
                <w:bCs w:val="0"/>
              </w:rPr>
              <w:t xml:space="preserve">ā </w:t>
            </w:r>
            <w:r w:rsidR="00526746" w:rsidRPr="00953446">
              <w:rPr>
                <w:b w:val="0"/>
                <w:bCs w:val="0"/>
              </w:rPr>
              <w:t>Nr.526</w:t>
            </w:r>
            <w:r w:rsidRPr="00953446">
              <w:rPr>
                <w:b w:val="0"/>
              </w:rPr>
              <w:t xml:space="preserve"> </w:t>
            </w:r>
            <w:r w:rsidR="006B7A30" w:rsidRPr="00953446">
              <w:rPr>
                <w:b w:val="0"/>
              </w:rPr>
              <w:t>“</w:t>
            </w:r>
            <w:r w:rsidRPr="00953446">
              <w:rPr>
                <w:b w:val="0"/>
              </w:rPr>
              <w:t>Par pamatbudžeta apropriācijas pārdali starp Izglītības un zinātnes ministrijas budžeta programmām 2014.gadā</w:t>
            </w:r>
            <w:r w:rsidR="006B7A30" w:rsidRPr="00953446">
              <w:rPr>
                <w:b w:val="0"/>
              </w:rPr>
              <w:t>”</w:t>
            </w:r>
            <w:r w:rsidR="00913AEF" w:rsidRPr="00953446">
              <w:rPr>
                <w:b w:val="0"/>
              </w:rPr>
              <w:t xml:space="preserve"> noteiktajam</w:t>
            </w:r>
            <w:r w:rsidR="006B7A30" w:rsidRPr="00953446">
              <w:rPr>
                <w:b w:val="0"/>
              </w:rPr>
              <w:t>.</w:t>
            </w:r>
            <w:r w:rsidRPr="00953446">
              <w:rPr>
                <w:b w:val="0"/>
              </w:rPr>
              <w:t xml:space="preserve"> </w:t>
            </w:r>
            <w:r w:rsidR="001A5CA2" w:rsidRPr="00953446">
              <w:rPr>
                <w:b w:val="0"/>
              </w:rPr>
              <w:t xml:space="preserve">SZA darbinieki par </w:t>
            </w:r>
            <w:r w:rsidR="00291A1B" w:rsidRPr="00953446">
              <w:rPr>
                <w:b w:val="0"/>
              </w:rPr>
              <w:t xml:space="preserve">struktūras izmaiņām un </w:t>
            </w:r>
            <w:r w:rsidR="001A5CA2" w:rsidRPr="00953446">
              <w:rPr>
                <w:b w:val="0"/>
              </w:rPr>
              <w:t xml:space="preserve">funkciju nodošanu </w:t>
            </w:r>
            <w:r w:rsidR="00291A1B" w:rsidRPr="00953446">
              <w:rPr>
                <w:b w:val="0"/>
              </w:rPr>
              <w:t xml:space="preserve">VIAA </w:t>
            </w:r>
            <w:r w:rsidR="001A5CA2" w:rsidRPr="00953446">
              <w:rPr>
                <w:b w:val="0"/>
              </w:rPr>
              <w:t>ir informēti.</w:t>
            </w:r>
          </w:p>
        </w:tc>
      </w:tr>
      <w:tr w:rsidR="00953446" w:rsidRPr="00953446" w:rsidTr="00A757AB">
        <w:trPr>
          <w:trHeight w:val="476"/>
        </w:trPr>
        <w:tc>
          <w:tcPr>
            <w:tcW w:w="719" w:type="dxa"/>
          </w:tcPr>
          <w:p w:rsidR="00140C89" w:rsidRPr="00953446" w:rsidRDefault="00140C89" w:rsidP="00BB541D">
            <w:pPr>
              <w:pStyle w:val="naiskr"/>
              <w:spacing w:before="0" w:after="0"/>
              <w:ind w:left="57" w:right="57"/>
            </w:pPr>
            <w:r w:rsidRPr="00953446">
              <w:lastRenderedPageBreak/>
              <w:t>3.</w:t>
            </w:r>
          </w:p>
        </w:tc>
        <w:tc>
          <w:tcPr>
            <w:tcW w:w="4484" w:type="dxa"/>
          </w:tcPr>
          <w:p w:rsidR="00140C89" w:rsidRPr="00953446" w:rsidRDefault="00140C89" w:rsidP="00BB541D">
            <w:pPr>
              <w:pStyle w:val="naiskr"/>
              <w:spacing w:before="0" w:after="0"/>
              <w:ind w:left="57" w:right="57"/>
            </w:pPr>
            <w:r w:rsidRPr="00953446">
              <w:t>Cita informācija</w:t>
            </w:r>
          </w:p>
        </w:tc>
        <w:tc>
          <w:tcPr>
            <w:tcW w:w="4073" w:type="dxa"/>
          </w:tcPr>
          <w:p w:rsidR="00140C89" w:rsidRPr="00953446" w:rsidRDefault="00140C89" w:rsidP="00BB541D">
            <w:pPr>
              <w:pStyle w:val="naiskr"/>
              <w:spacing w:before="0" w:after="0"/>
              <w:ind w:left="57" w:right="57"/>
            </w:pPr>
            <w:r w:rsidRPr="00953446">
              <w:t>Nav.</w:t>
            </w:r>
          </w:p>
        </w:tc>
      </w:tr>
    </w:tbl>
    <w:p w:rsidR="00140C89" w:rsidRPr="00953446" w:rsidRDefault="00140C89" w:rsidP="00140C89">
      <w:pPr>
        <w:pStyle w:val="naisf"/>
        <w:tabs>
          <w:tab w:val="left" w:pos="5760"/>
        </w:tabs>
        <w:spacing w:before="0" w:after="0"/>
        <w:ind w:firstLine="0"/>
      </w:pPr>
    </w:p>
    <w:p w:rsidR="00140C89" w:rsidRPr="00953446" w:rsidRDefault="00140C89" w:rsidP="00140C89">
      <w:pPr>
        <w:pStyle w:val="naislab"/>
        <w:spacing w:before="0" w:after="0"/>
        <w:ind w:left="720"/>
        <w:jc w:val="both"/>
        <w:outlineLvl w:val="0"/>
      </w:pPr>
    </w:p>
    <w:p w:rsidR="00140C89" w:rsidRPr="00953446" w:rsidRDefault="00140C89" w:rsidP="00140C89">
      <w:pPr>
        <w:tabs>
          <w:tab w:val="left" w:pos="6804"/>
        </w:tabs>
      </w:pPr>
    </w:p>
    <w:p w:rsidR="00140C89" w:rsidRPr="00953446" w:rsidRDefault="00140C89" w:rsidP="00140C89">
      <w:pPr>
        <w:tabs>
          <w:tab w:val="left" w:pos="6804"/>
        </w:tabs>
      </w:pPr>
    </w:p>
    <w:p w:rsidR="00140C89" w:rsidRPr="00953446" w:rsidRDefault="00140C89" w:rsidP="00140C89">
      <w:pPr>
        <w:pStyle w:val="BodyTextIndent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53446">
        <w:rPr>
          <w:rFonts w:ascii="Times New Roman" w:hAnsi="Times New Roman"/>
          <w:bCs/>
          <w:sz w:val="28"/>
          <w:szCs w:val="28"/>
        </w:rPr>
        <w:t>Iesniedzējs:</w:t>
      </w:r>
    </w:p>
    <w:p w:rsidR="00140C89" w:rsidRPr="00953446" w:rsidRDefault="00140C89" w:rsidP="00526746">
      <w:pPr>
        <w:pStyle w:val="BodyTextIndent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53446">
        <w:rPr>
          <w:rFonts w:ascii="Times New Roman" w:hAnsi="Times New Roman"/>
          <w:bCs/>
          <w:sz w:val="28"/>
          <w:szCs w:val="28"/>
        </w:rPr>
        <w:t>Izglītības un zinātnes ministre</w:t>
      </w:r>
      <w:r w:rsidRPr="00953446">
        <w:rPr>
          <w:rFonts w:ascii="Times New Roman" w:hAnsi="Times New Roman"/>
          <w:bCs/>
          <w:sz w:val="28"/>
          <w:szCs w:val="28"/>
        </w:rPr>
        <w:tab/>
      </w:r>
      <w:r w:rsidR="00526746" w:rsidRPr="00953446">
        <w:rPr>
          <w:rFonts w:ascii="Times New Roman" w:hAnsi="Times New Roman"/>
          <w:bCs/>
          <w:sz w:val="28"/>
          <w:szCs w:val="28"/>
        </w:rPr>
        <w:tab/>
      </w:r>
      <w:r w:rsidRPr="00953446">
        <w:rPr>
          <w:rFonts w:ascii="Times New Roman" w:hAnsi="Times New Roman"/>
          <w:bCs/>
          <w:sz w:val="28"/>
          <w:szCs w:val="28"/>
        </w:rPr>
        <w:tab/>
      </w:r>
      <w:r w:rsidRPr="00953446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953446">
        <w:rPr>
          <w:rFonts w:ascii="Times New Roman" w:hAnsi="Times New Roman"/>
          <w:bCs/>
          <w:sz w:val="28"/>
          <w:szCs w:val="28"/>
        </w:rPr>
        <w:t>I.Druviete</w:t>
      </w:r>
      <w:proofErr w:type="spellEnd"/>
    </w:p>
    <w:p w:rsidR="00140C89" w:rsidRPr="00953446" w:rsidRDefault="00140C89" w:rsidP="00140C89">
      <w:pPr>
        <w:pStyle w:val="BodyTextIndent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E5FEB" w:rsidRPr="00953446" w:rsidRDefault="001E5FEB" w:rsidP="00140C89">
      <w:pPr>
        <w:pStyle w:val="BodyTextIndent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0C89" w:rsidRPr="00953446" w:rsidRDefault="00140C89" w:rsidP="00953446">
      <w:pPr>
        <w:pStyle w:val="NoSpacing"/>
        <w:rPr>
          <w:sz w:val="28"/>
          <w:szCs w:val="28"/>
        </w:rPr>
      </w:pPr>
      <w:r w:rsidRPr="00953446">
        <w:rPr>
          <w:sz w:val="28"/>
          <w:szCs w:val="28"/>
        </w:rPr>
        <w:t xml:space="preserve">     Vizē: Valsts sekretāre</w:t>
      </w:r>
      <w:r w:rsidRPr="00953446">
        <w:rPr>
          <w:sz w:val="28"/>
          <w:szCs w:val="28"/>
        </w:rPr>
        <w:tab/>
      </w:r>
      <w:r w:rsidRPr="00953446">
        <w:rPr>
          <w:sz w:val="28"/>
          <w:szCs w:val="28"/>
        </w:rPr>
        <w:tab/>
      </w:r>
      <w:r w:rsidR="00526746" w:rsidRPr="00953446">
        <w:rPr>
          <w:sz w:val="28"/>
          <w:szCs w:val="28"/>
        </w:rPr>
        <w:tab/>
      </w:r>
      <w:r w:rsidR="00526746" w:rsidRPr="00953446">
        <w:rPr>
          <w:sz w:val="28"/>
          <w:szCs w:val="28"/>
        </w:rPr>
        <w:tab/>
      </w:r>
      <w:r w:rsidR="00526746" w:rsidRPr="00953446">
        <w:rPr>
          <w:sz w:val="28"/>
          <w:szCs w:val="28"/>
        </w:rPr>
        <w:tab/>
      </w:r>
      <w:r w:rsidR="00526746" w:rsidRPr="00953446">
        <w:rPr>
          <w:sz w:val="28"/>
          <w:szCs w:val="28"/>
        </w:rPr>
        <w:tab/>
      </w:r>
      <w:r w:rsidRPr="00953446">
        <w:rPr>
          <w:sz w:val="28"/>
          <w:szCs w:val="28"/>
        </w:rPr>
        <w:t xml:space="preserve"> </w:t>
      </w:r>
      <w:proofErr w:type="spellStart"/>
      <w:r w:rsidRPr="00953446">
        <w:rPr>
          <w:sz w:val="28"/>
          <w:szCs w:val="28"/>
        </w:rPr>
        <w:t>S.Liepiņa</w:t>
      </w:r>
      <w:proofErr w:type="spellEnd"/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</w:p>
    <w:p w:rsidR="00140C89" w:rsidRPr="00953446" w:rsidRDefault="002E270F" w:rsidP="00140C89">
      <w:pPr>
        <w:pStyle w:val="naisf"/>
        <w:tabs>
          <w:tab w:val="left" w:pos="6804"/>
        </w:tabs>
        <w:spacing w:before="0" w:after="0"/>
        <w:ind w:firstLine="0"/>
      </w:pPr>
      <w:r>
        <w:t>09.10</w:t>
      </w:r>
      <w:r w:rsidR="00A70D1C">
        <w:t>.2014 15:28</w:t>
      </w:r>
      <w:bookmarkStart w:id="2" w:name="_GoBack"/>
      <w:bookmarkEnd w:id="2"/>
    </w:p>
    <w:p w:rsidR="00030D97" w:rsidRPr="00953446" w:rsidRDefault="00E77688" w:rsidP="00140C89">
      <w:pPr>
        <w:pStyle w:val="naisf"/>
        <w:tabs>
          <w:tab w:val="left" w:pos="6804"/>
        </w:tabs>
        <w:spacing w:before="0" w:after="0"/>
        <w:ind w:firstLine="0"/>
      </w:pPr>
      <w:r w:rsidRPr="00953446">
        <w:t>58</w:t>
      </w:r>
      <w:r w:rsidR="00C94E1A" w:rsidRPr="00953446">
        <w:t>8</w:t>
      </w: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</w:pPr>
      <w:proofErr w:type="spellStart"/>
      <w:r w:rsidRPr="00953446">
        <w:t>A.Kiopa</w:t>
      </w:r>
      <w:proofErr w:type="spellEnd"/>
      <w:r w:rsidRPr="00953446">
        <w:t>, 67047983</w:t>
      </w:r>
    </w:p>
    <w:p w:rsidR="00140C89" w:rsidRPr="00953446" w:rsidRDefault="00140C89" w:rsidP="00140C89">
      <w:pPr>
        <w:pStyle w:val="naisf"/>
        <w:tabs>
          <w:tab w:val="left" w:pos="6804"/>
        </w:tabs>
        <w:spacing w:before="0" w:after="0"/>
        <w:ind w:firstLine="0"/>
        <w:jc w:val="left"/>
      </w:pPr>
      <w:r w:rsidRPr="00953446">
        <w:t>zireforma@izm.gov.lv</w:t>
      </w:r>
    </w:p>
    <w:p w:rsidR="00953F4D" w:rsidRPr="00953446" w:rsidRDefault="00953F4D"/>
    <w:sectPr w:rsidR="00953F4D" w:rsidRPr="00953446" w:rsidSect="003310A0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B1" w:rsidRDefault="00913CB1" w:rsidP="00140C89">
      <w:r>
        <w:separator/>
      </w:r>
    </w:p>
  </w:endnote>
  <w:endnote w:type="continuationSeparator" w:id="0">
    <w:p w:rsidR="00913CB1" w:rsidRDefault="00913CB1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88" w:rsidRPr="001C5988" w:rsidRDefault="003259FA" w:rsidP="001C5988">
    <w:pPr>
      <w:pStyle w:val="BodyText"/>
      <w:jc w:val="both"/>
      <w:rPr>
        <w:sz w:val="20"/>
        <w:szCs w:val="20"/>
      </w:rPr>
    </w:pPr>
    <w:r>
      <w:rPr>
        <w:sz w:val="20"/>
        <w:szCs w:val="20"/>
      </w:rPr>
      <w:t>IZMa</w:t>
    </w:r>
    <w:r w:rsidR="006B7A30">
      <w:rPr>
        <w:sz w:val="20"/>
        <w:szCs w:val="20"/>
      </w:rPr>
      <w:t>not</w:t>
    </w:r>
    <w:r w:rsidR="003E294E">
      <w:rPr>
        <w:sz w:val="20"/>
        <w:szCs w:val="20"/>
      </w:rPr>
      <w:t>_</w:t>
    </w:r>
    <w:r w:rsidR="00372994">
      <w:rPr>
        <w:sz w:val="20"/>
        <w:szCs w:val="20"/>
      </w:rPr>
      <w:t>0910</w:t>
    </w:r>
    <w:r w:rsidR="006B7A30">
      <w:rPr>
        <w:sz w:val="20"/>
        <w:szCs w:val="20"/>
      </w:rPr>
      <w:t>14_SZA</w:t>
    </w:r>
    <w:r w:rsidR="001C5988" w:rsidRPr="001C5988">
      <w:rPr>
        <w:sz w:val="20"/>
        <w:szCs w:val="20"/>
      </w:rPr>
      <w:t xml:space="preserve">; </w:t>
    </w:r>
    <w:r w:rsidR="00A613AE">
      <w:rPr>
        <w:sz w:val="20"/>
        <w:szCs w:val="20"/>
      </w:rPr>
      <w:t>Ministru kabineta noteikumu projekta “</w:t>
    </w:r>
    <w:r w:rsidR="00A613AE" w:rsidRPr="001C5988">
      <w:rPr>
        <w:sz w:val="20"/>
        <w:szCs w:val="20"/>
      </w:rPr>
      <w:t>Grozījum</w:t>
    </w:r>
    <w:r w:rsidR="00A613AE">
      <w:rPr>
        <w:sz w:val="20"/>
        <w:szCs w:val="20"/>
      </w:rPr>
      <w:t>s</w:t>
    </w:r>
    <w:r w:rsidR="00A613AE" w:rsidRPr="001C5988">
      <w:rPr>
        <w:sz w:val="20"/>
        <w:szCs w:val="20"/>
      </w:rPr>
      <w:t xml:space="preserve"> </w:t>
    </w:r>
    <w:r w:rsidR="001C5988" w:rsidRPr="001C5988">
      <w:rPr>
        <w:sz w:val="20"/>
        <w:szCs w:val="20"/>
      </w:rPr>
      <w:t>Ministru kabineta 2004.gada 17.augusta noteikumos Nr.719 „Studiju un zinātnes administrācijas nolikums”</w:t>
    </w:r>
    <w:r w:rsidR="00A613AE">
      <w:rPr>
        <w:sz w:val="20"/>
        <w:szCs w:val="20"/>
      </w:rPr>
      <w:t>”</w:t>
    </w:r>
    <w:r w:rsidR="001C5988" w:rsidRPr="001C5988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C5988" w:rsidRPr="001C5988">
        <w:rPr>
          <w:sz w:val="20"/>
          <w:szCs w:val="20"/>
        </w:rPr>
        <w:t>ziņojums</w:t>
      </w:r>
    </w:smartTag>
    <w:r w:rsidR="001C5988" w:rsidRPr="001C5988">
      <w:rPr>
        <w:sz w:val="20"/>
        <w:szCs w:val="20"/>
      </w:rPr>
      <w:t xml:space="preserve"> (anotācija) </w:t>
    </w:r>
  </w:p>
  <w:p w:rsidR="001C5988" w:rsidRDefault="001C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88" w:rsidRPr="001C5988" w:rsidRDefault="003E294E" w:rsidP="001C5988">
    <w:pPr>
      <w:pStyle w:val="BodyText"/>
      <w:jc w:val="both"/>
      <w:rPr>
        <w:sz w:val="20"/>
        <w:szCs w:val="20"/>
      </w:rPr>
    </w:pPr>
    <w:r>
      <w:rPr>
        <w:sz w:val="20"/>
        <w:szCs w:val="20"/>
      </w:rPr>
      <w:t>IZM</w:t>
    </w:r>
    <w:r w:rsidR="003259FA">
      <w:rPr>
        <w:sz w:val="20"/>
        <w:szCs w:val="20"/>
      </w:rPr>
      <w:t>a</w:t>
    </w:r>
    <w:r>
      <w:rPr>
        <w:sz w:val="20"/>
        <w:szCs w:val="20"/>
      </w:rPr>
      <w:t>not_</w:t>
    </w:r>
    <w:r w:rsidR="00372994">
      <w:rPr>
        <w:sz w:val="20"/>
        <w:szCs w:val="20"/>
      </w:rPr>
      <w:t>0910</w:t>
    </w:r>
    <w:r w:rsidR="006B7A30">
      <w:rPr>
        <w:sz w:val="20"/>
        <w:szCs w:val="20"/>
      </w:rPr>
      <w:t>14_</w:t>
    </w:r>
    <w:r>
      <w:rPr>
        <w:sz w:val="20"/>
        <w:szCs w:val="20"/>
      </w:rPr>
      <w:t>SZA</w:t>
    </w:r>
    <w:r w:rsidR="001C5988" w:rsidRPr="001C5988">
      <w:rPr>
        <w:sz w:val="20"/>
        <w:szCs w:val="20"/>
      </w:rPr>
      <w:t xml:space="preserve">; </w:t>
    </w:r>
    <w:r w:rsidR="00A613AE">
      <w:rPr>
        <w:sz w:val="20"/>
        <w:szCs w:val="20"/>
      </w:rPr>
      <w:t>Ministru kabineta noteikumu projekta “</w:t>
    </w:r>
    <w:r w:rsidR="00A613AE" w:rsidRPr="001C5988">
      <w:rPr>
        <w:sz w:val="20"/>
        <w:szCs w:val="20"/>
      </w:rPr>
      <w:t>Grozījum</w:t>
    </w:r>
    <w:r w:rsidR="00A613AE">
      <w:rPr>
        <w:sz w:val="20"/>
        <w:szCs w:val="20"/>
      </w:rPr>
      <w:t>s</w:t>
    </w:r>
    <w:r w:rsidR="00A613AE" w:rsidRPr="001C5988">
      <w:rPr>
        <w:sz w:val="20"/>
        <w:szCs w:val="20"/>
      </w:rPr>
      <w:t xml:space="preserve"> </w:t>
    </w:r>
    <w:r w:rsidR="001C5988" w:rsidRPr="001C5988">
      <w:rPr>
        <w:sz w:val="20"/>
        <w:szCs w:val="20"/>
      </w:rPr>
      <w:t>Ministru kabineta 2004.gada 17.augusta noteikumos Nr.719 „Studiju un zinātnes administrācijas nolikums”</w:t>
    </w:r>
    <w:r w:rsidR="00A613AE">
      <w:rPr>
        <w:sz w:val="20"/>
        <w:szCs w:val="20"/>
      </w:rPr>
      <w:t>”</w:t>
    </w:r>
    <w:r w:rsidR="001C5988" w:rsidRPr="001C5988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C5988" w:rsidRPr="001C5988">
        <w:rPr>
          <w:sz w:val="20"/>
          <w:szCs w:val="20"/>
        </w:rPr>
        <w:t>ziņojums</w:t>
      </w:r>
    </w:smartTag>
    <w:r w:rsidR="001C5988" w:rsidRPr="001C5988">
      <w:rPr>
        <w:sz w:val="20"/>
        <w:szCs w:val="20"/>
      </w:rPr>
      <w:t xml:space="preserve"> (anotācija) </w:t>
    </w:r>
  </w:p>
  <w:p w:rsidR="001C5988" w:rsidRDefault="001C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B1" w:rsidRDefault="00913CB1" w:rsidP="00140C89">
      <w:r>
        <w:separator/>
      </w:r>
    </w:p>
  </w:footnote>
  <w:footnote w:type="continuationSeparator" w:id="0">
    <w:p w:rsidR="00913CB1" w:rsidRDefault="00913CB1" w:rsidP="0014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579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10A0" w:rsidRDefault="003310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0A0" w:rsidRDefault="00331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BEE"/>
    <w:multiLevelType w:val="hybridMultilevel"/>
    <w:tmpl w:val="8B8860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6095"/>
    <w:multiLevelType w:val="hybridMultilevel"/>
    <w:tmpl w:val="34006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9C6"/>
    <w:multiLevelType w:val="hybridMultilevel"/>
    <w:tmpl w:val="1E18D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F63"/>
    <w:multiLevelType w:val="hybridMultilevel"/>
    <w:tmpl w:val="4066F6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07AF"/>
    <w:multiLevelType w:val="hybridMultilevel"/>
    <w:tmpl w:val="901C27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3750"/>
    <w:multiLevelType w:val="hybridMultilevel"/>
    <w:tmpl w:val="CBBA2E12"/>
    <w:lvl w:ilvl="0" w:tplc="16E0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9F19C5"/>
    <w:multiLevelType w:val="hybridMultilevel"/>
    <w:tmpl w:val="1B8E89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89"/>
    <w:rsid w:val="00030D97"/>
    <w:rsid w:val="000A213E"/>
    <w:rsid w:val="00140C89"/>
    <w:rsid w:val="001A5CA2"/>
    <w:rsid w:val="001C5988"/>
    <w:rsid w:val="001E5FEB"/>
    <w:rsid w:val="00222450"/>
    <w:rsid w:val="00291A1B"/>
    <w:rsid w:val="0029791C"/>
    <w:rsid w:val="002E270F"/>
    <w:rsid w:val="003259FA"/>
    <w:rsid w:val="003310A0"/>
    <w:rsid w:val="00372994"/>
    <w:rsid w:val="003A5FBC"/>
    <w:rsid w:val="003E294E"/>
    <w:rsid w:val="00414D8F"/>
    <w:rsid w:val="00422CFA"/>
    <w:rsid w:val="00526746"/>
    <w:rsid w:val="00561AA8"/>
    <w:rsid w:val="00571E08"/>
    <w:rsid w:val="006144CB"/>
    <w:rsid w:val="0065673C"/>
    <w:rsid w:val="006B7A30"/>
    <w:rsid w:val="00726831"/>
    <w:rsid w:val="00823EE3"/>
    <w:rsid w:val="00825F62"/>
    <w:rsid w:val="008D783A"/>
    <w:rsid w:val="00913AEF"/>
    <w:rsid w:val="00913CB1"/>
    <w:rsid w:val="00953446"/>
    <w:rsid w:val="00953F4D"/>
    <w:rsid w:val="00976B51"/>
    <w:rsid w:val="009A5759"/>
    <w:rsid w:val="00A20417"/>
    <w:rsid w:val="00A613AE"/>
    <w:rsid w:val="00A70D1C"/>
    <w:rsid w:val="00A757AB"/>
    <w:rsid w:val="00B75143"/>
    <w:rsid w:val="00BA36F4"/>
    <w:rsid w:val="00BE716D"/>
    <w:rsid w:val="00C94E1A"/>
    <w:rsid w:val="00E77688"/>
    <w:rsid w:val="00EC7DD9"/>
    <w:rsid w:val="00E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49F7-4952-4A8E-BEC7-75A83D2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40C8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140C8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40C89"/>
    <w:pPr>
      <w:spacing w:before="75" w:after="75"/>
      <w:jc w:val="right"/>
    </w:pPr>
  </w:style>
  <w:style w:type="paragraph" w:customStyle="1" w:styleId="naiskr">
    <w:name w:val="naiskr"/>
    <w:basedOn w:val="Normal"/>
    <w:rsid w:val="00140C89"/>
    <w:pPr>
      <w:spacing w:before="75" w:after="75"/>
    </w:pPr>
  </w:style>
  <w:style w:type="paragraph" w:customStyle="1" w:styleId="naisc">
    <w:name w:val="naisc"/>
    <w:basedOn w:val="Normal"/>
    <w:rsid w:val="00140C89"/>
    <w:pPr>
      <w:spacing w:before="75" w:after="75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140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C8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140C89"/>
    <w:rPr>
      <w:vertAlign w:val="superscript"/>
    </w:rPr>
  </w:style>
  <w:style w:type="paragraph" w:customStyle="1" w:styleId="tv2131">
    <w:name w:val="tv2131"/>
    <w:basedOn w:val="Normal"/>
    <w:rsid w:val="00140C8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link w:val="BodyTextIndentChar"/>
    <w:rsid w:val="00140C89"/>
    <w:pPr>
      <w:spacing w:after="120" w:line="276" w:lineRule="auto"/>
      <w:ind w:left="283"/>
    </w:pPr>
    <w:rPr>
      <w:rFonts w:ascii="Calibri" w:eastAsia="SimSun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140C89"/>
    <w:rPr>
      <w:rFonts w:ascii="Calibri" w:eastAsia="SimSun" w:hAnsi="Calibri" w:cs="Times New Roman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40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140C89"/>
    <w:pPr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40C89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14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140C8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40C89"/>
    <w:rPr>
      <w:rFonts w:ascii="Calibri" w:eastAsia="Calibri" w:hAnsi="Calibri" w:cs="Times New Roman"/>
      <w:lang w:val="x-none"/>
    </w:rPr>
  </w:style>
  <w:style w:type="paragraph" w:customStyle="1" w:styleId="CM1">
    <w:name w:val="CM1"/>
    <w:basedOn w:val="Normal"/>
    <w:next w:val="Normal"/>
    <w:uiPriority w:val="99"/>
    <w:rsid w:val="00140C89"/>
    <w:pPr>
      <w:autoSpaceDE w:val="0"/>
      <w:autoSpaceDN w:val="0"/>
      <w:adjustRightInd w:val="0"/>
    </w:pPr>
    <w:rPr>
      <w:rFonts w:ascii="EUAlbertina" w:hAnsi="EUAlbertina"/>
    </w:rPr>
  </w:style>
  <w:style w:type="paragraph" w:styleId="BodyText">
    <w:name w:val="Body Text"/>
    <w:basedOn w:val="Normal"/>
    <w:link w:val="BodyTextChar"/>
    <w:uiPriority w:val="99"/>
    <w:unhideWhenUsed/>
    <w:rsid w:val="00140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0C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10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10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0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6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Linda Upīte</cp:lastModifiedBy>
  <cp:revision>7</cp:revision>
  <cp:lastPrinted>2014-10-01T12:59:00Z</cp:lastPrinted>
  <dcterms:created xsi:type="dcterms:W3CDTF">2014-10-09T12:04:00Z</dcterms:created>
  <dcterms:modified xsi:type="dcterms:W3CDTF">2014-10-09T12:28:00Z</dcterms:modified>
</cp:coreProperties>
</file>