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42" w:rsidRPr="007C0F2C" w:rsidRDefault="00852042" w:rsidP="00214094">
      <w:pPr>
        <w:pStyle w:val="naislab"/>
        <w:spacing w:before="0" w:after="0"/>
        <w:rPr>
          <w:sz w:val="28"/>
          <w:szCs w:val="28"/>
        </w:rPr>
      </w:pPr>
    </w:p>
    <w:p w:rsidR="00BF0FDE" w:rsidRDefault="00715C1C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715C1C">
        <w:rPr>
          <w:b/>
          <w:sz w:val="28"/>
          <w:szCs w:val="28"/>
        </w:rPr>
        <w:t xml:space="preserve">Ministru kabineta noteikumu </w:t>
      </w:r>
      <w:r w:rsidR="00BF0FDE">
        <w:rPr>
          <w:b/>
          <w:sz w:val="28"/>
          <w:szCs w:val="28"/>
        </w:rPr>
        <w:t>projekta</w:t>
      </w:r>
    </w:p>
    <w:p w:rsidR="008C5649" w:rsidRDefault="00715C1C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054611">
        <w:rPr>
          <w:b/>
          <w:sz w:val="28"/>
          <w:szCs w:val="28"/>
        </w:rPr>
        <w:t>Grozījums</w:t>
      </w:r>
      <w:r w:rsidR="00BF0FDE">
        <w:rPr>
          <w:b/>
          <w:sz w:val="28"/>
          <w:szCs w:val="28"/>
        </w:rPr>
        <w:t xml:space="preserve"> Ministru kabineta 2013.gada 24.septembra</w:t>
      </w:r>
      <w:r w:rsidR="00FA72E6">
        <w:rPr>
          <w:b/>
          <w:sz w:val="28"/>
          <w:szCs w:val="28"/>
        </w:rPr>
        <w:t xml:space="preserve"> noteikumos Nr.902</w:t>
      </w:r>
      <w:r w:rsidR="00995A9C" w:rsidRPr="00CD6ECB">
        <w:rPr>
          <w:b/>
          <w:sz w:val="28"/>
          <w:szCs w:val="28"/>
        </w:rPr>
        <w:t xml:space="preserve"> „</w:t>
      </w:r>
      <w:r w:rsidR="00995A9C" w:rsidRPr="00CD6ECB">
        <w:rPr>
          <w:b/>
          <w:bCs/>
          <w:sz w:val="28"/>
          <w:szCs w:val="28"/>
        </w:rPr>
        <w:t>Ugunsdrošības un civilās aizsardzības koledžas maksas pakalpojumu cenrādis</w:t>
      </w:r>
      <w:r w:rsidR="00995A9C" w:rsidRPr="00CD6ECB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>”</w:t>
      </w:r>
      <w:r w:rsidR="000410DA">
        <w:rPr>
          <w:b/>
          <w:sz w:val="28"/>
          <w:szCs w:val="28"/>
        </w:rPr>
        <w:t xml:space="preserve"> </w:t>
      </w:r>
      <w:r w:rsidR="000410DA" w:rsidRPr="000410DA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0410DA" w:rsidRPr="000410DA">
          <w:rPr>
            <w:b/>
            <w:sz w:val="28"/>
            <w:szCs w:val="28"/>
          </w:rPr>
          <w:t>ziņojums</w:t>
        </w:r>
      </w:smartTag>
      <w:r w:rsidR="000410DA" w:rsidRPr="000410DA">
        <w:rPr>
          <w:b/>
          <w:sz w:val="28"/>
          <w:szCs w:val="28"/>
        </w:rPr>
        <w:t xml:space="preserve"> (anotācija)</w:t>
      </w:r>
    </w:p>
    <w:p w:rsidR="000410DA" w:rsidRPr="000410DA" w:rsidRDefault="000410DA" w:rsidP="00AD3269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215"/>
        <w:gridCol w:w="7040"/>
      </w:tblGrid>
      <w:tr w:rsidR="00852042" w:rsidRPr="007C0F2C" w:rsidTr="007A6CE5">
        <w:tc>
          <w:tcPr>
            <w:tcW w:w="9805" w:type="dxa"/>
            <w:gridSpan w:val="3"/>
            <w:vAlign w:val="center"/>
          </w:tcPr>
          <w:p w:rsidR="00852042" w:rsidRPr="007C0F2C" w:rsidRDefault="00852042" w:rsidP="006C4607">
            <w:pPr>
              <w:pStyle w:val="naisnod"/>
              <w:spacing w:before="0" w:after="0"/>
            </w:pPr>
            <w:r w:rsidRPr="007C0F2C">
              <w:t>I</w:t>
            </w:r>
            <w:r w:rsidR="000941C5" w:rsidRPr="007C0F2C">
              <w:t>.</w:t>
            </w:r>
            <w:r w:rsidRPr="007C0F2C">
              <w:t xml:space="preserve"> Tiesību akta </w:t>
            </w:r>
            <w:r w:rsidR="002E3FF4" w:rsidRPr="007C0F2C">
              <w:t xml:space="preserve">projekta </w:t>
            </w:r>
            <w:r w:rsidRPr="007C0F2C">
              <w:t>izstrādes nepieciešamība</w:t>
            </w:r>
          </w:p>
        </w:tc>
      </w:tr>
      <w:tr w:rsidR="00262E2B" w:rsidRPr="007C0F2C" w:rsidTr="007A6CE5">
        <w:trPr>
          <w:trHeight w:val="630"/>
        </w:trPr>
        <w:tc>
          <w:tcPr>
            <w:tcW w:w="550" w:type="dxa"/>
          </w:tcPr>
          <w:p w:rsidR="00262E2B" w:rsidRPr="007C0F2C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1.</w:t>
            </w:r>
          </w:p>
        </w:tc>
        <w:tc>
          <w:tcPr>
            <w:tcW w:w="2215" w:type="dxa"/>
          </w:tcPr>
          <w:p w:rsidR="00262E2B" w:rsidRPr="007C0F2C" w:rsidRDefault="002D7F54" w:rsidP="006C4607">
            <w:pPr>
              <w:pStyle w:val="naiskr"/>
              <w:spacing w:before="0" w:after="0"/>
              <w:ind w:hanging="1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Pamatojums</w:t>
            </w:r>
          </w:p>
        </w:tc>
        <w:tc>
          <w:tcPr>
            <w:tcW w:w="7040" w:type="dxa"/>
          </w:tcPr>
          <w:p w:rsidR="00FA72E6" w:rsidRDefault="006169B6" w:rsidP="00E773B3">
            <w:pPr>
              <w:snapToGrid w:val="0"/>
              <w:jc w:val="both"/>
              <w:rPr>
                <w:lang w:eastAsia="ar-SA"/>
              </w:rPr>
            </w:pPr>
            <w:r w:rsidRPr="00841F77">
              <w:t>Ministru kabineta noteikumu projekts „</w:t>
            </w:r>
            <w:r w:rsidR="00054611">
              <w:t>Grozījums</w:t>
            </w:r>
            <w:r w:rsidRPr="00841F77">
              <w:t xml:space="preserve"> Ministru kabineta 2013</w:t>
            </w:r>
            <w:r>
              <w:t>.gada 24.septemba noteikumos Nr.902</w:t>
            </w:r>
            <w:r w:rsidRPr="00841F77">
              <w:t xml:space="preserve"> </w:t>
            </w:r>
            <w:r w:rsidRPr="00841F77">
              <w:rPr>
                <w:bCs/>
              </w:rPr>
              <w:t>„</w:t>
            </w:r>
            <w:r>
              <w:rPr>
                <w:bCs/>
              </w:rPr>
              <w:t xml:space="preserve">Ugunsdrošības un civilās aizsardzības koledžas </w:t>
            </w:r>
            <w:r w:rsidRPr="00841F77">
              <w:rPr>
                <w:bCs/>
              </w:rPr>
              <w:t>maksas pakalpojumu cenrādis””</w:t>
            </w:r>
            <w:r w:rsidRPr="00841F77">
              <w:t xml:space="preserve"> (turpmāk – noteikumu projekts) izstrādāts saskaņā ar </w:t>
            </w:r>
            <w:r w:rsidR="007A6CE5" w:rsidRPr="00D614F8">
              <w:t>Likuma par budžetu un finan</w:t>
            </w:r>
            <w:bookmarkStart w:id="0" w:name="OLE_LINK5"/>
            <w:bookmarkStart w:id="1" w:name="OLE_LINK6"/>
            <w:r w:rsidR="00E773B3">
              <w:t>šu vadību 5.panta devīto daļu,</w:t>
            </w:r>
            <w:r w:rsidR="00E773B3" w:rsidRPr="00E773B3">
              <w:rPr>
                <w:lang w:eastAsia="ar-SA"/>
              </w:rPr>
              <w:t xml:space="preserve"> kas nosaka, ka Ministru kabinets izdod noteikumus par valsts tiešās pārvaldes iestāžu sniegto maksas pakalpojumu cenrāžu apstiprināšanu. </w:t>
            </w:r>
          </w:p>
          <w:bookmarkEnd w:id="0"/>
          <w:bookmarkEnd w:id="1"/>
          <w:p w:rsidR="007733DB" w:rsidRPr="00E773B3" w:rsidRDefault="00E773B3" w:rsidP="00E773B3">
            <w:pPr>
              <w:pStyle w:val="Heading3"/>
              <w:shd w:val="clear" w:color="auto" w:fill="FFFFFF"/>
              <w:spacing w:before="0" w:after="0"/>
              <w:ind w:right="5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Noteikumu projekta izstrādāšanas nepieciešamība izriet arī no </w:t>
            </w:r>
            <w:r w:rsidR="00FA72E6" w:rsidRPr="00D1085A">
              <w:rPr>
                <w:rFonts w:ascii="Times New Roman" w:hAnsi="Times New Roman"/>
                <w:b w:val="0"/>
                <w:sz w:val="24"/>
                <w:szCs w:val="24"/>
              </w:rPr>
              <w:t>Ministru kab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ineta 2006.gada 9.maija rīkojuma</w:t>
            </w:r>
            <w:r w:rsidR="00FA72E6" w:rsidRPr="00D1085A">
              <w:rPr>
                <w:rFonts w:ascii="Times New Roman" w:hAnsi="Times New Roman"/>
                <w:b w:val="0"/>
                <w:sz w:val="24"/>
                <w:szCs w:val="24"/>
              </w:rPr>
              <w:t xml:space="preserve"> Nr.319 „Par Valsts nekustamā īpašuma vienotas pārvaldīšanas un apsaimniekošanas koncepciju”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FA72E6" w:rsidRPr="00E773B3">
              <w:rPr>
                <w:rFonts w:ascii="Times New Roman" w:hAnsi="Times New Roman"/>
                <w:b w:val="0"/>
                <w:sz w:val="24"/>
                <w:szCs w:val="24"/>
              </w:rPr>
              <w:t>Iekšlietu</w:t>
            </w:r>
            <w:proofErr w:type="spellEnd"/>
            <w:r w:rsidR="00FA72E6" w:rsidRPr="00E773B3">
              <w:rPr>
                <w:rFonts w:ascii="Times New Roman" w:hAnsi="Times New Roman"/>
                <w:b w:val="0"/>
                <w:sz w:val="24"/>
                <w:szCs w:val="24"/>
              </w:rPr>
              <w:t xml:space="preserve"> ministrija</w:t>
            </w:r>
            <w:r w:rsidR="00C50E43">
              <w:rPr>
                <w:rFonts w:ascii="Times New Roman" w:hAnsi="Times New Roman"/>
                <w:b w:val="0"/>
                <w:sz w:val="24"/>
                <w:szCs w:val="24"/>
              </w:rPr>
              <w:t>s 2011.gada 19.decembra rīkojuma</w:t>
            </w:r>
            <w:r w:rsidR="00FA72E6" w:rsidRPr="00E773B3">
              <w:rPr>
                <w:rFonts w:ascii="Times New Roman" w:hAnsi="Times New Roman"/>
                <w:b w:val="0"/>
                <w:sz w:val="24"/>
                <w:szCs w:val="24"/>
              </w:rPr>
              <w:t xml:space="preserve"> Nr.2248 „Par nekustamo īpašumu pārvaldīšanas centralizāciju”</w:t>
            </w:r>
            <w:r w:rsidR="00C50E43">
              <w:rPr>
                <w:rFonts w:ascii="Times New Roman" w:hAnsi="Times New Roman"/>
                <w:b w:val="0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7733DB" w:rsidRPr="00E773B3">
              <w:rPr>
                <w:rFonts w:ascii="Times New Roman" w:hAnsi="Times New Roman"/>
                <w:b w:val="0"/>
                <w:sz w:val="24"/>
                <w:szCs w:val="24"/>
              </w:rPr>
              <w:t>Iekšlietu</w:t>
            </w:r>
            <w:proofErr w:type="spellEnd"/>
            <w:r w:rsidR="007733DB" w:rsidRPr="00E773B3">
              <w:rPr>
                <w:rFonts w:ascii="Times New Roman" w:hAnsi="Times New Roman"/>
                <w:b w:val="0"/>
                <w:sz w:val="24"/>
                <w:szCs w:val="24"/>
              </w:rPr>
              <w:t xml:space="preserve"> ministrij</w:t>
            </w:r>
            <w:r w:rsidR="00C50E43">
              <w:rPr>
                <w:rFonts w:ascii="Times New Roman" w:hAnsi="Times New Roman"/>
                <w:b w:val="0"/>
                <w:sz w:val="24"/>
                <w:szCs w:val="24"/>
              </w:rPr>
              <w:t>as 2013.gada 7.novembra rīkojuma</w:t>
            </w:r>
            <w:r w:rsidR="007733DB" w:rsidRPr="00E773B3">
              <w:rPr>
                <w:rFonts w:ascii="Times New Roman" w:hAnsi="Times New Roman"/>
                <w:b w:val="0"/>
                <w:sz w:val="24"/>
                <w:szCs w:val="24"/>
              </w:rPr>
              <w:t xml:space="preserve"> Nr.1-12/2563 „Par </w:t>
            </w:r>
            <w:r w:rsidR="001D375C" w:rsidRPr="00E773B3">
              <w:rPr>
                <w:rFonts w:ascii="Times New Roman" w:hAnsi="Times New Roman"/>
                <w:b w:val="0"/>
                <w:sz w:val="24"/>
                <w:szCs w:val="24"/>
              </w:rPr>
              <w:t>V</w:t>
            </w:r>
            <w:r w:rsidR="00C82E4F" w:rsidRPr="00E773B3">
              <w:rPr>
                <w:rFonts w:ascii="Times New Roman" w:hAnsi="Times New Roman"/>
                <w:b w:val="0"/>
                <w:sz w:val="24"/>
                <w:szCs w:val="24"/>
              </w:rPr>
              <w:t xml:space="preserve">alsts ugunsdzēsības un glābšanas dienesta pārvaldīšanā esošo </w:t>
            </w:r>
            <w:proofErr w:type="spellStart"/>
            <w:r w:rsidR="00C82E4F" w:rsidRPr="00E773B3">
              <w:rPr>
                <w:rFonts w:ascii="Times New Roman" w:hAnsi="Times New Roman"/>
                <w:b w:val="0"/>
                <w:sz w:val="24"/>
                <w:szCs w:val="24"/>
              </w:rPr>
              <w:t>Iekšlietu</w:t>
            </w:r>
            <w:proofErr w:type="spellEnd"/>
            <w:r w:rsidR="00C82E4F" w:rsidRPr="00E773B3">
              <w:rPr>
                <w:rFonts w:ascii="Times New Roman" w:hAnsi="Times New Roman"/>
                <w:b w:val="0"/>
                <w:sz w:val="24"/>
                <w:szCs w:val="24"/>
              </w:rPr>
              <w:t xml:space="preserve"> ministrijas nekustamo īpašumu Rīgas pilsētā un Rīgas reģionā nodošanu Nodrošinājuma valsts aģentūras pārvaldīšanā</w:t>
            </w:r>
            <w:r w:rsidR="007733DB" w:rsidRPr="00E773B3">
              <w:rPr>
                <w:rFonts w:ascii="Times New Roman" w:hAnsi="Times New Roman"/>
                <w:b w:val="0"/>
                <w:sz w:val="24"/>
                <w:szCs w:val="24"/>
              </w:rPr>
              <w:t>”.</w:t>
            </w:r>
          </w:p>
        </w:tc>
      </w:tr>
      <w:tr w:rsidR="00262E2B" w:rsidRPr="007C0F2C" w:rsidTr="007A6CE5">
        <w:trPr>
          <w:trHeight w:val="472"/>
        </w:trPr>
        <w:tc>
          <w:tcPr>
            <w:tcW w:w="550" w:type="dxa"/>
          </w:tcPr>
          <w:p w:rsidR="00262E2B" w:rsidRPr="007C0F2C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2.</w:t>
            </w:r>
          </w:p>
        </w:tc>
        <w:tc>
          <w:tcPr>
            <w:tcW w:w="2215" w:type="dxa"/>
          </w:tcPr>
          <w:p w:rsidR="00262E2B" w:rsidRPr="007C0F2C" w:rsidRDefault="00E25AE6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2"/>
                <w:szCs w:val="22"/>
              </w:rPr>
            </w:pPr>
            <w:r w:rsidRPr="006C73B6">
              <w:t>Pašreizējā situācija un problēmas, kuru risināšanai tiesību akta projekts izstrādāts, tiesiskā regulējuma mērķis un būtība</w:t>
            </w:r>
          </w:p>
        </w:tc>
        <w:tc>
          <w:tcPr>
            <w:tcW w:w="7040" w:type="dxa"/>
          </w:tcPr>
          <w:p w:rsidR="009C6D28" w:rsidRPr="008A4009" w:rsidRDefault="003B1B4A" w:rsidP="007B49E0">
            <w:pPr>
              <w:pStyle w:val="naiskr"/>
              <w:spacing w:before="0" w:after="0"/>
              <w:jc w:val="both"/>
            </w:pPr>
            <w:proofErr w:type="spellStart"/>
            <w:r>
              <w:t>Iekšlietu</w:t>
            </w:r>
            <w:proofErr w:type="spellEnd"/>
            <w:r>
              <w:t xml:space="preserve"> ministrijas 2011.gada 19.decembra rīkojuma Nr.2248 „Par nekustamo īpašumu pārvaldīšanas centralizāciju” izpildes rezultātā Nodrošinājuma valsts aģentūra</w:t>
            </w:r>
            <w:r w:rsidR="00B7578B">
              <w:t xml:space="preserve"> </w:t>
            </w:r>
            <w:r w:rsidR="007B49E0">
              <w:t xml:space="preserve">(turpmāk – aģentūra) </w:t>
            </w:r>
            <w:r w:rsidR="00B7578B">
              <w:t>ir pārņēmusi nekustamā īpašuma, kurā atrodas  Ugunsdrošības un civilās aizsardzības koledža (turpmāk – koledža)</w:t>
            </w:r>
            <w:r w:rsidR="00D20976">
              <w:t>,</w:t>
            </w:r>
            <w:r w:rsidR="00B7578B">
              <w:t xml:space="preserve"> </w:t>
            </w:r>
            <w:r>
              <w:t>Ķengaraga ielā 3/1, Rīgā pārvaldīšanu. Maksas pakalpojumus (dienesta viesnīcas pakalpojumi, auditorijas noma, aktu zāles noma koledžā Ķengaraga ielā 3/1, Rīgā) turpmāk sniegs aģentūra saskaņā ar aģentūras maksas pakalpojumu cenrādi, tādēļ nepieciešams veikt grozījumus Ministru kabineta 2013.gada 24.septembra noteikumos Nr.902</w:t>
            </w:r>
            <w:r w:rsidRPr="00963A84">
              <w:t xml:space="preserve"> „</w:t>
            </w:r>
            <w:r w:rsidRPr="00963A84">
              <w:rPr>
                <w:bCs/>
              </w:rPr>
              <w:t>Ugunsdrošības un civilās aizsardzības koledžas maksas pakalpojumu cenrādis</w:t>
            </w:r>
            <w:r>
              <w:t xml:space="preserve">”, svītrojot šos maksas pakalpojumus no </w:t>
            </w:r>
            <w:r w:rsidRPr="00963A84">
              <w:rPr>
                <w:bCs/>
              </w:rPr>
              <w:t xml:space="preserve"> koledžas</w:t>
            </w:r>
            <w:r>
              <w:rPr>
                <w:bCs/>
              </w:rPr>
              <w:t xml:space="preserve"> maksas pakalpojumu cenrāža.</w:t>
            </w:r>
            <w:r w:rsidR="00BA7F89">
              <w:rPr>
                <w:bCs/>
              </w:rPr>
              <w:t xml:space="preserve"> </w:t>
            </w:r>
          </w:p>
        </w:tc>
      </w:tr>
      <w:tr w:rsidR="00262E2B" w:rsidRPr="007C0F2C" w:rsidTr="007A6CE5">
        <w:trPr>
          <w:trHeight w:val="476"/>
        </w:trPr>
        <w:tc>
          <w:tcPr>
            <w:tcW w:w="550" w:type="dxa"/>
          </w:tcPr>
          <w:p w:rsidR="00262E2B" w:rsidRPr="007C0F2C" w:rsidRDefault="00E25AE6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62E2B" w:rsidRPr="007C0F2C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262E2B" w:rsidRPr="007C0F2C" w:rsidRDefault="001A4066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Projekta i</w:t>
            </w:r>
            <w:r w:rsidR="00262E2B" w:rsidRPr="007C0F2C">
              <w:rPr>
                <w:sz w:val="22"/>
                <w:szCs w:val="22"/>
              </w:rPr>
              <w:t>zstrād</w:t>
            </w:r>
            <w:r w:rsidR="00420870" w:rsidRPr="007C0F2C">
              <w:rPr>
                <w:sz w:val="22"/>
                <w:szCs w:val="22"/>
              </w:rPr>
              <w:t xml:space="preserve">ē </w:t>
            </w:r>
            <w:r w:rsidR="00262E2B" w:rsidRPr="007C0F2C">
              <w:rPr>
                <w:sz w:val="22"/>
                <w:szCs w:val="22"/>
              </w:rPr>
              <w:t>iesaistītās institūcijas</w:t>
            </w:r>
          </w:p>
        </w:tc>
        <w:tc>
          <w:tcPr>
            <w:tcW w:w="7040" w:type="dxa"/>
          </w:tcPr>
          <w:p w:rsidR="00262E2B" w:rsidRPr="007C0F2C" w:rsidRDefault="0001561C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874130">
              <w:t>Ugunsdrošības u</w:t>
            </w:r>
            <w:r>
              <w:t>n civilās aizsardzības koledža</w:t>
            </w:r>
          </w:p>
        </w:tc>
      </w:tr>
      <w:tr w:rsidR="00262E2B" w:rsidRPr="007C0F2C" w:rsidTr="007A6CE5">
        <w:tc>
          <w:tcPr>
            <w:tcW w:w="550" w:type="dxa"/>
          </w:tcPr>
          <w:p w:rsidR="00262E2B" w:rsidRPr="007C0F2C" w:rsidRDefault="00E25AE6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62E2B" w:rsidRPr="007C0F2C">
              <w:rPr>
                <w:sz w:val="22"/>
                <w:szCs w:val="22"/>
              </w:rPr>
              <w:t>.</w:t>
            </w:r>
          </w:p>
        </w:tc>
        <w:tc>
          <w:tcPr>
            <w:tcW w:w="2215" w:type="dxa"/>
          </w:tcPr>
          <w:p w:rsidR="00262E2B" w:rsidRPr="007C0F2C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Cita informācija</w:t>
            </w:r>
          </w:p>
        </w:tc>
        <w:tc>
          <w:tcPr>
            <w:tcW w:w="7040" w:type="dxa"/>
          </w:tcPr>
          <w:p w:rsidR="00262E2B" w:rsidRPr="007C0F2C" w:rsidRDefault="00262E2B" w:rsidP="006C4607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7C0F2C">
              <w:rPr>
                <w:sz w:val="22"/>
                <w:szCs w:val="22"/>
              </w:rPr>
              <w:t>Nav</w:t>
            </w:r>
          </w:p>
        </w:tc>
      </w:tr>
    </w:tbl>
    <w:p w:rsidR="00852042" w:rsidRDefault="00852042" w:rsidP="001D375C">
      <w:pPr>
        <w:pStyle w:val="naisf"/>
        <w:spacing w:before="0" w:after="0"/>
        <w:ind w:firstLine="0"/>
      </w:pPr>
    </w:p>
    <w:tbl>
      <w:tblPr>
        <w:tblW w:w="5434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2808"/>
        <w:gridCol w:w="6194"/>
      </w:tblGrid>
      <w:tr w:rsidR="00411346" w:rsidRPr="006C73B6" w:rsidTr="00411346">
        <w:trPr>
          <w:trHeight w:val="555"/>
        </w:trPr>
        <w:tc>
          <w:tcPr>
            <w:tcW w:w="5000" w:type="pct"/>
            <w:gridSpan w:val="3"/>
            <w:vAlign w:val="center"/>
          </w:tcPr>
          <w:p w:rsidR="00411346" w:rsidRPr="006C73B6" w:rsidRDefault="00411346" w:rsidP="00D1085A">
            <w:pPr>
              <w:ind w:firstLine="300"/>
              <w:jc w:val="center"/>
              <w:rPr>
                <w:b/>
                <w:bCs/>
              </w:rPr>
            </w:pPr>
            <w:r w:rsidRPr="006C73B6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411346" w:rsidRPr="00FB1DB6" w:rsidTr="00411346">
        <w:trPr>
          <w:trHeight w:val="465"/>
        </w:trPr>
        <w:tc>
          <w:tcPr>
            <w:tcW w:w="429" w:type="pct"/>
          </w:tcPr>
          <w:p w:rsidR="00411346" w:rsidRPr="006C73B6" w:rsidRDefault="00411346" w:rsidP="00D1085A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1.</w:t>
            </w:r>
          </w:p>
        </w:tc>
        <w:tc>
          <w:tcPr>
            <w:tcW w:w="1426" w:type="pct"/>
          </w:tcPr>
          <w:p w:rsidR="00411346" w:rsidRPr="006C73B6" w:rsidRDefault="00411346" w:rsidP="00D1085A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 xml:space="preserve">Sabiedrības </w:t>
            </w:r>
            <w:proofErr w:type="spellStart"/>
            <w:r w:rsidRPr="006C73B6">
              <w:rPr>
                <w:rFonts w:eastAsia="Calibri"/>
                <w:iCs/>
              </w:rPr>
              <w:t>mērķgrupas</w:t>
            </w:r>
            <w:proofErr w:type="spellEnd"/>
            <w:r w:rsidRPr="006C73B6">
              <w:rPr>
                <w:rFonts w:eastAsia="Calibri"/>
                <w:iCs/>
              </w:rPr>
              <w:t>, kuras tiesiskais regulējums ietekmē vai varētu ietekmēt</w:t>
            </w:r>
          </w:p>
        </w:tc>
        <w:tc>
          <w:tcPr>
            <w:tcW w:w="3144" w:type="pct"/>
          </w:tcPr>
          <w:p w:rsidR="00411346" w:rsidRPr="00FB1DB6" w:rsidRDefault="00411346" w:rsidP="00993AA0">
            <w:pPr>
              <w:jc w:val="both"/>
              <w:rPr>
                <w:rFonts w:eastAsia="Calibri"/>
                <w:iCs/>
              </w:rPr>
            </w:pPr>
            <w:r>
              <w:t>Privātpersonas, kuras izmanto maksas pakalpojumus (dienesta viesnīcas pakalpojumi, auditorijas noma, aktu zāles noma koledžā Ķengaraga ielā 3/1, Rīgā)</w:t>
            </w:r>
            <w:r w:rsidRPr="00FB1DB6">
              <w:t>.</w:t>
            </w:r>
          </w:p>
        </w:tc>
      </w:tr>
      <w:tr w:rsidR="00411346" w:rsidRPr="00E919D3" w:rsidTr="00411346">
        <w:trPr>
          <w:trHeight w:val="510"/>
        </w:trPr>
        <w:tc>
          <w:tcPr>
            <w:tcW w:w="429" w:type="pct"/>
          </w:tcPr>
          <w:p w:rsidR="00411346" w:rsidRPr="006C73B6" w:rsidRDefault="00411346" w:rsidP="00D1085A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2.</w:t>
            </w:r>
          </w:p>
        </w:tc>
        <w:tc>
          <w:tcPr>
            <w:tcW w:w="1426" w:type="pct"/>
          </w:tcPr>
          <w:p w:rsidR="00411346" w:rsidRPr="006C73B6" w:rsidRDefault="00411346" w:rsidP="00D1085A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Tiesiskā regulējuma ietekme uz tautsaimniecību un administratīvo slogu</w:t>
            </w:r>
          </w:p>
        </w:tc>
        <w:tc>
          <w:tcPr>
            <w:tcW w:w="3144" w:type="pct"/>
          </w:tcPr>
          <w:p w:rsidR="00411346" w:rsidRPr="00E919D3" w:rsidRDefault="00411346" w:rsidP="00D1085A">
            <w:pPr>
              <w:jc w:val="both"/>
              <w:rPr>
                <w:rFonts w:eastAsia="Calibri"/>
                <w:iCs/>
                <w:color w:val="FF0000"/>
              </w:rPr>
            </w:pPr>
            <w:r>
              <w:rPr>
                <w:rFonts w:eastAsia="Calibri"/>
                <w:iCs/>
              </w:rPr>
              <w:t>Projekts šo jomu neskar</w:t>
            </w:r>
          </w:p>
        </w:tc>
      </w:tr>
      <w:tr w:rsidR="00411346" w:rsidRPr="006C73B6" w:rsidTr="00411346">
        <w:trPr>
          <w:trHeight w:val="510"/>
        </w:trPr>
        <w:tc>
          <w:tcPr>
            <w:tcW w:w="429" w:type="pct"/>
          </w:tcPr>
          <w:p w:rsidR="00411346" w:rsidRPr="006C73B6" w:rsidRDefault="00411346" w:rsidP="00D1085A">
            <w:r w:rsidRPr="006C73B6">
              <w:t>3.</w:t>
            </w:r>
          </w:p>
        </w:tc>
        <w:tc>
          <w:tcPr>
            <w:tcW w:w="1426" w:type="pct"/>
          </w:tcPr>
          <w:p w:rsidR="00411346" w:rsidRPr="006C73B6" w:rsidRDefault="00411346" w:rsidP="00D1085A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Administratīvo izmaksu monetārs novērtējums</w:t>
            </w:r>
          </w:p>
        </w:tc>
        <w:tc>
          <w:tcPr>
            <w:tcW w:w="3144" w:type="pct"/>
          </w:tcPr>
          <w:p w:rsidR="00411346" w:rsidRPr="006C73B6" w:rsidRDefault="00411346" w:rsidP="00D1085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Projekts šo jomu neskar</w:t>
            </w:r>
          </w:p>
        </w:tc>
      </w:tr>
      <w:tr w:rsidR="00411346" w:rsidRPr="006C73B6" w:rsidTr="00411346">
        <w:trPr>
          <w:trHeight w:val="345"/>
        </w:trPr>
        <w:tc>
          <w:tcPr>
            <w:tcW w:w="429" w:type="pct"/>
          </w:tcPr>
          <w:p w:rsidR="00411346" w:rsidRPr="006C73B6" w:rsidRDefault="00411346" w:rsidP="00D1085A">
            <w:r w:rsidRPr="006C73B6">
              <w:lastRenderedPageBreak/>
              <w:t>4.</w:t>
            </w:r>
          </w:p>
        </w:tc>
        <w:tc>
          <w:tcPr>
            <w:tcW w:w="1426" w:type="pct"/>
          </w:tcPr>
          <w:p w:rsidR="00411346" w:rsidRPr="006C73B6" w:rsidRDefault="00411346" w:rsidP="00D1085A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Cita informācija</w:t>
            </w:r>
          </w:p>
        </w:tc>
        <w:tc>
          <w:tcPr>
            <w:tcW w:w="3144" w:type="pct"/>
          </w:tcPr>
          <w:p w:rsidR="00411346" w:rsidRPr="006C73B6" w:rsidRDefault="00411346" w:rsidP="004E66C3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Nav</w:t>
            </w:r>
          </w:p>
        </w:tc>
      </w:tr>
    </w:tbl>
    <w:p w:rsidR="00FC5453" w:rsidRDefault="00FC5453" w:rsidP="001D375C">
      <w:pPr>
        <w:pStyle w:val="naisf"/>
        <w:spacing w:before="0" w:after="0"/>
        <w:ind w:firstLine="0"/>
      </w:pPr>
    </w:p>
    <w:tbl>
      <w:tblPr>
        <w:tblW w:w="9924" w:type="dxa"/>
        <w:tblInd w:w="-396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1418"/>
        <w:gridCol w:w="1559"/>
        <w:gridCol w:w="1702"/>
      </w:tblGrid>
      <w:tr w:rsidR="00FC5453" w:rsidRPr="00FC5453" w:rsidTr="000D48D5">
        <w:trPr>
          <w:trHeight w:val="253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FC5453" w:rsidRPr="00FC5453" w:rsidRDefault="00FC5453" w:rsidP="000D48D5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FC5453">
              <w:rPr>
                <w:b/>
                <w:bCs/>
                <w:lang w:eastAsia="ar-SA"/>
              </w:rPr>
              <w:t>III. Tiesību akta projekta ietekme uz valsts budžetu un pašvaldību budžetiem</w:t>
            </w:r>
          </w:p>
        </w:tc>
      </w:tr>
      <w:tr w:rsidR="00FC5453" w:rsidRPr="00FC5453" w:rsidTr="0020523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b/>
                <w:bCs/>
                <w:lang w:eastAsia="ar-SA"/>
              </w:rPr>
            </w:pPr>
            <w:r w:rsidRPr="00FC5453">
              <w:rPr>
                <w:b/>
                <w:bCs/>
                <w:lang w:eastAsia="ar-SA"/>
              </w:rPr>
              <w:t>Rādītāji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b/>
                <w:bCs/>
                <w:lang w:eastAsia="ar-SA"/>
              </w:rPr>
            </w:pPr>
            <w:r w:rsidRPr="00FC5453">
              <w:rPr>
                <w:b/>
                <w:bCs/>
                <w:lang w:eastAsia="ar-SA"/>
              </w:rPr>
              <w:t>201</w:t>
            </w:r>
            <w:r>
              <w:rPr>
                <w:b/>
                <w:bCs/>
                <w:lang w:eastAsia="ar-SA"/>
              </w:rPr>
              <w:t>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20523C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Turpmākie trīs gadi (</w:t>
            </w:r>
            <w:proofErr w:type="spellStart"/>
            <w:r w:rsidRPr="0020523C">
              <w:rPr>
                <w:i/>
                <w:lang w:eastAsia="ar-SA"/>
              </w:rPr>
              <w:t>euro</w:t>
            </w:r>
            <w:proofErr w:type="spellEnd"/>
            <w:r w:rsidR="00FC5453" w:rsidRPr="00FC5453">
              <w:rPr>
                <w:lang w:eastAsia="ar-SA"/>
              </w:rPr>
              <w:t>)</w:t>
            </w:r>
          </w:p>
        </w:tc>
      </w:tr>
      <w:tr w:rsidR="00FC5453" w:rsidRPr="00FC5453" w:rsidTr="003C2034">
        <w:tc>
          <w:tcPr>
            <w:tcW w:w="2552" w:type="dxa"/>
            <w:vMerge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b/>
                <w:bCs/>
                <w:lang w:eastAsia="ar-SA"/>
              </w:rPr>
            </w:pPr>
          </w:p>
        </w:tc>
        <w:tc>
          <w:tcPr>
            <w:tcW w:w="2693" w:type="dxa"/>
            <w:gridSpan w:val="2"/>
            <w:vMerge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b/>
                <w:bCs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b/>
                <w:bCs/>
                <w:lang w:eastAsia="ar-SA"/>
              </w:rPr>
            </w:pPr>
            <w:r w:rsidRPr="00FC5453">
              <w:rPr>
                <w:b/>
                <w:bCs/>
                <w:lang w:eastAsia="ar-SA"/>
              </w:rPr>
              <w:t>201</w:t>
            </w:r>
            <w:r>
              <w:rPr>
                <w:b/>
                <w:bCs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b/>
                <w:bCs/>
                <w:lang w:eastAsia="ar-SA"/>
              </w:rPr>
            </w:pPr>
            <w:r w:rsidRPr="00FC5453">
              <w:rPr>
                <w:b/>
                <w:bCs/>
                <w:lang w:eastAsia="ar-SA"/>
              </w:rPr>
              <w:t>201</w:t>
            </w:r>
            <w:r>
              <w:rPr>
                <w:b/>
                <w:bCs/>
                <w:lang w:eastAsia="ar-SA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b/>
                <w:bCs/>
                <w:lang w:eastAsia="ar-SA"/>
              </w:rPr>
            </w:pPr>
            <w:r w:rsidRPr="00FC5453">
              <w:rPr>
                <w:b/>
                <w:bCs/>
                <w:lang w:eastAsia="ar-SA"/>
              </w:rPr>
              <w:t>201</w:t>
            </w:r>
            <w:r>
              <w:rPr>
                <w:b/>
                <w:bCs/>
                <w:lang w:eastAsia="ar-SA"/>
              </w:rPr>
              <w:t>7</w:t>
            </w:r>
          </w:p>
        </w:tc>
      </w:tr>
      <w:tr w:rsidR="00FC5453" w:rsidRPr="00FC5453" w:rsidTr="0020523C">
        <w:tc>
          <w:tcPr>
            <w:tcW w:w="2552" w:type="dxa"/>
            <w:vMerge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s</w:t>
            </w:r>
            <w:r w:rsidRPr="00FC5453">
              <w:rPr>
                <w:lang w:eastAsia="ar-SA"/>
              </w:rPr>
              <w:t>askaņā ar valsts budžetu kārtējam gadam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</w:t>
            </w:r>
            <w:r w:rsidRPr="00FC5453">
              <w:rPr>
                <w:lang w:eastAsia="ar-SA"/>
              </w:rPr>
              <w:t xml:space="preserve">zmaiņas kārtējā gadā, salīdzinot ar </w:t>
            </w:r>
            <w:r w:rsidR="0020523C">
              <w:rPr>
                <w:lang w:eastAsia="ar-SA"/>
              </w:rPr>
              <w:t xml:space="preserve">valsts </w:t>
            </w:r>
            <w:r w:rsidRPr="00FC5453">
              <w:rPr>
                <w:lang w:eastAsia="ar-SA"/>
              </w:rPr>
              <w:t>budžetu kārtējam gadam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3E26A8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</w:t>
            </w:r>
            <w:r w:rsidR="00F20422">
              <w:rPr>
                <w:lang w:eastAsia="ar-SA"/>
              </w:rPr>
              <w:t>zmaiņas, salīdzinot ar 2014</w:t>
            </w:r>
            <w:r w:rsidR="00FC5453" w:rsidRPr="00FC5453">
              <w:rPr>
                <w:lang w:eastAsia="ar-SA"/>
              </w:rPr>
              <w:t>. gadu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3E26A8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</w:t>
            </w:r>
            <w:r w:rsidR="00F20422">
              <w:rPr>
                <w:lang w:eastAsia="ar-SA"/>
              </w:rPr>
              <w:t>zmaiņas, salīdzinot ar 2014</w:t>
            </w:r>
            <w:r w:rsidR="00FC5453" w:rsidRPr="00FC5453">
              <w:rPr>
                <w:lang w:eastAsia="ar-SA"/>
              </w:rPr>
              <w:t>. gadu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A724AB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i</w:t>
            </w:r>
            <w:r w:rsidR="00F20422">
              <w:rPr>
                <w:lang w:eastAsia="ar-SA"/>
              </w:rPr>
              <w:t>zmaiņas, salīdzinot ar 2014</w:t>
            </w:r>
            <w:r w:rsidR="00FC5453" w:rsidRPr="00FC5453">
              <w:rPr>
                <w:lang w:eastAsia="ar-SA"/>
              </w:rPr>
              <w:t>. gadu</w:t>
            </w:r>
          </w:p>
        </w:tc>
      </w:tr>
      <w:tr w:rsidR="00FC5453" w:rsidRPr="00FC5453" w:rsidTr="003C20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6</w:t>
            </w:r>
          </w:p>
        </w:tc>
      </w:tr>
      <w:tr w:rsidR="00FC5453" w:rsidRPr="00FC5453" w:rsidTr="003C20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1. Budžeta ieņēmumi: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C1103C" w:rsidP="00FC5453">
            <w:pPr>
              <w:suppressAutoHyphens/>
              <w:snapToGrid w:val="0"/>
              <w:ind w:left="-30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10</w:t>
            </w:r>
            <w:r w:rsidR="00435F3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1.1. valsts pamatbudžets, tai skaitā ieņēmumi no maksas pakalpojumiem un citi pašu ieņēmumi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C1103C" w:rsidP="00FC5453">
            <w:pPr>
              <w:suppressAutoHyphens/>
              <w:snapToGrid w:val="0"/>
              <w:ind w:left="-30"/>
              <w:jc w:val="center"/>
              <w:rPr>
                <w:color w:val="FF0000"/>
                <w:highlight w:val="yellow"/>
                <w:lang w:eastAsia="ar-SA"/>
              </w:rPr>
            </w:pPr>
            <w:r>
              <w:rPr>
                <w:lang w:eastAsia="ar-SA"/>
              </w:rPr>
              <w:t>10</w:t>
            </w:r>
            <w:r w:rsidR="00435F3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1.2. valsts speciālais budžets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1.3. pašvaldību budžets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2. Budžeta izdevumi: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C1103C" w:rsidP="00FC5453">
            <w:pPr>
              <w:suppressAutoHyphens/>
              <w:snapToGrid w:val="0"/>
              <w:ind w:left="-30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10</w:t>
            </w:r>
            <w:r w:rsidR="00435F3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2.1. valsts pamatbudžets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C1103C" w:rsidP="00FC5453">
            <w:pPr>
              <w:suppressAutoHyphens/>
              <w:snapToGrid w:val="0"/>
              <w:ind w:left="-30"/>
              <w:jc w:val="center"/>
              <w:rPr>
                <w:color w:val="FF0000"/>
                <w:highlight w:val="yellow"/>
                <w:lang w:eastAsia="ar-SA"/>
              </w:rPr>
            </w:pPr>
            <w:r>
              <w:rPr>
                <w:lang w:eastAsia="ar-SA"/>
              </w:rPr>
              <w:t>10</w:t>
            </w:r>
            <w:r w:rsidR="00435F3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554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2.2. valsts speciālais budžets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highlight w:val="yellow"/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2.3. pašvaldību budžets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3. Finansiālā ietekme: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3.1. valsts pamatbudžets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3.2. speciālais budžets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3.3. pašvaldību budžets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3C2034">
        <w:trPr>
          <w:trHeight w:val="16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both"/>
              <w:rPr>
                <w:lang w:eastAsia="ar-SA"/>
              </w:rPr>
            </w:pPr>
            <w:r w:rsidRPr="00FC5453">
              <w:rPr>
                <w:lang w:eastAsia="ar-SA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191EC7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Projekts šo jomu neskar</w:t>
            </w:r>
          </w:p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191EC7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Projekts šo jomu neskar</w:t>
            </w:r>
          </w:p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191EC7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Projekts šo jomu neskar</w:t>
            </w:r>
          </w:p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EC7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 xml:space="preserve">Projekts šo </w:t>
            </w:r>
          </w:p>
          <w:p w:rsidR="00FC5453" w:rsidRPr="00FC5453" w:rsidRDefault="00191EC7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jomu neskar</w:t>
            </w:r>
          </w:p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5. Precizēta finansiālā ietekme: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A724A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20523C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5.1. valsts pamatbudžets</w:t>
            </w:r>
          </w:p>
        </w:tc>
        <w:tc>
          <w:tcPr>
            <w:tcW w:w="1276" w:type="dxa"/>
            <w:vMerge/>
            <w:tcBorders>
              <w:top w:val="double" w:sz="1" w:space="0" w:color="000000"/>
              <w:left w:val="single" w:sz="4" w:space="0" w:color="auto"/>
              <w:bottom w:val="double" w:sz="1" w:space="0" w:color="000000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5.2. speciālais budžets</w:t>
            </w:r>
          </w:p>
        </w:tc>
        <w:tc>
          <w:tcPr>
            <w:tcW w:w="1276" w:type="dxa"/>
            <w:vMerge/>
            <w:tcBorders>
              <w:top w:val="double" w:sz="1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5.3. pašvaldību budžets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FC5453" w:rsidP="00FC5453">
            <w:pPr>
              <w:suppressAutoHyphens/>
              <w:snapToGrid w:val="0"/>
              <w:ind w:left="-30"/>
              <w:jc w:val="center"/>
              <w:rPr>
                <w:lang w:eastAsia="ar-SA"/>
              </w:rPr>
            </w:pPr>
            <w:r w:rsidRPr="00FC5453">
              <w:rPr>
                <w:lang w:eastAsia="ar-SA"/>
              </w:rPr>
              <w:t>0</w:t>
            </w:r>
          </w:p>
        </w:tc>
      </w:tr>
      <w:tr w:rsidR="00FC5453" w:rsidRPr="00FC5453" w:rsidTr="002052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1" w:space="0" w:color="000000"/>
              <w:right w:val="single" w:sz="4" w:space="0" w:color="auto"/>
            </w:tcBorders>
          </w:tcPr>
          <w:p w:rsidR="003C2034" w:rsidRDefault="00FC5453" w:rsidP="003C2034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 xml:space="preserve">6. Detalizēts ieņēmumu un izdevumu aprēķins (ja nepieciešams, detalizētu ieņēmumu un izdevumu </w:t>
            </w:r>
            <w:r w:rsidRPr="00FC5453">
              <w:rPr>
                <w:lang w:eastAsia="ar-SA"/>
              </w:rPr>
              <w:lastRenderedPageBreak/>
              <w:t>aprēķinu var pievienot anotācijas pielikumā):</w:t>
            </w:r>
          </w:p>
          <w:p w:rsidR="003C2034" w:rsidRDefault="003C2034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6.1. detalizēts ieņēmumu aprēķins</w:t>
            </w:r>
          </w:p>
          <w:p w:rsidR="003C2034" w:rsidRPr="00FC5453" w:rsidRDefault="003C2034" w:rsidP="00FC5453">
            <w:pPr>
              <w:suppressAutoHyphens/>
              <w:snapToGrid w:val="0"/>
              <w:ind w:left="-30"/>
              <w:rPr>
                <w:lang w:eastAsia="ar-SA"/>
              </w:rPr>
            </w:pPr>
            <w:r w:rsidRPr="00FC5453">
              <w:rPr>
                <w:lang w:eastAsia="ar-SA"/>
              </w:rPr>
              <w:t>6.2. detalizēts izdevumu aprēķins</w:t>
            </w:r>
          </w:p>
        </w:tc>
        <w:tc>
          <w:tcPr>
            <w:tcW w:w="7372" w:type="dxa"/>
            <w:gridSpan w:val="5"/>
            <w:tcBorders>
              <w:top w:val="double" w:sz="1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C5453" w:rsidRPr="00FC5453" w:rsidRDefault="003B0153" w:rsidP="003C2034">
            <w:pPr>
              <w:tabs>
                <w:tab w:val="left" w:pos="284"/>
              </w:tabs>
              <w:suppressAutoHyphens/>
              <w:jc w:val="both"/>
              <w:rPr>
                <w:lang w:eastAsia="ar-SA"/>
              </w:rPr>
            </w:pPr>
            <w:r>
              <w:rPr>
                <w:bCs/>
              </w:rPr>
              <w:lastRenderedPageBreak/>
              <w:t>Nav</w:t>
            </w:r>
          </w:p>
        </w:tc>
      </w:tr>
      <w:tr w:rsidR="00FC5453" w:rsidRPr="00FC5453" w:rsidTr="003B0153">
        <w:trPr>
          <w:trHeight w:val="2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FC5453" w:rsidP="00FC5453">
            <w:pPr>
              <w:suppressAutoHyphens/>
              <w:snapToGrid w:val="0"/>
              <w:spacing w:before="120"/>
              <w:ind w:left="-30"/>
              <w:jc w:val="both"/>
              <w:rPr>
                <w:lang w:eastAsia="ar-SA"/>
              </w:rPr>
            </w:pPr>
            <w:r w:rsidRPr="00FC5453">
              <w:rPr>
                <w:lang w:eastAsia="ar-SA"/>
              </w:rPr>
              <w:lastRenderedPageBreak/>
              <w:t>7.Cita informācija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53" w:rsidRPr="00FC5453" w:rsidRDefault="003B0153" w:rsidP="00993AA0">
            <w:pPr>
              <w:suppressAutoHyphens/>
              <w:snapToGrid w:val="0"/>
              <w:ind w:left="-30"/>
              <w:jc w:val="both"/>
              <w:rPr>
                <w:lang w:eastAsia="ar-SA"/>
              </w:rPr>
            </w:pPr>
            <w:r>
              <w:rPr>
                <w:bCs/>
              </w:rPr>
              <w:t xml:space="preserve">2014.gadā </w:t>
            </w:r>
            <w:r w:rsidRPr="00963A84">
              <w:rPr>
                <w:bCs/>
              </w:rPr>
              <w:t>koledža</w:t>
            </w:r>
            <w:r>
              <w:rPr>
                <w:bCs/>
              </w:rPr>
              <w:t>i nebija plānoti ieņēmumi no maksas pakalpojumiem -</w:t>
            </w:r>
            <w:r>
              <w:t xml:space="preserve"> dienesta viesnīcas pakalpojumi, auditorijas noma, a</w:t>
            </w:r>
            <w:r w:rsidR="00993AA0">
              <w:t>ktu zāles noma</w:t>
            </w:r>
            <w:r>
              <w:t xml:space="preserve"> Ķengaraga ielā 3/1, Rīgā.</w:t>
            </w:r>
          </w:p>
        </w:tc>
      </w:tr>
    </w:tbl>
    <w:p w:rsidR="00FC5453" w:rsidRDefault="00FC5453" w:rsidP="00560BBA">
      <w:pPr>
        <w:pStyle w:val="naisf"/>
        <w:spacing w:before="0" w:after="0"/>
        <w:ind w:firstLine="0"/>
      </w:pPr>
    </w:p>
    <w:tbl>
      <w:tblPr>
        <w:tblW w:w="5434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5"/>
        <w:gridCol w:w="2808"/>
        <w:gridCol w:w="6194"/>
      </w:tblGrid>
      <w:tr w:rsidR="00586ED3" w:rsidRPr="006C73B6" w:rsidTr="000D48D5">
        <w:trPr>
          <w:trHeight w:val="298"/>
        </w:trPr>
        <w:tc>
          <w:tcPr>
            <w:tcW w:w="5000" w:type="pct"/>
            <w:gridSpan w:val="3"/>
            <w:vAlign w:val="center"/>
          </w:tcPr>
          <w:p w:rsidR="00586ED3" w:rsidRPr="000D48D5" w:rsidRDefault="00586ED3" w:rsidP="0036419A">
            <w:pPr>
              <w:pStyle w:val="naisf"/>
              <w:spacing w:before="0" w:after="0"/>
              <w:jc w:val="center"/>
            </w:pPr>
            <w:r>
              <w:rPr>
                <w:b/>
                <w:bCs/>
              </w:rPr>
              <w:t>IV</w:t>
            </w:r>
            <w:r w:rsidRPr="006C73B6">
              <w:rPr>
                <w:b/>
                <w:bCs/>
              </w:rPr>
              <w:t xml:space="preserve">. Tiesību akta projekta ietekme uz </w:t>
            </w:r>
            <w:r>
              <w:rPr>
                <w:b/>
                <w:bCs/>
              </w:rPr>
              <w:t>spēkā esošo tiesību normu sistēmu</w:t>
            </w:r>
          </w:p>
        </w:tc>
      </w:tr>
      <w:tr w:rsidR="00586ED3" w:rsidRPr="00FB1DB6" w:rsidTr="00586ED3">
        <w:trPr>
          <w:trHeight w:val="465"/>
        </w:trPr>
        <w:tc>
          <w:tcPr>
            <w:tcW w:w="429" w:type="pct"/>
          </w:tcPr>
          <w:p w:rsidR="00586ED3" w:rsidRPr="006C73B6" w:rsidRDefault="00586ED3" w:rsidP="001B0496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1.</w:t>
            </w:r>
          </w:p>
        </w:tc>
        <w:tc>
          <w:tcPr>
            <w:tcW w:w="1426" w:type="pct"/>
          </w:tcPr>
          <w:p w:rsidR="00586ED3" w:rsidRPr="006C73B6" w:rsidRDefault="00586ED3" w:rsidP="001B049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Nepieciešamie saistītie tiesību aktu projekti</w:t>
            </w:r>
          </w:p>
        </w:tc>
        <w:tc>
          <w:tcPr>
            <w:tcW w:w="3145" w:type="pct"/>
          </w:tcPr>
          <w:p w:rsidR="00132961" w:rsidRPr="000D48D5" w:rsidRDefault="00993AA0" w:rsidP="00391F2C">
            <w:pPr>
              <w:jc w:val="both"/>
            </w:pPr>
            <w:r>
              <w:t>Noteikumu projektam</w:t>
            </w:r>
            <w:r w:rsidR="009230F8">
              <w:t xml:space="preserve"> jāstājas spēkā vienlaicīgi </w:t>
            </w:r>
            <w:r w:rsidR="00132961">
              <w:t>ar Ministru kabineta noteikumu projektu</w:t>
            </w:r>
            <w:r w:rsidR="009230F8">
              <w:t xml:space="preserve"> „Nodrošinājuma valsts aģentūras maksas pakalpojumu cenrādis”, jo dienesta viesnīcas pakalpojumus, auditorijas nomas, aktu zāles nomas pakalpojumus Ķengaraga ielā 3/1, Rīgā turpmāk sniegs aģentūra saskaņā ar aģentūras maksas pakalpojumu cenrādi.</w:t>
            </w:r>
            <w:r w:rsidR="00132961">
              <w:t xml:space="preserve"> </w:t>
            </w:r>
            <w:proofErr w:type="spellStart"/>
            <w:r w:rsidR="00132961">
              <w:t>Iekšlietu</w:t>
            </w:r>
            <w:proofErr w:type="spellEnd"/>
            <w:r w:rsidR="00132961">
              <w:t xml:space="preserve"> ministrija 2014.gada 27.maijā ar vēstuli Nr.1-26/1431 ir nosūtījusi Finanšu ministrijai un Tieslietu ministrijai saskaņošanai Ministru kabineta noteikumu projektu „Nodrošinājuma valsts aģentūras maksas pakalpojumu cenrādis”.</w:t>
            </w:r>
          </w:p>
        </w:tc>
      </w:tr>
      <w:tr w:rsidR="00586ED3" w:rsidRPr="006C73B6" w:rsidTr="000D48D5">
        <w:trPr>
          <w:trHeight w:val="248"/>
        </w:trPr>
        <w:tc>
          <w:tcPr>
            <w:tcW w:w="429" w:type="pct"/>
          </w:tcPr>
          <w:p w:rsidR="00586ED3" w:rsidRPr="006C73B6" w:rsidRDefault="00586ED3" w:rsidP="001B0496">
            <w:r>
              <w:t>2</w:t>
            </w:r>
            <w:r w:rsidRPr="006C73B6">
              <w:t>.</w:t>
            </w:r>
          </w:p>
        </w:tc>
        <w:tc>
          <w:tcPr>
            <w:tcW w:w="1426" w:type="pct"/>
          </w:tcPr>
          <w:p w:rsidR="00586ED3" w:rsidRPr="006C73B6" w:rsidRDefault="00586ED3" w:rsidP="00586ED3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A</w:t>
            </w:r>
            <w:r>
              <w:rPr>
                <w:rFonts w:eastAsia="Calibri"/>
                <w:iCs/>
              </w:rPr>
              <w:t>tbildīgā institūcija</w:t>
            </w:r>
          </w:p>
        </w:tc>
        <w:tc>
          <w:tcPr>
            <w:tcW w:w="3145" w:type="pct"/>
          </w:tcPr>
          <w:p w:rsidR="00586ED3" w:rsidRPr="006C73B6" w:rsidRDefault="009230F8" w:rsidP="001B0496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Nodrošinājuma valsts aģentūra</w:t>
            </w:r>
          </w:p>
        </w:tc>
      </w:tr>
      <w:tr w:rsidR="00586ED3" w:rsidRPr="006C73B6" w:rsidTr="000D48D5">
        <w:trPr>
          <w:trHeight w:val="86"/>
        </w:trPr>
        <w:tc>
          <w:tcPr>
            <w:tcW w:w="429" w:type="pct"/>
          </w:tcPr>
          <w:p w:rsidR="00586ED3" w:rsidRPr="006C73B6" w:rsidRDefault="00586ED3" w:rsidP="001B0496">
            <w:r>
              <w:t>3</w:t>
            </w:r>
            <w:r w:rsidRPr="006C73B6">
              <w:t>.</w:t>
            </w:r>
          </w:p>
        </w:tc>
        <w:tc>
          <w:tcPr>
            <w:tcW w:w="1426" w:type="pct"/>
          </w:tcPr>
          <w:p w:rsidR="00586ED3" w:rsidRPr="006C73B6" w:rsidRDefault="00586ED3" w:rsidP="001B0496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Cita informācija</w:t>
            </w:r>
          </w:p>
        </w:tc>
        <w:tc>
          <w:tcPr>
            <w:tcW w:w="3145" w:type="pct"/>
          </w:tcPr>
          <w:p w:rsidR="00586ED3" w:rsidRPr="006C73B6" w:rsidRDefault="00586ED3" w:rsidP="001B0496">
            <w:pPr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Nav</w:t>
            </w:r>
          </w:p>
        </w:tc>
      </w:tr>
    </w:tbl>
    <w:p w:rsidR="00586ED3" w:rsidRPr="006C73B6" w:rsidRDefault="00586ED3" w:rsidP="00560BBA">
      <w:pPr>
        <w:pStyle w:val="naisf"/>
        <w:spacing w:before="0" w:after="0"/>
        <w:ind w:firstLine="0"/>
      </w:pPr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2826"/>
        <w:gridCol w:w="6194"/>
      </w:tblGrid>
      <w:tr w:rsidR="00586ED3" w:rsidRPr="006C73B6" w:rsidTr="000D48D5">
        <w:trPr>
          <w:trHeight w:val="271"/>
          <w:jc w:val="center"/>
        </w:trPr>
        <w:tc>
          <w:tcPr>
            <w:tcW w:w="4976" w:type="pct"/>
            <w:gridSpan w:val="3"/>
            <w:vAlign w:val="center"/>
          </w:tcPr>
          <w:p w:rsidR="00586ED3" w:rsidRPr="006C73B6" w:rsidRDefault="00586ED3" w:rsidP="001B0496">
            <w:pPr>
              <w:pStyle w:val="naisnod"/>
              <w:spacing w:before="0" w:after="0"/>
              <w:ind w:left="85" w:right="57" w:hanging="28"/>
            </w:pPr>
            <w:r w:rsidRPr="006C73B6">
              <w:t>VII. Tiesību akta projekta izpildes nodrošināšana un tās ietekme uz institūcijām</w:t>
            </w:r>
          </w:p>
        </w:tc>
        <w:bookmarkStart w:id="2" w:name="_GoBack"/>
        <w:bookmarkEnd w:id="2"/>
      </w:tr>
      <w:tr w:rsidR="00586ED3" w:rsidRPr="006C73B6" w:rsidTr="000D48D5">
        <w:trPr>
          <w:trHeight w:val="471"/>
          <w:jc w:val="center"/>
        </w:trPr>
        <w:tc>
          <w:tcPr>
            <w:tcW w:w="418" w:type="pct"/>
          </w:tcPr>
          <w:p w:rsidR="00586ED3" w:rsidRPr="00007D0E" w:rsidRDefault="00586ED3" w:rsidP="001B0496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07D0E">
              <w:rPr>
                <w:b w:val="0"/>
              </w:rPr>
              <w:t>1.</w:t>
            </w:r>
          </w:p>
        </w:tc>
        <w:tc>
          <w:tcPr>
            <w:tcW w:w="1428" w:type="pct"/>
          </w:tcPr>
          <w:p w:rsidR="00586ED3" w:rsidRPr="006C73B6" w:rsidRDefault="00586ED3" w:rsidP="001B0496">
            <w:pPr>
              <w:pStyle w:val="naisf"/>
              <w:spacing w:before="0" w:after="0"/>
              <w:ind w:left="57" w:right="57" w:firstLine="0"/>
            </w:pPr>
            <w:r w:rsidRPr="006C73B6">
              <w:t>Projekta izpildē iesaistītās institūcijas</w:t>
            </w:r>
          </w:p>
        </w:tc>
        <w:tc>
          <w:tcPr>
            <w:tcW w:w="3130" w:type="pct"/>
          </w:tcPr>
          <w:p w:rsidR="00586ED3" w:rsidRPr="006C73B6" w:rsidRDefault="00586ED3" w:rsidP="001B0496">
            <w:pPr>
              <w:shd w:val="clear" w:color="auto" w:fill="FFFFFF"/>
              <w:jc w:val="both"/>
            </w:pPr>
            <w:r w:rsidRPr="00874130">
              <w:t>Ugunsdrošības u</w:t>
            </w:r>
            <w:r>
              <w:t>n civilās aizsardzības koledža</w:t>
            </w:r>
          </w:p>
        </w:tc>
      </w:tr>
      <w:tr w:rsidR="00586ED3" w:rsidRPr="006C73B6" w:rsidTr="001B0496">
        <w:trPr>
          <w:trHeight w:val="463"/>
          <w:jc w:val="center"/>
        </w:trPr>
        <w:tc>
          <w:tcPr>
            <w:tcW w:w="418" w:type="pct"/>
          </w:tcPr>
          <w:p w:rsidR="00586ED3" w:rsidRPr="00007D0E" w:rsidRDefault="00586ED3" w:rsidP="001B0496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07D0E">
              <w:rPr>
                <w:b w:val="0"/>
              </w:rPr>
              <w:t>2.</w:t>
            </w:r>
          </w:p>
        </w:tc>
        <w:tc>
          <w:tcPr>
            <w:tcW w:w="1428" w:type="pct"/>
          </w:tcPr>
          <w:p w:rsidR="00586ED3" w:rsidRPr="006C73B6" w:rsidRDefault="00586ED3" w:rsidP="001B0496">
            <w:pPr>
              <w:pStyle w:val="naisf"/>
              <w:spacing w:before="0" w:after="0"/>
              <w:ind w:left="57" w:right="57" w:firstLine="0"/>
            </w:pPr>
            <w:r w:rsidRPr="006C73B6">
              <w:t>Projekta izpildes ietekme uz pār</w:t>
            </w:r>
            <w:r w:rsidRPr="006C73B6">
              <w:softHyphen/>
              <w:t>valdes funkcijām un institucionālo struktūru.</w:t>
            </w:r>
          </w:p>
          <w:p w:rsidR="00586ED3" w:rsidRPr="006C73B6" w:rsidRDefault="00586ED3" w:rsidP="001B0496">
            <w:pPr>
              <w:pStyle w:val="naisf"/>
              <w:spacing w:before="0" w:after="0"/>
              <w:ind w:left="57" w:right="57" w:firstLine="0"/>
            </w:pPr>
            <w:r w:rsidRPr="006C73B6">
              <w:t>Jaunu institūciju izveide, esošu institūciju likvidācija vai reorga</w:t>
            </w:r>
            <w:r w:rsidRPr="006C73B6">
              <w:softHyphen/>
              <w:t>nizācija, to ietekme uz institūcijas cilvēkresursiem.</w:t>
            </w:r>
          </w:p>
        </w:tc>
        <w:tc>
          <w:tcPr>
            <w:tcW w:w="3130" w:type="pct"/>
          </w:tcPr>
          <w:p w:rsidR="00586ED3" w:rsidRDefault="00586ED3" w:rsidP="001B0496">
            <w:pPr>
              <w:shd w:val="clear" w:color="auto" w:fill="FFFFFF"/>
              <w:jc w:val="both"/>
              <w:rPr>
                <w:rFonts w:eastAsia="Calibri"/>
                <w:iCs/>
              </w:rPr>
            </w:pPr>
            <w:r w:rsidRPr="006C73B6">
              <w:rPr>
                <w:rFonts w:eastAsia="Calibri"/>
                <w:iCs/>
              </w:rPr>
              <w:t>Projekta izpilde neietekmēs pārvaldes funkcijas vai institucionālo struktūru.</w:t>
            </w:r>
            <w:r>
              <w:rPr>
                <w:rFonts w:eastAsia="Calibri"/>
                <w:iCs/>
              </w:rPr>
              <w:t xml:space="preserve"> </w:t>
            </w:r>
          </w:p>
          <w:p w:rsidR="00586ED3" w:rsidRDefault="00586ED3" w:rsidP="001B0496">
            <w:pPr>
              <w:shd w:val="clear" w:color="auto" w:fill="FFFFFF"/>
              <w:jc w:val="both"/>
              <w:rPr>
                <w:rFonts w:eastAsia="Calibri"/>
                <w:iCs/>
              </w:rPr>
            </w:pPr>
          </w:p>
          <w:p w:rsidR="00586ED3" w:rsidRDefault="00586ED3" w:rsidP="001B0496">
            <w:pPr>
              <w:shd w:val="clear" w:color="auto" w:fill="FFFFFF"/>
              <w:jc w:val="both"/>
              <w:rPr>
                <w:rFonts w:eastAsia="Calibri"/>
                <w:iCs/>
              </w:rPr>
            </w:pPr>
          </w:p>
          <w:p w:rsidR="00586ED3" w:rsidRPr="006C73B6" w:rsidRDefault="00586ED3" w:rsidP="001B0496">
            <w:pPr>
              <w:shd w:val="clear" w:color="auto" w:fill="FFFFFF"/>
              <w:jc w:val="both"/>
            </w:pPr>
            <w:r>
              <w:rPr>
                <w:rFonts w:eastAsia="Calibri"/>
                <w:iCs/>
              </w:rPr>
              <w:t>Netiks izveidotas jaunas institūcijas un netiks likvidētas vai reorganizētas esošās institūcijas.</w:t>
            </w:r>
          </w:p>
        </w:tc>
      </w:tr>
      <w:tr w:rsidR="00586ED3" w:rsidRPr="006C73B6" w:rsidTr="000D48D5">
        <w:trPr>
          <w:trHeight w:val="258"/>
          <w:jc w:val="center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3" w:rsidRPr="00007D0E" w:rsidRDefault="00586ED3" w:rsidP="001B0496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007D0E">
              <w:rPr>
                <w:b w:val="0"/>
              </w:rPr>
              <w:t>3.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3" w:rsidRPr="006C73B6" w:rsidRDefault="00586ED3" w:rsidP="001B0496">
            <w:pPr>
              <w:pStyle w:val="naisf"/>
              <w:spacing w:before="0" w:after="0"/>
              <w:ind w:right="57" w:firstLine="0"/>
            </w:pPr>
            <w:r w:rsidRPr="006C73B6">
              <w:t>Cita informācija</w:t>
            </w:r>
          </w:p>
        </w:tc>
        <w:tc>
          <w:tcPr>
            <w:tcW w:w="3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D3" w:rsidRPr="006C73B6" w:rsidRDefault="00586ED3" w:rsidP="001B0496">
            <w:pPr>
              <w:ind w:left="57" w:right="57"/>
              <w:jc w:val="both"/>
            </w:pPr>
            <w:r w:rsidRPr="006C73B6">
              <w:t>N</w:t>
            </w:r>
            <w:r w:rsidR="00191EC7">
              <w:t>av</w:t>
            </w:r>
          </w:p>
        </w:tc>
      </w:tr>
    </w:tbl>
    <w:p w:rsidR="00391F2C" w:rsidRDefault="00391F2C" w:rsidP="00560BBA">
      <w:pPr>
        <w:pStyle w:val="naisf"/>
        <w:spacing w:before="0" w:after="0"/>
        <w:ind w:firstLine="0"/>
      </w:pPr>
    </w:p>
    <w:p w:rsidR="00007D0E" w:rsidRPr="006C73B6" w:rsidRDefault="00154C32" w:rsidP="00560BBA">
      <w:pPr>
        <w:pStyle w:val="naisf"/>
        <w:spacing w:before="0" w:after="0"/>
        <w:ind w:firstLine="0"/>
      </w:pPr>
      <w:r>
        <w:t>Anotācijas</w:t>
      </w:r>
      <w:r w:rsidR="00007D0E" w:rsidRPr="006C73B6">
        <w:t xml:space="preserve"> V</w:t>
      </w:r>
      <w:r w:rsidR="00007D0E">
        <w:t>, VI</w:t>
      </w:r>
      <w:r w:rsidR="00007D0E" w:rsidRPr="006C73B6">
        <w:rPr>
          <w:bCs/>
        </w:rPr>
        <w:t xml:space="preserve"> </w:t>
      </w:r>
      <w:r w:rsidR="00007D0E" w:rsidRPr="006C73B6">
        <w:t>sadaļa – projekts šīs jomas neskar.</w:t>
      </w:r>
    </w:p>
    <w:p w:rsidR="00007D0E" w:rsidRPr="006C73B6" w:rsidRDefault="00007D0E" w:rsidP="001D375C"/>
    <w:p w:rsidR="00007D0E" w:rsidRPr="006C73B6" w:rsidRDefault="00007D0E" w:rsidP="00007D0E">
      <w:pPr>
        <w:tabs>
          <w:tab w:val="left" w:pos="6237"/>
        </w:tabs>
      </w:pPr>
      <w:proofErr w:type="spellStart"/>
      <w:r w:rsidRPr="006C73B6">
        <w:t>Iekšlietu</w:t>
      </w:r>
      <w:proofErr w:type="spellEnd"/>
      <w:r w:rsidRPr="006C73B6">
        <w:t xml:space="preserve"> ministrs</w:t>
      </w:r>
      <w:r w:rsidRPr="006C73B6">
        <w:tab/>
      </w:r>
      <w:proofErr w:type="spellStart"/>
      <w:r w:rsidRPr="006C73B6">
        <w:t>R.Kozlovskis</w:t>
      </w:r>
      <w:proofErr w:type="spellEnd"/>
    </w:p>
    <w:p w:rsidR="00007D0E" w:rsidRPr="006C73B6" w:rsidRDefault="00007D0E" w:rsidP="00007D0E">
      <w:r w:rsidRPr="006C73B6">
        <w:tab/>
      </w:r>
      <w:r w:rsidRPr="006C73B6">
        <w:tab/>
      </w:r>
      <w:r w:rsidRPr="006C73B6">
        <w:tab/>
      </w:r>
      <w:r w:rsidRPr="006C73B6">
        <w:tab/>
      </w:r>
      <w:r w:rsidRPr="006C73B6">
        <w:tab/>
      </w:r>
      <w:r w:rsidRPr="006C73B6">
        <w:tab/>
      </w:r>
      <w:r w:rsidRPr="006C73B6">
        <w:tab/>
      </w:r>
    </w:p>
    <w:p w:rsidR="00007D0E" w:rsidRPr="006C73B6" w:rsidRDefault="00007D0E" w:rsidP="00007D0E">
      <w:pPr>
        <w:pStyle w:val="naisf"/>
        <w:tabs>
          <w:tab w:val="left" w:pos="6237"/>
        </w:tabs>
        <w:spacing w:before="0" w:after="0"/>
        <w:ind w:firstLine="0"/>
      </w:pPr>
      <w:r w:rsidRPr="006C73B6">
        <w:t xml:space="preserve">Vīza: valsts sekretāre </w:t>
      </w:r>
      <w:r w:rsidRPr="006C73B6">
        <w:tab/>
      </w:r>
      <w:proofErr w:type="spellStart"/>
      <w:r w:rsidRPr="006C73B6">
        <w:t>I.Pētersone</w:t>
      </w:r>
      <w:proofErr w:type="spellEnd"/>
      <w:r w:rsidRPr="006C73B6">
        <w:t>–Godmane</w:t>
      </w:r>
    </w:p>
    <w:p w:rsidR="000D48D5" w:rsidRDefault="000D48D5" w:rsidP="00007D0E">
      <w:pPr>
        <w:tabs>
          <w:tab w:val="right" w:pos="9354"/>
        </w:tabs>
        <w:rPr>
          <w:sz w:val="28"/>
          <w:szCs w:val="28"/>
        </w:rPr>
      </w:pPr>
    </w:p>
    <w:p w:rsidR="00007D0E" w:rsidRPr="00864029" w:rsidRDefault="00007D0E" w:rsidP="00007D0E">
      <w:pPr>
        <w:tabs>
          <w:tab w:val="right" w:pos="9354"/>
        </w:tabs>
        <w:rPr>
          <w:rFonts w:eastAsia="Calibri"/>
          <w:sz w:val="20"/>
          <w:szCs w:val="20"/>
          <w:lang w:eastAsia="en-US"/>
        </w:rPr>
      </w:pPr>
      <w:r w:rsidRPr="00864029">
        <w:rPr>
          <w:rFonts w:eastAsia="Calibri"/>
          <w:sz w:val="20"/>
          <w:szCs w:val="20"/>
          <w:lang w:val="en-GB" w:eastAsia="en-US"/>
        </w:rPr>
        <w:fldChar w:fldCharType="begin"/>
      </w:r>
      <w:r w:rsidRPr="00864029">
        <w:rPr>
          <w:rFonts w:eastAsia="Calibri"/>
          <w:sz w:val="20"/>
          <w:szCs w:val="20"/>
          <w:lang w:val="en-GB" w:eastAsia="en-US"/>
        </w:rPr>
        <w:instrText xml:space="preserve"> DATE \@ "dd.MM.yyyy" </w:instrText>
      </w:r>
      <w:r w:rsidRPr="00864029">
        <w:rPr>
          <w:rFonts w:eastAsia="Calibri"/>
          <w:sz w:val="20"/>
          <w:szCs w:val="20"/>
          <w:lang w:val="en-GB" w:eastAsia="en-US"/>
        </w:rPr>
        <w:fldChar w:fldCharType="separate"/>
      </w:r>
      <w:r w:rsidR="00BE5D56">
        <w:rPr>
          <w:rFonts w:eastAsia="Calibri"/>
          <w:noProof/>
          <w:sz w:val="20"/>
          <w:szCs w:val="20"/>
          <w:lang w:val="en-GB" w:eastAsia="en-US"/>
        </w:rPr>
        <w:t>20.06.2014</w:t>
      </w:r>
      <w:r w:rsidRPr="00864029">
        <w:rPr>
          <w:rFonts w:eastAsia="Calibri"/>
          <w:sz w:val="20"/>
          <w:szCs w:val="20"/>
          <w:lang w:val="en-GB" w:eastAsia="en-US"/>
        </w:rPr>
        <w:fldChar w:fldCharType="end"/>
      </w:r>
      <w:r w:rsidRPr="00864029">
        <w:rPr>
          <w:rFonts w:eastAsia="Calibri"/>
          <w:sz w:val="20"/>
          <w:szCs w:val="20"/>
          <w:lang w:eastAsia="en-US"/>
        </w:rPr>
        <w:t xml:space="preserve">. </w:t>
      </w:r>
      <w:r w:rsidR="00DB6491">
        <w:rPr>
          <w:rFonts w:eastAsia="Calibri"/>
          <w:sz w:val="20"/>
          <w:szCs w:val="20"/>
          <w:lang w:eastAsia="en-US"/>
        </w:rPr>
        <w:t>09</w:t>
      </w:r>
      <w:r w:rsidR="00D41F63">
        <w:rPr>
          <w:rFonts w:eastAsia="Calibri"/>
          <w:sz w:val="20"/>
          <w:szCs w:val="20"/>
          <w:lang w:eastAsia="en-US"/>
        </w:rPr>
        <w:t>:00</w:t>
      </w:r>
    </w:p>
    <w:p w:rsidR="00007D0E" w:rsidRPr="00864029" w:rsidRDefault="000D48D5" w:rsidP="00007D0E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785</w:t>
      </w:r>
    </w:p>
    <w:p w:rsidR="00007D0E" w:rsidRPr="00864029" w:rsidRDefault="00007D0E" w:rsidP="00007D0E">
      <w:pPr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864029">
        <w:rPr>
          <w:rFonts w:eastAsia="Calibri"/>
          <w:sz w:val="20"/>
          <w:szCs w:val="20"/>
          <w:lang w:eastAsia="en-US"/>
        </w:rPr>
        <w:t>A.Šļakota</w:t>
      </w:r>
      <w:proofErr w:type="spellEnd"/>
      <w:r w:rsidRPr="00864029">
        <w:rPr>
          <w:rFonts w:eastAsia="Calibri"/>
          <w:sz w:val="20"/>
          <w:szCs w:val="20"/>
          <w:lang w:eastAsia="en-US"/>
        </w:rPr>
        <w:t xml:space="preserve"> </w:t>
      </w:r>
      <w:r w:rsidRPr="00864029">
        <w:rPr>
          <w:noProof/>
          <w:sz w:val="20"/>
          <w:szCs w:val="20"/>
        </w:rPr>
        <w:t>28332327</w:t>
      </w:r>
    </w:p>
    <w:p w:rsidR="00256085" w:rsidRPr="00560BBA" w:rsidRDefault="00007D0E" w:rsidP="00560BBA">
      <w:pPr>
        <w:jc w:val="both"/>
        <w:rPr>
          <w:rFonts w:eastAsia="Calibri"/>
          <w:sz w:val="20"/>
          <w:szCs w:val="20"/>
          <w:lang w:eastAsia="en-US"/>
        </w:rPr>
      </w:pPr>
      <w:r w:rsidRPr="00864029">
        <w:rPr>
          <w:rFonts w:eastAsia="Calibri"/>
          <w:sz w:val="20"/>
          <w:szCs w:val="20"/>
          <w:lang w:eastAsia="en-US"/>
        </w:rPr>
        <w:t>agita.slakota@ucak.vugd.gov.lv</w:t>
      </w:r>
    </w:p>
    <w:sectPr w:rsidR="00256085" w:rsidRPr="00560BBA" w:rsidSect="00C31E3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9E" w:rsidRDefault="009A189E">
      <w:r>
        <w:separator/>
      </w:r>
    </w:p>
  </w:endnote>
  <w:endnote w:type="continuationSeparator" w:id="0">
    <w:p w:rsidR="009A189E" w:rsidRDefault="009A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D8" w:rsidRPr="00432E9B" w:rsidRDefault="005B4AD8" w:rsidP="001475AC">
    <w:pPr>
      <w:pStyle w:val="Footer"/>
      <w:jc w:val="both"/>
      <w:rPr>
        <w:sz w:val="20"/>
        <w:szCs w:val="20"/>
      </w:rPr>
    </w:pPr>
    <w:r w:rsidRPr="00432E9B">
      <w:rPr>
        <w:sz w:val="20"/>
        <w:szCs w:val="20"/>
      </w:rPr>
      <w:t>I</w:t>
    </w:r>
    <w:r>
      <w:rPr>
        <w:sz w:val="20"/>
        <w:szCs w:val="20"/>
      </w:rPr>
      <w:t>EMAno</w:t>
    </w:r>
    <w:r w:rsidR="00BE5D56">
      <w:rPr>
        <w:sz w:val="20"/>
        <w:szCs w:val="20"/>
      </w:rPr>
      <w:t>t_20</w:t>
    </w:r>
    <w:r w:rsidRPr="00432E9B">
      <w:rPr>
        <w:sz w:val="20"/>
        <w:szCs w:val="20"/>
      </w:rPr>
      <w:t>0</w:t>
    </w:r>
    <w:r w:rsidR="00C703C6">
      <w:rPr>
        <w:sz w:val="20"/>
        <w:szCs w:val="20"/>
      </w:rPr>
      <w:t>6</w:t>
    </w:r>
    <w:r>
      <w:rPr>
        <w:sz w:val="20"/>
        <w:szCs w:val="20"/>
      </w:rPr>
      <w:t xml:space="preserve">14_groz_not_Nr.902; </w:t>
    </w:r>
    <w:r w:rsidRPr="00432E9B">
      <w:rPr>
        <w:sz w:val="20"/>
        <w:szCs w:val="20"/>
      </w:rPr>
      <w:t>Minist</w:t>
    </w:r>
    <w:r>
      <w:rPr>
        <w:sz w:val="20"/>
        <w:szCs w:val="20"/>
      </w:rPr>
      <w:t>ru kabineta noteikumu projekta „Grozījums</w:t>
    </w:r>
    <w:r w:rsidRPr="00432E9B">
      <w:rPr>
        <w:sz w:val="20"/>
        <w:szCs w:val="20"/>
      </w:rPr>
      <w:t xml:space="preserve"> </w:t>
    </w:r>
    <w:r>
      <w:rPr>
        <w:sz w:val="20"/>
        <w:szCs w:val="20"/>
      </w:rPr>
      <w:t>Ministru kabineta 2013.gada 24.septembra noteikumos Nr.902</w:t>
    </w:r>
    <w:r w:rsidRPr="00432E9B">
      <w:rPr>
        <w:sz w:val="20"/>
        <w:szCs w:val="20"/>
      </w:rPr>
      <w:t xml:space="preserve"> „</w:t>
    </w:r>
    <w:r w:rsidRPr="00432E9B">
      <w:rPr>
        <w:bCs/>
        <w:sz w:val="20"/>
        <w:szCs w:val="20"/>
      </w:rPr>
      <w:t>Ugunsdrošības un civilās aizsardzības koledžas maksas pakalpojumu cenrādis</w:t>
    </w:r>
    <w:r w:rsidRPr="00432E9B">
      <w:rPr>
        <w:sz w:val="20"/>
        <w:szCs w:val="20"/>
      </w:rPr>
      <w:t xml:space="preserve">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432E9B">
        <w:rPr>
          <w:sz w:val="20"/>
          <w:szCs w:val="20"/>
        </w:rPr>
        <w:t>ziņojums</w:t>
      </w:r>
    </w:smartTag>
    <w:r w:rsidRPr="00432E9B">
      <w:rPr>
        <w:sz w:val="20"/>
        <w:szCs w:val="20"/>
      </w:rPr>
      <w:t xml:space="preserve"> (anotācija)</w:t>
    </w:r>
  </w:p>
  <w:p w:rsidR="005B4AD8" w:rsidRPr="003C449B" w:rsidRDefault="005B4AD8" w:rsidP="00432E9B">
    <w:pPr>
      <w:pStyle w:val="Footer"/>
      <w:jc w:val="both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D8" w:rsidRPr="00432E9B" w:rsidRDefault="005B4AD8" w:rsidP="00432E9B">
    <w:pPr>
      <w:pStyle w:val="Footer"/>
      <w:jc w:val="both"/>
      <w:rPr>
        <w:sz w:val="20"/>
        <w:szCs w:val="20"/>
      </w:rPr>
    </w:pPr>
    <w:r w:rsidRPr="00432E9B">
      <w:rPr>
        <w:sz w:val="20"/>
        <w:szCs w:val="20"/>
      </w:rPr>
      <w:t>I</w:t>
    </w:r>
    <w:r w:rsidR="00BE5D56">
      <w:rPr>
        <w:sz w:val="20"/>
        <w:szCs w:val="20"/>
      </w:rPr>
      <w:t>EMAnot_20</w:t>
    </w:r>
    <w:r w:rsidRPr="00432E9B">
      <w:rPr>
        <w:sz w:val="20"/>
        <w:szCs w:val="20"/>
      </w:rPr>
      <w:t>0</w:t>
    </w:r>
    <w:r w:rsidR="00587AAA">
      <w:rPr>
        <w:sz w:val="20"/>
        <w:szCs w:val="20"/>
      </w:rPr>
      <w:t>6</w:t>
    </w:r>
    <w:r>
      <w:rPr>
        <w:sz w:val="20"/>
        <w:szCs w:val="20"/>
      </w:rPr>
      <w:t xml:space="preserve">14_groz_not_Nr.902; </w:t>
    </w:r>
    <w:r w:rsidRPr="00432E9B">
      <w:rPr>
        <w:sz w:val="20"/>
        <w:szCs w:val="20"/>
      </w:rPr>
      <w:t>Minist</w:t>
    </w:r>
    <w:r>
      <w:rPr>
        <w:sz w:val="20"/>
        <w:szCs w:val="20"/>
      </w:rPr>
      <w:t>ru kabineta noteikumu projekta „Grozījums</w:t>
    </w:r>
    <w:r w:rsidRPr="00432E9B">
      <w:rPr>
        <w:sz w:val="20"/>
        <w:szCs w:val="20"/>
      </w:rPr>
      <w:t xml:space="preserve"> </w:t>
    </w:r>
    <w:r>
      <w:rPr>
        <w:sz w:val="20"/>
        <w:szCs w:val="20"/>
      </w:rPr>
      <w:t>Ministru kabineta 2013.gada 24.septembra noteikumos Nr.902</w:t>
    </w:r>
    <w:r w:rsidRPr="00432E9B">
      <w:rPr>
        <w:sz w:val="20"/>
        <w:szCs w:val="20"/>
      </w:rPr>
      <w:t xml:space="preserve"> „</w:t>
    </w:r>
    <w:r w:rsidRPr="00432E9B">
      <w:rPr>
        <w:bCs/>
        <w:sz w:val="20"/>
        <w:szCs w:val="20"/>
      </w:rPr>
      <w:t>Ugunsdrošības un civilās aizsardzības koledžas maksas pakalpojumu cenrādis</w:t>
    </w:r>
    <w:r w:rsidRPr="00432E9B">
      <w:rPr>
        <w:sz w:val="20"/>
        <w:szCs w:val="20"/>
      </w:rPr>
      <w:t xml:space="preserve">””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432E9B">
        <w:rPr>
          <w:sz w:val="20"/>
          <w:szCs w:val="20"/>
        </w:rPr>
        <w:t>ziņojums</w:t>
      </w:r>
    </w:smartTag>
    <w:r w:rsidRPr="00432E9B"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9E" w:rsidRDefault="009A189E">
      <w:r>
        <w:separator/>
      </w:r>
    </w:p>
  </w:footnote>
  <w:footnote w:type="continuationSeparator" w:id="0">
    <w:p w:rsidR="009A189E" w:rsidRDefault="009A1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D8" w:rsidRDefault="005B4A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4AD8" w:rsidRDefault="005B4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AD8" w:rsidRDefault="005B4AD8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5D56">
      <w:rPr>
        <w:rStyle w:val="PageNumber"/>
        <w:noProof/>
      </w:rPr>
      <w:t>2</w:t>
    </w:r>
    <w:r>
      <w:rPr>
        <w:rStyle w:val="PageNumber"/>
      </w:rPr>
      <w:fldChar w:fldCharType="end"/>
    </w:r>
  </w:p>
  <w:p w:rsidR="005B4AD8" w:rsidRDefault="005B4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pStyle w:val="Considran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CAE0188"/>
    <w:multiLevelType w:val="hybridMultilevel"/>
    <w:tmpl w:val="5B44A0E0"/>
    <w:lvl w:ilvl="0" w:tplc="3CCCE5E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7D0E"/>
    <w:rsid w:val="00011D24"/>
    <w:rsid w:val="00013FF4"/>
    <w:rsid w:val="0001561C"/>
    <w:rsid w:val="00020FE1"/>
    <w:rsid w:val="00022E13"/>
    <w:rsid w:val="00032388"/>
    <w:rsid w:val="00035CE2"/>
    <w:rsid w:val="00036ABB"/>
    <w:rsid w:val="000410DA"/>
    <w:rsid w:val="00054611"/>
    <w:rsid w:val="0005553B"/>
    <w:rsid w:val="000604D2"/>
    <w:rsid w:val="000627BA"/>
    <w:rsid w:val="00075478"/>
    <w:rsid w:val="00085BC2"/>
    <w:rsid w:val="0009005E"/>
    <w:rsid w:val="000941C5"/>
    <w:rsid w:val="000A5A8C"/>
    <w:rsid w:val="000A6451"/>
    <w:rsid w:val="000B064E"/>
    <w:rsid w:val="000B69CF"/>
    <w:rsid w:val="000B71E1"/>
    <w:rsid w:val="000B7DEC"/>
    <w:rsid w:val="000C790C"/>
    <w:rsid w:val="000D389C"/>
    <w:rsid w:val="000D48D5"/>
    <w:rsid w:val="000F061D"/>
    <w:rsid w:val="000F4794"/>
    <w:rsid w:val="00124F12"/>
    <w:rsid w:val="00130B35"/>
    <w:rsid w:val="00132961"/>
    <w:rsid w:val="00144E3A"/>
    <w:rsid w:val="001475AC"/>
    <w:rsid w:val="0015060C"/>
    <w:rsid w:val="00154C32"/>
    <w:rsid w:val="00156571"/>
    <w:rsid w:val="0016018A"/>
    <w:rsid w:val="00161F0E"/>
    <w:rsid w:val="00170E2A"/>
    <w:rsid w:val="00177394"/>
    <w:rsid w:val="00182C18"/>
    <w:rsid w:val="00183CC2"/>
    <w:rsid w:val="001900E4"/>
    <w:rsid w:val="00190F88"/>
    <w:rsid w:val="00191EC7"/>
    <w:rsid w:val="00195083"/>
    <w:rsid w:val="001A3ED6"/>
    <w:rsid w:val="001A4066"/>
    <w:rsid w:val="001A6AE4"/>
    <w:rsid w:val="001B01FD"/>
    <w:rsid w:val="001B0496"/>
    <w:rsid w:val="001B19DA"/>
    <w:rsid w:val="001B4A71"/>
    <w:rsid w:val="001D1305"/>
    <w:rsid w:val="001D375C"/>
    <w:rsid w:val="001D5B54"/>
    <w:rsid w:val="001E1DBF"/>
    <w:rsid w:val="001E4639"/>
    <w:rsid w:val="001E4A7D"/>
    <w:rsid w:val="001E6FD8"/>
    <w:rsid w:val="001F3792"/>
    <w:rsid w:val="001F4209"/>
    <w:rsid w:val="001F43A8"/>
    <w:rsid w:val="001F5CD6"/>
    <w:rsid w:val="00203362"/>
    <w:rsid w:val="0020523C"/>
    <w:rsid w:val="0021263D"/>
    <w:rsid w:val="00213F0C"/>
    <w:rsid w:val="00214094"/>
    <w:rsid w:val="00215321"/>
    <w:rsid w:val="0021592D"/>
    <w:rsid w:val="00222D76"/>
    <w:rsid w:val="00223EB1"/>
    <w:rsid w:val="00231344"/>
    <w:rsid w:val="0023436E"/>
    <w:rsid w:val="002347C0"/>
    <w:rsid w:val="00241A6C"/>
    <w:rsid w:val="00242D2B"/>
    <w:rsid w:val="00256085"/>
    <w:rsid w:val="00262E2B"/>
    <w:rsid w:val="002649AE"/>
    <w:rsid w:val="00270429"/>
    <w:rsid w:val="00271FE4"/>
    <w:rsid w:val="002723E9"/>
    <w:rsid w:val="00277929"/>
    <w:rsid w:val="00280404"/>
    <w:rsid w:val="00283B82"/>
    <w:rsid w:val="002846E9"/>
    <w:rsid w:val="00284C34"/>
    <w:rsid w:val="0029066C"/>
    <w:rsid w:val="00292038"/>
    <w:rsid w:val="00293D2C"/>
    <w:rsid w:val="002A5F69"/>
    <w:rsid w:val="002A7D9E"/>
    <w:rsid w:val="002B3F0B"/>
    <w:rsid w:val="002B50DB"/>
    <w:rsid w:val="002C12AB"/>
    <w:rsid w:val="002C7CAC"/>
    <w:rsid w:val="002D3306"/>
    <w:rsid w:val="002D48AA"/>
    <w:rsid w:val="002D7BAA"/>
    <w:rsid w:val="002D7F54"/>
    <w:rsid w:val="002E3FF4"/>
    <w:rsid w:val="002F78C8"/>
    <w:rsid w:val="00301CF3"/>
    <w:rsid w:val="0032715C"/>
    <w:rsid w:val="0033436A"/>
    <w:rsid w:val="00337CA5"/>
    <w:rsid w:val="00340D0C"/>
    <w:rsid w:val="00344759"/>
    <w:rsid w:val="00344A63"/>
    <w:rsid w:val="00362478"/>
    <w:rsid w:val="0036419A"/>
    <w:rsid w:val="00370E86"/>
    <w:rsid w:val="00375B25"/>
    <w:rsid w:val="0038132C"/>
    <w:rsid w:val="0039083E"/>
    <w:rsid w:val="00391F2C"/>
    <w:rsid w:val="00396542"/>
    <w:rsid w:val="0039685B"/>
    <w:rsid w:val="003A31A6"/>
    <w:rsid w:val="003A7F0C"/>
    <w:rsid w:val="003A7F79"/>
    <w:rsid w:val="003B0153"/>
    <w:rsid w:val="003B1B4A"/>
    <w:rsid w:val="003B6404"/>
    <w:rsid w:val="003C2034"/>
    <w:rsid w:val="003C449B"/>
    <w:rsid w:val="003C697B"/>
    <w:rsid w:val="003D21FF"/>
    <w:rsid w:val="003E26A8"/>
    <w:rsid w:val="003F0112"/>
    <w:rsid w:val="003F071A"/>
    <w:rsid w:val="003F160B"/>
    <w:rsid w:val="003F6421"/>
    <w:rsid w:val="00400032"/>
    <w:rsid w:val="00400B5B"/>
    <w:rsid w:val="004051FA"/>
    <w:rsid w:val="00405A00"/>
    <w:rsid w:val="00411346"/>
    <w:rsid w:val="00420870"/>
    <w:rsid w:val="00427B40"/>
    <w:rsid w:val="00432D0C"/>
    <w:rsid w:val="00432E9B"/>
    <w:rsid w:val="00435F38"/>
    <w:rsid w:val="004368DE"/>
    <w:rsid w:val="0043791B"/>
    <w:rsid w:val="00441483"/>
    <w:rsid w:val="00441BCB"/>
    <w:rsid w:val="0045176A"/>
    <w:rsid w:val="00456332"/>
    <w:rsid w:val="0046100F"/>
    <w:rsid w:val="00461826"/>
    <w:rsid w:val="004621EB"/>
    <w:rsid w:val="004800F9"/>
    <w:rsid w:val="00481B88"/>
    <w:rsid w:val="00482A9C"/>
    <w:rsid w:val="0049134A"/>
    <w:rsid w:val="004A58CB"/>
    <w:rsid w:val="004A5DF2"/>
    <w:rsid w:val="004B1795"/>
    <w:rsid w:val="004B56DD"/>
    <w:rsid w:val="004C020F"/>
    <w:rsid w:val="004C1AFD"/>
    <w:rsid w:val="004C558B"/>
    <w:rsid w:val="004D1D6D"/>
    <w:rsid w:val="004D4282"/>
    <w:rsid w:val="004D4A6A"/>
    <w:rsid w:val="004E66C3"/>
    <w:rsid w:val="004F1F88"/>
    <w:rsid w:val="004F5F1B"/>
    <w:rsid w:val="004F7519"/>
    <w:rsid w:val="00502374"/>
    <w:rsid w:val="005060A1"/>
    <w:rsid w:val="00516072"/>
    <w:rsid w:val="00531FCF"/>
    <w:rsid w:val="005332EC"/>
    <w:rsid w:val="00534418"/>
    <w:rsid w:val="005353AB"/>
    <w:rsid w:val="005560BC"/>
    <w:rsid w:val="005573BE"/>
    <w:rsid w:val="00560BBA"/>
    <w:rsid w:val="00563F3D"/>
    <w:rsid w:val="00572700"/>
    <w:rsid w:val="00580468"/>
    <w:rsid w:val="00582231"/>
    <w:rsid w:val="0058603B"/>
    <w:rsid w:val="00586ED3"/>
    <w:rsid w:val="00587AAA"/>
    <w:rsid w:val="0059431B"/>
    <w:rsid w:val="005A39CC"/>
    <w:rsid w:val="005B4730"/>
    <w:rsid w:val="005B4AD8"/>
    <w:rsid w:val="005E05D7"/>
    <w:rsid w:val="005E3522"/>
    <w:rsid w:val="005E41E7"/>
    <w:rsid w:val="005E450F"/>
    <w:rsid w:val="00613F11"/>
    <w:rsid w:val="006169B6"/>
    <w:rsid w:val="0062298A"/>
    <w:rsid w:val="0062391B"/>
    <w:rsid w:val="00626514"/>
    <w:rsid w:val="00626589"/>
    <w:rsid w:val="006339A0"/>
    <w:rsid w:val="006413A8"/>
    <w:rsid w:val="00642E56"/>
    <w:rsid w:val="00651E00"/>
    <w:rsid w:val="00656756"/>
    <w:rsid w:val="00672301"/>
    <w:rsid w:val="00674572"/>
    <w:rsid w:val="00682D7E"/>
    <w:rsid w:val="00687763"/>
    <w:rsid w:val="00692B0D"/>
    <w:rsid w:val="00693E0E"/>
    <w:rsid w:val="006A1AE3"/>
    <w:rsid w:val="006A472E"/>
    <w:rsid w:val="006C30E1"/>
    <w:rsid w:val="006C4607"/>
    <w:rsid w:val="006D2906"/>
    <w:rsid w:val="006D48F1"/>
    <w:rsid w:val="006E4FA1"/>
    <w:rsid w:val="006F0129"/>
    <w:rsid w:val="006F45BE"/>
    <w:rsid w:val="006F6F9B"/>
    <w:rsid w:val="007004FC"/>
    <w:rsid w:val="00703724"/>
    <w:rsid w:val="00703EAE"/>
    <w:rsid w:val="00706670"/>
    <w:rsid w:val="00711F59"/>
    <w:rsid w:val="00715C1C"/>
    <w:rsid w:val="0072417C"/>
    <w:rsid w:val="0073161A"/>
    <w:rsid w:val="00734450"/>
    <w:rsid w:val="00745F67"/>
    <w:rsid w:val="0075039E"/>
    <w:rsid w:val="00752D9D"/>
    <w:rsid w:val="00754784"/>
    <w:rsid w:val="00757C6E"/>
    <w:rsid w:val="00762BDA"/>
    <w:rsid w:val="007679E7"/>
    <w:rsid w:val="007733DB"/>
    <w:rsid w:val="007774B5"/>
    <w:rsid w:val="00777B6D"/>
    <w:rsid w:val="007805FD"/>
    <w:rsid w:val="00782E63"/>
    <w:rsid w:val="00784422"/>
    <w:rsid w:val="00791C16"/>
    <w:rsid w:val="007A27CB"/>
    <w:rsid w:val="007A6CE5"/>
    <w:rsid w:val="007B174E"/>
    <w:rsid w:val="007B3B54"/>
    <w:rsid w:val="007B3FA0"/>
    <w:rsid w:val="007B49E0"/>
    <w:rsid w:val="007C0F2C"/>
    <w:rsid w:val="007C2BCC"/>
    <w:rsid w:val="007C4EF0"/>
    <w:rsid w:val="007D099D"/>
    <w:rsid w:val="007D23A0"/>
    <w:rsid w:val="007D7888"/>
    <w:rsid w:val="007E2664"/>
    <w:rsid w:val="007E3ABF"/>
    <w:rsid w:val="007E5BFA"/>
    <w:rsid w:val="007E6689"/>
    <w:rsid w:val="007E731C"/>
    <w:rsid w:val="007F0A03"/>
    <w:rsid w:val="007F72A0"/>
    <w:rsid w:val="00804434"/>
    <w:rsid w:val="00810040"/>
    <w:rsid w:val="0082023A"/>
    <w:rsid w:val="00821A7A"/>
    <w:rsid w:val="008253F8"/>
    <w:rsid w:val="008325E4"/>
    <w:rsid w:val="00832A2B"/>
    <w:rsid w:val="00845811"/>
    <w:rsid w:val="00846994"/>
    <w:rsid w:val="00850451"/>
    <w:rsid w:val="00852042"/>
    <w:rsid w:val="008534C9"/>
    <w:rsid w:val="0085599D"/>
    <w:rsid w:val="00872162"/>
    <w:rsid w:val="00872DF5"/>
    <w:rsid w:val="0087510C"/>
    <w:rsid w:val="008870E1"/>
    <w:rsid w:val="008968D2"/>
    <w:rsid w:val="0089738E"/>
    <w:rsid w:val="008A4009"/>
    <w:rsid w:val="008B1260"/>
    <w:rsid w:val="008B433F"/>
    <w:rsid w:val="008B5FDB"/>
    <w:rsid w:val="008C50F4"/>
    <w:rsid w:val="008C5649"/>
    <w:rsid w:val="008E44A2"/>
    <w:rsid w:val="008E697D"/>
    <w:rsid w:val="008E7D6A"/>
    <w:rsid w:val="00903263"/>
    <w:rsid w:val="00906A21"/>
    <w:rsid w:val="009079C3"/>
    <w:rsid w:val="00910462"/>
    <w:rsid w:val="00915AB1"/>
    <w:rsid w:val="00917532"/>
    <w:rsid w:val="009230F8"/>
    <w:rsid w:val="009235BA"/>
    <w:rsid w:val="00924023"/>
    <w:rsid w:val="00924CE2"/>
    <w:rsid w:val="00925B9F"/>
    <w:rsid w:val="00931AED"/>
    <w:rsid w:val="009476A3"/>
    <w:rsid w:val="0095334F"/>
    <w:rsid w:val="00963A84"/>
    <w:rsid w:val="00965897"/>
    <w:rsid w:val="0096765C"/>
    <w:rsid w:val="009707E4"/>
    <w:rsid w:val="009727E4"/>
    <w:rsid w:val="009934C5"/>
    <w:rsid w:val="00993AA0"/>
    <w:rsid w:val="00994C0F"/>
    <w:rsid w:val="00995A9C"/>
    <w:rsid w:val="009A189E"/>
    <w:rsid w:val="009B22D7"/>
    <w:rsid w:val="009B72ED"/>
    <w:rsid w:val="009C3247"/>
    <w:rsid w:val="009C6D28"/>
    <w:rsid w:val="009C6DEB"/>
    <w:rsid w:val="009D205D"/>
    <w:rsid w:val="009D4AB4"/>
    <w:rsid w:val="009D6504"/>
    <w:rsid w:val="009E12D7"/>
    <w:rsid w:val="009E661A"/>
    <w:rsid w:val="009F5C6D"/>
    <w:rsid w:val="00A06781"/>
    <w:rsid w:val="00A074C3"/>
    <w:rsid w:val="00A13A78"/>
    <w:rsid w:val="00A14C21"/>
    <w:rsid w:val="00A1509C"/>
    <w:rsid w:val="00A152D8"/>
    <w:rsid w:val="00A15F3E"/>
    <w:rsid w:val="00A249B9"/>
    <w:rsid w:val="00A337E2"/>
    <w:rsid w:val="00A34260"/>
    <w:rsid w:val="00A47E00"/>
    <w:rsid w:val="00A70CFD"/>
    <w:rsid w:val="00A724AB"/>
    <w:rsid w:val="00A72A0B"/>
    <w:rsid w:val="00A73683"/>
    <w:rsid w:val="00A81E42"/>
    <w:rsid w:val="00A864FE"/>
    <w:rsid w:val="00A86F41"/>
    <w:rsid w:val="00A87D04"/>
    <w:rsid w:val="00A950C5"/>
    <w:rsid w:val="00AA1D25"/>
    <w:rsid w:val="00AA3FCE"/>
    <w:rsid w:val="00AB2B1A"/>
    <w:rsid w:val="00AB397F"/>
    <w:rsid w:val="00AB5832"/>
    <w:rsid w:val="00AC51F2"/>
    <w:rsid w:val="00AD3269"/>
    <w:rsid w:val="00AD66A9"/>
    <w:rsid w:val="00AD7870"/>
    <w:rsid w:val="00AE5066"/>
    <w:rsid w:val="00AE5E24"/>
    <w:rsid w:val="00AE61B7"/>
    <w:rsid w:val="00AE6CBA"/>
    <w:rsid w:val="00AE79AD"/>
    <w:rsid w:val="00AF35E4"/>
    <w:rsid w:val="00AF5CDE"/>
    <w:rsid w:val="00B05701"/>
    <w:rsid w:val="00B11A57"/>
    <w:rsid w:val="00B211C3"/>
    <w:rsid w:val="00B25597"/>
    <w:rsid w:val="00B267B9"/>
    <w:rsid w:val="00B33E09"/>
    <w:rsid w:val="00B50708"/>
    <w:rsid w:val="00B50C68"/>
    <w:rsid w:val="00B51293"/>
    <w:rsid w:val="00B52B1E"/>
    <w:rsid w:val="00B55481"/>
    <w:rsid w:val="00B56C32"/>
    <w:rsid w:val="00B57ACF"/>
    <w:rsid w:val="00B64BB1"/>
    <w:rsid w:val="00B73166"/>
    <w:rsid w:val="00B7578B"/>
    <w:rsid w:val="00B8426C"/>
    <w:rsid w:val="00B91B8D"/>
    <w:rsid w:val="00B94E90"/>
    <w:rsid w:val="00BA1915"/>
    <w:rsid w:val="00BA7F89"/>
    <w:rsid w:val="00BB0A82"/>
    <w:rsid w:val="00BB0ED8"/>
    <w:rsid w:val="00BB28CF"/>
    <w:rsid w:val="00BB7C94"/>
    <w:rsid w:val="00BC0A9D"/>
    <w:rsid w:val="00BD5A9D"/>
    <w:rsid w:val="00BE5D56"/>
    <w:rsid w:val="00BF0FDE"/>
    <w:rsid w:val="00BF40ED"/>
    <w:rsid w:val="00BF5BC2"/>
    <w:rsid w:val="00C1103C"/>
    <w:rsid w:val="00C1133D"/>
    <w:rsid w:val="00C27A08"/>
    <w:rsid w:val="00C31312"/>
    <w:rsid w:val="00C31E36"/>
    <w:rsid w:val="00C326C6"/>
    <w:rsid w:val="00C35295"/>
    <w:rsid w:val="00C359E8"/>
    <w:rsid w:val="00C36ADD"/>
    <w:rsid w:val="00C36E74"/>
    <w:rsid w:val="00C376D6"/>
    <w:rsid w:val="00C40595"/>
    <w:rsid w:val="00C41621"/>
    <w:rsid w:val="00C41D6E"/>
    <w:rsid w:val="00C449FA"/>
    <w:rsid w:val="00C50E43"/>
    <w:rsid w:val="00C5384F"/>
    <w:rsid w:val="00C56964"/>
    <w:rsid w:val="00C61AE3"/>
    <w:rsid w:val="00C656D5"/>
    <w:rsid w:val="00C66C9B"/>
    <w:rsid w:val="00C67103"/>
    <w:rsid w:val="00C703C6"/>
    <w:rsid w:val="00C71BB9"/>
    <w:rsid w:val="00C75B71"/>
    <w:rsid w:val="00C82E4F"/>
    <w:rsid w:val="00C94C28"/>
    <w:rsid w:val="00C96E5B"/>
    <w:rsid w:val="00CA0306"/>
    <w:rsid w:val="00CA16A6"/>
    <w:rsid w:val="00CB0247"/>
    <w:rsid w:val="00CB3440"/>
    <w:rsid w:val="00CC06E3"/>
    <w:rsid w:val="00CC1692"/>
    <w:rsid w:val="00CD138B"/>
    <w:rsid w:val="00CD3AFE"/>
    <w:rsid w:val="00CD3E31"/>
    <w:rsid w:val="00CD74A3"/>
    <w:rsid w:val="00CE0527"/>
    <w:rsid w:val="00CE4325"/>
    <w:rsid w:val="00CE5B23"/>
    <w:rsid w:val="00CF70AD"/>
    <w:rsid w:val="00CF7729"/>
    <w:rsid w:val="00D00059"/>
    <w:rsid w:val="00D107FA"/>
    <w:rsid w:val="00D1085A"/>
    <w:rsid w:val="00D12275"/>
    <w:rsid w:val="00D12766"/>
    <w:rsid w:val="00D1691F"/>
    <w:rsid w:val="00D20976"/>
    <w:rsid w:val="00D20FF4"/>
    <w:rsid w:val="00D222D3"/>
    <w:rsid w:val="00D24D2C"/>
    <w:rsid w:val="00D35881"/>
    <w:rsid w:val="00D41F63"/>
    <w:rsid w:val="00D437C0"/>
    <w:rsid w:val="00D50153"/>
    <w:rsid w:val="00DA7DA5"/>
    <w:rsid w:val="00DB073B"/>
    <w:rsid w:val="00DB6491"/>
    <w:rsid w:val="00DB78F0"/>
    <w:rsid w:val="00DC0CEA"/>
    <w:rsid w:val="00DC2E43"/>
    <w:rsid w:val="00DD095C"/>
    <w:rsid w:val="00DD1020"/>
    <w:rsid w:val="00DD1330"/>
    <w:rsid w:val="00DD3CC5"/>
    <w:rsid w:val="00DE0B83"/>
    <w:rsid w:val="00DE1A81"/>
    <w:rsid w:val="00DE1C13"/>
    <w:rsid w:val="00DE4E10"/>
    <w:rsid w:val="00DF07E6"/>
    <w:rsid w:val="00E008B7"/>
    <w:rsid w:val="00E02ABF"/>
    <w:rsid w:val="00E14995"/>
    <w:rsid w:val="00E179CD"/>
    <w:rsid w:val="00E23E8D"/>
    <w:rsid w:val="00E25AE6"/>
    <w:rsid w:val="00E37F98"/>
    <w:rsid w:val="00E46559"/>
    <w:rsid w:val="00E6670C"/>
    <w:rsid w:val="00E773B3"/>
    <w:rsid w:val="00E776E8"/>
    <w:rsid w:val="00E92C1F"/>
    <w:rsid w:val="00E95D4B"/>
    <w:rsid w:val="00EA14C6"/>
    <w:rsid w:val="00EA41E0"/>
    <w:rsid w:val="00EB199F"/>
    <w:rsid w:val="00EC23F7"/>
    <w:rsid w:val="00EC4BD8"/>
    <w:rsid w:val="00EC63EB"/>
    <w:rsid w:val="00ED2478"/>
    <w:rsid w:val="00ED3C6C"/>
    <w:rsid w:val="00ED412F"/>
    <w:rsid w:val="00EF1C7C"/>
    <w:rsid w:val="00EF36B2"/>
    <w:rsid w:val="00F068B1"/>
    <w:rsid w:val="00F1246B"/>
    <w:rsid w:val="00F16136"/>
    <w:rsid w:val="00F1732F"/>
    <w:rsid w:val="00F201EC"/>
    <w:rsid w:val="00F20422"/>
    <w:rsid w:val="00F208A9"/>
    <w:rsid w:val="00F34D69"/>
    <w:rsid w:val="00F41D75"/>
    <w:rsid w:val="00F429F4"/>
    <w:rsid w:val="00F5139D"/>
    <w:rsid w:val="00F529D3"/>
    <w:rsid w:val="00F63DAC"/>
    <w:rsid w:val="00F7454F"/>
    <w:rsid w:val="00F77988"/>
    <w:rsid w:val="00F77F48"/>
    <w:rsid w:val="00F836CD"/>
    <w:rsid w:val="00FA1248"/>
    <w:rsid w:val="00FA61A7"/>
    <w:rsid w:val="00FA72E6"/>
    <w:rsid w:val="00FB30F1"/>
    <w:rsid w:val="00FB53E7"/>
    <w:rsid w:val="00FC3856"/>
    <w:rsid w:val="00FC5453"/>
    <w:rsid w:val="00FC7837"/>
    <w:rsid w:val="00FD028A"/>
    <w:rsid w:val="00FD2A8A"/>
    <w:rsid w:val="00FD57F1"/>
    <w:rsid w:val="00FF342B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B5971-4CD6-4932-8B02-5A281B30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649"/>
    <w:rPr>
      <w:sz w:val="24"/>
      <w:szCs w:val="24"/>
    </w:rPr>
  </w:style>
  <w:style w:type="paragraph" w:styleId="Heading1">
    <w:name w:val="heading 1"/>
    <w:basedOn w:val="Normal"/>
    <w:qFormat/>
    <w:rsid w:val="004368DE"/>
    <w:pPr>
      <w:outlineLvl w:val="0"/>
    </w:pPr>
    <w:rPr>
      <w:rFonts w:ascii="Tahoma" w:hAnsi="Tahoma" w:cs="Tahoma"/>
      <w:b/>
      <w:bCs/>
      <w:kern w:val="36"/>
      <w:sz w:val="38"/>
      <w:szCs w:val="38"/>
    </w:rPr>
  </w:style>
  <w:style w:type="paragraph" w:styleId="Heading3">
    <w:name w:val="heading 3"/>
    <w:basedOn w:val="Normal"/>
    <w:next w:val="Normal"/>
    <w:link w:val="Heading3Char"/>
    <w:qFormat/>
    <w:rsid w:val="00FA72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CommentReference">
    <w:name w:val="annotation reference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1CharCharChar">
    <w:name w:val="Char1 Char Char Char"/>
    <w:basedOn w:val="Normal"/>
    <w:rsid w:val="007A6CE5"/>
    <w:pPr>
      <w:spacing w:before="40"/>
    </w:pPr>
    <w:rPr>
      <w:lang w:val="pl-PL" w:eastAsia="pl-PL"/>
    </w:rPr>
  </w:style>
  <w:style w:type="paragraph" w:customStyle="1" w:styleId="Considrant">
    <w:name w:val="Considérant"/>
    <w:basedOn w:val="Normal"/>
    <w:rsid w:val="007A6CE5"/>
    <w:pPr>
      <w:numPr>
        <w:numId w:val="4"/>
      </w:numPr>
      <w:spacing w:before="120" w:after="120"/>
      <w:jc w:val="both"/>
    </w:pPr>
    <w:rPr>
      <w:szCs w:val="20"/>
      <w:lang w:eastAsia="zh-CN"/>
    </w:rPr>
  </w:style>
  <w:style w:type="character" w:customStyle="1" w:styleId="Heading3Char">
    <w:name w:val="Heading 3 Char"/>
    <w:link w:val="Heading3"/>
    <w:rsid w:val="00FA72E6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3885</Words>
  <Characters>2215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Anotācija Grozījums Ministru kabineta 2013.gada 24.septembra noteikumos Nr.902 „Ugunsdrošības un civilās aizsardzības koledžas maksas pakalpojumu cenrādis”</vt:lpstr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Grozījums Ministru kabineta 2013.gada 24.septembra noteikumos Nr.902 „Ugunsdrošības un civilās aizsardzības koledžas maksas pakalpojumu cenrādis”</dc:title>
  <dc:subject/>
  <dc:creator>Agita Šļakota</dc:creator>
  <cp:keywords/>
  <dc:description/>
  <cp:lastModifiedBy>Agita Šļakota</cp:lastModifiedBy>
  <cp:revision>5</cp:revision>
  <cp:lastPrinted>2014-06-20T05:49:00Z</cp:lastPrinted>
  <dcterms:created xsi:type="dcterms:W3CDTF">2014-06-17T13:39:00Z</dcterms:created>
  <dcterms:modified xsi:type="dcterms:W3CDTF">2014-06-20T05:50:00Z</dcterms:modified>
</cp:coreProperties>
</file>