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7A" w:rsidRPr="00CB677A" w:rsidRDefault="00682685" w:rsidP="008D7798">
      <w:pPr>
        <w:tabs>
          <w:tab w:val="left" w:pos="7993"/>
        </w:tabs>
        <w:spacing w:after="0" w:line="240" w:lineRule="auto"/>
        <w:ind w:right="-1"/>
        <w:jc w:val="center"/>
        <w:rPr>
          <w:rFonts w:ascii="Times New Roman" w:hAnsi="Times New Roman"/>
          <w:b/>
          <w:iCs/>
          <w:sz w:val="24"/>
          <w:szCs w:val="24"/>
        </w:rPr>
      </w:pPr>
      <w:bookmarkStart w:id="0" w:name="OLE_LINK9"/>
      <w:bookmarkStart w:id="1" w:name="OLE_LINK10"/>
      <w:bookmarkStart w:id="2" w:name="OLE_LINK3"/>
      <w:bookmarkStart w:id="3" w:name="OLE_LINK4"/>
      <w:bookmarkStart w:id="4" w:name="OLE_LINK1"/>
      <w:bookmarkStart w:id="5" w:name="OLE_LINK2"/>
      <w:bookmarkStart w:id="6" w:name="OLE_LINK6"/>
      <w:bookmarkStart w:id="7" w:name="OLE_LINK7"/>
      <w:bookmarkStart w:id="8" w:name="OLE_LINK16"/>
      <w:bookmarkStart w:id="9" w:name="OLE_LINK17"/>
      <w:bookmarkStart w:id="10" w:name="OLE_LINK5"/>
      <w:r w:rsidRPr="00CB677A">
        <w:rPr>
          <w:rFonts w:ascii="Times New Roman" w:hAnsi="Times New Roman"/>
          <w:b/>
          <w:iCs/>
          <w:sz w:val="24"/>
          <w:szCs w:val="24"/>
        </w:rPr>
        <w:t xml:space="preserve">Ministru kabineta rīkojuma projekta </w:t>
      </w:r>
    </w:p>
    <w:p w:rsidR="00682685" w:rsidRPr="00CB677A" w:rsidRDefault="00A94803" w:rsidP="008D7798">
      <w:pPr>
        <w:tabs>
          <w:tab w:val="left" w:pos="7993"/>
        </w:tabs>
        <w:spacing w:after="0" w:line="240" w:lineRule="auto"/>
        <w:ind w:right="-1"/>
        <w:jc w:val="center"/>
        <w:rPr>
          <w:rFonts w:ascii="Times New Roman" w:hAnsi="Times New Roman"/>
          <w:b/>
          <w:sz w:val="24"/>
          <w:szCs w:val="24"/>
        </w:rPr>
      </w:pPr>
      <w:r w:rsidRPr="00CB677A">
        <w:rPr>
          <w:rFonts w:ascii="Times New Roman" w:hAnsi="Times New Roman"/>
          <w:b/>
          <w:iCs/>
          <w:sz w:val="24"/>
          <w:szCs w:val="24"/>
        </w:rPr>
        <w:t>„</w:t>
      </w:r>
      <w:r w:rsidRPr="00CB677A">
        <w:rPr>
          <w:rFonts w:ascii="Times New Roman" w:hAnsi="Times New Roman"/>
          <w:b/>
          <w:bCs/>
          <w:sz w:val="24"/>
          <w:szCs w:val="24"/>
        </w:rPr>
        <w:t xml:space="preserve">Par finansējuma </w:t>
      </w:r>
      <w:r w:rsidR="00404D82" w:rsidRPr="00CB677A">
        <w:rPr>
          <w:rFonts w:ascii="Times New Roman" w:hAnsi="Times New Roman"/>
          <w:b/>
          <w:bCs/>
          <w:sz w:val="24"/>
          <w:szCs w:val="24"/>
        </w:rPr>
        <w:t xml:space="preserve">piešķiršanu </w:t>
      </w:r>
      <w:r w:rsidRPr="00CB677A">
        <w:rPr>
          <w:rFonts w:ascii="Times New Roman" w:hAnsi="Times New Roman"/>
          <w:b/>
          <w:sz w:val="24"/>
          <w:szCs w:val="24"/>
        </w:rPr>
        <w:t xml:space="preserve">Jaunā Rīgas teātra ēku Lāčplēša ielā 25, Rīgā, rekonstrukcijas, nomas maksas, pārcelšanās un aprīkojuma iegādes izdevumu segšanai” </w:t>
      </w:r>
      <w:r w:rsidR="00682685" w:rsidRPr="00CB677A">
        <w:rPr>
          <w:rFonts w:ascii="Times New Roman" w:hAnsi="Times New Roman"/>
          <w:b/>
          <w:iCs/>
          <w:sz w:val="24"/>
          <w:szCs w:val="24"/>
        </w:rPr>
        <w:t>sākotnējās ietekmes novērtējuma ziņojums (anotācija)</w:t>
      </w:r>
    </w:p>
    <w:tbl>
      <w:tblPr>
        <w:tblpPr w:leftFromText="180" w:rightFromText="180" w:vertAnchor="text" w:horzAnchor="margin" w:tblpXSpec="center" w:tblpY="149"/>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44"/>
        <w:gridCol w:w="2490"/>
        <w:gridCol w:w="6095"/>
      </w:tblGrid>
      <w:tr w:rsidR="00D95026" w:rsidRPr="00D95026" w:rsidTr="00CB677A">
        <w:trPr>
          <w:trHeight w:val="416"/>
        </w:trPr>
        <w:tc>
          <w:tcPr>
            <w:tcW w:w="9129" w:type="dxa"/>
            <w:gridSpan w:val="3"/>
            <w:vAlign w:val="center"/>
          </w:tcPr>
          <w:bookmarkEnd w:id="0"/>
          <w:bookmarkEnd w:id="1"/>
          <w:bookmarkEnd w:id="10"/>
          <w:p w:rsidR="00F469EB" w:rsidRPr="00D95026" w:rsidRDefault="00F469EB" w:rsidP="008D7798">
            <w:pPr>
              <w:pStyle w:val="naisnod"/>
              <w:tabs>
                <w:tab w:val="left" w:pos="7993"/>
              </w:tabs>
              <w:spacing w:before="0" w:beforeAutospacing="0" w:after="0" w:afterAutospacing="0"/>
              <w:ind w:right="-1"/>
              <w:jc w:val="center"/>
              <w:rPr>
                <w:b/>
              </w:rPr>
            </w:pPr>
            <w:r w:rsidRPr="00D95026">
              <w:rPr>
                <w:b/>
              </w:rPr>
              <w:t>I. Tiesību akta projekta izstrādes nepieciešamība</w:t>
            </w:r>
          </w:p>
        </w:tc>
      </w:tr>
      <w:tr w:rsidR="00D95026" w:rsidRPr="00D95026" w:rsidTr="00CB677A">
        <w:trPr>
          <w:trHeight w:val="267"/>
        </w:trPr>
        <w:tc>
          <w:tcPr>
            <w:tcW w:w="544" w:type="dxa"/>
          </w:tcPr>
          <w:p w:rsidR="00F469EB" w:rsidRPr="00D95026" w:rsidRDefault="00F469EB" w:rsidP="008D7798">
            <w:pPr>
              <w:pStyle w:val="naiskr"/>
              <w:tabs>
                <w:tab w:val="left" w:pos="7993"/>
              </w:tabs>
              <w:spacing w:before="0" w:after="0"/>
              <w:ind w:right="-1"/>
              <w:jc w:val="center"/>
            </w:pPr>
            <w:r w:rsidRPr="00D95026">
              <w:t>1.</w:t>
            </w:r>
          </w:p>
        </w:tc>
        <w:tc>
          <w:tcPr>
            <w:tcW w:w="2490" w:type="dxa"/>
          </w:tcPr>
          <w:p w:rsidR="00F469EB" w:rsidRPr="00D95026" w:rsidRDefault="00F469EB" w:rsidP="008D7798">
            <w:pPr>
              <w:pStyle w:val="naiskr"/>
              <w:tabs>
                <w:tab w:val="left" w:pos="7993"/>
              </w:tabs>
              <w:spacing w:before="0" w:after="0"/>
              <w:ind w:right="-1"/>
            </w:pPr>
            <w:r w:rsidRPr="00D95026">
              <w:t>Pamatojums</w:t>
            </w:r>
          </w:p>
        </w:tc>
        <w:tc>
          <w:tcPr>
            <w:tcW w:w="6095" w:type="dxa"/>
          </w:tcPr>
          <w:p w:rsidR="00F469EB" w:rsidRPr="00D95026" w:rsidRDefault="00F469EB" w:rsidP="006D31D2">
            <w:pPr>
              <w:pStyle w:val="naiskr"/>
              <w:tabs>
                <w:tab w:val="left" w:pos="7993"/>
              </w:tabs>
              <w:spacing w:before="0" w:after="0"/>
              <w:ind w:right="-1"/>
              <w:jc w:val="both"/>
            </w:pPr>
            <w:r w:rsidRPr="00D95026">
              <w:t>Ministru kabineta rīkojuma projekts „</w:t>
            </w:r>
            <w:r w:rsidRPr="00D95026">
              <w:rPr>
                <w:iCs/>
              </w:rPr>
              <w:t xml:space="preserve">Par finansējuma </w:t>
            </w:r>
            <w:r w:rsidR="007268CC" w:rsidRPr="00D95026">
              <w:rPr>
                <w:iCs/>
              </w:rPr>
              <w:t>piešķiršanu</w:t>
            </w:r>
            <w:r w:rsidRPr="00D95026">
              <w:rPr>
                <w:iCs/>
              </w:rPr>
              <w:t xml:space="preserve"> Jaunā Rīgas teātra ēku Lāčplēša ielā 25, Rīgā, rekonstrukcijas, nomas maksas, pārcelšanās un aprīkojuma iegādes izdevumu segšanai” (turpmāk – Ministru kabineta rīkojuma projekts) sagatavots, ņemot vērā nepieciešamību pirms iepirkuma līguma par projektēšanas darbu veikšanu </w:t>
            </w:r>
            <w:r w:rsidR="006D31D2">
              <w:rPr>
                <w:iCs/>
              </w:rPr>
              <w:t>stāšanās spēkā</w:t>
            </w:r>
            <w:r w:rsidR="006D31D2" w:rsidRPr="00D95026">
              <w:rPr>
                <w:iCs/>
              </w:rPr>
              <w:t xml:space="preserve"> </w:t>
            </w:r>
            <w:r w:rsidR="002F12F6" w:rsidRPr="00D95026">
              <w:rPr>
                <w:iCs/>
              </w:rPr>
              <w:t>precizēt finansējuma</w:t>
            </w:r>
            <w:r w:rsidRPr="00D95026">
              <w:rPr>
                <w:iCs/>
              </w:rPr>
              <w:t xml:space="preserve"> apmēru, kas likumā „Par valsts budžetu 2014.gadam” paredzēts saskaņā ar Ministru kabineta </w:t>
            </w:r>
            <w:r w:rsidRPr="00D95026">
              <w:t>2012.gada 28.augusta rīkojumā Nr.412 „</w:t>
            </w:r>
            <w:r w:rsidRPr="00D95026">
              <w:rPr>
                <w:iCs/>
              </w:rPr>
              <w:t>Par finansējuma piešķiršanu Jaunā Rīgas teātra ēkas Lāčplēša ielā 25, Rīgā, būvniecības projekta izdevumu segšanai” (turpmāk – Ministru kabineta rīkojums Nr.412) noteikto.</w:t>
            </w:r>
          </w:p>
        </w:tc>
      </w:tr>
      <w:tr w:rsidR="00D95026" w:rsidRPr="00D95026" w:rsidTr="00CB677A">
        <w:trPr>
          <w:trHeight w:val="4668"/>
        </w:trPr>
        <w:tc>
          <w:tcPr>
            <w:tcW w:w="544" w:type="dxa"/>
          </w:tcPr>
          <w:p w:rsidR="00F469EB" w:rsidRPr="00D95026" w:rsidRDefault="00F469EB" w:rsidP="008D7798">
            <w:pPr>
              <w:pStyle w:val="naiskr"/>
              <w:tabs>
                <w:tab w:val="left" w:pos="7993"/>
              </w:tabs>
              <w:spacing w:before="0" w:after="0"/>
              <w:ind w:right="-1"/>
              <w:jc w:val="center"/>
            </w:pPr>
            <w:r w:rsidRPr="00D95026">
              <w:t>2.</w:t>
            </w:r>
          </w:p>
        </w:tc>
        <w:tc>
          <w:tcPr>
            <w:tcW w:w="2490" w:type="dxa"/>
          </w:tcPr>
          <w:p w:rsidR="00F469EB" w:rsidRPr="00D95026" w:rsidRDefault="00F469EB" w:rsidP="008D7798">
            <w:pPr>
              <w:pStyle w:val="naiskr"/>
              <w:tabs>
                <w:tab w:val="left" w:pos="7993"/>
              </w:tabs>
              <w:spacing w:before="0" w:after="0"/>
              <w:ind w:right="-1"/>
            </w:pPr>
            <w:r w:rsidRPr="00D95026">
              <w:t>Pašreizējā situācija un problēmas, kuru risināšanai tiesību akta projekts izstrādāts, tiesiskā regulējuma mērķis un būtība</w:t>
            </w:r>
          </w:p>
        </w:tc>
        <w:tc>
          <w:tcPr>
            <w:tcW w:w="6095" w:type="dxa"/>
          </w:tcPr>
          <w:p w:rsidR="00F469EB" w:rsidRPr="00D95026" w:rsidRDefault="00F469EB" w:rsidP="00AC7918">
            <w:pPr>
              <w:tabs>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Pamatojoties uz Ministru kabineta rīkojuma Nr.412:</w:t>
            </w:r>
          </w:p>
          <w:p w:rsidR="000B19BC" w:rsidRDefault="00F469EB">
            <w:pPr>
              <w:pStyle w:val="naiskr"/>
              <w:tabs>
                <w:tab w:val="left" w:pos="386"/>
                <w:tab w:val="left" w:pos="7993"/>
              </w:tabs>
              <w:spacing w:before="0" w:after="0"/>
              <w:ind w:right="-1"/>
              <w:jc w:val="both"/>
              <w:rPr>
                <w:iCs/>
              </w:rPr>
            </w:pPr>
            <w:r w:rsidRPr="00D95026">
              <w:rPr>
                <w:lang w:eastAsia="en-US"/>
              </w:rPr>
              <w:t xml:space="preserve">– </w:t>
            </w:r>
            <w:r w:rsidRPr="00D95026">
              <w:rPr>
                <w:iCs/>
              </w:rPr>
              <w:t>1.</w:t>
            </w:r>
            <w:r w:rsidRPr="00D95026">
              <w:rPr>
                <w:iCs/>
                <w:vertAlign w:val="superscript"/>
              </w:rPr>
              <w:t>1</w:t>
            </w:r>
            <w:r w:rsidRPr="00D95026">
              <w:rPr>
                <w:iCs/>
              </w:rPr>
              <w:t xml:space="preserve"> punktu, likumā „Par valsts budžetu 2014.gadam” un likumā </w:t>
            </w:r>
            <w:r w:rsidR="004E30DD">
              <w:rPr>
                <w:iCs/>
              </w:rPr>
              <w:t xml:space="preserve"> </w:t>
            </w:r>
            <w:r w:rsidRPr="00D95026">
              <w:rPr>
                <w:iCs/>
              </w:rPr>
              <w:t>„</w:t>
            </w:r>
            <w:r w:rsidR="00F909BA" w:rsidRPr="00D95026">
              <w:rPr>
                <w:lang w:eastAsia="en-US"/>
              </w:rPr>
              <w:t>Par vidēja termiņa budžeta ietvaru 2014., 2015. un 2016.gadam</w:t>
            </w:r>
            <w:r w:rsidRPr="00D95026">
              <w:rPr>
                <w:iCs/>
              </w:rPr>
              <w:t>”</w:t>
            </w:r>
            <w:r w:rsidR="004E30DD">
              <w:rPr>
                <w:iCs/>
              </w:rPr>
              <w:t xml:space="preserve"> </w:t>
            </w:r>
            <w:r w:rsidRPr="00D95026">
              <w:rPr>
                <w:iCs/>
              </w:rPr>
              <w:t>Finanšu ministrijas budžetā ilgtermiņa saistībās paredzēts finansējums valsts akciju sabiedrībai „Valsts nekustamie īpašumi”  (turpmāk – VNĪ) ēku Lāčplēša ielā 25, Rīgā, rekonstrukcijas izdevumu segšanai:</w:t>
            </w:r>
          </w:p>
          <w:p w:rsidR="000B19BC" w:rsidRDefault="00F469EB">
            <w:pPr>
              <w:pStyle w:val="naiskr"/>
              <w:numPr>
                <w:ilvl w:val="0"/>
                <w:numId w:val="22"/>
              </w:numPr>
              <w:tabs>
                <w:tab w:val="left" w:pos="386"/>
                <w:tab w:val="left" w:pos="7993"/>
              </w:tabs>
              <w:spacing w:before="0" w:after="0"/>
              <w:ind w:right="-1" w:hanging="861"/>
              <w:jc w:val="both"/>
              <w:rPr>
                <w:iCs/>
              </w:rPr>
            </w:pPr>
            <w:r w:rsidRPr="00D95026">
              <w:rPr>
                <w:iCs/>
              </w:rPr>
              <w:t xml:space="preserve">2014.gadā – 487 116 </w:t>
            </w:r>
            <w:r w:rsidRPr="00D95026">
              <w:rPr>
                <w:i/>
                <w:iCs/>
              </w:rPr>
              <w:t>euro</w:t>
            </w:r>
            <w:r w:rsidRPr="00D95026">
              <w:rPr>
                <w:iCs/>
              </w:rPr>
              <w:t>;</w:t>
            </w:r>
          </w:p>
          <w:p w:rsidR="000B19BC" w:rsidRDefault="00F469EB">
            <w:pPr>
              <w:pStyle w:val="naiskr"/>
              <w:numPr>
                <w:ilvl w:val="0"/>
                <w:numId w:val="22"/>
              </w:numPr>
              <w:tabs>
                <w:tab w:val="left" w:pos="386"/>
                <w:tab w:val="left" w:pos="7993"/>
              </w:tabs>
              <w:spacing w:before="0" w:after="0"/>
              <w:ind w:right="-1" w:hanging="861"/>
              <w:jc w:val="both"/>
              <w:rPr>
                <w:iCs/>
              </w:rPr>
            </w:pPr>
            <w:r w:rsidRPr="00D95026">
              <w:rPr>
                <w:iCs/>
              </w:rPr>
              <w:t xml:space="preserve">2015.gadā – 1 223 859 </w:t>
            </w:r>
            <w:r w:rsidRPr="00D95026">
              <w:rPr>
                <w:i/>
                <w:iCs/>
              </w:rPr>
              <w:t>euro</w:t>
            </w:r>
            <w:r w:rsidRPr="00D95026">
              <w:rPr>
                <w:iCs/>
              </w:rPr>
              <w:t>;</w:t>
            </w:r>
          </w:p>
          <w:p w:rsidR="000B19BC" w:rsidRDefault="00F469EB">
            <w:pPr>
              <w:pStyle w:val="naiskr"/>
              <w:numPr>
                <w:ilvl w:val="0"/>
                <w:numId w:val="22"/>
              </w:numPr>
              <w:tabs>
                <w:tab w:val="left" w:pos="386"/>
                <w:tab w:val="left" w:pos="7993"/>
              </w:tabs>
              <w:spacing w:before="0" w:after="0"/>
              <w:ind w:right="-1" w:hanging="861"/>
              <w:jc w:val="both"/>
              <w:rPr>
                <w:iCs/>
              </w:rPr>
            </w:pPr>
            <w:r w:rsidRPr="00D95026">
              <w:rPr>
                <w:iCs/>
              </w:rPr>
              <w:t xml:space="preserve">2016.gadā – 5 518 301 </w:t>
            </w:r>
            <w:r w:rsidRPr="00D95026">
              <w:rPr>
                <w:i/>
                <w:iCs/>
              </w:rPr>
              <w:t>euro.</w:t>
            </w:r>
          </w:p>
          <w:p w:rsidR="000B19BC" w:rsidRDefault="00F469EB">
            <w:pPr>
              <w:pStyle w:val="naiskr"/>
              <w:tabs>
                <w:tab w:val="left" w:pos="386"/>
                <w:tab w:val="left" w:pos="7993"/>
              </w:tabs>
              <w:spacing w:before="0" w:after="0"/>
              <w:ind w:right="-1"/>
              <w:jc w:val="both"/>
              <w:rPr>
                <w:iCs/>
              </w:rPr>
            </w:pPr>
            <w:r w:rsidRPr="00D95026">
              <w:t xml:space="preserve">Kopējais finansējuma apmērs, kas paredzēts rekonstrukcijas izdevumu segšanai 2013. – 2016.gadā, ir 7 364 977 </w:t>
            </w:r>
            <w:r w:rsidRPr="00D95026">
              <w:rPr>
                <w:i/>
              </w:rPr>
              <w:t>euro</w:t>
            </w:r>
            <w:r w:rsidRPr="00D95026">
              <w:t xml:space="preserve"> </w:t>
            </w:r>
            <w:r w:rsidRPr="00D95026">
              <w:rPr>
                <w:iCs/>
              </w:rPr>
              <w:t xml:space="preserve">(t.sk. 2013.gadā 135 701 </w:t>
            </w:r>
            <w:r w:rsidRPr="00D95026">
              <w:rPr>
                <w:i/>
                <w:iCs/>
              </w:rPr>
              <w:t>euro</w:t>
            </w:r>
            <w:r w:rsidRPr="00D95026">
              <w:rPr>
                <w:iCs/>
              </w:rPr>
              <w:t xml:space="preserve"> ).</w:t>
            </w:r>
          </w:p>
          <w:p w:rsidR="000B19BC" w:rsidRDefault="00F469EB" w:rsidP="000B19BC">
            <w:pPr>
              <w:pStyle w:val="naiskr"/>
              <w:tabs>
                <w:tab w:val="left" w:pos="386"/>
                <w:tab w:val="left" w:pos="7993"/>
              </w:tabs>
              <w:spacing w:before="0" w:after="0"/>
              <w:ind w:right="-1"/>
              <w:jc w:val="both"/>
              <w:rPr>
                <w:iCs/>
              </w:rPr>
            </w:pPr>
            <w:r w:rsidRPr="00D95026">
              <w:rPr>
                <w:lang w:eastAsia="en-US"/>
              </w:rPr>
              <w:t xml:space="preserve">– </w:t>
            </w:r>
            <w:r w:rsidRPr="00D95026">
              <w:rPr>
                <w:iCs/>
              </w:rPr>
              <w:t xml:space="preserve">2.punktu, likumā par valsts budžetu kārtējam gadam paredzams finansējums Kultūras ministrijas budžetā valsts sabiedrībai ar ierobežotu atbildību „Jaunais Rīgas teātris” (turpmāk </w:t>
            </w:r>
            <w:r w:rsidR="001B1EBD">
              <w:rPr>
                <w:iCs/>
              </w:rPr>
              <w:t>–</w:t>
            </w:r>
            <w:r w:rsidR="001B1EBD" w:rsidRPr="00D95026">
              <w:rPr>
                <w:iCs/>
              </w:rPr>
              <w:t xml:space="preserve"> </w:t>
            </w:r>
            <w:r w:rsidRPr="00D95026">
              <w:rPr>
                <w:iCs/>
              </w:rPr>
              <w:t>Jaunais Rīgas teātris) nekustamā īpašuma (nekustamā īpaš</w:t>
            </w:r>
            <w:r w:rsidR="00BB6BB6" w:rsidRPr="00D95026">
              <w:rPr>
                <w:iCs/>
              </w:rPr>
              <w:t>uma kadastra Nr. 0100 022 0070)</w:t>
            </w:r>
            <w:r w:rsidRPr="00D95026">
              <w:rPr>
                <w:iCs/>
              </w:rPr>
              <w:t xml:space="preserve"> Lāčplēša ielā 25, Rīgā, nomas maksas izdevumu segšanai VNĪ no 2017.gada katru gadu 206 718 </w:t>
            </w:r>
            <w:r w:rsidRPr="00D95026">
              <w:rPr>
                <w:i/>
                <w:iCs/>
              </w:rPr>
              <w:t>euro</w:t>
            </w:r>
            <w:r w:rsidRPr="00D95026">
              <w:rPr>
                <w:iCs/>
              </w:rPr>
              <w:t>.</w:t>
            </w:r>
          </w:p>
          <w:p w:rsidR="000B19BC" w:rsidRDefault="00F469EB">
            <w:pPr>
              <w:pStyle w:val="naiskr"/>
              <w:tabs>
                <w:tab w:val="left" w:pos="142"/>
                <w:tab w:val="left" w:pos="7993"/>
              </w:tabs>
              <w:spacing w:before="0" w:after="0"/>
              <w:ind w:right="-1"/>
              <w:jc w:val="both"/>
              <w:rPr>
                <w:lang w:eastAsia="en-US"/>
              </w:rPr>
            </w:pPr>
            <w:r w:rsidRPr="00D95026">
              <w:rPr>
                <w:lang w:eastAsia="en-US"/>
              </w:rPr>
              <w:t>– 3.punktu, Finanšu ministrijai dots uzdevums nodrošināt ēku Lāčplēša ielā 25, Rīgā, rekonstrukcijas darbu pabeigšanu līdz 2016.gada 31.decembrim, nosakot, ka plānotais nomas līguma sākuma termiņš ir 2017.gada 1.janvāris;</w:t>
            </w:r>
          </w:p>
          <w:p w:rsidR="000B19BC" w:rsidRDefault="00F469EB">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 4., 5.punktu un 6.1.apakšpunktu, Finanšu ministrijai un Kultūras ministrijai doti uzdevumi, lai nodrošinātu augstāk minētā finansējuma precizēšanu;</w:t>
            </w:r>
          </w:p>
          <w:p w:rsidR="00A0650A" w:rsidRDefault="00F469EB">
            <w:pPr>
              <w:pStyle w:val="Sarakstarindkopa"/>
              <w:numPr>
                <w:ilvl w:val="0"/>
                <w:numId w:val="14"/>
              </w:numPr>
              <w:tabs>
                <w:tab w:val="left" w:pos="142"/>
                <w:tab w:val="left" w:pos="7993"/>
              </w:tabs>
              <w:ind w:left="0" w:right="-1" w:firstLine="0"/>
              <w:jc w:val="both"/>
              <w:rPr>
                <w:rFonts w:ascii="Times New Roman" w:hAnsi="Times New Roman"/>
                <w:sz w:val="24"/>
                <w:szCs w:val="24"/>
              </w:rPr>
            </w:pPr>
            <w:r w:rsidRPr="00D95026">
              <w:rPr>
                <w:rFonts w:ascii="Times New Roman" w:hAnsi="Times New Roman"/>
                <w:sz w:val="24"/>
                <w:szCs w:val="24"/>
              </w:rPr>
              <w:t>6.2.apakšpunktu, Kultūras ministrijai sadarbībā ar Finanšu ministriju dots uzdevums līdz 2013.gada 15.janvārim iesniegt noteiktā kārtībā Ministru kabinetā rīkojuma projektu par Jaunā Rīgas teātra ēkas Lāčplēša ielā 25, Rīgā, rekonstrukcijas ietvaros veicamo pārcelšanās un aprīkojuma iegādes izdevumu iekļaušanu likumprojekta par valsts budžetu 2014.gadam ilgtermiņa saistībās.</w:t>
            </w:r>
          </w:p>
          <w:p w:rsidR="000B19BC" w:rsidRDefault="00F469EB">
            <w:pPr>
              <w:tabs>
                <w:tab w:val="left" w:pos="7993"/>
              </w:tabs>
              <w:spacing w:after="0" w:line="240" w:lineRule="auto"/>
              <w:ind w:right="-1"/>
              <w:jc w:val="both"/>
              <w:rPr>
                <w:rFonts w:ascii="Times New Roman" w:hAnsi="Times New Roman"/>
                <w:sz w:val="24"/>
                <w:szCs w:val="24"/>
              </w:rPr>
            </w:pPr>
            <w:r w:rsidRPr="00D95026">
              <w:rPr>
                <w:rFonts w:ascii="Times New Roman" w:hAnsi="Times New Roman"/>
                <w:iCs/>
                <w:sz w:val="24"/>
                <w:szCs w:val="24"/>
                <w:lang w:eastAsia="lv-LV"/>
              </w:rPr>
              <w:lastRenderedPageBreak/>
              <w:t xml:space="preserve">Izpildot Ministru kabineta rīkojuma Nr.412 3.punktā doto uzdevumu, </w:t>
            </w:r>
            <w:r w:rsidRPr="00D95026">
              <w:rPr>
                <w:rFonts w:ascii="Times New Roman" w:hAnsi="Times New Roman"/>
                <w:sz w:val="24"/>
                <w:szCs w:val="24"/>
              </w:rPr>
              <w:t>tiek veikta ēku Lāčplēša ielā 25, Rīgā, rekonstrukcija (skat. anotācijas pielikumā informāciju par rekonstruējamo objektu).</w:t>
            </w:r>
            <w:r w:rsidRPr="00D95026">
              <w:rPr>
                <w:rFonts w:ascii="Times New Roman" w:hAnsi="Times New Roman"/>
                <w:iCs/>
                <w:sz w:val="24"/>
                <w:szCs w:val="24"/>
                <w:lang w:eastAsia="lv-LV"/>
              </w:rPr>
              <w:t xml:space="preserve"> Būvniecības projekta īstenošanai tika pabeigti pir</w:t>
            </w:r>
            <w:r w:rsidR="00BB6BB6" w:rsidRPr="00D95026">
              <w:rPr>
                <w:rFonts w:ascii="Times New Roman" w:hAnsi="Times New Roman"/>
                <w:iCs/>
                <w:sz w:val="24"/>
                <w:szCs w:val="24"/>
                <w:lang w:eastAsia="lv-LV"/>
              </w:rPr>
              <w:t xml:space="preserve">msprojekta sagatavošanas darbi </w:t>
            </w:r>
            <w:r w:rsidRPr="00D95026">
              <w:rPr>
                <w:rFonts w:ascii="Times New Roman" w:hAnsi="Times New Roman"/>
                <w:iCs/>
                <w:sz w:val="24"/>
                <w:szCs w:val="24"/>
                <w:lang w:eastAsia="lv-LV"/>
              </w:rPr>
              <w:t>un 2012.gada oktobrī tika uzsākta iepirkuma dokumentācijas sagatavošana tehniskā projekta izstrādes darbiem. Iepirkums tika plānots kā atklāts konkurss, tomēr, ņemot vērā objekta nozīmību un sabiedrības pastiprināto uzmanību, tika pieņemts lēmums mainīt iepirkuma procedūru un organizēt Arhitektūras ideju konkursu (</w:t>
            </w:r>
            <w:r w:rsidR="00E31EF1" w:rsidRPr="00D95026">
              <w:rPr>
                <w:rFonts w:ascii="Times New Roman" w:hAnsi="Times New Roman"/>
                <w:iCs/>
                <w:sz w:val="24"/>
                <w:szCs w:val="24"/>
                <w:lang w:eastAsia="lv-LV"/>
              </w:rPr>
              <w:t>M</w:t>
            </w:r>
            <w:r w:rsidRPr="00D95026">
              <w:rPr>
                <w:rFonts w:ascii="Times New Roman" w:hAnsi="Times New Roman"/>
                <w:iCs/>
                <w:sz w:val="24"/>
                <w:szCs w:val="24"/>
                <w:lang w:eastAsia="lv-LV"/>
              </w:rPr>
              <w:t xml:space="preserve">etu konkursu). </w:t>
            </w:r>
            <w:r w:rsidRPr="00D95026">
              <w:rPr>
                <w:rFonts w:ascii="Times New Roman" w:hAnsi="Times New Roman"/>
                <w:sz w:val="24"/>
                <w:szCs w:val="24"/>
              </w:rPr>
              <w:t xml:space="preserve">Žūrijas komisija izvērtēja 17 iesniegtos darbus un Metu konkursā tika izvēlēti trīs godalgotie meti. Godalgoto metu autori ir iesnieguši piedāvājumus projektēšanas darbu izmaksām, kas ievērojami pārsniedz iepriekš plānotās provizoriskās izmaksas tehniskā projekta izstrādei. </w:t>
            </w:r>
          </w:p>
          <w:p w:rsidR="000B19BC" w:rsidRDefault="00E31EF1">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Izsludinot Metu konkursu, tā mērķis bija nodrošināt Jauno Rīgas teātri ar tam piemērotām telpām, rekonstruējot teātra ēku kompleksu atbilstoši mūsdienu prasībām, tajā pašā laikā maksimāli respektējot ēku vēsturisko atmosfēru, iegūt pilsētbūvnieciski, arhitektoniski un funkcionāli augstvērtīgu projekta priekšlikumu ēku kompleksa rekonstrukcijas iecerei, iegūt iespējami labāko risinājumu, nodrošinot racionālu līdzekļu izmantošanu.</w:t>
            </w:r>
          </w:p>
          <w:p w:rsidR="000B19BC" w:rsidRDefault="0013794D">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 xml:space="preserve">Vienlaikus vēršam uzmanību, ka Jaunā Rīgas teātra galvenā ēka ir valsts nozīmes vēstures piemineklis, bet otra rekonstruējamā ēka ir atzīta par kultūrvēsturiski vērtīgu ēku. Rekonstruējot iepriekš minētās ēkas un, veicot papildu jaunu būvapjomu izbūves, tiks izveidots vienots ēku komplekss, ietverot arī pagalma daļu. Tiks veikta teritorijas labiekārtošana. </w:t>
            </w:r>
          </w:p>
          <w:p w:rsidR="000B19BC" w:rsidRDefault="00F469EB">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 xml:space="preserve">Ņemot vērā iesniegtos </w:t>
            </w:r>
            <w:r w:rsidR="009B15C1" w:rsidRPr="00D95026">
              <w:rPr>
                <w:rFonts w:ascii="Times New Roman" w:hAnsi="Times New Roman"/>
                <w:sz w:val="24"/>
                <w:szCs w:val="24"/>
              </w:rPr>
              <w:t>m</w:t>
            </w:r>
            <w:r w:rsidRPr="00D95026">
              <w:rPr>
                <w:rFonts w:ascii="Times New Roman" w:hAnsi="Times New Roman"/>
                <w:sz w:val="24"/>
                <w:szCs w:val="24"/>
              </w:rPr>
              <w:t>etu risinājumus</w:t>
            </w:r>
            <w:r w:rsidR="0013794D" w:rsidRPr="00D95026">
              <w:rPr>
                <w:rFonts w:ascii="Times New Roman" w:hAnsi="Times New Roman"/>
                <w:sz w:val="24"/>
                <w:szCs w:val="24"/>
              </w:rPr>
              <w:t xml:space="preserve"> un </w:t>
            </w:r>
            <w:r w:rsidRPr="00D95026">
              <w:rPr>
                <w:rFonts w:ascii="Times New Roman" w:hAnsi="Times New Roman"/>
                <w:sz w:val="24"/>
                <w:szCs w:val="24"/>
              </w:rPr>
              <w:t xml:space="preserve">izvērtējot pretendentu (godalgoto metu autoru) iesniegto informāciju par prognozētajām būvizmaksām katram meta risinājumam, secināms, ka provizoriskās būvizmaksas ievērojami pārsniedz iepriekš plānotās provizoriskās izmaksas būvniecības darbiem. </w:t>
            </w:r>
          </w:p>
          <w:p w:rsidR="000B19BC" w:rsidRDefault="00F469EB">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 xml:space="preserve">Žūrijas komisija, kuras sastāvā bija pieci profesionāli sertificēti arhitekti, kā arī trīs pieaicināti eksperti ar padomdevēja tiesībām no Lietuvas, Latvijas un Igaunijas, izvērtējot metu konkursa ietvaros iesniegtos metu provizoriskos būvizmaksu piedāvājumus, ir norādījuši, ka </w:t>
            </w:r>
            <w:r w:rsidR="00AB5658" w:rsidRPr="00D95026">
              <w:rPr>
                <w:rFonts w:ascii="Times New Roman" w:hAnsi="Times New Roman"/>
                <w:sz w:val="24"/>
                <w:szCs w:val="24"/>
              </w:rPr>
              <w:t>vidējās optimālās objekta viena m</w:t>
            </w:r>
            <w:r w:rsidR="00AB5658" w:rsidRPr="00D95026">
              <w:rPr>
                <w:rFonts w:ascii="Times New Roman" w:hAnsi="Times New Roman"/>
                <w:sz w:val="24"/>
                <w:szCs w:val="24"/>
                <w:vertAlign w:val="superscript"/>
              </w:rPr>
              <w:t>2</w:t>
            </w:r>
            <w:r w:rsidR="00AB5658" w:rsidRPr="00D95026">
              <w:rPr>
                <w:rFonts w:ascii="Times New Roman" w:hAnsi="Times New Roman"/>
                <w:sz w:val="24"/>
                <w:szCs w:val="24"/>
              </w:rPr>
              <w:t xml:space="preserve"> </w:t>
            </w:r>
            <w:r w:rsidR="0015311B" w:rsidRPr="00D95026">
              <w:rPr>
                <w:rFonts w:ascii="Times New Roman" w:hAnsi="Times New Roman"/>
                <w:sz w:val="24"/>
                <w:szCs w:val="24"/>
              </w:rPr>
              <w:t>būv</w:t>
            </w:r>
            <w:r w:rsidR="00AB5658" w:rsidRPr="00D95026">
              <w:rPr>
                <w:rFonts w:ascii="Times New Roman" w:hAnsi="Times New Roman"/>
                <w:sz w:val="24"/>
                <w:szCs w:val="24"/>
              </w:rPr>
              <w:t>izmaksas (bez PVN), kas atkarībā no projektējamiem ēku kompleksa rekonstrukcijas risinājumiem, būtu jāplāno aptuveni 17</w:t>
            </w:r>
            <w:r w:rsidR="007C4054" w:rsidRPr="00D95026">
              <w:rPr>
                <w:rFonts w:ascii="Times New Roman" w:hAnsi="Times New Roman"/>
                <w:sz w:val="24"/>
                <w:szCs w:val="24"/>
              </w:rPr>
              <w:t>5</w:t>
            </w:r>
            <w:r w:rsidR="00AB5658" w:rsidRPr="00D95026">
              <w:rPr>
                <w:rFonts w:ascii="Times New Roman" w:hAnsi="Times New Roman"/>
                <w:sz w:val="24"/>
                <w:szCs w:val="24"/>
              </w:rPr>
              <w:t xml:space="preserve">0 </w:t>
            </w:r>
            <w:r w:rsidR="00AB5658" w:rsidRPr="00D95026">
              <w:rPr>
                <w:rFonts w:ascii="Times New Roman" w:hAnsi="Times New Roman"/>
                <w:i/>
                <w:sz w:val="24"/>
                <w:szCs w:val="24"/>
              </w:rPr>
              <w:t>euro</w:t>
            </w:r>
            <w:r w:rsidR="00AB5658" w:rsidRPr="00D95026">
              <w:rPr>
                <w:rFonts w:ascii="Times New Roman" w:hAnsi="Times New Roman"/>
                <w:sz w:val="24"/>
                <w:szCs w:val="24"/>
              </w:rPr>
              <w:t>/m², kas arī noteica nepieciešamību lēmuma pieņemšanai par finansējuma precizēšanu ēku Lāčplēša ielā 25, Rīgā, rekonstrukcijai. Norādām, ka 17</w:t>
            </w:r>
            <w:r w:rsidR="007C4054" w:rsidRPr="00D95026">
              <w:rPr>
                <w:rFonts w:ascii="Times New Roman" w:hAnsi="Times New Roman"/>
                <w:sz w:val="24"/>
                <w:szCs w:val="24"/>
              </w:rPr>
              <w:t>5</w:t>
            </w:r>
            <w:r w:rsidR="00AB5658" w:rsidRPr="00D95026">
              <w:rPr>
                <w:rFonts w:ascii="Times New Roman" w:hAnsi="Times New Roman"/>
                <w:sz w:val="24"/>
                <w:szCs w:val="24"/>
              </w:rPr>
              <w:t xml:space="preserve">0 </w:t>
            </w:r>
            <w:r w:rsidR="0015311B" w:rsidRPr="00D95026">
              <w:rPr>
                <w:rFonts w:ascii="Times New Roman" w:hAnsi="Times New Roman"/>
                <w:i/>
                <w:sz w:val="24"/>
                <w:szCs w:val="24"/>
              </w:rPr>
              <w:t>euro</w:t>
            </w:r>
            <w:r w:rsidR="00AB5658" w:rsidRPr="00D95026">
              <w:rPr>
                <w:rFonts w:ascii="Times New Roman" w:hAnsi="Times New Roman"/>
                <w:sz w:val="24"/>
                <w:szCs w:val="24"/>
              </w:rPr>
              <w:t xml:space="preserve">/m² tiek balstīts uz  žūrijas komisijas locekļu – profesionālu sertificētu arhitektu Latvijas arhitektu savienības biedru, kas reāli ikdienā veic projektēšanas darbus, </w:t>
            </w:r>
            <w:r w:rsidR="00AB5658" w:rsidRPr="00AC7918">
              <w:rPr>
                <w:rFonts w:ascii="Times New Roman" w:hAnsi="Times New Roman"/>
                <w:sz w:val="24"/>
                <w:szCs w:val="24"/>
              </w:rPr>
              <w:t xml:space="preserve">tātad arī objektu tāmēšanu, pieredzi no līdzīgiem objektiem, kas tapuši pēdējo 2 gadu laikā. Līdz ar </w:t>
            </w:r>
            <w:r w:rsidR="00AB5658" w:rsidRPr="00AC7918">
              <w:rPr>
                <w:rFonts w:ascii="Times New Roman" w:hAnsi="Times New Roman"/>
                <w:sz w:val="24"/>
                <w:szCs w:val="24"/>
              </w:rPr>
              <w:lastRenderedPageBreak/>
              <w:t xml:space="preserve">to </w:t>
            </w:r>
            <w:r w:rsidR="00A91868">
              <w:rPr>
                <w:rFonts w:ascii="Times New Roman" w:hAnsi="Times New Roman"/>
                <w:sz w:val="24"/>
                <w:szCs w:val="24"/>
              </w:rPr>
              <w:t xml:space="preserve">provizoriskās būvizmaksas tiek aplēstas 13,7 milj. </w:t>
            </w:r>
            <w:r w:rsidR="00A91868">
              <w:rPr>
                <w:rFonts w:ascii="Times New Roman" w:hAnsi="Times New Roman"/>
                <w:i/>
                <w:sz w:val="24"/>
                <w:szCs w:val="24"/>
              </w:rPr>
              <w:t>euro</w:t>
            </w:r>
            <w:r w:rsidR="00A91868">
              <w:rPr>
                <w:rFonts w:ascii="Times New Roman" w:hAnsi="Times New Roman"/>
                <w:sz w:val="24"/>
                <w:szCs w:val="24"/>
              </w:rPr>
              <w:t xml:space="preserve"> apmērā (bez tehnoloģiskā aprīkojuma trijām teātra zālēm), plānoto projektēto platību 7816 m</w:t>
            </w:r>
            <w:r w:rsidR="00A91868">
              <w:rPr>
                <w:rFonts w:ascii="Times New Roman" w:hAnsi="Times New Roman"/>
                <w:sz w:val="24"/>
                <w:szCs w:val="24"/>
                <w:vertAlign w:val="superscript"/>
              </w:rPr>
              <w:t xml:space="preserve">2 </w:t>
            </w:r>
            <w:r w:rsidR="00A91868">
              <w:rPr>
                <w:rFonts w:ascii="Times New Roman" w:hAnsi="Times New Roman"/>
                <w:sz w:val="24"/>
                <w:szCs w:val="24"/>
              </w:rPr>
              <w:t xml:space="preserve"> reizinot ar aptuvenām izmaksām 1750 </w:t>
            </w:r>
            <w:r w:rsidR="00A91868">
              <w:rPr>
                <w:rFonts w:ascii="Times New Roman" w:hAnsi="Times New Roman"/>
                <w:i/>
                <w:sz w:val="24"/>
                <w:szCs w:val="24"/>
              </w:rPr>
              <w:t>euro</w:t>
            </w:r>
            <w:r w:rsidR="00A91868">
              <w:rPr>
                <w:rFonts w:ascii="Times New Roman" w:hAnsi="Times New Roman"/>
                <w:sz w:val="24"/>
                <w:szCs w:val="24"/>
              </w:rPr>
              <w:t>/m</w:t>
            </w:r>
            <w:r w:rsidR="00A91868">
              <w:rPr>
                <w:rFonts w:ascii="Times New Roman" w:hAnsi="Times New Roman"/>
                <w:sz w:val="24"/>
                <w:szCs w:val="24"/>
                <w:vertAlign w:val="superscript"/>
              </w:rPr>
              <w:t>2</w:t>
            </w:r>
            <w:r w:rsidR="00A91868">
              <w:rPr>
                <w:rFonts w:ascii="Times New Roman" w:hAnsi="Times New Roman"/>
                <w:sz w:val="24"/>
                <w:szCs w:val="24"/>
              </w:rPr>
              <w:t xml:space="preserve">. Pirms Meta konkursa provizoriski noteiktie būvizmaksu apmēri zem 854 </w:t>
            </w:r>
            <w:r w:rsidR="00A91868">
              <w:rPr>
                <w:rFonts w:ascii="Times New Roman" w:hAnsi="Times New Roman"/>
                <w:i/>
                <w:sz w:val="24"/>
                <w:szCs w:val="24"/>
              </w:rPr>
              <w:t>euro</w:t>
            </w:r>
            <w:r w:rsidR="00A91868">
              <w:rPr>
                <w:rFonts w:ascii="Times New Roman" w:hAnsi="Times New Roman"/>
                <w:sz w:val="24"/>
                <w:szCs w:val="24"/>
              </w:rPr>
              <w:t>/m² (600 Ls/m²) nebija pietiekami. Piemēram, VNĪ 2012. un 2013.gadā īstenoto attīstības projektu būvniecības izmaksas uz objekta vienu m</w:t>
            </w:r>
            <w:r w:rsidR="00A91868">
              <w:rPr>
                <w:rFonts w:ascii="Times New Roman" w:hAnsi="Times New Roman"/>
                <w:sz w:val="24"/>
                <w:szCs w:val="24"/>
                <w:vertAlign w:val="superscript"/>
              </w:rPr>
              <w:t>2</w:t>
            </w:r>
            <w:r w:rsidR="00A91868">
              <w:rPr>
                <w:rFonts w:ascii="Times New Roman" w:hAnsi="Times New Roman"/>
                <w:sz w:val="24"/>
                <w:szCs w:val="24"/>
              </w:rPr>
              <w:t xml:space="preserve"> sastādīja: Ārzemju mākslas muzeja ēkas Rīgā, Doma laukumā 6, rekonstrukcijai – 3560 </w:t>
            </w:r>
            <w:r w:rsidR="00A91868">
              <w:rPr>
                <w:rFonts w:ascii="Times New Roman" w:hAnsi="Times New Roman"/>
                <w:i/>
                <w:sz w:val="24"/>
                <w:szCs w:val="24"/>
              </w:rPr>
              <w:t>euro</w:t>
            </w:r>
            <w:r w:rsidR="00A91868">
              <w:rPr>
                <w:rFonts w:ascii="Times New Roman" w:hAnsi="Times New Roman"/>
                <w:sz w:val="24"/>
                <w:szCs w:val="24"/>
              </w:rPr>
              <w:t>/m</w:t>
            </w:r>
            <w:r w:rsidR="00A91868">
              <w:rPr>
                <w:rFonts w:ascii="Times New Roman" w:hAnsi="Times New Roman"/>
                <w:sz w:val="24"/>
                <w:szCs w:val="24"/>
                <w:vertAlign w:val="superscript"/>
              </w:rPr>
              <w:t>2</w:t>
            </w:r>
            <w:r w:rsidR="00A91868">
              <w:rPr>
                <w:rFonts w:ascii="Times New Roman" w:hAnsi="Times New Roman"/>
                <w:sz w:val="24"/>
                <w:szCs w:val="24"/>
              </w:rPr>
              <w:t xml:space="preserve">, bet Valsts policijas Latgales reģiona pārvaldes ēku būvniecībai Daugavpils cietoksnī (attīstības I posms – būvniecības 1.kārta) – 1900 </w:t>
            </w:r>
            <w:r w:rsidR="00A91868">
              <w:rPr>
                <w:rFonts w:ascii="Times New Roman" w:hAnsi="Times New Roman"/>
                <w:i/>
                <w:sz w:val="24"/>
                <w:szCs w:val="24"/>
              </w:rPr>
              <w:t>euro</w:t>
            </w:r>
            <w:r w:rsidR="00A91868">
              <w:rPr>
                <w:rFonts w:ascii="Times New Roman" w:hAnsi="Times New Roman"/>
                <w:sz w:val="24"/>
                <w:szCs w:val="24"/>
              </w:rPr>
              <w:t>/m</w:t>
            </w:r>
            <w:r w:rsidR="00A91868">
              <w:rPr>
                <w:rFonts w:ascii="Times New Roman" w:hAnsi="Times New Roman"/>
                <w:sz w:val="24"/>
                <w:szCs w:val="24"/>
                <w:vertAlign w:val="superscript"/>
              </w:rPr>
              <w:t>2</w:t>
            </w:r>
            <w:r w:rsidR="00A91868">
              <w:rPr>
                <w:rFonts w:ascii="Times New Roman" w:hAnsi="Times New Roman"/>
                <w:sz w:val="24"/>
                <w:szCs w:val="24"/>
              </w:rPr>
              <w:t>.</w:t>
            </w:r>
          </w:p>
          <w:p w:rsidR="000B19BC" w:rsidRDefault="00501F58">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Kopējās provizoriskās</w:t>
            </w:r>
            <w:r w:rsidR="00280681" w:rsidRPr="00D95026">
              <w:rPr>
                <w:rFonts w:ascii="Times New Roman" w:hAnsi="Times New Roman"/>
                <w:sz w:val="24"/>
                <w:szCs w:val="24"/>
              </w:rPr>
              <w:t xml:space="preserve"> </w:t>
            </w:r>
            <w:r w:rsidR="001152D2" w:rsidRPr="00D95026">
              <w:rPr>
                <w:rFonts w:ascii="Times New Roman" w:hAnsi="Times New Roman"/>
                <w:sz w:val="24"/>
                <w:szCs w:val="24"/>
              </w:rPr>
              <w:t xml:space="preserve">projekta </w:t>
            </w:r>
            <w:r w:rsidR="00280681" w:rsidRPr="00D95026">
              <w:rPr>
                <w:rFonts w:ascii="Times New Roman" w:hAnsi="Times New Roman"/>
                <w:sz w:val="24"/>
                <w:szCs w:val="24"/>
              </w:rPr>
              <w:t xml:space="preserve">būvniecības un tehnoloģiskā aprīkojuma </w:t>
            </w:r>
            <w:r w:rsidR="001152D2" w:rsidRPr="00D95026">
              <w:rPr>
                <w:rFonts w:ascii="Times New Roman" w:hAnsi="Times New Roman"/>
                <w:sz w:val="24"/>
                <w:szCs w:val="24"/>
              </w:rPr>
              <w:t>izmaksas</w:t>
            </w:r>
            <w:r w:rsidRPr="00D95026">
              <w:rPr>
                <w:rFonts w:ascii="Times New Roman" w:hAnsi="Times New Roman"/>
                <w:sz w:val="24"/>
                <w:szCs w:val="24"/>
              </w:rPr>
              <w:t>, salīdzinot ar Ministru kabineta rīkojum</w:t>
            </w:r>
            <w:r w:rsidR="00562931" w:rsidRPr="00D95026">
              <w:rPr>
                <w:rFonts w:ascii="Times New Roman" w:hAnsi="Times New Roman"/>
                <w:sz w:val="24"/>
                <w:szCs w:val="24"/>
              </w:rPr>
              <w:t>ā</w:t>
            </w:r>
            <w:r w:rsidRPr="00D95026">
              <w:rPr>
                <w:rFonts w:ascii="Times New Roman" w:hAnsi="Times New Roman"/>
                <w:sz w:val="24"/>
                <w:szCs w:val="24"/>
              </w:rPr>
              <w:t xml:space="preserve"> Nr.412</w:t>
            </w:r>
            <w:r w:rsidR="00562931" w:rsidRPr="00D95026">
              <w:rPr>
                <w:rFonts w:ascii="Times New Roman" w:hAnsi="Times New Roman"/>
                <w:sz w:val="24"/>
                <w:szCs w:val="24"/>
              </w:rPr>
              <w:t xml:space="preserve"> apstiprināt</w:t>
            </w:r>
            <w:r w:rsidR="00FE40B3" w:rsidRPr="00D95026">
              <w:rPr>
                <w:rFonts w:ascii="Times New Roman" w:hAnsi="Times New Roman"/>
                <w:sz w:val="24"/>
                <w:szCs w:val="24"/>
              </w:rPr>
              <w:t>ajām</w:t>
            </w:r>
            <w:r w:rsidRPr="00D95026">
              <w:rPr>
                <w:rFonts w:ascii="Times New Roman" w:hAnsi="Times New Roman"/>
                <w:sz w:val="24"/>
                <w:szCs w:val="24"/>
              </w:rPr>
              <w:t xml:space="preserve"> </w:t>
            </w:r>
            <w:r w:rsidR="001152D2" w:rsidRPr="00D95026">
              <w:rPr>
                <w:rFonts w:ascii="Times New Roman" w:hAnsi="Times New Roman"/>
                <w:sz w:val="24"/>
                <w:szCs w:val="24"/>
              </w:rPr>
              <w:t xml:space="preserve">ir </w:t>
            </w:r>
            <w:r w:rsidR="008C043F" w:rsidRPr="00D95026">
              <w:rPr>
                <w:rFonts w:ascii="Times New Roman" w:hAnsi="Times New Roman"/>
                <w:b/>
                <w:sz w:val="24"/>
                <w:szCs w:val="24"/>
              </w:rPr>
              <w:t xml:space="preserve">par divas reizes lielāku summu, t.i. </w:t>
            </w:r>
            <w:r w:rsidR="00562931" w:rsidRPr="00D95026">
              <w:rPr>
                <w:rFonts w:ascii="Times New Roman" w:hAnsi="Times New Roman"/>
                <w:sz w:val="24"/>
                <w:szCs w:val="24"/>
              </w:rPr>
              <w:t xml:space="preserve">par </w:t>
            </w:r>
            <w:r w:rsidR="009E28E9" w:rsidRPr="00D95026">
              <w:rPr>
                <w:rFonts w:ascii="Times New Roman" w:hAnsi="Times New Roman"/>
                <w:sz w:val="24"/>
                <w:szCs w:val="24"/>
              </w:rPr>
              <w:t>11  641 291</w:t>
            </w:r>
            <w:r w:rsidR="009E28E9" w:rsidRPr="00D95026">
              <w:rPr>
                <w:rFonts w:ascii="Times New Roman" w:hAnsi="Times New Roman"/>
                <w:i/>
                <w:iCs/>
                <w:sz w:val="24"/>
                <w:szCs w:val="24"/>
                <w:lang w:eastAsia="lv-LV"/>
              </w:rPr>
              <w:t xml:space="preserve"> </w:t>
            </w:r>
            <w:r w:rsidR="00562931" w:rsidRPr="00D95026">
              <w:rPr>
                <w:rFonts w:ascii="Times New Roman" w:hAnsi="Times New Roman"/>
                <w:i/>
                <w:sz w:val="24"/>
                <w:szCs w:val="24"/>
              </w:rPr>
              <w:t>euro</w:t>
            </w:r>
            <w:r w:rsidR="00D95026" w:rsidRPr="00D95026">
              <w:rPr>
                <w:rFonts w:ascii="Times New Roman" w:hAnsi="Times New Roman"/>
                <w:sz w:val="24"/>
                <w:szCs w:val="24"/>
              </w:rPr>
              <w:t xml:space="preserve">, t. sk. </w:t>
            </w:r>
            <w:r w:rsidR="00107B32" w:rsidRPr="00D95026">
              <w:rPr>
                <w:rFonts w:ascii="Times New Roman" w:hAnsi="Times New Roman"/>
                <w:sz w:val="24"/>
                <w:szCs w:val="24"/>
              </w:rPr>
              <w:t>būvizmaks</w:t>
            </w:r>
            <w:r w:rsidR="00562931" w:rsidRPr="00D95026">
              <w:rPr>
                <w:rFonts w:ascii="Times New Roman" w:hAnsi="Times New Roman"/>
                <w:sz w:val="24"/>
                <w:szCs w:val="24"/>
              </w:rPr>
              <w:t>as</w:t>
            </w:r>
            <w:r w:rsidR="00FE40B3" w:rsidRPr="00D95026">
              <w:rPr>
                <w:rFonts w:ascii="Times New Roman" w:hAnsi="Times New Roman"/>
                <w:sz w:val="24"/>
                <w:szCs w:val="24"/>
              </w:rPr>
              <w:t xml:space="preserve"> </w:t>
            </w:r>
            <w:r w:rsidR="003E2E16" w:rsidRPr="00D95026">
              <w:rPr>
                <w:rFonts w:ascii="Times New Roman" w:hAnsi="Times New Roman"/>
                <w:sz w:val="24"/>
                <w:szCs w:val="24"/>
              </w:rPr>
              <w:t>7 313 252</w:t>
            </w:r>
            <w:r w:rsidR="00FE40B3" w:rsidRPr="00D95026">
              <w:rPr>
                <w:rFonts w:ascii="Times New Roman" w:hAnsi="Times New Roman"/>
                <w:sz w:val="24"/>
                <w:szCs w:val="24"/>
              </w:rPr>
              <w:t xml:space="preserve"> </w:t>
            </w:r>
            <w:r w:rsidR="00FE40B3" w:rsidRPr="00D95026">
              <w:rPr>
                <w:rFonts w:ascii="Times New Roman" w:hAnsi="Times New Roman"/>
                <w:i/>
                <w:sz w:val="24"/>
                <w:szCs w:val="24"/>
              </w:rPr>
              <w:t>euro</w:t>
            </w:r>
            <w:r w:rsidR="00107B32" w:rsidRPr="00D95026">
              <w:rPr>
                <w:rFonts w:ascii="Times New Roman" w:hAnsi="Times New Roman"/>
                <w:sz w:val="24"/>
                <w:szCs w:val="24"/>
              </w:rPr>
              <w:t xml:space="preserve">, </w:t>
            </w:r>
            <w:r w:rsidR="00922FC3" w:rsidRPr="00D95026">
              <w:rPr>
                <w:rFonts w:ascii="Times New Roman" w:hAnsi="Times New Roman"/>
                <w:sz w:val="24"/>
                <w:szCs w:val="24"/>
              </w:rPr>
              <w:t>tehniskā projekta izstrāde</w:t>
            </w:r>
            <w:r w:rsidR="00FD3622" w:rsidRPr="00D95026">
              <w:rPr>
                <w:rFonts w:ascii="Times New Roman" w:hAnsi="Times New Roman"/>
                <w:sz w:val="24"/>
                <w:szCs w:val="24"/>
              </w:rPr>
              <w:t xml:space="preserve">s izmaksas </w:t>
            </w:r>
            <w:r w:rsidR="00F30CC3" w:rsidRPr="00D95026">
              <w:rPr>
                <w:rFonts w:ascii="Times New Roman" w:hAnsi="Times New Roman"/>
                <w:sz w:val="24"/>
                <w:szCs w:val="24"/>
              </w:rPr>
              <w:t>514 007</w:t>
            </w:r>
            <w:r w:rsidR="00FE40B3" w:rsidRPr="00D95026">
              <w:rPr>
                <w:rFonts w:ascii="Times New Roman" w:hAnsi="Times New Roman"/>
                <w:sz w:val="24"/>
                <w:szCs w:val="24"/>
              </w:rPr>
              <w:t xml:space="preserve"> </w:t>
            </w:r>
            <w:r w:rsidR="00FE40B3" w:rsidRPr="00D95026">
              <w:rPr>
                <w:rFonts w:ascii="Times New Roman" w:hAnsi="Times New Roman"/>
                <w:i/>
                <w:sz w:val="24"/>
                <w:szCs w:val="24"/>
              </w:rPr>
              <w:t>euro</w:t>
            </w:r>
            <w:r w:rsidR="00E43EF9" w:rsidRPr="00D95026">
              <w:rPr>
                <w:rFonts w:ascii="Times New Roman" w:hAnsi="Times New Roman"/>
                <w:sz w:val="24"/>
                <w:szCs w:val="24"/>
              </w:rPr>
              <w:t>, p</w:t>
            </w:r>
            <w:r w:rsidR="00122E90" w:rsidRPr="00D95026">
              <w:rPr>
                <w:rFonts w:ascii="Times New Roman" w:hAnsi="Times New Roman"/>
                <w:sz w:val="24"/>
                <w:szCs w:val="24"/>
              </w:rPr>
              <w:t>apildus nepieciešam</w:t>
            </w:r>
            <w:r w:rsidR="00E43EF9" w:rsidRPr="00D95026">
              <w:rPr>
                <w:rFonts w:ascii="Times New Roman" w:hAnsi="Times New Roman"/>
                <w:sz w:val="24"/>
                <w:szCs w:val="24"/>
              </w:rPr>
              <w:t>ais</w:t>
            </w:r>
            <w:r w:rsidR="00122E90" w:rsidRPr="00D95026">
              <w:rPr>
                <w:rFonts w:ascii="Times New Roman" w:hAnsi="Times New Roman"/>
                <w:sz w:val="24"/>
                <w:szCs w:val="24"/>
              </w:rPr>
              <w:t xml:space="preserve"> </w:t>
            </w:r>
            <w:r w:rsidR="00C04485" w:rsidRPr="00D95026">
              <w:rPr>
                <w:rFonts w:ascii="Times New Roman" w:hAnsi="Times New Roman"/>
                <w:sz w:val="24"/>
                <w:szCs w:val="24"/>
              </w:rPr>
              <w:t xml:space="preserve">finansējums </w:t>
            </w:r>
            <w:r w:rsidR="00B93768" w:rsidRPr="00D95026">
              <w:rPr>
                <w:rFonts w:ascii="Times New Roman" w:hAnsi="Times New Roman"/>
                <w:sz w:val="24"/>
                <w:szCs w:val="24"/>
              </w:rPr>
              <w:t xml:space="preserve"> tehnoloģiskā aprīkojuma iegādei un montāžai </w:t>
            </w:r>
            <w:r w:rsidR="009E28E9" w:rsidRPr="00D95026">
              <w:rPr>
                <w:rFonts w:ascii="Times New Roman" w:hAnsi="Times New Roman"/>
                <w:sz w:val="24"/>
                <w:szCs w:val="24"/>
              </w:rPr>
              <w:t xml:space="preserve">3 970 650 </w:t>
            </w:r>
            <w:r w:rsidR="00C04485" w:rsidRPr="00D95026">
              <w:rPr>
                <w:rFonts w:ascii="Times New Roman" w:hAnsi="Times New Roman"/>
                <w:i/>
                <w:sz w:val="24"/>
                <w:szCs w:val="24"/>
              </w:rPr>
              <w:t>euro</w:t>
            </w:r>
            <w:r w:rsidR="00E43EF9" w:rsidRPr="00D95026">
              <w:rPr>
                <w:rFonts w:ascii="Times New Roman" w:hAnsi="Times New Roman"/>
                <w:sz w:val="24"/>
                <w:szCs w:val="24"/>
              </w:rPr>
              <w:t xml:space="preserve">. </w:t>
            </w:r>
            <w:r w:rsidR="00F60731" w:rsidRPr="00D95026">
              <w:rPr>
                <w:rFonts w:ascii="Times New Roman" w:hAnsi="Times New Roman"/>
                <w:sz w:val="24"/>
                <w:szCs w:val="24"/>
              </w:rPr>
              <w:t>I</w:t>
            </w:r>
            <w:r w:rsidR="006936F2" w:rsidRPr="00D95026">
              <w:rPr>
                <w:rFonts w:ascii="Times New Roman" w:hAnsi="Times New Roman"/>
                <w:sz w:val="24"/>
                <w:szCs w:val="24"/>
              </w:rPr>
              <w:t>zmaksas tehniskā projekta izstrādei</w:t>
            </w:r>
            <w:r w:rsidR="00F55479" w:rsidRPr="00D95026">
              <w:rPr>
                <w:rFonts w:ascii="Times New Roman" w:hAnsi="Times New Roman"/>
                <w:sz w:val="24"/>
                <w:szCs w:val="24"/>
              </w:rPr>
              <w:t xml:space="preserve"> </w:t>
            </w:r>
            <w:r w:rsidR="00B60330" w:rsidRPr="00D95026">
              <w:rPr>
                <w:rFonts w:ascii="Times New Roman" w:hAnsi="Times New Roman"/>
                <w:sz w:val="24"/>
                <w:szCs w:val="24"/>
              </w:rPr>
              <w:t xml:space="preserve">2014. un 2015.gadā </w:t>
            </w:r>
            <w:r w:rsidR="009A1176" w:rsidRPr="00D95026">
              <w:rPr>
                <w:rFonts w:ascii="Times New Roman" w:hAnsi="Times New Roman"/>
                <w:sz w:val="24"/>
                <w:szCs w:val="24"/>
              </w:rPr>
              <w:t xml:space="preserve">tiek </w:t>
            </w:r>
            <w:r w:rsidR="00370725" w:rsidRPr="00D95026">
              <w:rPr>
                <w:rFonts w:ascii="Times New Roman" w:hAnsi="Times New Roman"/>
                <w:sz w:val="24"/>
                <w:szCs w:val="24"/>
              </w:rPr>
              <w:t xml:space="preserve">provizoriski </w:t>
            </w:r>
            <w:r w:rsidR="00F60731" w:rsidRPr="00D95026">
              <w:rPr>
                <w:rFonts w:ascii="Times New Roman" w:hAnsi="Times New Roman"/>
                <w:sz w:val="24"/>
                <w:szCs w:val="24"/>
              </w:rPr>
              <w:t xml:space="preserve">norādītas saskaņā </w:t>
            </w:r>
            <w:r w:rsidR="00FB017E" w:rsidRPr="00D95026">
              <w:rPr>
                <w:rFonts w:ascii="Times New Roman" w:hAnsi="Times New Roman"/>
                <w:sz w:val="24"/>
                <w:szCs w:val="24"/>
              </w:rPr>
              <w:t xml:space="preserve">ar 2014.gada 24.aprīlī noslēgto līgumu </w:t>
            </w:r>
            <w:r w:rsidR="00927D5E" w:rsidRPr="00D95026">
              <w:rPr>
                <w:rFonts w:ascii="Times New Roman" w:hAnsi="Times New Roman"/>
                <w:sz w:val="24"/>
                <w:szCs w:val="24"/>
              </w:rPr>
              <w:t>par Jaunā Rīgas teātra skiču projekta, tehniskā projekta izstrādi un autoruzraudzības veikšanu ar pilnsabiedrību „Zaigas Gailes birojs un Partneri”</w:t>
            </w:r>
            <w:r w:rsidR="00E81597" w:rsidRPr="00D95026">
              <w:rPr>
                <w:rFonts w:ascii="Times New Roman" w:hAnsi="Times New Roman"/>
                <w:sz w:val="24"/>
                <w:szCs w:val="24"/>
              </w:rPr>
              <w:t xml:space="preserve">, </w:t>
            </w:r>
            <w:r w:rsidR="00370725" w:rsidRPr="00D95026">
              <w:rPr>
                <w:rFonts w:ascii="Times New Roman" w:hAnsi="Times New Roman"/>
                <w:sz w:val="24"/>
                <w:szCs w:val="24"/>
              </w:rPr>
              <w:t xml:space="preserve">prognozējot, ka 2014.gada </w:t>
            </w:r>
            <w:r w:rsidR="00F30CC3" w:rsidRPr="00D95026">
              <w:rPr>
                <w:rFonts w:ascii="Times New Roman" w:hAnsi="Times New Roman"/>
                <w:sz w:val="24"/>
                <w:szCs w:val="24"/>
              </w:rPr>
              <w:t xml:space="preserve">1.augustā </w:t>
            </w:r>
            <w:r w:rsidR="00370725" w:rsidRPr="00D95026">
              <w:rPr>
                <w:rFonts w:ascii="Times New Roman" w:hAnsi="Times New Roman"/>
                <w:sz w:val="24"/>
                <w:szCs w:val="24"/>
              </w:rPr>
              <w:t xml:space="preserve">varētu tikt uzsākti tehniskā projekta izstrādes darbi. </w:t>
            </w:r>
            <w:r w:rsidR="00E81597" w:rsidRPr="00D95026">
              <w:rPr>
                <w:rFonts w:ascii="Times New Roman" w:hAnsi="Times New Roman"/>
                <w:sz w:val="24"/>
                <w:szCs w:val="24"/>
              </w:rPr>
              <w:t xml:space="preserve"> </w:t>
            </w:r>
            <w:r w:rsidR="00370725" w:rsidRPr="00D95026">
              <w:rPr>
                <w:rFonts w:ascii="Times New Roman" w:hAnsi="Times New Roman"/>
                <w:sz w:val="24"/>
                <w:szCs w:val="24"/>
              </w:rPr>
              <w:t xml:space="preserve">Minētais līgums noslēgts ar nosacījumiem, ka tas </w:t>
            </w:r>
            <w:r w:rsidR="00B60330" w:rsidRPr="00D95026">
              <w:rPr>
                <w:rFonts w:ascii="Times New Roman" w:hAnsi="Times New Roman"/>
                <w:sz w:val="24"/>
                <w:szCs w:val="24"/>
              </w:rPr>
              <w:t xml:space="preserve">stājas spēkā </w:t>
            </w:r>
            <w:r w:rsidR="00370725" w:rsidRPr="00D95026">
              <w:rPr>
                <w:rFonts w:ascii="Times New Roman" w:hAnsi="Times New Roman"/>
                <w:sz w:val="24"/>
                <w:szCs w:val="24"/>
              </w:rPr>
              <w:t>ar brīdi, kad tas tiek parakstīts un ir stājušies spēkā grozījumi Ministru kabineta rīkojumā Nr.412 par papildu finanšu līdzekļ</w:t>
            </w:r>
            <w:r w:rsidR="00E81597" w:rsidRPr="00D95026">
              <w:rPr>
                <w:rFonts w:ascii="Times New Roman" w:hAnsi="Times New Roman"/>
                <w:sz w:val="24"/>
                <w:szCs w:val="24"/>
              </w:rPr>
              <w:t>u</w:t>
            </w:r>
            <w:r w:rsidR="00370725" w:rsidRPr="00D95026">
              <w:rPr>
                <w:rFonts w:ascii="Times New Roman" w:hAnsi="Times New Roman"/>
                <w:sz w:val="24"/>
                <w:szCs w:val="24"/>
              </w:rPr>
              <w:t xml:space="preserve"> piešķiršanu. </w:t>
            </w:r>
          </w:p>
          <w:p w:rsidR="000B19BC" w:rsidRDefault="00933C98" w:rsidP="000B19BC">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 xml:space="preserve">Būvniecības darbi tiks plānoti un veikti, nepārsniedzot šajā </w:t>
            </w:r>
            <w:r w:rsidR="008C043F" w:rsidRPr="00D95026">
              <w:rPr>
                <w:rFonts w:ascii="Times New Roman" w:hAnsi="Times New Roman"/>
                <w:iCs/>
                <w:sz w:val="24"/>
                <w:szCs w:val="24"/>
              </w:rPr>
              <w:t xml:space="preserve"> Ministru kabineta rīkojuma projektā</w:t>
            </w:r>
            <w:r w:rsidRPr="00D95026">
              <w:rPr>
                <w:rFonts w:ascii="Times New Roman" w:hAnsi="Times New Roman"/>
                <w:sz w:val="24"/>
                <w:szCs w:val="24"/>
              </w:rPr>
              <w:t xml:space="preserve"> norādītā finansējuma </w:t>
            </w:r>
            <w:r w:rsidR="00084444" w:rsidRPr="00D95026">
              <w:rPr>
                <w:rFonts w:ascii="Times New Roman" w:hAnsi="Times New Roman"/>
                <w:sz w:val="24"/>
                <w:szCs w:val="24"/>
              </w:rPr>
              <w:t>apmēr</w:t>
            </w:r>
            <w:r w:rsidR="00084444">
              <w:rPr>
                <w:rFonts w:ascii="Times New Roman" w:hAnsi="Times New Roman"/>
                <w:sz w:val="24"/>
                <w:szCs w:val="24"/>
              </w:rPr>
              <w:t>u</w:t>
            </w:r>
            <w:r w:rsidRPr="00D95026">
              <w:rPr>
                <w:rFonts w:ascii="Times New Roman" w:hAnsi="Times New Roman"/>
                <w:sz w:val="24"/>
                <w:szCs w:val="24"/>
              </w:rPr>
              <w:t>.</w:t>
            </w:r>
          </w:p>
          <w:p w:rsidR="000B19BC" w:rsidRDefault="00927D5E" w:rsidP="00CB677A">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B</w:t>
            </w:r>
            <w:r w:rsidR="00AB457F" w:rsidRPr="00D95026">
              <w:rPr>
                <w:rFonts w:ascii="Times New Roman" w:hAnsi="Times New Roman"/>
                <w:sz w:val="24"/>
                <w:szCs w:val="24"/>
              </w:rPr>
              <w:t>ūvniecības tehniskās uzraudzība</w:t>
            </w:r>
            <w:r w:rsidRPr="00D95026">
              <w:rPr>
                <w:rFonts w:ascii="Times New Roman" w:hAnsi="Times New Roman"/>
                <w:sz w:val="24"/>
                <w:szCs w:val="24"/>
              </w:rPr>
              <w:t xml:space="preserve">s izmaksas netiek mainītas,  </w:t>
            </w:r>
            <w:r w:rsidR="00AB457F" w:rsidRPr="00D95026">
              <w:rPr>
                <w:rFonts w:ascii="Times New Roman" w:hAnsi="Times New Roman"/>
                <w:sz w:val="24"/>
                <w:szCs w:val="24"/>
              </w:rPr>
              <w:t xml:space="preserve">citas ar būvniecību saistītās izmaksas </w:t>
            </w:r>
            <w:r w:rsidR="00F30CC3" w:rsidRPr="00D95026">
              <w:rPr>
                <w:rFonts w:ascii="Times New Roman" w:hAnsi="Times New Roman"/>
                <w:sz w:val="24"/>
                <w:szCs w:val="24"/>
              </w:rPr>
              <w:t xml:space="preserve">un </w:t>
            </w:r>
            <w:r w:rsidR="00AB457F" w:rsidRPr="00D95026">
              <w:rPr>
                <w:rFonts w:ascii="Times New Roman" w:hAnsi="Times New Roman"/>
                <w:sz w:val="24"/>
                <w:szCs w:val="24"/>
              </w:rPr>
              <w:t xml:space="preserve">būvniecības laikā tieši iesaistītā personāla izmaksas tiek </w:t>
            </w:r>
            <w:r w:rsidRPr="00D95026">
              <w:rPr>
                <w:rFonts w:ascii="Times New Roman" w:hAnsi="Times New Roman"/>
                <w:sz w:val="24"/>
                <w:szCs w:val="24"/>
              </w:rPr>
              <w:t>samazinātas</w:t>
            </w:r>
            <w:r w:rsidR="00F30CC3" w:rsidRPr="00D95026">
              <w:rPr>
                <w:rFonts w:ascii="Times New Roman" w:hAnsi="Times New Roman"/>
                <w:sz w:val="24"/>
                <w:szCs w:val="24"/>
              </w:rPr>
              <w:t xml:space="preserve"> (no 2014.gada </w:t>
            </w:r>
            <w:r w:rsidR="00BA0DAA" w:rsidRPr="00D95026">
              <w:rPr>
                <w:rFonts w:ascii="Times New Roman" w:hAnsi="Times New Roman"/>
                <w:sz w:val="24"/>
                <w:szCs w:val="24"/>
              </w:rPr>
              <w:t xml:space="preserve">pēdējās </w:t>
            </w:r>
            <w:r w:rsidR="00084444" w:rsidRPr="00D95026">
              <w:rPr>
                <w:rFonts w:ascii="Times New Roman" w:hAnsi="Times New Roman"/>
                <w:sz w:val="24"/>
                <w:szCs w:val="24"/>
              </w:rPr>
              <w:t>minēt</w:t>
            </w:r>
            <w:r w:rsidR="00084444">
              <w:rPr>
                <w:rFonts w:ascii="Times New Roman" w:hAnsi="Times New Roman"/>
                <w:sz w:val="24"/>
                <w:szCs w:val="24"/>
              </w:rPr>
              <w:t>a</w:t>
            </w:r>
            <w:r w:rsidR="00084444" w:rsidRPr="00D95026">
              <w:rPr>
                <w:rFonts w:ascii="Times New Roman" w:hAnsi="Times New Roman"/>
                <w:sz w:val="24"/>
                <w:szCs w:val="24"/>
              </w:rPr>
              <w:t xml:space="preserve">jās  </w:t>
            </w:r>
            <w:r w:rsidR="00933C98" w:rsidRPr="00D95026">
              <w:rPr>
                <w:rFonts w:ascii="Times New Roman" w:hAnsi="Times New Roman"/>
                <w:sz w:val="24"/>
                <w:szCs w:val="24"/>
              </w:rPr>
              <w:t>izmaks</w:t>
            </w:r>
            <w:r w:rsidR="00BA0DAA" w:rsidRPr="00D95026">
              <w:rPr>
                <w:rFonts w:ascii="Times New Roman" w:hAnsi="Times New Roman"/>
                <w:sz w:val="24"/>
                <w:szCs w:val="24"/>
              </w:rPr>
              <w:t>ā</w:t>
            </w:r>
            <w:r w:rsidR="00933C98" w:rsidRPr="00D95026">
              <w:rPr>
                <w:rFonts w:ascii="Times New Roman" w:hAnsi="Times New Roman"/>
                <w:sz w:val="24"/>
                <w:szCs w:val="24"/>
              </w:rPr>
              <w:t xml:space="preserve">s </w:t>
            </w:r>
            <w:r w:rsidRPr="00D95026">
              <w:rPr>
                <w:rFonts w:ascii="Times New Roman" w:hAnsi="Times New Roman"/>
                <w:sz w:val="24"/>
                <w:szCs w:val="24"/>
              </w:rPr>
              <w:t xml:space="preserve">tiek paredzēti izdevumi </w:t>
            </w:r>
            <w:r w:rsidR="00FD7DFA" w:rsidRPr="00D95026">
              <w:rPr>
                <w:rFonts w:ascii="Times New Roman" w:hAnsi="Times New Roman"/>
                <w:sz w:val="24"/>
                <w:szCs w:val="24"/>
              </w:rPr>
              <w:t xml:space="preserve">tikai </w:t>
            </w:r>
            <w:r w:rsidR="00F30CC3" w:rsidRPr="00D95026">
              <w:rPr>
                <w:rFonts w:ascii="Times New Roman" w:hAnsi="Times New Roman"/>
                <w:sz w:val="24"/>
                <w:szCs w:val="24"/>
              </w:rPr>
              <w:t xml:space="preserve">projekta vadītāja </w:t>
            </w:r>
            <w:r w:rsidRPr="00D95026">
              <w:rPr>
                <w:rFonts w:ascii="Times New Roman" w:hAnsi="Times New Roman"/>
                <w:sz w:val="24"/>
                <w:szCs w:val="24"/>
              </w:rPr>
              <w:t>atlīdzībai</w:t>
            </w:r>
            <w:r w:rsidR="00F30CC3" w:rsidRPr="00D95026">
              <w:rPr>
                <w:rFonts w:ascii="Times New Roman" w:hAnsi="Times New Roman"/>
                <w:sz w:val="24"/>
                <w:szCs w:val="24"/>
              </w:rPr>
              <w:t>)</w:t>
            </w:r>
            <w:r w:rsidRPr="00D95026">
              <w:rPr>
                <w:rFonts w:ascii="Times New Roman" w:hAnsi="Times New Roman"/>
                <w:sz w:val="24"/>
                <w:szCs w:val="24"/>
              </w:rPr>
              <w:t>.</w:t>
            </w:r>
            <w:r w:rsidR="007554BB" w:rsidRPr="00D95026">
              <w:rPr>
                <w:rFonts w:ascii="Times New Roman" w:hAnsi="Times New Roman"/>
                <w:sz w:val="24"/>
                <w:szCs w:val="24"/>
              </w:rPr>
              <w:t xml:space="preserve"> </w:t>
            </w:r>
          </w:p>
          <w:p w:rsidR="00A0650A" w:rsidRDefault="00A34BB6" w:rsidP="00CB677A">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Jau</w:t>
            </w:r>
            <w:r w:rsidR="00810BA9" w:rsidRPr="00D95026">
              <w:rPr>
                <w:rFonts w:ascii="Times New Roman" w:hAnsi="Times New Roman"/>
                <w:sz w:val="24"/>
                <w:szCs w:val="24"/>
              </w:rPr>
              <w:t xml:space="preserve"> 2011.gadā </w:t>
            </w:r>
            <w:r w:rsidRPr="00D95026">
              <w:rPr>
                <w:rFonts w:ascii="Times New Roman" w:hAnsi="Times New Roman"/>
                <w:sz w:val="24"/>
                <w:szCs w:val="24"/>
              </w:rPr>
              <w:t xml:space="preserve">tika sagatavots </w:t>
            </w:r>
            <w:r w:rsidR="00810BA9" w:rsidRPr="00D95026">
              <w:rPr>
                <w:rFonts w:ascii="Times New Roman" w:hAnsi="Times New Roman"/>
                <w:sz w:val="24"/>
                <w:szCs w:val="24"/>
              </w:rPr>
              <w:t>projektēšanas uzdevums</w:t>
            </w:r>
            <w:r w:rsidRPr="00D95026">
              <w:rPr>
                <w:rFonts w:ascii="Times New Roman" w:hAnsi="Times New Roman"/>
                <w:sz w:val="24"/>
                <w:szCs w:val="24"/>
              </w:rPr>
              <w:t xml:space="preserve"> Jaunā Rīgas teātra ēku kompleksa rekonstrukcijas un restaurācijas būvprojekta izstrādei, kurš 2013.gadā Metu konkursa laikā tika precizēts, bet tajā netika iekļauti jauni projektēšanas uzdevumi, pasākumi un pozīcijas.</w:t>
            </w:r>
            <w:r w:rsidR="00810BA9" w:rsidRPr="00D95026">
              <w:rPr>
                <w:rFonts w:ascii="Times New Roman" w:hAnsi="Times New Roman"/>
                <w:sz w:val="24"/>
                <w:szCs w:val="24"/>
              </w:rPr>
              <w:t xml:space="preserve"> </w:t>
            </w:r>
          </w:p>
          <w:p w:rsidR="00A0650A" w:rsidRDefault="00F469EB" w:rsidP="00CB677A">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Rekonstrukcijas projekta ietvaros</w:t>
            </w:r>
            <w:r w:rsidR="001C53C8" w:rsidRPr="00D95026">
              <w:rPr>
                <w:rFonts w:ascii="Times New Roman" w:hAnsi="Times New Roman"/>
                <w:sz w:val="24"/>
                <w:szCs w:val="24"/>
              </w:rPr>
              <w:t xml:space="preserve"> telpu apdarei un interjera elementiem netiek plānots piemērot paaugstinātas klases tehniskās prasības un </w:t>
            </w:r>
            <w:r w:rsidR="00AA598D" w:rsidRPr="00D95026">
              <w:rPr>
                <w:rFonts w:ascii="Times New Roman" w:hAnsi="Times New Roman"/>
                <w:sz w:val="24"/>
                <w:szCs w:val="24"/>
              </w:rPr>
              <w:t>standart</w:t>
            </w:r>
            <w:r w:rsidR="00AA598D">
              <w:rPr>
                <w:rFonts w:ascii="Times New Roman" w:hAnsi="Times New Roman"/>
                <w:sz w:val="24"/>
                <w:szCs w:val="24"/>
              </w:rPr>
              <w:t>us</w:t>
            </w:r>
            <w:r w:rsidR="001C53C8" w:rsidRPr="00D95026">
              <w:rPr>
                <w:rFonts w:ascii="Times New Roman" w:hAnsi="Times New Roman"/>
                <w:sz w:val="24"/>
                <w:szCs w:val="24"/>
              </w:rPr>
              <w:t>, kas sadārdzinātu teātra ēku kompleksa būvniecības izmaksas.</w:t>
            </w:r>
            <w:r w:rsidRPr="00D95026">
              <w:rPr>
                <w:rFonts w:ascii="Times New Roman" w:hAnsi="Times New Roman"/>
                <w:sz w:val="24"/>
                <w:szCs w:val="24"/>
              </w:rPr>
              <w:t xml:space="preserve"> Tiks projektētas un izbūvētas skatuves iekārtas un pielietotas tādas tehnoloģijas, kas apmierinās Jaunā Rīgas teātra prasības, ņemot vērā Jaunā Rīgas teātra pieredzi saistībā ar skatuvju iekārtu pielietojumu. Netiks projektētas tādas skatuves iekārtas, kuras  nepamatoti sadārdzinātu Jaunā Rīgas teātra ēku kompleksa būvniecību.</w:t>
            </w:r>
          </w:p>
          <w:p w:rsidR="007C4054" w:rsidRPr="00AC7918" w:rsidRDefault="00F469EB" w:rsidP="00CB677A">
            <w:pPr>
              <w:spacing w:after="0" w:line="240" w:lineRule="auto"/>
              <w:jc w:val="both"/>
              <w:rPr>
                <w:rFonts w:ascii="Times New Roman" w:hAnsi="Times New Roman"/>
                <w:sz w:val="24"/>
                <w:szCs w:val="24"/>
                <w:highlight w:val="yellow"/>
              </w:rPr>
            </w:pPr>
            <w:r w:rsidRPr="00D95026">
              <w:rPr>
                <w:rFonts w:ascii="Times New Roman" w:hAnsi="Times New Roman"/>
                <w:sz w:val="24"/>
                <w:szCs w:val="24"/>
              </w:rPr>
              <w:t xml:space="preserve">Ēku kompleksā tiks izbūvētas 3 izrāžu vietas – vēsturiskā </w:t>
            </w:r>
            <w:r w:rsidRPr="00D95026">
              <w:rPr>
                <w:rFonts w:ascii="Times New Roman" w:hAnsi="Times New Roman"/>
                <w:sz w:val="24"/>
                <w:szCs w:val="24"/>
              </w:rPr>
              <w:lastRenderedPageBreak/>
              <w:t xml:space="preserve">skatītāju zāle, vidējā zāle jaunā ēkas apjomā (ar apjomu ~400 m²) un mazā zāle (ar apjomu ~200 m²). Abas pēdējās ar transformējamām skatītāju </w:t>
            </w:r>
            <w:r w:rsidRPr="00AC7918">
              <w:rPr>
                <w:rFonts w:ascii="Times New Roman" w:hAnsi="Times New Roman"/>
                <w:sz w:val="24"/>
                <w:szCs w:val="24"/>
              </w:rPr>
              <w:t>tribīnēm.</w:t>
            </w:r>
            <w:r w:rsidR="00814864" w:rsidRPr="00AC7918">
              <w:rPr>
                <w:rFonts w:ascii="Times New Roman" w:hAnsi="Times New Roman"/>
                <w:sz w:val="24"/>
                <w:szCs w:val="24"/>
              </w:rPr>
              <w:t xml:space="preserve"> K</w:t>
            </w:r>
            <w:r w:rsidR="00047070" w:rsidRPr="00AC7918">
              <w:rPr>
                <w:rFonts w:ascii="Times New Roman" w:hAnsi="Times New Roman"/>
                <w:sz w:val="24"/>
                <w:szCs w:val="24"/>
              </w:rPr>
              <w:t xml:space="preserve">atrā zālē paredzēts atšķirīgs sēdvietu izvietošanas princips (fiksētas, transformējamas, ar fiksētu vai transformējamu podestūru), </w:t>
            </w:r>
            <w:r w:rsidR="00814864" w:rsidRPr="00AC7918">
              <w:rPr>
                <w:rFonts w:ascii="Times New Roman" w:hAnsi="Times New Roman"/>
                <w:sz w:val="24"/>
                <w:szCs w:val="24"/>
              </w:rPr>
              <w:t>līdz ar to</w:t>
            </w:r>
            <w:r w:rsidR="00047070" w:rsidRPr="00AC7918">
              <w:rPr>
                <w:rFonts w:ascii="Times New Roman" w:hAnsi="Times New Roman"/>
                <w:sz w:val="24"/>
                <w:szCs w:val="24"/>
              </w:rPr>
              <w:t xml:space="preserve"> arī dažāda sēdvietu konstrukcija, tādēļ vienas sēdvietas</w:t>
            </w:r>
            <w:r w:rsidR="00AC7918">
              <w:rPr>
                <w:rFonts w:ascii="Times New Roman" w:hAnsi="Times New Roman"/>
                <w:sz w:val="24"/>
                <w:szCs w:val="24"/>
              </w:rPr>
              <w:t xml:space="preserve"> plānotās</w:t>
            </w:r>
            <w:r w:rsidR="00047070" w:rsidRPr="00AC7918">
              <w:rPr>
                <w:rFonts w:ascii="Times New Roman" w:hAnsi="Times New Roman"/>
                <w:sz w:val="24"/>
                <w:szCs w:val="24"/>
              </w:rPr>
              <w:t xml:space="preserve"> izmaksas zālē</w:t>
            </w:r>
            <w:r w:rsidR="00814864" w:rsidRPr="00AC7918">
              <w:rPr>
                <w:rFonts w:ascii="Times New Roman" w:hAnsi="Times New Roman"/>
                <w:sz w:val="24"/>
                <w:szCs w:val="24"/>
              </w:rPr>
              <w:t xml:space="preserve">s ir atšķirīgas - aptuveni 350.00 </w:t>
            </w:r>
            <w:r w:rsidR="00814864" w:rsidRPr="00AC7918">
              <w:rPr>
                <w:rFonts w:ascii="Times New Roman" w:hAnsi="Times New Roman"/>
                <w:i/>
                <w:sz w:val="24"/>
                <w:szCs w:val="24"/>
              </w:rPr>
              <w:t>euro</w:t>
            </w:r>
            <w:r w:rsidR="00814864" w:rsidRPr="00AC7918">
              <w:rPr>
                <w:rFonts w:ascii="Times New Roman" w:hAnsi="Times New Roman"/>
                <w:sz w:val="24"/>
                <w:szCs w:val="24"/>
              </w:rPr>
              <w:t xml:space="preserve"> un 750.00 </w:t>
            </w:r>
            <w:r w:rsidR="00814864" w:rsidRPr="00AC7918">
              <w:rPr>
                <w:rFonts w:ascii="Times New Roman" w:hAnsi="Times New Roman"/>
                <w:i/>
                <w:sz w:val="24"/>
                <w:szCs w:val="24"/>
              </w:rPr>
              <w:t>euro</w:t>
            </w:r>
            <w:r w:rsidR="00047070" w:rsidRPr="00AC7918">
              <w:rPr>
                <w:rFonts w:ascii="Times New Roman" w:hAnsi="Times New Roman"/>
                <w:sz w:val="24"/>
                <w:szCs w:val="24"/>
              </w:rPr>
              <w:t>.</w:t>
            </w:r>
            <w:r w:rsidR="00814864" w:rsidRPr="00AC7918">
              <w:rPr>
                <w:rFonts w:ascii="Times New Roman" w:hAnsi="Times New Roman"/>
                <w:sz w:val="24"/>
                <w:szCs w:val="24"/>
              </w:rPr>
              <w:t xml:space="preserve"> Piemēram</w:t>
            </w:r>
            <w:r w:rsidR="00B3371D">
              <w:rPr>
                <w:rFonts w:ascii="Times New Roman" w:hAnsi="Times New Roman"/>
                <w:sz w:val="24"/>
                <w:szCs w:val="24"/>
              </w:rPr>
              <w:t>,</w:t>
            </w:r>
            <w:r w:rsidR="00814864" w:rsidRPr="00AC7918">
              <w:rPr>
                <w:rFonts w:ascii="Times New Roman" w:hAnsi="Times New Roman"/>
                <w:sz w:val="24"/>
                <w:szCs w:val="24"/>
              </w:rPr>
              <w:t xml:space="preserve"> 2014.gadā ekspluatācijā nodotās </w:t>
            </w:r>
            <w:r w:rsidR="00650405">
              <w:rPr>
                <w:rFonts w:ascii="Times New Roman" w:hAnsi="Times New Roman"/>
                <w:sz w:val="24"/>
                <w:szCs w:val="24"/>
              </w:rPr>
              <w:t>Vidzemes koncertzāles „Cēsis”</w:t>
            </w:r>
            <w:r w:rsidR="00650405" w:rsidRPr="00AC7918">
              <w:rPr>
                <w:rFonts w:ascii="Times New Roman" w:hAnsi="Times New Roman"/>
                <w:sz w:val="24"/>
                <w:szCs w:val="24"/>
              </w:rPr>
              <w:t xml:space="preserve"> </w:t>
            </w:r>
            <w:r w:rsidR="00814864" w:rsidRPr="00AC7918">
              <w:rPr>
                <w:rFonts w:ascii="Times New Roman" w:hAnsi="Times New Roman"/>
                <w:sz w:val="24"/>
                <w:szCs w:val="24"/>
              </w:rPr>
              <w:t>krēslu izmaksas dažādās zālēs arī ir atšķirīgas</w:t>
            </w:r>
            <w:r w:rsidR="00A030FF">
              <w:rPr>
                <w:rFonts w:ascii="Times New Roman" w:hAnsi="Times New Roman"/>
                <w:sz w:val="24"/>
                <w:szCs w:val="24"/>
              </w:rPr>
              <w:t>,</w:t>
            </w:r>
            <w:r w:rsidR="00AC7918" w:rsidRPr="00AC7918">
              <w:rPr>
                <w:rFonts w:ascii="Times New Roman" w:hAnsi="Times New Roman"/>
                <w:sz w:val="24"/>
                <w:szCs w:val="24"/>
              </w:rPr>
              <w:t xml:space="preserve"> krēslu izmaksas atkarībā no zālei paredzētajām funkcijām</w:t>
            </w:r>
            <w:r w:rsidR="00814864" w:rsidRPr="00AC7918">
              <w:rPr>
                <w:rFonts w:ascii="Times New Roman" w:hAnsi="Times New Roman"/>
                <w:sz w:val="24"/>
                <w:szCs w:val="24"/>
              </w:rPr>
              <w:t xml:space="preserve"> </w:t>
            </w:r>
            <w:r w:rsidR="00A030FF">
              <w:rPr>
                <w:rFonts w:ascii="Times New Roman" w:hAnsi="Times New Roman"/>
                <w:sz w:val="24"/>
                <w:szCs w:val="24"/>
              </w:rPr>
              <w:t xml:space="preserve">svārstās no </w:t>
            </w:r>
            <w:r w:rsidR="00814864" w:rsidRPr="00AC7918">
              <w:rPr>
                <w:rFonts w:ascii="Times New Roman" w:hAnsi="Times New Roman"/>
                <w:sz w:val="24"/>
                <w:szCs w:val="24"/>
              </w:rPr>
              <w:t xml:space="preserve">242.00 </w:t>
            </w:r>
            <w:r w:rsidR="00814864" w:rsidRPr="00AC7918">
              <w:rPr>
                <w:rFonts w:ascii="Times New Roman" w:hAnsi="Times New Roman"/>
                <w:i/>
                <w:sz w:val="24"/>
                <w:szCs w:val="24"/>
              </w:rPr>
              <w:t xml:space="preserve">euro </w:t>
            </w:r>
            <w:r w:rsidR="00A030FF">
              <w:rPr>
                <w:rFonts w:ascii="Times New Roman" w:hAnsi="Times New Roman"/>
                <w:sz w:val="24"/>
                <w:szCs w:val="24"/>
              </w:rPr>
              <w:t xml:space="preserve">līdz </w:t>
            </w:r>
            <w:r w:rsidR="00814864" w:rsidRPr="00AC7918">
              <w:rPr>
                <w:rFonts w:ascii="Times New Roman" w:hAnsi="Times New Roman"/>
                <w:sz w:val="24"/>
                <w:szCs w:val="24"/>
              </w:rPr>
              <w:t xml:space="preserve">aptuveni 797.00 </w:t>
            </w:r>
            <w:r w:rsidR="00814864" w:rsidRPr="00AC7918">
              <w:rPr>
                <w:rFonts w:ascii="Times New Roman" w:hAnsi="Times New Roman"/>
                <w:i/>
                <w:sz w:val="24"/>
                <w:szCs w:val="24"/>
              </w:rPr>
              <w:t>euro</w:t>
            </w:r>
            <w:r w:rsidR="00814864" w:rsidRPr="00AC7918">
              <w:rPr>
                <w:rFonts w:ascii="Times New Roman" w:hAnsi="Times New Roman"/>
                <w:sz w:val="24"/>
                <w:szCs w:val="24"/>
              </w:rPr>
              <w:t xml:space="preserve"> par vienu krēslu, </w:t>
            </w:r>
            <w:r w:rsidR="00AC7918" w:rsidRPr="00AC7918">
              <w:rPr>
                <w:rFonts w:ascii="Times New Roman" w:hAnsi="Times New Roman"/>
                <w:sz w:val="24"/>
                <w:szCs w:val="24"/>
              </w:rPr>
              <w:t xml:space="preserve">bet Latvijas Nacionālās bibliotēkas I.Ziedoņa zāles aprīkojumā izmantotā viena krēsla izmaksas ir aptuveni 401.00 </w:t>
            </w:r>
            <w:r w:rsidR="00AC7918" w:rsidRPr="00AC7918">
              <w:rPr>
                <w:rFonts w:ascii="Times New Roman" w:hAnsi="Times New Roman"/>
                <w:i/>
                <w:sz w:val="24"/>
                <w:szCs w:val="24"/>
              </w:rPr>
              <w:t>euro</w:t>
            </w:r>
            <w:r w:rsidR="00814864" w:rsidRPr="00AC7918">
              <w:rPr>
                <w:rFonts w:ascii="Times New Roman" w:hAnsi="Times New Roman"/>
                <w:sz w:val="24"/>
                <w:szCs w:val="24"/>
              </w:rPr>
              <w:t>.</w:t>
            </w:r>
            <w:r w:rsidR="00AC7918" w:rsidRPr="00AC7918">
              <w:rPr>
                <w:rFonts w:ascii="Times New Roman" w:hAnsi="Times New Roman"/>
                <w:sz w:val="24"/>
                <w:szCs w:val="24"/>
              </w:rPr>
              <w:t xml:space="preserve"> Ja projekta izstrādes </w:t>
            </w:r>
            <w:r w:rsidR="00AC7918" w:rsidRPr="00494390">
              <w:rPr>
                <w:rFonts w:ascii="Times New Roman" w:hAnsi="Times New Roman"/>
                <w:sz w:val="24"/>
                <w:szCs w:val="24"/>
              </w:rPr>
              <w:t xml:space="preserve">procesā </w:t>
            </w:r>
            <w:r w:rsidR="00494390" w:rsidRPr="00494390">
              <w:rPr>
                <w:rFonts w:ascii="Times New Roman" w:hAnsi="Times New Roman"/>
                <w:iCs/>
                <w:sz w:val="24"/>
                <w:szCs w:val="24"/>
              </w:rPr>
              <w:t xml:space="preserve"> Jaunais Rīgas teātris</w:t>
            </w:r>
            <w:r w:rsidR="00494390" w:rsidDel="00494390">
              <w:rPr>
                <w:rFonts w:ascii="Times New Roman" w:hAnsi="Times New Roman"/>
                <w:sz w:val="24"/>
                <w:szCs w:val="24"/>
              </w:rPr>
              <w:t xml:space="preserve"> </w:t>
            </w:r>
            <w:r w:rsidR="00047070" w:rsidRPr="00AC7918">
              <w:rPr>
                <w:rFonts w:ascii="Times New Roman" w:hAnsi="Times New Roman"/>
                <w:sz w:val="24"/>
                <w:szCs w:val="24"/>
              </w:rPr>
              <w:t xml:space="preserve"> arī mazās un vidējās zāles krēslos tiks paredzētas kādas komunikācijas (piemēram, tulkojuma translācijas vai skaņas pastiprināšanai vājdzirdīgajiem) vai krēslu iegremdēšana grīdā, lai atbrīvotu vietu skatītājiem ar kustību traucējumiem</w:t>
            </w:r>
            <w:r w:rsidR="00AC7918" w:rsidRPr="00AC7918">
              <w:rPr>
                <w:rFonts w:ascii="Times New Roman" w:hAnsi="Times New Roman"/>
                <w:sz w:val="24"/>
                <w:szCs w:val="24"/>
              </w:rPr>
              <w:t>, izmaksas var mainīties.</w:t>
            </w:r>
            <w:r w:rsidRPr="00D95026">
              <w:rPr>
                <w:rFonts w:ascii="Times New Roman" w:hAnsi="Times New Roman"/>
                <w:sz w:val="24"/>
                <w:szCs w:val="24"/>
              </w:rPr>
              <w:t xml:space="preserve"> </w:t>
            </w:r>
            <w:r w:rsidR="00084444" w:rsidRPr="00D95026">
              <w:rPr>
                <w:rFonts w:ascii="Times New Roman" w:hAnsi="Times New Roman"/>
                <w:sz w:val="24"/>
                <w:szCs w:val="24"/>
              </w:rPr>
              <w:t>Vis</w:t>
            </w:r>
            <w:r w:rsidR="00084444">
              <w:rPr>
                <w:rFonts w:ascii="Times New Roman" w:hAnsi="Times New Roman"/>
                <w:sz w:val="24"/>
                <w:szCs w:val="24"/>
              </w:rPr>
              <w:t>a</w:t>
            </w:r>
            <w:r w:rsidR="00084444" w:rsidRPr="00D95026">
              <w:rPr>
                <w:rFonts w:ascii="Times New Roman" w:hAnsi="Times New Roman"/>
                <w:sz w:val="24"/>
                <w:szCs w:val="24"/>
              </w:rPr>
              <w:t xml:space="preserve">s </w:t>
            </w:r>
            <w:r w:rsidRPr="00D95026">
              <w:rPr>
                <w:rFonts w:ascii="Times New Roman" w:hAnsi="Times New Roman"/>
                <w:sz w:val="24"/>
                <w:szCs w:val="24"/>
              </w:rPr>
              <w:t>zālēs tiks nodrošinātas ar atbilstošiem skatuves darbības laukumiem, akustikas  u.c. ar teātra darba specifiku saistītām prasībām, trīs teātra zāļu skatuvju izbūvēm. Vēsturiskajai skatītāju zālei virs skatuves tiks paaugstināti šņorbēniņi, paaugstinot ēkas jumta daļu. Tiks izbūvētas mēģinājumu zāles (viena zāle ~200 m², divas zāles, katra ~100 m²), lifts skatītājiem, personālam, dekorāciju un materiālu pārvadāšanai, tiks veikta visu inženierkomunikāciju nomaiņa. Paredzēta dekorāciju, kostīmu rekvizītu un mēbeļu noliktavu palielināšana, dekorāciju darbnīcu modernizēšana, mākslinieciskā personāla darba apstākļu uzlabošana (grimētavas, ģērbtuves, režisoru, scenogrāfu u.c. telpas) 30-35 štata aktieriem, 6 ārštata aktieriem un izrāžu apkalpojošā personāla darba apstākļu uzlabošana (~ 40 darbinieki).</w:t>
            </w:r>
            <w:r w:rsidR="00460A94" w:rsidRPr="00D95026">
              <w:rPr>
                <w:rFonts w:ascii="Times New Roman" w:hAnsi="Times New Roman"/>
                <w:sz w:val="24"/>
                <w:szCs w:val="24"/>
              </w:rPr>
              <w:t xml:space="preserve"> </w:t>
            </w:r>
          </w:p>
          <w:p w:rsidR="00523502" w:rsidRPr="00D95026" w:rsidRDefault="00857A99" w:rsidP="00CB677A">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 xml:space="preserve">Tehniskā projekta </w:t>
            </w:r>
            <w:r w:rsidR="00460A94" w:rsidRPr="00D95026">
              <w:rPr>
                <w:rFonts w:ascii="Times New Roman" w:hAnsi="Times New Roman"/>
                <w:sz w:val="24"/>
                <w:szCs w:val="24"/>
              </w:rPr>
              <w:t xml:space="preserve">ietvaros projektētājs izstrādās arī tehnoloģisko daļu, </w:t>
            </w:r>
            <w:r w:rsidR="00523502" w:rsidRPr="00D95026">
              <w:rPr>
                <w:rFonts w:ascii="Times New Roman" w:hAnsi="Times New Roman"/>
                <w:sz w:val="24"/>
                <w:szCs w:val="24"/>
              </w:rPr>
              <w:t xml:space="preserve">tai skaitā </w:t>
            </w:r>
            <w:r w:rsidRPr="00D95026">
              <w:rPr>
                <w:rFonts w:ascii="Times New Roman" w:hAnsi="Times New Roman"/>
                <w:sz w:val="24"/>
                <w:szCs w:val="24"/>
              </w:rPr>
              <w:t>veiks</w:t>
            </w:r>
            <w:r w:rsidR="00460A94" w:rsidRPr="00D95026">
              <w:rPr>
                <w:rFonts w:ascii="Times New Roman" w:hAnsi="Times New Roman"/>
                <w:sz w:val="24"/>
                <w:szCs w:val="24"/>
              </w:rPr>
              <w:t xml:space="preserve"> </w:t>
            </w:r>
            <w:r w:rsidR="00D04A62" w:rsidRPr="00D95026">
              <w:rPr>
                <w:rFonts w:ascii="Times New Roman" w:hAnsi="Times New Roman"/>
                <w:sz w:val="24"/>
                <w:szCs w:val="24"/>
              </w:rPr>
              <w:t xml:space="preserve">trīs skatuvju </w:t>
            </w:r>
            <w:r w:rsidR="00460A94" w:rsidRPr="00D95026">
              <w:rPr>
                <w:rFonts w:ascii="Times New Roman" w:hAnsi="Times New Roman"/>
                <w:sz w:val="24"/>
                <w:szCs w:val="24"/>
              </w:rPr>
              <w:t>tehnoloģisk</w:t>
            </w:r>
            <w:r w:rsidR="00D04A62" w:rsidRPr="00D95026">
              <w:rPr>
                <w:rFonts w:ascii="Times New Roman" w:hAnsi="Times New Roman"/>
                <w:sz w:val="24"/>
                <w:szCs w:val="24"/>
              </w:rPr>
              <w:t>o</w:t>
            </w:r>
            <w:r w:rsidR="00460A94" w:rsidRPr="00D95026">
              <w:rPr>
                <w:rFonts w:ascii="Times New Roman" w:hAnsi="Times New Roman"/>
                <w:sz w:val="24"/>
                <w:szCs w:val="24"/>
              </w:rPr>
              <w:t xml:space="preserve"> iekārt</w:t>
            </w:r>
            <w:r w:rsidR="00D04A62" w:rsidRPr="00D95026">
              <w:rPr>
                <w:rFonts w:ascii="Times New Roman" w:hAnsi="Times New Roman"/>
                <w:sz w:val="24"/>
                <w:szCs w:val="24"/>
              </w:rPr>
              <w:t>u projektēšanu</w:t>
            </w:r>
            <w:r w:rsidR="00460A94" w:rsidRPr="00D95026">
              <w:rPr>
                <w:rFonts w:ascii="Times New Roman" w:hAnsi="Times New Roman"/>
                <w:sz w:val="24"/>
                <w:szCs w:val="24"/>
              </w:rPr>
              <w:t xml:space="preserve">, </w:t>
            </w:r>
            <w:r w:rsidRPr="00D95026">
              <w:rPr>
                <w:rFonts w:ascii="Times New Roman" w:hAnsi="Times New Roman"/>
                <w:sz w:val="24"/>
                <w:szCs w:val="24"/>
              </w:rPr>
              <w:t xml:space="preserve">saskaņojot </w:t>
            </w:r>
            <w:r w:rsidR="00557068" w:rsidRPr="00D95026">
              <w:rPr>
                <w:rFonts w:ascii="Times New Roman" w:hAnsi="Times New Roman"/>
                <w:sz w:val="24"/>
                <w:szCs w:val="24"/>
              </w:rPr>
              <w:t xml:space="preserve">iekārtu </w:t>
            </w:r>
            <w:r w:rsidR="00460A94" w:rsidRPr="00D95026">
              <w:rPr>
                <w:rFonts w:ascii="Times New Roman" w:hAnsi="Times New Roman"/>
                <w:sz w:val="24"/>
                <w:szCs w:val="24"/>
              </w:rPr>
              <w:t>izvēli ar Jaun</w:t>
            </w:r>
            <w:r w:rsidR="00B21270" w:rsidRPr="00D95026">
              <w:rPr>
                <w:rFonts w:ascii="Times New Roman" w:hAnsi="Times New Roman"/>
                <w:sz w:val="24"/>
                <w:szCs w:val="24"/>
              </w:rPr>
              <w:t>ā</w:t>
            </w:r>
            <w:r w:rsidR="00460A94" w:rsidRPr="00D95026">
              <w:rPr>
                <w:rFonts w:ascii="Times New Roman" w:hAnsi="Times New Roman"/>
                <w:sz w:val="24"/>
                <w:szCs w:val="24"/>
              </w:rPr>
              <w:t xml:space="preserve"> Rīgas teātr</w:t>
            </w:r>
            <w:r w:rsidR="00B21270" w:rsidRPr="00D95026">
              <w:rPr>
                <w:rFonts w:ascii="Times New Roman" w:hAnsi="Times New Roman"/>
                <w:sz w:val="24"/>
                <w:szCs w:val="24"/>
              </w:rPr>
              <w:t>a speciālistiem</w:t>
            </w:r>
            <w:r w:rsidR="00460A94" w:rsidRPr="00D95026">
              <w:rPr>
                <w:rFonts w:ascii="Times New Roman" w:hAnsi="Times New Roman"/>
                <w:sz w:val="24"/>
                <w:szCs w:val="24"/>
              </w:rPr>
              <w:t xml:space="preserve">. </w:t>
            </w:r>
            <w:r w:rsidR="009912E0" w:rsidRPr="00D95026">
              <w:rPr>
                <w:rFonts w:ascii="Times New Roman" w:hAnsi="Times New Roman"/>
                <w:sz w:val="24"/>
                <w:szCs w:val="24"/>
              </w:rPr>
              <w:t xml:space="preserve">Šobrīd ir provizoriski noteiktas tehnoloģiskā aprīkojuma piegādes un montāžas izmaksas </w:t>
            </w:r>
            <w:r w:rsidR="009E28E9" w:rsidRPr="00D95026">
              <w:rPr>
                <w:rFonts w:ascii="Times New Roman" w:hAnsi="Times New Roman"/>
                <w:bCs/>
                <w:sz w:val="24"/>
                <w:szCs w:val="24"/>
              </w:rPr>
              <w:t>3 970 </w:t>
            </w:r>
            <w:r w:rsidR="008C043F" w:rsidRPr="00D95026">
              <w:rPr>
                <w:rFonts w:ascii="Times New Roman" w:hAnsi="Times New Roman"/>
                <w:bCs/>
                <w:sz w:val="24"/>
                <w:szCs w:val="24"/>
              </w:rPr>
              <w:t xml:space="preserve">650 </w:t>
            </w:r>
            <w:r w:rsidR="008C043F" w:rsidRPr="00D95026">
              <w:rPr>
                <w:rFonts w:ascii="Times New Roman" w:hAnsi="Times New Roman"/>
                <w:bCs/>
                <w:i/>
                <w:sz w:val="24"/>
                <w:szCs w:val="24"/>
              </w:rPr>
              <w:t>euro</w:t>
            </w:r>
            <w:r w:rsidR="00460A94" w:rsidRPr="00D95026">
              <w:rPr>
                <w:rFonts w:ascii="Times New Roman" w:hAnsi="Times New Roman"/>
                <w:sz w:val="24"/>
                <w:szCs w:val="24"/>
              </w:rPr>
              <w:t xml:space="preserve">, </w:t>
            </w:r>
            <w:r w:rsidR="009F70D4" w:rsidRPr="00D95026">
              <w:rPr>
                <w:rFonts w:ascii="Times New Roman" w:hAnsi="Times New Roman"/>
                <w:sz w:val="24"/>
                <w:szCs w:val="24"/>
              </w:rPr>
              <w:t xml:space="preserve">pārējo nepieciešamo aprīkojumu iespējams apzināt un </w:t>
            </w:r>
            <w:r w:rsidR="009912E0" w:rsidRPr="00D95026">
              <w:rPr>
                <w:rFonts w:ascii="Times New Roman" w:hAnsi="Times New Roman"/>
                <w:sz w:val="24"/>
                <w:szCs w:val="24"/>
              </w:rPr>
              <w:t xml:space="preserve"> </w:t>
            </w:r>
            <w:r w:rsidR="009F70D4" w:rsidRPr="00D95026">
              <w:rPr>
                <w:rFonts w:ascii="Times New Roman" w:hAnsi="Times New Roman"/>
                <w:sz w:val="24"/>
                <w:szCs w:val="24"/>
              </w:rPr>
              <w:t xml:space="preserve">provizoriskās </w:t>
            </w:r>
            <w:r w:rsidR="009912E0" w:rsidRPr="00D95026">
              <w:rPr>
                <w:rFonts w:ascii="Times New Roman" w:hAnsi="Times New Roman"/>
                <w:sz w:val="24"/>
                <w:szCs w:val="24"/>
              </w:rPr>
              <w:t xml:space="preserve">aprīkojuma iegādes </w:t>
            </w:r>
            <w:r w:rsidR="00AF7B3B" w:rsidRPr="00D95026">
              <w:rPr>
                <w:rFonts w:ascii="Times New Roman" w:hAnsi="Times New Roman"/>
                <w:sz w:val="24"/>
                <w:szCs w:val="24"/>
              </w:rPr>
              <w:t xml:space="preserve">izmaksas </w:t>
            </w:r>
            <w:r w:rsidR="00D22162" w:rsidRPr="00D95026">
              <w:rPr>
                <w:rFonts w:ascii="Times New Roman" w:hAnsi="Times New Roman"/>
                <w:sz w:val="24"/>
                <w:szCs w:val="24"/>
              </w:rPr>
              <w:t>tiks</w:t>
            </w:r>
            <w:r w:rsidR="00CB6BFD" w:rsidRPr="00D95026">
              <w:rPr>
                <w:rFonts w:ascii="Times New Roman" w:hAnsi="Times New Roman"/>
                <w:sz w:val="24"/>
                <w:szCs w:val="24"/>
              </w:rPr>
              <w:t xml:space="preserve"> </w:t>
            </w:r>
            <w:r w:rsidR="00AF7B3B" w:rsidRPr="00D95026">
              <w:rPr>
                <w:rFonts w:ascii="Times New Roman" w:hAnsi="Times New Roman"/>
                <w:sz w:val="24"/>
                <w:szCs w:val="24"/>
              </w:rPr>
              <w:t>noteik</w:t>
            </w:r>
            <w:r w:rsidR="009912E0" w:rsidRPr="00D95026">
              <w:rPr>
                <w:rFonts w:ascii="Times New Roman" w:hAnsi="Times New Roman"/>
                <w:sz w:val="24"/>
                <w:szCs w:val="24"/>
              </w:rPr>
              <w:t xml:space="preserve">tas </w:t>
            </w:r>
            <w:r w:rsidR="00BE1ED1" w:rsidRPr="00D95026">
              <w:rPr>
                <w:rFonts w:ascii="Times New Roman" w:hAnsi="Times New Roman"/>
                <w:sz w:val="24"/>
                <w:szCs w:val="24"/>
              </w:rPr>
              <w:t>tehnis</w:t>
            </w:r>
            <w:r w:rsidR="00D22162" w:rsidRPr="00D95026">
              <w:rPr>
                <w:rFonts w:ascii="Times New Roman" w:hAnsi="Times New Roman"/>
                <w:sz w:val="24"/>
                <w:szCs w:val="24"/>
              </w:rPr>
              <w:t>kā projekta izstrādes laikā</w:t>
            </w:r>
            <w:r w:rsidR="006D0706" w:rsidRPr="00D95026">
              <w:rPr>
                <w:rFonts w:ascii="Times New Roman" w:hAnsi="Times New Roman"/>
                <w:sz w:val="24"/>
                <w:szCs w:val="24"/>
              </w:rPr>
              <w:t xml:space="preserve">. </w:t>
            </w:r>
          </w:p>
          <w:p w:rsidR="000B19BC" w:rsidRDefault="00D22162">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 xml:space="preserve">Līdz ar to </w:t>
            </w:r>
            <w:r w:rsidR="00460A94" w:rsidRPr="00D95026">
              <w:rPr>
                <w:rFonts w:ascii="Times New Roman" w:hAnsi="Times New Roman"/>
                <w:sz w:val="24"/>
                <w:szCs w:val="24"/>
              </w:rPr>
              <w:t xml:space="preserve">Kultūras ministrijai sadarbībā ar Finanšu ministriju (VNĪ) </w:t>
            </w:r>
            <w:r w:rsidR="009F70D4" w:rsidRPr="00D95026">
              <w:rPr>
                <w:rFonts w:ascii="Times New Roman" w:hAnsi="Times New Roman"/>
                <w:sz w:val="24"/>
                <w:szCs w:val="24"/>
              </w:rPr>
              <w:t xml:space="preserve">būs </w:t>
            </w:r>
            <w:r w:rsidR="00460A94" w:rsidRPr="00D95026">
              <w:rPr>
                <w:rFonts w:ascii="Times New Roman" w:hAnsi="Times New Roman"/>
                <w:sz w:val="24"/>
                <w:szCs w:val="24"/>
              </w:rPr>
              <w:t>jāveic darbības papildu finansējuma pieprasīšanai no valsts budžeta</w:t>
            </w:r>
            <w:r w:rsidR="00523502" w:rsidRPr="00D95026">
              <w:rPr>
                <w:rFonts w:ascii="Times New Roman" w:hAnsi="Times New Roman"/>
                <w:sz w:val="24"/>
                <w:szCs w:val="24"/>
              </w:rPr>
              <w:t xml:space="preserve"> </w:t>
            </w:r>
            <w:r w:rsidRPr="00D95026">
              <w:rPr>
                <w:rFonts w:ascii="Times New Roman" w:hAnsi="Times New Roman"/>
                <w:sz w:val="24"/>
                <w:szCs w:val="24"/>
              </w:rPr>
              <w:t xml:space="preserve">visu </w:t>
            </w:r>
            <w:r w:rsidR="00523502" w:rsidRPr="00D95026">
              <w:rPr>
                <w:rFonts w:ascii="Times New Roman" w:hAnsi="Times New Roman"/>
                <w:sz w:val="24"/>
                <w:szCs w:val="24"/>
              </w:rPr>
              <w:t xml:space="preserve">telpu </w:t>
            </w:r>
            <w:r w:rsidR="00460A94" w:rsidRPr="00D95026">
              <w:rPr>
                <w:rFonts w:ascii="Times New Roman" w:hAnsi="Times New Roman"/>
                <w:sz w:val="24"/>
                <w:szCs w:val="24"/>
              </w:rPr>
              <w:t xml:space="preserve">aprīkojuma iegādei, sagatavojot un iesniedzot Ministru kabinetā attiecīgu tiesību akta projektu. </w:t>
            </w:r>
            <w:r w:rsidR="009A6AE9" w:rsidRPr="00D95026">
              <w:rPr>
                <w:rFonts w:ascii="Times New Roman" w:hAnsi="Times New Roman"/>
                <w:sz w:val="24"/>
                <w:szCs w:val="24"/>
              </w:rPr>
              <w:t xml:space="preserve">Finanšu ministrijas (VNĪ) iesaiste nepieciešama, jo </w:t>
            </w:r>
            <w:r w:rsidR="00933C98" w:rsidRPr="00D95026">
              <w:rPr>
                <w:rFonts w:ascii="Times New Roman" w:hAnsi="Times New Roman"/>
                <w:sz w:val="24"/>
                <w:szCs w:val="24"/>
              </w:rPr>
              <w:t>VNĪ noslē</w:t>
            </w:r>
            <w:r w:rsidR="009A6AE9" w:rsidRPr="00D95026">
              <w:rPr>
                <w:rFonts w:ascii="Times New Roman" w:hAnsi="Times New Roman"/>
                <w:sz w:val="24"/>
                <w:szCs w:val="24"/>
              </w:rPr>
              <w:t>gusi</w:t>
            </w:r>
            <w:r w:rsidR="00933C98" w:rsidRPr="00D95026">
              <w:rPr>
                <w:rFonts w:ascii="Times New Roman" w:hAnsi="Times New Roman"/>
                <w:sz w:val="24"/>
                <w:szCs w:val="24"/>
              </w:rPr>
              <w:t xml:space="preserve"> līgumu par tehniskā projekta izstrādi un tā izstrādes laikā</w:t>
            </w:r>
            <w:r w:rsidR="009A6AE9" w:rsidRPr="00D95026">
              <w:rPr>
                <w:rFonts w:ascii="Times New Roman" w:hAnsi="Times New Roman"/>
                <w:sz w:val="24"/>
                <w:szCs w:val="24"/>
              </w:rPr>
              <w:t>, sadarbojoties Jaunā Rīgas teātra, Kultūras ministrijas, VNĪ un projektētāja pārstāvjiem,</w:t>
            </w:r>
            <w:r w:rsidR="00933C98" w:rsidRPr="00D95026">
              <w:rPr>
                <w:rFonts w:ascii="Times New Roman" w:hAnsi="Times New Roman"/>
                <w:sz w:val="24"/>
                <w:szCs w:val="24"/>
              </w:rPr>
              <w:t xml:space="preserve"> </w:t>
            </w:r>
            <w:r w:rsidR="009A6AE9" w:rsidRPr="00D95026">
              <w:rPr>
                <w:rFonts w:ascii="Times New Roman" w:hAnsi="Times New Roman"/>
                <w:sz w:val="24"/>
                <w:szCs w:val="24"/>
              </w:rPr>
              <w:t>tiks apzināts nepieciešamais aprīkojums un veiktas</w:t>
            </w:r>
            <w:r w:rsidR="00933C98" w:rsidRPr="00D95026">
              <w:rPr>
                <w:rFonts w:ascii="Times New Roman" w:hAnsi="Times New Roman"/>
                <w:sz w:val="24"/>
                <w:szCs w:val="24"/>
              </w:rPr>
              <w:t xml:space="preserve"> aprīkojuma iegādes izmaksu aplēses</w:t>
            </w:r>
            <w:r w:rsidR="009A6AE9" w:rsidRPr="00D95026">
              <w:rPr>
                <w:rFonts w:ascii="Times New Roman" w:hAnsi="Times New Roman"/>
                <w:sz w:val="24"/>
                <w:szCs w:val="24"/>
              </w:rPr>
              <w:t>.</w:t>
            </w:r>
          </w:p>
          <w:p w:rsidR="000B19BC" w:rsidRDefault="00460A94">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 xml:space="preserve">Jāvērš uzmanība, ka izpildot </w:t>
            </w:r>
            <w:r w:rsidRPr="00D95026">
              <w:rPr>
                <w:rFonts w:ascii="Times New Roman" w:hAnsi="Times New Roman"/>
                <w:iCs/>
                <w:sz w:val="24"/>
                <w:szCs w:val="24"/>
                <w:lang w:eastAsia="lv-LV"/>
              </w:rPr>
              <w:t xml:space="preserve">Ministru kabineta rīkojuma </w:t>
            </w:r>
            <w:r w:rsidRPr="00D95026">
              <w:rPr>
                <w:rFonts w:ascii="Times New Roman" w:hAnsi="Times New Roman"/>
                <w:iCs/>
                <w:sz w:val="24"/>
                <w:szCs w:val="24"/>
                <w:lang w:eastAsia="lv-LV"/>
              </w:rPr>
              <w:lastRenderedPageBreak/>
              <w:t xml:space="preserve">Nr.412 </w:t>
            </w:r>
            <w:r w:rsidRPr="00D95026">
              <w:rPr>
                <w:rFonts w:ascii="Times New Roman" w:hAnsi="Times New Roman"/>
                <w:sz w:val="24"/>
                <w:szCs w:val="24"/>
              </w:rPr>
              <w:t>6.2.apakšpunktā doto uzdevum</w:t>
            </w:r>
            <w:r w:rsidR="00FC247C" w:rsidRPr="00D95026">
              <w:rPr>
                <w:rFonts w:ascii="Times New Roman" w:hAnsi="Times New Roman"/>
                <w:sz w:val="24"/>
                <w:szCs w:val="24"/>
              </w:rPr>
              <w:t>u</w:t>
            </w:r>
            <w:r w:rsidRPr="00D95026">
              <w:rPr>
                <w:rFonts w:ascii="Times New Roman" w:hAnsi="Times New Roman"/>
                <w:sz w:val="24"/>
                <w:szCs w:val="24"/>
              </w:rPr>
              <w:t xml:space="preserve">, tika </w:t>
            </w:r>
            <w:r w:rsidR="00EA3DD2" w:rsidRPr="00D95026">
              <w:rPr>
                <w:rFonts w:ascii="Times New Roman" w:hAnsi="Times New Roman"/>
                <w:sz w:val="24"/>
                <w:szCs w:val="24"/>
              </w:rPr>
              <w:t xml:space="preserve">pieņemts </w:t>
            </w:r>
            <w:r w:rsidRPr="00D95026">
              <w:rPr>
                <w:rFonts w:ascii="Times New Roman" w:hAnsi="Times New Roman"/>
                <w:sz w:val="24"/>
                <w:szCs w:val="24"/>
              </w:rPr>
              <w:t xml:space="preserve">Ministru kabineta </w:t>
            </w:r>
            <w:r w:rsidRPr="00B3371D">
              <w:rPr>
                <w:rFonts w:ascii="Times New Roman" w:hAnsi="Times New Roman"/>
                <w:sz w:val="24"/>
                <w:szCs w:val="24"/>
              </w:rPr>
              <w:t>2013.gada 18.jūnija rīkojums Nr.251 „Par finansējuma piešķiršanu ēka</w:t>
            </w:r>
            <w:r w:rsidR="00A91868">
              <w:rPr>
                <w:rFonts w:ascii="Times New Roman" w:hAnsi="Times New Roman"/>
                <w:sz w:val="24"/>
                <w:szCs w:val="24"/>
              </w:rPr>
              <w:t>s Miera ielā 58A, Rīgā, būvniecības projekta un nomas maksas izdevumu segšanai un ēkas Lāčplēša ielā 25, Rīgā, rekonstrukcijas ietvaros veicamo pārcelšanās un aprīkojuma iegādes izdevumu segšanai” (turpmāk – Ministru kabineta rīkojums Nr.251), kas ar Ministru kabineta 2014.gada 13.februāra  rīkojumu Nr.70 „Par finansējuma piešķiršanu ēku Miera ielā 58A, Rīgā, būvniecības, nomas maksas, pārcelšanās un aprīkojuma iegādes izdevumu segšanai” (turpmāk – Ministru kabineta rīkojums Nr.70) atzīts par spēku zaudējušu.</w:t>
            </w:r>
            <w:r w:rsidR="00EA3DD2" w:rsidRPr="00D95026">
              <w:rPr>
                <w:rFonts w:ascii="Times New Roman" w:hAnsi="Times New Roman"/>
                <w:sz w:val="24"/>
                <w:szCs w:val="24"/>
              </w:rPr>
              <w:t xml:space="preserve"> Ministru kabineta rīkojums Nr.70 paredz </w:t>
            </w:r>
            <w:r w:rsidRPr="00D95026">
              <w:rPr>
                <w:rFonts w:ascii="Times New Roman" w:hAnsi="Times New Roman"/>
                <w:sz w:val="24"/>
                <w:szCs w:val="24"/>
              </w:rPr>
              <w:t xml:space="preserve">nepieciešamo finansējumu pārcelšanās </w:t>
            </w:r>
            <w:r w:rsidR="00EA3DD2" w:rsidRPr="00D95026">
              <w:rPr>
                <w:rFonts w:ascii="Times New Roman" w:hAnsi="Times New Roman"/>
                <w:sz w:val="24"/>
                <w:szCs w:val="24"/>
              </w:rPr>
              <w:t xml:space="preserve">(no Lāčplēša ielas 25, Rīgā, uz Miera ielu 58A, Rīgā) </w:t>
            </w:r>
            <w:r w:rsidRPr="00D95026">
              <w:rPr>
                <w:rFonts w:ascii="Times New Roman" w:hAnsi="Times New Roman"/>
                <w:sz w:val="24"/>
                <w:szCs w:val="24"/>
              </w:rPr>
              <w:t xml:space="preserve">izdevumu segšanai </w:t>
            </w:r>
            <w:r w:rsidR="00EA3DD2" w:rsidRPr="00D95026">
              <w:rPr>
                <w:rFonts w:ascii="Times New Roman" w:hAnsi="Times New Roman"/>
                <w:sz w:val="24"/>
                <w:szCs w:val="24"/>
              </w:rPr>
              <w:t>2015</w:t>
            </w:r>
            <w:r w:rsidRPr="00D95026">
              <w:rPr>
                <w:rFonts w:ascii="Times New Roman" w:hAnsi="Times New Roman"/>
                <w:sz w:val="24"/>
                <w:szCs w:val="24"/>
              </w:rPr>
              <w:t xml:space="preserve">.gadā, kā arī aprīkojuma (Miera ielā 58A, Rīgā) iegādes izdevumu segšanai </w:t>
            </w:r>
            <w:r w:rsidR="00EA3DD2" w:rsidRPr="00D95026">
              <w:rPr>
                <w:rFonts w:ascii="Times New Roman" w:hAnsi="Times New Roman"/>
                <w:sz w:val="24"/>
                <w:szCs w:val="24"/>
              </w:rPr>
              <w:t>2015</w:t>
            </w:r>
            <w:r w:rsidRPr="00D95026">
              <w:rPr>
                <w:rFonts w:ascii="Times New Roman" w:hAnsi="Times New Roman"/>
                <w:sz w:val="24"/>
                <w:szCs w:val="24"/>
              </w:rPr>
              <w:t xml:space="preserve">.gadā, taču tas nerisina jautājumu par  nekustamajam īpašumam </w:t>
            </w:r>
            <w:r w:rsidRPr="00D95026">
              <w:rPr>
                <w:rFonts w:ascii="Times New Roman" w:hAnsi="Times New Roman"/>
                <w:iCs/>
                <w:sz w:val="24"/>
                <w:szCs w:val="24"/>
              </w:rPr>
              <w:t>(nekustamā īpašuma kadastra Nr. 0100 022 0070) Lāčplēša ielā 25, Rīgā,</w:t>
            </w:r>
            <w:r w:rsidRPr="00D95026">
              <w:rPr>
                <w:rFonts w:ascii="Times New Roman" w:hAnsi="Times New Roman"/>
                <w:sz w:val="24"/>
                <w:szCs w:val="24"/>
              </w:rPr>
              <w:t xml:space="preserve"> nepieciešamo </w:t>
            </w:r>
            <w:r w:rsidR="00523502" w:rsidRPr="00D95026">
              <w:rPr>
                <w:rFonts w:ascii="Times New Roman" w:hAnsi="Times New Roman"/>
                <w:sz w:val="24"/>
                <w:szCs w:val="24"/>
              </w:rPr>
              <w:t xml:space="preserve">telpu </w:t>
            </w:r>
            <w:r w:rsidRPr="00D95026">
              <w:rPr>
                <w:rFonts w:ascii="Times New Roman" w:hAnsi="Times New Roman"/>
                <w:sz w:val="24"/>
                <w:szCs w:val="24"/>
              </w:rPr>
              <w:t>aprīkojuma iegādes izdevumu finansējumu</w:t>
            </w:r>
            <w:r w:rsidR="00EA3DD2" w:rsidRPr="00D95026">
              <w:rPr>
                <w:rFonts w:ascii="Times New Roman" w:hAnsi="Times New Roman"/>
                <w:sz w:val="24"/>
                <w:szCs w:val="24"/>
              </w:rPr>
              <w:t xml:space="preserve"> un pārcelšanās (no Miera ielas 58A, Rīgā, uz Lāčplēša ielu 25, Rīgā) izdevumu finansējumu, kas attiecīgi paredzams Ministru kabineta rīkojuma projektā.</w:t>
            </w:r>
          </w:p>
          <w:p w:rsidR="000B19BC" w:rsidRDefault="00EF5B29">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 xml:space="preserve">Vienlaikus </w:t>
            </w:r>
            <w:r w:rsidR="00D22162" w:rsidRPr="00D95026">
              <w:rPr>
                <w:rFonts w:ascii="Times New Roman" w:hAnsi="Times New Roman"/>
                <w:sz w:val="24"/>
                <w:szCs w:val="24"/>
              </w:rPr>
              <w:t>jāvērš uzmanība</w:t>
            </w:r>
            <w:r w:rsidRPr="00D95026">
              <w:rPr>
                <w:rFonts w:ascii="Times New Roman" w:hAnsi="Times New Roman"/>
                <w:sz w:val="24"/>
                <w:szCs w:val="24"/>
              </w:rPr>
              <w:t xml:space="preserve"> par provizoriskā rekonstrukcijas darbu pabeigšanas termiņa ievērošanas iespējamiem riskiem, sakarā ar to, ka:</w:t>
            </w:r>
          </w:p>
          <w:p w:rsidR="000B19BC" w:rsidRDefault="00EF5B29">
            <w:pPr>
              <w:tabs>
                <w:tab w:val="left" w:pos="142"/>
                <w:tab w:val="left" w:pos="7993"/>
              </w:tabs>
              <w:spacing w:after="0" w:line="240" w:lineRule="auto"/>
              <w:ind w:right="-1"/>
              <w:jc w:val="both"/>
              <w:rPr>
                <w:rFonts w:ascii="Times New Roman" w:hAnsi="Times New Roman"/>
                <w:iCs/>
                <w:sz w:val="24"/>
                <w:szCs w:val="24"/>
                <w:lang w:eastAsia="lv-LV"/>
              </w:rPr>
            </w:pPr>
            <w:r w:rsidRPr="00D95026">
              <w:rPr>
                <w:rFonts w:ascii="Times New Roman" w:hAnsi="Times New Roman"/>
                <w:sz w:val="24"/>
                <w:szCs w:val="24"/>
              </w:rPr>
              <w:t xml:space="preserve"> -</w:t>
            </w:r>
            <w:r w:rsidRPr="00D95026">
              <w:rPr>
                <w:rFonts w:ascii="Times New Roman" w:hAnsi="Times New Roman"/>
                <w:iCs/>
                <w:sz w:val="24"/>
                <w:szCs w:val="24"/>
                <w:lang w:eastAsia="lv-LV"/>
              </w:rPr>
              <w:t>Jaunā Rīgas teātra galvenā ēka atrodas uz robežas ar nekustamo īpašumu Tērbatas ielā 34 (kadastra Nr.0100 022 0069) un, ņemot vērā, ka plānojama tās paaugstināšana skatuves daļā un šāds risinājums var skart blakus esošā nekustamā īpašuma īpašnieku intereses, tad projekta risinājumi skaņojami ar tā īpašniekiem, kas var paildzināt projekta izstrādes gaitu, gadījumā, ja tiek atteikts saskaņojums, izvirzot iepriekš neprognozējamus papildu nosacījumus;</w:t>
            </w:r>
          </w:p>
          <w:p w:rsidR="000B19BC" w:rsidRDefault="00EF5B29">
            <w:pPr>
              <w:tabs>
                <w:tab w:val="left" w:pos="142"/>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 xml:space="preserve"> - uz </w:t>
            </w:r>
            <w:r w:rsidRPr="00D95026">
              <w:rPr>
                <w:rFonts w:ascii="Times New Roman" w:hAnsi="Times New Roman"/>
                <w:iCs/>
                <w:sz w:val="24"/>
                <w:szCs w:val="24"/>
                <w:lang w:eastAsia="lv-LV"/>
              </w:rPr>
              <w:t>Jaunā Rīgas teātra</w:t>
            </w:r>
            <w:r w:rsidRPr="00D95026">
              <w:rPr>
                <w:rFonts w:ascii="Times New Roman" w:hAnsi="Times New Roman"/>
                <w:sz w:val="24"/>
                <w:szCs w:val="24"/>
              </w:rPr>
              <w:t xml:space="preserve"> ēku kompleksa pagalmu vērstās ēkas Lāčplēša ielā 27 (kadastra Nr. 0100 022 0071 002) ugunsmūrī nelikumīgi izveidoti vairāki logi, bet rekonstrukcijas projekts paredz minēto logu aizbūvēšanu, jauno teātra ēku kompleksa ēku bloķējot ar ēkas Lāčplēša ielā 27 ugunsmūri ir iespējama logu lietotāju un ēkas Lāčplēša ielā 27, Rīgā, īpašnieka iebildumi par konkrēto tehnisko risinājumu un līdz ar to var ieilgt tehniskā projekta izstrādes gaita.</w:t>
            </w:r>
          </w:p>
          <w:p w:rsidR="000B19BC" w:rsidRDefault="00F469EB" w:rsidP="000B19BC">
            <w:pPr>
              <w:pStyle w:val="naiskr"/>
              <w:tabs>
                <w:tab w:val="left" w:pos="366"/>
                <w:tab w:val="left" w:pos="7993"/>
              </w:tabs>
              <w:spacing w:before="0" w:after="0"/>
              <w:ind w:right="-1"/>
              <w:jc w:val="both"/>
              <w:rPr>
                <w:bCs/>
              </w:rPr>
            </w:pPr>
            <w:r w:rsidRPr="00D95026">
              <w:rPr>
                <w:bCs/>
              </w:rPr>
              <w:t xml:space="preserve">Sakarā ar būvniecības izmaksu apmēra palielinājumu, palielinās  nomas maksas apmērs, kas tiek aprēķināts saskaņā ar Ministru kabineta 2010.gada 8.jūnija noteikumiem Nr.515 „Noteikumi par valsts un pašvaldību mantas iznomāšanas kārtību, nomas maksas noteikšanas metodiku un nomas līguma tipveida nosacījumiem”. Galvenokārt izmainās (palielinās) izdevumi plānotajiem kārtējiem vai kapitālajiem remontiem (nepieciešamie izdevumi nekustamā īpašuma uzturēšanai, kuri netiek iekļauti apsaimniekošanas izdevumos un tie nedrīkst pārsniegt 2,5 % no attiecīgā nekustamā </w:t>
            </w:r>
            <w:r w:rsidRPr="00D95026">
              <w:rPr>
                <w:bCs/>
              </w:rPr>
              <w:lastRenderedPageBreak/>
              <w:t>īpašuma ēkas</w:t>
            </w:r>
            <w:r w:rsidR="00BE1ED1" w:rsidRPr="00D95026">
              <w:rPr>
                <w:bCs/>
              </w:rPr>
              <w:t xml:space="preserve"> bilances vērtības gadā); kā arī</w:t>
            </w:r>
            <w:r w:rsidRPr="00D95026">
              <w:rPr>
                <w:bCs/>
              </w:rPr>
              <w:t xml:space="preserve"> nomas maksas apmēra palielināšanos ietekmē netiešo izmaksu (izmaksas, kas ir daļa no iznomātāja kopējiem administrācijas izdevumiem – nekustamā īpašuma pārvaldīšanas izmaksām), nekustamā īpašuma apdrošināšanas izdevumu gadā, uzturēšanas izmaksu (apsaimniekošanas izmaksas) un citu izmaksu palielināšanās.</w:t>
            </w:r>
          </w:p>
          <w:p w:rsidR="003E37BD" w:rsidRDefault="00050BA8" w:rsidP="00EA1051">
            <w:pPr>
              <w:spacing w:after="0" w:line="240" w:lineRule="auto"/>
              <w:jc w:val="both"/>
              <w:rPr>
                <w:rFonts w:ascii="Times New Roman" w:hAnsi="Times New Roman"/>
                <w:color w:val="000000"/>
                <w:sz w:val="24"/>
                <w:szCs w:val="24"/>
              </w:rPr>
            </w:pPr>
            <w:r w:rsidRPr="00050BA8">
              <w:rPr>
                <w:rFonts w:ascii="Times New Roman" w:hAnsi="Times New Roman"/>
                <w:color w:val="000000"/>
                <w:sz w:val="24"/>
                <w:szCs w:val="24"/>
              </w:rPr>
              <w:t>Kultūras ministrija ir izvērtējusi Jaun</w:t>
            </w:r>
            <w:r w:rsidR="00115F2B">
              <w:rPr>
                <w:rFonts w:ascii="Times New Roman" w:hAnsi="Times New Roman"/>
                <w:color w:val="000000"/>
                <w:sz w:val="24"/>
                <w:szCs w:val="24"/>
              </w:rPr>
              <w:t>ā</w:t>
            </w:r>
            <w:r w:rsidRPr="00050BA8">
              <w:rPr>
                <w:rFonts w:ascii="Times New Roman" w:hAnsi="Times New Roman"/>
                <w:color w:val="000000"/>
                <w:sz w:val="24"/>
                <w:szCs w:val="24"/>
              </w:rPr>
              <w:t xml:space="preserve"> Rīgas teātr</w:t>
            </w:r>
            <w:r w:rsidR="00115F2B">
              <w:rPr>
                <w:rFonts w:ascii="Times New Roman" w:hAnsi="Times New Roman"/>
                <w:color w:val="000000"/>
                <w:sz w:val="24"/>
                <w:szCs w:val="24"/>
              </w:rPr>
              <w:t>a</w:t>
            </w:r>
            <w:r w:rsidRPr="00050BA8">
              <w:rPr>
                <w:rFonts w:ascii="Times New Roman" w:hAnsi="Times New Roman"/>
                <w:color w:val="000000"/>
                <w:sz w:val="24"/>
                <w:szCs w:val="24"/>
              </w:rPr>
              <w:t xml:space="preserve"> iespējas daļēji novirzīt tā gūtos pašu ieņēmumus uzturēšanas izdevumu segšanai. Norādām, ka saskaņā ar 2013.gada pārskata datiem, Jaunais Rīgas teātris ir guvis pašu ieņēmumus LVL 1 027</w:t>
            </w:r>
            <w:r w:rsidR="00843ECE">
              <w:rPr>
                <w:rFonts w:ascii="Times New Roman" w:hAnsi="Times New Roman"/>
                <w:color w:val="000000"/>
                <w:sz w:val="24"/>
                <w:szCs w:val="24"/>
              </w:rPr>
              <w:t> </w:t>
            </w:r>
            <w:r w:rsidRPr="00050BA8">
              <w:rPr>
                <w:rFonts w:ascii="Times New Roman" w:hAnsi="Times New Roman"/>
                <w:color w:val="000000"/>
                <w:sz w:val="24"/>
                <w:szCs w:val="24"/>
              </w:rPr>
              <w:t>819</w:t>
            </w:r>
            <w:r w:rsidR="00843ECE">
              <w:rPr>
                <w:rFonts w:ascii="Times New Roman" w:hAnsi="Times New Roman"/>
                <w:color w:val="000000"/>
                <w:sz w:val="24"/>
                <w:szCs w:val="24"/>
              </w:rPr>
              <w:t xml:space="preserve"> (1 462 455 </w:t>
            </w:r>
            <w:r w:rsidR="00843ECE" w:rsidRPr="00843ECE">
              <w:rPr>
                <w:rFonts w:ascii="Times New Roman" w:hAnsi="Times New Roman"/>
                <w:i/>
                <w:color w:val="000000"/>
                <w:sz w:val="24"/>
                <w:szCs w:val="24"/>
              </w:rPr>
              <w:t>euro</w:t>
            </w:r>
            <w:r w:rsidR="00843ECE">
              <w:rPr>
                <w:rFonts w:ascii="Times New Roman" w:hAnsi="Times New Roman"/>
                <w:color w:val="000000"/>
                <w:sz w:val="24"/>
                <w:szCs w:val="24"/>
              </w:rPr>
              <w:t>)</w:t>
            </w:r>
            <w:r w:rsidRPr="00050BA8">
              <w:rPr>
                <w:rFonts w:ascii="Times New Roman" w:hAnsi="Times New Roman"/>
                <w:color w:val="000000"/>
                <w:sz w:val="24"/>
                <w:szCs w:val="24"/>
              </w:rPr>
              <w:t xml:space="preserve"> apmērā</w:t>
            </w:r>
            <w:r w:rsidR="00092776">
              <w:rPr>
                <w:rFonts w:ascii="Times New Roman" w:hAnsi="Times New Roman"/>
                <w:color w:val="000000"/>
                <w:sz w:val="24"/>
                <w:szCs w:val="24"/>
              </w:rPr>
              <w:t>,</w:t>
            </w:r>
            <w:r w:rsidRPr="00050BA8">
              <w:rPr>
                <w:rFonts w:ascii="Times New Roman" w:hAnsi="Times New Roman"/>
                <w:color w:val="000000"/>
                <w:sz w:val="24"/>
                <w:szCs w:val="24"/>
              </w:rPr>
              <w:t xml:space="preserve"> no kuriem biļešu ieņēmumi </w:t>
            </w:r>
            <w:r w:rsidR="00092776">
              <w:rPr>
                <w:rFonts w:ascii="Times New Roman" w:hAnsi="Times New Roman"/>
                <w:color w:val="000000"/>
                <w:sz w:val="24"/>
                <w:szCs w:val="24"/>
              </w:rPr>
              <w:t>veidoja</w:t>
            </w:r>
            <w:r w:rsidRPr="00050BA8">
              <w:rPr>
                <w:rFonts w:ascii="Times New Roman" w:hAnsi="Times New Roman"/>
                <w:color w:val="000000"/>
                <w:sz w:val="24"/>
                <w:szCs w:val="24"/>
              </w:rPr>
              <w:t xml:space="preserve"> LVL 826</w:t>
            </w:r>
            <w:r w:rsidR="00843ECE">
              <w:rPr>
                <w:rFonts w:ascii="Times New Roman" w:hAnsi="Times New Roman"/>
                <w:color w:val="000000"/>
                <w:sz w:val="24"/>
                <w:szCs w:val="24"/>
              </w:rPr>
              <w:t> </w:t>
            </w:r>
            <w:r w:rsidRPr="00050BA8">
              <w:rPr>
                <w:rFonts w:ascii="Times New Roman" w:hAnsi="Times New Roman"/>
                <w:color w:val="000000"/>
                <w:sz w:val="24"/>
                <w:szCs w:val="24"/>
              </w:rPr>
              <w:t>355</w:t>
            </w:r>
            <w:r w:rsidR="00843ECE">
              <w:rPr>
                <w:rFonts w:ascii="Times New Roman" w:hAnsi="Times New Roman"/>
                <w:color w:val="000000"/>
                <w:sz w:val="24"/>
                <w:szCs w:val="24"/>
              </w:rPr>
              <w:t xml:space="preserve"> (1 175 797 </w:t>
            </w:r>
            <w:r w:rsidR="00843ECE">
              <w:rPr>
                <w:rFonts w:ascii="Times New Roman" w:hAnsi="Times New Roman"/>
                <w:i/>
                <w:color w:val="000000"/>
                <w:sz w:val="24"/>
                <w:szCs w:val="24"/>
              </w:rPr>
              <w:t>euro</w:t>
            </w:r>
            <w:r w:rsidR="00843ECE">
              <w:rPr>
                <w:rFonts w:ascii="Times New Roman" w:hAnsi="Times New Roman"/>
                <w:color w:val="000000"/>
                <w:sz w:val="24"/>
                <w:szCs w:val="24"/>
              </w:rPr>
              <w:t>)</w:t>
            </w:r>
            <w:r w:rsidRPr="00050BA8">
              <w:rPr>
                <w:rFonts w:ascii="Times New Roman" w:hAnsi="Times New Roman"/>
                <w:color w:val="000000"/>
                <w:sz w:val="24"/>
                <w:szCs w:val="24"/>
              </w:rPr>
              <w:t>.  Savukārt 2013.gada valsts dotācija bija LVL 576</w:t>
            </w:r>
            <w:r w:rsidR="00843ECE">
              <w:rPr>
                <w:rFonts w:ascii="Times New Roman" w:hAnsi="Times New Roman"/>
                <w:color w:val="000000"/>
                <w:sz w:val="24"/>
                <w:szCs w:val="24"/>
              </w:rPr>
              <w:t> </w:t>
            </w:r>
            <w:r w:rsidRPr="00050BA8">
              <w:rPr>
                <w:rFonts w:ascii="Times New Roman" w:hAnsi="Times New Roman"/>
                <w:color w:val="000000"/>
                <w:sz w:val="24"/>
                <w:szCs w:val="24"/>
              </w:rPr>
              <w:t>637</w:t>
            </w:r>
            <w:r w:rsidR="00843ECE">
              <w:rPr>
                <w:rFonts w:ascii="Times New Roman" w:hAnsi="Times New Roman"/>
                <w:color w:val="000000"/>
                <w:sz w:val="24"/>
                <w:szCs w:val="24"/>
              </w:rPr>
              <w:t xml:space="preserve"> (820 481 </w:t>
            </w:r>
            <w:r w:rsidR="00843ECE">
              <w:rPr>
                <w:rFonts w:ascii="Times New Roman" w:hAnsi="Times New Roman"/>
                <w:i/>
                <w:color w:val="000000"/>
                <w:sz w:val="24"/>
                <w:szCs w:val="24"/>
              </w:rPr>
              <w:t>euro</w:t>
            </w:r>
            <w:r w:rsidR="00843ECE">
              <w:rPr>
                <w:rFonts w:ascii="Times New Roman" w:hAnsi="Times New Roman"/>
                <w:color w:val="000000"/>
                <w:sz w:val="24"/>
                <w:szCs w:val="24"/>
              </w:rPr>
              <w:t>)</w:t>
            </w:r>
            <w:r w:rsidRPr="00050BA8">
              <w:rPr>
                <w:rFonts w:ascii="Times New Roman" w:hAnsi="Times New Roman"/>
                <w:color w:val="000000"/>
                <w:sz w:val="24"/>
                <w:szCs w:val="24"/>
              </w:rPr>
              <w:t xml:space="preserve">. Nav prognozējams, ka tuvākajos gados biļešu ieņēmumi varētu tikt būtiski paaugstināti, ņemot vērā, ka 1) biļešu vidējā cena ir sasniegusi patērētāju pirktspējas griestus; 2) biļešu pārdošanas rezultāti un zāļu </w:t>
            </w:r>
            <w:r w:rsidR="00092776">
              <w:rPr>
                <w:rFonts w:ascii="Times New Roman" w:hAnsi="Times New Roman"/>
                <w:color w:val="000000"/>
                <w:sz w:val="24"/>
                <w:szCs w:val="24"/>
              </w:rPr>
              <w:t>apmeklētī</w:t>
            </w:r>
            <w:r w:rsidRPr="00050BA8">
              <w:rPr>
                <w:rFonts w:ascii="Times New Roman" w:hAnsi="Times New Roman"/>
                <w:color w:val="000000"/>
                <w:sz w:val="24"/>
                <w:szCs w:val="24"/>
              </w:rPr>
              <w:t xml:space="preserve">bas (izpārdoto biļešu apjoms) rādītāji liecina, ka tie sasnieguši maksimumu un vairs nevar tikt palielināti. Pašu ieņēmumi 2013.gadā veidoja 65,08% no kopējiem teātra ieņēmumiem, </w:t>
            </w:r>
            <w:r w:rsidR="003E37BD">
              <w:rPr>
                <w:rFonts w:ascii="Times New Roman" w:hAnsi="Times New Roman"/>
                <w:color w:val="000000"/>
                <w:sz w:val="24"/>
                <w:szCs w:val="24"/>
              </w:rPr>
              <w:t xml:space="preserve">kas ir būtiski augstāki kā Igaunijā un Lietuvā, kur pašu ieņēmumu apjoms valsts teātriem veido 30-40%. </w:t>
            </w:r>
            <w:r w:rsidR="00D316CF" w:rsidRPr="00D316CF">
              <w:rPr>
                <w:rFonts w:ascii="Times New Roman" w:hAnsi="Times New Roman"/>
                <w:color w:val="000000"/>
                <w:sz w:val="24"/>
                <w:szCs w:val="24"/>
              </w:rPr>
              <w:t xml:space="preserve">Savukārt </w:t>
            </w:r>
            <w:r w:rsidR="00D316CF">
              <w:rPr>
                <w:rFonts w:ascii="Times New Roman" w:hAnsi="Times New Roman"/>
                <w:color w:val="000000"/>
                <w:sz w:val="24"/>
                <w:szCs w:val="24"/>
              </w:rPr>
              <w:t xml:space="preserve">Jaunā </w:t>
            </w:r>
            <w:r w:rsidR="00D316CF" w:rsidRPr="00D316CF">
              <w:rPr>
                <w:rFonts w:ascii="Times New Roman" w:hAnsi="Times New Roman"/>
                <w:color w:val="000000"/>
                <w:sz w:val="24"/>
                <w:szCs w:val="24"/>
              </w:rPr>
              <w:t>Rīgas teātra izdevumus veido darba algu izmaksas,</w:t>
            </w:r>
            <w:r w:rsidR="00D316CF">
              <w:rPr>
                <w:rFonts w:ascii="Tahoma" w:hAnsi="Tahoma" w:cs="Tahoma"/>
                <w:color w:val="000000"/>
                <w:szCs w:val="20"/>
              </w:rPr>
              <w:t xml:space="preserve"> </w:t>
            </w:r>
            <w:r w:rsidR="00B03ABF" w:rsidRPr="00D316CF">
              <w:rPr>
                <w:rFonts w:ascii="Times New Roman" w:hAnsi="Times New Roman"/>
                <w:color w:val="000000"/>
                <w:sz w:val="24"/>
                <w:szCs w:val="24"/>
              </w:rPr>
              <w:t>nodokļu maksājumi, jauniestudējumu izmaksas un autoratlīdzības, reklāma, komunālie maksājumi un ēku uzturēšana. 2013.gadā Jaunajā Rīgas teātrī bija nodarbināti 93 štata darbinieki. Kopējo izdevumu apmērs 2013.gadā bija LVL 1 695</w:t>
            </w:r>
            <w:r w:rsidR="00843ECE">
              <w:rPr>
                <w:rFonts w:ascii="Times New Roman" w:hAnsi="Times New Roman"/>
                <w:color w:val="000000"/>
                <w:sz w:val="24"/>
                <w:szCs w:val="24"/>
              </w:rPr>
              <w:t> </w:t>
            </w:r>
            <w:r w:rsidR="00B03ABF" w:rsidRPr="00D316CF">
              <w:rPr>
                <w:rFonts w:ascii="Times New Roman" w:hAnsi="Times New Roman"/>
                <w:color w:val="000000"/>
                <w:sz w:val="24"/>
                <w:szCs w:val="24"/>
              </w:rPr>
              <w:t>842</w:t>
            </w:r>
            <w:r w:rsidR="00843ECE">
              <w:rPr>
                <w:rFonts w:ascii="Times New Roman" w:hAnsi="Times New Roman"/>
                <w:color w:val="000000"/>
                <w:sz w:val="24"/>
                <w:szCs w:val="24"/>
              </w:rPr>
              <w:t xml:space="preserve"> (2 412 966 </w:t>
            </w:r>
            <w:r w:rsidR="00843ECE">
              <w:rPr>
                <w:rFonts w:ascii="Times New Roman" w:hAnsi="Times New Roman"/>
                <w:i/>
                <w:color w:val="000000"/>
                <w:sz w:val="24"/>
                <w:szCs w:val="24"/>
              </w:rPr>
              <w:t>euro</w:t>
            </w:r>
            <w:r w:rsidR="00843ECE">
              <w:rPr>
                <w:rFonts w:ascii="Times New Roman" w:hAnsi="Times New Roman"/>
                <w:color w:val="000000"/>
                <w:sz w:val="24"/>
                <w:szCs w:val="24"/>
              </w:rPr>
              <w:t>)</w:t>
            </w:r>
            <w:r w:rsidR="00B03ABF" w:rsidRPr="00D316CF">
              <w:rPr>
                <w:rFonts w:ascii="Times New Roman" w:hAnsi="Times New Roman"/>
                <w:color w:val="000000"/>
                <w:sz w:val="24"/>
                <w:szCs w:val="24"/>
              </w:rPr>
              <w:t>. Izdevumu lielāko daļu veido aprēķinātās darba algas un sociālās iemaksas (LVL 1 190</w:t>
            </w:r>
            <w:r w:rsidR="00843ECE">
              <w:rPr>
                <w:rFonts w:ascii="Times New Roman" w:hAnsi="Times New Roman"/>
                <w:color w:val="000000"/>
                <w:sz w:val="24"/>
                <w:szCs w:val="24"/>
              </w:rPr>
              <w:t> </w:t>
            </w:r>
            <w:r w:rsidR="00B03ABF" w:rsidRPr="00D316CF">
              <w:rPr>
                <w:rFonts w:ascii="Times New Roman" w:hAnsi="Times New Roman"/>
                <w:color w:val="000000"/>
                <w:sz w:val="24"/>
                <w:szCs w:val="24"/>
              </w:rPr>
              <w:t>780</w:t>
            </w:r>
            <w:r w:rsidR="00843ECE">
              <w:rPr>
                <w:rFonts w:ascii="Times New Roman" w:hAnsi="Times New Roman"/>
                <w:color w:val="000000"/>
                <w:sz w:val="24"/>
                <w:szCs w:val="24"/>
              </w:rPr>
              <w:t xml:space="preserve"> (1 694 327 </w:t>
            </w:r>
            <w:r w:rsidR="00843ECE">
              <w:rPr>
                <w:rFonts w:ascii="Times New Roman" w:hAnsi="Times New Roman"/>
                <w:i/>
                <w:color w:val="000000"/>
                <w:sz w:val="24"/>
                <w:szCs w:val="24"/>
              </w:rPr>
              <w:t>euro</w:t>
            </w:r>
            <w:r w:rsidR="00843ECE">
              <w:rPr>
                <w:rFonts w:ascii="Times New Roman" w:hAnsi="Times New Roman"/>
                <w:color w:val="000000"/>
                <w:sz w:val="24"/>
                <w:szCs w:val="24"/>
              </w:rPr>
              <w:t>)</w:t>
            </w:r>
            <w:r w:rsidR="00B03ABF" w:rsidRPr="00D316CF">
              <w:rPr>
                <w:rFonts w:ascii="Times New Roman" w:hAnsi="Times New Roman"/>
                <w:color w:val="000000"/>
                <w:sz w:val="24"/>
                <w:szCs w:val="24"/>
              </w:rPr>
              <w:t>), kā arī pārdoto pakalpojumu -jauniestudējumu pašizmaksa (LVL 184</w:t>
            </w:r>
            <w:r w:rsidR="00843ECE">
              <w:rPr>
                <w:rFonts w:ascii="Times New Roman" w:hAnsi="Times New Roman"/>
                <w:color w:val="000000"/>
                <w:sz w:val="24"/>
                <w:szCs w:val="24"/>
              </w:rPr>
              <w:t> </w:t>
            </w:r>
            <w:r w:rsidR="00B03ABF" w:rsidRPr="00D316CF">
              <w:rPr>
                <w:rFonts w:ascii="Times New Roman" w:hAnsi="Times New Roman"/>
                <w:color w:val="000000"/>
                <w:sz w:val="24"/>
                <w:szCs w:val="24"/>
              </w:rPr>
              <w:t>092</w:t>
            </w:r>
            <w:r w:rsidR="00843ECE">
              <w:rPr>
                <w:rFonts w:ascii="Times New Roman" w:hAnsi="Times New Roman"/>
                <w:color w:val="000000"/>
                <w:sz w:val="24"/>
                <w:szCs w:val="24"/>
              </w:rPr>
              <w:t xml:space="preserve"> (261 939 </w:t>
            </w:r>
            <w:r w:rsidR="00843ECE">
              <w:rPr>
                <w:rFonts w:ascii="Times New Roman" w:hAnsi="Times New Roman"/>
                <w:i/>
                <w:color w:val="000000"/>
                <w:sz w:val="24"/>
                <w:szCs w:val="24"/>
              </w:rPr>
              <w:t>euro</w:t>
            </w:r>
            <w:r w:rsidR="00843ECE">
              <w:rPr>
                <w:rFonts w:ascii="Times New Roman" w:hAnsi="Times New Roman"/>
                <w:color w:val="000000"/>
                <w:sz w:val="24"/>
                <w:szCs w:val="24"/>
              </w:rPr>
              <w:t>)</w:t>
            </w:r>
            <w:r w:rsidR="00B03ABF" w:rsidRPr="00D316CF">
              <w:rPr>
                <w:rFonts w:ascii="Times New Roman" w:hAnsi="Times New Roman"/>
                <w:color w:val="000000"/>
                <w:sz w:val="24"/>
                <w:szCs w:val="24"/>
              </w:rPr>
              <w:t xml:space="preserve">). Jāatzīmē, ka 2013.pārskata gadā Jaunais Rīgas teātris </w:t>
            </w:r>
            <w:r w:rsidR="008D6BC3">
              <w:rPr>
                <w:rFonts w:ascii="Times New Roman" w:hAnsi="Times New Roman"/>
                <w:color w:val="000000"/>
                <w:sz w:val="24"/>
                <w:szCs w:val="24"/>
              </w:rPr>
              <w:t>n</w:t>
            </w:r>
            <w:r w:rsidR="00B03ABF" w:rsidRPr="00D316CF">
              <w:rPr>
                <w:rFonts w:ascii="Times New Roman" w:hAnsi="Times New Roman"/>
                <w:color w:val="000000"/>
                <w:sz w:val="24"/>
                <w:szCs w:val="24"/>
              </w:rPr>
              <w:t>odokļu un sociālās apdrošināšanas maksājumos samaksājis LVL 537 152 LVL</w:t>
            </w:r>
            <w:r w:rsidR="00843ECE">
              <w:rPr>
                <w:rFonts w:ascii="Times New Roman" w:hAnsi="Times New Roman"/>
                <w:color w:val="000000"/>
                <w:sz w:val="24"/>
                <w:szCs w:val="24"/>
              </w:rPr>
              <w:t xml:space="preserve"> (764 298 </w:t>
            </w:r>
            <w:r w:rsidR="00843ECE">
              <w:rPr>
                <w:rFonts w:ascii="Times New Roman" w:hAnsi="Times New Roman"/>
                <w:i/>
                <w:color w:val="000000"/>
                <w:sz w:val="24"/>
                <w:szCs w:val="24"/>
              </w:rPr>
              <w:t>euro</w:t>
            </w:r>
            <w:r w:rsidR="00843ECE">
              <w:rPr>
                <w:rFonts w:ascii="Times New Roman" w:hAnsi="Times New Roman"/>
                <w:color w:val="000000"/>
                <w:sz w:val="24"/>
                <w:szCs w:val="24"/>
              </w:rPr>
              <w:t>)</w:t>
            </w:r>
            <w:r w:rsidR="00B03ABF" w:rsidRPr="00D316CF">
              <w:rPr>
                <w:rFonts w:ascii="Times New Roman" w:hAnsi="Times New Roman"/>
                <w:color w:val="000000"/>
                <w:sz w:val="24"/>
                <w:szCs w:val="24"/>
              </w:rPr>
              <w:t xml:space="preserve">. </w:t>
            </w:r>
          </w:p>
          <w:p w:rsidR="003E37BD" w:rsidRDefault="003E37BD" w:rsidP="00EA1051">
            <w:pPr>
              <w:spacing w:after="0" w:line="240" w:lineRule="auto"/>
              <w:jc w:val="both"/>
              <w:rPr>
                <w:rFonts w:ascii="Times New Roman" w:hAnsi="Times New Roman"/>
                <w:color w:val="000000"/>
                <w:sz w:val="24"/>
                <w:szCs w:val="24"/>
              </w:rPr>
            </w:pPr>
          </w:p>
          <w:p w:rsidR="00A97671" w:rsidRPr="000E3060" w:rsidRDefault="00AE27BD">
            <w:pPr>
              <w:spacing w:after="0" w:line="240" w:lineRule="auto"/>
              <w:jc w:val="both"/>
              <w:rPr>
                <w:rFonts w:ascii="Times New Roman" w:hAnsi="Times New Roman"/>
                <w:color w:val="000000"/>
                <w:sz w:val="24"/>
                <w:szCs w:val="24"/>
              </w:rPr>
            </w:pPr>
            <w:r w:rsidRPr="000E3060">
              <w:rPr>
                <w:rFonts w:ascii="Times New Roman" w:hAnsi="Times New Roman"/>
                <w:color w:val="000000"/>
                <w:sz w:val="24"/>
                <w:szCs w:val="24"/>
              </w:rPr>
              <w:t>P</w:t>
            </w:r>
            <w:r w:rsidR="006433A2" w:rsidRPr="000E3060">
              <w:rPr>
                <w:rFonts w:ascii="Times New Roman" w:hAnsi="Times New Roman"/>
                <w:color w:val="000000"/>
                <w:sz w:val="24"/>
                <w:szCs w:val="24"/>
              </w:rPr>
              <w:t xml:space="preserve">rovizoriskais nomas maksas aprēķins </w:t>
            </w:r>
            <w:r w:rsidR="008D6BC3" w:rsidRPr="000E3060">
              <w:rPr>
                <w:rFonts w:ascii="Times New Roman" w:hAnsi="Times New Roman"/>
                <w:color w:val="000000"/>
                <w:sz w:val="24"/>
                <w:szCs w:val="24"/>
              </w:rPr>
              <w:t xml:space="preserve">Jaunā Rīgas teātra ēkas Lāčplēša ielā 25, Rīgā, nomas maksas segšanai valsts akciju sabiedrībai „Valsts nekustamie īpašumi” </w:t>
            </w:r>
            <w:r w:rsidR="00637B64" w:rsidRPr="000E3060">
              <w:rPr>
                <w:rFonts w:ascii="Times New Roman" w:hAnsi="Times New Roman"/>
                <w:color w:val="000000"/>
                <w:sz w:val="24"/>
                <w:szCs w:val="24"/>
              </w:rPr>
              <w:t xml:space="preserve">pēc rekonstrukcijas projekta pabeigšanas </w:t>
            </w:r>
            <w:r w:rsidR="008D6BC3" w:rsidRPr="000E3060">
              <w:rPr>
                <w:rFonts w:ascii="Times New Roman" w:hAnsi="Times New Roman"/>
                <w:color w:val="000000"/>
                <w:sz w:val="24"/>
                <w:szCs w:val="24"/>
              </w:rPr>
              <w:t xml:space="preserve">norādīts anotācijas pielikuma 5.tabulā. </w:t>
            </w:r>
            <w:r w:rsidRPr="000E3060">
              <w:rPr>
                <w:rFonts w:ascii="Times New Roman" w:hAnsi="Times New Roman"/>
                <w:color w:val="000000"/>
                <w:sz w:val="24"/>
                <w:szCs w:val="24"/>
              </w:rPr>
              <w:t>R</w:t>
            </w:r>
            <w:r w:rsidR="009D04FA" w:rsidRPr="000E3060">
              <w:rPr>
                <w:rFonts w:ascii="Times New Roman" w:hAnsi="Times New Roman"/>
                <w:color w:val="000000"/>
                <w:sz w:val="24"/>
                <w:szCs w:val="24"/>
              </w:rPr>
              <w:t>īkojuma projekta 2.1.apakšpunktā norādītais finansējums Jaunā Rīgas teātra ēkas nomas maksas segšanai aprēķināts</w:t>
            </w:r>
            <w:r w:rsidRPr="000E3060">
              <w:rPr>
                <w:rFonts w:ascii="Times New Roman" w:hAnsi="Times New Roman"/>
                <w:color w:val="000000"/>
                <w:sz w:val="24"/>
                <w:szCs w:val="24"/>
              </w:rPr>
              <w:t xml:space="preserve"> kā anotācijas pielikuma 5.tabulā norādītā</w:t>
            </w:r>
            <w:r w:rsidR="00637B64" w:rsidRPr="000E3060">
              <w:rPr>
                <w:rFonts w:ascii="Times New Roman" w:hAnsi="Times New Roman"/>
                <w:color w:val="000000"/>
                <w:sz w:val="24"/>
                <w:szCs w:val="24"/>
              </w:rPr>
              <w:t>s</w:t>
            </w:r>
            <w:r w:rsidRPr="000E3060">
              <w:rPr>
                <w:rFonts w:ascii="Times New Roman" w:hAnsi="Times New Roman"/>
                <w:color w:val="000000"/>
                <w:sz w:val="24"/>
                <w:szCs w:val="24"/>
              </w:rPr>
              <w:t xml:space="preserve"> provizoriski nepieciešamās nomas maksas un </w:t>
            </w:r>
            <w:r w:rsidR="009D04FA" w:rsidRPr="000E3060">
              <w:rPr>
                <w:rFonts w:ascii="Times New Roman" w:hAnsi="Times New Roman"/>
                <w:color w:val="000000"/>
                <w:sz w:val="24"/>
                <w:szCs w:val="24"/>
              </w:rPr>
              <w:t xml:space="preserve">Jaunā </w:t>
            </w:r>
            <w:r w:rsidRPr="000E3060">
              <w:rPr>
                <w:rFonts w:ascii="Times New Roman" w:hAnsi="Times New Roman"/>
                <w:color w:val="000000"/>
                <w:sz w:val="24"/>
                <w:szCs w:val="24"/>
              </w:rPr>
              <w:t>Rīgas teātra 2013.gada izdevumu, kas saistīti ar ēku Lāčplēša ielā 25,</w:t>
            </w:r>
            <w:r w:rsidR="009D04FA" w:rsidRPr="000E3060">
              <w:rPr>
                <w:rFonts w:ascii="Times New Roman" w:hAnsi="Times New Roman"/>
                <w:color w:val="000000"/>
                <w:sz w:val="24"/>
                <w:szCs w:val="24"/>
              </w:rPr>
              <w:t xml:space="preserve"> telpu īres un komunālo pakalpojumu segšanai</w:t>
            </w:r>
            <w:r w:rsidR="00637B64" w:rsidRPr="000E3060">
              <w:rPr>
                <w:rFonts w:ascii="Times New Roman" w:hAnsi="Times New Roman"/>
                <w:color w:val="000000"/>
                <w:sz w:val="24"/>
                <w:szCs w:val="24"/>
              </w:rPr>
              <w:t>,</w:t>
            </w:r>
            <w:r w:rsidRPr="000E3060">
              <w:rPr>
                <w:rFonts w:ascii="Times New Roman" w:hAnsi="Times New Roman"/>
                <w:color w:val="000000"/>
                <w:sz w:val="24"/>
                <w:szCs w:val="24"/>
              </w:rPr>
              <w:t xml:space="preserve"> starpība</w:t>
            </w:r>
            <w:r w:rsidR="009D04FA" w:rsidRPr="000E3060">
              <w:rPr>
                <w:rFonts w:ascii="Times New Roman" w:hAnsi="Times New Roman"/>
                <w:color w:val="000000"/>
                <w:sz w:val="24"/>
                <w:szCs w:val="24"/>
              </w:rPr>
              <w:t xml:space="preserve">. Kopējās </w:t>
            </w:r>
            <w:r w:rsidR="006433A2" w:rsidRPr="000E3060">
              <w:rPr>
                <w:rFonts w:ascii="Times New Roman" w:hAnsi="Times New Roman"/>
                <w:color w:val="000000"/>
                <w:sz w:val="24"/>
                <w:szCs w:val="24"/>
              </w:rPr>
              <w:t xml:space="preserve">Jaunā Rīgas teātra </w:t>
            </w:r>
            <w:r w:rsidR="009D04FA" w:rsidRPr="000E3060">
              <w:rPr>
                <w:rFonts w:ascii="Times New Roman" w:hAnsi="Times New Roman"/>
                <w:color w:val="000000"/>
                <w:sz w:val="24"/>
                <w:szCs w:val="24"/>
              </w:rPr>
              <w:t xml:space="preserve">telpu īres un komunālo pakalpojumu izmaksas 2013.gadā veidoja LVL 99 460 (141 519 </w:t>
            </w:r>
            <w:r w:rsidR="009D04FA" w:rsidRPr="000E3060">
              <w:rPr>
                <w:rFonts w:ascii="Times New Roman" w:hAnsi="Times New Roman"/>
                <w:i/>
                <w:color w:val="000000"/>
                <w:sz w:val="24"/>
                <w:szCs w:val="24"/>
              </w:rPr>
              <w:t>euro</w:t>
            </w:r>
            <w:r w:rsidR="009D04FA" w:rsidRPr="000E3060">
              <w:rPr>
                <w:rFonts w:ascii="Times New Roman" w:hAnsi="Times New Roman"/>
                <w:color w:val="000000"/>
                <w:sz w:val="24"/>
                <w:szCs w:val="24"/>
              </w:rPr>
              <w:t>), kuros ietverti izdevumi arī par telpām, kuras Jaunais Rīgas teātris izmanto šobrīd izrāžu sniegšanai Rīgā, Talsu ielā 1, teātra noliktavu Rīgā, Lienes ielā</w:t>
            </w:r>
            <w:r w:rsidR="00056783" w:rsidRPr="000E3060">
              <w:rPr>
                <w:rFonts w:ascii="Times New Roman" w:hAnsi="Times New Roman"/>
                <w:color w:val="000000"/>
                <w:sz w:val="24"/>
                <w:szCs w:val="24"/>
              </w:rPr>
              <w:t xml:space="preserve"> </w:t>
            </w:r>
            <w:r w:rsidR="00947892" w:rsidRPr="000E3060">
              <w:rPr>
                <w:rFonts w:ascii="Times New Roman" w:hAnsi="Times New Roman"/>
                <w:color w:val="000000"/>
                <w:sz w:val="24"/>
                <w:szCs w:val="24"/>
              </w:rPr>
              <w:t>4</w:t>
            </w:r>
            <w:r w:rsidR="009D04FA" w:rsidRPr="000E3060">
              <w:rPr>
                <w:rFonts w:ascii="Times New Roman" w:hAnsi="Times New Roman"/>
                <w:color w:val="000000"/>
                <w:sz w:val="24"/>
                <w:szCs w:val="24"/>
              </w:rPr>
              <w:t>, kā arī izdevumi par telpu īri izbraukumu izrādēs, tai skaitā:</w:t>
            </w:r>
          </w:p>
          <w:p w:rsidR="00A97671" w:rsidRPr="000E3060" w:rsidRDefault="00A97671">
            <w:pPr>
              <w:spacing w:after="0" w:line="240" w:lineRule="auto"/>
              <w:jc w:val="both"/>
              <w:rPr>
                <w:rFonts w:ascii="Times New Roman" w:hAnsi="Times New Roman"/>
                <w:color w:val="000000"/>
                <w:sz w:val="24"/>
                <w:szCs w:val="24"/>
              </w:rPr>
            </w:pPr>
          </w:p>
          <w:p w:rsidR="00A97671" w:rsidRPr="000E3060" w:rsidRDefault="00A97671">
            <w:pPr>
              <w:spacing w:after="0" w:line="240" w:lineRule="auto"/>
              <w:jc w:val="both"/>
              <w:rPr>
                <w:rFonts w:ascii="Times New Roman" w:hAnsi="Times New Roman"/>
                <w:color w:val="000000"/>
                <w:sz w:val="24"/>
                <w:szCs w:val="24"/>
              </w:rPr>
            </w:pPr>
            <w:r w:rsidRPr="000E3060">
              <w:rPr>
                <w:rFonts w:ascii="Times New Roman" w:hAnsi="Times New Roman"/>
                <w:color w:val="000000"/>
                <w:sz w:val="24"/>
                <w:szCs w:val="24"/>
              </w:rPr>
              <w:t>1) </w:t>
            </w:r>
            <w:r w:rsidR="00971D76" w:rsidRPr="000E3060">
              <w:rPr>
                <w:rFonts w:ascii="Times New Roman" w:hAnsi="Times New Roman"/>
                <w:color w:val="000000"/>
                <w:sz w:val="24"/>
                <w:szCs w:val="24"/>
              </w:rPr>
              <w:t>t</w:t>
            </w:r>
            <w:r w:rsidRPr="000E3060">
              <w:rPr>
                <w:rFonts w:ascii="Times New Roman" w:hAnsi="Times New Roman"/>
                <w:color w:val="000000"/>
                <w:sz w:val="24"/>
                <w:szCs w:val="24"/>
              </w:rPr>
              <w:t>elpu un zemes īre: Lāčplēša 25</w:t>
            </w:r>
            <w:r w:rsidR="00971D76" w:rsidRPr="000E3060">
              <w:rPr>
                <w:rFonts w:ascii="Times New Roman" w:hAnsi="Times New Roman"/>
                <w:color w:val="000000"/>
                <w:sz w:val="24"/>
                <w:szCs w:val="24"/>
              </w:rPr>
              <w:t xml:space="preserve"> (0</w:t>
            </w:r>
            <w:r w:rsidR="005E0117" w:rsidRPr="000E3060">
              <w:rPr>
                <w:rFonts w:ascii="Times New Roman" w:hAnsi="Times New Roman"/>
                <w:color w:val="000000"/>
                <w:sz w:val="24"/>
                <w:szCs w:val="24"/>
              </w:rPr>
              <w:t>,00</w:t>
            </w:r>
            <w:r w:rsidR="00971D76" w:rsidRPr="000E3060">
              <w:rPr>
                <w:rFonts w:ascii="Times New Roman" w:hAnsi="Times New Roman"/>
                <w:color w:val="000000"/>
                <w:sz w:val="24"/>
                <w:szCs w:val="24"/>
              </w:rPr>
              <w:t xml:space="preserve"> </w:t>
            </w:r>
            <w:r w:rsidR="00971D76" w:rsidRPr="000E3060">
              <w:rPr>
                <w:rFonts w:ascii="Times New Roman" w:hAnsi="Times New Roman"/>
                <w:i/>
                <w:color w:val="000000"/>
                <w:sz w:val="24"/>
                <w:szCs w:val="24"/>
              </w:rPr>
              <w:t>euro</w:t>
            </w:r>
            <w:r w:rsidR="00971D76" w:rsidRPr="000E3060">
              <w:rPr>
                <w:rFonts w:ascii="Times New Roman" w:hAnsi="Times New Roman"/>
                <w:color w:val="000000"/>
                <w:sz w:val="24"/>
                <w:szCs w:val="24"/>
              </w:rPr>
              <w:t>)</w:t>
            </w:r>
            <w:r w:rsidRPr="000E3060">
              <w:rPr>
                <w:rFonts w:ascii="Times New Roman" w:hAnsi="Times New Roman"/>
                <w:color w:val="000000"/>
                <w:sz w:val="24"/>
                <w:szCs w:val="24"/>
              </w:rPr>
              <w:t xml:space="preserve">, Talsu </w:t>
            </w:r>
            <w:r w:rsidR="006A444F" w:rsidRPr="000E3060">
              <w:rPr>
                <w:rFonts w:ascii="Times New Roman" w:hAnsi="Times New Roman"/>
                <w:color w:val="000000"/>
                <w:sz w:val="24"/>
                <w:szCs w:val="24"/>
              </w:rPr>
              <w:t xml:space="preserve">iela </w:t>
            </w:r>
            <w:r w:rsidRPr="000E3060">
              <w:rPr>
                <w:rFonts w:ascii="Times New Roman" w:hAnsi="Times New Roman"/>
                <w:color w:val="000000"/>
                <w:sz w:val="24"/>
                <w:szCs w:val="24"/>
              </w:rPr>
              <w:t xml:space="preserve">1 </w:t>
            </w:r>
            <w:r w:rsidR="00971D76" w:rsidRPr="000E3060">
              <w:rPr>
                <w:rFonts w:ascii="Times New Roman" w:hAnsi="Times New Roman"/>
                <w:color w:val="000000"/>
                <w:sz w:val="24"/>
                <w:szCs w:val="24"/>
              </w:rPr>
              <w:t xml:space="preserve">(17010 </w:t>
            </w:r>
            <w:r w:rsidR="00971D76" w:rsidRPr="000E3060">
              <w:rPr>
                <w:rFonts w:ascii="Times New Roman" w:hAnsi="Times New Roman"/>
                <w:i/>
                <w:color w:val="000000"/>
                <w:sz w:val="24"/>
                <w:szCs w:val="24"/>
              </w:rPr>
              <w:t>euro</w:t>
            </w:r>
            <w:r w:rsidR="00971D76" w:rsidRPr="000E3060">
              <w:rPr>
                <w:rFonts w:ascii="Times New Roman" w:hAnsi="Times New Roman"/>
                <w:color w:val="000000"/>
                <w:sz w:val="24"/>
                <w:szCs w:val="24"/>
              </w:rPr>
              <w:t>),</w:t>
            </w:r>
            <w:r w:rsidRPr="000E3060">
              <w:rPr>
                <w:rFonts w:ascii="Times New Roman" w:hAnsi="Times New Roman"/>
                <w:color w:val="000000"/>
                <w:sz w:val="24"/>
                <w:szCs w:val="24"/>
              </w:rPr>
              <w:t xml:space="preserve"> </w:t>
            </w:r>
            <w:r w:rsidR="00971D76" w:rsidRPr="000E3060">
              <w:rPr>
                <w:rFonts w:ascii="Times New Roman" w:hAnsi="Times New Roman"/>
                <w:color w:val="000000"/>
                <w:sz w:val="24"/>
                <w:szCs w:val="24"/>
              </w:rPr>
              <w:t>n</w:t>
            </w:r>
            <w:r w:rsidRPr="000E3060">
              <w:rPr>
                <w:rFonts w:ascii="Times New Roman" w:hAnsi="Times New Roman"/>
                <w:color w:val="000000"/>
                <w:sz w:val="24"/>
                <w:szCs w:val="24"/>
              </w:rPr>
              <w:t xml:space="preserve">oliktava </w:t>
            </w:r>
            <w:r w:rsidR="00971D76" w:rsidRPr="000E3060">
              <w:rPr>
                <w:rFonts w:ascii="Times New Roman" w:hAnsi="Times New Roman"/>
                <w:color w:val="000000"/>
                <w:sz w:val="24"/>
                <w:szCs w:val="24"/>
              </w:rPr>
              <w:t xml:space="preserve">(6921 </w:t>
            </w:r>
            <w:r w:rsidR="00971D76" w:rsidRPr="000E3060">
              <w:rPr>
                <w:rFonts w:ascii="Times New Roman" w:hAnsi="Times New Roman"/>
                <w:i/>
                <w:color w:val="000000"/>
                <w:sz w:val="24"/>
                <w:szCs w:val="24"/>
              </w:rPr>
              <w:t xml:space="preserve">euro) </w:t>
            </w:r>
            <w:r w:rsidRPr="000E3060">
              <w:rPr>
                <w:rFonts w:ascii="Times New Roman" w:hAnsi="Times New Roman"/>
                <w:color w:val="000000"/>
                <w:sz w:val="24"/>
                <w:szCs w:val="24"/>
              </w:rPr>
              <w:t xml:space="preserve">un </w:t>
            </w:r>
            <w:r w:rsidR="00971D76" w:rsidRPr="000E3060">
              <w:rPr>
                <w:rFonts w:ascii="Times New Roman" w:hAnsi="Times New Roman"/>
                <w:color w:val="000000"/>
                <w:sz w:val="24"/>
                <w:szCs w:val="24"/>
              </w:rPr>
              <w:t>telpu noma izbraukumu izrādēs (5</w:t>
            </w:r>
            <w:r w:rsidR="00194186" w:rsidRPr="000E3060">
              <w:rPr>
                <w:rFonts w:ascii="Times New Roman" w:hAnsi="Times New Roman"/>
                <w:color w:val="000000"/>
                <w:sz w:val="24"/>
                <w:szCs w:val="24"/>
              </w:rPr>
              <w:t xml:space="preserve"> </w:t>
            </w:r>
            <w:r w:rsidR="00971D76" w:rsidRPr="000E3060">
              <w:rPr>
                <w:rFonts w:ascii="Times New Roman" w:hAnsi="Times New Roman"/>
                <w:color w:val="000000"/>
                <w:sz w:val="24"/>
                <w:szCs w:val="24"/>
              </w:rPr>
              <w:t>87</w:t>
            </w:r>
            <w:r w:rsidR="00194186" w:rsidRPr="000E3060">
              <w:rPr>
                <w:rFonts w:ascii="Times New Roman" w:hAnsi="Times New Roman"/>
                <w:color w:val="000000"/>
                <w:sz w:val="24"/>
                <w:szCs w:val="24"/>
              </w:rPr>
              <w:t>1</w:t>
            </w:r>
            <w:r w:rsidR="00971D76" w:rsidRPr="000E3060">
              <w:rPr>
                <w:rFonts w:ascii="Times New Roman" w:hAnsi="Times New Roman"/>
                <w:color w:val="000000"/>
                <w:sz w:val="24"/>
                <w:szCs w:val="24"/>
              </w:rPr>
              <w:t xml:space="preserve"> </w:t>
            </w:r>
            <w:r w:rsidR="00971D76" w:rsidRPr="000E3060">
              <w:rPr>
                <w:rFonts w:ascii="Times New Roman" w:hAnsi="Times New Roman"/>
                <w:i/>
                <w:color w:val="000000"/>
                <w:sz w:val="24"/>
                <w:szCs w:val="24"/>
              </w:rPr>
              <w:t>euro</w:t>
            </w:r>
            <w:r w:rsidR="00971D76" w:rsidRPr="000E3060">
              <w:rPr>
                <w:rFonts w:ascii="Times New Roman" w:hAnsi="Times New Roman"/>
                <w:color w:val="000000"/>
                <w:sz w:val="24"/>
                <w:szCs w:val="24"/>
              </w:rPr>
              <w:t>)</w:t>
            </w:r>
            <w:r w:rsidRPr="000E3060">
              <w:rPr>
                <w:rFonts w:ascii="Times New Roman" w:hAnsi="Times New Roman"/>
                <w:color w:val="000000"/>
                <w:sz w:val="24"/>
                <w:szCs w:val="24"/>
              </w:rPr>
              <w:t xml:space="preserve"> </w:t>
            </w:r>
            <w:r w:rsidR="00971D76" w:rsidRPr="000E3060">
              <w:rPr>
                <w:rFonts w:ascii="Times New Roman" w:hAnsi="Times New Roman"/>
                <w:color w:val="000000"/>
                <w:sz w:val="24"/>
                <w:szCs w:val="24"/>
              </w:rPr>
              <w:t>–</w:t>
            </w:r>
            <w:r w:rsidRPr="000E3060">
              <w:rPr>
                <w:rFonts w:ascii="Times New Roman" w:hAnsi="Times New Roman"/>
                <w:color w:val="000000"/>
                <w:sz w:val="24"/>
                <w:szCs w:val="24"/>
              </w:rPr>
              <w:t xml:space="preserve"> </w:t>
            </w:r>
            <w:r w:rsidR="00971D76" w:rsidRPr="000E3060">
              <w:rPr>
                <w:rFonts w:ascii="Times New Roman" w:hAnsi="Times New Roman"/>
                <w:color w:val="000000"/>
                <w:sz w:val="24"/>
                <w:szCs w:val="24"/>
              </w:rPr>
              <w:t xml:space="preserve">kopā 29 802 </w:t>
            </w:r>
            <w:r w:rsidR="00971D76" w:rsidRPr="000E3060">
              <w:rPr>
                <w:rFonts w:ascii="Times New Roman" w:hAnsi="Times New Roman"/>
                <w:i/>
                <w:color w:val="000000"/>
                <w:sz w:val="24"/>
                <w:szCs w:val="24"/>
              </w:rPr>
              <w:t>euro</w:t>
            </w:r>
          </w:p>
          <w:p w:rsidR="00A97671" w:rsidRPr="000E3060" w:rsidRDefault="00A97671">
            <w:pPr>
              <w:spacing w:after="0" w:line="240" w:lineRule="auto"/>
              <w:jc w:val="both"/>
              <w:rPr>
                <w:rFonts w:ascii="Times New Roman" w:hAnsi="Times New Roman"/>
                <w:color w:val="000000"/>
                <w:sz w:val="24"/>
                <w:szCs w:val="24"/>
              </w:rPr>
            </w:pPr>
            <w:r w:rsidRPr="000E3060">
              <w:rPr>
                <w:rFonts w:ascii="Times New Roman" w:hAnsi="Times New Roman"/>
                <w:color w:val="000000"/>
                <w:sz w:val="24"/>
                <w:szCs w:val="24"/>
              </w:rPr>
              <w:t xml:space="preserve">2) </w:t>
            </w:r>
            <w:r w:rsidR="005E0117" w:rsidRPr="000E3060">
              <w:rPr>
                <w:rFonts w:ascii="Times New Roman" w:hAnsi="Times New Roman"/>
                <w:color w:val="000000"/>
                <w:sz w:val="24"/>
                <w:szCs w:val="24"/>
              </w:rPr>
              <w:t>ēkas Lāčplēša ielā 25 apsaimniekoša</w:t>
            </w:r>
            <w:r w:rsidR="00F86166" w:rsidRPr="000E3060">
              <w:rPr>
                <w:rFonts w:ascii="Times New Roman" w:hAnsi="Times New Roman"/>
                <w:color w:val="000000"/>
                <w:sz w:val="24"/>
                <w:szCs w:val="24"/>
              </w:rPr>
              <w:t>nas un uzturēšanas izdevumi, kurus pēc rekonstrukcijas pabeigšanas paredzēts nodrošināt VNĪ (</w:t>
            </w:r>
            <w:r w:rsidRPr="000E3060">
              <w:rPr>
                <w:rFonts w:ascii="Times New Roman" w:hAnsi="Times New Roman"/>
                <w:color w:val="000000"/>
                <w:sz w:val="24"/>
                <w:szCs w:val="24"/>
              </w:rPr>
              <w:t>tai skaitā- kārtējie remonti</w:t>
            </w:r>
            <w:r w:rsidR="005E0117" w:rsidRPr="000E3060">
              <w:rPr>
                <w:rFonts w:ascii="Times New Roman" w:hAnsi="Times New Roman"/>
                <w:color w:val="000000"/>
                <w:sz w:val="24"/>
                <w:szCs w:val="24"/>
              </w:rPr>
              <w:t>,</w:t>
            </w:r>
            <w:r w:rsidR="00971D76" w:rsidRPr="000E3060">
              <w:rPr>
                <w:rFonts w:ascii="Times New Roman" w:hAnsi="Times New Roman"/>
                <w:color w:val="000000"/>
                <w:sz w:val="24"/>
                <w:szCs w:val="24"/>
              </w:rPr>
              <w:t xml:space="preserve"> </w:t>
            </w:r>
            <w:r w:rsidR="00F86166" w:rsidRPr="000E3060">
              <w:rPr>
                <w:rFonts w:ascii="Times New Roman" w:hAnsi="Times New Roman"/>
                <w:color w:val="000000"/>
                <w:sz w:val="24"/>
                <w:szCs w:val="24"/>
              </w:rPr>
              <w:t>deratizācija, sniega tīrīšana, jumta tīrīšana, apsardze) –</w:t>
            </w:r>
            <w:r w:rsidRPr="000E3060">
              <w:rPr>
                <w:rFonts w:ascii="Times New Roman" w:hAnsi="Times New Roman"/>
                <w:color w:val="000000"/>
                <w:sz w:val="24"/>
                <w:szCs w:val="24"/>
              </w:rPr>
              <w:t xml:space="preserve"> </w:t>
            </w:r>
            <w:r w:rsidR="00F86166" w:rsidRPr="000E3060">
              <w:rPr>
                <w:rFonts w:ascii="Times New Roman" w:hAnsi="Times New Roman"/>
                <w:color w:val="000000"/>
                <w:sz w:val="24"/>
                <w:szCs w:val="24"/>
              </w:rPr>
              <w:t>11</w:t>
            </w:r>
            <w:r w:rsidR="005E0117" w:rsidRPr="000E3060">
              <w:rPr>
                <w:rFonts w:ascii="Times New Roman" w:hAnsi="Times New Roman"/>
                <w:color w:val="000000"/>
                <w:sz w:val="24"/>
                <w:szCs w:val="24"/>
              </w:rPr>
              <w:t xml:space="preserve"> </w:t>
            </w:r>
            <w:r w:rsidR="00F86166" w:rsidRPr="000E3060">
              <w:rPr>
                <w:rFonts w:ascii="Times New Roman" w:hAnsi="Times New Roman"/>
                <w:color w:val="000000"/>
                <w:sz w:val="24"/>
                <w:szCs w:val="24"/>
              </w:rPr>
              <w:t>29</w:t>
            </w:r>
            <w:r w:rsidR="00194186" w:rsidRPr="000E3060">
              <w:rPr>
                <w:rFonts w:ascii="Times New Roman" w:hAnsi="Times New Roman"/>
                <w:color w:val="000000"/>
                <w:sz w:val="24"/>
                <w:szCs w:val="24"/>
              </w:rPr>
              <w:t>9</w:t>
            </w:r>
            <w:r w:rsidR="00F86166" w:rsidRPr="000E3060">
              <w:rPr>
                <w:rFonts w:ascii="Times New Roman" w:hAnsi="Times New Roman"/>
                <w:color w:val="000000"/>
                <w:sz w:val="24"/>
                <w:szCs w:val="24"/>
              </w:rPr>
              <w:t xml:space="preserve"> </w:t>
            </w:r>
            <w:r w:rsidR="00F86166" w:rsidRPr="000E3060">
              <w:rPr>
                <w:rFonts w:ascii="Times New Roman" w:hAnsi="Times New Roman"/>
                <w:i/>
                <w:color w:val="000000"/>
                <w:sz w:val="24"/>
                <w:szCs w:val="24"/>
              </w:rPr>
              <w:t>euro;</w:t>
            </w:r>
          </w:p>
          <w:p w:rsidR="00A97671" w:rsidRPr="000E3060" w:rsidRDefault="00A97671" w:rsidP="00A97671">
            <w:pPr>
              <w:spacing w:after="0" w:line="240" w:lineRule="auto"/>
              <w:jc w:val="both"/>
              <w:rPr>
                <w:rFonts w:ascii="Times New Roman" w:hAnsi="Times New Roman"/>
                <w:color w:val="000000"/>
                <w:sz w:val="24"/>
                <w:szCs w:val="24"/>
              </w:rPr>
            </w:pPr>
            <w:r w:rsidRPr="000E3060">
              <w:rPr>
                <w:rFonts w:ascii="Times New Roman" w:hAnsi="Times New Roman"/>
                <w:color w:val="000000"/>
                <w:sz w:val="24"/>
                <w:szCs w:val="24"/>
              </w:rPr>
              <w:t>3) </w:t>
            </w:r>
            <w:r w:rsidR="00971D76" w:rsidRPr="000E3060">
              <w:rPr>
                <w:rFonts w:ascii="Times New Roman" w:hAnsi="Times New Roman"/>
                <w:color w:val="000000"/>
                <w:sz w:val="24"/>
                <w:szCs w:val="24"/>
              </w:rPr>
              <w:t>komunālo pakalpojumu</w:t>
            </w:r>
            <w:r w:rsidRPr="000E3060">
              <w:rPr>
                <w:rFonts w:ascii="Times New Roman" w:hAnsi="Times New Roman"/>
                <w:color w:val="000000"/>
                <w:sz w:val="24"/>
                <w:szCs w:val="24"/>
              </w:rPr>
              <w:t xml:space="preserve"> izdevumi, </w:t>
            </w:r>
            <w:r w:rsidR="00971D76" w:rsidRPr="000E3060">
              <w:rPr>
                <w:rFonts w:ascii="Times New Roman" w:hAnsi="Times New Roman"/>
                <w:color w:val="000000"/>
                <w:sz w:val="24"/>
                <w:szCs w:val="24"/>
              </w:rPr>
              <w:t xml:space="preserve">par kuriem Jaunais Rīgas teātris norēķinās ar pakalpojumu sniedzējiem un kuri </w:t>
            </w:r>
            <w:r w:rsidR="00971D76" w:rsidRPr="000E3060">
              <w:rPr>
                <w:rFonts w:ascii="Times New Roman" w:hAnsi="Times New Roman"/>
                <w:color w:val="000000"/>
                <w:sz w:val="24"/>
                <w:szCs w:val="24"/>
                <w:u w:val="single"/>
              </w:rPr>
              <w:t>nav</w:t>
            </w:r>
            <w:r w:rsidR="00971D76" w:rsidRPr="000E3060">
              <w:rPr>
                <w:rFonts w:ascii="Times New Roman" w:hAnsi="Times New Roman"/>
                <w:color w:val="000000"/>
                <w:sz w:val="24"/>
                <w:szCs w:val="24"/>
              </w:rPr>
              <w:t xml:space="preserve"> ietverti VNĪ apsaimniekošanas maksā </w:t>
            </w:r>
            <w:r w:rsidRPr="000E3060">
              <w:rPr>
                <w:rFonts w:ascii="Times New Roman" w:hAnsi="Times New Roman"/>
                <w:color w:val="000000"/>
                <w:sz w:val="24"/>
                <w:szCs w:val="24"/>
              </w:rPr>
              <w:t>(</w:t>
            </w:r>
            <w:r w:rsidR="00F86166" w:rsidRPr="000E3060">
              <w:rPr>
                <w:rFonts w:ascii="Times New Roman" w:hAnsi="Times New Roman"/>
                <w:color w:val="000000"/>
                <w:sz w:val="24"/>
                <w:szCs w:val="24"/>
              </w:rPr>
              <w:t>elektroene</w:t>
            </w:r>
            <w:r w:rsidR="005E0117" w:rsidRPr="000E3060">
              <w:rPr>
                <w:rFonts w:ascii="Times New Roman" w:hAnsi="Times New Roman"/>
                <w:color w:val="000000"/>
                <w:sz w:val="24"/>
                <w:szCs w:val="24"/>
              </w:rPr>
              <w:t>rģ</w:t>
            </w:r>
            <w:r w:rsidR="00F86166" w:rsidRPr="000E3060">
              <w:rPr>
                <w:rFonts w:ascii="Times New Roman" w:hAnsi="Times New Roman"/>
                <w:color w:val="000000"/>
                <w:sz w:val="24"/>
                <w:szCs w:val="24"/>
              </w:rPr>
              <w:t xml:space="preserve">ija, apkure, ūdens un kanalizācija u.c.) – 100 418 </w:t>
            </w:r>
            <w:r w:rsidR="00F86166" w:rsidRPr="000E3060">
              <w:rPr>
                <w:rFonts w:ascii="Times New Roman" w:hAnsi="Times New Roman"/>
                <w:i/>
                <w:color w:val="000000"/>
                <w:sz w:val="24"/>
                <w:szCs w:val="24"/>
              </w:rPr>
              <w:t>euro</w:t>
            </w:r>
            <w:r w:rsidR="00F86166" w:rsidRPr="000E3060">
              <w:rPr>
                <w:rFonts w:ascii="Times New Roman" w:hAnsi="Times New Roman"/>
                <w:color w:val="000000"/>
                <w:sz w:val="24"/>
                <w:szCs w:val="24"/>
              </w:rPr>
              <w:t xml:space="preserve">. </w:t>
            </w:r>
          </w:p>
          <w:p w:rsidR="00A97671" w:rsidRPr="000E3060" w:rsidRDefault="00A97671">
            <w:pPr>
              <w:spacing w:after="0" w:line="240" w:lineRule="auto"/>
              <w:jc w:val="both"/>
              <w:rPr>
                <w:rFonts w:ascii="Times New Roman" w:hAnsi="Times New Roman"/>
                <w:color w:val="000000"/>
                <w:sz w:val="24"/>
                <w:szCs w:val="24"/>
              </w:rPr>
            </w:pPr>
          </w:p>
          <w:p w:rsidR="005E0117" w:rsidRPr="000E3060" w:rsidRDefault="006D46E2">
            <w:pPr>
              <w:spacing w:after="0" w:line="240" w:lineRule="auto"/>
              <w:jc w:val="both"/>
              <w:rPr>
                <w:rFonts w:ascii="Times New Roman" w:hAnsi="Times New Roman"/>
                <w:color w:val="000000"/>
                <w:sz w:val="24"/>
                <w:szCs w:val="24"/>
              </w:rPr>
            </w:pPr>
            <w:r w:rsidRPr="000E3060">
              <w:rPr>
                <w:rFonts w:ascii="Times New Roman" w:hAnsi="Times New Roman"/>
                <w:color w:val="000000"/>
                <w:sz w:val="24"/>
                <w:szCs w:val="24"/>
              </w:rPr>
              <w:t>Ņemot vērā, ka</w:t>
            </w:r>
            <w:r w:rsidR="00CD5C36" w:rsidRPr="000E3060">
              <w:rPr>
                <w:rFonts w:ascii="Times New Roman" w:hAnsi="Times New Roman"/>
                <w:color w:val="000000"/>
                <w:sz w:val="24"/>
                <w:szCs w:val="24"/>
              </w:rPr>
              <w:t>:</w:t>
            </w:r>
          </w:p>
          <w:p w:rsidR="005E0117" w:rsidRPr="000E3060" w:rsidRDefault="00CD5C36">
            <w:pPr>
              <w:spacing w:after="0" w:line="240" w:lineRule="auto"/>
              <w:jc w:val="both"/>
              <w:rPr>
                <w:rFonts w:ascii="Times New Roman" w:hAnsi="Times New Roman"/>
                <w:color w:val="000000"/>
                <w:sz w:val="24"/>
                <w:szCs w:val="24"/>
              </w:rPr>
            </w:pPr>
            <w:r w:rsidRPr="000E3060">
              <w:rPr>
                <w:rFonts w:ascii="Times New Roman" w:hAnsi="Times New Roman"/>
                <w:color w:val="000000"/>
                <w:sz w:val="24"/>
                <w:szCs w:val="24"/>
              </w:rPr>
              <w:t>-</w:t>
            </w:r>
            <w:r w:rsidR="006D46E2" w:rsidRPr="000E3060">
              <w:rPr>
                <w:rFonts w:ascii="Times New Roman" w:hAnsi="Times New Roman"/>
                <w:color w:val="000000"/>
                <w:sz w:val="24"/>
                <w:szCs w:val="24"/>
              </w:rPr>
              <w:t xml:space="preserve"> pēc rekonstrukcijas pabeigšanas Jaunajam Rīgas teātrim nebūs nepieciešamas telpas Rīgā, Talsu iel</w:t>
            </w:r>
            <w:r w:rsidRPr="000E3060">
              <w:rPr>
                <w:rFonts w:ascii="Times New Roman" w:hAnsi="Times New Roman"/>
                <w:color w:val="000000"/>
                <w:sz w:val="24"/>
                <w:szCs w:val="24"/>
              </w:rPr>
              <w:t>ā 1</w:t>
            </w:r>
            <w:r w:rsidR="00593FA3" w:rsidRPr="000E3060">
              <w:rPr>
                <w:rFonts w:ascii="Times New Roman" w:hAnsi="Times New Roman"/>
                <w:color w:val="000000"/>
                <w:sz w:val="24"/>
                <w:szCs w:val="24"/>
              </w:rPr>
              <w:t xml:space="preserve"> (</w:t>
            </w:r>
            <w:r w:rsidR="0077681F" w:rsidRPr="000E3060">
              <w:rPr>
                <w:rFonts w:ascii="Times New Roman" w:hAnsi="Times New Roman"/>
                <w:color w:val="000000"/>
                <w:sz w:val="24"/>
                <w:szCs w:val="24"/>
              </w:rPr>
              <w:t xml:space="preserve">plānotais </w:t>
            </w:r>
            <w:r w:rsidR="00593FA3" w:rsidRPr="000E3060">
              <w:rPr>
                <w:rFonts w:ascii="Times New Roman" w:hAnsi="Times New Roman"/>
                <w:color w:val="000000"/>
                <w:sz w:val="24"/>
                <w:szCs w:val="24"/>
              </w:rPr>
              <w:t>izdevumu samazinājums 25</w:t>
            </w:r>
            <w:r w:rsidR="00BD120D" w:rsidRPr="000E3060">
              <w:rPr>
                <w:rFonts w:ascii="Times New Roman" w:hAnsi="Times New Roman"/>
                <w:color w:val="000000"/>
                <w:sz w:val="24"/>
                <w:szCs w:val="24"/>
              </w:rPr>
              <w:t xml:space="preserve"> </w:t>
            </w:r>
            <w:r w:rsidR="00593FA3" w:rsidRPr="000E3060">
              <w:rPr>
                <w:rFonts w:ascii="Times New Roman" w:hAnsi="Times New Roman"/>
                <w:color w:val="000000"/>
                <w:sz w:val="24"/>
                <w:szCs w:val="24"/>
              </w:rPr>
              <w:t xml:space="preserve">386 </w:t>
            </w:r>
            <w:r w:rsidR="00194186" w:rsidRPr="000E3060">
              <w:rPr>
                <w:rFonts w:ascii="Times New Roman" w:hAnsi="Times New Roman"/>
                <w:i/>
                <w:color w:val="000000"/>
                <w:sz w:val="24"/>
                <w:szCs w:val="24"/>
              </w:rPr>
              <w:t>euro</w:t>
            </w:r>
            <w:r w:rsidR="00194186" w:rsidRPr="000E3060">
              <w:rPr>
                <w:rFonts w:ascii="Times New Roman" w:hAnsi="Times New Roman"/>
                <w:color w:val="000000"/>
                <w:sz w:val="24"/>
                <w:szCs w:val="24"/>
              </w:rPr>
              <w:t xml:space="preserve"> </w:t>
            </w:r>
            <w:r w:rsidR="0077681F" w:rsidRPr="000E3060">
              <w:rPr>
                <w:rFonts w:ascii="Times New Roman" w:hAnsi="Times New Roman"/>
                <w:color w:val="000000"/>
                <w:sz w:val="24"/>
                <w:szCs w:val="24"/>
              </w:rPr>
              <w:t>gadā</w:t>
            </w:r>
            <w:r w:rsidR="005E0117" w:rsidRPr="000E3060">
              <w:rPr>
                <w:rFonts w:ascii="Times New Roman" w:hAnsi="Times New Roman"/>
                <w:color w:val="000000"/>
                <w:sz w:val="24"/>
                <w:szCs w:val="24"/>
              </w:rPr>
              <w:t xml:space="preserve">, tai skaitā izdevumu samazinājums īrei 17 010 </w:t>
            </w:r>
            <w:r w:rsidR="005E0117" w:rsidRPr="000E3060">
              <w:rPr>
                <w:rFonts w:ascii="Times New Roman" w:hAnsi="Times New Roman"/>
                <w:i/>
                <w:color w:val="000000"/>
                <w:sz w:val="24"/>
                <w:szCs w:val="24"/>
              </w:rPr>
              <w:t>euro</w:t>
            </w:r>
            <w:r w:rsidR="005E0117" w:rsidRPr="000E3060">
              <w:rPr>
                <w:rFonts w:ascii="Times New Roman" w:hAnsi="Times New Roman"/>
                <w:color w:val="000000"/>
                <w:sz w:val="24"/>
                <w:szCs w:val="24"/>
              </w:rPr>
              <w:t>, izdevumu samazinājums par komunālajiem maksājumiem 8</w:t>
            </w:r>
            <w:r w:rsidR="00194186" w:rsidRPr="000E3060">
              <w:rPr>
                <w:rFonts w:ascii="Times New Roman" w:hAnsi="Times New Roman"/>
                <w:color w:val="000000"/>
                <w:sz w:val="24"/>
                <w:szCs w:val="24"/>
              </w:rPr>
              <w:t xml:space="preserve"> </w:t>
            </w:r>
            <w:r w:rsidR="005E0117" w:rsidRPr="000E3060">
              <w:rPr>
                <w:rFonts w:ascii="Times New Roman" w:hAnsi="Times New Roman"/>
                <w:color w:val="000000"/>
                <w:sz w:val="24"/>
                <w:szCs w:val="24"/>
              </w:rPr>
              <w:t xml:space="preserve">376 </w:t>
            </w:r>
            <w:r w:rsidR="005E0117" w:rsidRPr="000E3060">
              <w:rPr>
                <w:rFonts w:ascii="Times New Roman" w:hAnsi="Times New Roman"/>
                <w:i/>
                <w:color w:val="000000"/>
                <w:sz w:val="24"/>
                <w:szCs w:val="24"/>
              </w:rPr>
              <w:t>euro</w:t>
            </w:r>
            <w:r w:rsidR="00593FA3" w:rsidRPr="000E3060">
              <w:rPr>
                <w:rFonts w:ascii="Times New Roman" w:hAnsi="Times New Roman"/>
                <w:color w:val="000000"/>
                <w:sz w:val="24"/>
                <w:szCs w:val="24"/>
              </w:rPr>
              <w:t>)</w:t>
            </w:r>
            <w:r w:rsidRPr="000E3060">
              <w:rPr>
                <w:rFonts w:ascii="Times New Roman" w:hAnsi="Times New Roman"/>
                <w:color w:val="000000"/>
                <w:sz w:val="24"/>
                <w:szCs w:val="24"/>
              </w:rPr>
              <w:t>;</w:t>
            </w:r>
          </w:p>
          <w:p w:rsidR="0077681F" w:rsidRPr="000E3060" w:rsidRDefault="0077681F" w:rsidP="0077681F">
            <w:pPr>
              <w:spacing w:after="0" w:line="240" w:lineRule="auto"/>
              <w:jc w:val="both"/>
              <w:rPr>
                <w:rFonts w:ascii="Times New Roman" w:hAnsi="Times New Roman"/>
                <w:color w:val="000000"/>
                <w:sz w:val="24"/>
                <w:szCs w:val="24"/>
              </w:rPr>
            </w:pPr>
            <w:r w:rsidRPr="000E3060">
              <w:rPr>
                <w:rFonts w:ascii="Times New Roman" w:hAnsi="Times New Roman"/>
                <w:color w:val="000000"/>
                <w:sz w:val="24"/>
                <w:szCs w:val="24"/>
              </w:rPr>
              <w:t>-</w:t>
            </w:r>
            <w:r w:rsidR="005E0117" w:rsidRPr="000E3060">
              <w:rPr>
                <w:rFonts w:ascii="Times New Roman" w:hAnsi="Times New Roman"/>
                <w:color w:val="000000"/>
                <w:sz w:val="24"/>
                <w:szCs w:val="24"/>
              </w:rPr>
              <w:t xml:space="preserve"> </w:t>
            </w:r>
            <w:r w:rsidRPr="000E3060">
              <w:rPr>
                <w:rFonts w:ascii="Times New Roman" w:hAnsi="Times New Roman"/>
                <w:color w:val="000000"/>
                <w:sz w:val="24"/>
                <w:szCs w:val="24"/>
              </w:rPr>
              <w:t xml:space="preserve">izdevumi par </w:t>
            </w:r>
            <w:r w:rsidR="005E0117" w:rsidRPr="000E3060">
              <w:rPr>
                <w:rFonts w:ascii="Times New Roman" w:hAnsi="Times New Roman"/>
                <w:color w:val="000000"/>
                <w:sz w:val="24"/>
                <w:szCs w:val="24"/>
              </w:rPr>
              <w:t>tekošo remontu, deratizāciju, sniega un jumta tīrīšanu, kā arī apsardzi</w:t>
            </w:r>
            <w:r w:rsidR="00EE4AEF" w:rsidRPr="000E3060">
              <w:rPr>
                <w:rFonts w:ascii="Times New Roman" w:hAnsi="Times New Roman"/>
                <w:color w:val="000000"/>
                <w:sz w:val="24"/>
                <w:szCs w:val="24"/>
              </w:rPr>
              <w:t xml:space="preserve"> </w:t>
            </w:r>
            <w:r w:rsidRPr="000E3060">
              <w:rPr>
                <w:rFonts w:ascii="Times New Roman" w:hAnsi="Times New Roman"/>
                <w:color w:val="000000"/>
                <w:sz w:val="24"/>
                <w:szCs w:val="24"/>
              </w:rPr>
              <w:t xml:space="preserve">ir iekļauti </w:t>
            </w:r>
            <w:r w:rsidR="00EA5CB1" w:rsidRPr="000E3060">
              <w:rPr>
                <w:rFonts w:ascii="Times New Roman" w:hAnsi="Times New Roman"/>
                <w:color w:val="000000"/>
                <w:sz w:val="24"/>
                <w:szCs w:val="24"/>
              </w:rPr>
              <w:t xml:space="preserve">VNĪ </w:t>
            </w:r>
            <w:r w:rsidR="005E0117" w:rsidRPr="000E3060">
              <w:rPr>
                <w:rFonts w:ascii="Times New Roman" w:hAnsi="Times New Roman"/>
                <w:color w:val="000000"/>
                <w:sz w:val="24"/>
                <w:szCs w:val="24"/>
              </w:rPr>
              <w:t xml:space="preserve">apsaimniekošanas maksā </w:t>
            </w:r>
            <w:r w:rsidRPr="000E3060">
              <w:rPr>
                <w:rFonts w:ascii="Times New Roman" w:hAnsi="Times New Roman"/>
                <w:color w:val="000000"/>
                <w:sz w:val="24"/>
                <w:szCs w:val="24"/>
              </w:rPr>
              <w:t xml:space="preserve">(plānotais izdevumu samazinājums </w:t>
            </w:r>
            <w:r w:rsidR="005E0117" w:rsidRPr="000E3060">
              <w:rPr>
                <w:rFonts w:ascii="Times New Roman" w:hAnsi="Times New Roman"/>
                <w:color w:val="000000"/>
                <w:sz w:val="24"/>
                <w:szCs w:val="24"/>
              </w:rPr>
              <w:t xml:space="preserve">11 299 </w:t>
            </w:r>
            <w:r w:rsidR="005E0117" w:rsidRPr="000E3060">
              <w:rPr>
                <w:rFonts w:ascii="Times New Roman" w:hAnsi="Times New Roman"/>
                <w:i/>
                <w:color w:val="000000"/>
                <w:sz w:val="24"/>
                <w:szCs w:val="24"/>
              </w:rPr>
              <w:t xml:space="preserve">euro </w:t>
            </w:r>
            <w:r w:rsidRPr="000E3060">
              <w:rPr>
                <w:rFonts w:ascii="Times New Roman" w:hAnsi="Times New Roman"/>
                <w:color w:val="000000"/>
                <w:sz w:val="24"/>
                <w:szCs w:val="24"/>
              </w:rPr>
              <w:t>gadā</w:t>
            </w:r>
            <w:r w:rsidR="00992469" w:rsidRPr="000E3060">
              <w:rPr>
                <w:rFonts w:ascii="Times New Roman" w:hAnsi="Times New Roman"/>
                <w:color w:val="000000"/>
                <w:sz w:val="24"/>
                <w:szCs w:val="24"/>
              </w:rPr>
              <w:t>, t.sk. izdevumu samazinājums par tekošo remontu 6</w:t>
            </w:r>
            <w:r w:rsidR="00194186" w:rsidRPr="000E3060">
              <w:rPr>
                <w:rFonts w:ascii="Times New Roman" w:hAnsi="Times New Roman"/>
                <w:color w:val="000000"/>
                <w:sz w:val="24"/>
                <w:szCs w:val="24"/>
              </w:rPr>
              <w:t> </w:t>
            </w:r>
            <w:r w:rsidR="00992469" w:rsidRPr="000E3060">
              <w:rPr>
                <w:rFonts w:ascii="Times New Roman" w:hAnsi="Times New Roman"/>
                <w:color w:val="000000"/>
                <w:sz w:val="24"/>
                <w:szCs w:val="24"/>
              </w:rPr>
              <w:t>36</w:t>
            </w:r>
            <w:r w:rsidR="00194186" w:rsidRPr="000E3060">
              <w:rPr>
                <w:rFonts w:ascii="Times New Roman" w:hAnsi="Times New Roman"/>
                <w:color w:val="000000"/>
                <w:sz w:val="24"/>
                <w:szCs w:val="24"/>
              </w:rPr>
              <w:t xml:space="preserve">8 </w:t>
            </w:r>
            <w:r w:rsidR="00992469" w:rsidRPr="000E3060">
              <w:rPr>
                <w:rFonts w:ascii="Times New Roman" w:hAnsi="Times New Roman"/>
                <w:i/>
                <w:color w:val="000000"/>
                <w:sz w:val="24"/>
                <w:szCs w:val="24"/>
              </w:rPr>
              <w:t xml:space="preserve">euro; </w:t>
            </w:r>
            <w:r w:rsidR="00992469" w:rsidRPr="000E3060">
              <w:rPr>
                <w:rFonts w:ascii="Times New Roman" w:hAnsi="Times New Roman"/>
                <w:color w:val="000000"/>
                <w:sz w:val="24"/>
                <w:szCs w:val="24"/>
              </w:rPr>
              <w:t>apsardze 36</w:t>
            </w:r>
            <w:r w:rsidR="00194186" w:rsidRPr="000E3060">
              <w:rPr>
                <w:rFonts w:ascii="Times New Roman" w:hAnsi="Times New Roman"/>
                <w:color w:val="000000"/>
                <w:sz w:val="24"/>
                <w:szCs w:val="24"/>
              </w:rPr>
              <w:t>2</w:t>
            </w:r>
            <w:r w:rsidR="00992469" w:rsidRPr="000E3060">
              <w:rPr>
                <w:rFonts w:ascii="Times New Roman" w:hAnsi="Times New Roman"/>
                <w:color w:val="000000"/>
                <w:sz w:val="24"/>
                <w:szCs w:val="24"/>
              </w:rPr>
              <w:t xml:space="preserve"> </w:t>
            </w:r>
            <w:r w:rsidR="00992469" w:rsidRPr="000E3060">
              <w:rPr>
                <w:rFonts w:ascii="Times New Roman" w:hAnsi="Times New Roman"/>
                <w:i/>
                <w:color w:val="000000"/>
                <w:sz w:val="24"/>
                <w:szCs w:val="24"/>
              </w:rPr>
              <w:t>euro</w:t>
            </w:r>
            <w:r w:rsidR="00992469" w:rsidRPr="000E3060">
              <w:rPr>
                <w:rFonts w:ascii="Times New Roman" w:hAnsi="Times New Roman"/>
                <w:color w:val="000000"/>
                <w:sz w:val="24"/>
                <w:szCs w:val="24"/>
              </w:rPr>
              <w:t>, izdevumi par deratizāciju, sniega tīrīšanu, jumta tīrīšanu – 4</w:t>
            </w:r>
            <w:r w:rsidR="00194186" w:rsidRPr="000E3060">
              <w:rPr>
                <w:rFonts w:ascii="Times New Roman" w:hAnsi="Times New Roman"/>
                <w:color w:val="000000"/>
                <w:sz w:val="24"/>
                <w:szCs w:val="24"/>
              </w:rPr>
              <w:t xml:space="preserve"> </w:t>
            </w:r>
            <w:r w:rsidR="00992469" w:rsidRPr="000E3060">
              <w:rPr>
                <w:rFonts w:ascii="Times New Roman" w:hAnsi="Times New Roman"/>
                <w:color w:val="000000"/>
                <w:sz w:val="24"/>
                <w:szCs w:val="24"/>
              </w:rPr>
              <w:t xml:space="preserve">569 </w:t>
            </w:r>
            <w:r w:rsidR="00992469" w:rsidRPr="000E3060">
              <w:rPr>
                <w:rFonts w:ascii="Times New Roman" w:hAnsi="Times New Roman"/>
                <w:i/>
                <w:color w:val="000000"/>
                <w:sz w:val="24"/>
                <w:szCs w:val="24"/>
              </w:rPr>
              <w:t>euro</w:t>
            </w:r>
            <w:r w:rsidRPr="000E3060">
              <w:rPr>
                <w:rFonts w:ascii="Times New Roman" w:hAnsi="Times New Roman"/>
                <w:color w:val="000000"/>
                <w:sz w:val="24"/>
                <w:szCs w:val="24"/>
              </w:rPr>
              <w:t>);</w:t>
            </w:r>
          </w:p>
          <w:p w:rsidR="00971D76" w:rsidRPr="000E3060" w:rsidRDefault="00971D76" w:rsidP="00971D76">
            <w:pPr>
              <w:spacing w:after="0" w:line="240" w:lineRule="auto"/>
              <w:jc w:val="both"/>
              <w:rPr>
                <w:rFonts w:ascii="Times New Roman" w:hAnsi="Times New Roman"/>
                <w:color w:val="000000"/>
                <w:sz w:val="24"/>
                <w:szCs w:val="24"/>
              </w:rPr>
            </w:pPr>
            <w:r w:rsidRPr="000E3060">
              <w:rPr>
                <w:rFonts w:ascii="Times New Roman" w:hAnsi="Times New Roman"/>
                <w:color w:val="000000"/>
                <w:sz w:val="24"/>
                <w:szCs w:val="24"/>
              </w:rPr>
              <w:t>Tādejādi KOPĒJAIS plānotais izdevumu samazinājums pēc rekonstrukcijas projekta pabeigšanas</w:t>
            </w:r>
            <w:r w:rsidR="00992469" w:rsidRPr="000E3060">
              <w:rPr>
                <w:rFonts w:ascii="Times New Roman" w:hAnsi="Times New Roman"/>
                <w:color w:val="000000"/>
                <w:sz w:val="24"/>
                <w:szCs w:val="24"/>
              </w:rPr>
              <w:t>, kurš ņemts vērā rīkojuma projekta 2.1.apakšpunktā ietvertajā nomas maksas</w:t>
            </w:r>
            <w:r w:rsidR="006A444F" w:rsidRPr="000E3060">
              <w:rPr>
                <w:rFonts w:ascii="Times New Roman" w:hAnsi="Times New Roman"/>
                <w:color w:val="000000"/>
                <w:sz w:val="24"/>
                <w:szCs w:val="24"/>
              </w:rPr>
              <w:t>,</w:t>
            </w:r>
            <w:r w:rsidR="00992469" w:rsidRPr="000E3060">
              <w:rPr>
                <w:rFonts w:ascii="Times New Roman" w:hAnsi="Times New Roman"/>
                <w:color w:val="000000"/>
                <w:sz w:val="24"/>
                <w:szCs w:val="24"/>
              </w:rPr>
              <w:t xml:space="preserve"> aprēķinā</w:t>
            </w:r>
            <w:r w:rsidRPr="000E3060">
              <w:rPr>
                <w:rFonts w:ascii="Times New Roman" w:hAnsi="Times New Roman"/>
                <w:color w:val="000000"/>
                <w:sz w:val="24"/>
                <w:szCs w:val="24"/>
              </w:rPr>
              <w:t xml:space="preserve"> veido 36 685 </w:t>
            </w:r>
            <w:r w:rsidR="00194186" w:rsidRPr="000E3060">
              <w:rPr>
                <w:rFonts w:ascii="Times New Roman" w:hAnsi="Times New Roman"/>
                <w:i/>
                <w:color w:val="000000"/>
                <w:sz w:val="24"/>
                <w:szCs w:val="24"/>
              </w:rPr>
              <w:t>euro</w:t>
            </w:r>
            <w:r w:rsidR="00194186" w:rsidRPr="000E3060">
              <w:rPr>
                <w:rFonts w:ascii="Times New Roman" w:hAnsi="Times New Roman"/>
                <w:color w:val="000000"/>
                <w:sz w:val="24"/>
                <w:szCs w:val="24"/>
              </w:rPr>
              <w:t xml:space="preserve"> </w:t>
            </w:r>
            <w:r w:rsidRPr="000E3060">
              <w:rPr>
                <w:rFonts w:ascii="Times New Roman" w:hAnsi="Times New Roman"/>
                <w:color w:val="000000"/>
                <w:sz w:val="24"/>
                <w:szCs w:val="24"/>
              </w:rPr>
              <w:t xml:space="preserve">gadā. </w:t>
            </w:r>
          </w:p>
          <w:p w:rsidR="0077681F" w:rsidRPr="000E3060" w:rsidRDefault="0077681F">
            <w:pPr>
              <w:tabs>
                <w:tab w:val="left" w:pos="7993"/>
              </w:tabs>
              <w:spacing w:after="0" w:line="240" w:lineRule="auto"/>
              <w:ind w:right="-1"/>
              <w:jc w:val="both"/>
              <w:rPr>
                <w:iCs/>
              </w:rPr>
            </w:pPr>
          </w:p>
          <w:p w:rsidR="000B19BC" w:rsidRPr="000E3060" w:rsidRDefault="00F469EB">
            <w:pPr>
              <w:tabs>
                <w:tab w:val="left" w:pos="7993"/>
              </w:tabs>
              <w:spacing w:after="0" w:line="240" w:lineRule="auto"/>
              <w:ind w:right="-1"/>
              <w:jc w:val="both"/>
              <w:rPr>
                <w:rFonts w:ascii="Times New Roman" w:hAnsi="Times New Roman"/>
                <w:iCs/>
                <w:sz w:val="24"/>
                <w:szCs w:val="24"/>
                <w:lang w:eastAsia="lv-LV"/>
              </w:rPr>
            </w:pPr>
            <w:r w:rsidRPr="000E3060">
              <w:rPr>
                <w:rFonts w:ascii="Times New Roman" w:hAnsi="Times New Roman"/>
                <w:iCs/>
                <w:sz w:val="24"/>
                <w:szCs w:val="24"/>
                <w:lang w:eastAsia="lv-LV"/>
              </w:rPr>
              <w:t>Ņemot vērā iepriekš minēto, Ministru kabineta rīkojuma projektā:</w:t>
            </w:r>
          </w:p>
          <w:p w:rsidR="00A0650A" w:rsidRPr="000E3060" w:rsidRDefault="00F469EB">
            <w:pPr>
              <w:pStyle w:val="Sarakstarindkopa"/>
              <w:numPr>
                <w:ilvl w:val="0"/>
                <w:numId w:val="6"/>
              </w:numPr>
              <w:tabs>
                <w:tab w:val="left" w:pos="226"/>
                <w:tab w:val="left" w:pos="7993"/>
              </w:tabs>
              <w:ind w:left="0" w:right="-1" w:firstLine="0"/>
              <w:jc w:val="both"/>
              <w:rPr>
                <w:rFonts w:ascii="Times New Roman" w:hAnsi="Times New Roman"/>
                <w:iCs/>
                <w:sz w:val="24"/>
                <w:szCs w:val="24"/>
                <w:lang w:eastAsia="lv-LV"/>
              </w:rPr>
            </w:pPr>
            <w:r w:rsidRPr="000E3060">
              <w:rPr>
                <w:rFonts w:ascii="Times New Roman" w:hAnsi="Times New Roman"/>
                <w:iCs/>
                <w:sz w:val="24"/>
                <w:szCs w:val="24"/>
                <w:lang w:eastAsia="lv-LV"/>
              </w:rPr>
              <w:t xml:space="preserve">precizējams Finanšu ministrijas budžetā ilgtermiņa saistībās paredzētā finansējuma apmērs </w:t>
            </w:r>
            <w:r w:rsidR="00112CFA" w:rsidRPr="000E3060">
              <w:rPr>
                <w:rFonts w:ascii="Times New Roman" w:hAnsi="Times New Roman"/>
                <w:iCs/>
                <w:sz w:val="24"/>
                <w:szCs w:val="24"/>
                <w:lang w:eastAsia="lv-LV"/>
              </w:rPr>
              <w:t xml:space="preserve">un tā sadalījums pa gadiem </w:t>
            </w:r>
            <w:r w:rsidRPr="000E3060">
              <w:rPr>
                <w:rFonts w:ascii="Times New Roman" w:hAnsi="Times New Roman"/>
                <w:iCs/>
                <w:sz w:val="24"/>
                <w:szCs w:val="24"/>
                <w:lang w:eastAsia="lv-LV"/>
              </w:rPr>
              <w:t>(detalizētu informāciju skatīt anotācijas pielikumā);</w:t>
            </w:r>
          </w:p>
          <w:p w:rsidR="00A0650A" w:rsidRPr="000E3060" w:rsidRDefault="00F469EB">
            <w:pPr>
              <w:pStyle w:val="Sarakstarindkopa"/>
              <w:numPr>
                <w:ilvl w:val="0"/>
                <w:numId w:val="6"/>
              </w:numPr>
              <w:tabs>
                <w:tab w:val="left" w:pos="226"/>
                <w:tab w:val="left" w:pos="7993"/>
              </w:tabs>
              <w:ind w:left="0" w:right="-1" w:firstLine="0"/>
              <w:jc w:val="both"/>
              <w:rPr>
                <w:rFonts w:ascii="Times New Roman" w:hAnsi="Times New Roman"/>
                <w:iCs/>
                <w:sz w:val="24"/>
                <w:szCs w:val="24"/>
                <w:lang w:eastAsia="lv-LV"/>
              </w:rPr>
            </w:pPr>
            <w:r w:rsidRPr="000E3060">
              <w:rPr>
                <w:rFonts w:ascii="Times New Roman" w:hAnsi="Times New Roman"/>
                <w:iCs/>
                <w:sz w:val="24"/>
                <w:szCs w:val="24"/>
                <w:lang w:eastAsia="lv-LV"/>
              </w:rPr>
              <w:t>precizējams Kultūras ministrijai paredzētā finansējuma apmērs nekustamā īpašuma (nekustamā īpašuma kadastra Nr. 0100 022 0070) Lāčplēša ielā 25, Rīgā, nomas maksas izdevumu segšanai VNĪ no 201</w:t>
            </w:r>
            <w:r w:rsidR="009A3F1A" w:rsidRPr="000E3060">
              <w:rPr>
                <w:rFonts w:ascii="Times New Roman" w:hAnsi="Times New Roman"/>
                <w:iCs/>
                <w:sz w:val="24"/>
                <w:szCs w:val="24"/>
                <w:lang w:eastAsia="lv-LV"/>
              </w:rPr>
              <w:t>8</w:t>
            </w:r>
            <w:r w:rsidRPr="000E3060">
              <w:rPr>
                <w:rFonts w:ascii="Times New Roman" w:hAnsi="Times New Roman"/>
                <w:iCs/>
                <w:sz w:val="24"/>
                <w:szCs w:val="24"/>
                <w:lang w:eastAsia="lv-LV"/>
              </w:rPr>
              <w:t>.gada (sakarā ar attiecīgu nomas maksas komponenšu precizēšanu, kuru lielumu ietekmē būvizmaksas</w:t>
            </w:r>
            <w:r w:rsidR="00E51D0D" w:rsidRPr="000E3060">
              <w:rPr>
                <w:rFonts w:ascii="Times New Roman" w:hAnsi="Times New Roman"/>
                <w:iCs/>
                <w:sz w:val="24"/>
                <w:szCs w:val="24"/>
                <w:lang w:eastAsia="lv-LV"/>
              </w:rPr>
              <w:t xml:space="preserve"> (</w:t>
            </w:r>
            <w:r w:rsidRPr="000E3060">
              <w:rPr>
                <w:rFonts w:ascii="Times New Roman" w:hAnsi="Times New Roman"/>
                <w:iCs/>
                <w:sz w:val="24"/>
                <w:szCs w:val="24"/>
                <w:lang w:eastAsia="lv-LV"/>
              </w:rPr>
              <w:t>detalizētu informāciju skatīt anotācijas pielikumā);</w:t>
            </w:r>
          </w:p>
          <w:p w:rsidR="00A0650A" w:rsidRPr="000E3060" w:rsidRDefault="00F469EB">
            <w:pPr>
              <w:pStyle w:val="Sarakstarindkopa"/>
              <w:numPr>
                <w:ilvl w:val="0"/>
                <w:numId w:val="6"/>
              </w:numPr>
              <w:tabs>
                <w:tab w:val="left" w:pos="226"/>
                <w:tab w:val="left" w:pos="7993"/>
              </w:tabs>
              <w:ind w:left="0" w:right="-1" w:firstLine="0"/>
              <w:jc w:val="both"/>
              <w:rPr>
                <w:rFonts w:ascii="Times New Roman" w:hAnsi="Times New Roman"/>
                <w:sz w:val="24"/>
                <w:szCs w:val="24"/>
              </w:rPr>
            </w:pPr>
            <w:r w:rsidRPr="000E3060">
              <w:rPr>
                <w:rFonts w:ascii="Times New Roman" w:hAnsi="Times New Roman"/>
                <w:iCs/>
                <w:sz w:val="24"/>
                <w:szCs w:val="24"/>
                <w:lang w:eastAsia="lv-LV"/>
              </w:rPr>
              <w:t xml:space="preserve">precizējams ēku Lāčplēša ielā 25, Rīgā, rekonstrukcijas darbu pabeigšanas termiņš (provizorisko būvniecības darbu izpildes </w:t>
            </w:r>
            <w:r w:rsidR="00845880" w:rsidRPr="000E3060">
              <w:rPr>
                <w:rFonts w:ascii="Times New Roman" w:hAnsi="Times New Roman"/>
                <w:iCs/>
                <w:sz w:val="24"/>
                <w:szCs w:val="24"/>
                <w:lang w:eastAsia="lv-LV"/>
              </w:rPr>
              <w:t xml:space="preserve">laika </w:t>
            </w:r>
            <w:r w:rsidRPr="000E3060">
              <w:rPr>
                <w:rFonts w:ascii="Times New Roman" w:hAnsi="Times New Roman"/>
                <w:iCs/>
                <w:sz w:val="24"/>
                <w:szCs w:val="24"/>
                <w:lang w:eastAsia="lv-LV"/>
              </w:rPr>
              <w:t>grafiku skatīt anotācijas pielikumā);</w:t>
            </w:r>
          </w:p>
          <w:p w:rsidR="00A0650A" w:rsidRPr="000E3060" w:rsidRDefault="00F469EB">
            <w:pPr>
              <w:pStyle w:val="Sarakstarindkopa"/>
              <w:numPr>
                <w:ilvl w:val="0"/>
                <w:numId w:val="6"/>
              </w:numPr>
              <w:tabs>
                <w:tab w:val="left" w:pos="226"/>
                <w:tab w:val="left" w:pos="7993"/>
              </w:tabs>
              <w:ind w:left="0" w:right="-1" w:firstLine="0"/>
              <w:jc w:val="both"/>
              <w:rPr>
                <w:rFonts w:ascii="Times New Roman" w:hAnsi="Times New Roman"/>
                <w:sz w:val="24"/>
                <w:szCs w:val="24"/>
              </w:rPr>
            </w:pPr>
            <w:r w:rsidRPr="000E3060">
              <w:rPr>
                <w:rFonts w:ascii="Times New Roman" w:hAnsi="Times New Roman"/>
                <w:iCs/>
                <w:sz w:val="24"/>
                <w:szCs w:val="24"/>
                <w:lang w:eastAsia="lv-LV"/>
              </w:rPr>
              <w:t>precizējams Kultūras ministrijai paredzētā finansējuma pārcelšanās izdevumu, kas</w:t>
            </w:r>
            <w:r w:rsidR="002F0076" w:rsidRPr="000E3060">
              <w:rPr>
                <w:rFonts w:ascii="Times New Roman" w:hAnsi="Times New Roman"/>
                <w:iCs/>
                <w:sz w:val="24"/>
                <w:szCs w:val="24"/>
                <w:lang w:eastAsia="lv-LV"/>
              </w:rPr>
              <w:t xml:space="preserve"> saskaņā ar Ministru kabineta rīkojumu Nr.251, kas atzīsts par spēku zaudējumu ar Ministru kabineta rīkojumu Nr.70,</w:t>
            </w:r>
            <w:r w:rsidRPr="000E3060">
              <w:rPr>
                <w:rFonts w:ascii="Times New Roman" w:hAnsi="Times New Roman"/>
                <w:iCs/>
                <w:sz w:val="24"/>
                <w:szCs w:val="24"/>
                <w:lang w:eastAsia="lv-LV"/>
              </w:rPr>
              <w:t xml:space="preserve"> </w:t>
            </w:r>
            <w:r w:rsidR="002F0076" w:rsidRPr="000E3060">
              <w:rPr>
                <w:rFonts w:ascii="Times New Roman" w:hAnsi="Times New Roman"/>
                <w:iCs/>
                <w:sz w:val="24"/>
                <w:szCs w:val="24"/>
                <w:lang w:eastAsia="lv-LV"/>
              </w:rPr>
              <w:t xml:space="preserve">tika </w:t>
            </w:r>
            <w:r w:rsidRPr="000E3060">
              <w:rPr>
                <w:rFonts w:ascii="Times New Roman" w:hAnsi="Times New Roman"/>
                <w:iCs/>
                <w:sz w:val="24"/>
                <w:szCs w:val="24"/>
                <w:lang w:eastAsia="lv-LV"/>
              </w:rPr>
              <w:t xml:space="preserve">plānoti 2016.gadā 30 552 </w:t>
            </w:r>
            <w:r w:rsidRPr="000E3060">
              <w:rPr>
                <w:rFonts w:ascii="Times New Roman" w:hAnsi="Times New Roman"/>
                <w:i/>
                <w:iCs/>
                <w:sz w:val="24"/>
                <w:szCs w:val="24"/>
                <w:lang w:eastAsia="lv-LV"/>
              </w:rPr>
              <w:t>euro</w:t>
            </w:r>
            <w:r w:rsidRPr="000E3060">
              <w:rPr>
                <w:rFonts w:ascii="Times New Roman" w:hAnsi="Times New Roman"/>
                <w:iCs/>
                <w:sz w:val="24"/>
                <w:szCs w:val="24"/>
                <w:lang w:eastAsia="lv-LV"/>
              </w:rPr>
              <w:t>,  sadalījumu pa gadiem (nemainot tā apmēru, bet pārceļot uz 201</w:t>
            </w:r>
            <w:r w:rsidR="00845880" w:rsidRPr="000E3060">
              <w:rPr>
                <w:rFonts w:ascii="Times New Roman" w:hAnsi="Times New Roman"/>
                <w:iCs/>
                <w:sz w:val="24"/>
                <w:szCs w:val="24"/>
                <w:lang w:eastAsia="lv-LV"/>
              </w:rPr>
              <w:t>8</w:t>
            </w:r>
            <w:r w:rsidRPr="000E3060">
              <w:rPr>
                <w:rFonts w:ascii="Times New Roman" w:hAnsi="Times New Roman"/>
                <w:iCs/>
                <w:sz w:val="24"/>
                <w:szCs w:val="24"/>
                <w:lang w:eastAsia="lv-LV"/>
              </w:rPr>
              <w:t>.gadu);</w:t>
            </w:r>
          </w:p>
          <w:p w:rsidR="00A0650A" w:rsidRPr="000E3060" w:rsidRDefault="0023662E">
            <w:pPr>
              <w:pStyle w:val="Sarakstarindkopa"/>
              <w:numPr>
                <w:ilvl w:val="0"/>
                <w:numId w:val="6"/>
              </w:numPr>
              <w:tabs>
                <w:tab w:val="left" w:pos="226"/>
                <w:tab w:val="left" w:pos="7993"/>
              </w:tabs>
              <w:ind w:left="0" w:right="-1" w:firstLine="0"/>
              <w:jc w:val="both"/>
              <w:rPr>
                <w:rFonts w:ascii="Times New Roman" w:hAnsi="Times New Roman"/>
                <w:iCs/>
                <w:sz w:val="24"/>
                <w:szCs w:val="24"/>
                <w:lang w:eastAsia="lv-LV"/>
              </w:rPr>
            </w:pPr>
            <w:r w:rsidRPr="000E3060">
              <w:rPr>
                <w:rFonts w:ascii="Times New Roman" w:hAnsi="Times New Roman"/>
                <w:iCs/>
                <w:sz w:val="24"/>
                <w:szCs w:val="24"/>
                <w:lang w:eastAsia="lv-LV"/>
              </w:rPr>
              <w:t>n</w:t>
            </w:r>
            <w:r w:rsidR="00F469EB" w:rsidRPr="000E3060">
              <w:rPr>
                <w:rFonts w:ascii="Times New Roman" w:hAnsi="Times New Roman"/>
                <w:iCs/>
                <w:sz w:val="24"/>
                <w:szCs w:val="24"/>
                <w:lang w:eastAsia="lv-LV"/>
              </w:rPr>
              <w:t xml:space="preserve">osakāms uzdevums </w:t>
            </w:r>
            <w:r w:rsidR="00D97ED5" w:rsidRPr="000E3060">
              <w:rPr>
                <w:rFonts w:ascii="Times New Roman" w:hAnsi="Times New Roman"/>
                <w:iCs/>
                <w:sz w:val="24"/>
                <w:szCs w:val="24"/>
                <w:lang w:eastAsia="lv-LV"/>
              </w:rPr>
              <w:t xml:space="preserve">Finanšu </w:t>
            </w:r>
            <w:r w:rsidR="00F469EB" w:rsidRPr="000E3060">
              <w:rPr>
                <w:rFonts w:ascii="Times New Roman" w:hAnsi="Times New Roman"/>
                <w:iCs/>
                <w:sz w:val="24"/>
                <w:szCs w:val="24"/>
                <w:lang w:eastAsia="lv-LV"/>
              </w:rPr>
              <w:t>ministrijai</w:t>
            </w:r>
            <w:r w:rsidR="00D97ED5" w:rsidRPr="000E3060">
              <w:rPr>
                <w:rFonts w:ascii="Times New Roman" w:hAnsi="Times New Roman"/>
                <w:iCs/>
                <w:sz w:val="24"/>
                <w:szCs w:val="24"/>
                <w:lang w:eastAsia="lv-LV"/>
              </w:rPr>
              <w:t xml:space="preserve"> (VNĪ) </w:t>
            </w:r>
            <w:r w:rsidR="00F469EB" w:rsidRPr="000E3060">
              <w:rPr>
                <w:rFonts w:ascii="Times New Roman" w:hAnsi="Times New Roman"/>
                <w:iCs/>
                <w:sz w:val="24"/>
                <w:szCs w:val="24"/>
                <w:lang w:eastAsia="lv-LV"/>
              </w:rPr>
              <w:t xml:space="preserve">sadarbībā ar </w:t>
            </w:r>
            <w:r w:rsidR="00D97ED5" w:rsidRPr="000E3060">
              <w:rPr>
                <w:rFonts w:ascii="Times New Roman" w:hAnsi="Times New Roman"/>
                <w:iCs/>
                <w:sz w:val="24"/>
                <w:szCs w:val="24"/>
                <w:lang w:eastAsia="lv-LV"/>
              </w:rPr>
              <w:lastRenderedPageBreak/>
              <w:t xml:space="preserve">Kultūras </w:t>
            </w:r>
            <w:r w:rsidR="00F469EB" w:rsidRPr="000E3060">
              <w:rPr>
                <w:rFonts w:ascii="Times New Roman" w:hAnsi="Times New Roman"/>
                <w:iCs/>
                <w:sz w:val="24"/>
                <w:szCs w:val="24"/>
                <w:lang w:eastAsia="lv-LV"/>
              </w:rPr>
              <w:t>ministriju</w:t>
            </w:r>
            <w:r w:rsidR="006F787A" w:rsidRPr="000E3060">
              <w:rPr>
                <w:rFonts w:ascii="Times New Roman" w:hAnsi="Times New Roman"/>
                <w:iCs/>
                <w:sz w:val="24"/>
                <w:szCs w:val="24"/>
                <w:lang w:eastAsia="lv-LV"/>
              </w:rPr>
              <w:t xml:space="preserve">, </w:t>
            </w:r>
            <w:r w:rsidR="00434DFB" w:rsidRPr="000E3060">
              <w:rPr>
                <w:rFonts w:ascii="Times New Roman" w:hAnsi="Times New Roman"/>
                <w:iCs/>
                <w:sz w:val="24"/>
                <w:szCs w:val="24"/>
                <w:lang w:eastAsia="lv-LV"/>
              </w:rPr>
              <w:t>ja pēc tehniskā projekta izstrādes, pirms būvniecības līguma noslēgšanas vai būvniecības darbu laikā būvniecības un tehnoloģiskā aprīkojuma iegādes un montāžas provizorisko izdevumu apmērs objektīvu vai ekonomiski pamatotu iemeslu rezultātā  mainās</w:t>
            </w:r>
            <w:r w:rsidR="006F787A" w:rsidRPr="000E3060">
              <w:rPr>
                <w:rFonts w:ascii="Times New Roman" w:hAnsi="Times New Roman"/>
                <w:iCs/>
                <w:sz w:val="24"/>
                <w:szCs w:val="24"/>
                <w:lang w:eastAsia="lv-LV"/>
              </w:rPr>
              <w:t>, iesniegt Ministru kabinetā rīkojuma projektu par šā rīkojuma 1.punktā</w:t>
            </w:r>
            <w:r w:rsidR="002F0076" w:rsidRPr="000E3060">
              <w:rPr>
                <w:rFonts w:ascii="Times New Roman" w:hAnsi="Times New Roman"/>
                <w:iCs/>
                <w:sz w:val="24"/>
                <w:szCs w:val="24"/>
                <w:lang w:eastAsia="lv-LV"/>
              </w:rPr>
              <w:t xml:space="preserve"> </w:t>
            </w:r>
            <w:r w:rsidR="006F787A" w:rsidRPr="000E3060">
              <w:rPr>
                <w:rFonts w:ascii="Times New Roman" w:hAnsi="Times New Roman"/>
                <w:iCs/>
                <w:sz w:val="24"/>
                <w:szCs w:val="24"/>
                <w:lang w:eastAsia="lv-LV"/>
              </w:rPr>
              <w:t xml:space="preserve">minēto ilgtermiņa saistību precizēšanu; </w:t>
            </w:r>
          </w:p>
          <w:p w:rsidR="00A0650A" w:rsidRPr="000E3060" w:rsidRDefault="006F787A">
            <w:pPr>
              <w:pStyle w:val="Sarakstarindkopa"/>
              <w:numPr>
                <w:ilvl w:val="0"/>
                <w:numId w:val="6"/>
              </w:numPr>
              <w:tabs>
                <w:tab w:val="left" w:pos="226"/>
                <w:tab w:val="left" w:pos="7993"/>
              </w:tabs>
              <w:ind w:left="0" w:right="-1" w:firstLine="0"/>
              <w:jc w:val="both"/>
              <w:rPr>
                <w:rFonts w:ascii="Times New Roman" w:hAnsi="Times New Roman"/>
                <w:iCs/>
                <w:sz w:val="24"/>
                <w:szCs w:val="24"/>
                <w:lang w:eastAsia="lv-LV"/>
              </w:rPr>
            </w:pPr>
            <w:r w:rsidRPr="000E3060">
              <w:rPr>
                <w:rFonts w:ascii="Times New Roman" w:hAnsi="Times New Roman"/>
                <w:iCs/>
                <w:sz w:val="24"/>
                <w:szCs w:val="24"/>
                <w:lang w:eastAsia="lv-LV"/>
              </w:rPr>
              <w:t>pēc šā rīkojuma 3.1.apakšpunktā minētā uzdevuma izpildes piecu mēnešu laikā iesniegt Kultūras ministrijā informāciju par šā rīkojuma 2.1.apakšpunktā minēto izdevumu precizēšanu atbilstoši VNĪ faktiskajiem nomas objekta pārvaldīšanas izdevumiem</w:t>
            </w:r>
            <w:r w:rsidR="000D7DA7" w:rsidRPr="000E3060">
              <w:rPr>
                <w:rFonts w:ascii="Times New Roman" w:hAnsi="Times New Roman"/>
                <w:iCs/>
                <w:sz w:val="24"/>
                <w:szCs w:val="24"/>
                <w:lang w:eastAsia="lv-LV"/>
              </w:rPr>
              <w:t>;</w:t>
            </w:r>
          </w:p>
          <w:p w:rsidR="00A0650A" w:rsidRDefault="000D7DA7">
            <w:pPr>
              <w:pStyle w:val="Sarakstarindkopa"/>
              <w:numPr>
                <w:ilvl w:val="0"/>
                <w:numId w:val="6"/>
              </w:numPr>
              <w:tabs>
                <w:tab w:val="left" w:pos="226"/>
                <w:tab w:val="left" w:pos="7993"/>
              </w:tabs>
              <w:ind w:left="0" w:right="84" w:firstLine="0"/>
              <w:jc w:val="both"/>
              <w:rPr>
                <w:rFonts w:ascii="Times New Roman" w:hAnsi="Times New Roman"/>
                <w:iCs/>
                <w:sz w:val="24"/>
                <w:szCs w:val="24"/>
                <w:lang w:eastAsia="lv-LV"/>
              </w:rPr>
            </w:pPr>
            <w:r w:rsidRPr="000E3060">
              <w:rPr>
                <w:rFonts w:ascii="Times New Roman" w:hAnsi="Times New Roman"/>
                <w:iCs/>
                <w:sz w:val="24"/>
                <w:szCs w:val="24"/>
                <w:lang w:eastAsia="lv-LV"/>
              </w:rPr>
              <w:t>nosakāms uzdevums</w:t>
            </w:r>
            <w:r w:rsidRPr="00D95026">
              <w:rPr>
                <w:rFonts w:ascii="Times New Roman" w:hAnsi="Times New Roman"/>
                <w:iCs/>
                <w:sz w:val="24"/>
                <w:szCs w:val="24"/>
                <w:lang w:eastAsia="lv-LV"/>
              </w:rPr>
              <w:t xml:space="preserve"> Kultūras ministrijai:</w:t>
            </w:r>
          </w:p>
          <w:p w:rsidR="000B19BC" w:rsidRDefault="000D7DA7">
            <w:pPr>
              <w:pStyle w:val="naiskr"/>
              <w:numPr>
                <w:ilvl w:val="0"/>
                <w:numId w:val="23"/>
              </w:numPr>
              <w:tabs>
                <w:tab w:val="left" w:pos="386"/>
                <w:tab w:val="left" w:pos="7993"/>
              </w:tabs>
              <w:spacing w:before="0" w:after="0"/>
              <w:ind w:left="368" w:right="84" w:hanging="142"/>
              <w:jc w:val="both"/>
              <w:rPr>
                <w:iCs/>
              </w:rPr>
            </w:pPr>
            <w:r w:rsidRPr="00D95026">
              <w:rPr>
                <w:iCs/>
              </w:rPr>
              <w:t>pēc šā rīkojuma 3.3.apakšpunktā minētā uzdevuma izpildes triju mēnešu laikā iesniegt Ministru kabinetā tiesību akta projektu par šā rīkojuma 2.1.apakšpunktā minēto izdevumu precizēšanu atbilstoši faktiskajiem pārvaldīšanas izdevumiem;</w:t>
            </w:r>
          </w:p>
          <w:p w:rsidR="000B19BC" w:rsidRDefault="000D7DA7">
            <w:pPr>
              <w:pStyle w:val="naiskr"/>
              <w:numPr>
                <w:ilvl w:val="0"/>
                <w:numId w:val="23"/>
              </w:numPr>
              <w:tabs>
                <w:tab w:val="left" w:pos="386"/>
                <w:tab w:val="left" w:pos="7993"/>
              </w:tabs>
              <w:spacing w:before="0" w:after="0"/>
              <w:ind w:left="368" w:right="84" w:hanging="142"/>
              <w:jc w:val="both"/>
              <w:rPr>
                <w:iCs/>
              </w:rPr>
            </w:pPr>
            <w:r w:rsidRPr="00D95026">
              <w:rPr>
                <w:iCs/>
              </w:rPr>
              <w:t>sadarbībā ar Finanšu ministriju (VNĪ) triju mēnešu laikā pēc tehniskā projekta izstrādes iesniegt Ministru kabinetā tiesību akta projektu par nepieciešamo finansējumu aprīkojuma iegādei.</w:t>
            </w:r>
          </w:p>
          <w:p w:rsidR="000B19BC" w:rsidRDefault="0023662E">
            <w:pPr>
              <w:pStyle w:val="naiskr"/>
              <w:tabs>
                <w:tab w:val="left" w:pos="366"/>
                <w:tab w:val="left" w:pos="7993"/>
              </w:tabs>
              <w:spacing w:before="0" w:after="0"/>
              <w:ind w:right="-1"/>
              <w:jc w:val="both"/>
              <w:rPr>
                <w:bCs/>
              </w:rPr>
            </w:pPr>
            <w:r w:rsidRPr="00D95026">
              <w:rPr>
                <w:bCs/>
              </w:rPr>
              <w:t>Ministru kabineta rīkojuma projekta mērķis ir:</w:t>
            </w:r>
          </w:p>
          <w:p w:rsidR="00A0650A" w:rsidRDefault="00932ADD">
            <w:pPr>
              <w:pStyle w:val="naiskr"/>
              <w:numPr>
                <w:ilvl w:val="0"/>
                <w:numId w:val="15"/>
              </w:numPr>
              <w:tabs>
                <w:tab w:val="left" w:pos="366"/>
                <w:tab w:val="left" w:pos="7993"/>
              </w:tabs>
              <w:spacing w:before="0" w:after="0"/>
              <w:ind w:left="0" w:right="-1" w:firstLine="0"/>
              <w:jc w:val="both"/>
              <w:rPr>
                <w:bCs/>
              </w:rPr>
            </w:pPr>
            <w:r w:rsidRPr="00D95026">
              <w:rPr>
                <w:bCs/>
              </w:rPr>
              <w:t xml:space="preserve">paredzēt Finanšu ministrijas budžetā ilgtermiņa saistības </w:t>
            </w:r>
            <w:r w:rsidR="0023662E" w:rsidRPr="00D95026">
              <w:rPr>
                <w:bCs/>
              </w:rPr>
              <w:t xml:space="preserve">ēku Lāčplēša ielā 25, Rīgā, rekonstrukcijas izdevumu </w:t>
            </w:r>
            <w:r w:rsidR="0023662E" w:rsidRPr="006D31D2">
              <w:rPr>
                <w:bCs/>
              </w:rPr>
              <w:t>segšanai</w:t>
            </w:r>
            <w:r w:rsidR="006D31D2">
              <w:rPr>
                <w:bCs/>
              </w:rPr>
              <w:t>,</w:t>
            </w:r>
            <w:r w:rsidR="0023662E" w:rsidRPr="006D31D2">
              <w:rPr>
                <w:bCs/>
              </w:rPr>
              <w:t xml:space="preserve"> </w:t>
            </w:r>
            <w:r w:rsidR="00050BA8" w:rsidRPr="00050BA8">
              <w:t xml:space="preserve"> tai skaitā </w:t>
            </w:r>
            <w:r w:rsidR="00050BA8" w:rsidRPr="00050BA8">
              <w:rPr>
                <w:iCs/>
              </w:rPr>
              <w:t>tehnoloģiskā aprīkojuma iegādes un montāžas</w:t>
            </w:r>
            <w:r w:rsidR="006D31D2">
              <w:rPr>
                <w:iCs/>
              </w:rPr>
              <w:t xml:space="preserve"> </w:t>
            </w:r>
            <w:r w:rsidR="00050BA8" w:rsidRPr="00050BA8">
              <w:t xml:space="preserve">izdevumu segšanai, </w:t>
            </w:r>
            <w:r w:rsidR="0023662E" w:rsidRPr="00D95026">
              <w:rPr>
                <w:bCs/>
              </w:rPr>
              <w:t>VNĪ</w:t>
            </w:r>
            <w:r w:rsidR="006D31D2">
              <w:rPr>
                <w:bCs/>
              </w:rPr>
              <w:t xml:space="preserve"> </w:t>
            </w:r>
          </w:p>
          <w:p w:rsidR="000B19BC" w:rsidRDefault="00927D5E">
            <w:pPr>
              <w:pStyle w:val="naiskr"/>
              <w:tabs>
                <w:tab w:val="left" w:pos="366"/>
                <w:tab w:val="left" w:pos="7993"/>
              </w:tabs>
              <w:spacing w:before="0" w:after="0"/>
              <w:ind w:right="-1"/>
              <w:jc w:val="both"/>
              <w:rPr>
                <w:bCs/>
              </w:rPr>
            </w:pPr>
            <w:r w:rsidRPr="00D95026">
              <w:rPr>
                <w:bCs/>
              </w:rPr>
              <w:t xml:space="preserve">2015.gadā </w:t>
            </w:r>
            <w:r w:rsidR="009B7DA0" w:rsidRPr="00D95026">
              <w:rPr>
                <w:bCs/>
              </w:rPr>
              <w:t>673 639</w:t>
            </w:r>
            <w:r w:rsidRPr="00D95026">
              <w:rPr>
                <w:bCs/>
              </w:rPr>
              <w:t xml:space="preserve"> </w:t>
            </w:r>
            <w:r w:rsidRPr="00D95026">
              <w:rPr>
                <w:bCs/>
                <w:i/>
              </w:rPr>
              <w:t>euro</w:t>
            </w:r>
            <w:r w:rsidRPr="00D95026">
              <w:rPr>
                <w:bCs/>
              </w:rPr>
              <w:t xml:space="preserve">, 2016.gadā </w:t>
            </w:r>
            <w:r w:rsidR="009B7DA0" w:rsidRPr="00D95026">
              <w:rPr>
                <w:bCs/>
              </w:rPr>
              <w:t>3 310 426</w:t>
            </w:r>
            <w:r w:rsidRPr="00D95026">
              <w:rPr>
                <w:bCs/>
              </w:rPr>
              <w:t xml:space="preserve"> </w:t>
            </w:r>
            <w:r w:rsidRPr="00D95026">
              <w:rPr>
                <w:bCs/>
                <w:i/>
              </w:rPr>
              <w:t>euro</w:t>
            </w:r>
            <w:r w:rsidRPr="00D95026">
              <w:rPr>
                <w:bCs/>
              </w:rPr>
              <w:t xml:space="preserve">, 2017.gadā </w:t>
            </w:r>
            <w:r w:rsidR="009E28E9" w:rsidRPr="00D95026">
              <w:rPr>
                <w:bCs/>
              </w:rPr>
              <w:t>13 152 601</w:t>
            </w:r>
            <w:r w:rsidRPr="00D95026">
              <w:rPr>
                <w:bCs/>
              </w:rPr>
              <w:t xml:space="preserve"> </w:t>
            </w:r>
            <w:r w:rsidRPr="00D95026">
              <w:rPr>
                <w:bCs/>
                <w:i/>
              </w:rPr>
              <w:t>euro</w:t>
            </w:r>
            <w:r w:rsidRPr="00D95026">
              <w:rPr>
                <w:bCs/>
              </w:rPr>
              <w:t xml:space="preserve">, </w:t>
            </w:r>
            <w:r w:rsidR="009B7DA0" w:rsidRPr="00D95026">
              <w:rPr>
                <w:bCs/>
              </w:rPr>
              <w:t>un 2018.gadā 1 562 545 euro</w:t>
            </w:r>
            <w:r w:rsidR="00DB5C22" w:rsidRPr="00D95026">
              <w:rPr>
                <w:bCs/>
              </w:rPr>
              <w:t xml:space="preserve"> (</w:t>
            </w:r>
            <w:r w:rsidRPr="00D95026">
              <w:rPr>
                <w:bCs/>
              </w:rPr>
              <w:t>kopējais finansējuma apmērs, kas paredzēts rekonstrukcijas izdevumu segšanai 2013.−</w:t>
            </w:r>
            <w:r w:rsidR="009E28E9" w:rsidRPr="00D95026">
              <w:rPr>
                <w:bCs/>
              </w:rPr>
              <w:t>2018</w:t>
            </w:r>
            <w:r w:rsidRPr="00D95026">
              <w:rPr>
                <w:bCs/>
              </w:rPr>
              <w:t xml:space="preserve">.gadā ir </w:t>
            </w:r>
            <w:r w:rsidR="00A12EA3" w:rsidRPr="00D95026">
              <w:rPr>
                <w:bCs/>
              </w:rPr>
              <w:t>19 006 268</w:t>
            </w:r>
            <w:r w:rsidRPr="00D95026">
              <w:rPr>
                <w:bCs/>
              </w:rPr>
              <w:t xml:space="preserve"> </w:t>
            </w:r>
            <w:r w:rsidRPr="00D95026">
              <w:rPr>
                <w:bCs/>
                <w:i/>
              </w:rPr>
              <w:t>euro</w:t>
            </w:r>
            <w:r w:rsidR="008C043F" w:rsidRPr="00D95026">
              <w:rPr>
                <w:bCs/>
              </w:rPr>
              <w:t>)</w:t>
            </w:r>
            <w:r w:rsidR="008C41A8" w:rsidRPr="00D95026">
              <w:rPr>
                <w:bCs/>
              </w:rPr>
              <w:t>;</w:t>
            </w:r>
            <w:r w:rsidR="008C043F" w:rsidRPr="00D95026">
              <w:rPr>
                <w:bCs/>
              </w:rPr>
              <w:t xml:space="preserve"> </w:t>
            </w:r>
          </w:p>
          <w:p w:rsidR="000B19BC" w:rsidRDefault="006D31D2">
            <w:pPr>
              <w:pStyle w:val="naiskr"/>
              <w:tabs>
                <w:tab w:val="left" w:pos="366"/>
                <w:tab w:val="left" w:pos="7993"/>
              </w:tabs>
              <w:spacing w:before="0" w:after="0"/>
              <w:ind w:right="-1"/>
              <w:jc w:val="both"/>
              <w:rPr>
                <w:bCs/>
              </w:rPr>
            </w:pPr>
            <w:r>
              <w:rPr>
                <w:bCs/>
              </w:rPr>
              <w:t>2</w:t>
            </w:r>
            <w:r w:rsidR="008C41A8" w:rsidRPr="00D95026">
              <w:rPr>
                <w:bCs/>
              </w:rPr>
              <w:t xml:space="preserve">) </w:t>
            </w:r>
            <w:r w:rsidR="00F855B3" w:rsidRPr="00D95026">
              <w:rPr>
                <w:bCs/>
              </w:rPr>
              <w:t>paredzēt</w:t>
            </w:r>
            <w:r w:rsidR="0023662E" w:rsidRPr="00D95026">
              <w:rPr>
                <w:bCs/>
              </w:rPr>
              <w:t xml:space="preserve"> </w:t>
            </w:r>
            <w:r w:rsidR="00692243" w:rsidRPr="00D95026">
              <w:rPr>
                <w:bCs/>
              </w:rPr>
              <w:t xml:space="preserve">finansējumu </w:t>
            </w:r>
            <w:r w:rsidR="0023662E" w:rsidRPr="00D95026">
              <w:rPr>
                <w:bCs/>
              </w:rPr>
              <w:t>Kultūras ministrijas budžetā nekustamā īpašuma (nekustamā īpašuma kadastra Nr.0100 022 0070) Lāčplēša ielā 25, Rīgā, nomas maksas segšanai VNĪ, ņemot vērā</w:t>
            </w:r>
            <w:r w:rsidR="00692243" w:rsidRPr="00D95026">
              <w:rPr>
                <w:bCs/>
              </w:rPr>
              <w:t xml:space="preserve"> provizorisko</w:t>
            </w:r>
            <w:r w:rsidR="00E43EF9" w:rsidRPr="00D95026">
              <w:rPr>
                <w:bCs/>
              </w:rPr>
              <w:t xml:space="preserve"> </w:t>
            </w:r>
            <w:r w:rsidR="0023662E" w:rsidRPr="00D95026">
              <w:rPr>
                <w:bCs/>
              </w:rPr>
              <w:t>rekonstrukcijas darbu pabeigšanas termiņa precizēšanu</w:t>
            </w:r>
            <w:r w:rsidR="00692243" w:rsidRPr="00D95026">
              <w:rPr>
                <w:bCs/>
              </w:rPr>
              <w:t xml:space="preserve">, </w:t>
            </w:r>
            <w:r w:rsidR="0023662E" w:rsidRPr="00D95026">
              <w:rPr>
                <w:bCs/>
              </w:rPr>
              <w:t>2018.gad</w:t>
            </w:r>
            <w:r w:rsidR="00845880" w:rsidRPr="00D95026">
              <w:rPr>
                <w:bCs/>
              </w:rPr>
              <w:t xml:space="preserve">ā </w:t>
            </w:r>
            <w:r w:rsidR="00056783" w:rsidRPr="000E3060">
              <w:rPr>
                <w:bCs/>
              </w:rPr>
              <w:t>228 873</w:t>
            </w:r>
            <w:r w:rsidR="001A4661" w:rsidRPr="000E3060">
              <w:rPr>
                <w:bCs/>
              </w:rPr>
              <w:t xml:space="preserve"> </w:t>
            </w:r>
            <w:r w:rsidR="008C043F" w:rsidRPr="000E3060">
              <w:rPr>
                <w:bCs/>
                <w:i/>
              </w:rPr>
              <w:t>euro</w:t>
            </w:r>
            <w:r w:rsidR="009B7DA0" w:rsidRPr="000E3060">
              <w:rPr>
                <w:bCs/>
              </w:rPr>
              <w:t xml:space="preserve"> </w:t>
            </w:r>
            <w:r w:rsidR="00845880" w:rsidRPr="000E3060">
              <w:rPr>
                <w:bCs/>
              </w:rPr>
              <w:t xml:space="preserve">un </w:t>
            </w:r>
            <w:r w:rsidR="009B7DA0" w:rsidRPr="000E3060">
              <w:rPr>
                <w:bCs/>
              </w:rPr>
              <w:t>2019.</w:t>
            </w:r>
            <w:r w:rsidR="00845880" w:rsidRPr="000E3060">
              <w:rPr>
                <w:bCs/>
              </w:rPr>
              <w:t>turpmāk ik gadu</w:t>
            </w:r>
            <w:r w:rsidR="0023662E" w:rsidRPr="000E3060">
              <w:rPr>
                <w:bCs/>
              </w:rPr>
              <w:t xml:space="preserve"> </w:t>
            </w:r>
            <w:r w:rsidR="00056783" w:rsidRPr="000E3060">
              <w:rPr>
                <w:bCs/>
              </w:rPr>
              <w:t>305 163</w:t>
            </w:r>
            <w:r w:rsidR="001A4661" w:rsidRPr="000E3060">
              <w:rPr>
                <w:bCs/>
              </w:rPr>
              <w:t xml:space="preserve"> </w:t>
            </w:r>
            <w:r w:rsidR="0023662E" w:rsidRPr="000E3060">
              <w:rPr>
                <w:bCs/>
                <w:i/>
              </w:rPr>
              <w:t>euro</w:t>
            </w:r>
            <w:r w:rsidR="008B1CC0" w:rsidRPr="000E3060">
              <w:rPr>
                <w:bCs/>
                <w:i/>
              </w:rPr>
              <w:t xml:space="preserve"> </w:t>
            </w:r>
            <w:r w:rsidR="008B1CC0" w:rsidRPr="000E3060">
              <w:rPr>
                <w:bCs/>
              </w:rPr>
              <w:t xml:space="preserve">(tai skaitā ņemot vērā Jaunā Rīgas teātra pašreizējo telpu īres un apsaimniekošanas izdevumu samazinājumu 36 685 </w:t>
            </w:r>
            <w:r w:rsidR="008B1CC0" w:rsidRPr="000E3060">
              <w:rPr>
                <w:bCs/>
                <w:i/>
              </w:rPr>
              <w:t>euro</w:t>
            </w:r>
            <w:r w:rsidR="008B1CC0" w:rsidRPr="000E3060">
              <w:rPr>
                <w:bCs/>
              </w:rPr>
              <w:t xml:space="preserve"> gadā pēc rekonstrukcijas projekta pabeigšanas</w:t>
            </w:r>
            <w:r w:rsidR="008B1CC0" w:rsidRPr="000E3060">
              <w:rPr>
                <w:bCs/>
                <w:i/>
              </w:rPr>
              <w:t>)</w:t>
            </w:r>
            <w:r w:rsidR="0023662E" w:rsidRPr="000E3060">
              <w:rPr>
                <w:bCs/>
              </w:rPr>
              <w:t>;</w:t>
            </w:r>
            <w:r w:rsidR="0023662E" w:rsidRPr="00D95026">
              <w:rPr>
                <w:bCs/>
              </w:rPr>
              <w:t xml:space="preserve"> </w:t>
            </w:r>
          </w:p>
          <w:p w:rsidR="000B19BC" w:rsidRDefault="006D31D2">
            <w:pPr>
              <w:pStyle w:val="naiskr"/>
              <w:tabs>
                <w:tab w:val="left" w:pos="366"/>
                <w:tab w:val="left" w:pos="7993"/>
              </w:tabs>
              <w:spacing w:before="0" w:after="0"/>
              <w:ind w:right="-1"/>
              <w:jc w:val="both"/>
              <w:rPr>
                <w:bCs/>
              </w:rPr>
            </w:pPr>
            <w:r>
              <w:rPr>
                <w:bCs/>
              </w:rPr>
              <w:t>3</w:t>
            </w:r>
            <w:r w:rsidR="008C41A8" w:rsidRPr="00D95026">
              <w:rPr>
                <w:bCs/>
              </w:rPr>
              <w:t>) p</w:t>
            </w:r>
            <w:r w:rsidR="0023662E" w:rsidRPr="00D95026">
              <w:rPr>
                <w:bCs/>
              </w:rPr>
              <w:t xml:space="preserve">recizēt noteikto ēku Lāčplēša ielā 25, Rīgā, rekonstrukcijas darbu pabeigšanas termiņu – 2016.gada 31.decembri un plānoto nomas līguma sākuma termiņu –  2017.gada 1.janvāri, nosakot tos attiecīgi </w:t>
            </w:r>
            <w:r w:rsidR="009B7DA0" w:rsidRPr="00D95026">
              <w:rPr>
                <w:bCs/>
              </w:rPr>
              <w:t>2018</w:t>
            </w:r>
            <w:r w:rsidR="0023662E" w:rsidRPr="00D95026">
              <w:rPr>
                <w:bCs/>
              </w:rPr>
              <w:t xml:space="preserve">.gada </w:t>
            </w:r>
            <w:r w:rsidR="00845880" w:rsidRPr="00D95026">
              <w:rPr>
                <w:bCs/>
              </w:rPr>
              <w:t>31.</w:t>
            </w:r>
            <w:r w:rsidR="009B7DA0" w:rsidRPr="00D95026">
              <w:rPr>
                <w:bCs/>
              </w:rPr>
              <w:t xml:space="preserve">marts </w:t>
            </w:r>
            <w:r w:rsidR="0023662E" w:rsidRPr="00D95026">
              <w:rPr>
                <w:bCs/>
              </w:rPr>
              <w:t>un 201</w:t>
            </w:r>
            <w:r w:rsidR="00845880" w:rsidRPr="00D95026">
              <w:rPr>
                <w:bCs/>
              </w:rPr>
              <w:t>8</w:t>
            </w:r>
            <w:r w:rsidR="0023662E" w:rsidRPr="00D95026">
              <w:rPr>
                <w:bCs/>
              </w:rPr>
              <w:t xml:space="preserve">.gada </w:t>
            </w:r>
            <w:r w:rsidR="00845880" w:rsidRPr="00D95026">
              <w:rPr>
                <w:bCs/>
              </w:rPr>
              <w:t>2</w:t>
            </w:r>
            <w:r w:rsidR="0023662E" w:rsidRPr="00D95026">
              <w:rPr>
                <w:bCs/>
              </w:rPr>
              <w:t>.</w:t>
            </w:r>
            <w:r w:rsidR="009B7DA0" w:rsidRPr="00D95026">
              <w:rPr>
                <w:bCs/>
              </w:rPr>
              <w:t>aprīlis</w:t>
            </w:r>
            <w:r w:rsidR="0023662E" w:rsidRPr="00D95026">
              <w:rPr>
                <w:bCs/>
              </w:rPr>
              <w:t>;</w:t>
            </w:r>
          </w:p>
          <w:p w:rsidR="000B19BC" w:rsidRDefault="006D31D2" w:rsidP="000B19BC">
            <w:pPr>
              <w:pStyle w:val="naiskr"/>
              <w:tabs>
                <w:tab w:val="left" w:pos="366"/>
                <w:tab w:val="left" w:pos="7993"/>
              </w:tabs>
              <w:spacing w:before="0" w:after="0"/>
              <w:ind w:right="-1"/>
              <w:jc w:val="both"/>
              <w:rPr>
                <w:bCs/>
              </w:rPr>
            </w:pPr>
            <w:r>
              <w:rPr>
                <w:bCs/>
              </w:rPr>
              <w:t>4</w:t>
            </w:r>
            <w:r w:rsidR="008C41A8" w:rsidRPr="00D95026">
              <w:rPr>
                <w:bCs/>
              </w:rPr>
              <w:t xml:space="preserve">) </w:t>
            </w:r>
            <w:r w:rsidR="0023662E" w:rsidRPr="00D95026">
              <w:rPr>
                <w:bCs/>
              </w:rPr>
              <w:t xml:space="preserve">precizēt finansējuma </w:t>
            </w:r>
            <w:r w:rsidR="0023662E" w:rsidRPr="00D95026">
              <w:rPr>
                <w:iCs/>
              </w:rPr>
              <w:t xml:space="preserve"> sadalījumu pa gadiem (nemainot tā apmēru)</w:t>
            </w:r>
            <w:r w:rsidR="0023662E" w:rsidRPr="00D95026">
              <w:rPr>
                <w:bCs/>
              </w:rPr>
              <w:t xml:space="preserve"> pārcelšanās izdevumu segšanai (</w:t>
            </w:r>
            <w:r w:rsidR="007D044A" w:rsidRPr="00D95026">
              <w:rPr>
                <w:bCs/>
              </w:rPr>
              <w:t xml:space="preserve">bija </w:t>
            </w:r>
            <w:r w:rsidR="0023662E" w:rsidRPr="00D95026">
              <w:rPr>
                <w:bCs/>
              </w:rPr>
              <w:t>paredzēts Ministru kabineta rīkojuma Nr.251</w:t>
            </w:r>
            <w:r w:rsidR="007D044A" w:rsidRPr="00D95026">
              <w:rPr>
                <w:bCs/>
              </w:rPr>
              <w:t>, kas atzīts par spēku zaudējumu ar Ministru kabineta rīkojumu Nr.70,</w:t>
            </w:r>
            <w:r w:rsidR="0023662E" w:rsidRPr="00D95026">
              <w:rPr>
                <w:bCs/>
              </w:rPr>
              <w:t xml:space="preserve"> 2.</w:t>
            </w:r>
            <w:r w:rsidR="00494390">
              <w:rPr>
                <w:bCs/>
              </w:rPr>
              <w:t>2</w:t>
            </w:r>
            <w:r w:rsidR="0023662E" w:rsidRPr="00D95026">
              <w:rPr>
                <w:bCs/>
              </w:rPr>
              <w:t>.1.apakšpunktā</w:t>
            </w:r>
            <w:r w:rsidR="0023662E" w:rsidRPr="00D95026">
              <w:rPr>
                <w:iCs/>
              </w:rPr>
              <w:t xml:space="preserve"> 2016.gadam 30 552 </w:t>
            </w:r>
            <w:r w:rsidR="0023662E" w:rsidRPr="00D95026">
              <w:rPr>
                <w:i/>
                <w:iCs/>
              </w:rPr>
              <w:t>euro</w:t>
            </w:r>
            <w:r w:rsidR="0023662E" w:rsidRPr="00D95026">
              <w:rPr>
                <w:bCs/>
              </w:rPr>
              <w:t>,  sakarā ar rekonstrukcijas darbu pabeigšanas termiņa precizēšanu</w:t>
            </w:r>
            <w:r w:rsidR="007D044A" w:rsidRPr="00D95026">
              <w:rPr>
                <w:bCs/>
              </w:rPr>
              <w:t>,</w:t>
            </w:r>
            <w:r w:rsidR="0023662E" w:rsidRPr="00D95026">
              <w:rPr>
                <w:bCs/>
              </w:rPr>
              <w:t xml:space="preserve"> paredzot to 201</w:t>
            </w:r>
            <w:r w:rsidR="00845880" w:rsidRPr="00D95026">
              <w:rPr>
                <w:bCs/>
              </w:rPr>
              <w:t>8</w:t>
            </w:r>
            <w:r w:rsidR="0023662E" w:rsidRPr="00D95026">
              <w:rPr>
                <w:bCs/>
              </w:rPr>
              <w:t>.gadā);</w:t>
            </w:r>
          </w:p>
          <w:p w:rsidR="000B19BC" w:rsidRDefault="006D31D2" w:rsidP="000B19BC">
            <w:pPr>
              <w:pStyle w:val="naiskr"/>
              <w:tabs>
                <w:tab w:val="left" w:pos="366"/>
                <w:tab w:val="left" w:pos="7993"/>
              </w:tabs>
              <w:spacing w:before="0" w:after="0"/>
              <w:ind w:right="-1"/>
              <w:jc w:val="both"/>
              <w:rPr>
                <w:iCs/>
              </w:rPr>
            </w:pPr>
            <w:r>
              <w:rPr>
                <w:bCs/>
              </w:rPr>
              <w:lastRenderedPageBreak/>
              <w:t>5</w:t>
            </w:r>
            <w:r w:rsidR="008C41A8" w:rsidRPr="00D95026">
              <w:rPr>
                <w:bCs/>
              </w:rPr>
              <w:t xml:space="preserve">) </w:t>
            </w:r>
            <w:r w:rsidR="0023662E" w:rsidRPr="00D95026">
              <w:rPr>
                <w:bCs/>
              </w:rPr>
              <w:t xml:space="preserve">noteikt uzdevumu Kultūras ministrijai </w:t>
            </w:r>
            <w:r w:rsidR="0023662E" w:rsidRPr="00D95026">
              <w:rPr>
                <w:iCs/>
              </w:rPr>
              <w:t xml:space="preserve">sadarbībā ar Finanšu ministriju (VNĪ) trīs mēnešu laikā pēc ēku Lāčplēša ielā 25, Rīgā, tehniskā projekta izstrādes iesniegt Ministru kabinetā tiesību akta projektu par nepieciešamo finansējumu </w:t>
            </w:r>
            <w:r w:rsidR="0023662E" w:rsidRPr="00D95026">
              <w:t>nekustamajam īpašumam (</w:t>
            </w:r>
            <w:r w:rsidR="0023662E" w:rsidRPr="00D95026">
              <w:rPr>
                <w:iCs/>
              </w:rPr>
              <w:t xml:space="preserve">nekustamā īpašuma kadastra Nr. 0100 022 0070)  Lāčplēša ielā 25, Rīgā, </w:t>
            </w:r>
            <w:r w:rsidR="0023662E" w:rsidRPr="00D95026">
              <w:t xml:space="preserve"> nepieciešamā </w:t>
            </w:r>
            <w:r w:rsidR="0023662E" w:rsidRPr="00D95026">
              <w:rPr>
                <w:iCs/>
              </w:rPr>
              <w:t>aprīkojuma iegādei;</w:t>
            </w:r>
          </w:p>
          <w:p w:rsidR="00A0650A" w:rsidRDefault="006D31D2">
            <w:pPr>
              <w:pStyle w:val="naiskr"/>
              <w:tabs>
                <w:tab w:val="left" w:pos="366"/>
                <w:tab w:val="left" w:pos="7993"/>
              </w:tabs>
              <w:spacing w:before="0" w:after="0"/>
              <w:ind w:right="-1"/>
              <w:jc w:val="both"/>
              <w:rPr>
                <w:bCs/>
              </w:rPr>
            </w:pPr>
            <w:r>
              <w:rPr>
                <w:iCs/>
              </w:rPr>
              <w:t>6</w:t>
            </w:r>
            <w:r w:rsidR="008C41A8" w:rsidRPr="00D95026">
              <w:rPr>
                <w:iCs/>
              </w:rPr>
              <w:t xml:space="preserve">) </w:t>
            </w:r>
            <w:r w:rsidR="0023662E" w:rsidRPr="00D95026">
              <w:rPr>
                <w:bCs/>
              </w:rPr>
              <w:t xml:space="preserve">paredzēt saistītus uzdevumus, lai nodrošinātu 1. un 2.punktā minētā finansējuma precizēšanu, ja tas </w:t>
            </w:r>
            <w:r w:rsidR="007D044A" w:rsidRPr="00D95026">
              <w:rPr>
                <w:bCs/>
              </w:rPr>
              <w:t xml:space="preserve">objektīvu iemeslu dēļ </w:t>
            </w:r>
            <w:r w:rsidR="0023662E" w:rsidRPr="00D95026">
              <w:rPr>
                <w:bCs/>
              </w:rPr>
              <w:t>nepieciešams, tostarp nomas maksas izdevumu precizēšanu atbilstoši VNĪ faktiskajiem nomas objekta pārvaldīšanas izdevumiem.</w:t>
            </w:r>
          </w:p>
          <w:p w:rsidR="00A0650A" w:rsidRDefault="0023662E">
            <w:pPr>
              <w:tabs>
                <w:tab w:val="left" w:pos="7993"/>
              </w:tabs>
              <w:spacing w:after="0" w:line="240" w:lineRule="auto"/>
              <w:ind w:right="-1"/>
              <w:jc w:val="both"/>
              <w:rPr>
                <w:rFonts w:ascii="Times New Roman" w:hAnsi="Times New Roman"/>
                <w:sz w:val="24"/>
                <w:szCs w:val="24"/>
              </w:rPr>
            </w:pPr>
            <w:r w:rsidRPr="00D95026">
              <w:rPr>
                <w:rFonts w:ascii="Times New Roman" w:hAnsi="Times New Roman"/>
                <w:sz w:val="24"/>
                <w:szCs w:val="24"/>
              </w:rPr>
              <w:t>Ministru kabineta rīkojuma projekts pilnībā atrisina iepriekš minētās problēmas.</w:t>
            </w:r>
          </w:p>
          <w:p w:rsidR="00A0650A" w:rsidRDefault="0023662E">
            <w:pPr>
              <w:pStyle w:val="naiskr"/>
              <w:tabs>
                <w:tab w:val="left" w:pos="366"/>
                <w:tab w:val="left" w:pos="7993"/>
              </w:tabs>
              <w:spacing w:before="0" w:after="0"/>
              <w:ind w:right="-1"/>
              <w:jc w:val="both"/>
            </w:pPr>
            <w:r w:rsidRPr="00D95026">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p w:rsidR="00A0650A" w:rsidRDefault="00F20B7E">
            <w:pPr>
              <w:pStyle w:val="naiskr"/>
              <w:tabs>
                <w:tab w:val="left" w:pos="366"/>
                <w:tab w:val="left" w:pos="7993"/>
              </w:tabs>
              <w:spacing w:before="0" w:after="0"/>
              <w:ind w:right="-1"/>
              <w:jc w:val="both"/>
            </w:pPr>
            <w:r w:rsidRPr="00D95026">
              <w:t xml:space="preserve">Tā kā saskaņā ar MK rīkojumu Nr. 412 2014.gadā paredzēto finansējumu 487 116 </w:t>
            </w:r>
            <w:r w:rsidR="00050BA8" w:rsidRPr="00050BA8">
              <w:rPr>
                <w:i/>
              </w:rPr>
              <w:t>euro</w:t>
            </w:r>
            <w:r w:rsidRPr="00D95026">
              <w:t xml:space="preserve"> apmērā nebūs iespējams </w:t>
            </w:r>
            <w:r w:rsidR="00414EBF" w:rsidRPr="00D95026">
              <w:t>ap</w:t>
            </w:r>
            <w:r w:rsidRPr="00D95026">
              <w:t xml:space="preserve">gūt pilnā apmērā, jo līgums par tehniskā projekta izstrādi stāsies spēkā tikai pēc Ministru kabienta rīkojuma </w:t>
            </w:r>
            <w:r w:rsidR="006D31D2">
              <w:t>spēkā stāšanās</w:t>
            </w:r>
            <w:r w:rsidRPr="00D95026">
              <w:t xml:space="preserve">, līdz ar to </w:t>
            </w:r>
            <w:r w:rsidR="009A1176" w:rsidRPr="00D95026">
              <w:t xml:space="preserve">ir sagatavots Ministru kabineta sēdes protokollēmuma projekts, kas paredz daļu no 2014.gadā plānotā finansējuma </w:t>
            </w:r>
            <w:r w:rsidR="006D31D2">
              <w:t xml:space="preserve">Finanšu ministrijas </w:t>
            </w:r>
            <w:r w:rsidR="009A1176" w:rsidRPr="00D95026">
              <w:t xml:space="preserve">ilgtermiņa saistību pasākumam „Dotācija VAS „Valsts nekustamie īpašumi” Jaunā Rīgas teātra ēkas rekonstrukcijai” </w:t>
            </w:r>
            <w:r w:rsidR="00414EBF" w:rsidRPr="00D95026">
              <w:t>315 760</w:t>
            </w:r>
            <w:r w:rsidR="009A1176" w:rsidRPr="00D95026">
              <w:t xml:space="preserve"> </w:t>
            </w:r>
            <w:r w:rsidR="009A1176" w:rsidRPr="00D95026">
              <w:rPr>
                <w:i/>
              </w:rPr>
              <w:t>euro</w:t>
            </w:r>
            <w:r w:rsidR="009A1176" w:rsidRPr="00D95026">
              <w:t xml:space="preserve"> </w:t>
            </w:r>
            <w:r w:rsidR="00414EBF" w:rsidRPr="00D95026">
              <w:t xml:space="preserve">samazināt un </w:t>
            </w:r>
            <w:r w:rsidR="009A1176" w:rsidRPr="00D95026">
              <w:t xml:space="preserve">pārdalīt FM ilgtermiņa saistību pasākumam „Dotācija VAS „Valsts nekustamie īpašumi” par kapitālieguldījumiem Rīgas pils priekšpils būvniecībā”. </w:t>
            </w:r>
          </w:p>
        </w:tc>
      </w:tr>
      <w:tr w:rsidR="00D95026" w:rsidRPr="00D95026" w:rsidTr="00CB677A">
        <w:trPr>
          <w:trHeight w:val="476"/>
        </w:trPr>
        <w:tc>
          <w:tcPr>
            <w:tcW w:w="544" w:type="dxa"/>
          </w:tcPr>
          <w:p w:rsidR="00F469EB" w:rsidRPr="00D95026" w:rsidRDefault="00F469EB" w:rsidP="008D7798">
            <w:pPr>
              <w:pStyle w:val="naiskr"/>
              <w:tabs>
                <w:tab w:val="left" w:pos="7993"/>
              </w:tabs>
              <w:spacing w:before="0" w:after="0"/>
              <w:ind w:right="-1"/>
              <w:jc w:val="center"/>
            </w:pPr>
            <w:r w:rsidRPr="00D95026">
              <w:lastRenderedPageBreak/>
              <w:t>3.</w:t>
            </w:r>
          </w:p>
        </w:tc>
        <w:tc>
          <w:tcPr>
            <w:tcW w:w="2490" w:type="dxa"/>
          </w:tcPr>
          <w:p w:rsidR="00F469EB" w:rsidRPr="00D95026" w:rsidRDefault="00F469EB" w:rsidP="008D7798">
            <w:pPr>
              <w:pStyle w:val="naiskr"/>
              <w:tabs>
                <w:tab w:val="left" w:pos="7993"/>
              </w:tabs>
              <w:spacing w:before="0" w:after="0"/>
              <w:ind w:right="-1"/>
            </w:pPr>
            <w:r w:rsidRPr="00D95026">
              <w:t>Projekta izstrādē iesaistītās institūcijas</w:t>
            </w:r>
          </w:p>
        </w:tc>
        <w:tc>
          <w:tcPr>
            <w:tcW w:w="6095" w:type="dxa"/>
          </w:tcPr>
          <w:p w:rsidR="00F469EB" w:rsidRPr="00D95026" w:rsidRDefault="00CB677A" w:rsidP="008D7798">
            <w:pPr>
              <w:pStyle w:val="naiskr"/>
              <w:tabs>
                <w:tab w:val="left" w:pos="7993"/>
              </w:tabs>
              <w:spacing w:before="0" w:after="0"/>
              <w:ind w:right="-1"/>
            </w:pPr>
            <w:r>
              <w:rPr>
                <w:bCs/>
              </w:rPr>
              <w:t xml:space="preserve">Kultūras ministrija, </w:t>
            </w:r>
            <w:r w:rsidR="00F469EB" w:rsidRPr="00D95026">
              <w:rPr>
                <w:bCs/>
              </w:rPr>
              <w:t>Finanšu ministrija (VNĪ).</w:t>
            </w:r>
          </w:p>
        </w:tc>
      </w:tr>
      <w:tr w:rsidR="00D95026" w:rsidRPr="00D95026" w:rsidTr="00CB677A">
        <w:tc>
          <w:tcPr>
            <w:tcW w:w="544" w:type="dxa"/>
          </w:tcPr>
          <w:p w:rsidR="004E6555" w:rsidRPr="00D95026" w:rsidRDefault="004E6555" w:rsidP="008D7798">
            <w:pPr>
              <w:pStyle w:val="naiskr"/>
              <w:tabs>
                <w:tab w:val="left" w:pos="7993"/>
              </w:tabs>
              <w:spacing w:before="0" w:after="0"/>
              <w:ind w:right="-1"/>
              <w:jc w:val="center"/>
            </w:pPr>
            <w:r w:rsidRPr="00D95026">
              <w:t>4.</w:t>
            </w:r>
          </w:p>
        </w:tc>
        <w:tc>
          <w:tcPr>
            <w:tcW w:w="2490" w:type="dxa"/>
          </w:tcPr>
          <w:p w:rsidR="004E6555" w:rsidRPr="00D95026" w:rsidRDefault="004E6555" w:rsidP="008D7798">
            <w:pPr>
              <w:pStyle w:val="naiskr"/>
              <w:tabs>
                <w:tab w:val="left" w:pos="7993"/>
              </w:tabs>
              <w:spacing w:before="0" w:after="0"/>
              <w:ind w:right="-1"/>
            </w:pPr>
            <w:r w:rsidRPr="00D95026">
              <w:t>Cita informācija</w:t>
            </w:r>
          </w:p>
        </w:tc>
        <w:tc>
          <w:tcPr>
            <w:tcW w:w="6095" w:type="dxa"/>
          </w:tcPr>
          <w:p w:rsidR="004E6555" w:rsidRPr="00D95026" w:rsidRDefault="004E6555" w:rsidP="00EC7678">
            <w:pPr>
              <w:pStyle w:val="naiskr"/>
              <w:tabs>
                <w:tab w:val="left" w:pos="7993"/>
              </w:tabs>
              <w:spacing w:before="0" w:after="0"/>
              <w:ind w:right="-1"/>
              <w:jc w:val="both"/>
            </w:pPr>
            <w:r w:rsidRPr="00D95026">
              <w:t xml:space="preserve">Ministru kabineta rīkojuma projektā norādītais </w:t>
            </w:r>
            <w:r w:rsidRPr="00D95026">
              <w:rPr>
                <w:bCs/>
              </w:rPr>
              <w:t>rekonstrukcijas darbu pabeigšanas termiņš</w:t>
            </w:r>
            <w:r w:rsidRPr="00D95026">
              <w:t xml:space="preserve"> saistīts ar Ministru kabineta </w:t>
            </w:r>
            <w:r w:rsidR="00EC7678" w:rsidRPr="00D95026">
              <w:t xml:space="preserve">rīkojumu </w:t>
            </w:r>
            <w:r w:rsidRPr="00D95026">
              <w:t>Nr.70</w:t>
            </w:r>
            <w:r w:rsidR="00EC7678" w:rsidRPr="00D95026">
              <w:t xml:space="preserve">, kurā noteikts nepieciešamā finansējuma apmērs telpu, uz kurām Jaunais Rīgas teātris tiks pārvietotās ēku Lāčplēša ielā 25, Rīgā, rekonstrukcijas laikā, </w:t>
            </w:r>
            <w:r w:rsidR="00EC7678" w:rsidRPr="00D95026">
              <w:rPr>
                <w:bCs/>
              </w:rPr>
              <w:t xml:space="preserve"> </w:t>
            </w:r>
            <w:r w:rsidR="00EC7678" w:rsidRPr="00D95026">
              <w:t>nomas maksas un apkures izdevumu segšanai.</w:t>
            </w:r>
            <w:r w:rsidR="00EC7678" w:rsidRPr="00D95026" w:rsidDel="00D93803">
              <w:t xml:space="preserve"> </w:t>
            </w:r>
          </w:p>
        </w:tc>
      </w:tr>
    </w:tbl>
    <w:p w:rsidR="00682685" w:rsidRPr="00CB677A" w:rsidRDefault="00682685" w:rsidP="008D7798">
      <w:pPr>
        <w:pStyle w:val="naisvisr"/>
        <w:tabs>
          <w:tab w:val="left" w:pos="7993"/>
        </w:tabs>
        <w:spacing w:before="0" w:after="0" w:line="20" w:lineRule="atLeast"/>
        <w:ind w:right="-1"/>
        <w:rPr>
          <w:i/>
          <w:iCs/>
          <w:sz w:val="24"/>
          <w:szCs w:val="24"/>
        </w:rPr>
      </w:pPr>
    </w:p>
    <w:bookmarkEnd w:id="2"/>
    <w:bookmarkEnd w:id="3"/>
    <w:bookmarkEnd w:id="4"/>
    <w:bookmarkEnd w:id="5"/>
    <w:bookmarkEnd w:id="6"/>
    <w:bookmarkEnd w:id="7"/>
    <w:bookmarkEnd w:id="8"/>
    <w:bookmarkEnd w:id="9"/>
    <w:p w:rsidR="00CB677A" w:rsidRPr="00CB677A" w:rsidRDefault="00CB677A" w:rsidP="00CB677A">
      <w:pPr>
        <w:tabs>
          <w:tab w:val="left" w:pos="7993"/>
        </w:tabs>
        <w:spacing w:before="75" w:after="75" w:line="240" w:lineRule="auto"/>
        <w:ind w:right="-1"/>
        <w:rPr>
          <w:rFonts w:ascii="Times New Roman" w:eastAsia="Times New Roman" w:hAnsi="Times New Roman"/>
          <w:i/>
          <w:iCs/>
          <w:sz w:val="24"/>
          <w:szCs w:val="24"/>
          <w:lang w:eastAsia="lv-LV"/>
        </w:rPr>
      </w:pPr>
      <w:r w:rsidRPr="00CB677A">
        <w:rPr>
          <w:rFonts w:ascii="Times New Roman" w:eastAsia="Times New Roman" w:hAnsi="Times New Roman"/>
          <w:i/>
          <w:iCs/>
          <w:sz w:val="24"/>
          <w:szCs w:val="24"/>
          <w:lang w:eastAsia="lv-LV"/>
        </w:rPr>
        <w:t xml:space="preserve">Anotācijas II, V un VI sadaļa – projekts šīs jomas neskar. </w:t>
      </w:r>
    </w:p>
    <w:p w:rsidR="00CB677A" w:rsidRPr="00D95026" w:rsidRDefault="00CB677A" w:rsidP="008D7798">
      <w:pPr>
        <w:pStyle w:val="naisf"/>
        <w:tabs>
          <w:tab w:val="left" w:pos="7993"/>
        </w:tabs>
        <w:spacing w:before="0" w:after="0"/>
        <w:ind w:right="-1" w:firstLine="0"/>
      </w:pP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826"/>
        <w:gridCol w:w="1261"/>
        <w:gridCol w:w="1403"/>
        <w:gridCol w:w="1403"/>
        <w:gridCol w:w="1403"/>
        <w:gridCol w:w="1411"/>
        <w:gridCol w:w="13"/>
      </w:tblGrid>
      <w:tr w:rsidR="00D95026" w:rsidRPr="00D95026" w:rsidTr="00D95026">
        <w:trPr>
          <w:trHeight w:val="290"/>
          <w:jc w:val="center"/>
        </w:trPr>
        <w:tc>
          <w:tcPr>
            <w:tcW w:w="5000" w:type="pct"/>
            <w:gridSpan w:val="8"/>
          </w:tcPr>
          <w:p w:rsidR="00973D4C" w:rsidRPr="00D95026" w:rsidRDefault="00973D4C" w:rsidP="008D7798">
            <w:pPr>
              <w:pStyle w:val="naisnod"/>
              <w:tabs>
                <w:tab w:val="left" w:pos="7993"/>
              </w:tabs>
              <w:spacing w:before="0" w:after="0"/>
              <w:ind w:right="-1"/>
              <w:jc w:val="center"/>
              <w:rPr>
                <w:b/>
                <w:i/>
              </w:rPr>
            </w:pPr>
            <w:r w:rsidRPr="00D95026">
              <w:rPr>
                <w:b/>
              </w:rPr>
              <w:br w:type="page"/>
            </w:r>
            <w:r w:rsidR="00C93102" w:rsidRPr="00D95026">
              <w:rPr>
                <w:b/>
              </w:rPr>
              <w:t>III. Tiesību akta projekta ietekme uz valsts budžetu un pašvaldību budžetiem</w:t>
            </w:r>
          </w:p>
        </w:tc>
      </w:tr>
      <w:tr w:rsidR="00D95026" w:rsidRPr="00D95026" w:rsidTr="00CB677A">
        <w:trPr>
          <w:jc w:val="center"/>
        </w:trPr>
        <w:tc>
          <w:tcPr>
            <w:tcW w:w="1261" w:type="pct"/>
            <w:gridSpan w:val="2"/>
            <w:vMerge w:val="restart"/>
            <w:vAlign w:val="center"/>
          </w:tcPr>
          <w:p w:rsidR="00973D4C" w:rsidRPr="00D95026" w:rsidRDefault="00973D4C" w:rsidP="008D7798">
            <w:pPr>
              <w:pStyle w:val="naisf"/>
              <w:tabs>
                <w:tab w:val="left" w:pos="7993"/>
              </w:tabs>
              <w:spacing w:before="0" w:after="0"/>
              <w:ind w:left="270" w:right="-1" w:firstLine="0"/>
              <w:jc w:val="center"/>
            </w:pPr>
            <w:r w:rsidRPr="00D95026">
              <w:t>Rādītāji</w:t>
            </w:r>
          </w:p>
        </w:tc>
        <w:tc>
          <w:tcPr>
            <w:tcW w:w="1445" w:type="pct"/>
            <w:gridSpan w:val="2"/>
            <w:vMerge w:val="restart"/>
            <w:vAlign w:val="center"/>
          </w:tcPr>
          <w:p w:rsidR="00973D4C" w:rsidRPr="00D95026" w:rsidRDefault="00973D4C" w:rsidP="008D7798">
            <w:pPr>
              <w:pStyle w:val="naisf"/>
              <w:tabs>
                <w:tab w:val="left" w:pos="7993"/>
              </w:tabs>
              <w:spacing w:before="0" w:after="0"/>
              <w:ind w:right="-1" w:firstLine="0"/>
              <w:jc w:val="center"/>
            </w:pPr>
            <w:r w:rsidRPr="00D95026">
              <w:t>201</w:t>
            </w:r>
            <w:r w:rsidR="005256C4" w:rsidRPr="00D95026">
              <w:t>4</w:t>
            </w:r>
            <w:r w:rsidRPr="00D95026">
              <w:t>.gads</w:t>
            </w:r>
          </w:p>
        </w:tc>
        <w:tc>
          <w:tcPr>
            <w:tcW w:w="2295" w:type="pct"/>
            <w:gridSpan w:val="4"/>
            <w:vAlign w:val="center"/>
          </w:tcPr>
          <w:p w:rsidR="00973D4C" w:rsidRPr="00D95026" w:rsidRDefault="00973D4C" w:rsidP="008D7798">
            <w:pPr>
              <w:pStyle w:val="naisf"/>
              <w:tabs>
                <w:tab w:val="left" w:pos="7993"/>
              </w:tabs>
              <w:spacing w:before="0" w:after="0"/>
              <w:ind w:right="-1" w:firstLine="0"/>
              <w:jc w:val="center"/>
              <w:rPr>
                <w:i/>
              </w:rPr>
            </w:pPr>
            <w:r w:rsidRPr="00D95026">
              <w:t>Turpmākie trīs gadi (</w:t>
            </w:r>
            <w:r w:rsidR="00FA68E3" w:rsidRPr="00D95026">
              <w:rPr>
                <w:i/>
              </w:rPr>
              <w:t>euro</w:t>
            </w:r>
            <w:r w:rsidRPr="00D95026">
              <w:t>)</w:t>
            </w:r>
          </w:p>
        </w:tc>
      </w:tr>
      <w:tr w:rsidR="00D95026" w:rsidRPr="00D95026" w:rsidTr="00CB677A">
        <w:trPr>
          <w:jc w:val="center"/>
        </w:trPr>
        <w:tc>
          <w:tcPr>
            <w:tcW w:w="1261" w:type="pct"/>
            <w:gridSpan w:val="2"/>
            <w:vMerge/>
            <w:vAlign w:val="center"/>
          </w:tcPr>
          <w:p w:rsidR="00973D4C" w:rsidRPr="00D95026" w:rsidRDefault="00973D4C" w:rsidP="008D7798">
            <w:pPr>
              <w:pStyle w:val="naisf"/>
              <w:tabs>
                <w:tab w:val="left" w:pos="7993"/>
              </w:tabs>
              <w:spacing w:before="0" w:after="0"/>
              <w:ind w:right="-1" w:firstLine="0"/>
              <w:jc w:val="left"/>
              <w:rPr>
                <w:i/>
              </w:rPr>
            </w:pPr>
          </w:p>
        </w:tc>
        <w:tc>
          <w:tcPr>
            <w:tcW w:w="1445" w:type="pct"/>
            <w:gridSpan w:val="2"/>
            <w:vMerge/>
            <w:vAlign w:val="center"/>
          </w:tcPr>
          <w:p w:rsidR="00973D4C" w:rsidRPr="00D95026" w:rsidRDefault="00973D4C" w:rsidP="008D7798">
            <w:pPr>
              <w:pStyle w:val="naisf"/>
              <w:tabs>
                <w:tab w:val="left" w:pos="7993"/>
              </w:tabs>
              <w:spacing w:before="0" w:after="0"/>
              <w:ind w:right="-1" w:firstLine="0"/>
              <w:jc w:val="center"/>
              <w:rPr>
                <w:i/>
              </w:rPr>
            </w:pPr>
          </w:p>
        </w:tc>
        <w:tc>
          <w:tcPr>
            <w:tcW w:w="761" w:type="pct"/>
            <w:vAlign w:val="center"/>
          </w:tcPr>
          <w:p w:rsidR="00973D4C" w:rsidRPr="00D95026" w:rsidRDefault="00973D4C" w:rsidP="008D7798">
            <w:pPr>
              <w:pStyle w:val="naisf"/>
              <w:tabs>
                <w:tab w:val="left" w:pos="7993"/>
              </w:tabs>
              <w:spacing w:before="0" w:after="0"/>
              <w:ind w:right="-1" w:firstLine="0"/>
              <w:jc w:val="center"/>
              <w:rPr>
                <w:i/>
              </w:rPr>
            </w:pPr>
            <w:r w:rsidRPr="00D95026">
              <w:rPr>
                <w:bCs/>
              </w:rPr>
              <w:t>201</w:t>
            </w:r>
            <w:r w:rsidR="005256C4" w:rsidRPr="00D95026">
              <w:rPr>
                <w:bCs/>
              </w:rPr>
              <w:t>5</w:t>
            </w:r>
            <w:r w:rsidRPr="00D95026">
              <w:rPr>
                <w:bCs/>
              </w:rPr>
              <w:t>.g.</w:t>
            </w:r>
          </w:p>
        </w:tc>
        <w:tc>
          <w:tcPr>
            <w:tcW w:w="761" w:type="pct"/>
            <w:vAlign w:val="center"/>
          </w:tcPr>
          <w:p w:rsidR="00973D4C" w:rsidRPr="00D95026" w:rsidRDefault="00973D4C" w:rsidP="008D7798">
            <w:pPr>
              <w:pStyle w:val="naisf"/>
              <w:tabs>
                <w:tab w:val="left" w:pos="7993"/>
              </w:tabs>
              <w:spacing w:before="0" w:after="0"/>
              <w:ind w:right="-1" w:firstLine="0"/>
              <w:jc w:val="center"/>
              <w:rPr>
                <w:i/>
              </w:rPr>
            </w:pPr>
            <w:r w:rsidRPr="00D95026">
              <w:rPr>
                <w:bCs/>
              </w:rPr>
              <w:t>201</w:t>
            </w:r>
            <w:r w:rsidR="005256C4" w:rsidRPr="00D95026">
              <w:rPr>
                <w:bCs/>
              </w:rPr>
              <w:t>6</w:t>
            </w:r>
            <w:r w:rsidRPr="00D95026">
              <w:rPr>
                <w:bCs/>
              </w:rPr>
              <w:t>.g.</w:t>
            </w:r>
          </w:p>
        </w:tc>
        <w:tc>
          <w:tcPr>
            <w:tcW w:w="773" w:type="pct"/>
            <w:gridSpan w:val="2"/>
            <w:vAlign w:val="center"/>
          </w:tcPr>
          <w:p w:rsidR="00973D4C" w:rsidRPr="00D95026" w:rsidRDefault="00973D4C" w:rsidP="008D7798">
            <w:pPr>
              <w:pStyle w:val="naisf"/>
              <w:tabs>
                <w:tab w:val="left" w:pos="7993"/>
              </w:tabs>
              <w:spacing w:before="0" w:after="0"/>
              <w:ind w:right="-1" w:firstLine="0"/>
              <w:jc w:val="center"/>
              <w:rPr>
                <w:i/>
              </w:rPr>
            </w:pPr>
            <w:r w:rsidRPr="00D95026">
              <w:rPr>
                <w:bCs/>
              </w:rPr>
              <w:t>201</w:t>
            </w:r>
            <w:r w:rsidR="005256C4" w:rsidRPr="00D95026">
              <w:rPr>
                <w:bCs/>
              </w:rPr>
              <w:t>7</w:t>
            </w:r>
            <w:r w:rsidRPr="00D95026">
              <w:rPr>
                <w:bCs/>
              </w:rPr>
              <w:t>.g.</w:t>
            </w:r>
          </w:p>
        </w:tc>
      </w:tr>
      <w:tr w:rsidR="00D95026" w:rsidRPr="00D95026" w:rsidTr="00CB677A">
        <w:trPr>
          <w:jc w:val="center"/>
        </w:trPr>
        <w:tc>
          <w:tcPr>
            <w:tcW w:w="1261" w:type="pct"/>
            <w:gridSpan w:val="2"/>
            <w:vMerge/>
            <w:vAlign w:val="center"/>
          </w:tcPr>
          <w:p w:rsidR="00973D4C" w:rsidRPr="00D95026" w:rsidRDefault="00973D4C" w:rsidP="008D7798">
            <w:pPr>
              <w:pStyle w:val="naisf"/>
              <w:tabs>
                <w:tab w:val="left" w:pos="7993"/>
              </w:tabs>
              <w:spacing w:before="0" w:after="0"/>
              <w:ind w:right="-1" w:firstLine="0"/>
              <w:jc w:val="left"/>
              <w:rPr>
                <w:i/>
              </w:rPr>
            </w:pPr>
          </w:p>
        </w:tc>
        <w:tc>
          <w:tcPr>
            <w:tcW w:w="684" w:type="pct"/>
            <w:vAlign w:val="center"/>
          </w:tcPr>
          <w:p w:rsidR="00973D4C" w:rsidRPr="00D95026" w:rsidRDefault="00973D4C" w:rsidP="008D7798">
            <w:pPr>
              <w:pStyle w:val="naisf"/>
              <w:tabs>
                <w:tab w:val="left" w:pos="7993"/>
              </w:tabs>
              <w:spacing w:before="0" w:after="0"/>
              <w:ind w:right="-1" w:firstLine="0"/>
              <w:jc w:val="center"/>
              <w:rPr>
                <w:i/>
              </w:rPr>
            </w:pPr>
            <w:r w:rsidRPr="00D95026">
              <w:t>Saskaņā ar valsts budžetu kārtējam gadam</w:t>
            </w:r>
          </w:p>
        </w:tc>
        <w:tc>
          <w:tcPr>
            <w:tcW w:w="761" w:type="pct"/>
            <w:vAlign w:val="center"/>
          </w:tcPr>
          <w:p w:rsidR="00973D4C" w:rsidRPr="00D95026" w:rsidRDefault="00973D4C" w:rsidP="008D7798">
            <w:pPr>
              <w:pStyle w:val="naisf"/>
              <w:tabs>
                <w:tab w:val="left" w:pos="7993"/>
              </w:tabs>
              <w:spacing w:before="0" w:after="0"/>
              <w:ind w:right="-1" w:firstLine="0"/>
              <w:jc w:val="center"/>
              <w:rPr>
                <w:i/>
              </w:rPr>
            </w:pPr>
            <w:r w:rsidRPr="00D95026">
              <w:t xml:space="preserve">Izmaiņas kārtējā gadā, salīdzinot ar budžetu kārtējam </w:t>
            </w:r>
            <w:r w:rsidRPr="00D95026">
              <w:lastRenderedPageBreak/>
              <w:t>gadam</w:t>
            </w:r>
          </w:p>
        </w:tc>
        <w:tc>
          <w:tcPr>
            <w:tcW w:w="761" w:type="pct"/>
            <w:vAlign w:val="center"/>
          </w:tcPr>
          <w:p w:rsidR="00973D4C" w:rsidRPr="00D95026" w:rsidRDefault="00973D4C" w:rsidP="008D7798">
            <w:pPr>
              <w:pStyle w:val="naisf"/>
              <w:tabs>
                <w:tab w:val="left" w:pos="7993"/>
              </w:tabs>
              <w:spacing w:before="0" w:after="0"/>
              <w:ind w:right="-1" w:firstLine="0"/>
              <w:jc w:val="center"/>
              <w:rPr>
                <w:i/>
              </w:rPr>
            </w:pPr>
            <w:r w:rsidRPr="00D95026">
              <w:lastRenderedPageBreak/>
              <w:t>Izmaiņas, salīdzinot ar kārtējo gadu</w:t>
            </w:r>
          </w:p>
        </w:tc>
        <w:tc>
          <w:tcPr>
            <w:tcW w:w="761" w:type="pct"/>
            <w:vAlign w:val="center"/>
          </w:tcPr>
          <w:p w:rsidR="00973D4C" w:rsidRPr="00D95026" w:rsidRDefault="00973D4C" w:rsidP="008D7798">
            <w:pPr>
              <w:pStyle w:val="naisf"/>
              <w:tabs>
                <w:tab w:val="left" w:pos="7993"/>
              </w:tabs>
              <w:spacing w:before="0" w:after="0"/>
              <w:ind w:right="-1" w:firstLine="0"/>
              <w:jc w:val="center"/>
              <w:rPr>
                <w:i/>
              </w:rPr>
            </w:pPr>
            <w:r w:rsidRPr="00D95026">
              <w:t>Izmaiņas, salīdzinot ar kārtējo gadu</w:t>
            </w:r>
          </w:p>
        </w:tc>
        <w:tc>
          <w:tcPr>
            <w:tcW w:w="773" w:type="pct"/>
            <w:gridSpan w:val="2"/>
            <w:vAlign w:val="center"/>
          </w:tcPr>
          <w:p w:rsidR="00973D4C" w:rsidRPr="00D95026" w:rsidRDefault="00973D4C" w:rsidP="008D7798">
            <w:pPr>
              <w:pStyle w:val="naisf"/>
              <w:tabs>
                <w:tab w:val="left" w:pos="7993"/>
              </w:tabs>
              <w:spacing w:before="0" w:after="0"/>
              <w:ind w:right="-1" w:firstLine="0"/>
              <w:jc w:val="center"/>
              <w:rPr>
                <w:i/>
              </w:rPr>
            </w:pPr>
            <w:r w:rsidRPr="00D95026">
              <w:t>Izmai</w:t>
            </w:r>
            <w:r w:rsidR="00816F44" w:rsidRPr="00D95026">
              <w:t xml:space="preserve">ņas, salīdzinot ar kārtējo </w:t>
            </w:r>
            <w:r w:rsidRPr="00D95026">
              <w:t>gadu</w:t>
            </w:r>
          </w:p>
        </w:tc>
      </w:tr>
      <w:tr w:rsidR="00D95026" w:rsidRPr="00D95026" w:rsidTr="00CB677A">
        <w:trPr>
          <w:jc w:val="center"/>
        </w:trPr>
        <w:tc>
          <w:tcPr>
            <w:tcW w:w="1261" w:type="pct"/>
            <w:gridSpan w:val="2"/>
            <w:vAlign w:val="center"/>
          </w:tcPr>
          <w:p w:rsidR="00973D4C" w:rsidRPr="00D95026" w:rsidRDefault="00973D4C" w:rsidP="008D7798">
            <w:pPr>
              <w:pStyle w:val="naisf"/>
              <w:tabs>
                <w:tab w:val="left" w:pos="7993"/>
              </w:tabs>
              <w:spacing w:before="0" w:after="0"/>
              <w:ind w:right="-1" w:firstLine="0"/>
              <w:jc w:val="center"/>
              <w:rPr>
                <w:bCs/>
              </w:rPr>
            </w:pPr>
            <w:r w:rsidRPr="00D95026">
              <w:rPr>
                <w:bCs/>
              </w:rPr>
              <w:lastRenderedPageBreak/>
              <w:t>1</w:t>
            </w:r>
          </w:p>
        </w:tc>
        <w:tc>
          <w:tcPr>
            <w:tcW w:w="684" w:type="pct"/>
            <w:vAlign w:val="center"/>
          </w:tcPr>
          <w:p w:rsidR="00973D4C" w:rsidRPr="00D95026" w:rsidRDefault="00973D4C" w:rsidP="008D7798">
            <w:pPr>
              <w:pStyle w:val="naisf"/>
              <w:tabs>
                <w:tab w:val="left" w:pos="7993"/>
              </w:tabs>
              <w:spacing w:before="0" w:after="0"/>
              <w:ind w:right="-1" w:firstLine="0"/>
              <w:jc w:val="center"/>
              <w:rPr>
                <w:bCs/>
              </w:rPr>
            </w:pPr>
            <w:r w:rsidRPr="00D95026">
              <w:rPr>
                <w:bCs/>
              </w:rPr>
              <w:t>2</w:t>
            </w:r>
          </w:p>
        </w:tc>
        <w:tc>
          <w:tcPr>
            <w:tcW w:w="761" w:type="pct"/>
            <w:vAlign w:val="center"/>
          </w:tcPr>
          <w:p w:rsidR="00973D4C" w:rsidRPr="00D95026" w:rsidRDefault="00973D4C" w:rsidP="008D7798">
            <w:pPr>
              <w:pStyle w:val="naisf"/>
              <w:tabs>
                <w:tab w:val="left" w:pos="7993"/>
              </w:tabs>
              <w:spacing w:before="0" w:after="0"/>
              <w:ind w:right="-1" w:firstLine="0"/>
              <w:jc w:val="center"/>
              <w:rPr>
                <w:bCs/>
              </w:rPr>
            </w:pPr>
            <w:r w:rsidRPr="00D95026">
              <w:rPr>
                <w:bCs/>
              </w:rPr>
              <w:t>3</w:t>
            </w:r>
          </w:p>
        </w:tc>
        <w:tc>
          <w:tcPr>
            <w:tcW w:w="761" w:type="pct"/>
            <w:vAlign w:val="center"/>
          </w:tcPr>
          <w:p w:rsidR="00973D4C" w:rsidRPr="00D95026" w:rsidRDefault="00973D4C" w:rsidP="008D7798">
            <w:pPr>
              <w:pStyle w:val="naisf"/>
              <w:tabs>
                <w:tab w:val="left" w:pos="7993"/>
              </w:tabs>
              <w:spacing w:before="0" w:after="0"/>
              <w:ind w:right="-1" w:firstLine="0"/>
              <w:jc w:val="center"/>
              <w:rPr>
                <w:bCs/>
              </w:rPr>
            </w:pPr>
            <w:r w:rsidRPr="00D95026">
              <w:rPr>
                <w:bCs/>
              </w:rPr>
              <w:t>4</w:t>
            </w:r>
          </w:p>
        </w:tc>
        <w:tc>
          <w:tcPr>
            <w:tcW w:w="761" w:type="pct"/>
            <w:vAlign w:val="center"/>
          </w:tcPr>
          <w:p w:rsidR="00973D4C" w:rsidRPr="00D95026" w:rsidRDefault="00973D4C" w:rsidP="008D7798">
            <w:pPr>
              <w:pStyle w:val="naisf"/>
              <w:tabs>
                <w:tab w:val="left" w:pos="7993"/>
              </w:tabs>
              <w:spacing w:before="0" w:after="0"/>
              <w:ind w:right="-1" w:firstLine="0"/>
              <w:jc w:val="center"/>
              <w:rPr>
                <w:bCs/>
              </w:rPr>
            </w:pPr>
            <w:r w:rsidRPr="00D95026">
              <w:rPr>
                <w:bCs/>
              </w:rPr>
              <w:t>5</w:t>
            </w:r>
          </w:p>
        </w:tc>
        <w:tc>
          <w:tcPr>
            <w:tcW w:w="773" w:type="pct"/>
            <w:gridSpan w:val="2"/>
            <w:vAlign w:val="center"/>
          </w:tcPr>
          <w:p w:rsidR="00973D4C" w:rsidRPr="00D95026" w:rsidRDefault="00973D4C" w:rsidP="008D7798">
            <w:pPr>
              <w:pStyle w:val="naisf"/>
              <w:tabs>
                <w:tab w:val="left" w:pos="7993"/>
              </w:tabs>
              <w:spacing w:before="0" w:after="0"/>
              <w:ind w:right="-1" w:firstLine="0"/>
              <w:jc w:val="center"/>
              <w:rPr>
                <w:bCs/>
              </w:rPr>
            </w:pPr>
            <w:r w:rsidRPr="00D95026">
              <w:rPr>
                <w:bCs/>
              </w:rPr>
              <w:t>6</w:t>
            </w:r>
          </w:p>
        </w:tc>
      </w:tr>
      <w:tr w:rsidR="00D95026" w:rsidRPr="00D95026" w:rsidTr="00CB677A">
        <w:trPr>
          <w:jc w:val="center"/>
        </w:trPr>
        <w:tc>
          <w:tcPr>
            <w:tcW w:w="1261" w:type="pct"/>
            <w:gridSpan w:val="2"/>
          </w:tcPr>
          <w:p w:rsidR="00973D4C" w:rsidRPr="00D95026" w:rsidRDefault="00973D4C" w:rsidP="008D7798">
            <w:pPr>
              <w:pStyle w:val="naiskr"/>
              <w:tabs>
                <w:tab w:val="left" w:pos="7993"/>
              </w:tabs>
              <w:spacing w:before="0" w:after="0"/>
              <w:ind w:right="-1"/>
            </w:pPr>
            <w:r w:rsidRPr="00D95026">
              <w:t>1. Budžeta ieņēmumi:</w:t>
            </w:r>
          </w:p>
        </w:tc>
        <w:tc>
          <w:tcPr>
            <w:tcW w:w="684" w:type="pct"/>
          </w:tcPr>
          <w:p w:rsidR="00973D4C" w:rsidRPr="00D95026" w:rsidRDefault="004A41C2" w:rsidP="008D7798">
            <w:pPr>
              <w:pStyle w:val="naisf"/>
              <w:tabs>
                <w:tab w:val="left" w:pos="7993"/>
              </w:tabs>
              <w:spacing w:before="0" w:after="0"/>
              <w:ind w:right="-1" w:firstLine="0"/>
              <w:jc w:val="center"/>
            </w:pPr>
            <w:r w:rsidRPr="00D95026">
              <w:t>0</w:t>
            </w:r>
          </w:p>
        </w:tc>
        <w:tc>
          <w:tcPr>
            <w:tcW w:w="761" w:type="pct"/>
          </w:tcPr>
          <w:p w:rsidR="00973D4C" w:rsidRPr="00D95026" w:rsidRDefault="004A41C2" w:rsidP="008D7798">
            <w:pPr>
              <w:pStyle w:val="naisf"/>
              <w:tabs>
                <w:tab w:val="left" w:pos="7993"/>
              </w:tabs>
              <w:spacing w:before="0" w:after="0"/>
              <w:ind w:right="-1" w:firstLine="0"/>
              <w:jc w:val="center"/>
            </w:pPr>
            <w:r w:rsidRPr="00D95026">
              <w:t>0</w:t>
            </w:r>
          </w:p>
        </w:tc>
        <w:tc>
          <w:tcPr>
            <w:tcW w:w="761" w:type="pct"/>
          </w:tcPr>
          <w:p w:rsidR="00973D4C" w:rsidRPr="00D95026" w:rsidRDefault="004A41C2" w:rsidP="008D7798">
            <w:pPr>
              <w:pStyle w:val="naisf"/>
              <w:tabs>
                <w:tab w:val="left" w:pos="7993"/>
              </w:tabs>
              <w:spacing w:before="0" w:after="0"/>
              <w:ind w:right="-1" w:firstLine="0"/>
              <w:jc w:val="center"/>
            </w:pPr>
            <w:r w:rsidRPr="00D95026">
              <w:t>0</w:t>
            </w:r>
          </w:p>
        </w:tc>
        <w:tc>
          <w:tcPr>
            <w:tcW w:w="761" w:type="pct"/>
          </w:tcPr>
          <w:p w:rsidR="00973D4C" w:rsidRPr="00D95026" w:rsidRDefault="004A41C2" w:rsidP="008D7798">
            <w:pPr>
              <w:pStyle w:val="naisf"/>
              <w:tabs>
                <w:tab w:val="left" w:pos="7993"/>
              </w:tabs>
              <w:spacing w:before="0" w:after="0"/>
              <w:ind w:right="-1" w:firstLine="0"/>
              <w:jc w:val="center"/>
            </w:pPr>
            <w:r w:rsidRPr="00D95026">
              <w:t>0</w:t>
            </w:r>
          </w:p>
        </w:tc>
        <w:tc>
          <w:tcPr>
            <w:tcW w:w="773" w:type="pct"/>
            <w:gridSpan w:val="2"/>
          </w:tcPr>
          <w:p w:rsidR="00973D4C" w:rsidRPr="00D95026" w:rsidRDefault="004A41C2" w:rsidP="008D7798">
            <w:pPr>
              <w:pStyle w:val="naisf"/>
              <w:tabs>
                <w:tab w:val="left" w:pos="7993"/>
              </w:tabs>
              <w:spacing w:before="0" w:after="0"/>
              <w:ind w:right="-1" w:firstLine="0"/>
              <w:jc w:val="center"/>
            </w:pPr>
            <w:r w:rsidRPr="00D95026">
              <w:t>0</w:t>
            </w:r>
          </w:p>
        </w:tc>
      </w:tr>
      <w:tr w:rsidR="00D95026" w:rsidRPr="00D95026" w:rsidTr="00CB677A">
        <w:trPr>
          <w:jc w:val="center"/>
        </w:trPr>
        <w:tc>
          <w:tcPr>
            <w:tcW w:w="1261" w:type="pct"/>
            <w:gridSpan w:val="2"/>
          </w:tcPr>
          <w:p w:rsidR="00973D4C" w:rsidRPr="00D95026" w:rsidRDefault="00973D4C" w:rsidP="00D02FB1">
            <w:pPr>
              <w:pStyle w:val="naiskr"/>
              <w:tabs>
                <w:tab w:val="left" w:pos="7993"/>
              </w:tabs>
              <w:spacing w:before="0" w:after="0"/>
              <w:ind w:left="-14" w:right="-1"/>
            </w:pPr>
            <w:r w:rsidRPr="00D95026">
              <w:t>1.1. valsts pamatbudžets, tai skaitā ieņēmumi no maksas pakalpojumiem un citi pašu ieņēmumi</w:t>
            </w:r>
          </w:p>
        </w:tc>
        <w:tc>
          <w:tcPr>
            <w:tcW w:w="684" w:type="pct"/>
            <w:vAlign w:val="center"/>
          </w:tcPr>
          <w:p w:rsidR="00973D4C" w:rsidRPr="00D95026" w:rsidRDefault="004A41C2" w:rsidP="008D7798">
            <w:pPr>
              <w:pStyle w:val="naisf"/>
              <w:tabs>
                <w:tab w:val="left" w:pos="7993"/>
              </w:tabs>
              <w:spacing w:before="0" w:after="0"/>
              <w:ind w:right="-1" w:firstLine="0"/>
              <w:jc w:val="center"/>
            </w:pPr>
            <w:r w:rsidRPr="00D95026">
              <w:t>0</w:t>
            </w:r>
          </w:p>
        </w:tc>
        <w:tc>
          <w:tcPr>
            <w:tcW w:w="761" w:type="pct"/>
            <w:vAlign w:val="center"/>
          </w:tcPr>
          <w:p w:rsidR="00973D4C" w:rsidRPr="00D95026" w:rsidRDefault="004A41C2" w:rsidP="008D7798">
            <w:pPr>
              <w:pStyle w:val="naisf"/>
              <w:tabs>
                <w:tab w:val="left" w:pos="7993"/>
              </w:tabs>
              <w:spacing w:before="0" w:after="0"/>
              <w:ind w:right="-1" w:firstLine="0"/>
              <w:jc w:val="center"/>
            </w:pPr>
            <w:r w:rsidRPr="00D95026">
              <w:t>0</w:t>
            </w:r>
          </w:p>
        </w:tc>
        <w:tc>
          <w:tcPr>
            <w:tcW w:w="761" w:type="pct"/>
            <w:vAlign w:val="center"/>
          </w:tcPr>
          <w:p w:rsidR="00973D4C" w:rsidRPr="00D95026" w:rsidRDefault="004A41C2" w:rsidP="008D7798">
            <w:pPr>
              <w:pStyle w:val="naisf"/>
              <w:tabs>
                <w:tab w:val="left" w:pos="7993"/>
              </w:tabs>
              <w:spacing w:before="0" w:after="0"/>
              <w:ind w:right="-1" w:firstLine="0"/>
              <w:jc w:val="center"/>
            </w:pPr>
            <w:r w:rsidRPr="00D95026">
              <w:t>0</w:t>
            </w:r>
          </w:p>
        </w:tc>
        <w:tc>
          <w:tcPr>
            <w:tcW w:w="761" w:type="pct"/>
            <w:vAlign w:val="center"/>
          </w:tcPr>
          <w:p w:rsidR="00973D4C" w:rsidRPr="00D95026" w:rsidRDefault="004A41C2" w:rsidP="008D7798">
            <w:pPr>
              <w:pStyle w:val="naisf"/>
              <w:tabs>
                <w:tab w:val="left" w:pos="7993"/>
              </w:tabs>
              <w:spacing w:before="0" w:after="0"/>
              <w:ind w:right="-1" w:firstLine="0"/>
              <w:jc w:val="center"/>
            </w:pPr>
            <w:r w:rsidRPr="00D95026">
              <w:t>0</w:t>
            </w:r>
          </w:p>
        </w:tc>
        <w:tc>
          <w:tcPr>
            <w:tcW w:w="773" w:type="pct"/>
            <w:gridSpan w:val="2"/>
            <w:vAlign w:val="center"/>
          </w:tcPr>
          <w:p w:rsidR="00973D4C" w:rsidRPr="00D95026" w:rsidRDefault="004A41C2" w:rsidP="008D7798">
            <w:pPr>
              <w:pStyle w:val="naisf"/>
              <w:tabs>
                <w:tab w:val="left" w:pos="7993"/>
              </w:tabs>
              <w:spacing w:before="0" w:after="0"/>
              <w:ind w:right="-1" w:firstLine="0"/>
              <w:jc w:val="center"/>
            </w:pPr>
            <w:r w:rsidRPr="00D95026">
              <w:t>0</w:t>
            </w:r>
          </w:p>
        </w:tc>
      </w:tr>
      <w:tr w:rsidR="00D95026" w:rsidRPr="00D95026" w:rsidTr="00CB677A">
        <w:trPr>
          <w:trHeight w:val="445"/>
          <w:jc w:val="center"/>
        </w:trPr>
        <w:tc>
          <w:tcPr>
            <w:tcW w:w="1261" w:type="pct"/>
            <w:gridSpan w:val="2"/>
          </w:tcPr>
          <w:p w:rsidR="00973D4C" w:rsidRPr="00D95026" w:rsidRDefault="00973D4C" w:rsidP="008D7798">
            <w:pPr>
              <w:pStyle w:val="naiskr"/>
              <w:tabs>
                <w:tab w:val="left" w:pos="7993"/>
              </w:tabs>
              <w:spacing w:before="0" w:after="0"/>
              <w:ind w:right="-1"/>
            </w:pPr>
            <w:r w:rsidRPr="00D95026">
              <w:t>1.2. valsts speciālais budžets</w:t>
            </w:r>
          </w:p>
        </w:tc>
        <w:tc>
          <w:tcPr>
            <w:tcW w:w="684" w:type="pct"/>
            <w:vAlign w:val="center"/>
          </w:tcPr>
          <w:p w:rsidR="00973D4C" w:rsidRPr="00D95026" w:rsidRDefault="00973D4C" w:rsidP="008D7798">
            <w:pPr>
              <w:pStyle w:val="naisf"/>
              <w:tabs>
                <w:tab w:val="left" w:pos="7993"/>
              </w:tabs>
              <w:spacing w:before="0" w:after="0"/>
              <w:ind w:right="-1" w:firstLine="0"/>
              <w:jc w:val="center"/>
            </w:pPr>
            <w:r w:rsidRPr="00D95026">
              <w:t>0</w:t>
            </w:r>
          </w:p>
        </w:tc>
        <w:tc>
          <w:tcPr>
            <w:tcW w:w="761" w:type="pct"/>
            <w:vAlign w:val="center"/>
          </w:tcPr>
          <w:p w:rsidR="00973D4C" w:rsidRPr="00D95026" w:rsidRDefault="00973D4C" w:rsidP="008D7798">
            <w:pPr>
              <w:pStyle w:val="naisf"/>
              <w:tabs>
                <w:tab w:val="left" w:pos="7993"/>
              </w:tabs>
              <w:spacing w:before="0" w:after="0"/>
              <w:ind w:right="-1" w:firstLine="0"/>
              <w:jc w:val="center"/>
            </w:pPr>
            <w:r w:rsidRPr="00D95026">
              <w:t>0</w:t>
            </w:r>
          </w:p>
        </w:tc>
        <w:tc>
          <w:tcPr>
            <w:tcW w:w="761" w:type="pct"/>
            <w:vAlign w:val="center"/>
          </w:tcPr>
          <w:p w:rsidR="00973D4C" w:rsidRPr="00D95026" w:rsidRDefault="00973D4C" w:rsidP="008D7798">
            <w:pPr>
              <w:pStyle w:val="naisf"/>
              <w:tabs>
                <w:tab w:val="left" w:pos="7993"/>
              </w:tabs>
              <w:spacing w:before="0" w:after="0"/>
              <w:ind w:right="-1" w:firstLine="0"/>
              <w:jc w:val="center"/>
            </w:pPr>
            <w:r w:rsidRPr="00D95026">
              <w:t>0</w:t>
            </w:r>
          </w:p>
        </w:tc>
        <w:tc>
          <w:tcPr>
            <w:tcW w:w="761" w:type="pct"/>
            <w:vAlign w:val="center"/>
          </w:tcPr>
          <w:p w:rsidR="00973D4C" w:rsidRPr="00D95026" w:rsidRDefault="00973D4C" w:rsidP="008D7798">
            <w:pPr>
              <w:pStyle w:val="naisf"/>
              <w:tabs>
                <w:tab w:val="left" w:pos="7993"/>
              </w:tabs>
              <w:spacing w:before="0" w:after="0"/>
              <w:ind w:right="-1" w:firstLine="0"/>
              <w:jc w:val="center"/>
            </w:pPr>
            <w:r w:rsidRPr="00D95026">
              <w:t>0</w:t>
            </w:r>
          </w:p>
        </w:tc>
        <w:tc>
          <w:tcPr>
            <w:tcW w:w="773" w:type="pct"/>
            <w:gridSpan w:val="2"/>
            <w:vAlign w:val="center"/>
          </w:tcPr>
          <w:p w:rsidR="00973D4C" w:rsidRPr="00D95026" w:rsidRDefault="00973D4C" w:rsidP="008D7798">
            <w:pPr>
              <w:pStyle w:val="naisf"/>
              <w:tabs>
                <w:tab w:val="left" w:pos="7993"/>
              </w:tabs>
              <w:spacing w:before="0" w:after="0"/>
              <w:ind w:right="-1" w:firstLine="0"/>
              <w:jc w:val="center"/>
            </w:pPr>
            <w:r w:rsidRPr="00D95026">
              <w:t>0</w:t>
            </w:r>
          </w:p>
        </w:tc>
      </w:tr>
      <w:tr w:rsidR="00D95026" w:rsidRPr="00D95026" w:rsidTr="00CB677A">
        <w:trPr>
          <w:jc w:val="center"/>
        </w:trPr>
        <w:tc>
          <w:tcPr>
            <w:tcW w:w="1261" w:type="pct"/>
            <w:gridSpan w:val="2"/>
          </w:tcPr>
          <w:p w:rsidR="00973D4C" w:rsidRPr="00D95026" w:rsidRDefault="00973D4C" w:rsidP="008D7798">
            <w:pPr>
              <w:pStyle w:val="naiskr"/>
              <w:tabs>
                <w:tab w:val="left" w:pos="7993"/>
              </w:tabs>
              <w:spacing w:before="0" w:after="0"/>
              <w:ind w:right="-1"/>
            </w:pPr>
            <w:r w:rsidRPr="00D95026">
              <w:t>1.3. pašvaldību budžets</w:t>
            </w:r>
          </w:p>
        </w:tc>
        <w:tc>
          <w:tcPr>
            <w:tcW w:w="684" w:type="pct"/>
            <w:vAlign w:val="center"/>
          </w:tcPr>
          <w:p w:rsidR="00973D4C" w:rsidRPr="00D95026" w:rsidRDefault="00973D4C" w:rsidP="008D7798">
            <w:pPr>
              <w:pStyle w:val="naisf"/>
              <w:tabs>
                <w:tab w:val="left" w:pos="7993"/>
              </w:tabs>
              <w:spacing w:before="0" w:after="0"/>
              <w:ind w:right="-1" w:firstLine="0"/>
              <w:jc w:val="center"/>
            </w:pPr>
            <w:r w:rsidRPr="00D95026">
              <w:t>0</w:t>
            </w:r>
          </w:p>
        </w:tc>
        <w:tc>
          <w:tcPr>
            <w:tcW w:w="761" w:type="pct"/>
            <w:vAlign w:val="center"/>
          </w:tcPr>
          <w:p w:rsidR="00973D4C" w:rsidRPr="00D95026" w:rsidRDefault="00973D4C" w:rsidP="008D7798">
            <w:pPr>
              <w:pStyle w:val="naisf"/>
              <w:tabs>
                <w:tab w:val="left" w:pos="7993"/>
              </w:tabs>
              <w:spacing w:before="0" w:after="0"/>
              <w:ind w:right="-1" w:firstLine="0"/>
              <w:jc w:val="center"/>
            </w:pPr>
            <w:r w:rsidRPr="00D95026">
              <w:t>0</w:t>
            </w:r>
          </w:p>
        </w:tc>
        <w:tc>
          <w:tcPr>
            <w:tcW w:w="761" w:type="pct"/>
            <w:vAlign w:val="center"/>
          </w:tcPr>
          <w:p w:rsidR="00973D4C" w:rsidRPr="00D95026" w:rsidRDefault="00973D4C" w:rsidP="008D7798">
            <w:pPr>
              <w:pStyle w:val="naisf"/>
              <w:tabs>
                <w:tab w:val="left" w:pos="7993"/>
              </w:tabs>
              <w:spacing w:before="0" w:after="0"/>
              <w:ind w:right="-1" w:firstLine="0"/>
              <w:jc w:val="center"/>
            </w:pPr>
            <w:r w:rsidRPr="00D95026">
              <w:t>0</w:t>
            </w:r>
          </w:p>
        </w:tc>
        <w:tc>
          <w:tcPr>
            <w:tcW w:w="761" w:type="pct"/>
            <w:vAlign w:val="center"/>
          </w:tcPr>
          <w:p w:rsidR="00973D4C" w:rsidRPr="00D95026" w:rsidRDefault="00973D4C" w:rsidP="008D7798">
            <w:pPr>
              <w:pStyle w:val="naisf"/>
              <w:tabs>
                <w:tab w:val="left" w:pos="7993"/>
              </w:tabs>
              <w:spacing w:before="0" w:after="0"/>
              <w:ind w:right="-1" w:firstLine="0"/>
              <w:jc w:val="center"/>
            </w:pPr>
            <w:r w:rsidRPr="00D95026">
              <w:t>0</w:t>
            </w:r>
          </w:p>
        </w:tc>
        <w:tc>
          <w:tcPr>
            <w:tcW w:w="773" w:type="pct"/>
            <w:gridSpan w:val="2"/>
            <w:vAlign w:val="center"/>
          </w:tcPr>
          <w:p w:rsidR="00973D4C" w:rsidRPr="00D95026" w:rsidRDefault="00973D4C" w:rsidP="008D7798">
            <w:pPr>
              <w:pStyle w:val="naisf"/>
              <w:tabs>
                <w:tab w:val="left" w:pos="7993"/>
              </w:tabs>
              <w:spacing w:before="0" w:after="0"/>
              <w:ind w:right="-1" w:firstLine="0"/>
              <w:jc w:val="center"/>
            </w:pPr>
            <w:r w:rsidRPr="00D95026">
              <w:t>0</w:t>
            </w:r>
          </w:p>
        </w:tc>
      </w:tr>
      <w:tr w:rsidR="00D95026" w:rsidRPr="00D95026" w:rsidTr="00CB677A">
        <w:trPr>
          <w:jc w:val="center"/>
        </w:trPr>
        <w:tc>
          <w:tcPr>
            <w:tcW w:w="1261" w:type="pct"/>
            <w:gridSpan w:val="2"/>
          </w:tcPr>
          <w:p w:rsidR="00A85E9B" w:rsidRPr="00D95026" w:rsidRDefault="00A85E9B" w:rsidP="008D7798">
            <w:pPr>
              <w:pStyle w:val="naiskr"/>
              <w:tabs>
                <w:tab w:val="left" w:pos="7993"/>
              </w:tabs>
              <w:spacing w:before="0" w:after="0"/>
              <w:ind w:right="-1"/>
            </w:pPr>
            <w:r w:rsidRPr="00D95026">
              <w:t>2. Budžeta izdevumi:</w:t>
            </w:r>
          </w:p>
        </w:tc>
        <w:tc>
          <w:tcPr>
            <w:tcW w:w="684" w:type="pct"/>
          </w:tcPr>
          <w:p w:rsidR="00A85E9B" w:rsidRPr="00D95026" w:rsidRDefault="00A85E9B" w:rsidP="008D7798">
            <w:pPr>
              <w:pStyle w:val="naisf"/>
              <w:tabs>
                <w:tab w:val="left" w:pos="7993"/>
              </w:tabs>
              <w:spacing w:before="0" w:after="0"/>
              <w:ind w:right="-1" w:firstLine="0"/>
              <w:jc w:val="center"/>
            </w:pPr>
            <w:r w:rsidRPr="00D95026">
              <w:t>0</w:t>
            </w:r>
          </w:p>
        </w:tc>
        <w:tc>
          <w:tcPr>
            <w:tcW w:w="761" w:type="pct"/>
          </w:tcPr>
          <w:p w:rsidR="00A85E9B" w:rsidRPr="00D95026" w:rsidRDefault="00A85E9B" w:rsidP="008D7798">
            <w:pPr>
              <w:pStyle w:val="naisf"/>
              <w:tabs>
                <w:tab w:val="left" w:pos="7993"/>
              </w:tabs>
              <w:spacing w:before="0" w:after="0"/>
              <w:ind w:right="-1" w:firstLine="0"/>
              <w:jc w:val="center"/>
            </w:pPr>
            <w:r w:rsidRPr="00D95026">
              <w:t>0</w:t>
            </w:r>
          </w:p>
        </w:tc>
        <w:tc>
          <w:tcPr>
            <w:tcW w:w="761" w:type="pct"/>
          </w:tcPr>
          <w:p w:rsidR="00A85E9B" w:rsidRPr="00D95026" w:rsidRDefault="00A85E9B" w:rsidP="00414EBF">
            <w:pPr>
              <w:pStyle w:val="naisf"/>
              <w:tabs>
                <w:tab w:val="left" w:pos="7993"/>
              </w:tabs>
              <w:spacing w:before="0" w:after="0"/>
              <w:ind w:right="-1" w:firstLine="0"/>
              <w:jc w:val="center"/>
            </w:pPr>
            <w:r w:rsidRPr="00D95026">
              <w:t>-</w:t>
            </w:r>
            <w:r w:rsidR="00414EBF" w:rsidRPr="00D95026">
              <w:t>550 220</w:t>
            </w:r>
          </w:p>
        </w:tc>
        <w:tc>
          <w:tcPr>
            <w:tcW w:w="761" w:type="pct"/>
          </w:tcPr>
          <w:p w:rsidR="00A85E9B" w:rsidRPr="00D95026" w:rsidRDefault="00F60731" w:rsidP="00414EBF">
            <w:pPr>
              <w:pStyle w:val="naisf"/>
              <w:tabs>
                <w:tab w:val="left" w:pos="7993"/>
              </w:tabs>
              <w:spacing w:before="0" w:after="0"/>
              <w:ind w:right="-1" w:firstLine="0"/>
              <w:jc w:val="center"/>
            </w:pPr>
            <w:r w:rsidRPr="00D95026">
              <w:t>-</w:t>
            </w:r>
            <w:r w:rsidR="00414EBF" w:rsidRPr="00D95026">
              <w:t>2 207 875</w:t>
            </w:r>
          </w:p>
        </w:tc>
        <w:tc>
          <w:tcPr>
            <w:tcW w:w="773" w:type="pct"/>
            <w:gridSpan w:val="2"/>
          </w:tcPr>
          <w:p w:rsidR="00A85E9B" w:rsidRPr="00D95026" w:rsidRDefault="00A12EA3" w:rsidP="00414EBF">
            <w:pPr>
              <w:pStyle w:val="naisf"/>
              <w:tabs>
                <w:tab w:val="left" w:pos="7993"/>
              </w:tabs>
              <w:spacing w:before="0" w:after="0"/>
              <w:ind w:right="-1" w:firstLine="0"/>
              <w:jc w:val="center"/>
            </w:pPr>
            <w:r w:rsidRPr="00D95026">
              <w:t>12 945 883</w:t>
            </w:r>
            <w:r w:rsidR="00414EBF" w:rsidRPr="00D95026">
              <w:t xml:space="preserve"> </w:t>
            </w:r>
          </w:p>
        </w:tc>
      </w:tr>
      <w:tr w:rsidR="00D95026" w:rsidRPr="00D95026" w:rsidTr="00CB677A">
        <w:trPr>
          <w:trHeight w:val="195"/>
          <w:jc w:val="center"/>
        </w:trPr>
        <w:tc>
          <w:tcPr>
            <w:tcW w:w="1261" w:type="pct"/>
            <w:gridSpan w:val="2"/>
          </w:tcPr>
          <w:p w:rsidR="00A85E9B" w:rsidRPr="00D95026" w:rsidRDefault="00A85E9B" w:rsidP="008D7798">
            <w:pPr>
              <w:pStyle w:val="naiskr"/>
              <w:tabs>
                <w:tab w:val="left" w:pos="7993"/>
              </w:tabs>
              <w:spacing w:before="0" w:after="0"/>
              <w:ind w:right="-1"/>
            </w:pPr>
            <w:r w:rsidRPr="00D95026">
              <w:t>2.1. valsts pamatbudžets</w:t>
            </w:r>
          </w:p>
        </w:tc>
        <w:tc>
          <w:tcPr>
            <w:tcW w:w="684" w:type="pct"/>
          </w:tcPr>
          <w:p w:rsidR="00A85E9B" w:rsidRPr="00D95026" w:rsidRDefault="00A85E9B" w:rsidP="008D7798">
            <w:pPr>
              <w:pStyle w:val="naisf"/>
              <w:tabs>
                <w:tab w:val="left" w:pos="7993"/>
              </w:tabs>
              <w:spacing w:before="0" w:after="0"/>
              <w:ind w:right="-1" w:firstLine="0"/>
              <w:jc w:val="center"/>
            </w:pPr>
            <w:r w:rsidRPr="00D95026">
              <w:t>0</w:t>
            </w:r>
          </w:p>
        </w:tc>
        <w:tc>
          <w:tcPr>
            <w:tcW w:w="761" w:type="pct"/>
          </w:tcPr>
          <w:p w:rsidR="00A85E9B" w:rsidRPr="00D95026" w:rsidRDefault="00A85E9B" w:rsidP="008D7798">
            <w:pPr>
              <w:pStyle w:val="naisf"/>
              <w:tabs>
                <w:tab w:val="left" w:pos="7993"/>
              </w:tabs>
              <w:spacing w:before="0" w:after="0"/>
              <w:ind w:right="-1" w:firstLine="0"/>
              <w:jc w:val="center"/>
            </w:pPr>
            <w:r w:rsidRPr="00D95026">
              <w:t>0</w:t>
            </w:r>
          </w:p>
        </w:tc>
        <w:tc>
          <w:tcPr>
            <w:tcW w:w="761" w:type="pct"/>
          </w:tcPr>
          <w:p w:rsidR="00A85E9B" w:rsidRPr="00D95026" w:rsidRDefault="00F60731" w:rsidP="008D7798">
            <w:pPr>
              <w:pStyle w:val="naisf"/>
              <w:tabs>
                <w:tab w:val="left" w:pos="7993"/>
              </w:tabs>
              <w:spacing w:before="0" w:after="0"/>
              <w:ind w:right="-1" w:firstLine="0"/>
              <w:jc w:val="center"/>
            </w:pPr>
            <w:r w:rsidRPr="00D95026">
              <w:t>-</w:t>
            </w:r>
            <w:r w:rsidR="00414EBF" w:rsidRPr="00D95026">
              <w:t>550 220</w:t>
            </w:r>
          </w:p>
        </w:tc>
        <w:tc>
          <w:tcPr>
            <w:tcW w:w="761" w:type="pct"/>
          </w:tcPr>
          <w:p w:rsidR="00A85E9B" w:rsidRPr="00D95026" w:rsidRDefault="00F60731" w:rsidP="008D7798">
            <w:pPr>
              <w:pStyle w:val="naisf"/>
              <w:tabs>
                <w:tab w:val="left" w:pos="7993"/>
              </w:tabs>
              <w:spacing w:before="0" w:after="0"/>
              <w:ind w:right="-1" w:firstLine="0"/>
              <w:jc w:val="center"/>
            </w:pPr>
            <w:r w:rsidRPr="00D95026">
              <w:t>-</w:t>
            </w:r>
            <w:r w:rsidR="00414EBF" w:rsidRPr="00D95026">
              <w:t>2 207 875</w:t>
            </w:r>
          </w:p>
        </w:tc>
        <w:tc>
          <w:tcPr>
            <w:tcW w:w="773" w:type="pct"/>
            <w:gridSpan w:val="2"/>
          </w:tcPr>
          <w:p w:rsidR="00A85E9B" w:rsidRPr="00D95026" w:rsidRDefault="00A12EA3" w:rsidP="00414EBF">
            <w:pPr>
              <w:pStyle w:val="naisf"/>
              <w:tabs>
                <w:tab w:val="left" w:pos="7993"/>
              </w:tabs>
              <w:spacing w:before="0" w:after="0"/>
              <w:ind w:right="-1" w:firstLine="0"/>
              <w:jc w:val="center"/>
            </w:pPr>
            <w:r w:rsidRPr="00D95026">
              <w:t>12 945 883</w:t>
            </w:r>
          </w:p>
        </w:tc>
      </w:tr>
      <w:tr w:rsidR="00D95026" w:rsidRPr="00D95026" w:rsidTr="00CB677A">
        <w:trPr>
          <w:jc w:val="center"/>
        </w:trPr>
        <w:tc>
          <w:tcPr>
            <w:tcW w:w="1261" w:type="pct"/>
            <w:gridSpan w:val="2"/>
          </w:tcPr>
          <w:p w:rsidR="00A85E9B" w:rsidRPr="00D95026" w:rsidRDefault="00A85E9B" w:rsidP="008D7798">
            <w:pPr>
              <w:pStyle w:val="naiskr"/>
              <w:tabs>
                <w:tab w:val="left" w:pos="7993"/>
              </w:tabs>
              <w:spacing w:before="0" w:after="0"/>
              <w:ind w:right="-1"/>
            </w:pPr>
            <w:r w:rsidRPr="00D95026">
              <w:t>2.2. valsts speciālais budžets</w:t>
            </w:r>
          </w:p>
        </w:tc>
        <w:tc>
          <w:tcPr>
            <w:tcW w:w="684" w:type="pct"/>
            <w:vAlign w:val="center"/>
          </w:tcPr>
          <w:p w:rsidR="00A85E9B" w:rsidRPr="00D95026" w:rsidRDefault="00A85E9B" w:rsidP="008D7798">
            <w:pPr>
              <w:pStyle w:val="naisf"/>
              <w:tabs>
                <w:tab w:val="left" w:pos="7993"/>
              </w:tabs>
              <w:spacing w:before="0" w:after="0"/>
              <w:ind w:right="-1" w:firstLine="0"/>
              <w:jc w:val="center"/>
              <w:rPr>
                <w:b/>
              </w:rPr>
            </w:pPr>
            <w:r w:rsidRPr="00D95026">
              <w:t>0</w:t>
            </w:r>
          </w:p>
        </w:tc>
        <w:tc>
          <w:tcPr>
            <w:tcW w:w="761" w:type="pct"/>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rPr>
                <w:b/>
              </w:rPr>
            </w:pPr>
            <w:r w:rsidRPr="00D95026">
              <w:t>0</w:t>
            </w:r>
          </w:p>
        </w:tc>
        <w:tc>
          <w:tcPr>
            <w:tcW w:w="773" w:type="pct"/>
            <w:gridSpan w:val="2"/>
            <w:vAlign w:val="center"/>
          </w:tcPr>
          <w:p w:rsidR="00A85E9B" w:rsidRPr="00D95026" w:rsidRDefault="00A85E9B" w:rsidP="008D7798">
            <w:pPr>
              <w:pStyle w:val="naisf"/>
              <w:tabs>
                <w:tab w:val="left" w:pos="7993"/>
              </w:tabs>
              <w:spacing w:before="0" w:after="0"/>
              <w:ind w:right="-1" w:firstLine="0"/>
              <w:jc w:val="center"/>
              <w:rPr>
                <w:b/>
              </w:rPr>
            </w:pPr>
            <w:r w:rsidRPr="00D95026">
              <w:t>0</w:t>
            </w:r>
          </w:p>
        </w:tc>
      </w:tr>
      <w:tr w:rsidR="00D95026" w:rsidRPr="00D95026" w:rsidTr="00CB677A">
        <w:trPr>
          <w:jc w:val="center"/>
        </w:trPr>
        <w:tc>
          <w:tcPr>
            <w:tcW w:w="1261" w:type="pct"/>
            <w:gridSpan w:val="2"/>
          </w:tcPr>
          <w:p w:rsidR="00A85E9B" w:rsidRPr="00D95026" w:rsidRDefault="00A85E9B" w:rsidP="008D7798">
            <w:pPr>
              <w:pStyle w:val="naiskr"/>
              <w:tabs>
                <w:tab w:val="left" w:pos="7993"/>
              </w:tabs>
              <w:spacing w:before="0" w:after="0"/>
              <w:ind w:right="-1"/>
            </w:pPr>
            <w:r w:rsidRPr="00D95026">
              <w:t xml:space="preserve">2.3. pašvaldību budžets </w:t>
            </w:r>
          </w:p>
        </w:tc>
        <w:tc>
          <w:tcPr>
            <w:tcW w:w="684" w:type="pct"/>
            <w:vAlign w:val="center"/>
          </w:tcPr>
          <w:p w:rsidR="00A85E9B" w:rsidRPr="00D95026" w:rsidRDefault="00A85E9B" w:rsidP="008D7798">
            <w:pPr>
              <w:pStyle w:val="naisf"/>
              <w:tabs>
                <w:tab w:val="left" w:pos="7993"/>
              </w:tabs>
              <w:spacing w:before="0" w:after="0"/>
              <w:ind w:right="-1" w:firstLine="0"/>
              <w:jc w:val="center"/>
              <w:rPr>
                <w:b/>
              </w:rPr>
            </w:pPr>
            <w:r w:rsidRPr="00D95026">
              <w:t>0</w:t>
            </w:r>
          </w:p>
        </w:tc>
        <w:tc>
          <w:tcPr>
            <w:tcW w:w="761" w:type="pct"/>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rPr>
                <w:b/>
              </w:rPr>
            </w:pPr>
            <w:r w:rsidRPr="00D95026">
              <w:t>0</w:t>
            </w:r>
          </w:p>
        </w:tc>
        <w:tc>
          <w:tcPr>
            <w:tcW w:w="773" w:type="pct"/>
            <w:gridSpan w:val="2"/>
            <w:vAlign w:val="center"/>
          </w:tcPr>
          <w:p w:rsidR="00A85E9B" w:rsidRPr="00D95026" w:rsidRDefault="00A85E9B" w:rsidP="008D7798">
            <w:pPr>
              <w:pStyle w:val="naisf"/>
              <w:tabs>
                <w:tab w:val="left" w:pos="7993"/>
              </w:tabs>
              <w:spacing w:before="0" w:after="0"/>
              <w:ind w:right="-1" w:firstLine="0"/>
              <w:jc w:val="center"/>
              <w:rPr>
                <w:b/>
              </w:rPr>
            </w:pPr>
            <w:r w:rsidRPr="00D95026">
              <w:t>0</w:t>
            </w:r>
          </w:p>
        </w:tc>
      </w:tr>
      <w:tr w:rsidR="00D95026" w:rsidRPr="00D95026" w:rsidTr="00CB677A">
        <w:trPr>
          <w:jc w:val="center"/>
        </w:trPr>
        <w:tc>
          <w:tcPr>
            <w:tcW w:w="1261" w:type="pct"/>
            <w:gridSpan w:val="2"/>
          </w:tcPr>
          <w:p w:rsidR="00F60731" w:rsidRPr="00D95026" w:rsidRDefault="00F60731" w:rsidP="008D7798">
            <w:pPr>
              <w:pStyle w:val="naiskr"/>
              <w:tabs>
                <w:tab w:val="left" w:pos="7993"/>
              </w:tabs>
              <w:spacing w:before="0" w:after="0"/>
              <w:ind w:right="-1"/>
            </w:pPr>
            <w:r w:rsidRPr="00D95026">
              <w:t>3. Finansiālā ietekme:</w:t>
            </w:r>
          </w:p>
        </w:tc>
        <w:tc>
          <w:tcPr>
            <w:tcW w:w="684" w:type="pct"/>
            <w:shd w:val="clear" w:color="auto" w:fill="auto"/>
            <w:vAlign w:val="center"/>
          </w:tcPr>
          <w:p w:rsidR="00F60731" w:rsidRPr="00D95026" w:rsidRDefault="00F60731" w:rsidP="008D7798">
            <w:pPr>
              <w:pStyle w:val="naisf"/>
              <w:tabs>
                <w:tab w:val="left" w:pos="7993"/>
              </w:tabs>
              <w:spacing w:before="0" w:after="0"/>
              <w:ind w:right="-1" w:firstLine="0"/>
              <w:jc w:val="center"/>
            </w:pPr>
            <w:r w:rsidRPr="00D95026">
              <w:t>0</w:t>
            </w:r>
          </w:p>
        </w:tc>
        <w:tc>
          <w:tcPr>
            <w:tcW w:w="761" w:type="pct"/>
          </w:tcPr>
          <w:p w:rsidR="00F60731" w:rsidRPr="00D95026" w:rsidRDefault="00F60731" w:rsidP="008D7798">
            <w:pPr>
              <w:pStyle w:val="naisf"/>
              <w:tabs>
                <w:tab w:val="left" w:pos="7993"/>
              </w:tabs>
              <w:spacing w:before="0" w:after="0"/>
              <w:ind w:right="-1" w:firstLine="0"/>
              <w:jc w:val="center"/>
            </w:pPr>
            <w:r w:rsidRPr="00D95026">
              <w:t>0</w:t>
            </w:r>
          </w:p>
        </w:tc>
        <w:tc>
          <w:tcPr>
            <w:tcW w:w="761" w:type="pct"/>
          </w:tcPr>
          <w:p w:rsidR="00F60731" w:rsidRPr="00D95026" w:rsidRDefault="00414EBF" w:rsidP="00F60731">
            <w:pPr>
              <w:pStyle w:val="naisf"/>
              <w:tabs>
                <w:tab w:val="left" w:pos="7993"/>
              </w:tabs>
              <w:spacing w:before="0" w:after="0"/>
              <w:ind w:right="-1" w:firstLine="0"/>
              <w:jc w:val="center"/>
            </w:pPr>
            <w:r w:rsidRPr="00D95026">
              <w:t>550 220</w:t>
            </w:r>
          </w:p>
        </w:tc>
        <w:tc>
          <w:tcPr>
            <w:tcW w:w="761" w:type="pct"/>
          </w:tcPr>
          <w:p w:rsidR="00F60731" w:rsidRPr="00D95026" w:rsidRDefault="00414EBF" w:rsidP="00F60731">
            <w:pPr>
              <w:pStyle w:val="naisf"/>
              <w:tabs>
                <w:tab w:val="left" w:pos="7993"/>
              </w:tabs>
              <w:spacing w:before="0" w:after="0"/>
              <w:ind w:right="-1" w:firstLine="0"/>
              <w:jc w:val="center"/>
            </w:pPr>
            <w:r w:rsidRPr="00D95026">
              <w:t>2 207 875</w:t>
            </w:r>
          </w:p>
        </w:tc>
        <w:tc>
          <w:tcPr>
            <w:tcW w:w="773" w:type="pct"/>
            <w:gridSpan w:val="2"/>
          </w:tcPr>
          <w:p w:rsidR="00F60731" w:rsidRPr="00D95026" w:rsidRDefault="00F60731" w:rsidP="00414EBF">
            <w:pPr>
              <w:pStyle w:val="naisf"/>
              <w:tabs>
                <w:tab w:val="left" w:pos="7993"/>
              </w:tabs>
              <w:spacing w:before="0" w:after="0"/>
              <w:ind w:right="-1" w:firstLine="0"/>
              <w:jc w:val="center"/>
            </w:pPr>
            <w:r w:rsidRPr="00D95026">
              <w:t>-</w:t>
            </w:r>
            <w:r w:rsidR="00A12EA3" w:rsidRPr="00D95026">
              <w:t>12 945 883</w:t>
            </w:r>
          </w:p>
        </w:tc>
      </w:tr>
      <w:tr w:rsidR="00D95026" w:rsidRPr="00D95026" w:rsidTr="00CB677A">
        <w:trPr>
          <w:jc w:val="center"/>
        </w:trPr>
        <w:tc>
          <w:tcPr>
            <w:tcW w:w="1261" w:type="pct"/>
            <w:gridSpan w:val="2"/>
          </w:tcPr>
          <w:p w:rsidR="00F60731" w:rsidRPr="00D95026" w:rsidRDefault="00F60731" w:rsidP="008D7798">
            <w:pPr>
              <w:pStyle w:val="naiskr"/>
              <w:tabs>
                <w:tab w:val="left" w:pos="7993"/>
              </w:tabs>
              <w:spacing w:before="0" w:after="0"/>
              <w:ind w:right="-1"/>
            </w:pPr>
            <w:r w:rsidRPr="00D95026">
              <w:t>3.1. valsts pamatbudžets</w:t>
            </w:r>
          </w:p>
        </w:tc>
        <w:tc>
          <w:tcPr>
            <w:tcW w:w="684" w:type="pct"/>
            <w:shd w:val="clear" w:color="auto" w:fill="auto"/>
            <w:vAlign w:val="center"/>
          </w:tcPr>
          <w:p w:rsidR="00F60731" w:rsidRPr="00D95026" w:rsidRDefault="00F60731" w:rsidP="008D7798">
            <w:pPr>
              <w:pStyle w:val="naisf"/>
              <w:tabs>
                <w:tab w:val="left" w:pos="7993"/>
              </w:tabs>
              <w:spacing w:before="0" w:after="0"/>
              <w:ind w:right="-1" w:firstLine="0"/>
              <w:jc w:val="center"/>
            </w:pPr>
            <w:r w:rsidRPr="00D95026">
              <w:t>0</w:t>
            </w:r>
          </w:p>
        </w:tc>
        <w:tc>
          <w:tcPr>
            <w:tcW w:w="761" w:type="pct"/>
          </w:tcPr>
          <w:p w:rsidR="00F60731" w:rsidRPr="00D95026" w:rsidRDefault="00F60731" w:rsidP="008D7798">
            <w:pPr>
              <w:pStyle w:val="naisf"/>
              <w:tabs>
                <w:tab w:val="left" w:pos="7993"/>
              </w:tabs>
              <w:spacing w:before="0" w:after="0"/>
              <w:ind w:right="-1" w:firstLine="0"/>
              <w:jc w:val="center"/>
            </w:pPr>
            <w:r w:rsidRPr="00D95026">
              <w:t>0</w:t>
            </w:r>
          </w:p>
        </w:tc>
        <w:tc>
          <w:tcPr>
            <w:tcW w:w="761" w:type="pct"/>
          </w:tcPr>
          <w:p w:rsidR="00F60731" w:rsidRPr="00D95026" w:rsidRDefault="00414EBF" w:rsidP="00F60731">
            <w:pPr>
              <w:pStyle w:val="naisf"/>
              <w:tabs>
                <w:tab w:val="left" w:pos="7993"/>
              </w:tabs>
              <w:spacing w:before="0" w:after="0"/>
              <w:ind w:right="-1" w:firstLine="0"/>
              <w:jc w:val="center"/>
            </w:pPr>
            <w:r w:rsidRPr="00D95026">
              <w:t>550 220</w:t>
            </w:r>
          </w:p>
        </w:tc>
        <w:tc>
          <w:tcPr>
            <w:tcW w:w="761" w:type="pct"/>
          </w:tcPr>
          <w:p w:rsidR="00F60731" w:rsidRPr="00D95026" w:rsidRDefault="00414EBF" w:rsidP="00F60731">
            <w:pPr>
              <w:pStyle w:val="naisf"/>
              <w:tabs>
                <w:tab w:val="left" w:pos="7993"/>
              </w:tabs>
              <w:spacing w:before="0" w:after="0"/>
              <w:ind w:right="-1" w:firstLine="0"/>
              <w:jc w:val="center"/>
            </w:pPr>
            <w:r w:rsidRPr="00D95026">
              <w:t>2 207 875</w:t>
            </w:r>
          </w:p>
        </w:tc>
        <w:tc>
          <w:tcPr>
            <w:tcW w:w="773" w:type="pct"/>
            <w:gridSpan w:val="2"/>
          </w:tcPr>
          <w:p w:rsidR="00F60731" w:rsidRPr="00D95026" w:rsidRDefault="00F60731" w:rsidP="00414EBF">
            <w:pPr>
              <w:pStyle w:val="naisf"/>
              <w:tabs>
                <w:tab w:val="left" w:pos="7993"/>
              </w:tabs>
              <w:spacing w:before="0" w:after="0"/>
              <w:ind w:right="-1" w:firstLine="0"/>
              <w:jc w:val="center"/>
            </w:pPr>
            <w:r w:rsidRPr="00D95026">
              <w:t>-</w:t>
            </w:r>
            <w:r w:rsidR="00A12EA3" w:rsidRPr="00D95026">
              <w:t>12 945 883</w:t>
            </w:r>
          </w:p>
        </w:tc>
      </w:tr>
      <w:tr w:rsidR="00D95026" w:rsidRPr="00D95026" w:rsidTr="00CB677A">
        <w:trPr>
          <w:jc w:val="center"/>
        </w:trPr>
        <w:tc>
          <w:tcPr>
            <w:tcW w:w="1261" w:type="pct"/>
            <w:gridSpan w:val="2"/>
          </w:tcPr>
          <w:p w:rsidR="00A85E9B" w:rsidRPr="00D95026" w:rsidRDefault="00A85E9B" w:rsidP="008D7798">
            <w:pPr>
              <w:pStyle w:val="naiskr"/>
              <w:tabs>
                <w:tab w:val="left" w:pos="7993"/>
              </w:tabs>
              <w:spacing w:before="0" w:after="0"/>
              <w:ind w:right="-1"/>
            </w:pPr>
            <w:r w:rsidRPr="00D95026">
              <w:t>3.2. speciālais budžets</w:t>
            </w:r>
          </w:p>
        </w:tc>
        <w:tc>
          <w:tcPr>
            <w:tcW w:w="684" w:type="pct"/>
            <w:shd w:val="clear" w:color="auto" w:fill="auto"/>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61" w:type="pct"/>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73" w:type="pct"/>
            <w:gridSpan w:val="2"/>
          </w:tcPr>
          <w:p w:rsidR="00A85E9B" w:rsidRPr="00D95026" w:rsidRDefault="00A85E9B" w:rsidP="008D7798">
            <w:pPr>
              <w:pStyle w:val="naisf"/>
              <w:tabs>
                <w:tab w:val="left" w:pos="7993"/>
              </w:tabs>
              <w:spacing w:before="0" w:after="0"/>
              <w:ind w:right="-1" w:firstLine="0"/>
              <w:jc w:val="center"/>
            </w:pPr>
            <w:r w:rsidRPr="00D95026">
              <w:t>0</w:t>
            </w:r>
          </w:p>
        </w:tc>
      </w:tr>
      <w:tr w:rsidR="00D95026" w:rsidRPr="00D95026" w:rsidTr="00CB677A">
        <w:trPr>
          <w:jc w:val="center"/>
        </w:trPr>
        <w:tc>
          <w:tcPr>
            <w:tcW w:w="1261" w:type="pct"/>
            <w:gridSpan w:val="2"/>
          </w:tcPr>
          <w:p w:rsidR="00A85E9B" w:rsidRPr="00D95026" w:rsidRDefault="00A85E9B" w:rsidP="008D7798">
            <w:pPr>
              <w:pStyle w:val="naiskr"/>
              <w:tabs>
                <w:tab w:val="left" w:pos="7993"/>
              </w:tabs>
              <w:spacing w:before="0" w:after="0"/>
              <w:ind w:right="-1"/>
            </w:pPr>
            <w:r w:rsidRPr="00D95026">
              <w:t xml:space="preserve">3.3. pašvaldību budžets </w:t>
            </w:r>
          </w:p>
        </w:tc>
        <w:tc>
          <w:tcPr>
            <w:tcW w:w="684" w:type="pct"/>
            <w:shd w:val="clear" w:color="auto" w:fill="auto"/>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61" w:type="pct"/>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73" w:type="pct"/>
            <w:gridSpan w:val="2"/>
            <w:vAlign w:val="center"/>
          </w:tcPr>
          <w:p w:rsidR="00A85E9B" w:rsidRPr="00D95026" w:rsidRDefault="00A85E9B" w:rsidP="008D7798">
            <w:pPr>
              <w:pStyle w:val="naisf"/>
              <w:tabs>
                <w:tab w:val="left" w:pos="7993"/>
              </w:tabs>
              <w:spacing w:before="0" w:after="0"/>
              <w:ind w:right="-1" w:firstLine="0"/>
              <w:jc w:val="center"/>
            </w:pPr>
            <w:r w:rsidRPr="00D95026">
              <w:t>0</w:t>
            </w:r>
          </w:p>
        </w:tc>
      </w:tr>
      <w:tr w:rsidR="00D95026" w:rsidRPr="00D95026" w:rsidTr="00CB677A">
        <w:trPr>
          <w:jc w:val="center"/>
        </w:trPr>
        <w:tc>
          <w:tcPr>
            <w:tcW w:w="1261" w:type="pct"/>
            <w:gridSpan w:val="2"/>
            <w:vMerge w:val="restart"/>
          </w:tcPr>
          <w:p w:rsidR="00A85E9B" w:rsidRPr="00D95026" w:rsidRDefault="00A85E9B" w:rsidP="008D7798">
            <w:pPr>
              <w:pStyle w:val="naiskr"/>
              <w:tabs>
                <w:tab w:val="left" w:pos="7993"/>
              </w:tabs>
              <w:spacing w:before="0" w:after="0"/>
              <w:ind w:right="-1"/>
            </w:pPr>
            <w:r w:rsidRPr="00D95026">
              <w:t>4. Finanšu līdzekļi papildu izde</w:t>
            </w:r>
            <w:r w:rsidRPr="00D95026">
              <w:softHyphen/>
              <w:t>vumu finansēšanai (kompensējošu izdevumu samazinājumu norāda ar "+" zīmi)</w:t>
            </w:r>
          </w:p>
        </w:tc>
        <w:tc>
          <w:tcPr>
            <w:tcW w:w="684" w:type="pct"/>
            <w:vMerge w:val="restart"/>
            <w:vAlign w:val="center"/>
          </w:tcPr>
          <w:p w:rsidR="00A85E9B" w:rsidRPr="00D95026" w:rsidRDefault="00A85E9B" w:rsidP="008D7798">
            <w:pPr>
              <w:pStyle w:val="naisf"/>
              <w:tabs>
                <w:tab w:val="left" w:pos="7993"/>
              </w:tabs>
              <w:spacing w:before="0" w:after="0"/>
              <w:ind w:right="-1" w:firstLine="0"/>
              <w:jc w:val="center"/>
            </w:pPr>
            <w:r w:rsidRPr="00D95026">
              <w:t>X</w:t>
            </w:r>
          </w:p>
        </w:tc>
        <w:tc>
          <w:tcPr>
            <w:tcW w:w="761" w:type="pct"/>
            <w:vMerge w:val="restart"/>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73" w:type="pct"/>
            <w:gridSpan w:val="2"/>
            <w:vAlign w:val="center"/>
          </w:tcPr>
          <w:p w:rsidR="00A85E9B" w:rsidRPr="00D95026" w:rsidRDefault="00A85E9B" w:rsidP="008D7798">
            <w:pPr>
              <w:pStyle w:val="Galvene"/>
              <w:tabs>
                <w:tab w:val="left" w:pos="7993"/>
              </w:tabs>
              <w:ind w:right="-1"/>
              <w:jc w:val="center"/>
              <w:rPr>
                <w:rFonts w:ascii="Times New Roman" w:hAnsi="Times New Roman"/>
                <w:sz w:val="24"/>
                <w:szCs w:val="24"/>
              </w:rPr>
            </w:pPr>
            <w:r w:rsidRPr="00D95026">
              <w:rPr>
                <w:rFonts w:ascii="Times New Roman" w:hAnsi="Times New Roman"/>
                <w:sz w:val="24"/>
                <w:szCs w:val="24"/>
              </w:rPr>
              <w:t>0</w:t>
            </w:r>
          </w:p>
        </w:tc>
      </w:tr>
      <w:tr w:rsidR="00D95026" w:rsidRPr="00D95026" w:rsidTr="00CB677A">
        <w:trPr>
          <w:jc w:val="center"/>
        </w:trPr>
        <w:tc>
          <w:tcPr>
            <w:tcW w:w="1261" w:type="pct"/>
            <w:gridSpan w:val="2"/>
            <w:vMerge/>
          </w:tcPr>
          <w:p w:rsidR="00A85E9B" w:rsidRPr="00D95026" w:rsidRDefault="00A85E9B" w:rsidP="008D7798">
            <w:pPr>
              <w:tabs>
                <w:tab w:val="left" w:pos="7993"/>
              </w:tabs>
              <w:ind w:right="-1"/>
              <w:rPr>
                <w:rFonts w:ascii="Times New Roman" w:hAnsi="Times New Roman"/>
                <w:sz w:val="24"/>
                <w:szCs w:val="24"/>
              </w:rPr>
            </w:pPr>
          </w:p>
        </w:tc>
        <w:tc>
          <w:tcPr>
            <w:tcW w:w="684" w:type="pct"/>
            <w:vMerge/>
          </w:tcPr>
          <w:p w:rsidR="00A85E9B" w:rsidRPr="00D95026" w:rsidRDefault="00A85E9B" w:rsidP="008D7798">
            <w:pPr>
              <w:pStyle w:val="Galvene"/>
              <w:tabs>
                <w:tab w:val="left" w:pos="7993"/>
              </w:tabs>
              <w:ind w:right="-1"/>
              <w:jc w:val="center"/>
              <w:rPr>
                <w:rFonts w:ascii="Times New Roman" w:hAnsi="Times New Roman"/>
                <w:sz w:val="24"/>
                <w:szCs w:val="24"/>
              </w:rPr>
            </w:pPr>
          </w:p>
        </w:tc>
        <w:tc>
          <w:tcPr>
            <w:tcW w:w="761" w:type="pct"/>
            <w:vMerge/>
          </w:tcPr>
          <w:p w:rsidR="00A85E9B" w:rsidRPr="00D95026" w:rsidRDefault="00A85E9B" w:rsidP="008D7798">
            <w:pPr>
              <w:pStyle w:val="naisf"/>
              <w:tabs>
                <w:tab w:val="left" w:pos="7993"/>
              </w:tabs>
              <w:spacing w:before="0" w:after="0"/>
              <w:ind w:right="-1" w:firstLine="0"/>
              <w:jc w:val="center"/>
            </w:pPr>
          </w:p>
        </w:tc>
        <w:tc>
          <w:tcPr>
            <w:tcW w:w="761" w:type="pct"/>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61" w:type="pct"/>
            <w:vAlign w:val="center"/>
          </w:tcPr>
          <w:p w:rsidR="00A85E9B" w:rsidRPr="00D95026" w:rsidRDefault="00A85E9B" w:rsidP="008D7798">
            <w:pPr>
              <w:pStyle w:val="naisf"/>
              <w:tabs>
                <w:tab w:val="left" w:pos="7993"/>
              </w:tabs>
              <w:spacing w:before="0" w:after="0"/>
              <w:ind w:right="-1" w:firstLine="0"/>
              <w:jc w:val="center"/>
            </w:pPr>
            <w:r w:rsidRPr="00D95026">
              <w:t>0</w:t>
            </w:r>
          </w:p>
        </w:tc>
        <w:tc>
          <w:tcPr>
            <w:tcW w:w="773" w:type="pct"/>
            <w:gridSpan w:val="2"/>
            <w:vAlign w:val="center"/>
          </w:tcPr>
          <w:p w:rsidR="00A85E9B" w:rsidRPr="00D95026" w:rsidRDefault="00A85E9B" w:rsidP="008D7798">
            <w:pPr>
              <w:pStyle w:val="Galvene"/>
              <w:tabs>
                <w:tab w:val="left" w:pos="7993"/>
              </w:tabs>
              <w:ind w:right="-1"/>
              <w:jc w:val="center"/>
              <w:rPr>
                <w:rFonts w:ascii="Times New Roman" w:hAnsi="Times New Roman"/>
                <w:sz w:val="24"/>
                <w:szCs w:val="24"/>
              </w:rPr>
            </w:pPr>
            <w:r w:rsidRPr="00D95026">
              <w:rPr>
                <w:rFonts w:ascii="Times New Roman" w:hAnsi="Times New Roman"/>
                <w:sz w:val="24"/>
                <w:szCs w:val="24"/>
              </w:rPr>
              <w:t>0</w:t>
            </w:r>
          </w:p>
        </w:tc>
      </w:tr>
      <w:tr w:rsidR="00D95026" w:rsidRPr="00D95026" w:rsidTr="00CB677A">
        <w:trPr>
          <w:jc w:val="center"/>
        </w:trPr>
        <w:tc>
          <w:tcPr>
            <w:tcW w:w="1261" w:type="pct"/>
            <w:gridSpan w:val="2"/>
            <w:vMerge/>
          </w:tcPr>
          <w:p w:rsidR="00A85E9B" w:rsidRPr="00D95026" w:rsidRDefault="00A85E9B" w:rsidP="008D7798">
            <w:pPr>
              <w:tabs>
                <w:tab w:val="left" w:pos="7993"/>
              </w:tabs>
              <w:ind w:right="-1"/>
              <w:rPr>
                <w:rFonts w:ascii="Times New Roman" w:hAnsi="Times New Roman"/>
                <w:sz w:val="24"/>
                <w:szCs w:val="24"/>
              </w:rPr>
            </w:pPr>
          </w:p>
        </w:tc>
        <w:tc>
          <w:tcPr>
            <w:tcW w:w="684" w:type="pct"/>
            <w:vMerge/>
          </w:tcPr>
          <w:p w:rsidR="00A85E9B" w:rsidRPr="00D95026" w:rsidRDefault="00A85E9B" w:rsidP="008D7798">
            <w:pPr>
              <w:pStyle w:val="Galvene"/>
              <w:tabs>
                <w:tab w:val="left" w:pos="7993"/>
              </w:tabs>
              <w:ind w:right="-1"/>
              <w:jc w:val="center"/>
              <w:rPr>
                <w:rFonts w:ascii="Times New Roman" w:hAnsi="Times New Roman"/>
                <w:sz w:val="24"/>
                <w:szCs w:val="24"/>
              </w:rPr>
            </w:pPr>
          </w:p>
        </w:tc>
        <w:tc>
          <w:tcPr>
            <w:tcW w:w="761" w:type="pct"/>
            <w:vMerge/>
          </w:tcPr>
          <w:p w:rsidR="00A85E9B" w:rsidRPr="00D95026" w:rsidRDefault="00A85E9B" w:rsidP="008D7798">
            <w:pPr>
              <w:pStyle w:val="naisf"/>
              <w:tabs>
                <w:tab w:val="left" w:pos="7993"/>
              </w:tabs>
              <w:spacing w:before="0" w:after="0"/>
              <w:ind w:right="-1" w:firstLine="0"/>
              <w:jc w:val="center"/>
            </w:pPr>
          </w:p>
        </w:tc>
        <w:tc>
          <w:tcPr>
            <w:tcW w:w="761" w:type="pct"/>
            <w:vAlign w:val="center"/>
          </w:tcPr>
          <w:p w:rsidR="00A85E9B" w:rsidRPr="00D95026" w:rsidRDefault="00A85E9B" w:rsidP="008D7798">
            <w:pPr>
              <w:pStyle w:val="naislab"/>
              <w:tabs>
                <w:tab w:val="left" w:pos="7993"/>
              </w:tabs>
              <w:spacing w:before="0" w:after="0"/>
              <w:ind w:right="-1"/>
              <w:jc w:val="center"/>
            </w:pPr>
            <w:r w:rsidRPr="00D95026">
              <w:t>0</w:t>
            </w:r>
          </w:p>
        </w:tc>
        <w:tc>
          <w:tcPr>
            <w:tcW w:w="761" w:type="pct"/>
            <w:vAlign w:val="center"/>
          </w:tcPr>
          <w:p w:rsidR="00A85E9B" w:rsidRPr="00D95026" w:rsidRDefault="00A85E9B" w:rsidP="008D7798">
            <w:pPr>
              <w:pStyle w:val="naislab"/>
              <w:tabs>
                <w:tab w:val="left" w:pos="7993"/>
              </w:tabs>
              <w:spacing w:before="0" w:after="0"/>
              <w:ind w:right="-1"/>
              <w:jc w:val="center"/>
            </w:pPr>
            <w:r w:rsidRPr="00D95026">
              <w:t>0</w:t>
            </w:r>
          </w:p>
        </w:tc>
        <w:tc>
          <w:tcPr>
            <w:tcW w:w="773" w:type="pct"/>
            <w:gridSpan w:val="2"/>
            <w:vAlign w:val="center"/>
          </w:tcPr>
          <w:p w:rsidR="00A85E9B" w:rsidRPr="00D95026" w:rsidRDefault="00A85E9B" w:rsidP="008D7798">
            <w:pPr>
              <w:pStyle w:val="Galvene"/>
              <w:tabs>
                <w:tab w:val="left" w:pos="7993"/>
              </w:tabs>
              <w:ind w:right="-1"/>
              <w:jc w:val="center"/>
              <w:rPr>
                <w:rFonts w:ascii="Times New Roman" w:hAnsi="Times New Roman"/>
                <w:sz w:val="24"/>
                <w:szCs w:val="24"/>
              </w:rPr>
            </w:pPr>
            <w:r w:rsidRPr="00D95026">
              <w:rPr>
                <w:rFonts w:ascii="Times New Roman" w:hAnsi="Times New Roman"/>
                <w:sz w:val="24"/>
                <w:szCs w:val="24"/>
              </w:rPr>
              <w:t>0</w:t>
            </w:r>
          </w:p>
        </w:tc>
      </w:tr>
      <w:tr w:rsidR="00D95026" w:rsidRPr="00D95026" w:rsidTr="00CB677A">
        <w:trPr>
          <w:jc w:val="center"/>
        </w:trPr>
        <w:tc>
          <w:tcPr>
            <w:tcW w:w="1261" w:type="pct"/>
            <w:gridSpan w:val="2"/>
          </w:tcPr>
          <w:p w:rsidR="00F60731" w:rsidRPr="00D95026" w:rsidRDefault="00F60731" w:rsidP="008D7798">
            <w:pPr>
              <w:pStyle w:val="naiskr"/>
              <w:tabs>
                <w:tab w:val="left" w:pos="7993"/>
              </w:tabs>
              <w:spacing w:before="0" w:after="0"/>
              <w:ind w:right="-1"/>
            </w:pPr>
            <w:r w:rsidRPr="00D95026">
              <w:t>5. Precizēta finansiālā ietekme:</w:t>
            </w:r>
          </w:p>
        </w:tc>
        <w:tc>
          <w:tcPr>
            <w:tcW w:w="684" w:type="pct"/>
            <w:vMerge w:val="restart"/>
            <w:vAlign w:val="center"/>
          </w:tcPr>
          <w:p w:rsidR="00F60731" w:rsidRPr="00D95026" w:rsidRDefault="00F60731" w:rsidP="008D7798">
            <w:pPr>
              <w:pStyle w:val="Galvene"/>
              <w:tabs>
                <w:tab w:val="left" w:pos="7993"/>
              </w:tabs>
              <w:ind w:right="-1"/>
              <w:jc w:val="center"/>
              <w:rPr>
                <w:rFonts w:ascii="Times New Roman" w:hAnsi="Times New Roman"/>
                <w:sz w:val="24"/>
                <w:szCs w:val="24"/>
              </w:rPr>
            </w:pPr>
            <w:r w:rsidRPr="00D95026">
              <w:rPr>
                <w:rFonts w:ascii="Times New Roman" w:hAnsi="Times New Roman"/>
                <w:sz w:val="24"/>
                <w:szCs w:val="24"/>
              </w:rPr>
              <w:t>X</w:t>
            </w:r>
          </w:p>
        </w:tc>
        <w:tc>
          <w:tcPr>
            <w:tcW w:w="761" w:type="pct"/>
          </w:tcPr>
          <w:p w:rsidR="00F60731" w:rsidRPr="00D95026" w:rsidRDefault="00F60731" w:rsidP="008D7798">
            <w:pPr>
              <w:pStyle w:val="naisf"/>
              <w:tabs>
                <w:tab w:val="left" w:pos="7993"/>
              </w:tabs>
              <w:spacing w:before="0" w:after="0"/>
              <w:ind w:right="-1" w:firstLine="0"/>
              <w:jc w:val="center"/>
            </w:pPr>
            <w:r w:rsidRPr="00D95026">
              <w:t>0</w:t>
            </w:r>
          </w:p>
        </w:tc>
        <w:tc>
          <w:tcPr>
            <w:tcW w:w="761" w:type="pct"/>
          </w:tcPr>
          <w:p w:rsidR="00F60731" w:rsidRPr="00D95026" w:rsidRDefault="00414EBF" w:rsidP="00F60731">
            <w:pPr>
              <w:pStyle w:val="naisf"/>
              <w:tabs>
                <w:tab w:val="left" w:pos="7993"/>
              </w:tabs>
              <w:spacing w:before="0" w:after="0"/>
              <w:ind w:right="-1" w:firstLine="0"/>
              <w:jc w:val="center"/>
            </w:pPr>
            <w:r w:rsidRPr="00D95026">
              <w:t>550 220</w:t>
            </w:r>
          </w:p>
        </w:tc>
        <w:tc>
          <w:tcPr>
            <w:tcW w:w="761" w:type="pct"/>
          </w:tcPr>
          <w:p w:rsidR="00F60731" w:rsidRPr="00D95026" w:rsidRDefault="00414EBF" w:rsidP="00F60731">
            <w:pPr>
              <w:pStyle w:val="naisf"/>
              <w:tabs>
                <w:tab w:val="left" w:pos="7993"/>
              </w:tabs>
              <w:spacing w:before="0" w:after="0"/>
              <w:ind w:right="-1" w:firstLine="0"/>
              <w:jc w:val="center"/>
            </w:pPr>
            <w:r w:rsidRPr="00D95026">
              <w:t>2 207 875</w:t>
            </w:r>
          </w:p>
        </w:tc>
        <w:tc>
          <w:tcPr>
            <w:tcW w:w="773" w:type="pct"/>
            <w:gridSpan w:val="2"/>
          </w:tcPr>
          <w:p w:rsidR="00F60731" w:rsidRPr="00D95026" w:rsidRDefault="00F60731" w:rsidP="00414EBF">
            <w:pPr>
              <w:pStyle w:val="naisf"/>
              <w:tabs>
                <w:tab w:val="left" w:pos="7993"/>
              </w:tabs>
              <w:spacing w:before="0" w:after="0"/>
              <w:ind w:right="-1" w:firstLine="0"/>
              <w:jc w:val="center"/>
            </w:pPr>
            <w:r w:rsidRPr="00D95026">
              <w:t>-</w:t>
            </w:r>
            <w:r w:rsidR="00A12EA3" w:rsidRPr="00D95026">
              <w:t>12 945 883</w:t>
            </w:r>
          </w:p>
        </w:tc>
      </w:tr>
      <w:tr w:rsidR="00D95026" w:rsidRPr="00D95026" w:rsidTr="00CB677A">
        <w:trPr>
          <w:jc w:val="center"/>
        </w:trPr>
        <w:tc>
          <w:tcPr>
            <w:tcW w:w="1261" w:type="pct"/>
            <w:gridSpan w:val="2"/>
          </w:tcPr>
          <w:p w:rsidR="00F60731" w:rsidRPr="00D95026" w:rsidRDefault="00F60731" w:rsidP="008D7798">
            <w:pPr>
              <w:pStyle w:val="naiskr"/>
              <w:tabs>
                <w:tab w:val="left" w:pos="7993"/>
              </w:tabs>
              <w:spacing w:before="0" w:after="0"/>
              <w:ind w:right="-1"/>
            </w:pPr>
            <w:r w:rsidRPr="00D95026">
              <w:t>+5.1. valsts pamatbudžets</w:t>
            </w:r>
          </w:p>
        </w:tc>
        <w:tc>
          <w:tcPr>
            <w:tcW w:w="684" w:type="pct"/>
            <w:vMerge/>
            <w:vAlign w:val="center"/>
          </w:tcPr>
          <w:p w:rsidR="00F60731" w:rsidRPr="00D95026" w:rsidRDefault="00F60731" w:rsidP="008D7798">
            <w:pPr>
              <w:pStyle w:val="naisf"/>
              <w:tabs>
                <w:tab w:val="left" w:pos="7993"/>
              </w:tabs>
              <w:spacing w:before="0" w:after="0"/>
              <w:ind w:right="-1" w:firstLine="0"/>
              <w:jc w:val="center"/>
            </w:pPr>
          </w:p>
        </w:tc>
        <w:tc>
          <w:tcPr>
            <w:tcW w:w="761" w:type="pct"/>
          </w:tcPr>
          <w:p w:rsidR="00F60731" w:rsidRPr="00D95026" w:rsidRDefault="00F60731" w:rsidP="008D7798">
            <w:pPr>
              <w:pStyle w:val="naisf"/>
              <w:tabs>
                <w:tab w:val="left" w:pos="7993"/>
              </w:tabs>
              <w:spacing w:before="0" w:after="0"/>
              <w:ind w:right="-1" w:firstLine="0"/>
              <w:jc w:val="center"/>
            </w:pPr>
            <w:r w:rsidRPr="00D95026">
              <w:t>0</w:t>
            </w:r>
          </w:p>
        </w:tc>
        <w:tc>
          <w:tcPr>
            <w:tcW w:w="761" w:type="pct"/>
          </w:tcPr>
          <w:p w:rsidR="00F60731" w:rsidRPr="00D95026" w:rsidRDefault="00414EBF" w:rsidP="00F60731">
            <w:pPr>
              <w:pStyle w:val="naisf"/>
              <w:tabs>
                <w:tab w:val="left" w:pos="7993"/>
              </w:tabs>
              <w:spacing w:before="0" w:after="0"/>
              <w:ind w:right="-1" w:firstLine="0"/>
              <w:jc w:val="center"/>
            </w:pPr>
            <w:r w:rsidRPr="00D95026">
              <w:t>550 220</w:t>
            </w:r>
          </w:p>
        </w:tc>
        <w:tc>
          <w:tcPr>
            <w:tcW w:w="761" w:type="pct"/>
          </w:tcPr>
          <w:p w:rsidR="00F60731" w:rsidRPr="00D95026" w:rsidRDefault="00414EBF" w:rsidP="00F60731">
            <w:pPr>
              <w:pStyle w:val="naisf"/>
              <w:tabs>
                <w:tab w:val="left" w:pos="7993"/>
              </w:tabs>
              <w:spacing w:before="0" w:after="0"/>
              <w:ind w:right="-1" w:firstLine="0"/>
              <w:jc w:val="center"/>
            </w:pPr>
            <w:r w:rsidRPr="00D95026">
              <w:t>2 207 875</w:t>
            </w:r>
          </w:p>
        </w:tc>
        <w:tc>
          <w:tcPr>
            <w:tcW w:w="773" w:type="pct"/>
            <w:gridSpan w:val="2"/>
          </w:tcPr>
          <w:p w:rsidR="00F60731" w:rsidRPr="00D95026" w:rsidRDefault="00F60731" w:rsidP="00414EBF">
            <w:pPr>
              <w:pStyle w:val="naisf"/>
              <w:tabs>
                <w:tab w:val="left" w:pos="7993"/>
              </w:tabs>
              <w:spacing w:before="0" w:after="0"/>
              <w:ind w:right="-1" w:firstLine="0"/>
              <w:jc w:val="center"/>
            </w:pPr>
            <w:r w:rsidRPr="00D95026">
              <w:t>-</w:t>
            </w:r>
            <w:r w:rsidR="00A12EA3" w:rsidRPr="00D95026">
              <w:t>12 945 883</w:t>
            </w:r>
          </w:p>
        </w:tc>
      </w:tr>
      <w:tr w:rsidR="00D95026" w:rsidRPr="00D95026" w:rsidTr="00CB677A">
        <w:trPr>
          <w:jc w:val="center"/>
        </w:trPr>
        <w:tc>
          <w:tcPr>
            <w:tcW w:w="1261" w:type="pct"/>
            <w:gridSpan w:val="2"/>
          </w:tcPr>
          <w:p w:rsidR="004A41C2" w:rsidRPr="00D95026" w:rsidRDefault="004A41C2" w:rsidP="008D7798">
            <w:pPr>
              <w:pStyle w:val="naiskr"/>
              <w:tabs>
                <w:tab w:val="left" w:pos="7993"/>
              </w:tabs>
              <w:spacing w:before="0" w:after="0"/>
              <w:ind w:right="-1"/>
            </w:pPr>
            <w:r w:rsidRPr="00D95026">
              <w:t>5.2. speciālais budžets</w:t>
            </w:r>
          </w:p>
        </w:tc>
        <w:tc>
          <w:tcPr>
            <w:tcW w:w="684" w:type="pct"/>
            <w:vMerge/>
            <w:vAlign w:val="center"/>
          </w:tcPr>
          <w:p w:rsidR="004A41C2" w:rsidRPr="00D95026" w:rsidRDefault="004A41C2" w:rsidP="008D7798">
            <w:pPr>
              <w:pStyle w:val="naisf"/>
              <w:tabs>
                <w:tab w:val="left" w:pos="7993"/>
              </w:tabs>
              <w:spacing w:before="0" w:after="0"/>
              <w:ind w:right="-1" w:firstLine="0"/>
              <w:jc w:val="center"/>
            </w:pPr>
          </w:p>
        </w:tc>
        <w:tc>
          <w:tcPr>
            <w:tcW w:w="761" w:type="pct"/>
            <w:vAlign w:val="center"/>
          </w:tcPr>
          <w:p w:rsidR="004A41C2" w:rsidRPr="00D95026" w:rsidRDefault="004A41C2" w:rsidP="008D7798">
            <w:pPr>
              <w:pStyle w:val="naisf"/>
              <w:tabs>
                <w:tab w:val="left" w:pos="7993"/>
              </w:tabs>
              <w:spacing w:before="0" w:after="0"/>
              <w:ind w:right="-1" w:firstLine="0"/>
              <w:jc w:val="center"/>
              <w:rPr>
                <w:b/>
              </w:rPr>
            </w:pPr>
            <w:r w:rsidRPr="00D95026">
              <w:t>0</w:t>
            </w:r>
          </w:p>
        </w:tc>
        <w:tc>
          <w:tcPr>
            <w:tcW w:w="761" w:type="pct"/>
            <w:vAlign w:val="center"/>
          </w:tcPr>
          <w:p w:rsidR="004A41C2" w:rsidRPr="00D95026" w:rsidRDefault="004A41C2" w:rsidP="008D7798">
            <w:pPr>
              <w:pStyle w:val="naisf"/>
              <w:tabs>
                <w:tab w:val="left" w:pos="7993"/>
              </w:tabs>
              <w:spacing w:before="0" w:after="0"/>
              <w:ind w:right="-1" w:firstLine="0"/>
              <w:jc w:val="center"/>
              <w:rPr>
                <w:b/>
              </w:rPr>
            </w:pPr>
            <w:r w:rsidRPr="00D95026">
              <w:t>0</w:t>
            </w:r>
          </w:p>
        </w:tc>
        <w:tc>
          <w:tcPr>
            <w:tcW w:w="761" w:type="pct"/>
            <w:vAlign w:val="center"/>
          </w:tcPr>
          <w:p w:rsidR="004A41C2" w:rsidRPr="00D95026" w:rsidRDefault="004A41C2" w:rsidP="008D7798">
            <w:pPr>
              <w:pStyle w:val="naisf"/>
              <w:tabs>
                <w:tab w:val="left" w:pos="7993"/>
              </w:tabs>
              <w:spacing w:before="0" w:after="0"/>
              <w:ind w:right="-1" w:firstLine="0"/>
              <w:jc w:val="center"/>
              <w:rPr>
                <w:b/>
              </w:rPr>
            </w:pPr>
            <w:r w:rsidRPr="00D95026">
              <w:t>0</w:t>
            </w:r>
          </w:p>
        </w:tc>
        <w:tc>
          <w:tcPr>
            <w:tcW w:w="773" w:type="pct"/>
            <w:gridSpan w:val="2"/>
            <w:vAlign w:val="center"/>
          </w:tcPr>
          <w:p w:rsidR="004A41C2" w:rsidRPr="00D95026" w:rsidRDefault="004A41C2" w:rsidP="008D7798">
            <w:pPr>
              <w:pStyle w:val="naisf"/>
              <w:tabs>
                <w:tab w:val="left" w:pos="7993"/>
              </w:tabs>
              <w:spacing w:before="0" w:after="0"/>
              <w:ind w:right="-1" w:firstLine="0"/>
              <w:jc w:val="center"/>
              <w:rPr>
                <w:b/>
              </w:rPr>
            </w:pPr>
            <w:r w:rsidRPr="00D95026">
              <w:t>0</w:t>
            </w:r>
          </w:p>
        </w:tc>
      </w:tr>
      <w:tr w:rsidR="00D95026" w:rsidRPr="00D95026" w:rsidTr="00CB677A">
        <w:trPr>
          <w:jc w:val="center"/>
        </w:trPr>
        <w:tc>
          <w:tcPr>
            <w:tcW w:w="1261" w:type="pct"/>
            <w:gridSpan w:val="2"/>
          </w:tcPr>
          <w:p w:rsidR="004A41C2" w:rsidRPr="00D95026" w:rsidRDefault="004A41C2" w:rsidP="008D7798">
            <w:pPr>
              <w:pStyle w:val="naiskr"/>
              <w:tabs>
                <w:tab w:val="left" w:pos="7993"/>
              </w:tabs>
              <w:spacing w:before="0" w:after="0"/>
              <w:ind w:right="-1"/>
            </w:pPr>
            <w:r w:rsidRPr="00D95026">
              <w:t xml:space="preserve">5.3. pašvaldību budžets </w:t>
            </w:r>
          </w:p>
        </w:tc>
        <w:tc>
          <w:tcPr>
            <w:tcW w:w="684" w:type="pct"/>
            <w:vMerge/>
            <w:vAlign w:val="center"/>
          </w:tcPr>
          <w:p w:rsidR="004A41C2" w:rsidRPr="00D95026" w:rsidRDefault="004A41C2" w:rsidP="008D7798">
            <w:pPr>
              <w:pStyle w:val="naisf"/>
              <w:tabs>
                <w:tab w:val="left" w:pos="7993"/>
              </w:tabs>
              <w:spacing w:before="0" w:after="0"/>
              <w:ind w:right="-1" w:firstLine="0"/>
              <w:jc w:val="center"/>
            </w:pPr>
          </w:p>
        </w:tc>
        <w:tc>
          <w:tcPr>
            <w:tcW w:w="761" w:type="pct"/>
            <w:vAlign w:val="center"/>
          </w:tcPr>
          <w:p w:rsidR="004A41C2" w:rsidRPr="00D95026" w:rsidRDefault="004A41C2" w:rsidP="008D7798">
            <w:pPr>
              <w:pStyle w:val="naisf"/>
              <w:tabs>
                <w:tab w:val="left" w:pos="7993"/>
              </w:tabs>
              <w:spacing w:before="0" w:after="0"/>
              <w:ind w:right="-1" w:firstLine="0"/>
              <w:jc w:val="center"/>
              <w:rPr>
                <w:b/>
              </w:rPr>
            </w:pPr>
            <w:r w:rsidRPr="00D95026">
              <w:t>0</w:t>
            </w:r>
          </w:p>
        </w:tc>
        <w:tc>
          <w:tcPr>
            <w:tcW w:w="761" w:type="pct"/>
            <w:vAlign w:val="center"/>
          </w:tcPr>
          <w:p w:rsidR="004A41C2" w:rsidRPr="00D95026" w:rsidRDefault="004A41C2" w:rsidP="008D7798">
            <w:pPr>
              <w:pStyle w:val="naisf"/>
              <w:tabs>
                <w:tab w:val="left" w:pos="7993"/>
              </w:tabs>
              <w:spacing w:before="0" w:after="0"/>
              <w:ind w:right="-1" w:firstLine="0"/>
              <w:jc w:val="center"/>
              <w:rPr>
                <w:b/>
              </w:rPr>
            </w:pPr>
            <w:r w:rsidRPr="00D95026">
              <w:t>0</w:t>
            </w:r>
          </w:p>
        </w:tc>
        <w:tc>
          <w:tcPr>
            <w:tcW w:w="761" w:type="pct"/>
            <w:vAlign w:val="center"/>
          </w:tcPr>
          <w:p w:rsidR="004A41C2" w:rsidRPr="00D95026" w:rsidRDefault="004A41C2" w:rsidP="008D7798">
            <w:pPr>
              <w:pStyle w:val="naisf"/>
              <w:tabs>
                <w:tab w:val="left" w:pos="7993"/>
              </w:tabs>
              <w:spacing w:before="0" w:after="0"/>
              <w:ind w:right="-1" w:firstLine="0"/>
              <w:jc w:val="center"/>
              <w:rPr>
                <w:b/>
              </w:rPr>
            </w:pPr>
            <w:r w:rsidRPr="00D95026">
              <w:t>0</w:t>
            </w:r>
          </w:p>
        </w:tc>
        <w:tc>
          <w:tcPr>
            <w:tcW w:w="773" w:type="pct"/>
            <w:gridSpan w:val="2"/>
            <w:vAlign w:val="center"/>
          </w:tcPr>
          <w:p w:rsidR="004A41C2" w:rsidRPr="00D95026" w:rsidRDefault="004A41C2" w:rsidP="008D7798">
            <w:pPr>
              <w:pStyle w:val="naisf"/>
              <w:tabs>
                <w:tab w:val="left" w:pos="7993"/>
              </w:tabs>
              <w:spacing w:before="0" w:after="0"/>
              <w:ind w:right="-1" w:firstLine="0"/>
              <w:jc w:val="center"/>
              <w:rPr>
                <w:b/>
              </w:rPr>
            </w:pPr>
            <w:r w:rsidRPr="00D95026">
              <w:t>0</w:t>
            </w:r>
          </w:p>
        </w:tc>
      </w:tr>
      <w:tr w:rsidR="00D95026" w:rsidRPr="00D95026" w:rsidTr="00CB677A">
        <w:trPr>
          <w:jc w:val="center"/>
        </w:trPr>
        <w:tc>
          <w:tcPr>
            <w:tcW w:w="1261" w:type="pct"/>
            <w:gridSpan w:val="2"/>
          </w:tcPr>
          <w:p w:rsidR="004A41C2" w:rsidRPr="00D95026" w:rsidRDefault="004A41C2" w:rsidP="008D7798">
            <w:pPr>
              <w:pStyle w:val="naiskr"/>
              <w:tabs>
                <w:tab w:val="left" w:pos="7993"/>
              </w:tabs>
              <w:spacing w:before="0" w:after="0"/>
              <w:ind w:right="-1"/>
            </w:pPr>
            <w:r w:rsidRPr="00D95026">
              <w:t>6. Detalizēts ieņēmumu un izdevu</w:t>
            </w:r>
            <w:r w:rsidRPr="00D95026">
              <w:softHyphen/>
              <w:t xml:space="preserve">mu aprēķins (ja nepieciešams, detalizētu ieņēmumu un izdevumu aprēķinu var </w:t>
            </w:r>
            <w:r w:rsidRPr="00D95026">
              <w:lastRenderedPageBreak/>
              <w:t>pievienot anotācijas pielikumā):</w:t>
            </w:r>
          </w:p>
        </w:tc>
        <w:tc>
          <w:tcPr>
            <w:tcW w:w="3739" w:type="pct"/>
            <w:gridSpan w:val="6"/>
            <w:vMerge w:val="restart"/>
          </w:tcPr>
          <w:p w:rsidR="004A41C2" w:rsidRPr="00D95026" w:rsidRDefault="004A41C2" w:rsidP="008D7798">
            <w:pPr>
              <w:pStyle w:val="Vresteksts"/>
              <w:tabs>
                <w:tab w:val="left" w:pos="7993"/>
              </w:tabs>
              <w:ind w:right="-1"/>
              <w:jc w:val="both"/>
              <w:rPr>
                <w:rFonts w:eastAsia="Times New Roman"/>
                <w:sz w:val="24"/>
                <w:szCs w:val="24"/>
                <w:lang w:eastAsia="lv-LV"/>
              </w:rPr>
            </w:pPr>
            <w:r w:rsidRPr="00D95026">
              <w:rPr>
                <w:rFonts w:eastAsia="Times New Roman"/>
                <w:sz w:val="24"/>
                <w:szCs w:val="24"/>
                <w:lang w:eastAsia="lv-LV"/>
              </w:rPr>
              <w:lastRenderedPageBreak/>
              <w:t xml:space="preserve">Detalizētu informāciju </w:t>
            </w:r>
            <w:r w:rsidR="005B192C">
              <w:rPr>
                <w:rFonts w:eastAsia="Times New Roman"/>
                <w:sz w:val="24"/>
                <w:szCs w:val="24"/>
                <w:lang w:eastAsia="lv-LV"/>
              </w:rPr>
              <w:t>p</w:t>
            </w:r>
            <w:r w:rsidR="00BF158E" w:rsidRPr="00BF158E">
              <w:rPr>
                <w:bCs/>
                <w:sz w:val="24"/>
                <w:szCs w:val="24"/>
              </w:rPr>
              <w:t xml:space="preserve">ar </w:t>
            </w:r>
            <w:r w:rsidR="005B192C">
              <w:rPr>
                <w:bCs/>
                <w:sz w:val="24"/>
                <w:szCs w:val="24"/>
              </w:rPr>
              <w:t xml:space="preserve">nepieciešano </w:t>
            </w:r>
            <w:r w:rsidR="00BF158E" w:rsidRPr="00BF158E">
              <w:rPr>
                <w:bCs/>
                <w:sz w:val="24"/>
                <w:szCs w:val="24"/>
              </w:rPr>
              <w:t>finansējum</w:t>
            </w:r>
            <w:r w:rsidR="005B192C">
              <w:rPr>
                <w:bCs/>
                <w:sz w:val="24"/>
                <w:szCs w:val="24"/>
              </w:rPr>
              <w:t>u</w:t>
            </w:r>
            <w:r w:rsidR="00BF158E" w:rsidRPr="00BF158E">
              <w:rPr>
                <w:bCs/>
                <w:sz w:val="24"/>
                <w:szCs w:val="24"/>
              </w:rPr>
              <w:t xml:space="preserve"> </w:t>
            </w:r>
            <w:r w:rsidR="00BF158E" w:rsidRPr="00BF158E">
              <w:rPr>
                <w:sz w:val="24"/>
                <w:szCs w:val="24"/>
              </w:rPr>
              <w:t>Jaunā Rīgas teātra ēku Lāčplēša ielā 25, Rīgā, rekonstrukcijas, nomas maksas, pārcelšanās un aprīkojuma iegādes izdevumu segšanai</w:t>
            </w:r>
            <w:r w:rsidR="005B192C" w:rsidRPr="005B192C">
              <w:rPr>
                <w:rFonts w:eastAsia="Times New Roman"/>
                <w:sz w:val="24"/>
                <w:szCs w:val="24"/>
                <w:lang w:eastAsia="lv-LV"/>
              </w:rPr>
              <w:t xml:space="preserve"> </w:t>
            </w:r>
            <w:r w:rsidRPr="005B192C">
              <w:rPr>
                <w:rFonts w:eastAsia="Times New Roman"/>
                <w:sz w:val="24"/>
                <w:szCs w:val="24"/>
                <w:lang w:eastAsia="lv-LV"/>
              </w:rPr>
              <w:t>skatīt anotācijas pielikumā</w:t>
            </w:r>
            <w:r w:rsidRPr="00D95026">
              <w:rPr>
                <w:rFonts w:eastAsia="Times New Roman"/>
                <w:sz w:val="24"/>
                <w:szCs w:val="24"/>
                <w:lang w:eastAsia="lv-LV"/>
              </w:rPr>
              <w:t>.</w:t>
            </w:r>
          </w:p>
          <w:p w:rsidR="004C6A4A" w:rsidRPr="00D95026" w:rsidRDefault="004C6A4A" w:rsidP="008D7798">
            <w:pPr>
              <w:pStyle w:val="Sarakstarindkopa"/>
              <w:tabs>
                <w:tab w:val="left" w:pos="7993"/>
              </w:tabs>
              <w:spacing w:before="120"/>
              <w:ind w:left="0" w:right="-1"/>
              <w:contextualSpacing w:val="0"/>
              <w:jc w:val="both"/>
              <w:rPr>
                <w:rFonts w:ascii="Times New Roman" w:eastAsia="Times New Roman" w:hAnsi="Times New Roman"/>
                <w:sz w:val="24"/>
                <w:szCs w:val="24"/>
                <w:lang w:eastAsia="lv-LV"/>
              </w:rPr>
            </w:pPr>
          </w:p>
        </w:tc>
      </w:tr>
      <w:tr w:rsidR="00D95026" w:rsidRPr="00D95026" w:rsidTr="00CB677A">
        <w:trPr>
          <w:jc w:val="center"/>
        </w:trPr>
        <w:tc>
          <w:tcPr>
            <w:tcW w:w="1261" w:type="pct"/>
            <w:gridSpan w:val="2"/>
          </w:tcPr>
          <w:p w:rsidR="004A41C2" w:rsidRPr="00D95026" w:rsidRDefault="004A41C2" w:rsidP="008D7798">
            <w:pPr>
              <w:pStyle w:val="naiskr"/>
              <w:tabs>
                <w:tab w:val="left" w:pos="7993"/>
              </w:tabs>
              <w:spacing w:before="0" w:after="0"/>
              <w:ind w:right="-1"/>
            </w:pPr>
            <w:r w:rsidRPr="00D95026">
              <w:lastRenderedPageBreak/>
              <w:t>6.1. detalizēts ieņēmumu aprēķins</w:t>
            </w:r>
          </w:p>
        </w:tc>
        <w:tc>
          <w:tcPr>
            <w:tcW w:w="3739" w:type="pct"/>
            <w:gridSpan w:val="6"/>
            <w:vMerge/>
          </w:tcPr>
          <w:p w:rsidR="004A41C2" w:rsidRPr="00D95026" w:rsidRDefault="004A41C2" w:rsidP="008D7798">
            <w:pPr>
              <w:pStyle w:val="naisf"/>
              <w:tabs>
                <w:tab w:val="left" w:pos="7993"/>
              </w:tabs>
              <w:spacing w:before="0" w:after="0"/>
              <w:ind w:right="-1" w:firstLine="0"/>
              <w:rPr>
                <w:b/>
                <w:i/>
              </w:rPr>
            </w:pPr>
          </w:p>
        </w:tc>
      </w:tr>
      <w:tr w:rsidR="00D95026" w:rsidRPr="00D95026" w:rsidTr="00CB677A">
        <w:trPr>
          <w:jc w:val="center"/>
        </w:trPr>
        <w:tc>
          <w:tcPr>
            <w:tcW w:w="1261" w:type="pct"/>
            <w:gridSpan w:val="2"/>
          </w:tcPr>
          <w:p w:rsidR="004A41C2" w:rsidRPr="00D95026" w:rsidRDefault="004A41C2" w:rsidP="008D7798">
            <w:pPr>
              <w:pStyle w:val="naiskr"/>
              <w:tabs>
                <w:tab w:val="left" w:pos="7993"/>
              </w:tabs>
              <w:spacing w:before="0" w:after="0"/>
              <w:ind w:right="-1"/>
            </w:pPr>
            <w:r w:rsidRPr="00D95026">
              <w:t>6.2. detalizēts izdevumu aprēķins</w:t>
            </w:r>
          </w:p>
        </w:tc>
        <w:tc>
          <w:tcPr>
            <w:tcW w:w="3739" w:type="pct"/>
            <w:gridSpan w:val="6"/>
            <w:vMerge/>
          </w:tcPr>
          <w:p w:rsidR="004A41C2" w:rsidRPr="00D95026" w:rsidRDefault="004A41C2" w:rsidP="008D7798">
            <w:pPr>
              <w:pStyle w:val="naisf"/>
              <w:tabs>
                <w:tab w:val="left" w:pos="7993"/>
              </w:tabs>
              <w:spacing w:before="0" w:after="0"/>
              <w:ind w:right="-1" w:firstLine="0"/>
              <w:rPr>
                <w:b/>
                <w:i/>
              </w:rPr>
            </w:pPr>
          </w:p>
        </w:tc>
      </w:tr>
      <w:tr w:rsidR="00D95026" w:rsidRPr="00D95026" w:rsidTr="00CB677A">
        <w:trPr>
          <w:jc w:val="center"/>
        </w:trPr>
        <w:tc>
          <w:tcPr>
            <w:tcW w:w="1261" w:type="pct"/>
            <w:gridSpan w:val="2"/>
            <w:tcBorders>
              <w:bottom w:val="single" w:sz="4" w:space="0" w:color="auto"/>
            </w:tcBorders>
          </w:tcPr>
          <w:p w:rsidR="004A41C2" w:rsidRPr="00D95026" w:rsidRDefault="004A41C2" w:rsidP="008D7798">
            <w:pPr>
              <w:pStyle w:val="naiskr"/>
              <w:tabs>
                <w:tab w:val="left" w:pos="7993"/>
              </w:tabs>
              <w:spacing w:before="0" w:after="0"/>
              <w:ind w:right="-1"/>
            </w:pPr>
            <w:r w:rsidRPr="00D95026">
              <w:t>7. Cita informācija</w:t>
            </w:r>
          </w:p>
        </w:tc>
        <w:tc>
          <w:tcPr>
            <w:tcW w:w="3739" w:type="pct"/>
            <w:gridSpan w:val="6"/>
            <w:tcBorders>
              <w:bottom w:val="single" w:sz="4" w:space="0" w:color="auto"/>
            </w:tcBorders>
          </w:tcPr>
          <w:p w:rsidR="00104E1A" w:rsidRPr="00D95026" w:rsidRDefault="00104E1A" w:rsidP="008D7798">
            <w:pPr>
              <w:pStyle w:val="ParastaisWeb"/>
              <w:tabs>
                <w:tab w:val="left" w:pos="7993"/>
              </w:tabs>
              <w:spacing w:before="0" w:after="0"/>
              <w:ind w:right="-1"/>
              <w:jc w:val="both"/>
              <w:rPr>
                <w:bCs/>
              </w:rPr>
            </w:pPr>
            <w:r w:rsidRPr="00D95026">
              <w:rPr>
                <w:bCs/>
              </w:rPr>
              <w:t>Ietekm</w:t>
            </w:r>
            <w:r w:rsidR="003C6C17" w:rsidRPr="00D95026">
              <w:rPr>
                <w:bCs/>
              </w:rPr>
              <w:t>i</w:t>
            </w:r>
            <w:r w:rsidRPr="00D95026">
              <w:rPr>
                <w:bCs/>
              </w:rPr>
              <w:t xml:space="preserve"> uz valsts budžetu skat</w:t>
            </w:r>
            <w:r w:rsidR="00845880" w:rsidRPr="00D95026">
              <w:rPr>
                <w:bCs/>
              </w:rPr>
              <w:t xml:space="preserve">īt </w:t>
            </w:r>
            <w:r w:rsidRPr="00D95026">
              <w:rPr>
                <w:bCs/>
              </w:rPr>
              <w:t>anotācijas pielikumā.</w:t>
            </w:r>
          </w:p>
          <w:p w:rsidR="004A41C2" w:rsidRPr="00D95026" w:rsidRDefault="001D274B" w:rsidP="008D7798">
            <w:pPr>
              <w:pStyle w:val="ParastaisWeb"/>
              <w:tabs>
                <w:tab w:val="left" w:pos="7993"/>
              </w:tabs>
              <w:spacing w:before="0" w:after="0"/>
              <w:ind w:right="-1"/>
              <w:jc w:val="both"/>
            </w:pPr>
            <w:r w:rsidRPr="00D95026">
              <w:t>P</w:t>
            </w:r>
            <w:r w:rsidR="0084509E" w:rsidRPr="00D95026">
              <w:t xml:space="preserve">rovizoriski aprēķinātais nomas maksas izdevumu apmērs atbilstoši faktiskajām nomas objekta </w:t>
            </w:r>
            <w:r w:rsidRPr="00D95026">
              <w:t xml:space="preserve">pārvaldīšanas </w:t>
            </w:r>
            <w:r w:rsidR="0084509E" w:rsidRPr="00D95026">
              <w:t>izmaksām</w:t>
            </w:r>
            <w:r w:rsidRPr="00D95026">
              <w:t xml:space="preserve"> precizējams pēc būvobjekta nodošanas ekspluatācijā</w:t>
            </w:r>
            <w:r w:rsidR="0084509E" w:rsidRPr="00D95026">
              <w:t>.</w:t>
            </w:r>
          </w:p>
        </w:tc>
      </w:tr>
      <w:tr w:rsidR="00D95026" w:rsidRPr="00D95026" w:rsidTr="00CB677A">
        <w:trPr>
          <w:jc w:val="center"/>
        </w:trPr>
        <w:tc>
          <w:tcPr>
            <w:tcW w:w="1261" w:type="pct"/>
            <w:gridSpan w:val="2"/>
            <w:tcBorders>
              <w:left w:val="nil"/>
              <w:right w:val="nil"/>
            </w:tcBorders>
          </w:tcPr>
          <w:p w:rsidR="00CD7B87" w:rsidRPr="00D95026" w:rsidRDefault="00CD7B87" w:rsidP="008D7798">
            <w:pPr>
              <w:pStyle w:val="naiskr"/>
              <w:tabs>
                <w:tab w:val="left" w:pos="7993"/>
              </w:tabs>
              <w:spacing w:before="0" w:after="0"/>
              <w:ind w:right="-1"/>
            </w:pPr>
          </w:p>
        </w:tc>
        <w:tc>
          <w:tcPr>
            <w:tcW w:w="3739" w:type="pct"/>
            <w:gridSpan w:val="6"/>
            <w:tcBorders>
              <w:left w:val="nil"/>
              <w:right w:val="nil"/>
            </w:tcBorders>
          </w:tcPr>
          <w:p w:rsidR="00CD7B87" w:rsidRPr="00D95026" w:rsidRDefault="00CD7B87" w:rsidP="008D7798">
            <w:pPr>
              <w:pStyle w:val="ParastaisWeb"/>
              <w:tabs>
                <w:tab w:val="left" w:pos="7993"/>
              </w:tabs>
              <w:spacing w:before="0" w:after="0"/>
              <w:ind w:right="-1"/>
              <w:jc w:val="both"/>
              <w:rPr>
                <w:bCs/>
              </w:rPr>
            </w:pPr>
          </w:p>
        </w:tc>
      </w:tr>
      <w:tr w:rsidR="00D95026" w:rsidRPr="00D95026" w:rsidTr="00D95026">
        <w:tblPrEx>
          <w:tblCellMar>
            <w:left w:w="57" w:type="dxa"/>
            <w:right w:w="57" w:type="dxa"/>
          </w:tblCellMar>
        </w:tblPrEx>
        <w:trPr>
          <w:jc w:val="center"/>
        </w:trPr>
        <w:tc>
          <w:tcPr>
            <w:tcW w:w="5000" w:type="pct"/>
            <w:gridSpan w:val="8"/>
          </w:tcPr>
          <w:p w:rsidR="00C93102" w:rsidRPr="00D95026" w:rsidRDefault="00C93102" w:rsidP="008D7798">
            <w:pPr>
              <w:pStyle w:val="naisnod"/>
              <w:tabs>
                <w:tab w:val="left" w:pos="7993"/>
              </w:tabs>
              <w:spacing w:before="0" w:after="60"/>
              <w:ind w:right="-1"/>
              <w:jc w:val="center"/>
              <w:rPr>
                <w:b/>
              </w:rPr>
            </w:pPr>
            <w:r w:rsidRPr="00D95026">
              <w:rPr>
                <w:b/>
              </w:rPr>
              <w:t>IV. Tiesību akta projekta ietekme uz spēkā esošo tiesību normu sistēmu</w:t>
            </w:r>
          </w:p>
        </w:tc>
      </w:tr>
      <w:tr w:rsidR="00D95026" w:rsidRPr="00D95026" w:rsidTr="00CB677A">
        <w:tblPrEx>
          <w:tblCellMar>
            <w:left w:w="57" w:type="dxa"/>
            <w:right w:w="57" w:type="dxa"/>
          </w:tblCellMar>
        </w:tblPrEx>
        <w:trPr>
          <w:gridAfter w:val="1"/>
          <w:wAfter w:w="7" w:type="pct"/>
          <w:jc w:val="center"/>
        </w:trPr>
        <w:tc>
          <w:tcPr>
            <w:tcW w:w="271" w:type="pct"/>
          </w:tcPr>
          <w:p w:rsidR="004E6555" w:rsidRPr="00D95026" w:rsidRDefault="004E6555" w:rsidP="008D7798">
            <w:pPr>
              <w:pStyle w:val="naiskr"/>
              <w:tabs>
                <w:tab w:val="left" w:pos="2628"/>
                <w:tab w:val="left" w:pos="7993"/>
              </w:tabs>
              <w:spacing w:before="0" w:after="0"/>
              <w:ind w:right="-1"/>
              <w:jc w:val="center"/>
              <w:rPr>
                <w:iCs/>
              </w:rPr>
            </w:pPr>
            <w:r w:rsidRPr="00D95026">
              <w:rPr>
                <w:iCs/>
              </w:rPr>
              <w:t>1.</w:t>
            </w:r>
          </w:p>
        </w:tc>
        <w:tc>
          <w:tcPr>
            <w:tcW w:w="990" w:type="pct"/>
          </w:tcPr>
          <w:p w:rsidR="004E6555" w:rsidRPr="00D95026" w:rsidRDefault="004E6555" w:rsidP="008D7798">
            <w:pPr>
              <w:pStyle w:val="naiskr"/>
              <w:tabs>
                <w:tab w:val="left" w:pos="2628"/>
                <w:tab w:val="left" w:pos="7993"/>
              </w:tabs>
              <w:spacing w:before="0" w:after="0"/>
              <w:ind w:right="-1"/>
              <w:rPr>
                <w:iCs/>
              </w:rPr>
            </w:pPr>
            <w:r w:rsidRPr="00D95026">
              <w:t>Nepieciešamie saistītie tiesību aktu projekti</w:t>
            </w:r>
          </w:p>
        </w:tc>
        <w:tc>
          <w:tcPr>
            <w:tcW w:w="3732" w:type="pct"/>
            <w:gridSpan w:val="5"/>
          </w:tcPr>
          <w:p w:rsidR="004E6555" w:rsidRPr="00D95026" w:rsidRDefault="004E6555" w:rsidP="00CB677A">
            <w:pPr>
              <w:pStyle w:val="naiskr"/>
              <w:tabs>
                <w:tab w:val="left" w:pos="2628"/>
                <w:tab w:val="left" w:pos="7993"/>
              </w:tabs>
              <w:spacing w:before="0" w:after="0"/>
              <w:jc w:val="both"/>
            </w:pPr>
            <w:r w:rsidRPr="00D95026">
              <w:t>Ministru kabineta rīkojuma projekts saistīts ar</w:t>
            </w:r>
            <w:r w:rsidR="00263395" w:rsidRPr="00D95026">
              <w:t xml:space="preserve">  Ministru kabineta </w:t>
            </w:r>
            <w:r w:rsidR="007D044A" w:rsidRPr="00D95026">
              <w:t xml:space="preserve">rīkojumu </w:t>
            </w:r>
            <w:r w:rsidR="00263395" w:rsidRPr="00D95026">
              <w:t>Nr.70</w:t>
            </w:r>
            <w:r w:rsidRPr="00D95026">
              <w:rPr>
                <w:bCs/>
              </w:rPr>
              <w:t>, jo tajā tiek paredzēts finansējums nekustamā īpašuma (nekustamā īpašuma kadastra Nr. 0100 026 0056) Miera ielā 58A, Rīgā,</w:t>
            </w:r>
            <w:r w:rsidRPr="00D95026">
              <w:t xml:space="preserve"> nomas maksas un apkures izdevumu segšanai, jo Jaunā Rīgas teātra ēku Lāčplēša ielā 25, Rīgā, rekonstrukcijas darbu laikā, </w:t>
            </w:r>
            <w:r w:rsidR="000F6635" w:rsidRPr="00D95026">
              <w:t xml:space="preserve">tā </w:t>
            </w:r>
            <w:r w:rsidRPr="00D95026">
              <w:t>darbība tiks pārcelta ēk</w:t>
            </w:r>
            <w:r w:rsidR="000F6635" w:rsidRPr="00D95026">
              <w:t xml:space="preserve">ās </w:t>
            </w:r>
            <w:r w:rsidRPr="00D95026">
              <w:t xml:space="preserve">Miera ielā 58A, Rīgā, veicot </w:t>
            </w:r>
            <w:r w:rsidR="000F6635" w:rsidRPr="00D95026">
              <w:t>to rekonstrukcijas</w:t>
            </w:r>
            <w:r w:rsidRPr="00D95026">
              <w:t>.</w:t>
            </w:r>
          </w:p>
          <w:p w:rsidR="00263395" w:rsidRPr="00D95026" w:rsidRDefault="00263395" w:rsidP="00CB677A">
            <w:pPr>
              <w:pStyle w:val="naiskr"/>
              <w:tabs>
                <w:tab w:val="left" w:pos="2628"/>
                <w:tab w:val="left" w:pos="7993"/>
              </w:tabs>
              <w:spacing w:before="0" w:after="0"/>
              <w:jc w:val="both"/>
              <w:rPr>
                <w:iCs/>
                <w:highlight w:val="yellow"/>
              </w:rPr>
            </w:pPr>
            <w:r w:rsidRPr="00D95026">
              <w:t xml:space="preserve">Līdz ar to nepieciešami grozījumi Ministru kabineta </w:t>
            </w:r>
            <w:r w:rsidR="007D044A" w:rsidRPr="00D95026">
              <w:t xml:space="preserve">rīkojumā </w:t>
            </w:r>
            <w:r w:rsidRPr="00D95026">
              <w:t>Nr.70</w:t>
            </w:r>
            <w:r w:rsidR="00D32B06" w:rsidRPr="00D95026">
              <w:t>, lai precizētu finansējuma apmēru 2017.</w:t>
            </w:r>
            <w:r w:rsidR="00E01632" w:rsidRPr="00D95026">
              <w:t xml:space="preserve"> un 2018.gadā </w:t>
            </w:r>
            <w:r w:rsidR="00D32B06" w:rsidRPr="00D95026">
              <w:t>gadā nomas maksas un apkures izdevumu segšanai</w:t>
            </w:r>
            <w:r w:rsidR="003B126C" w:rsidRPr="00D95026">
              <w:t>.</w:t>
            </w:r>
            <w:r w:rsidR="00D32B06" w:rsidRPr="00D95026">
              <w:t xml:space="preserve"> </w:t>
            </w:r>
          </w:p>
        </w:tc>
      </w:tr>
      <w:tr w:rsidR="00D95026" w:rsidRPr="00D95026" w:rsidTr="00CB677A">
        <w:tblPrEx>
          <w:tblCellMar>
            <w:left w:w="57" w:type="dxa"/>
            <w:right w:w="57" w:type="dxa"/>
          </w:tblCellMar>
        </w:tblPrEx>
        <w:trPr>
          <w:gridAfter w:val="1"/>
          <w:wAfter w:w="7" w:type="pct"/>
          <w:jc w:val="center"/>
        </w:trPr>
        <w:tc>
          <w:tcPr>
            <w:tcW w:w="271" w:type="pct"/>
          </w:tcPr>
          <w:p w:rsidR="00C93102" w:rsidRPr="00D95026" w:rsidRDefault="00C93102" w:rsidP="008D7798">
            <w:pPr>
              <w:pStyle w:val="naiskr"/>
              <w:tabs>
                <w:tab w:val="left" w:pos="2628"/>
                <w:tab w:val="left" w:pos="7993"/>
              </w:tabs>
              <w:spacing w:before="0" w:after="0"/>
              <w:ind w:right="-1"/>
              <w:jc w:val="center"/>
              <w:rPr>
                <w:iCs/>
              </w:rPr>
            </w:pPr>
            <w:r w:rsidRPr="00D95026">
              <w:rPr>
                <w:iCs/>
              </w:rPr>
              <w:t>2.</w:t>
            </w:r>
          </w:p>
        </w:tc>
        <w:tc>
          <w:tcPr>
            <w:tcW w:w="990" w:type="pct"/>
          </w:tcPr>
          <w:p w:rsidR="00C93102" w:rsidRPr="00D95026" w:rsidRDefault="00C93102" w:rsidP="008D7798">
            <w:pPr>
              <w:pStyle w:val="naiskr"/>
              <w:tabs>
                <w:tab w:val="left" w:pos="2628"/>
                <w:tab w:val="left" w:pos="7993"/>
              </w:tabs>
              <w:spacing w:before="0" w:after="0"/>
              <w:ind w:right="-1"/>
              <w:jc w:val="both"/>
            </w:pPr>
            <w:r w:rsidRPr="00D95026">
              <w:t>Atbildīgā institūcija</w:t>
            </w:r>
          </w:p>
        </w:tc>
        <w:tc>
          <w:tcPr>
            <w:tcW w:w="3732" w:type="pct"/>
            <w:gridSpan w:val="5"/>
          </w:tcPr>
          <w:p w:rsidR="00C93102" w:rsidRPr="00D95026" w:rsidRDefault="006D31D2" w:rsidP="00084444">
            <w:pPr>
              <w:pStyle w:val="naiskr"/>
              <w:tabs>
                <w:tab w:val="left" w:pos="7993"/>
              </w:tabs>
              <w:spacing w:before="0" w:after="60"/>
              <w:ind w:right="-1"/>
            </w:pPr>
            <w:r>
              <w:rPr>
                <w:bCs/>
              </w:rPr>
              <w:t xml:space="preserve">Kultūras </w:t>
            </w:r>
            <w:r w:rsidR="00C93102" w:rsidRPr="00D95026">
              <w:rPr>
                <w:bCs/>
              </w:rPr>
              <w:t xml:space="preserve">ministrija </w:t>
            </w:r>
            <w:r w:rsidR="00084444">
              <w:rPr>
                <w:bCs/>
              </w:rPr>
              <w:t xml:space="preserve">sadarbībā ar </w:t>
            </w:r>
            <w:r w:rsidR="00C93102" w:rsidRPr="00D95026">
              <w:rPr>
                <w:bCs/>
              </w:rPr>
              <w:t>VNĪ.</w:t>
            </w:r>
          </w:p>
        </w:tc>
      </w:tr>
      <w:tr w:rsidR="00D95026" w:rsidRPr="00D95026" w:rsidTr="00CB677A">
        <w:tblPrEx>
          <w:tblCellMar>
            <w:left w:w="57" w:type="dxa"/>
            <w:right w:w="57" w:type="dxa"/>
          </w:tblCellMar>
        </w:tblPrEx>
        <w:trPr>
          <w:gridAfter w:val="1"/>
          <w:wAfter w:w="7" w:type="pct"/>
          <w:jc w:val="center"/>
        </w:trPr>
        <w:tc>
          <w:tcPr>
            <w:tcW w:w="271" w:type="pct"/>
          </w:tcPr>
          <w:p w:rsidR="00C93102" w:rsidRPr="00D95026" w:rsidRDefault="00C93102" w:rsidP="008D7798">
            <w:pPr>
              <w:pStyle w:val="naiskr"/>
              <w:tabs>
                <w:tab w:val="left" w:pos="2628"/>
                <w:tab w:val="left" w:pos="7993"/>
              </w:tabs>
              <w:spacing w:before="0" w:after="0"/>
              <w:ind w:right="-1"/>
              <w:jc w:val="center"/>
              <w:rPr>
                <w:iCs/>
              </w:rPr>
            </w:pPr>
            <w:r w:rsidRPr="00D95026">
              <w:rPr>
                <w:iCs/>
              </w:rPr>
              <w:t>3.</w:t>
            </w:r>
          </w:p>
        </w:tc>
        <w:tc>
          <w:tcPr>
            <w:tcW w:w="990" w:type="pct"/>
          </w:tcPr>
          <w:p w:rsidR="00C93102" w:rsidRPr="00D95026" w:rsidRDefault="00C93102" w:rsidP="008D7798">
            <w:pPr>
              <w:pStyle w:val="naiskr"/>
              <w:tabs>
                <w:tab w:val="left" w:pos="2628"/>
                <w:tab w:val="left" w:pos="7993"/>
              </w:tabs>
              <w:spacing w:before="0" w:after="0"/>
              <w:ind w:right="-1"/>
              <w:jc w:val="both"/>
              <w:rPr>
                <w:iCs/>
              </w:rPr>
            </w:pPr>
            <w:r w:rsidRPr="00D95026">
              <w:t>Cita informācija</w:t>
            </w:r>
          </w:p>
        </w:tc>
        <w:tc>
          <w:tcPr>
            <w:tcW w:w="3732" w:type="pct"/>
            <w:gridSpan w:val="5"/>
          </w:tcPr>
          <w:p w:rsidR="00C93102" w:rsidRPr="00D95026" w:rsidRDefault="00C93102" w:rsidP="008D7798">
            <w:pPr>
              <w:pStyle w:val="naiskr"/>
              <w:tabs>
                <w:tab w:val="left" w:pos="2628"/>
                <w:tab w:val="left" w:pos="7993"/>
              </w:tabs>
              <w:spacing w:before="0" w:after="60"/>
              <w:ind w:right="-1"/>
              <w:jc w:val="both"/>
              <w:rPr>
                <w:iCs/>
              </w:rPr>
            </w:pPr>
            <w:r w:rsidRPr="00D95026">
              <w:t>Nav.</w:t>
            </w:r>
          </w:p>
        </w:tc>
      </w:tr>
    </w:tbl>
    <w:p w:rsidR="007917A3" w:rsidRPr="00D95026" w:rsidRDefault="007917A3" w:rsidP="008D7798">
      <w:pPr>
        <w:pStyle w:val="naisf"/>
        <w:tabs>
          <w:tab w:val="left" w:pos="7993"/>
        </w:tabs>
        <w:spacing w:before="0" w:after="0"/>
        <w:ind w:right="-1" w:firstLine="0"/>
      </w:pP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466"/>
        <w:gridCol w:w="4748"/>
        <w:gridCol w:w="3938"/>
      </w:tblGrid>
      <w:tr w:rsidR="00D95026" w:rsidRPr="00D95026" w:rsidTr="00D95026">
        <w:trPr>
          <w:jc w:val="center"/>
        </w:trPr>
        <w:tc>
          <w:tcPr>
            <w:tcW w:w="9152" w:type="dxa"/>
            <w:gridSpan w:val="3"/>
            <w:tcBorders>
              <w:top w:val="single" w:sz="4" w:space="0" w:color="auto"/>
              <w:left w:val="single" w:sz="4" w:space="0" w:color="auto"/>
              <w:bottom w:val="single" w:sz="4" w:space="0" w:color="auto"/>
              <w:right w:val="single" w:sz="4" w:space="0" w:color="auto"/>
            </w:tcBorders>
          </w:tcPr>
          <w:p w:rsidR="00C93102" w:rsidRPr="00D95026" w:rsidRDefault="00C93102" w:rsidP="008D7798">
            <w:pPr>
              <w:pStyle w:val="naisnod"/>
              <w:tabs>
                <w:tab w:val="left" w:pos="7993"/>
              </w:tabs>
              <w:spacing w:before="0" w:after="60"/>
              <w:ind w:right="-1"/>
              <w:jc w:val="center"/>
              <w:rPr>
                <w:b/>
              </w:rPr>
            </w:pPr>
            <w:r w:rsidRPr="00D95026">
              <w:rPr>
                <w:b/>
              </w:rPr>
              <w:t>VII. Tiesību akta projekta izpildes nodrošināšana un tās ietekme uz institūcijām</w:t>
            </w:r>
          </w:p>
        </w:tc>
      </w:tr>
      <w:tr w:rsidR="00D95026" w:rsidRPr="00D95026" w:rsidTr="00CB677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466" w:type="dxa"/>
            <w:tcBorders>
              <w:top w:val="outset" w:sz="6" w:space="0" w:color="000000"/>
              <w:left w:val="outset" w:sz="6" w:space="0" w:color="000000"/>
              <w:bottom w:val="outset" w:sz="6" w:space="0" w:color="000000"/>
              <w:right w:val="outset" w:sz="6" w:space="0" w:color="000000"/>
            </w:tcBorders>
            <w:hideMark/>
          </w:tcPr>
          <w:p w:rsidR="00C93102" w:rsidRPr="00D95026" w:rsidRDefault="00C93102" w:rsidP="008D7798">
            <w:pPr>
              <w:pStyle w:val="ParastaisWeb"/>
              <w:tabs>
                <w:tab w:val="left" w:pos="7993"/>
              </w:tabs>
              <w:spacing w:before="0" w:after="0"/>
              <w:ind w:right="-1"/>
              <w:jc w:val="center"/>
            </w:pPr>
            <w:r w:rsidRPr="00D95026">
              <w:t>1.</w:t>
            </w:r>
          </w:p>
        </w:tc>
        <w:tc>
          <w:tcPr>
            <w:tcW w:w="4748" w:type="dxa"/>
            <w:tcBorders>
              <w:top w:val="outset" w:sz="6" w:space="0" w:color="000000"/>
              <w:left w:val="outset" w:sz="6" w:space="0" w:color="000000"/>
              <w:bottom w:val="outset" w:sz="6" w:space="0" w:color="000000"/>
              <w:right w:val="outset" w:sz="6" w:space="0" w:color="000000"/>
            </w:tcBorders>
            <w:hideMark/>
          </w:tcPr>
          <w:p w:rsidR="00C93102" w:rsidRPr="00D95026" w:rsidRDefault="00C93102" w:rsidP="008D7798">
            <w:pPr>
              <w:pStyle w:val="ParastaisWeb"/>
              <w:tabs>
                <w:tab w:val="left" w:pos="7993"/>
              </w:tabs>
              <w:spacing w:before="0" w:after="0"/>
              <w:ind w:right="-1"/>
            </w:pPr>
            <w:r w:rsidRPr="00D95026">
              <w:t>Projekta izpildē iesaistītās institūcijas</w:t>
            </w:r>
          </w:p>
        </w:tc>
        <w:tc>
          <w:tcPr>
            <w:tcW w:w="3938" w:type="dxa"/>
            <w:tcBorders>
              <w:top w:val="outset" w:sz="6" w:space="0" w:color="000000"/>
              <w:left w:val="outset" w:sz="6" w:space="0" w:color="000000"/>
              <w:bottom w:val="outset" w:sz="6" w:space="0" w:color="000000"/>
              <w:right w:val="outset" w:sz="6" w:space="0" w:color="000000"/>
            </w:tcBorders>
          </w:tcPr>
          <w:p w:rsidR="00C93102" w:rsidRPr="00D95026" w:rsidRDefault="00C93102" w:rsidP="008D7798">
            <w:pPr>
              <w:pStyle w:val="ParastaisWeb"/>
              <w:tabs>
                <w:tab w:val="left" w:pos="7993"/>
              </w:tabs>
              <w:spacing w:before="0" w:after="0"/>
              <w:ind w:right="-1"/>
              <w:jc w:val="both"/>
            </w:pPr>
            <w:r w:rsidRPr="00D95026">
              <w:rPr>
                <w:iCs/>
              </w:rPr>
              <w:t>Finanšu ministrija, VNĪ, Kultūras ministrija, Jaunais Rīgas teātris.</w:t>
            </w:r>
          </w:p>
        </w:tc>
      </w:tr>
      <w:tr w:rsidR="00D95026" w:rsidRPr="00D95026" w:rsidTr="00CB677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466" w:type="dxa"/>
            <w:tcBorders>
              <w:top w:val="outset" w:sz="6" w:space="0" w:color="000000"/>
              <w:left w:val="outset" w:sz="6" w:space="0" w:color="000000"/>
              <w:bottom w:val="outset" w:sz="6" w:space="0" w:color="000000"/>
              <w:right w:val="outset" w:sz="6" w:space="0" w:color="000000"/>
            </w:tcBorders>
            <w:hideMark/>
          </w:tcPr>
          <w:p w:rsidR="00C93102" w:rsidRPr="00D95026" w:rsidRDefault="00C93102" w:rsidP="008D7798">
            <w:pPr>
              <w:pStyle w:val="ParastaisWeb"/>
              <w:tabs>
                <w:tab w:val="left" w:pos="7993"/>
              </w:tabs>
              <w:spacing w:before="0" w:after="0"/>
              <w:ind w:right="-1"/>
              <w:jc w:val="center"/>
            </w:pPr>
            <w:r w:rsidRPr="00D95026">
              <w:t>2.</w:t>
            </w:r>
          </w:p>
        </w:tc>
        <w:tc>
          <w:tcPr>
            <w:tcW w:w="4748" w:type="dxa"/>
            <w:tcBorders>
              <w:top w:val="outset" w:sz="6" w:space="0" w:color="000000"/>
              <w:left w:val="outset" w:sz="6" w:space="0" w:color="000000"/>
              <w:bottom w:val="outset" w:sz="6" w:space="0" w:color="000000"/>
              <w:right w:val="outset" w:sz="6" w:space="0" w:color="000000"/>
            </w:tcBorders>
            <w:hideMark/>
          </w:tcPr>
          <w:p w:rsidR="00C93102" w:rsidRPr="00D95026" w:rsidRDefault="00C93102" w:rsidP="008D7798">
            <w:pPr>
              <w:pStyle w:val="ParastaisWeb"/>
              <w:tabs>
                <w:tab w:val="left" w:pos="7993"/>
              </w:tabs>
              <w:spacing w:before="0" w:after="0"/>
              <w:ind w:right="-1"/>
            </w:pPr>
            <w:r w:rsidRPr="00D95026">
              <w:t>Projekta izpildes ietekme uz pārvaldes funkcijām un institucionālo struktūru.</w:t>
            </w:r>
          </w:p>
          <w:p w:rsidR="00C93102" w:rsidRPr="00D95026" w:rsidRDefault="00C93102" w:rsidP="008D7798">
            <w:pPr>
              <w:pStyle w:val="ParastaisWeb"/>
              <w:tabs>
                <w:tab w:val="left" w:pos="7993"/>
              </w:tabs>
              <w:spacing w:before="0" w:after="0"/>
              <w:ind w:right="-1"/>
            </w:pPr>
            <w:r w:rsidRPr="00D95026">
              <w:t>Jaunu institūciju izveide, esošu institūciju likvidācija vai reorganizācija, to ietekme uz institūcijas cilvēkresursiem</w:t>
            </w:r>
          </w:p>
        </w:tc>
        <w:tc>
          <w:tcPr>
            <w:tcW w:w="3938" w:type="dxa"/>
            <w:tcBorders>
              <w:top w:val="outset" w:sz="6" w:space="0" w:color="000000"/>
              <w:left w:val="outset" w:sz="6" w:space="0" w:color="000000"/>
              <w:bottom w:val="outset" w:sz="6" w:space="0" w:color="000000"/>
              <w:right w:val="outset" w:sz="6" w:space="0" w:color="000000"/>
            </w:tcBorders>
          </w:tcPr>
          <w:p w:rsidR="00C93102" w:rsidRPr="00D95026" w:rsidRDefault="00C93102" w:rsidP="008D7798">
            <w:pPr>
              <w:pStyle w:val="naiskr"/>
              <w:tabs>
                <w:tab w:val="left" w:pos="7993"/>
              </w:tabs>
              <w:spacing w:before="0" w:after="0"/>
              <w:ind w:right="-1"/>
              <w:jc w:val="both"/>
              <w:rPr>
                <w:iCs/>
              </w:rPr>
            </w:pPr>
            <w:r w:rsidRPr="00D95026">
              <w:t>Projekts šo jomu neskar.</w:t>
            </w:r>
          </w:p>
        </w:tc>
      </w:tr>
      <w:tr w:rsidR="00D95026" w:rsidRPr="00D95026" w:rsidTr="00CB677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466" w:type="dxa"/>
            <w:tcBorders>
              <w:top w:val="outset" w:sz="6" w:space="0" w:color="000000"/>
              <w:left w:val="outset" w:sz="6" w:space="0" w:color="000000"/>
              <w:bottom w:val="outset" w:sz="6" w:space="0" w:color="000000"/>
              <w:right w:val="outset" w:sz="6" w:space="0" w:color="000000"/>
            </w:tcBorders>
            <w:hideMark/>
          </w:tcPr>
          <w:p w:rsidR="00C93102" w:rsidRPr="00D95026" w:rsidRDefault="00C93102" w:rsidP="008D7798">
            <w:pPr>
              <w:pStyle w:val="ParastaisWeb"/>
              <w:tabs>
                <w:tab w:val="left" w:pos="7993"/>
              </w:tabs>
              <w:spacing w:before="0" w:after="0"/>
              <w:ind w:right="-1"/>
              <w:jc w:val="center"/>
            </w:pPr>
            <w:r w:rsidRPr="00D95026">
              <w:t>3.</w:t>
            </w:r>
          </w:p>
        </w:tc>
        <w:tc>
          <w:tcPr>
            <w:tcW w:w="4748" w:type="dxa"/>
            <w:tcBorders>
              <w:top w:val="outset" w:sz="6" w:space="0" w:color="000000"/>
              <w:left w:val="outset" w:sz="6" w:space="0" w:color="000000"/>
              <w:bottom w:val="outset" w:sz="6" w:space="0" w:color="000000"/>
              <w:right w:val="outset" w:sz="6" w:space="0" w:color="000000"/>
            </w:tcBorders>
            <w:hideMark/>
          </w:tcPr>
          <w:p w:rsidR="00C93102" w:rsidRPr="00D95026" w:rsidRDefault="00C93102" w:rsidP="008D7798">
            <w:pPr>
              <w:pStyle w:val="ParastaisWeb"/>
              <w:tabs>
                <w:tab w:val="left" w:pos="7993"/>
              </w:tabs>
              <w:spacing w:before="0" w:after="60"/>
              <w:ind w:right="-1"/>
            </w:pPr>
            <w:r w:rsidRPr="00D95026">
              <w:t>Cita informācija</w:t>
            </w:r>
          </w:p>
        </w:tc>
        <w:tc>
          <w:tcPr>
            <w:tcW w:w="3938" w:type="dxa"/>
            <w:tcBorders>
              <w:top w:val="outset" w:sz="6" w:space="0" w:color="000000"/>
              <w:left w:val="outset" w:sz="6" w:space="0" w:color="000000"/>
              <w:bottom w:val="outset" w:sz="6" w:space="0" w:color="000000"/>
              <w:right w:val="outset" w:sz="6" w:space="0" w:color="000000"/>
            </w:tcBorders>
          </w:tcPr>
          <w:p w:rsidR="00C93102" w:rsidRPr="00D95026" w:rsidRDefault="00C93102" w:rsidP="008D7798">
            <w:pPr>
              <w:pStyle w:val="naiskr"/>
              <w:tabs>
                <w:tab w:val="left" w:pos="7993"/>
              </w:tabs>
              <w:spacing w:before="0" w:after="0"/>
              <w:ind w:right="-1"/>
              <w:jc w:val="both"/>
              <w:rPr>
                <w:iCs/>
              </w:rPr>
            </w:pPr>
            <w:r w:rsidRPr="00D95026">
              <w:rPr>
                <w:iCs/>
              </w:rPr>
              <w:t>Nav.</w:t>
            </w:r>
          </w:p>
        </w:tc>
      </w:tr>
    </w:tbl>
    <w:p w:rsidR="00CB05E4" w:rsidRDefault="00CB05E4" w:rsidP="000E3060">
      <w:pPr>
        <w:pStyle w:val="naisf"/>
        <w:tabs>
          <w:tab w:val="left" w:pos="2279"/>
        </w:tabs>
        <w:spacing w:before="0" w:after="0"/>
        <w:ind w:right="-1" w:firstLine="0"/>
      </w:pPr>
    </w:p>
    <w:p w:rsidR="00D95026" w:rsidRDefault="00D95026" w:rsidP="008D7798">
      <w:pPr>
        <w:pStyle w:val="naisf"/>
        <w:tabs>
          <w:tab w:val="left" w:pos="6804"/>
          <w:tab w:val="left" w:pos="7993"/>
        </w:tabs>
        <w:spacing w:before="0" w:after="0"/>
        <w:ind w:right="-1" w:firstLine="0"/>
      </w:pPr>
    </w:p>
    <w:p w:rsidR="000E3060" w:rsidRPr="00D95026" w:rsidRDefault="000E3060" w:rsidP="008D7798">
      <w:pPr>
        <w:pStyle w:val="naisf"/>
        <w:tabs>
          <w:tab w:val="left" w:pos="6804"/>
          <w:tab w:val="left" w:pos="7993"/>
        </w:tabs>
        <w:spacing w:before="0" w:after="0"/>
        <w:ind w:right="-1" w:firstLine="0"/>
      </w:pPr>
    </w:p>
    <w:p w:rsidR="00C93102" w:rsidRPr="00D95026" w:rsidRDefault="005F2102" w:rsidP="000E3060">
      <w:pPr>
        <w:pStyle w:val="naisf"/>
        <w:tabs>
          <w:tab w:val="left" w:pos="6804"/>
          <w:tab w:val="left" w:pos="7993"/>
        </w:tabs>
        <w:spacing w:before="0" w:after="0"/>
        <w:ind w:left="284" w:right="-1" w:firstLine="0"/>
      </w:pPr>
      <w:r w:rsidRPr="00D95026">
        <w:t>Kultūras ministre</w:t>
      </w:r>
      <w:r w:rsidR="000E3060">
        <w:tab/>
        <w:t xml:space="preserve">              </w:t>
      </w:r>
      <w:r w:rsidRPr="00D95026">
        <w:t>D.Melbārde</w:t>
      </w:r>
    </w:p>
    <w:p w:rsidR="00CB3B79" w:rsidRPr="00D95026" w:rsidRDefault="00CB3B79" w:rsidP="00CB677A">
      <w:pPr>
        <w:pStyle w:val="naisf"/>
        <w:tabs>
          <w:tab w:val="left" w:pos="6804"/>
          <w:tab w:val="left" w:pos="7993"/>
        </w:tabs>
        <w:spacing w:before="0" w:after="0"/>
        <w:ind w:left="284" w:right="-1" w:firstLine="0"/>
      </w:pPr>
    </w:p>
    <w:p w:rsidR="00C93102" w:rsidRPr="00D95026" w:rsidRDefault="00B8021C" w:rsidP="00CB677A">
      <w:pPr>
        <w:pStyle w:val="naisf"/>
        <w:tabs>
          <w:tab w:val="left" w:pos="6804"/>
          <w:tab w:val="left" w:pos="7993"/>
        </w:tabs>
        <w:spacing w:before="0" w:after="0"/>
        <w:ind w:left="284" w:right="-1" w:firstLine="0"/>
      </w:pPr>
      <w:r>
        <w:t xml:space="preserve">Vīza: </w:t>
      </w:r>
      <w:r w:rsidR="005F2102" w:rsidRPr="00D95026">
        <w:t>Valsts sekretāra p.i.</w:t>
      </w:r>
      <w:r>
        <w:t xml:space="preserve">                                  </w:t>
      </w:r>
      <w:r w:rsidR="00C93102" w:rsidRPr="00D95026">
        <w:t xml:space="preserve">  </w:t>
      </w:r>
      <w:r w:rsidR="00D95026" w:rsidRPr="00D95026">
        <w:t xml:space="preserve">                     </w:t>
      </w:r>
      <w:r w:rsidR="00CB677A">
        <w:t xml:space="preserve">                    </w:t>
      </w:r>
      <w:r w:rsidR="005F2102" w:rsidRPr="00D95026">
        <w:t>U.Lielpēters</w:t>
      </w:r>
    </w:p>
    <w:p w:rsidR="00282EEA" w:rsidRPr="00D95026" w:rsidRDefault="00282EEA" w:rsidP="008D7798">
      <w:pPr>
        <w:pStyle w:val="Galvene"/>
        <w:tabs>
          <w:tab w:val="clear" w:pos="4153"/>
          <w:tab w:val="clear" w:pos="8306"/>
          <w:tab w:val="left" w:pos="7993"/>
        </w:tabs>
        <w:ind w:right="-1"/>
        <w:rPr>
          <w:rFonts w:ascii="Times New Roman" w:hAnsi="Times New Roman"/>
          <w:sz w:val="24"/>
          <w:szCs w:val="24"/>
        </w:rPr>
      </w:pPr>
    </w:p>
    <w:p w:rsidR="00B3371D" w:rsidRDefault="00B3371D" w:rsidP="008D7798">
      <w:pPr>
        <w:pStyle w:val="Galvene"/>
        <w:tabs>
          <w:tab w:val="clear" w:pos="4153"/>
          <w:tab w:val="clear" w:pos="8306"/>
          <w:tab w:val="left" w:pos="7993"/>
        </w:tabs>
        <w:ind w:right="-1"/>
        <w:rPr>
          <w:rFonts w:ascii="Times New Roman" w:hAnsi="Times New Roman"/>
        </w:rPr>
      </w:pPr>
      <w:bookmarkStart w:id="11" w:name="_GoBack"/>
      <w:bookmarkEnd w:id="11"/>
    </w:p>
    <w:p w:rsidR="000E3060" w:rsidRDefault="000E3060" w:rsidP="008D7798">
      <w:pPr>
        <w:pStyle w:val="Galvene"/>
        <w:tabs>
          <w:tab w:val="clear" w:pos="4153"/>
          <w:tab w:val="clear" w:pos="8306"/>
          <w:tab w:val="left" w:pos="7993"/>
        </w:tabs>
        <w:ind w:right="-1"/>
        <w:rPr>
          <w:rFonts w:ascii="Times New Roman" w:hAnsi="Times New Roman"/>
        </w:rPr>
      </w:pPr>
    </w:p>
    <w:p w:rsidR="000E3060" w:rsidRDefault="000E3060" w:rsidP="008D7798">
      <w:pPr>
        <w:pStyle w:val="Galvene"/>
        <w:tabs>
          <w:tab w:val="clear" w:pos="4153"/>
          <w:tab w:val="clear" w:pos="8306"/>
          <w:tab w:val="left" w:pos="7993"/>
        </w:tabs>
        <w:ind w:right="-1"/>
        <w:rPr>
          <w:rFonts w:ascii="Times New Roman" w:hAnsi="Times New Roman"/>
        </w:rPr>
      </w:pPr>
    </w:p>
    <w:p w:rsidR="00682A2A" w:rsidRDefault="00682A2A" w:rsidP="008D7798">
      <w:pPr>
        <w:pStyle w:val="Galvene"/>
        <w:tabs>
          <w:tab w:val="clear" w:pos="4153"/>
          <w:tab w:val="clear" w:pos="8306"/>
          <w:tab w:val="left" w:pos="7993"/>
        </w:tabs>
        <w:ind w:right="-1"/>
        <w:rPr>
          <w:rFonts w:ascii="Times New Roman" w:hAnsi="Times New Roman"/>
        </w:rPr>
      </w:pPr>
    </w:p>
    <w:p w:rsidR="00B3371D" w:rsidRDefault="000E3060" w:rsidP="008D7798">
      <w:pPr>
        <w:pStyle w:val="Galvene"/>
        <w:tabs>
          <w:tab w:val="clear" w:pos="4153"/>
          <w:tab w:val="clear" w:pos="8306"/>
          <w:tab w:val="left" w:pos="7993"/>
        </w:tabs>
        <w:ind w:right="-1"/>
        <w:rPr>
          <w:rFonts w:ascii="Times New Roman" w:hAnsi="Times New Roman"/>
        </w:rPr>
      </w:pPr>
      <w:r>
        <w:rPr>
          <w:rFonts w:ascii="Times New Roman" w:hAnsi="Times New Roman"/>
        </w:rPr>
        <w:t>17</w:t>
      </w:r>
      <w:r w:rsidR="00B3371D">
        <w:rPr>
          <w:rFonts w:ascii="Times New Roman" w:hAnsi="Times New Roman"/>
        </w:rPr>
        <w:t>.</w:t>
      </w:r>
      <w:r w:rsidR="008F1BD2">
        <w:rPr>
          <w:rFonts w:ascii="Times New Roman" w:hAnsi="Times New Roman"/>
        </w:rPr>
        <w:t>07</w:t>
      </w:r>
      <w:r w:rsidR="00B3371D">
        <w:rPr>
          <w:rFonts w:ascii="Times New Roman" w:hAnsi="Times New Roman"/>
        </w:rPr>
        <w:t>.2014.</w:t>
      </w:r>
      <w:r>
        <w:rPr>
          <w:rFonts w:ascii="Times New Roman" w:hAnsi="Times New Roman"/>
        </w:rPr>
        <w:t xml:space="preserve"> </w:t>
      </w:r>
    </w:p>
    <w:p w:rsidR="00B3371D" w:rsidRDefault="00FA28B0" w:rsidP="008D7798">
      <w:pPr>
        <w:pStyle w:val="Galvene"/>
        <w:tabs>
          <w:tab w:val="clear" w:pos="4153"/>
          <w:tab w:val="clear" w:pos="8306"/>
          <w:tab w:val="left" w:pos="7993"/>
        </w:tabs>
        <w:ind w:right="-1"/>
        <w:rPr>
          <w:rFonts w:ascii="Times New Roman" w:hAnsi="Times New Roman"/>
        </w:rPr>
      </w:pPr>
      <w:r>
        <w:rPr>
          <w:rFonts w:ascii="Times New Roman" w:hAnsi="Times New Roman"/>
        </w:rPr>
        <w:t>3631</w:t>
      </w:r>
    </w:p>
    <w:p w:rsidR="00B3371D" w:rsidRDefault="00B3371D" w:rsidP="008D7798">
      <w:pPr>
        <w:pStyle w:val="Galvene"/>
        <w:tabs>
          <w:tab w:val="clear" w:pos="4153"/>
          <w:tab w:val="clear" w:pos="8306"/>
          <w:tab w:val="left" w:pos="7993"/>
        </w:tabs>
        <w:ind w:right="-1"/>
        <w:rPr>
          <w:rFonts w:ascii="Times New Roman" w:hAnsi="Times New Roman"/>
        </w:rPr>
      </w:pPr>
      <w:r>
        <w:rPr>
          <w:rFonts w:ascii="Times New Roman" w:hAnsi="Times New Roman"/>
        </w:rPr>
        <w:t>I.Zubova</w:t>
      </w:r>
    </w:p>
    <w:p w:rsidR="00B3371D" w:rsidRPr="00D41D5B" w:rsidRDefault="00B3371D" w:rsidP="008D7798">
      <w:pPr>
        <w:pStyle w:val="Galvene"/>
        <w:tabs>
          <w:tab w:val="clear" w:pos="4153"/>
          <w:tab w:val="clear" w:pos="8306"/>
          <w:tab w:val="left" w:pos="7993"/>
        </w:tabs>
        <w:ind w:right="-1"/>
        <w:rPr>
          <w:rFonts w:ascii="Times New Roman" w:hAnsi="Times New Roman"/>
        </w:rPr>
      </w:pPr>
      <w:r>
        <w:rPr>
          <w:rFonts w:ascii="Times New Roman" w:hAnsi="Times New Roman"/>
        </w:rPr>
        <w:t xml:space="preserve">67330258, </w:t>
      </w:r>
      <w:hyperlink r:id="rId8" w:history="1">
        <w:r w:rsidR="00EA1051" w:rsidRPr="009F301B">
          <w:rPr>
            <w:rStyle w:val="Hipersaite"/>
            <w:rFonts w:ascii="Times New Roman" w:hAnsi="Times New Roman"/>
          </w:rPr>
          <w:t>ilze.zubova@km.gov.lv</w:t>
        </w:r>
      </w:hyperlink>
      <w:r w:rsidR="00EA1051">
        <w:rPr>
          <w:rFonts w:ascii="Times New Roman" w:hAnsi="Times New Roman"/>
        </w:rPr>
        <w:t xml:space="preserve"> </w:t>
      </w:r>
    </w:p>
    <w:sectPr w:rsidR="00B3371D" w:rsidRPr="00D41D5B" w:rsidSect="00195D70">
      <w:headerReference w:type="default" r:id="rId9"/>
      <w:footerReference w:type="default" r:id="rId10"/>
      <w:headerReference w:type="first" r:id="rId11"/>
      <w:footerReference w:type="first" r:id="rId12"/>
      <w:pgSz w:w="11906" w:h="16838" w:code="9"/>
      <w:pgMar w:top="1134" w:right="991" w:bottom="992" w:left="653" w:header="709" w:footer="550" w:gutter="9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70" w:rsidRDefault="00195D70" w:rsidP="00CC4CA4">
      <w:pPr>
        <w:spacing w:after="0" w:line="240" w:lineRule="auto"/>
      </w:pPr>
      <w:r>
        <w:separator/>
      </w:r>
    </w:p>
  </w:endnote>
  <w:endnote w:type="continuationSeparator" w:id="0">
    <w:p w:rsidR="00195D70" w:rsidRDefault="00195D70" w:rsidP="00CC4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70" w:rsidRPr="00195D70" w:rsidRDefault="00195D70" w:rsidP="00195D70">
    <w:pPr>
      <w:pStyle w:val="Galvene"/>
      <w:rPr>
        <w:rFonts w:ascii="Times New Roman" w:hAnsi="Times New Roman"/>
      </w:rPr>
    </w:pPr>
    <w:bookmarkStart w:id="12" w:name="OLE_LINK18"/>
    <w:bookmarkStart w:id="13" w:name="OLE_LINK19"/>
    <w:r>
      <w:rPr>
        <w:rFonts w:ascii="Times New Roman" w:hAnsi="Times New Roman"/>
      </w:rPr>
      <w:t>KMAnot_110714_JRT</w:t>
    </w:r>
    <w:bookmarkEnd w:id="12"/>
    <w:bookmarkEnd w:id="13"/>
    <w:r>
      <w:rPr>
        <w:rFonts w:ascii="Times New Roman" w:hAnsi="Times New Roman"/>
      </w:rPr>
      <w:t xml:space="preserve">;  </w:t>
    </w:r>
    <w:r w:rsidRPr="00D970B2">
      <w:rPr>
        <w:rFonts w:ascii="Times New Roman" w:hAnsi="Times New Roman"/>
        <w:iCs/>
      </w:rPr>
      <w:t>Ministru kabineta rīkojuma projekta  „</w:t>
    </w:r>
    <w:r w:rsidRPr="00D970B2">
      <w:rPr>
        <w:rFonts w:ascii="Times New Roman" w:hAnsi="Times New Roman"/>
        <w:bCs/>
      </w:rPr>
      <w:t xml:space="preserve">Par finansējuma piešķiršanu </w:t>
    </w:r>
    <w:r w:rsidRPr="00D970B2">
      <w:rPr>
        <w:rFonts w:ascii="Times New Roman" w:hAnsi="Times New Roman"/>
      </w:rPr>
      <w:t>Jaunā Rīgas teātra ēku Lāčplēša ielā 25, Rīgā, rekonstrukcijas, nomas maksas, pārcelšanās un aprīkojuma iegādes izdevumu segšanai”</w:t>
    </w:r>
    <w:r>
      <w:rPr>
        <w:rFonts w:ascii="Times New Roman" w:hAnsi="Times New Roman"/>
      </w:rPr>
      <w:t xml:space="preserve"> </w:t>
    </w:r>
    <w:r w:rsidRPr="00D970B2">
      <w:rPr>
        <w:rFonts w:ascii="Times New Roman" w:hAnsi="Times New Roman"/>
        <w:iCs/>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70" w:rsidRPr="00195D70" w:rsidRDefault="00195D70" w:rsidP="00195D70">
    <w:pPr>
      <w:pStyle w:val="Galvene"/>
      <w:rPr>
        <w:rFonts w:ascii="Times New Roman" w:hAnsi="Times New Roman"/>
      </w:rPr>
    </w:pPr>
    <w:r>
      <w:rPr>
        <w:rFonts w:ascii="Times New Roman" w:hAnsi="Times New Roman"/>
      </w:rPr>
      <w:t xml:space="preserve">KMAnot_110714_JRT;  </w:t>
    </w:r>
    <w:r w:rsidRPr="00D970B2">
      <w:rPr>
        <w:rFonts w:ascii="Times New Roman" w:hAnsi="Times New Roman"/>
        <w:iCs/>
      </w:rPr>
      <w:t>Ministru kabineta rīkojuma projekta  „</w:t>
    </w:r>
    <w:r w:rsidRPr="00D970B2">
      <w:rPr>
        <w:rFonts w:ascii="Times New Roman" w:hAnsi="Times New Roman"/>
        <w:bCs/>
      </w:rPr>
      <w:t xml:space="preserve">Par finansējuma piešķiršanu </w:t>
    </w:r>
    <w:r w:rsidRPr="00D970B2">
      <w:rPr>
        <w:rFonts w:ascii="Times New Roman" w:hAnsi="Times New Roman"/>
      </w:rPr>
      <w:t>Jaunā Rīgas teātra ēku Lāčplēša ielā 25, Rīgā, rekonstrukcijas, nomas maksas, pārcelšanās un aprīkojuma iegādes izdevumu segšanai”</w:t>
    </w:r>
    <w:r>
      <w:rPr>
        <w:rFonts w:ascii="Times New Roman" w:hAnsi="Times New Roman"/>
      </w:rPr>
      <w:t xml:space="preserve"> </w:t>
    </w:r>
    <w:r w:rsidRPr="00D970B2">
      <w:rPr>
        <w:rFonts w:ascii="Times New Roman" w:hAnsi="Times New Roman"/>
        <w:iCs/>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70" w:rsidRDefault="00195D70" w:rsidP="00CC4CA4">
      <w:pPr>
        <w:spacing w:after="0" w:line="240" w:lineRule="auto"/>
      </w:pPr>
      <w:r>
        <w:separator/>
      </w:r>
    </w:p>
  </w:footnote>
  <w:footnote w:type="continuationSeparator" w:id="0">
    <w:p w:rsidR="00195D70" w:rsidRDefault="00195D70" w:rsidP="00CC4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70" w:rsidRPr="005C4541" w:rsidRDefault="000F1964" w:rsidP="00C83A1A">
    <w:pPr>
      <w:pStyle w:val="Galvene"/>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195D70"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636420">
      <w:rPr>
        <w:rFonts w:ascii="Times New Roman" w:hAnsi="Times New Roman"/>
        <w:sz w:val="22"/>
      </w:rPr>
      <w:t>11</w:t>
    </w:r>
    <w:r w:rsidRPr="005C4541">
      <w:rPr>
        <w:rFonts w:ascii="Times New Roman" w:hAnsi="Times New Roman"/>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70" w:rsidRPr="009D4758" w:rsidRDefault="00195D70" w:rsidP="003873C4">
    <w:pPr>
      <w:pStyle w:val="Galvene"/>
      <w:tabs>
        <w:tab w:val="clear" w:pos="4153"/>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
    <w:nsid w:val="20DC5A27"/>
    <w:multiLevelType w:val="hybridMultilevel"/>
    <w:tmpl w:val="BCB85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F32E2F"/>
    <w:multiLevelType w:val="hybridMultilevel"/>
    <w:tmpl w:val="F53ED1B8"/>
    <w:lvl w:ilvl="0" w:tplc="2F66D174">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5">
    <w:nsid w:val="26ED082E"/>
    <w:multiLevelType w:val="hybridMultilevel"/>
    <w:tmpl w:val="EEBC3A10"/>
    <w:lvl w:ilvl="0" w:tplc="0FF8E600">
      <w:start w:val="6"/>
      <w:numFmt w:val="bullet"/>
      <w:lvlText w:val="-"/>
      <w:lvlJc w:val="left"/>
      <w:pPr>
        <w:ind w:left="946" w:hanging="360"/>
      </w:pPr>
      <w:rPr>
        <w:rFonts w:ascii="Times New Roman" w:eastAsia="Calibri" w:hAnsi="Times New Roman" w:cs="Times New Roman" w:hint="default"/>
      </w:rPr>
    </w:lvl>
    <w:lvl w:ilvl="1" w:tplc="04260003" w:tentative="1">
      <w:start w:val="1"/>
      <w:numFmt w:val="bullet"/>
      <w:lvlText w:val="o"/>
      <w:lvlJc w:val="left"/>
      <w:pPr>
        <w:ind w:left="1666" w:hanging="360"/>
      </w:pPr>
      <w:rPr>
        <w:rFonts w:ascii="Courier New" w:hAnsi="Courier New" w:cs="Courier New" w:hint="default"/>
      </w:rPr>
    </w:lvl>
    <w:lvl w:ilvl="2" w:tplc="04260005" w:tentative="1">
      <w:start w:val="1"/>
      <w:numFmt w:val="bullet"/>
      <w:lvlText w:val=""/>
      <w:lvlJc w:val="left"/>
      <w:pPr>
        <w:ind w:left="2386" w:hanging="360"/>
      </w:pPr>
      <w:rPr>
        <w:rFonts w:ascii="Wingdings" w:hAnsi="Wingdings" w:hint="default"/>
      </w:rPr>
    </w:lvl>
    <w:lvl w:ilvl="3" w:tplc="04260001" w:tentative="1">
      <w:start w:val="1"/>
      <w:numFmt w:val="bullet"/>
      <w:lvlText w:val=""/>
      <w:lvlJc w:val="left"/>
      <w:pPr>
        <w:ind w:left="3106" w:hanging="360"/>
      </w:pPr>
      <w:rPr>
        <w:rFonts w:ascii="Symbol" w:hAnsi="Symbol" w:hint="default"/>
      </w:rPr>
    </w:lvl>
    <w:lvl w:ilvl="4" w:tplc="04260003" w:tentative="1">
      <w:start w:val="1"/>
      <w:numFmt w:val="bullet"/>
      <w:lvlText w:val="o"/>
      <w:lvlJc w:val="left"/>
      <w:pPr>
        <w:ind w:left="3826" w:hanging="360"/>
      </w:pPr>
      <w:rPr>
        <w:rFonts w:ascii="Courier New" w:hAnsi="Courier New" w:cs="Courier New" w:hint="default"/>
      </w:rPr>
    </w:lvl>
    <w:lvl w:ilvl="5" w:tplc="04260005" w:tentative="1">
      <w:start w:val="1"/>
      <w:numFmt w:val="bullet"/>
      <w:lvlText w:val=""/>
      <w:lvlJc w:val="left"/>
      <w:pPr>
        <w:ind w:left="4546" w:hanging="360"/>
      </w:pPr>
      <w:rPr>
        <w:rFonts w:ascii="Wingdings" w:hAnsi="Wingdings" w:hint="default"/>
      </w:rPr>
    </w:lvl>
    <w:lvl w:ilvl="6" w:tplc="04260001" w:tentative="1">
      <w:start w:val="1"/>
      <w:numFmt w:val="bullet"/>
      <w:lvlText w:val=""/>
      <w:lvlJc w:val="left"/>
      <w:pPr>
        <w:ind w:left="5266" w:hanging="360"/>
      </w:pPr>
      <w:rPr>
        <w:rFonts w:ascii="Symbol" w:hAnsi="Symbol" w:hint="default"/>
      </w:rPr>
    </w:lvl>
    <w:lvl w:ilvl="7" w:tplc="04260003" w:tentative="1">
      <w:start w:val="1"/>
      <w:numFmt w:val="bullet"/>
      <w:lvlText w:val="o"/>
      <w:lvlJc w:val="left"/>
      <w:pPr>
        <w:ind w:left="5986" w:hanging="360"/>
      </w:pPr>
      <w:rPr>
        <w:rFonts w:ascii="Courier New" w:hAnsi="Courier New" w:cs="Courier New" w:hint="default"/>
      </w:rPr>
    </w:lvl>
    <w:lvl w:ilvl="8" w:tplc="04260005" w:tentative="1">
      <w:start w:val="1"/>
      <w:numFmt w:val="bullet"/>
      <w:lvlText w:val=""/>
      <w:lvlJc w:val="left"/>
      <w:pPr>
        <w:ind w:left="6706" w:hanging="360"/>
      </w:pPr>
      <w:rPr>
        <w:rFonts w:ascii="Wingdings" w:hAnsi="Wingdings" w:hint="default"/>
      </w:rPr>
    </w:lvl>
  </w:abstractNum>
  <w:abstractNum w:abstractNumId="6">
    <w:nsid w:val="29BF51C2"/>
    <w:multiLevelType w:val="hybridMultilevel"/>
    <w:tmpl w:val="7758C580"/>
    <w:lvl w:ilvl="0" w:tplc="0FF8E600">
      <w:start w:val="6"/>
      <w:numFmt w:val="bullet"/>
      <w:lvlText w:val="-"/>
      <w:lvlJc w:val="left"/>
      <w:pPr>
        <w:ind w:left="946" w:hanging="360"/>
      </w:pPr>
      <w:rPr>
        <w:rFonts w:ascii="Times New Roman" w:eastAsia="Calibri" w:hAnsi="Times New Roman" w:cs="Times New Roman" w:hint="default"/>
      </w:rPr>
    </w:lvl>
    <w:lvl w:ilvl="1" w:tplc="04260003" w:tentative="1">
      <w:start w:val="1"/>
      <w:numFmt w:val="bullet"/>
      <w:lvlText w:val="o"/>
      <w:lvlJc w:val="left"/>
      <w:pPr>
        <w:ind w:left="1666" w:hanging="360"/>
      </w:pPr>
      <w:rPr>
        <w:rFonts w:ascii="Courier New" w:hAnsi="Courier New" w:cs="Courier New" w:hint="default"/>
      </w:rPr>
    </w:lvl>
    <w:lvl w:ilvl="2" w:tplc="04260005" w:tentative="1">
      <w:start w:val="1"/>
      <w:numFmt w:val="bullet"/>
      <w:lvlText w:val=""/>
      <w:lvlJc w:val="left"/>
      <w:pPr>
        <w:ind w:left="2386" w:hanging="360"/>
      </w:pPr>
      <w:rPr>
        <w:rFonts w:ascii="Wingdings" w:hAnsi="Wingdings" w:hint="default"/>
      </w:rPr>
    </w:lvl>
    <w:lvl w:ilvl="3" w:tplc="04260001" w:tentative="1">
      <w:start w:val="1"/>
      <w:numFmt w:val="bullet"/>
      <w:lvlText w:val=""/>
      <w:lvlJc w:val="left"/>
      <w:pPr>
        <w:ind w:left="3106" w:hanging="360"/>
      </w:pPr>
      <w:rPr>
        <w:rFonts w:ascii="Symbol" w:hAnsi="Symbol" w:hint="default"/>
      </w:rPr>
    </w:lvl>
    <w:lvl w:ilvl="4" w:tplc="04260003" w:tentative="1">
      <w:start w:val="1"/>
      <w:numFmt w:val="bullet"/>
      <w:lvlText w:val="o"/>
      <w:lvlJc w:val="left"/>
      <w:pPr>
        <w:ind w:left="3826" w:hanging="360"/>
      </w:pPr>
      <w:rPr>
        <w:rFonts w:ascii="Courier New" w:hAnsi="Courier New" w:cs="Courier New" w:hint="default"/>
      </w:rPr>
    </w:lvl>
    <w:lvl w:ilvl="5" w:tplc="04260005" w:tentative="1">
      <w:start w:val="1"/>
      <w:numFmt w:val="bullet"/>
      <w:lvlText w:val=""/>
      <w:lvlJc w:val="left"/>
      <w:pPr>
        <w:ind w:left="4546" w:hanging="360"/>
      </w:pPr>
      <w:rPr>
        <w:rFonts w:ascii="Wingdings" w:hAnsi="Wingdings" w:hint="default"/>
      </w:rPr>
    </w:lvl>
    <w:lvl w:ilvl="6" w:tplc="04260001" w:tentative="1">
      <w:start w:val="1"/>
      <w:numFmt w:val="bullet"/>
      <w:lvlText w:val=""/>
      <w:lvlJc w:val="left"/>
      <w:pPr>
        <w:ind w:left="5266" w:hanging="360"/>
      </w:pPr>
      <w:rPr>
        <w:rFonts w:ascii="Symbol" w:hAnsi="Symbol" w:hint="default"/>
      </w:rPr>
    </w:lvl>
    <w:lvl w:ilvl="7" w:tplc="04260003" w:tentative="1">
      <w:start w:val="1"/>
      <w:numFmt w:val="bullet"/>
      <w:lvlText w:val="o"/>
      <w:lvlJc w:val="left"/>
      <w:pPr>
        <w:ind w:left="5986" w:hanging="360"/>
      </w:pPr>
      <w:rPr>
        <w:rFonts w:ascii="Courier New" w:hAnsi="Courier New" w:cs="Courier New" w:hint="default"/>
      </w:rPr>
    </w:lvl>
    <w:lvl w:ilvl="8" w:tplc="04260005" w:tentative="1">
      <w:start w:val="1"/>
      <w:numFmt w:val="bullet"/>
      <w:lvlText w:val=""/>
      <w:lvlJc w:val="left"/>
      <w:pPr>
        <w:ind w:left="6706" w:hanging="360"/>
      </w:pPr>
      <w:rPr>
        <w:rFonts w:ascii="Wingdings" w:hAnsi="Wingdings" w:hint="default"/>
      </w:rPr>
    </w:lvl>
  </w:abstractNum>
  <w:abstractNum w:abstractNumId="7">
    <w:nsid w:val="2BC60766"/>
    <w:multiLevelType w:val="hybridMultilevel"/>
    <w:tmpl w:val="F000DEBE"/>
    <w:lvl w:ilvl="0" w:tplc="0E808306">
      <w:start w:val="6"/>
      <w:numFmt w:val="bullet"/>
      <w:lvlText w:val="."/>
      <w:lvlJc w:val="left"/>
      <w:pPr>
        <w:ind w:left="862" w:hanging="360"/>
      </w:pPr>
      <w:rPr>
        <w:rFonts w:ascii="Times New Roman" w:eastAsia="Calibr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334D575A"/>
    <w:multiLevelType w:val="hybridMultilevel"/>
    <w:tmpl w:val="CE5E9FF2"/>
    <w:lvl w:ilvl="0" w:tplc="0FF8E600">
      <w:start w:val="6"/>
      <w:numFmt w:val="bullet"/>
      <w:lvlText w:val="-"/>
      <w:lvlJc w:val="left"/>
      <w:pPr>
        <w:ind w:left="946" w:hanging="360"/>
      </w:pPr>
      <w:rPr>
        <w:rFonts w:ascii="Times New Roman" w:eastAsia="Calibri" w:hAnsi="Times New Roman" w:cs="Times New Roman" w:hint="default"/>
      </w:rPr>
    </w:lvl>
    <w:lvl w:ilvl="1" w:tplc="04260003" w:tentative="1">
      <w:start w:val="1"/>
      <w:numFmt w:val="bullet"/>
      <w:lvlText w:val="o"/>
      <w:lvlJc w:val="left"/>
      <w:pPr>
        <w:ind w:left="1666" w:hanging="360"/>
      </w:pPr>
      <w:rPr>
        <w:rFonts w:ascii="Courier New" w:hAnsi="Courier New" w:cs="Courier New" w:hint="default"/>
      </w:rPr>
    </w:lvl>
    <w:lvl w:ilvl="2" w:tplc="04260005" w:tentative="1">
      <w:start w:val="1"/>
      <w:numFmt w:val="bullet"/>
      <w:lvlText w:val=""/>
      <w:lvlJc w:val="left"/>
      <w:pPr>
        <w:ind w:left="2386" w:hanging="360"/>
      </w:pPr>
      <w:rPr>
        <w:rFonts w:ascii="Wingdings" w:hAnsi="Wingdings" w:hint="default"/>
      </w:rPr>
    </w:lvl>
    <w:lvl w:ilvl="3" w:tplc="04260001" w:tentative="1">
      <w:start w:val="1"/>
      <w:numFmt w:val="bullet"/>
      <w:lvlText w:val=""/>
      <w:lvlJc w:val="left"/>
      <w:pPr>
        <w:ind w:left="3106" w:hanging="360"/>
      </w:pPr>
      <w:rPr>
        <w:rFonts w:ascii="Symbol" w:hAnsi="Symbol" w:hint="default"/>
      </w:rPr>
    </w:lvl>
    <w:lvl w:ilvl="4" w:tplc="04260003" w:tentative="1">
      <w:start w:val="1"/>
      <w:numFmt w:val="bullet"/>
      <w:lvlText w:val="o"/>
      <w:lvlJc w:val="left"/>
      <w:pPr>
        <w:ind w:left="3826" w:hanging="360"/>
      </w:pPr>
      <w:rPr>
        <w:rFonts w:ascii="Courier New" w:hAnsi="Courier New" w:cs="Courier New" w:hint="default"/>
      </w:rPr>
    </w:lvl>
    <w:lvl w:ilvl="5" w:tplc="04260005" w:tentative="1">
      <w:start w:val="1"/>
      <w:numFmt w:val="bullet"/>
      <w:lvlText w:val=""/>
      <w:lvlJc w:val="left"/>
      <w:pPr>
        <w:ind w:left="4546" w:hanging="360"/>
      </w:pPr>
      <w:rPr>
        <w:rFonts w:ascii="Wingdings" w:hAnsi="Wingdings" w:hint="default"/>
      </w:rPr>
    </w:lvl>
    <w:lvl w:ilvl="6" w:tplc="04260001" w:tentative="1">
      <w:start w:val="1"/>
      <w:numFmt w:val="bullet"/>
      <w:lvlText w:val=""/>
      <w:lvlJc w:val="left"/>
      <w:pPr>
        <w:ind w:left="5266" w:hanging="360"/>
      </w:pPr>
      <w:rPr>
        <w:rFonts w:ascii="Symbol" w:hAnsi="Symbol" w:hint="default"/>
      </w:rPr>
    </w:lvl>
    <w:lvl w:ilvl="7" w:tplc="04260003" w:tentative="1">
      <w:start w:val="1"/>
      <w:numFmt w:val="bullet"/>
      <w:lvlText w:val="o"/>
      <w:lvlJc w:val="left"/>
      <w:pPr>
        <w:ind w:left="5986" w:hanging="360"/>
      </w:pPr>
      <w:rPr>
        <w:rFonts w:ascii="Courier New" w:hAnsi="Courier New" w:cs="Courier New" w:hint="default"/>
      </w:rPr>
    </w:lvl>
    <w:lvl w:ilvl="8" w:tplc="04260005" w:tentative="1">
      <w:start w:val="1"/>
      <w:numFmt w:val="bullet"/>
      <w:lvlText w:val=""/>
      <w:lvlJc w:val="left"/>
      <w:pPr>
        <w:ind w:left="6706" w:hanging="360"/>
      </w:pPr>
      <w:rPr>
        <w:rFonts w:ascii="Wingdings" w:hAnsi="Wingdings" w:hint="default"/>
      </w:rPr>
    </w:lvl>
  </w:abstractNum>
  <w:abstractNum w:abstractNumId="9">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1">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12">
    <w:nsid w:val="463805F8"/>
    <w:multiLevelType w:val="hybridMultilevel"/>
    <w:tmpl w:val="D624E4B2"/>
    <w:lvl w:ilvl="0" w:tplc="0FF8E600">
      <w:start w:val="6"/>
      <w:numFmt w:val="bullet"/>
      <w:lvlText w:val="-"/>
      <w:lvlJc w:val="left"/>
      <w:pPr>
        <w:ind w:left="862" w:hanging="360"/>
      </w:pPr>
      <w:rPr>
        <w:rFonts w:ascii="Times New Roman" w:eastAsia="Calibr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nsid w:val="4FA0654D"/>
    <w:multiLevelType w:val="hybridMultilevel"/>
    <w:tmpl w:val="80D4C8B8"/>
    <w:lvl w:ilvl="0" w:tplc="EBB03C1C">
      <w:start w:val="3"/>
      <w:numFmt w:val="bullet"/>
      <w:lvlText w:val="–"/>
      <w:lvlJc w:val="left"/>
      <w:pPr>
        <w:ind w:left="550" w:hanging="360"/>
      </w:pPr>
      <w:rPr>
        <w:rFonts w:ascii="Times New Roman" w:eastAsia="Calibri" w:hAnsi="Times New Roman" w:cs="Times New Roman" w:hint="default"/>
      </w:rPr>
    </w:lvl>
    <w:lvl w:ilvl="1" w:tplc="04260003" w:tentative="1">
      <w:start w:val="1"/>
      <w:numFmt w:val="bullet"/>
      <w:lvlText w:val="o"/>
      <w:lvlJc w:val="left"/>
      <w:pPr>
        <w:ind w:left="1270" w:hanging="360"/>
      </w:pPr>
      <w:rPr>
        <w:rFonts w:ascii="Courier New" w:hAnsi="Courier New" w:cs="Courier New" w:hint="default"/>
      </w:rPr>
    </w:lvl>
    <w:lvl w:ilvl="2" w:tplc="04260005" w:tentative="1">
      <w:start w:val="1"/>
      <w:numFmt w:val="bullet"/>
      <w:lvlText w:val=""/>
      <w:lvlJc w:val="left"/>
      <w:pPr>
        <w:ind w:left="1990" w:hanging="360"/>
      </w:pPr>
      <w:rPr>
        <w:rFonts w:ascii="Wingdings" w:hAnsi="Wingdings" w:hint="default"/>
      </w:rPr>
    </w:lvl>
    <w:lvl w:ilvl="3" w:tplc="04260001" w:tentative="1">
      <w:start w:val="1"/>
      <w:numFmt w:val="bullet"/>
      <w:lvlText w:val=""/>
      <w:lvlJc w:val="left"/>
      <w:pPr>
        <w:ind w:left="2710" w:hanging="360"/>
      </w:pPr>
      <w:rPr>
        <w:rFonts w:ascii="Symbol" w:hAnsi="Symbol" w:hint="default"/>
      </w:rPr>
    </w:lvl>
    <w:lvl w:ilvl="4" w:tplc="04260003" w:tentative="1">
      <w:start w:val="1"/>
      <w:numFmt w:val="bullet"/>
      <w:lvlText w:val="o"/>
      <w:lvlJc w:val="left"/>
      <w:pPr>
        <w:ind w:left="3430" w:hanging="360"/>
      </w:pPr>
      <w:rPr>
        <w:rFonts w:ascii="Courier New" w:hAnsi="Courier New" w:cs="Courier New" w:hint="default"/>
      </w:rPr>
    </w:lvl>
    <w:lvl w:ilvl="5" w:tplc="04260005" w:tentative="1">
      <w:start w:val="1"/>
      <w:numFmt w:val="bullet"/>
      <w:lvlText w:val=""/>
      <w:lvlJc w:val="left"/>
      <w:pPr>
        <w:ind w:left="4150" w:hanging="360"/>
      </w:pPr>
      <w:rPr>
        <w:rFonts w:ascii="Wingdings" w:hAnsi="Wingdings" w:hint="default"/>
      </w:rPr>
    </w:lvl>
    <w:lvl w:ilvl="6" w:tplc="04260001" w:tentative="1">
      <w:start w:val="1"/>
      <w:numFmt w:val="bullet"/>
      <w:lvlText w:val=""/>
      <w:lvlJc w:val="left"/>
      <w:pPr>
        <w:ind w:left="4870" w:hanging="360"/>
      </w:pPr>
      <w:rPr>
        <w:rFonts w:ascii="Symbol" w:hAnsi="Symbol" w:hint="default"/>
      </w:rPr>
    </w:lvl>
    <w:lvl w:ilvl="7" w:tplc="04260003" w:tentative="1">
      <w:start w:val="1"/>
      <w:numFmt w:val="bullet"/>
      <w:lvlText w:val="o"/>
      <w:lvlJc w:val="left"/>
      <w:pPr>
        <w:ind w:left="5590" w:hanging="360"/>
      </w:pPr>
      <w:rPr>
        <w:rFonts w:ascii="Courier New" w:hAnsi="Courier New" w:cs="Courier New" w:hint="default"/>
      </w:rPr>
    </w:lvl>
    <w:lvl w:ilvl="8" w:tplc="04260005" w:tentative="1">
      <w:start w:val="1"/>
      <w:numFmt w:val="bullet"/>
      <w:lvlText w:val=""/>
      <w:lvlJc w:val="left"/>
      <w:pPr>
        <w:ind w:left="6310" w:hanging="360"/>
      </w:pPr>
      <w:rPr>
        <w:rFonts w:ascii="Wingdings" w:hAnsi="Wingdings" w:hint="default"/>
      </w:rPr>
    </w:lvl>
  </w:abstractNum>
  <w:abstractNum w:abstractNumId="14">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15">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6">
    <w:nsid w:val="5A400890"/>
    <w:multiLevelType w:val="hybridMultilevel"/>
    <w:tmpl w:val="9F60D168"/>
    <w:lvl w:ilvl="0" w:tplc="8958762A">
      <w:start w:val="4"/>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7">
    <w:nsid w:val="5A610110"/>
    <w:multiLevelType w:val="hybridMultilevel"/>
    <w:tmpl w:val="CB52A778"/>
    <w:lvl w:ilvl="0" w:tplc="0FF8E600">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1E85034"/>
    <w:multiLevelType w:val="multilevel"/>
    <w:tmpl w:val="37C03CFE"/>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20">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1">
    <w:nsid w:val="76A741B1"/>
    <w:multiLevelType w:val="hybridMultilevel"/>
    <w:tmpl w:val="B666D52E"/>
    <w:lvl w:ilvl="0" w:tplc="0FF8E600">
      <w:start w:val="6"/>
      <w:numFmt w:val="bullet"/>
      <w:lvlText w:val="-"/>
      <w:lvlJc w:val="left"/>
      <w:pPr>
        <w:ind w:left="862" w:hanging="360"/>
      </w:pPr>
      <w:rPr>
        <w:rFonts w:ascii="Times New Roman" w:eastAsia="Calibr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nsid w:val="796F5EAC"/>
    <w:multiLevelType w:val="hybridMultilevel"/>
    <w:tmpl w:val="EA788BF0"/>
    <w:lvl w:ilvl="0" w:tplc="9A54343A">
      <w:start w:val="1"/>
      <w:numFmt w:val="decimal"/>
      <w:lvlText w:val="%1)"/>
      <w:lvlJc w:val="left"/>
      <w:pPr>
        <w:ind w:left="421" w:hanging="360"/>
      </w:pPr>
      <w:rPr>
        <w:rFonts w:hint="default"/>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23">
    <w:nsid w:val="7D7E2212"/>
    <w:multiLevelType w:val="hybridMultilevel"/>
    <w:tmpl w:val="6D92E248"/>
    <w:lvl w:ilvl="0" w:tplc="9F88CDA8">
      <w:start w:val="1"/>
      <w:numFmt w:val="bullet"/>
      <w:lvlText w:val=""/>
      <w:lvlJc w:val="left"/>
      <w:pPr>
        <w:ind w:left="946" w:hanging="360"/>
      </w:pPr>
      <w:rPr>
        <w:rFonts w:ascii="Symbol" w:hAnsi="Symbol" w:hint="default"/>
      </w:rPr>
    </w:lvl>
    <w:lvl w:ilvl="1" w:tplc="04260003" w:tentative="1">
      <w:start w:val="1"/>
      <w:numFmt w:val="bullet"/>
      <w:lvlText w:val="o"/>
      <w:lvlJc w:val="left"/>
      <w:pPr>
        <w:ind w:left="1666" w:hanging="360"/>
      </w:pPr>
      <w:rPr>
        <w:rFonts w:ascii="Courier New" w:hAnsi="Courier New" w:cs="Courier New" w:hint="default"/>
      </w:rPr>
    </w:lvl>
    <w:lvl w:ilvl="2" w:tplc="04260005" w:tentative="1">
      <w:start w:val="1"/>
      <w:numFmt w:val="bullet"/>
      <w:lvlText w:val=""/>
      <w:lvlJc w:val="left"/>
      <w:pPr>
        <w:ind w:left="2386" w:hanging="360"/>
      </w:pPr>
      <w:rPr>
        <w:rFonts w:ascii="Wingdings" w:hAnsi="Wingdings" w:hint="default"/>
      </w:rPr>
    </w:lvl>
    <w:lvl w:ilvl="3" w:tplc="04260001" w:tentative="1">
      <w:start w:val="1"/>
      <w:numFmt w:val="bullet"/>
      <w:lvlText w:val=""/>
      <w:lvlJc w:val="left"/>
      <w:pPr>
        <w:ind w:left="3106" w:hanging="360"/>
      </w:pPr>
      <w:rPr>
        <w:rFonts w:ascii="Symbol" w:hAnsi="Symbol" w:hint="default"/>
      </w:rPr>
    </w:lvl>
    <w:lvl w:ilvl="4" w:tplc="04260003" w:tentative="1">
      <w:start w:val="1"/>
      <w:numFmt w:val="bullet"/>
      <w:lvlText w:val="o"/>
      <w:lvlJc w:val="left"/>
      <w:pPr>
        <w:ind w:left="3826" w:hanging="360"/>
      </w:pPr>
      <w:rPr>
        <w:rFonts w:ascii="Courier New" w:hAnsi="Courier New" w:cs="Courier New" w:hint="default"/>
      </w:rPr>
    </w:lvl>
    <w:lvl w:ilvl="5" w:tplc="04260005" w:tentative="1">
      <w:start w:val="1"/>
      <w:numFmt w:val="bullet"/>
      <w:lvlText w:val=""/>
      <w:lvlJc w:val="left"/>
      <w:pPr>
        <w:ind w:left="4546" w:hanging="360"/>
      </w:pPr>
      <w:rPr>
        <w:rFonts w:ascii="Wingdings" w:hAnsi="Wingdings" w:hint="default"/>
      </w:rPr>
    </w:lvl>
    <w:lvl w:ilvl="6" w:tplc="04260001" w:tentative="1">
      <w:start w:val="1"/>
      <w:numFmt w:val="bullet"/>
      <w:lvlText w:val=""/>
      <w:lvlJc w:val="left"/>
      <w:pPr>
        <w:ind w:left="5266" w:hanging="360"/>
      </w:pPr>
      <w:rPr>
        <w:rFonts w:ascii="Symbol" w:hAnsi="Symbol" w:hint="default"/>
      </w:rPr>
    </w:lvl>
    <w:lvl w:ilvl="7" w:tplc="04260003" w:tentative="1">
      <w:start w:val="1"/>
      <w:numFmt w:val="bullet"/>
      <w:lvlText w:val="o"/>
      <w:lvlJc w:val="left"/>
      <w:pPr>
        <w:ind w:left="5986" w:hanging="360"/>
      </w:pPr>
      <w:rPr>
        <w:rFonts w:ascii="Courier New" w:hAnsi="Courier New" w:cs="Courier New" w:hint="default"/>
      </w:rPr>
    </w:lvl>
    <w:lvl w:ilvl="8" w:tplc="04260005" w:tentative="1">
      <w:start w:val="1"/>
      <w:numFmt w:val="bullet"/>
      <w:lvlText w:val=""/>
      <w:lvlJc w:val="left"/>
      <w:pPr>
        <w:ind w:left="670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1"/>
  </w:num>
  <w:num w:numId="5">
    <w:abstractNumId w:val="4"/>
  </w:num>
  <w:num w:numId="6">
    <w:abstractNumId w:val="10"/>
  </w:num>
  <w:num w:numId="7">
    <w:abstractNumId w:val="1"/>
  </w:num>
  <w:num w:numId="8">
    <w:abstractNumId w:val="19"/>
  </w:num>
  <w:num w:numId="9">
    <w:abstractNumId w:val="15"/>
  </w:num>
  <w:num w:numId="10">
    <w:abstractNumId w:val="12"/>
  </w:num>
  <w:num w:numId="11">
    <w:abstractNumId w:val="7"/>
  </w:num>
  <w:num w:numId="12">
    <w:abstractNumId w:val="21"/>
  </w:num>
  <w:num w:numId="13">
    <w:abstractNumId w:val="20"/>
  </w:num>
  <w:num w:numId="14">
    <w:abstractNumId w:val="13"/>
  </w:num>
  <w:num w:numId="15">
    <w:abstractNumId w:val="22"/>
  </w:num>
  <w:num w:numId="16">
    <w:abstractNumId w:val="3"/>
  </w:num>
  <w:num w:numId="17">
    <w:abstractNumId w:val="16"/>
  </w:num>
  <w:num w:numId="18">
    <w:abstractNumId w:val="2"/>
  </w:num>
  <w:num w:numId="19">
    <w:abstractNumId w:val="17"/>
  </w:num>
  <w:num w:numId="20">
    <w:abstractNumId w:val="6"/>
  </w:num>
  <w:num w:numId="21">
    <w:abstractNumId w:val="8"/>
  </w:num>
  <w:num w:numId="22">
    <w:abstractNumId w:val="5"/>
  </w:num>
  <w:num w:numId="23">
    <w:abstractNumId w:val="23"/>
  </w:num>
  <w:num w:numId="24">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8E119E"/>
    <w:rsid w:val="000013AA"/>
    <w:rsid w:val="00001CB9"/>
    <w:rsid w:val="000020B5"/>
    <w:rsid w:val="00002C9A"/>
    <w:rsid w:val="00003B11"/>
    <w:rsid w:val="000077E5"/>
    <w:rsid w:val="00007938"/>
    <w:rsid w:val="0000793C"/>
    <w:rsid w:val="000111C8"/>
    <w:rsid w:val="00011A5E"/>
    <w:rsid w:val="00011E50"/>
    <w:rsid w:val="00012FED"/>
    <w:rsid w:val="000172C8"/>
    <w:rsid w:val="000177A8"/>
    <w:rsid w:val="0002066C"/>
    <w:rsid w:val="0002068C"/>
    <w:rsid w:val="0002179E"/>
    <w:rsid w:val="0002254E"/>
    <w:rsid w:val="000233E4"/>
    <w:rsid w:val="00023908"/>
    <w:rsid w:val="00023B06"/>
    <w:rsid w:val="00023B66"/>
    <w:rsid w:val="00024363"/>
    <w:rsid w:val="00024E67"/>
    <w:rsid w:val="00025AB7"/>
    <w:rsid w:val="00025B47"/>
    <w:rsid w:val="000269CA"/>
    <w:rsid w:val="00030306"/>
    <w:rsid w:val="00030765"/>
    <w:rsid w:val="00031EB7"/>
    <w:rsid w:val="00032203"/>
    <w:rsid w:val="00032245"/>
    <w:rsid w:val="00033065"/>
    <w:rsid w:val="00033A6D"/>
    <w:rsid w:val="00033DC4"/>
    <w:rsid w:val="000340C1"/>
    <w:rsid w:val="000341B3"/>
    <w:rsid w:val="0003493A"/>
    <w:rsid w:val="000365F3"/>
    <w:rsid w:val="00036AE4"/>
    <w:rsid w:val="00037B7B"/>
    <w:rsid w:val="00037E38"/>
    <w:rsid w:val="00040B75"/>
    <w:rsid w:val="0004159C"/>
    <w:rsid w:val="000430CC"/>
    <w:rsid w:val="00044239"/>
    <w:rsid w:val="000444A1"/>
    <w:rsid w:val="00045E59"/>
    <w:rsid w:val="000467C0"/>
    <w:rsid w:val="00046E34"/>
    <w:rsid w:val="00046F08"/>
    <w:rsid w:val="00047070"/>
    <w:rsid w:val="000470ED"/>
    <w:rsid w:val="00047133"/>
    <w:rsid w:val="0004733A"/>
    <w:rsid w:val="00050574"/>
    <w:rsid w:val="00050BA8"/>
    <w:rsid w:val="00053157"/>
    <w:rsid w:val="000534CA"/>
    <w:rsid w:val="00054DFC"/>
    <w:rsid w:val="0005599C"/>
    <w:rsid w:val="00056783"/>
    <w:rsid w:val="00057298"/>
    <w:rsid w:val="00060928"/>
    <w:rsid w:val="00061B65"/>
    <w:rsid w:val="00061F78"/>
    <w:rsid w:val="00062709"/>
    <w:rsid w:val="0006329E"/>
    <w:rsid w:val="0006382F"/>
    <w:rsid w:val="00064A81"/>
    <w:rsid w:val="00065B9F"/>
    <w:rsid w:val="000669C9"/>
    <w:rsid w:val="00066E65"/>
    <w:rsid w:val="00067147"/>
    <w:rsid w:val="0006784B"/>
    <w:rsid w:val="000705B2"/>
    <w:rsid w:val="00070646"/>
    <w:rsid w:val="0007074E"/>
    <w:rsid w:val="00070897"/>
    <w:rsid w:val="000708B1"/>
    <w:rsid w:val="00070F24"/>
    <w:rsid w:val="00072126"/>
    <w:rsid w:val="00072FD8"/>
    <w:rsid w:val="00073FCD"/>
    <w:rsid w:val="00074B0E"/>
    <w:rsid w:val="00074E8D"/>
    <w:rsid w:val="00075642"/>
    <w:rsid w:val="00077E78"/>
    <w:rsid w:val="00082103"/>
    <w:rsid w:val="00082376"/>
    <w:rsid w:val="00083AD3"/>
    <w:rsid w:val="0008412E"/>
    <w:rsid w:val="00084444"/>
    <w:rsid w:val="0008508F"/>
    <w:rsid w:val="00085F05"/>
    <w:rsid w:val="00086AE4"/>
    <w:rsid w:val="00087B86"/>
    <w:rsid w:val="00090500"/>
    <w:rsid w:val="00091795"/>
    <w:rsid w:val="00092776"/>
    <w:rsid w:val="00092F50"/>
    <w:rsid w:val="000930E7"/>
    <w:rsid w:val="00093477"/>
    <w:rsid w:val="000954A2"/>
    <w:rsid w:val="000A28CB"/>
    <w:rsid w:val="000A2CA3"/>
    <w:rsid w:val="000A5311"/>
    <w:rsid w:val="000A58E5"/>
    <w:rsid w:val="000A6844"/>
    <w:rsid w:val="000B03C5"/>
    <w:rsid w:val="000B0F50"/>
    <w:rsid w:val="000B19BC"/>
    <w:rsid w:val="000B28F3"/>
    <w:rsid w:val="000B2C77"/>
    <w:rsid w:val="000B3290"/>
    <w:rsid w:val="000B4168"/>
    <w:rsid w:val="000B4864"/>
    <w:rsid w:val="000B4A80"/>
    <w:rsid w:val="000B6F04"/>
    <w:rsid w:val="000C0569"/>
    <w:rsid w:val="000C1F05"/>
    <w:rsid w:val="000C30BE"/>
    <w:rsid w:val="000C735A"/>
    <w:rsid w:val="000D05D8"/>
    <w:rsid w:val="000D1BF9"/>
    <w:rsid w:val="000D2975"/>
    <w:rsid w:val="000D2D83"/>
    <w:rsid w:val="000D3176"/>
    <w:rsid w:val="000D45EF"/>
    <w:rsid w:val="000D5863"/>
    <w:rsid w:val="000D59A2"/>
    <w:rsid w:val="000D59D4"/>
    <w:rsid w:val="000D5F9C"/>
    <w:rsid w:val="000D6591"/>
    <w:rsid w:val="000D6EEF"/>
    <w:rsid w:val="000D7DA7"/>
    <w:rsid w:val="000E032C"/>
    <w:rsid w:val="000E0748"/>
    <w:rsid w:val="000E1089"/>
    <w:rsid w:val="000E2CA6"/>
    <w:rsid w:val="000E3060"/>
    <w:rsid w:val="000E53F5"/>
    <w:rsid w:val="000E6084"/>
    <w:rsid w:val="000E7113"/>
    <w:rsid w:val="000E7F57"/>
    <w:rsid w:val="000E7FCC"/>
    <w:rsid w:val="000F0F12"/>
    <w:rsid w:val="000F194E"/>
    <w:rsid w:val="000F1964"/>
    <w:rsid w:val="000F348A"/>
    <w:rsid w:val="000F3D9F"/>
    <w:rsid w:val="000F437A"/>
    <w:rsid w:val="000F46F8"/>
    <w:rsid w:val="000F4B31"/>
    <w:rsid w:val="000F5A87"/>
    <w:rsid w:val="000F6635"/>
    <w:rsid w:val="000F7849"/>
    <w:rsid w:val="000F7A3B"/>
    <w:rsid w:val="001002FE"/>
    <w:rsid w:val="001015F1"/>
    <w:rsid w:val="00101697"/>
    <w:rsid w:val="001039B4"/>
    <w:rsid w:val="00104E1A"/>
    <w:rsid w:val="00104E20"/>
    <w:rsid w:val="001059EC"/>
    <w:rsid w:val="00107B32"/>
    <w:rsid w:val="0011220C"/>
    <w:rsid w:val="00112CFA"/>
    <w:rsid w:val="00113FEC"/>
    <w:rsid w:val="001152D2"/>
    <w:rsid w:val="00115F2B"/>
    <w:rsid w:val="00116874"/>
    <w:rsid w:val="00120AD6"/>
    <w:rsid w:val="001227DF"/>
    <w:rsid w:val="00122E90"/>
    <w:rsid w:val="00123E7A"/>
    <w:rsid w:val="00125F40"/>
    <w:rsid w:val="0012662E"/>
    <w:rsid w:val="00126BA0"/>
    <w:rsid w:val="00126EA6"/>
    <w:rsid w:val="00127BD7"/>
    <w:rsid w:val="00130482"/>
    <w:rsid w:val="0013647D"/>
    <w:rsid w:val="0013794D"/>
    <w:rsid w:val="0013795D"/>
    <w:rsid w:val="00140915"/>
    <w:rsid w:val="0014177E"/>
    <w:rsid w:val="001418EC"/>
    <w:rsid w:val="00141990"/>
    <w:rsid w:val="001446E9"/>
    <w:rsid w:val="001449FE"/>
    <w:rsid w:val="00146CA1"/>
    <w:rsid w:val="00150DAB"/>
    <w:rsid w:val="00150F2D"/>
    <w:rsid w:val="001513D8"/>
    <w:rsid w:val="00152084"/>
    <w:rsid w:val="0015311B"/>
    <w:rsid w:val="00153553"/>
    <w:rsid w:val="0015391E"/>
    <w:rsid w:val="001556E6"/>
    <w:rsid w:val="00155E2C"/>
    <w:rsid w:val="001572D2"/>
    <w:rsid w:val="00157A17"/>
    <w:rsid w:val="00160875"/>
    <w:rsid w:val="0016155B"/>
    <w:rsid w:val="001616F5"/>
    <w:rsid w:val="001620FE"/>
    <w:rsid w:val="0016212B"/>
    <w:rsid w:val="001625C1"/>
    <w:rsid w:val="0016329C"/>
    <w:rsid w:val="0016332E"/>
    <w:rsid w:val="00163441"/>
    <w:rsid w:val="0016399E"/>
    <w:rsid w:val="00163DD7"/>
    <w:rsid w:val="00167403"/>
    <w:rsid w:val="00167554"/>
    <w:rsid w:val="00170F84"/>
    <w:rsid w:val="001744C8"/>
    <w:rsid w:val="0017464F"/>
    <w:rsid w:val="00174773"/>
    <w:rsid w:val="001747CC"/>
    <w:rsid w:val="00174853"/>
    <w:rsid w:val="00174D71"/>
    <w:rsid w:val="001764E7"/>
    <w:rsid w:val="00176B90"/>
    <w:rsid w:val="00176C07"/>
    <w:rsid w:val="00177B67"/>
    <w:rsid w:val="001803D1"/>
    <w:rsid w:val="00180578"/>
    <w:rsid w:val="00181195"/>
    <w:rsid w:val="001828AC"/>
    <w:rsid w:val="00183B2E"/>
    <w:rsid w:val="00184373"/>
    <w:rsid w:val="00185150"/>
    <w:rsid w:val="00186D0E"/>
    <w:rsid w:val="0018716B"/>
    <w:rsid w:val="0019033D"/>
    <w:rsid w:val="0019197D"/>
    <w:rsid w:val="001929D8"/>
    <w:rsid w:val="00194186"/>
    <w:rsid w:val="001945C0"/>
    <w:rsid w:val="00195D02"/>
    <w:rsid w:val="00195D70"/>
    <w:rsid w:val="0019650D"/>
    <w:rsid w:val="001966A0"/>
    <w:rsid w:val="00197D72"/>
    <w:rsid w:val="001A1C7F"/>
    <w:rsid w:val="001A3515"/>
    <w:rsid w:val="001A4661"/>
    <w:rsid w:val="001A4FD7"/>
    <w:rsid w:val="001A56DB"/>
    <w:rsid w:val="001A5D0B"/>
    <w:rsid w:val="001A60D6"/>
    <w:rsid w:val="001B1EBD"/>
    <w:rsid w:val="001B335C"/>
    <w:rsid w:val="001B3686"/>
    <w:rsid w:val="001B4A4A"/>
    <w:rsid w:val="001B667A"/>
    <w:rsid w:val="001B78C6"/>
    <w:rsid w:val="001C0746"/>
    <w:rsid w:val="001C33E4"/>
    <w:rsid w:val="001C38C7"/>
    <w:rsid w:val="001C39FE"/>
    <w:rsid w:val="001C3B64"/>
    <w:rsid w:val="001C4C3A"/>
    <w:rsid w:val="001C4D38"/>
    <w:rsid w:val="001C53C8"/>
    <w:rsid w:val="001C6C0E"/>
    <w:rsid w:val="001C6CD6"/>
    <w:rsid w:val="001C7D64"/>
    <w:rsid w:val="001D1086"/>
    <w:rsid w:val="001D274B"/>
    <w:rsid w:val="001D2E0C"/>
    <w:rsid w:val="001D367B"/>
    <w:rsid w:val="001D4D36"/>
    <w:rsid w:val="001D6235"/>
    <w:rsid w:val="001D6473"/>
    <w:rsid w:val="001D6D54"/>
    <w:rsid w:val="001D7DA4"/>
    <w:rsid w:val="001E1AC9"/>
    <w:rsid w:val="001E3677"/>
    <w:rsid w:val="001E3816"/>
    <w:rsid w:val="001E554E"/>
    <w:rsid w:val="001E60B9"/>
    <w:rsid w:val="001E78B2"/>
    <w:rsid w:val="001F033C"/>
    <w:rsid w:val="001F1C45"/>
    <w:rsid w:val="001F4354"/>
    <w:rsid w:val="001F443F"/>
    <w:rsid w:val="001F5A29"/>
    <w:rsid w:val="001F5C85"/>
    <w:rsid w:val="001F6420"/>
    <w:rsid w:val="001F7369"/>
    <w:rsid w:val="00202A57"/>
    <w:rsid w:val="00202CDD"/>
    <w:rsid w:val="00203D0A"/>
    <w:rsid w:val="0020493D"/>
    <w:rsid w:val="00204D73"/>
    <w:rsid w:val="0020525E"/>
    <w:rsid w:val="0020708D"/>
    <w:rsid w:val="00207E6C"/>
    <w:rsid w:val="00211B94"/>
    <w:rsid w:val="00213C5D"/>
    <w:rsid w:val="00214149"/>
    <w:rsid w:val="0021414A"/>
    <w:rsid w:val="00215900"/>
    <w:rsid w:val="00215BD2"/>
    <w:rsid w:val="0021715E"/>
    <w:rsid w:val="00217507"/>
    <w:rsid w:val="0022421A"/>
    <w:rsid w:val="002242B3"/>
    <w:rsid w:val="0022563B"/>
    <w:rsid w:val="002265DB"/>
    <w:rsid w:val="00231D55"/>
    <w:rsid w:val="00232461"/>
    <w:rsid w:val="00232E3F"/>
    <w:rsid w:val="002335A2"/>
    <w:rsid w:val="00234457"/>
    <w:rsid w:val="0023498C"/>
    <w:rsid w:val="002353EC"/>
    <w:rsid w:val="0023662E"/>
    <w:rsid w:val="00236BB7"/>
    <w:rsid w:val="0023751E"/>
    <w:rsid w:val="00237F3C"/>
    <w:rsid w:val="00240EA3"/>
    <w:rsid w:val="002416FF"/>
    <w:rsid w:val="00244F01"/>
    <w:rsid w:val="002452E9"/>
    <w:rsid w:val="0024544B"/>
    <w:rsid w:val="00245664"/>
    <w:rsid w:val="0024613A"/>
    <w:rsid w:val="00251245"/>
    <w:rsid w:val="00251558"/>
    <w:rsid w:val="00251892"/>
    <w:rsid w:val="0025259D"/>
    <w:rsid w:val="00252B64"/>
    <w:rsid w:val="00255913"/>
    <w:rsid w:val="00256EB1"/>
    <w:rsid w:val="00257B5E"/>
    <w:rsid w:val="00257E55"/>
    <w:rsid w:val="00260334"/>
    <w:rsid w:val="00261401"/>
    <w:rsid w:val="00263395"/>
    <w:rsid w:val="00263655"/>
    <w:rsid w:val="00263736"/>
    <w:rsid w:val="00263B81"/>
    <w:rsid w:val="00263FD6"/>
    <w:rsid w:val="0026516A"/>
    <w:rsid w:val="002656BA"/>
    <w:rsid w:val="002664E6"/>
    <w:rsid w:val="00266A9D"/>
    <w:rsid w:val="0026706F"/>
    <w:rsid w:val="00270C50"/>
    <w:rsid w:val="002722A0"/>
    <w:rsid w:val="002723C7"/>
    <w:rsid w:val="00272E23"/>
    <w:rsid w:val="00274954"/>
    <w:rsid w:val="00274B14"/>
    <w:rsid w:val="00274D93"/>
    <w:rsid w:val="0027603D"/>
    <w:rsid w:val="002769E9"/>
    <w:rsid w:val="002770F8"/>
    <w:rsid w:val="0027774D"/>
    <w:rsid w:val="00277FEA"/>
    <w:rsid w:val="0028004F"/>
    <w:rsid w:val="00280368"/>
    <w:rsid w:val="00280681"/>
    <w:rsid w:val="00281564"/>
    <w:rsid w:val="00282581"/>
    <w:rsid w:val="00282EEA"/>
    <w:rsid w:val="00284F44"/>
    <w:rsid w:val="00286169"/>
    <w:rsid w:val="00286875"/>
    <w:rsid w:val="00287869"/>
    <w:rsid w:val="00287AEE"/>
    <w:rsid w:val="002929CC"/>
    <w:rsid w:val="00294240"/>
    <w:rsid w:val="002949C8"/>
    <w:rsid w:val="00296BA1"/>
    <w:rsid w:val="00297A4F"/>
    <w:rsid w:val="00297F4D"/>
    <w:rsid w:val="002A026B"/>
    <w:rsid w:val="002A0DAF"/>
    <w:rsid w:val="002A2C16"/>
    <w:rsid w:val="002A40CF"/>
    <w:rsid w:val="002A53B5"/>
    <w:rsid w:val="002A57CC"/>
    <w:rsid w:val="002A766A"/>
    <w:rsid w:val="002B25CC"/>
    <w:rsid w:val="002B3834"/>
    <w:rsid w:val="002B73B1"/>
    <w:rsid w:val="002B73E3"/>
    <w:rsid w:val="002C0D9C"/>
    <w:rsid w:val="002C1705"/>
    <w:rsid w:val="002C2A70"/>
    <w:rsid w:val="002C5837"/>
    <w:rsid w:val="002C5E96"/>
    <w:rsid w:val="002C7200"/>
    <w:rsid w:val="002C7C56"/>
    <w:rsid w:val="002D3FAD"/>
    <w:rsid w:val="002D7D75"/>
    <w:rsid w:val="002E1145"/>
    <w:rsid w:val="002E2516"/>
    <w:rsid w:val="002E4326"/>
    <w:rsid w:val="002E53A3"/>
    <w:rsid w:val="002E558B"/>
    <w:rsid w:val="002E78D2"/>
    <w:rsid w:val="002E7FFE"/>
    <w:rsid w:val="002F0076"/>
    <w:rsid w:val="002F0721"/>
    <w:rsid w:val="002F12F6"/>
    <w:rsid w:val="002F1E10"/>
    <w:rsid w:val="002F2ED2"/>
    <w:rsid w:val="002F372E"/>
    <w:rsid w:val="002F3BBA"/>
    <w:rsid w:val="002F53F2"/>
    <w:rsid w:val="002F5B9E"/>
    <w:rsid w:val="002F6C36"/>
    <w:rsid w:val="00302F99"/>
    <w:rsid w:val="00303F3A"/>
    <w:rsid w:val="0030421C"/>
    <w:rsid w:val="00306624"/>
    <w:rsid w:val="003100C6"/>
    <w:rsid w:val="003100E6"/>
    <w:rsid w:val="003120F6"/>
    <w:rsid w:val="003125C2"/>
    <w:rsid w:val="00313016"/>
    <w:rsid w:val="00313048"/>
    <w:rsid w:val="00315174"/>
    <w:rsid w:val="0031551A"/>
    <w:rsid w:val="00315788"/>
    <w:rsid w:val="00315B11"/>
    <w:rsid w:val="00317091"/>
    <w:rsid w:val="003176FB"/>
    <w:rsid w:val="00320BC6"/>
    <w:rsid w:val="00323B34"/>
    <w:rsid w:val="003256E6"/>
    <w:rsid w:val="00330275"/>
    <w:rsid w:val="00330C2A"/>
    <w:rsid w:val="00331955"/>
    <w:rsid w:val="00331976"/>
    <w:rsid w:val="00332040"/>
    <w:rsid w:val="00332C59"/>
    <w:rsid w:val="003347B7"/>
    <w:rsid w:val="00335A47"/>
    <w:rsid w:val="003363B2"/>
    <w:rsid w:val="00336FBC"/>
    <w:rsid w:val="00340B81"/>
    <w:rsid w:val="00342808"/>
    <w:rsid w:val="0034297F"/>
    <w:rsid w:val="003429E1"/>
    <w:rsid w:val="003444F4"/>
    <w:rsid w:val="00345FA6"/>
    <w:rsid w:val="00353E8B"/>
    <w:rsid w:val="003572E0"/>
    <w:rsid w:val="0036218A"/>
    <w:rsid w:val="00363CA9"/>
    <w:rsid w:val="003644D8"/>
    <w:rsid w:val="0036555F"/>
    <w:rsid w:val="00366FAF"/>
    <w:rsid w:val="00370725"/>
    <w:rsid w:val="0037082D"/>
    <w:rsid w:val="00370937"/>
    <w:rsid w:val="00371D42"/>
    <w:rsid w:val="003738D4"/>
    <w:rsid w:val="00373F08"/>
    <w:rsid w:val="0037637A"/>
    <w:rsid w:val="003801E3"/>
    <w:rsid w:val="003803B2"/>
    <w:rsid w:val="00382CC5"/>
    <w:rsid w:val="00383EE0"/>
    <w:rsid w:val="003841FB"/>
    <w:rsid w:val="003873C4"/>
    <w:rsid w:val="00387C51"/>
    <w:rsid w:val="00387FD0"/>
    <w:rsid w:val="00391F07"/>
    <w:rsid w:val="00392B37"/>
    <w:rsid w:val="00392C8E"/>
    <w:rsid w:val="00394EAF"/>
    <w:rsid w:val="0039687B"/>
    <w:rsid w:val="00397739"/>
    <w:rsid w:val="00397D8D"/>
    <w:rsid w:val="003A054F"/>
    <w:rsid w:val="003A0920"/>
    <w:rsid w:val="003A1240"/>
    <w:rsid w:val="003A1357"/>
    <w:rsid w:val="003A3284"/>
    <w:rsid w:val="003A45F3"/>
    <w:rsid w:val="003A51B8"/>
    <w:rsid w:val="003A5655"/>
    <w:rsid w:val="003A5CC1"/>
    <w:rsid w:val="003B0277"/>
    <w:rsid w:val="003B126C"/>
    <w:rsid w:val="003B1348"/>
    <w:rsid w:val="003B1949"/>
    <w:rsid w:val="003B3E6B"/>
    <w:rsid w:val="003B4DAB"/>
    <w:rsid w:val="003B58D7"/>
    <w:rsid w:val="003B5E7D"/>
    <w:rsid w:val="003B61C7"/>
    <w:rsid w:val="003B7CAB"/>
    <w:rsid w:val="003C1513"/>
    <w:rsid w:val="003C153B"/>
    <w:rsid w:val="003C34A7"/>
    <w:rsid w:val="003C6C17"/>
    <w:rsid w:val="003C76FA"/>
    <w:rsid w:val="003D02FF"/>
    <w:rsid w:val="003D277C"/>
    <w:rsid w:val="003D38CB"/>
    <w:rsid w:val="003D53C0"/>
    <w:rsid w:val="003D6890"/>
    <w:rsid w:val="003D7508"/>
    <w:rsid w:val="003E0E80"/>
    <w:rsid w:val="003E2006"/>
    <w:rsid w:val="003E219A"/>
    <w:rsid w:val="003E2E16"/>
    <w:rsid w:val="003E2F84"/>
    <w:rsid w:val="003E3673"/>
    <w:rsid w:val="003E37BD"/>
    <w:rsid w:val="003E3C40"/>
    <w:rsid w:val="003F007F"/>
    <w:rsid w:val="003F0618"/>
    <w:rsid w:val="003F20C7"/>
    <w:rsid w:val="003F283E"/>
    <w:rsid w:val="003F2A5F"/>
    <w:rsid w:val="003F4055"/>
    <w:rsid w:val="003F4FB1"/>
    <w:rsid w:val="003F62BA"/>
    <w:rsid w:val="00400877"/>
    <w:rsid w:val="00400965"/>
    <w:rsid w:val="00401467"/>
    <w:rsid w:val="00401E72"/>
    <w:rsid w:val="00403A1F"/>
    <w:rsid w:val="00404D82"/>
    <w:rsid w:val="00404EA9"/>
    <w:rsid w:val="004052A1"/>
    <w:rsid w:val="0040657E"/>
    <w:rsid w:val="00406941"/>
    <w:rsid w:val="0041021E"/>
    <w:rsid w:val="00411E60"/>
    <w:rsid w:val="00414A42"/>
    <w:rsid w:val="00414EBF"/>
    <w:rsid w:val="00415E47"/>
    <w:rsid w:val="00416267"/>
    <w:rsid w:val="00416306"/>
    <w:rsid w:val="004175EF"/>
    <w:rsid w:val="00417A8B"/>
    <w:rsid w:val="00421153"/>
    <w:rsid w:val="00422770"/>
    <w:rsid w:val="00422E2E"/>
    <w:rsid w:val="004234D3"/>
    <w:rsid w:val="00423C3A"/>
    <w:rsid w:val="00423ECD"/>
    <w:rsid w:val="00424F3B"/>
    <w:rsid w:val="0042582A"/>
    <w:rsid w:val="0043026A"/>
    <w:rsid w:val="004308AD"/>
    <w:rsid w:val="00430F96"/>
    <w:rsid w:val="004311B0"/>
    <w:rsid w:val="00431FE1"/>
    <w:rsid w:val="004323A3"/>
    <w:rsid w:val="00432A6C"/>
    <w:rsid w:val="0043350E"/>
    <w:rsid w:val="00434DFB"/>
    <w:rsid w:val="004351DC"/>
    <w:rsid w:val="004376F8"/>
    <w:rsid w:val="00441D54"/>
    <w:rsid w:val="00441DDE"/>
    <w:rsid w:val="00443428"/>
    <w:rsid w:val="00444BEE"/>
    <w:rsid w:val="0044576D"/>
    <w:rsid w:val="004461EB"/>
    <w:rsid w:val="00447B87"/>
    <w:rsid w:val="004532D3"/>
    <w:rsid w:val="004538C5"/>
    <w:rsid w:val="00453F68"/>
    <w:rsid w:val="00454B64"/>
    <w:rsid w:val="0045568D"/>
    <w:rsid w:val="004558D6"/>
    <w:rsid w:val="0045719A"/>
    <w:rsid w:val="0045742A"/>
    <w:rsid w:val="00460045"/>
    <w:rsid w:val="00460A94"/>
    <w:rsid w:val="00461622"/>
    <w:rsid w:val="00462253"/>
    <w:rsid w:val="00464692"/>
    <w:rsid w:val="00465C75"/>
    <w:rsid w:val="004663A2"/>
    <w:rsid w:val="0046675F"/>
    <w:rsid w:val="0047102B"/>
    <w:rsid w:val="00473EF4"/>
    <w:rsid w:val="00474F16"/>
    <w:rsid w:val="0047600A"/>
    <w:rsid w:val="00476166"/>
    <w:rsid w:val="00476E85"/>
    <w:rsid w:val="00477839"/>
    <w:rsid w:val="00477B41"/>
    <w:rsid w:val="004834D7"/>
    <w:rsid w:val="00487C8C"/>
    <w:rsid w:val="004918F1"/>
    <w:rsid w:val="004920BB"/>
    <w:rsid w:val="00492530"/>
    <w:rsid w:val="00494390"/>
    <w:rsid w:val="00494D80"/>
    <w:rsid w:val="00495400"/>
    <w:rsid w:val="0049649D"/>
    <w:rsid w:val="004972C0"/>
    <w:rsid w:val="004A0E04"/>
    <w:rsid w:val="004A1056"/>
    <w:rsid w:val="004A1E00"/>
    <w:rsid w:val="004A266D"/>
    <w:rsid w:val="004A348D"/>
    <w:rsid w:val="004A404E"/>
    <w:rsid w:val="004A41C2"/>
    <w:rsid w:val="004A5CDF"/>
    <w:rsid w:val="004A6732"/>
    <w:rsid w:val="004A7D8C"/>
    <w:rsid w:val="004B148C"/>
    <w:rsid w:val="004B2411"/>
    <w:rsid w:val="004B2CB6"/>
    <w:rsid w:val="004B3872"/>
    <w:rsid w:val="004B39B7"/>
    <w:rsid w:val="004B40D4"/>
    <w:rsid w:val="004B42F5"/>
    <w:rsid w:val="004B46B6"/>
    <w:rsid w:val="004B4EE5"/>
    <w:rsid w:val="004B7D6D"/>
    <w:rsid w:val="004C0E53"/>
    <w:rsid w:val="004C1AD9"/>
    <w:rsid w:val="004C2537"/>
    <w:rsid w:val="004C34EC"/>
    <w:rsid w:val="004C3D9B"/>
    <w:rsid w:val="004C462A"/>
    <w:rsid w:val="004C5912"/>
    <w:rsid w:val="004C5D0E"/>
    <w:rsid w:val="004C67F7"/>
    <w:rsid w:val="004C6A4A"/>
    <w:rsid w:val="004C6BD6"/>
    <w:rsid w:val="004C7A64"/>
    <w:rsid w:val="004C7FBC"/>
    <w:rsid w:val="004D0C91"/>
    <w:rsid w:val="004D15A2"/>
    <w:rsid w:val="004D22BE"/>
    <w:rsid w:val="004D2D0E"/>
    <w:rsid w:val="004D3854"/>
    <w:rsid w:val="004D47DB"/>
    <w:rsid w:val="004D57C6"/>
    <w:rsid w:val="004D61ED"/>
    <w:rsid w:val="004D6D6C"/>
    <w:rsid w:val="004E0728"/>
    <w:rsid w:val="004E0BBA"/>
    <w:rsid w:val="004E1FB2"/>
    <w:rsid w:val="004E30DD"/>
    <w:rsid w:val="004E3C61"/>
    <w:rsid w:val="004E498B"/>
    <w:rsid w:val="004E504C"/>
    <w:rsid w:val="004E6555"/>
    <w:rsid w:val="004E678F"/>
    <w:rsid w:val="004E7096"/>
    <w:rsid w:val="004E7E99"/>
    <w:rsid w:val="004F115B"/>
    <w:rsid w:val="004F343E"/>
    <w:rsid w:val="004F4655"/>
    <w:rsid w:val="004F7B3F"/>
    <w:rsid w:val="004F7E18"/>
    <w:rsid w:val="00501F58"/>
    <w:rsid w:val="00503558"/>
    <w:rsid w:val="00504E16"/>
    <w:rsid w:val="005054BB"/>
    <w:rsid w:val="00506FD3"/>
    <w:rsid w:val="00510E47"/>
    <w:rsid w:val="00510F51"/>
    <w:rsid w:val="00511110"/>
    <w:rsid w:val="00514677"/>
    <w:rsid w:val="00514F3B"/>
    <w:rsid w:val="00515413"/>
    <w:rsid w:val="0051542C"/>
    <w:rsid w:val="00515477"/>
    <w:rsid w:val="0051593A"/>
    <w:rsid w:val="0051733E"/>
    <w:rsid w:val="005208E3"/>
    <w:rsid w:val="00523502"/>
    <w:rsid w:val="00524205"/>
    <w:rsid w:val="005256C4"/>
    <w:rsid w:val="00525777"/>
    <w:rsid w:val="005267AA"/>
    <w:rsid w:val="00527576"/>
    <w:rsid w:val="0053053E"/>
    <w:rsid w:val="00531592"/>
    <w:rsid w:val="00536B44"/>
    <w:rsid w:val="00540649"/>
    <w:rsid w:val="00541E3A"/>
    <w:rsid w:val="00545B81"/>
    <w:rsid w:val="00545DE3"/>
    <w:rsid w:val="00545F78"/>
    <w:rsid w:val="00550911"/>
    <w:rsid w:val="0055703F"/>
    <w:rsid w:val="00557068"/>
    <w:rsid w:val="00557AC3"/>
    <w:rsid w:val="00560129"/>
    <w:rsid w:val="0056099D"/>
    <w:rsid w:val="00562931"/>
    <w:rsid w:val="00563C55"/>
    <w:rsid w:val="0056492B"/>
    <w:rsid w:val="005650DD"/>
    <w:rsid w:val="005653BD"/>
    <w:rsid w:val="0057017B"/>
    <w:rsid w:val="00571C32"/>
    <w:rsid w:val="005748FC"/>
    <w:rsid w:val="00574F85"/>
    <w:rsid w:val="005750D1"/>
    <w:rsid w:val="005753F0"/>
    <w:rsid w:val="00576689"/>
    <w:rsid w:val="00576F6C"/>
    <w:rsid w:val="00580144"/>
    <w:rsid w:val="00580861"/>
    <w:rsid w:val="00581F4A"/>
    <w:rsid w:val="00582C8A"/>
    <w:rsid w:val="005833BD"/>
    <w:rsid w:val="005836D6"/>
    <w:rsid w:val="005867F5"/>
    <w:rsid w:val="005874E9"/>
    <w:rsid w:val="00590CA4"/>
    <w:rsid w:val="00592518"/>
    <w:rsid w:val="00593FA3"/>
    <w:rsid w:val="00595E21"/>
    <w:rsid w:val="0059706E"/>
    <w:rsid w:val="005A101F"/>
    <w:rsid w:val="005A1550"/>
    <w:rsid w:val="005A3B0F"/>
    <w:rsid w:val="005A3B53"/>
    <w:rsid w:val="005A444E"/>
    <w:rsid w:val="005A5B62"/>
    <w:rsid w:val="005B0640"/>
    <w:rsid w:val="005B0DE1"/>
    <w:rsid w:val="005B155F"/>
    <w:rsid w:val="005B192C"/>
    <w:rsid w:val="005B1C39"/>
    <w:rsid w:val="005B4424"/>
    <w:rsid w:val="005B47A4"/>
    <w:rsid w:val="005B5501"/>
    <w:rsid w:val="005B626E"/>
    <w:rsid w:val="005B6280"/>
    <w:rsid w:val="005C013E"/>
    <w:rsid w:val="005C1D94"/>
    <w:rsid w:val="005C2E7A"/>
    <w:rsid w:val="005C4541"/>
    <w:rsid w:val="005C4C90"/>
    <w:rsid w:val="005C4F47"/>
    <w:rsid w:val="005C5874"/>
    <w:rsid w:val="005C6C4F"/>
    <w:rsid w:val="005C753B"/>
    <w:rsid w:val="005D0655"/>
    <w:rsid w:val="005D1951"/>
    <w:rsid w:val="005D29D5"/>
    <w:rsid w:val="005D2DF1"/>
    <w:rsid w:val="005D437F"/>
    <w:rsid w:val="005D4C9B"/>
    <w:rsid w:val="005D7E1F"/>
    <w:rsid w:val="005E0117"/>
    <w:rsid w:val="005E1097"/>
    <w:rsid w:val="005E114A"/>
    <w:rsid w:val="005E25FF"/>
    <w:rsid w:val="005E4979"/>
    <w:rsid w:val="005E6236"/>
    <w:rsid w:val="005E70C2"/>
    <w:rsid w:val="005F0BBD"/>
    <w:rsid w:val="005F1F8C"/>
    <w:rsid w:val="005F2102"/>
    <w:rsid w:val="005F21CD"/>
    <w:rsid w:val="005F3640"/>
    <w:rsid w:val="005F4D62"/>
    <w:rsid w:val="005F4EFE"/>
    <w:rsid w:val="005F6225"/>
    <w:rsid w:val="005F6A38"/>
    <w:rsid w:val="00600C38"/>
    <w:rsid w:val="00601EE0"/>
    <w:rsid w:val="0060208A"/>
    <w:rsid w:val="0060334D"/>
    <w:rsid w:val="0060368F"/>
    <w:rsid w:val="00604453"/>
    <w:rsid w:val="006052B6"/>
    <w:rsid w:val="00607869"/>
    <w:rsid w:val="0061013B"/>
    <w:rsid w:val="00610586"/>
    <w:rsid w:val="00611D79"/>
    <w:rsid w:val="00613C69"/>
    <w:rsid w:val="00616863"/>
    <w:rsid w:val="00616AF9"/>
    <w:rsid w:val="00617C72"/>
    <w:rsid w:val="00617F7A"/>
    <w:rsid w:val="0062080A"/>
    <w:rsid w:val="00621F07"/>
    <w:rsid w:val="00622050"/>
    <w:rsid w:val="00623185"/>
    <w:rsid w:val="00623888"/>
    <w:rsid w:val="00623D41"/>
    <w:rsid w:val="006245A1"/>
    <w:rsid w:val="00624D29"/>
    <w:rsid w:val="00626DA5"/>
    <w:rsid w:val="00630A6E"/>
    <w:rsid w:val="00632BE9"/>
    <w:rsid w:val="006333CE"/>
    <w:rsid w:val="006338E1"/>
    <w:rsid w:val="00633F77"/>
    <w:rsid w:val="0063413E"/>
    <w:rsid w:val="00634938"/>
    <w:rsid w:val="00635A72"/>
    <w:rsid w:val="00636420"/>
    <w:rsid w:val="006373B2"/>
    <w:rsid w:val="0063780B"/>
    <w:rsid w:val="00637AA7"/>
    <w:rsid w:val="00637B64"/>
    <w:rsid w:val="0064211A"/>
    <w:rsid w:val="006433A2"/>
    <w:rsid w:val="00643612"/>
    <w:rsid w:val="006436C6"/>
    <w:rsid w:val="00643E10"/>
    <w:rsid w:val="00644F1B"/>
    <w:rsid w:val="00645DC0"/>
    <w:rsid w:val="00650405"/>
    <w:rsid w:val="00650F66"/>
    <w:rsid w:val="006533E2"/>
    <w:rsid w:val="006534FC"/>
    <w:rsid w:val="00662553"/>
    <w:rsid w:val="00662A4D"/>
    <w:rsid w:val="0066385D"/>
    <w:rsid w:val="006645FA"/>
    <w:rsid w:val="0066504C"/>
    <w:rsid w:val="00665778"/>
    <w:rsid w:val="00670428"/>
    <w:rsid w:val="00670ED6"/>
    <w:rsid w:val="00672F4A"/>
    <w:rsid w:val="00673899"/>
    <w:rsid w:val="0067395A"/>
    <w:rsid w:val="00674468"/>
    <w:rsid w:val="00675B00"/>
    <w:rsid w:val="00675C6F"/>
    <w:rsid w:val="0067701B"/>
    <w:rsid w:val="0068144B"/>
    <w:rsid w:val="00682685"/>
    <w:rsid w:val="00682A2A"/>
    <w:rsid w:val="00685876"/>
    <w:rsid w:val="00686B7E"/>
    <w:rsid w:val="00691937"/>
    <w:rsid w:val="00692243"/>
    <w:rsid w:val="006936F2"/>
    <w:rsid w:val="006945BB"/>
    <w:rsid w:val="006953B8"/>
    <w:rsid w:val="006954CD"/>
    <w:rsid w:val="00695C8D"/>
    <w:rsid w:val="00696A4C"/>
    <w:rsid w:val="006974D3"/>
    <w:rsid w:val="006A0AC8"/>
    <w:rsid w:val="006A12C3"/>
    <w:rsid w:val="006A19E3"/>
    <w:rsid w:val="006A444F"/>
    <w:rsid w:val="006A6980"/>
    <w:rsid w:val="006A7561"/>
    <w:rsid w:val="006A7F1B"/>
    <w:rsid w:val="006B1D12"/>
    <w:rsid w:val="006B266F"/>
    <w:rsid w:val="006B290A"/>
    <w:rsid w:val="006B2FA0"/>
    <w:rsid w:val="006B4DD0"/>
    <w:rsid w:val="006B6803"/>
    <w:rsid w:val="006B684F"/>
    <w:rsid w:val="006B6B20"/>
    <w:rsid w:val="006B7153"/>
    <w:rsid w:val="006B74B3"/>
    <w:rsid w:val="006C10CA"/>
    <w:rsid w:val="006C192E"/>
    <w:rsid w:val="006C2604"/>
    <w:rsid w:val="006C373B"/>
    <w:rsid w:val="006C5511"/>
    <w:rsid w:val="006C5C2A"/>
    <w:rsid w:val="006C5E40"/>
    <w:rsid w:val="006C5FA8"/>
    <w:rsid w:val="006C617B"/>
    <w:rsid w:val="006C634D"/>
    <w:rsid w:val="006C6BB5"/>
    <w:rsid w:val="006D0706"/>
    <w:rsid w:val="006D0759"/>
    <w:rsid w:val="006D250D"/>
    <w:rsid w:val="006D31D2"/>
    <w:rsid w:val="006D3452"/>
    <w:rsid w:val="006D3E4F"/>
    <w:rsid w:val="006D44A5"/>
    <w:rsid w:val="006D46E2"/>
    <w:rsid w:val="006D66AD"/>
    <w:rsid w:val="006D7AF1"/>
    <w:rsid w:val="006E117F"/>
    <w:rsid w:val="006E3D5B"/>
    <w:rsid w:val="006E51CF"/>
    <w:rsid w:val="006E5ECC"/>
    <w:rsid w:val="006E7972"/>
    <w:rsid w:val="006F0E31"/>
    <w:rsid w:val="006F2315"/>
    <w:rsid w:val="006F27D9"/>
    <w:rsid w:val="006F32C5"/>
    <w:rsid w:val="006F3C68"/>
    <w:rsid w:val="006F44A4"/>
    <w:rsid w:val="006F451B"/>
    <w:rsid w:val="006F5758"/>
    <w:rsid w:val="006F5CED"/>
    <w:rsid w:val="006F620C"/>
    <w:rsid w:val="006F6264"/>
    <w:rsid w:val="006F787A"/>
    <w:rsid w:val="0070001E"/>
    <w:rsid w:val="007029E0"/>
    <w:rsid w:val="00706CD8"/>
    <w:rsid w:val="0070701F"/>
    <w:rsid w:val="00707461"/>
    <w:rsid w:val="007109C0"/>
    <w:rsid w:val="00713AD9"/>
    <w:rsid w:val="007145C6"/>
    <w:rsid w:val="007156BA"/>
    <w:rsid w:val="007164DF"/>
    <w:rsid w:val="00720C71"/>
    <w:rsid w:val="007225E3"/>
    <w:rsid w:val="00724297"/>
    <w:rsid w:val="007268CC"/>
    <w:rsid w:val="00727FE1"/>
    <w:rsid w:val="00731149"/>
    <w:rsid w:val="00732651"/>
    <w:rsid w:val="00733E6F"/>
    <w:rsid w:val="00734075"/>
    <w:rsid w:val="00735D47"/>
    <w:rsid w:val="00736297"/>
    <w:rsid w:val="00737825"/>
    <w:rsid w:val="00737DEE"/>
    <w:rsid w:val="00741A81"/>
    <w:rsid w:val="00741DC9"/>
    <w:rsid w:val="007434ED"/>
    <w:rsid w:val="00743B2E"/>
    <w:rsid w:val="00744FDB"/>
    <w:rsid w:val="00750E9B"/>
    <w:rsid w:val="00752C5A"/>
    <w:rsid w:val="00752DAD"/>
    <w:rsid w:val="00753BF9"/>
    <w:rsid w:val="00754B91"/>
    <w:rsid w:val="007554BB"/>
    <w:rsid w:val="00755EDD"/>
    <w:rsid w:val="00760612"/>
    <w:rsid w:val="00760682"/>
    <w:rsid w:val="00761EF8"/>
    <w:rsid w:val="007621B2"/>
    <w:rsid w:val="007631AA"/>
    <w:rsid w:val="00763A33"/>
    <w:rsid w:val="00764EAB"/>
    <w:rsid w:val="00765892"/>
    <w:rsid w:val="00766955"/>
    <w:rsid w:val="00767BC6"/>
    <w:rsid w:val="007717A1"/>
    <w:rsid w:val="00771BAC"/>
    <w:rsid w:val="00771E29"/>
    <w:rsid w:val="00773F7A"/>
    <w:rsid w:val="0077473D"/>
    <w:rsid w:val="007747C5"/>
    <w:rsid w:val="00774D52"/>
    <w:rsid w:val="007756A3"/>
    <w:rsid w:val="0077681F"/>
    <w:rsid w:val="00777679"/>
    <w:rsid w:val="007779DC"/>
    <w:rsid w:val="00777D8B"/>
    <w:rsid w:val="00780214"/>
    <w:rsid w:val="007833A4"/>
    <w:rsid w:val="00783E7A"/>
    <w:rsid w:val="007847E5"/>
    <w:rsid w:val="00784E7F"/>
    <w:rsid w:val="00786F52"/>
    <w:rsid w:val="00790253"/>
    <w:rsid w:val="007903F6"/>
    <w:rsid w:val="007908CD"/>
    <w:rsid w:val="00790A3B"/>
    <w:rsid w:val="007917A3"/>
    <w:rsid w:val="00794B5F"/>
    <w:rsid w:val="007957CD"/>
    <w:rsid w:val="007A0272"/>
    <w:rsid w:val="007A0F20"/>
    <w:rsid w:val="007A1787"/>
    <w:rsid w:val="007A1830"/>
    <w:rsid w:val="007A5498"/>
    <w:rsid w:val="007A5AD0"/>
    <w:rsid w:val="007A61A4"/>
    <w:rsid w:val="007A6551"/>
    <w:rsid w:val="007A6FB6"/>
    <w:rsid w:val="007A7A3C"/>
    <w:rsid w:val="007A7AEC"/>
    <w:rsid w:val="007B13C6"/>
    <w:rsid w:val="007B2761"/>
    <w:rsid w:val="007B2A05"/>
    <w:rsid w:val="007B56C0"/>
    <w:rsid w:val="007B6C86"/>
    <w:rsid w:val="007C4054"/>
    <w:rsid w:val="007C51F1"/>
    <w:rsid w:val="007C52FE"/>
    <w:rsid w:val="007C5A18"/>
    <w:rsid w:val="007C6BDB"/>
    <w:rsid w:val="007C7D96"/>
    <w:rsid w:val="007D044A"/>
    <w:rsid w:val="007D0F84"/>
    <w:rsid w:val="007D1723"/>
    <w:rsid w:val="007D1F23"/>
    <w:rsid w:val="007D38C5"/>
    <w:rsid w:val="007D5AF4"/>
    <w:rsid w:val="007D62A3"/>
    <w:rsid w:val="007D6D35"/>
    <w:rsid w:val="007D7CB0"/>
    <w:rsid w:val="007E2FC6"/>
    <w:rsid w:val="007E6967"/>
    <w:rsid w:val="007E6A68"/>
    <w:rsid w:val="007E6D1F"/>
    <w:rsid w:val="007E71C2"/>
    <w:rsid w:val="007E76C6"/>
    <w:rsid w:val="007F064F"/>
    <w:rsid w:val="007F2B6D"/>
    <w:rsid w:val="007F2B7E"/>
    <w:rsid w:val="007F2DEB"/>
    <w:rsid w:val="007F2E54"/>
    <w:rsid w:val="007F4B81"/>
    <w:rsid w:val="007F5E06"/>
    <w:rsid w:val="007F6F2A"/>
    <w:rsid w:val="007F7A24"/>
    <w:rsid w:val="0080025E"/>
    <w:rsid w:val="00800EAE"/>
    <w:rsid w:val="00801585"/>
    <w:rsid w:val="0080178C"/>
    <w:rsid w:val="00801BC7"/>
    <w:rsid w:val="00801BE6"/>
    <w:rsid w:val="00803EE8"/>
    <w:rsid w:val="008041FF"/>
    <w:rsid w:val="00805FC1"/>
    <w:rsid w:val="00806BD8"/>
    <w:rsid w:val="00810317"/>
    <w:rsid w:val="00810BA9"/>
    <w:rsid w:val="00811511"/>
    <w:rsid w:val="008115B2"/>
    <w:rsid w:val="0081226D"/>
    <w:rsid w:val="00812C86"/>
    <w:rsid w:val="008147E2"/>
    <w:rsid w:val="00814864"/>
    <w:rsid w:val="00816F44"/>
    <w:rsid w:val="00817616"/>
    <w:rsid w:val="008178A4"/>
    <w:rsid w:val="00822142"/>
    <w:rsid w:val="00823599"/>
    <w:rsid w:val="0082361A"/>
    <w:rsid w:val="00823ADD"/>
    <w:rsid w:val="00823C70"/>
    <w:rsid w:val="008267BB"/>
    <w:rsid w:val="0083332A"/>
    <w:rsid w:val="00833757"/>
    <w:rsid w:val="008340F0"/>
    <w:rsid w:val="008353F0"/>
    <w:rsid w:val="00836237"/>
    <w:rsid w:val="0083696B"/>
    <w:rsid w:val="00837E6D"/>
    <w:rsid w:val="008416DE"/>
    <w:rsid w:val="00842128"/>
    <w:rsid w:val="00843ECE"/>
    <w:rsid w:val="0084509E"/>
    <w:rsid w:val="00845880"/>
    <w:rsid w:val="00846E7D"/>
    <w:rsid w:val="008478A2"/>
    <w:rsid w:val="0085185A"/>
    <w:rsid w:val="00853611"/>
    <w:rsid w:val="008540F9"/>
    <w:rsid w:val="008551BC"/>
    <w:rsid w:val="00856200"/>
    <w:rsid w:val="00857A99"/>
    <w:rsid w:val="00861EC9"/>
    <w:rsid w:val="00861FAD"/>
    <w:rsid w:val="00862C3D"/>
    <w:rsid w:val="008640E8"/>
    <w:rsid w:val="0086499D"/>
    <w:rsid w:val="00865082"/>
    <w:rsid w:val="00865299"/>
    <w:rsid w:val="008659B8"/>
    <w:rsid w:val="008670CE"/>
    <w:rsid w:val="00871DBB"/>
    <w:rsid w:val="008728E8"/>
    <w:rsid w:val="0087439B"/>
    <w:rsid w:val="0087453C"/>
    <w:rsid w:val="008751F2"/>
    <w:rsid w:val="0088001E"/>
    <w:rsid w:val="008856DA"/>
    <w:rsid w:val="00887878"/>
    <w:rsid w:val="00891396"/>
    <w:rsid w:val="00891B6F"/>
    <w:rsid w:val="00891BAC"/>
    <w:rsid w:val="00892507"/>
    <w:rsid w:val="008939AF"/>
    <w:rsid w:val="00893F99"/>
    <w:rsid w:val="008960FD"/>
    <w:rsid w:val="00897F2C"/>
    <w:rsid w:val="008A0471"/>
    <w:rsid w:val="008A0E6C"/>
    <w:rsid w:val="008A170E"/>
    <w:rsid w:val="008A253C"/>
    <w:rsid w:val="008A43F2"/>
    <w:rsid w:val="008A46A6"/>
    <w:rsid w:val="008A4BFF"/>
    <w:rsid w:val="008A53B7"/>
    <w:rsid w:val="008A64BF"/>
    <w:rsid w:val="008A7176"/>
    <w:rsid w:val="008A731B"/>
    <w:rsid w:val="008A78C7"/>
    <w:rsid w:val="008B13B0"/>
    <w:rsid w:val="008B1948"/>
    <w:rsid w:val="008B1CC0"/>
    <w:rsid w:val="008B2F3E"/>
    <w:rsid w:val="008B34DF"/>
    <w:rsid w:val="008B417A"/>
    <w:rsid w:val="008B44AA"/>
    <w:rsid w:val="008C043F"/>
    <w:rsid w:val="008C1B42"/>
    <w:rsid w:val="008C29B7"/>
    <w:rsid w:val="008C379C"/>
    <w:rsid w:val="008C41A8"/>
    <w:rsid w:val="008C5808"/>
    <w:rsid w:val="008C5A08"/>
    <w:rsid w:val="008D16DE"/>
    <w:rsid w:val="008D3485"/>
    <w:rsid w:val="008D3C48"/>
    <w:rsid w:val="008D5995"/>
    <w:rsid w:val="008D5BC6"/>
    <w:rsid w:val="008D6166"/>
    <w:rsid w:val="008D6167"/>
    <w:rsid w:val="008D65CF"/>
    <w:rsid w:val="008D6BC3"/>
    <w:rsid w:val="008D7055"/>
    <w:rsid w:val="008D73A5"/>
    <w:rsid w:val="008D7798"/>
    <w:rsid w:val="008E00D8"/>
    <w:rsid w:val="008E0166"/>
    <w:rsid w:val="008E0357"/>
    <w:rsid w:val="008E119E"/>
    <w:rsid w:val="008E12A5"/>
    <w:rsid w:val="008E160B"/>
    <w:rsid w:val="008E2513"/>
    <w:rsid w:val="008E43A1"/>
    <w:rsid w:val="008F0A61"/>
    <w:rsid w:val="008F18D6"/>
    <w:rsid w:val="008F1BD2"/>
    <w:rsid w:val="008F24C6"/>
    <w:rsid w:val="008F5321"/>
    <w:rsid w:val="008F655B"/>
    <w:rsid w:val="008F6C8E"/>
    <w:rsid w:val="00900834"/>
    <w:rsid w:val="0090154C"/>
    <w:rsid w:val="00901CAE"/>
    <w:rsid w:val="009031E2"/>
    <w:rsid w:val="00904FE3"/>
    <w:rsid w:val="0090602E"/>
    <w:rsid w:val="00906601"/>
    <w:rsid w:val="009072AF"/>
    <w:rsid w:val="00907B26"/>
    <w:rsid w:val="00911912"/>
    <w:rsid w:val="009129C9"/>
    <w:rsid w:val="00913036"/>
    <w:rsid w:val="009148D3"/>
    <w:rsid w:val="00914DB9"/>
    <w:rsid w:val="009150DD"/>
    <w:rsid w:val="00916721"/>
    <w:rsid w:val="00916741"/>
    <w:rsid w:val="00916840"/>
    <w:rsid w:val="00920D24"/>
    <w:rsid w:val="00921C19"/>
    <w:rsid w:val="00921E8B"/>
    <w:rsid w:val="0092233F"/>
    <w:rsid w:val="00922FC3"/>
    <w:rsid w:val="00923A16"/>
    <w:rsid w:val="00925799"/>
    <w:rsid w:val="00925B9F"/>
    <w:rsid w:val="0092640F"/>
    <w:rsid w:val="00926CE7"/>
    <w:rsid w:val="00927335"/>
    <w:rsid w:val="00927D5E"/>
    <w:rsid w:val="00930422"/>
    <w:rsid w:val="009323A6"/>
    <w:rsid w:val="00932ADD"/>
    <w:rsid w:val="00933BB5"/>
    <w:rsid w:val="00933C98"/>
    <w:rsid w:val="0093420F"/>
    <w:rsid w:val="00934C47"/>
    <w:rsid w:val="00934C4A"/>
    <w:rsid w:val="00934F6A"/>
    <w:rsid w:val="009351E5"/>
    <w:rsid w:val="00935457"/>
    <w:rsid w:val="009354D1"/>
    <w:rsid w:val="00935E06"/>
    <w:rsid w:val="00935F91"/>
    <w:rsid w:val="00936311"/>
    <w:rsid w:val="00941984"/>
    <w:rsid w:val="00946F81"/>
    <w:rsid w:val="00947892"/>
    <w:rsid w:val="00947C2B"/>
    <w:rsid w:val="00952771"/>
    <w:rsid w:val="00960248"/>
    <w:rsid w:val="00960758"/>
    <w:rsid w:val="00961471"/>
    <w:rsid w:val="009621A6"/>
    <w:rsid w:val="0096237B"/>
    <w:rsid w:val="00964995"/>
    <w:rsid w:val="0096499B"/>
    <w:rsid w:val="009654CA"/>
    <w:rsid w:val="009659AF"/>
    <w:rsid w:val="0096641B"/>
    <w:rsid w:val="00966CA0"/>
    <w:rsid w:val="00967C81"/>
    <w:rsid w:val="0097120D"/>
    <w:rsid w:val="00971D76"/>
    <w:rsid w:val="00972823"/>
    <w:rsid w:val="00973129"/>
    <w:rsid w:val="00973D4C"/>
    <w:rsid w:val="00974D24"/>
    <w:rsid w:val="00975044"/>
    <w:rsid w:val="00976AB3"/>
    <w:rsid w:val="00976FF1"/>
    <w:rsid w:val="0097740E"/>
    <w:rsid w:val="009816F0"/>
    <w:rsid w:val="00984D29"/>
    <w:rsid w:val="00985C5C"/>
    <w:rsid w:val="009863C5"/>
    <w:rsid w:val="00986EB5"/>
    <w:rsid w:val="00987773"/>
    <w:rsid w:val="009904A0"/>
    <w:rsid w:val="00990616"/>
    <w:rsid w:val="0099086C"/>
    <w:rsid w:val="009912E0"/>
    <w:rsid w:val="00991D7B"/>
    <w:rsid w:val="00992469"/>
    <w:rsid w:val="009929AE"/>
    <w:rsid w:val="00992AEA"/>
    <w:rsid w:val="009957A3"/>
    <w:rsid w:val="00995C61"/>
    <w:rsid w:val="0099711F"/>
    <w:rsid w:val="009A084F"/>
    <w:rsid w:val="009A0861"/>
    <w:rsid w:val="009A113E"/>
    <w:rsid w:val="009A1176"/>
    <w:rsid w:val="009A1F5E"/>
    <w:rsid w:val="009A22DC"/>
    <w:rsid w:val="009A2C64"/>
    <w:rsid w:val="009A2E37"/>
    <w:rsid w:val="009A38B9"/>
    <w:rsid w:val="009A3F1A"/>
    <w:rsid w:val="009A4883"/>
    <w:rsid w:val="009A5528"/>
    <w:rsid w:val="009A590D"/>
    <w:rsid w:val="009A6251"/>
    <w:rsid w:val="009A62EB"/>
    <w:rsid w:val="009A6AE9"/>
    <w:rsid w:val="009A743E"/>
    <w:rsid w:val="009B0049"/>
    <w:rsid w:val="009B08A9"/>
    <w:rsid w:val="009B15C1"/>
    <w:rsid w:val="009B25C4"/>
    <w:rsid w:val="009B373E"/>
    <w:rsid w:val="009B42DB"/>
    <w:rsid w:val="009B4599"/>
    <w:rsid w:val="009B73FF"/>
    <w:rsid w:val="009B77A7"/>
    <w:rsid w:val="009B7DA0"/>
    <w:rsid w:val="009C10A0"/>
    <w:rsid w:val="009C1452"/>
    <w:rsid w:val="009C174D"/>
    <w:rsid w:val="009C1D0D"/>
    <w:rsid w:val="009C46C6"/>
    <w:rsid w:val="009C500E"/>
    <w:rsid w:val="009C6E69"/>
    <w:rsid w:val="009C6FA6"/>
    <w:rsid w:val="009D04FA"/>
    <w:rsid w:val="009D0FBB"/>
    <w:rsid w:val="009D14A6"/>
    <w:rsid w:val="009D27CA"/>
    <w:rsid w:val="009D4758"/>
    <w:rsid w:val="009D7074"/>
    <w:rsid w:val="009D7CA0"/>
    <w:rsid w:val="009E2380"/>
    <w:rsid w:val="009E28E9"/>
    <w:rsid w:val="009E2FE1"/>
    <w:rsid w:val="009E74D8"/>
    <w:rsid w:val="009F177F"/>
    <w:rsid w:val="009F5C58"/>
    <w:rsid w:val="009F70D4"/>
    <w:rsid w:val="00A02899"/>
    <w:rsid w:val="00A02AA0"/>
    <w:rsid w:val="00A02C3C"/>
    <w:rsid w:val="00A030FF"/>
    <w:rsid w:val="00A036F8"/>
    <w:rsid w:val="00A053F3"/>
    <w:rsid w:val="00A05F25"/>
    <w:rsid w:val="00A0650A"/>
    <w:rsid w:val="00A06537"/>
    <w:rsid w:val="00A066DE"/>
    <w:rsid w:val="00A06F05"/>
    <w:rsid w:val="00A104F7"/>
    <w:rsid w:val="00A117F8"/>
    <w:rsid w:val="00A11882"/>
    <w:rsid w:val="00A12991"/>
    <w:rsid w:val="00A12E00"/>
    <w:rsid w:val="00A12EA3"/>
    <w:rsid w:val="00A13E78"/>
    <w:rsid w:val="00A15188"/>
    <w:rsid w:val="00A1698B"/>
    <w:rsid w:val="00A17C46"/>
    <w:rsid w:val="00A210EF"/>
    <w:rsid w:val="00A21BB4"/>
    <w:rsid w:val="00A228A7"/>
    <w:rsid w:val="00A2335F"/>
    <w:rsid w:val="00A23E28"/>
    <w:rsid w:val="00A246A1"/>
    <w:rsid w:val="00A25E24"/>
    <w:rsid w:val="00A27442"/>
    <w:rsid w:val="00A27AED"/>
    <w:rsid w:val="00A331B9"/>
    <w:rsid w:val="00A33CC1"/>
    <w:rsid w:val="00A34668"/>
    <w:rsid w:val="00A34BB6"/>
    <w:rsid w:val="00A358BD"/>
    <w:rsid w:val="00A36111"/>
    <w:rsid w:val="00A3625C"/>
    <w:rsid w:val="00A36A83"/>
    <w:rsid w:val="00A37960"/>
    <w:rsid w:val="00A415E2"/>
    <w:rsid w:val="00A42A82"/>
    <w:rsid w:val="00A42ADA"/>
    <w:rsid w:val="00A430C0"/>
    <w:rsid w:val="00A43380"/>
    <w:rsid w:val="00A43596"/>
    <w:rsid w:val="00A43F06"/>
    <w:rsid w:val="00A44286"/>
    <w:rsid w:val="00A44629"/>
    <w:rsid w:val="00A46047"/>
    <w:rsid w:val="00A50316"/>
    <w:rsid w:val="00A50558"/>
    <w:rsid w:val="00A51D22"/>
    <w:rsid w:val="00A523C4"/>
    <w:rsid w:val="00A52877"/>
    <w:rsid w:val="00A529BC"/>
    <w:rsid w:val="00A53900"/>
    <w:rsid w:val="00A54DFF"/>
    <w:rsid w:val="00A55740"/>
    <w:rsid w:val="00A55C2C"/>
    <w:rsid w:val="00A606C1"/>
    <w:rsid w:val="00A6462C"/>
    <w:rsid w:val="00A64AF2"/>
    <w:rsid w:val="00A64DAA"/>
    <w:rsid w:val="00A65F5F"/>
    <w:rsid w:val="00A70365"/>
    <w:rsid w:val="00A71FB5"/>
    <w:rsid w:val="00A72EC2"/>
    <w:rsid w:val="00A76264"/>
    <w:rsid w:val="00A762A6"/>
    <w:rsid w:val="00A77580"/>
    <w:rsid w:val="00A81226"/>
    <w:rsid w:val="00A81F8B"/>
    <w:rsid w:val="00A8268B"/>
    <w:rsid w:val="00A82D88"/>
    <w:rsid w:val="00A8390B"/>
    <w:rsid w:val="00A84CCB"/>
    <w:rsid w:val="00A85253"/>
    <w:rsid w:val="00A85C63"/>
    <w:rsid w:val="00A85E9B"/>
    <w:rsid w:val="00A87A31"/>
    <w:rsid w:val="00A90549"/>
    <w:rsid w:val="00A90AD3"/>
    <w:rsid w:val="00A90AE9"/>
    <w:rsid w:val="00A91868"/>
    <w:rsid w:val="00A918EC"/>
    <w:rsid w:val="00A91B36"/>
    <w:rsid w:val="00A93BE4"/>
    <w:rsid w:val="00A94803"/>
    <w:rsid w:val="00A958F4"/>
    <w:rsid w:val="00A961A2"/>
    <w:rsid w:val="00A97671"/>
    <w:rsid w:val="00A976F2"/>
    <w:rsid w:val="00AA043E"/>
    <w:rsid w:val="00AA0BF8"/>
    <w:rsid w:val="00AA12AB"/>
    <w:rsid w:val="00AA208B"/>
    <w:rsid w:val="00AA3B24"/>
    <w:rsid w:val="00AA4A04"/>
    <w:rsid w:val="00AA55AC"/>
    <w:rsid w:val="00AA598D"/>
    <w:rsid w:val="00AA628F"/>
    <w:rsid w:val="00AA7C22"/>
    <w:rsid w:val="00AB0D5B"/>
    <w:rsid w:val="00AB0ED3"/>
    <w:rsid w:val="00AB1136"/>
    <w:rsid w:val="00AB116F"/>
    <w:rsid w:val="00AB16DB"/>
    <w:rsid w:val="00AB18D8"/>
    <w:rsid w:val="00AB2676"/>
    <w:rsid w:val="00AB3583"/>
    <w:rsid w:val="00AB3E9B"/>
    <w:rsid w:val="00AB457F"/>
    <w:rsid w:val="00AB492A"/>
    <w:rsid w:val="00AB4DE5"/>
    <w:rsid w:val="00AB50DE"/>
    <w:rsid w:val="00AB5403"/>
    <w:rsid w:val="00AB552B"/>
    <w:rsid w:val="00AB5658"/>
    <w:rsid w:val="00AB56F3"/>
    <w:rsid w:val="00AB642E"/>
    <w:rsid w:val="00AB719C"/>
    <w:rsid w:val="00AB78F7"/>
    <w:rsid w:val="00AC00BD"/>
    <w:rsid w:val="00AC1298"/>
    <w:rsid w:val="00AC368C"/>
    <w:rsid w:val="00AC36CD"/>
    <w:rsid w:val="00AC382C"/>
    <w:rsid w:val="00AC4860"/>
    <w:rsid w:val="00AC57D7"/>
    <w:rsid w:val="00AC77E9"/>
    <w:rsid w:val="00AC7918"/>
    <w:rsid w:val="00AC7987"/>
    <w:rsid w:val="00AD053F"/>
    <w:rsid w:val="00AD17FC"/>
    <w:rsid w:val="00AD1853"/>
    <w:rsid w:val="00AD5BD1"/>
    <w:rsid w:val="00AD6B09"/>
    <w:rsid w:val="00AD73A3"/>
    <w:rsid w:val="00AD7B9D"/>
    <w:rsid w:val="00AE15A4"/>
    <w:rsid w:val="00AE201B"/>
    <w:rsid w:val="00AE27BD"/>
    <w:rsid w:val="00AE2A48"/>
    <w:rsid w:val="00AE2B26"/>
    <w:rsid w:val="00AE430B"/>
    <w:rsid w:val="00AF17E2"/>
    <w:rsid w:val="00AF2CA2"/>
    <w:rsid w:val="00AF54EB"/>
    <w:rsid w:val="00AF6163"/>
    <w:rsid w:val="00AF6894"/>
    <w:rsid w:val="00AF6AC7"/>
    <w:rsid w:val="00AF732B"/>
    <w:rsid w:val="00AF7B3B"/>
    <w:rsid w:val="00B00958"/>
    <w:rsid w:val="00B00980"/>
    <w:rsid w:val="00B00A1F"/>
    <w:rsid w:val="00B00ECB"/>
    <w:rsid w:val="00B02570"/>
    <w:rsid w:val="00B030C6"/>
    <w:rsid w:val="00B03ABF"/>
    <w:rsid w:val="00B0511D"/>
    <w:rsid w:val="00B0566A"/>
    <w:rsid w:val="00B060F3"/>
    <w:rsid w:val="00B0662B"/>
    <w:rsid w:val="00B1040F"/>
    <w:rsid w:val="00B10611"/>
    <w:rsid w:val="00B10A55"/>
    <w:rsid w:val="00B11283"/>
    <w:rsid w:val="00B12D9E"/>
    <w:rsid w:val="00B13AD0"/>
    <w:rsid w:val="00B14CF1"/>
    <w:rsid w:val="00B15D0B"/>
    <w:rsid w:val="00B174C1"/>
    <w:rsid w:val="00B17DDF"/>
    <w:rsid w:val="00B211F8"/>
    <w:rsid w:val="00B21270"/>
    <w:rsid w:val="00B2247B"/>
    <w:rsid w:val="00B22986"/>
    <w:rsid w:val="00B22FB5"/>
    <w:rsid w:val="00B2475F"/>
    <w:rsid w:val="00B249CD"/>
    <w:rsid w:val="00B26282"/>
    <w:rsid w:val="00B2704B"/>
    <w:rsid w:val="00B27762"/>
    <w:rsid w:val="00B27AB6"/>
    <w:rsid w:val="00B31465"/>
    <w:rsid w:val="00B3150E"/>
    <w:rsid w:val="00B331FC"/>
    <w:rsid w:val="00B3371D"/>
    <w:rsid w:val="00B34CED"/>
    <w:rsid w:val="00B3547A"/>
    <w:rsid w:val="00B361F9"/>
    <w:rsid w:val="00B364FC"/>
    <w:rsid w:val="00B36A9E"/>
    <w:rsid w:val="00B37AB3"/>
    <w:rsid w:val="00B43844"/>
    <w:rsid w:val="00B43959"/>
    <w:rsid w:val="00B4399F"/>
    <w:rsid w:val="00B451D3"/>
    <w:rsid w:val="00B47220"/>
    <w:rsid w:val="00B51B93"/>
    <w:rsid w:val="00B528CB"/>
    <w:rsid w:val="00B5377E"/>
    <w:rsid w:val="00B55CDC"/>
    <w:rsid w:val="00B57D18"/>
    <w:rsid w:val="00B60330"/>
    <w:rsid w:val="00B613F7"/>
    <w:rsid w:val="00B61D97"/>
    <w:rsid w:val="00B621D5"/>
    <w:rsid w:val="00B654D5"/>
    <w:rsid w:val="00B657F0"/>
    <w:rsid w:val="00B66262"/>
    <w:rsid w:val="00B66926"/>
    <w:rsid w:val="00B67647"/>
    <w:rsid w:val="00B67CAA"/>
    <w:rsid w:val="00B715B9"/>
    <w:rsid w:val="00B71954"/>
    <w:rsid w:val="00B721EC"/>
    <w:rsid w:val="00B7293F"/>
    <w:rsid w:val="00B72B73"/>
    <w:rsid w:val="00B7395A"/>
    <w:rsid w:val="00B7419D"/>
    <w:rsid w:val="00B75C8D"/>
    <w:rsid w:val="00B77272"/>
    <w:rsid w:val="00B80130"/>
    <w:rsid w:val="00B801B8"/>
    <w:rsid w:val="00B8021C"/>
    <w:rsid w:val="00B80D31"/>
    <w:rsid w:val="00B81E02"/>
    <w:rsid w:val="00B82019"/>
    <w:rsid w:val="00B822B2"/>
    <w:rsid w:val="00B82497"/>
    <w:rsid w:val="00B82743"/>
    <w:rsid w:val="00B82947"/>
    <w:rsid w:val="00B82C6E"/>
    <w:rsid w:val="00B83567"/>
    <w:rsid w:val="00B84846"/>
    <w:rsid w:val="00B849C8"/>
    <w:rsid w:val="00B84D94"/>
    <w:rsid w:val="00B8569E"/>
    <w:rsid w:val="00B8733F"/>
    <w:rsid w:val="00B8746B"/>
    <w:rsid w:val="00B9000D"/>
    <w:rsid w:val="00B901E9"/>
    <w:rsid w:val="00B92273"/>
    <w:rsid w:val="00B93410"/>
    <w:rsid w:val="00B93768"/>
    <w:rsid w:val="00B97DB3"/>
    <w:rsid w:val="00BA0DAA"/>
    <w:rsid w:val="00BA1280"/>
    <w:rsid w:val="00BA1C56"/>
    <w:rsid w:val="00BA2C09"/>
    <w:rsid w:val="00BA2F74"/>
    <w:rsid w:val="00BA5033"/>
    <w:rsid w:val="00BB018A"/>
    <w:rsid w:val="00BB02A6"/>
    <w:rsid w:val="00BB0ACC"/>
    <w:rsid w:val="00BB1EFF"/>
    <w:rsid w:val="00BB200E"/>
    <w:rsid w:val="00BB3037"/>
    <w:rsid w:val="00BB3C64"/>
    <w:rsid w:val="00BB61E8"/>
    <w:rsid w:val="00BB6BB6"/>
    <w:rsid w:val="00BB7A03"/>
    <w:rsid w:val="00BC0A42"/>
    <w:rsid w:val="00BC1E52"/>
    <w:rsid w:val="00BC22D4"/>
    <w:rsid w:val="00BC35DF"/>
    <w:rsid w:val="00BC3C7F"/>
    <w:rsid w:val="00BC5AC8"/>
    <w:rsid w:val="00BC6EEA"/>
    <w:rsid w:val="00BC7450"/>
    <w:rsid w:val="00BC7943"/>
    <w:rsid w:val="00BD03E6"/>
    <w:rsid w:val="00BD094D"/>
    <w:rsid w:val="00BD09FA"/>
    <w:rsid w:val="00BD0B68"/>
    <w:rsid w:val="00BD120D"/>
    <w:rsid w:val="00BD5E53"/>
    <w:rsid w:val="00BD692C"/>
    <w:rsid w:val="00BE0410"/>
    <w:rsid w:val="00BE1260"/>
    <w:rsid w:val="00BE1E77"/>
    <w:rsid w:val="00BE1ED1"/>
    <w:rsid w:val="00BE2A98"/>
    <w:rsid w:val="00BE7685"/>
    <w:rsid w:val="00BE76EE"/>
    <w:rsid w:val="00BE788E"/>
    <w:rsid w:val="00BF0A42"/>
    <w:rsid w:val="00BF0C75"/>
    <w:rsid w:val="00BF158E"/>
    <w:rsid w:val="00BF1713"/>
    <w:rsid w:val="00BF4390"/>
    <w:rsid w:val="00BF4A43"/>
    <w:rsid w:val="00BF7170"/>
    <w:rsid w:val="00BF758C"/>
    <w:rsid w:val="00BF7E21"/>
    <w:rsid w:val="00C00E77"/>
    <w:rsid w:val="00C01F2B"/>
    <w:rsid w:val="00C03B12"/>
    <w:rsid w:val="00C04485"/>
    <w:rsid w:val="00C045E3"/>
    <w:rsid w:val="00C057EB"/>
    <w:rsid w:val="00C072CB"/>
    <w:rsid w:val="00C0731A"/>
    <w:rsid w:val="00C07B72"/>
    <w:rsid w:val="00C10C76"/>
    <w:rsid w:val="00C11417"/>
    <w:rsid w:val="00C11437"/>
    <w:rsid w:val="00C12791"/>
    <w:rsid w:val="00C131F8"/>
    <w:rsid w:val="00C13293"/>
    <w:rsid w:val="00C13E0A"/>
    <w:rsid w:val="00C1546C"/>
    <w:rsid w:val="00C161E2"/>
    <w:rsid w:val="00C165E6"/>
    <w:rsid w:val="00C16D10"/>
    <w:rsid w:val="00C17C67"/>
    <w:rsid w:val="00C2228E"/>
    <w:rsid w:val="00C2237F"/>
    <w:rsid w:val="00C23DDC"/>
    <w:rsid w:val="00C24BFD"/>
    <w:rsid w:val="00C31E73"/>
    <w:rsid w:val="00C3219A"/>
    <w:rsid w:val="00C34AC3"/>
    <w:rsid w:val="00C36965"/>
    <w:rsid w:val="00C418BC"/>
    <w:rsid w:val="00C42CCC"/>
    <w:rsid w:val="00C42F84"/>
    <w:rsid w:val="00C437E3"/>
    <w:rsid w:val="00C442AD"/>
    <w:rsid w:val="00C442FE"/>
    <w:rsid w:val="00C44304"/>
    <w:rsid w:val="00C45441"/>
    <w:rsid w:val="00C45F24"/>
    <w:rsid w:val="00C47EA8"/>
    <w:rsid w:val="00C513D6"/>
    <w:rsid w:val="00C521D5"/>
    <w:rsid w:val="00C523A9"/>
    <w:rsid w:val="00C531C1"/>
    <w:rsid w:val="00C53363"/>
    <w:rsid w:val="00C56131"/>
    <w:rsid w:val="00C62172"/>
    <w:rsid w:val="00C65DFF"/>
    <w:rsid w:val="00C66027"/>
    <w:rsid w:val="00C67B78"/>
    <w:rsid w:val="00C71318"/>
    <w:rsid w:val="00C729AB"/>
    <w:rsid w:val="00C731F3"/>
    <w:rsid w:val="00C80562"/>
    <w:rsid w:val="00C80B56"/>
    <w:rsid w:val="00C80FB1"/>
    <w:rsid w:val="00C83A1A"/>
    <w:rsid w:val="00C83DBD"/>
    <w:rsid w:val="00C85EDE"/>
    <w:rsid w:val="00C86F48"/>
    <w:rsid w:val="00C87318"/>
    <w:rsid w:val="00C87CFB"/>
    <w:rsid w:val="00C90939"/>
    <w:rsid w:val="00C919A1"/>
    <w:rsid w:val="00C91E3F"/>
    <w:rsid w:val="00C92887"/>
    <w:rsid w:val="00C93102"/>
    <w:rsid w:val="00C942AC"/>
    <w:rsid w:val="00C95D8E"/>
    <w:rsid w:val="00C970A9"/>
    <w:rsid w:val="00CA1AA8"/>
    <w:rsid w:val="00CA1C58"/>
    <w:rsid w:val="00CA1D8F"/>
    <w:rsid w:val="00CA3838"/>
    <w:rsid w:val="00CA503A"/>
    <w:rsid w:val="00CA51C5"/>
    <w:rsid w:val="00CB05E4"/>
    <w:rsid w:val="00CB0C94"/>
    <w:rsid w:val="00CB166B"/>
    <w:rsid w:val="00CB3B79"/>
    <w:rsid w:val="00CB48DD"/>
    <w:rsid w:val="00CB59DE"/>
    <w:rsid w:val="00CB677A"/>
    <w:rsid w:val="00CB6BFD"/>
    <w:rsid w:val="00CB7750"/>
    <w:rsid w:val="00CB7774"/>
    <w:rsid w:val="00CC083D"/>
    <w:rsid w:val="00CC1326"/>
    <w:rsid w:val="00CC239B"/>
    <w:rsid w:val="00CC2638"/>
    <w:rsid w:val="00CC416F"/>
    <w:rsid w:val="00CC4CA4"/>
    <w:rsid w:val="00CC5813"/>
    <w:rsid w:val="00CC58BD"/>
    <w:rsid w:val="00CC6C9F"/>
    <w:rsid w:val="00CC747F"/>
    <w:rsid w:val="00CC7767"/>
    <w:rsid w:val="00CD2F6C"/>
    <w:rsid w:val="00CD33BA"/>
    <w:rsid w:val="00CD486F"/>
    <w:rsid w:val="00CD4A41"/>
    <w:rsid w:val="00CD5184"/>
    <w:rsid w:val="00CD5C36"/>
    <w:rsid w:val="00CD6957"/>
    <w:rsid w:val="00CD7B87"/>
    <w:rsid w:val="00CD7E28"/>
    <w:rsid w:val="00CE02F7"/>
    <w:rsid w:val="00CE20B1"/>
    <w:rsid w:val="00CE2903"/>
    <w:rsid w:val="00CE3612"/>
    <w:rsid w:val="00CE4706"/>
    <w:rsid w:val="00CE4C1D"/>
    <w:rsid w:val="00CF0D2D"/>
    <w:rsid w:val="00CF4BBA"/>
    <w:rsid w:val="00CF6157"/>
    <w:rsid w:val="00CF7CCA"/>
    <w:rsid w:val="00CF7E57"/>
    <w:rsid w:val="00D02FB1"/>
    <w:rsid w:val="00D031C7"/>
    <w:rsid w:val="00D04A62"/>
    <w:rsid w:val="00D05FAC"/>
    <w:rsid w:val="00D0782F"/>
    <w:rsid w:val="00D104A0"/>
    <w:rsid w:val="00D113BC"/>
    <w:rsid w:val="00D12E6E"/>
    <w:rsid w:val="00D13919"/>
    <w:rsid w:val="00D14669"/>
    <w:rsid w:val="00D15AE7"/>
    <w:rsid w:val="00D15C65"/>
    <w:rsid w:val="00D1606B"/>
    <w:rsid w:val="00D16B3A"/>
    <w:rsid w:val="00D17BB1"/>
    <w:rsid w:val="00D20294"/>
    <w:rsid w:val="00D21E29"/>
    <w:rsid w:val="00D21FD5"/>
    <w:rsid w:val="00D22162"/>
    <w:rsid w:val="00D22694"/>
    <w:rsid w:val="00D256F3"/>
    <w:rsid w:val="00D30A2B"/>
    <w:rsid w:val="00D30DEE"/>
    <w:rsid w:val="00D316CF"/>
    <w:rsid w:val="00D32B06"/>
    <w:rsid w:val="00D32F15"/>
    <w:rsid w:val="00D3484D"/>
    <w:rsid w:val="00D34E2E"/>
    <w:rsid w:val="00D36ADC"/>
    <w:rsid w:val="00D3710C"/>
    <w:rsid w:val="00D40219"/>
    <w:rsid w:val="00D40CD7"/>
    <w:rsid w:val="00D40E51"/>
    <w:rsid w:val="00D41D5B"/>
    <w:rsid w:val="00D42071"/>
    <w:rsid w:val="00D44495"/>
    <w:rsid w:val="00D51C4E"/>
    <w:rsid w:val="00D531D9"/>
    <w:rsid w:val="00D5483F"/>
    <w:rsid w:val="00D55FB6"/>
    <w:rsid w:val="00D60A3B"/>
    <w:rsid w:val="00D621B7"/>
    <w:rsid w:val="00D625A5"/>
    <w:rsid w:val="00D633FC"/>
    <w:rsid w:val="00D63DC7"/>
    <w:rsid w:val="00D6461C"/>
    <w:rsid w:val="00D65869"/>
    <w:rsid w:val="00D700E6"/>
    <w:rsid w:val="00D70907"/>
    <w:rsid w:val="00D7149C"/>
    <w:rsid w:val="00D72E48"/>
    <w:rsid w:val="00D734F6"/>
    <w:rsid w:val="00D735D5"/>
    <w:rsid w:val="00D74CA5"/>
    <w:rsid w:val="00D7561E"/>
    <w:rsid w:val="00D763F9"/>
    <w:rsid w:val="00D77759"/>
    <w:rsid w:val="00D83075"/>
    <w:rsid w:val="00D83545"/>
    <w:rsid w:val="00D8450F"/>
    <w:rsid w:val="00D85660"/>
    <w:rsid w:val="00D865EB"/>
    <w:rsid w:val="00D87271"/>
    <w:rsid w:val="00D91821"/>
    <w:rsid w:val="00D91EC4"/>
    <w:rsid w:val="00D92816"/>
    <w:rsid w:val="00D92CCD"/>
    <w:rsid w:val="00D93803"/>
    <w:rsid w:val="00D9471D"/>
    <w:rsid w:val="00D95026"/>
    <w:rsid w:val="00D950B3"/>
    <w:rsid w:val="00D956F5"/>
    <w:rsid w:val="00D95B86"/>
    <w:rsid w:val="00D96E6A"/>
    <w:rsid w:val="00D970B2"/>
    <w:rsid w:val="00D976F8"/>
    <w:rsid w:val="00D97ED5"/>
    <w:rsid w:val="00DA0A09"/>
    <w:rsid w:val="00DA1750"/>
    <w:rsid w:val="00DA216D"/>
    <w:rsid w:val="00DA3FC3"/>
    <w:rsid w:val="00DA5633"/>
    <w:rsid w:val="00DA6DA3"/>
    <w:rsid w:val="00DB145F"/>
    <w:rsid w:val="00DB2F4E"/>
    <w:rsid w:val="00DB41F4"/>
    <w:rsid w:val="00DB4464"/>
    <w:rsid w:val="00DB5600"/>
    <w:rsid w:val="00DB5C22"/>
    <w:rsid w:val="00DB62B4"/>
    <w:rsid w:val="00DC054D"/>
    <w:rsid w:val="00DC14C8"/>
    <w:rsid w:val="00DC1F25"/>
    <w:rsid w:val="00DC42EF"/>
    <w:rsid w:val="00DC5A20"/>
    <w:rsid w:val="00DC6773"/>
    <w:rsid w:val="00DC76E9"/>
    <w:rsid w:val="00DD0B3E"/>
    <w:rsid w:val="00DD136B"/>
    <w:rsid w:val="00DD16DC"/>
    <w:rsid w:val="00DD1EDF"/>
    <w:rsid w:val="00DD2214"/>
    <w:rsid w:val="00DD56EE"/>
    <w:rsid w:val="00DD6DEC"/>
    <w:rsid w:val="00DE1BC5"/>
    <w:rsid w:val="00DE27BC"/>
    <w:rsid w:val="00DE43EA"/>
    <w:rsid w:val="00DE4493"/>
    <w:rsid w:val="00DF1EE2"/>
    <w:rsid w:val="00DF2BC4"/>
    <w:rsid w:val="00DF338A"/>
    <w:rsid w:val="00DF4AF4"/>
    <w:rsid w:val="00DF556A"/>
    <w:rsid w:val="00DF5E45"/>
    <w:rsid w:val="00E01632"/>
    <w:rsid w:val="00E02232"/>
    <w:rsid w:val="00E13142"/>
    <w:rsid w:val="00E15122"/>
    <w:rsid w:val="00E154E5"/>
    <w:rsid w:val="00E15624"/>
    <w:rsid w:val="00E15A11"/>
    <w:rsid w:val="00E15E5C"/>
    <w:rsid w:val="00E15ED6"/>
    <w:rsid w:val="00E169E7"/>
    <w:rsid w:val="00E16FDE"/>
    <w:rsid w:val="00E2161B"/>
    <w:rsid w:val="00E23E9A"/>
    <w:rsid w:val="00E247EA"/>
    <w:rsid w:val="00E303BE"/>
    <w:rsid w:val="00E313A6"/>
    <w:rsid w:val="00E31EF1"/>
    <w:rsid w:val="00E32955"/>
    <w:rsid w:val="00E34B5C"/>
    <w:rsid w:val="00E34F2D"/>
    <w:rsid w:val="00E351AA"/>
    <w:rsid w:val="00E40564"/>
    <w:rsid w:val="00E42FB4"/>
    <w:rsid w:val="00E43136"/>
    <w:rsid w:val="00E43EF9"/>
    <w:rsid w:val="00E44D04"/>
    <w:rsid w:val="00E44D4D"/>
    <w:rsid w:val="00E451F6"/>
    <w:rsid w:val="00E5033C"/>
    <w:rsid w:val="00E51D0D"/>
    <w:rsid w:val="00E51EB2"/>
    <w:rsid w:val="00E526D3"/>
    <w:rsid w:val="00E54C72"/>
    <w:rsid w:val="00E551F6"/>
    <w:rsid w:val="00E5595A"/>
    <w:rsid w:val="00E57C4A"/>
    <w:rsid w:val="00E6028B"/>
    <w:rsid w:val="00E620F8"/>
    <w:rsid w:val="00E62F8B"/>
    <w:rsid w:val="00E64836"/>
    <w:rsid w:val="00E64C10"/>
    <w:rsid w:val="00E65A43"/>
    <w:rsid w:val="00E66153"/>
    <w:rsid w:val="00E6714B"/>
    <w:rsid w:val="00E67FDF"/>
    <w:rsid w:val="00E700B0"/>
    <w:rsid w:val="00E7088D"/>
    <w:rsid w:val="00E7188A"/>
    <w:rsid w:val="00E73FFC"/>
    <w:rsid w:val="00E7484F"/>
    <w:rsid w:val="00E80953"/>
    <w:rsid w:val="00E81597"/>
    <w:rsid w:val="00E820DE"/>
    <w:rsid w:val="00E83556"/>
    <w:rsid w:val="00E85705"/>
    <w:rsid w:val="00E8776B"/>
    <w:rsid w:val="00E90E45"/>
    <w:rsid w:val="00E92526"/>
    <w:rsid w:val="00E935F6"/>
    <w:rsid w:val="00E955DF"/>
    <w:rsid w:val="00E97F1C"/>
    <w:rsid w:val="00EA03FB"/>
    <w:rsid w:val="00EA0BC1"/>
    <w:rsid w:val="00EA0D5B"/>
    <w:rsid w:val="00EA101A"/>
    <w:rsid w:val="00EA1051"/>
    <w:rsid w:val="00EA3DD2"/>
    <w:rsid w:val="00EA46EB"/>
    <w:rsid w:val="00EA48B6"/>
    <w:rsid w:val="00EA59FA"/>
    <w:rsid w:val="00EA5CB1"/>
    <w:rsid w:val="00EB0268"/>
    <w:rsid w:val="00EB10DA"/>
    <w:rsid w:val="00EB3353"/>
    <w:rsid w:val="00EB3E8D"/>
    <w:rsid w:val="00EB7A85"/>
    <w:rsid w:val="00EC0F6D"/>
    <w:rsid w:val="00EC12C3"/>
    <w:rsid w:val="00EC1846"/>
    <w:rsid w:val="00EC1B50"/>
    <w:rsid w:val="00EC2B83"/>
    <w:rsid w:val="00EC2DE8"/>
    <w:rsid w:val="00EC68EA"/>
    <w:rsid w:val="00EC7678"/>
    <w:rsid w:val="00ED18D8"/>
    <w:rsid w:val="00ED1DF8"/>
    <w:rsid w:val="00ED23CB"/>
    <w:rsid w:val="00ED2FE4"/>
    <w:rsid w:val="00ED4C33"/>
    <w:rsid w:val="00ED5970"/>
    <w:rsid w:val="00ED7A85"/>
    <w:rsid w:val="00EE0452"/>
    <w:rsid w:val="00EE0A3B"/>
    <w:rsid w:val="00EE1754"/>
    <w:rsid w:val="00EE2916"/>
    <w:rsid w:val="00EE2B65"/>
    <w:rsid w:val="00EE2F9C"/>
    <w:rsid w:val="00EE31D7"/>
    <w:rsid w:val="00EE4322"/>
    <w:rsid w:val="00EE4AEF"/>
    <w:rsid w:val="00EE65B7"/>
    <w:rsid w:val="00EE6A16"/>
    <w:rsid w:val="00EE7A80"/>
    <w:rsid w:val="00EF1959"/>
    <w:rsid w:val="00EF4618"/>
    <w:rsid w:val="00EF4AF0"/>
    <w:rsid w:val="00EF5073"/>
    <w:rsid w:val="00EF5898"/>
    <w:rsid w:val="00EF5B29"/>
    <w:rsid w:val="00EF6146"/>
    <w:rsid w:val="00EF6322"/>
    <w:rsid w:val="00EF6D95"/>
    <w:rsid w:val="00F015EA"/>
    <w:rsid w:val="00F0250E"/>
    <w:rsid w:val="00F02DA1"/>
    <w:rsid w:val="00F02DA4"/>
    <w:rsid w:val="00F044B4"/>
    <w:rsid w:val="00F04B56"/>
    <w:rsid w:val="00F05D86"/>
    <w:rsid w:val="00F05FAC"/>
    <w:rsid w:val="00F06E33"/>
    <w:rsid w:val="00F07287"/>
    <w:rsid w:val="00F075E8"/>
    <w:rsid w:val="00F076CD"/>
    <w:rsid w:val="00F1048B"/>
    <w:rsid w:val="00F1243E"/>
    <w:rsid w:val="00F12802"/>
    <w:rsid w:val="00F13A28"/>
    <w:rsid w:val="00F150DB"/>
    <w:rsid w:val="00F156BC"/>
    <w:rsid w:val="00F15B24"/>
    <w:rsid w:val="00F1697E"/>
    <w:rsid w:val="00F17747"/>
    <w:rsid w:val="00F17A9A"/>
    <w:rsid w:val="00F17BA2"/>
    <w:rsid w:val="00F20B7E"/>
    <w:rsid w:val="00F21B5A"/>
    <w:rsid w:val="00F21FEE"/>
    <w:rsid w:val="00F22061"/>
    <w:rsid w:val="00F229CC"/>
    <w:rsid w:val="00F239DB"/>
    <w:rsid w:val="00F23A1B"/>
    <w:rsid w:val="00F25971"/>
    <w:rsid w:val="00F259D3"/>
    <w:rsid w:val="00F26AC4"/>
    <w:rsid w:val="00F2771F"/>
    <w:rsid w:val="00F30CC3"/>
    <w:rsid w:val="00F31366"/>
    <w:rsid w:val="00F32596"/>
    <w:rsid w:val="00F341D6"/>
    <w:rsid w:val="00F341EB"/>
    <w:rsid w:val="00F34A4D"/>
    <w:rsid w:val="00F34D61"/>
    <w:rsid w:val="00F378A9"/>
    <w:rsid w:val="00F40CDF"/>
    <w:rsid w:val="00F451FE"/>
    <w:rsid w:val="00F45234"/>
    <w:rsid w:val="00F469EB"/>
    <w:rsid w:val="00F478C2"/>
    <w:rsid w:val="00F509A5"/>
    <w:rsid w:val="00F50A4D"/>
    <w:rsid w:val="00F51568"/>
    <w:rsid w:val="00F51E64"/>
    <w:rsid w:val="00F52146"/>
    <w:rsid w:val="00F525C3"/>
    <w:rsid w:val="00F52FC3"/>
    <w:rsid w:val="00F54E2E"/>
    <w:rsid w:val="00F55479"/>
    <w:rsid w:val="00F57CD8"/>
    <w:rsid w:val="00F57D00"/>
    <w:rsid w:val="00F57D5C"/>
    <w:rsid w:val="00F60731"/>
    <w:rsid w:val="00F62C3B"/>
    <w:rsid w:val="00F64E32"/>
    <w:rsid w:val="00F65750"/>
    <w:rsid w:val="00F65C0D"/>
    <w:rsid w:val="00F703FD"/>
    <w:rsid w:val="00F7064A"/>
    <w:rsid w:val="00F7168A"/>
    <w:rsid w:val="00F743DE"/>
    <w:rsid w:val="00F74EED"/>
    <w:rsid w:val="00F75A29"/>
    <w:rsid w:val="00F7785D"/>
    <w:rsid w:val="00F77AB0"/>
    <w:rsid w:val="00F81EE2"/>
    <w:rsid w:val="00F83237"/>
    <w:rsid w:val="00F843C7"/>
    <w:rsid w:val="00F85367"/>
    <w:rsid w:val="00F855B3"/>
    <w:rsid w:val="00F860E2"/>
    <w:rsid w:val="00F86166"/>
    <w:rsid w:val="00F867EF"/>
    <w:rsid w:val="00F86879"/>
    <w:rsid w:val="00F86C90"/>
    <w:rsid w:val="00F87E3E"/>
    <w:rsid w:val="00F903E5"/>
    <w:rsid w:val="00F909BA"/>
    <w:rsid w:val="00F93394"/>
    <w:rsid w:val="00F93481"/>
    <w:rsid w:val="00F93B39"/>
    <w:rsid w:val="00F9406A"/>
    <w:rsid w:val="00F94A89"/>
    <w:rsid w:val="00F95665"/>
    <w:rsid w:val="00F96001"/>
    <w:rsid w:val="00F96EB1"/>
    <w:rsid w:val="00FA0D45"/>
    <w:rsid w:val="00FA0E7B"/>
    <w:rsid w:val="00FA204D"/>
    <w:rsid w:val="00FA2751"/>
    <w:rsid w:val="00FA2842"/>
    <w:rsid w:val="00FA28B0"/>
    <w:rsid w:val="00FA29D9"/>
    <w:rsid w:val="00FA31EA"/>
    <w:rsid w:val="00FA68E3"/>
    <w:rsid w:val="00FA716B"/>
    <w:rsid w:val="00FA777E"/>
    <w:rsid w:val="00FA7E6C"/>
    <w:rsid w:val="00FA7EBF"/>
    <w:rsid w:val="00FB017E"/>
    <w:rsid w:val="00FB0392"/>
    <w:rsid w:val="00FB088F"/>
    <w:rsid w:val="00FB0936"/>
    <w:rsid w:val="00FB18CE"/>
    <w:rsid w:val="00FB2195"/>
    <w:rsid w:val="00FB2E02"/>
    <w:rsid w:val="00FB326C"/>
    <w:rsid w:val="00FB32E0"/>
    <w:rsid w:val="00FB37B6"/>
    <w:rsid w:val="00FB3F8B"/>
    <w:rsid w:val="00FB4596"/>
    <w:rsid w:val="00FB5A35"/>
    <w:rsid w:val="00FB654A"/>
    <w:rsid w:val="00FB7DB6"/>
    <w:rsid w:val="00FC139C"/>
    <w:rsid w:val="00FC247C"/>
    <w:rsid w:val="00FC31AF"/>
    <w:rsid w:val="00FC3DDC"/>
    <w:rsid w:val="00FC3FCA"/>
    <w:rsid w:val="00FC598A"/>
    <w:rsid w:val="00FC5CBE"/>
    <w:rsid w:val="00FC5DC8"/>
    <w:rsid w:val="00FC6CFB"/>
    <w:rsid w:val="00FC709E"/>
    <w:rsid w:val="00FD0CD5"/>
    <w:rsid w:val="00FD2AE0"/>
    <w:rsid w:val="00FD3281"/>
    <w:rsid w:val="00FD3622"/>
    <w:rsid w:val="00FD3C45"/>
    <w:rsid w:val="00FD3CBC"/>
    <w:rsid w:val="00FD499E"/>
    <w:rsid w:val="00FD6729"/>
    <w:rsid w:val="00FD7080"/>
    <w:rsid w:val="00FD7873"/>
    <w:rsid w:val="00FD7DFA"/>
    <w:rsid w:val="00FE0571"/>
    <w:rsid w:val="00FE0C98"/>
    <w:rsid w:val="00FE183E"/>
    <w:rsid w:val="00FE227F"/>
    <w:rsid w:val="00FE31FB"/>
    <w:rsid w:val="00FE3867"/>
    <w:rsid w:val="00FE3B30"/>
    <w:rsid w:val="00FE40B3"/>
    <w:rsid w:val="00FE4FDE"/>
    <w:rsid w:val="00FE5CC7"/>
    <w:rsid w:val="00FE6520"/>
    <w:rsid w:val="00FE6B5F"/>
    <w:rsid w:val="00FE7143"/>
    <w:rsid w:val="00FF370F"/>
    <w:rsid w:val="00FF5134"/>
    <w:rsid w:val="00FF5839"/>
    <w:rsid w:val="00FF7C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E119E"/>
    <w:pPr>
      <w:spacing w:after="200" w:line="276" w:lineRule="auto"/>
    </w:pPr>
    <w:rPr>
      <w:noProof/>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unhideWhenUsed/>
    <w:rsid w:val="00CC4CA4"/>
    <w:pPr>
      <w:tabs>
        <w:tab w:val="center" w:pos="4153"/>
        <w:tab w:val="right" w:pos="8306"/>
      </w:tabs>
      <w:spacing w:after="0" w:line="240" w:lineRule="auto"/>
    </w:pPr>
    <w:rPr>
      <w:szCs w:val="20"/>
    </w:rPr>
  </w:style>
  <w:style w:type="character" w:customStyle="1" w:styleId="GalveneRakstz">
    <w:name w:val="Galvene Rakstz."/>
    <w:aliases w:val="18pt Bold Rakstz."/>
    <w:link w:val="Galvene"/>
    <w:uiPriority w:val="99"/>
    <w:rsid w:val="00CC4CA4"/>
    <w:rPr>
      <w:rFonts w:eastAsia="Calibri" w:cs="Times New Roman"/>
    </w:rPr>
  </w:style>
  <w:style w:type="paragraph" w:styleId="Kjene">
    <w:name w:val="footer"/>
    <w:basedOn w:val="Parastais"/>
    <w:link w:val="KjeneRakstz"/>
    <w:uiPriority w:val="99"/>
    <w:unhideWhenUsed/>
    <w:rsid w:val="00CC4CA4"/>
    <w:pPr>
      <w:tabs>
        <w:tab w:val="center" w:pos="4153"/>
        <w:tab w:val="right" w:pos="8306"/>
      </w:tabs>
      <w:spacing w:after="0" w:line="240" w:lineRule="auto"/>
    </w:pPr>
    <w:rPr>
      <w:szCs w:val="20"/>
    </w:rPr>
  </w:style>
  <w:style w:type="character" w:customStyle="1" w:styleId="KjeneRakstz">
    <w:name w:val="Kājene Rakstz."/>
    <w:link w:val="Kjene"/>
    <w:uiPriority w:val="99"/>
    <w:rsid w:val="00CC4CA4"/>
    <w:rPr>
      <w:rFonts w:eastAsia="Calibri" w:cs="Times New Roman"/>
    </w:rPr>
  </w:style>
  <w:style w:type="paragraph" w:customStyle="1" w:styleId="naisf">
    <w:name w:val="naisf"/>
    <w:basedOn w:val="Parastais"/>
    <w:uiPriority w:val="99"/>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ParastaisWeb">
    <w:name w:val="Normal (Web)"/>
    <w:basedOn w:val="Parastais"/>
    <w:rsid w:val="00B2247B"/>
    <w:pPr>
      <w:spacing w:before="88" w:after="88" w:line="240" w:lineRule="auto"/>
    </w:pPr>
    <w:rPr>
      <w:rFonts w:ascii="Times New Roman" w:eastAsia="Times New Roman" w:hAnsi="Times New Roman"/>
      <w:sz w:val="24"/>
      <w:szCs w:val="24"/>
      <w:lang w:eastAsia="lv-LV"/>
    </w:rPr>
  </w:style>
  <w:style w:type="character" w:styleId="Hipersaite">
    <w:name w:val="Hyperlink"/>
    <w:rsid w:val="00B2247B"/>
    <w:rPr>
      <w:color w:val="0000FF"/>
      <w:u w:val="single"/>
    </w:rPr>
  </w:style>
  <w:style w:type="paragraph" w:styleId="Pamatteksts">
    <w:name w:val="Body Text"/>
    <w:basedOn w:val="Parastais"/>
    <w:link w:val="PamattekstsRakstz"/>
    <w:rsid w:val="00B2247B"/>
    <w:pPr>
      <w:spacing w:after="0" w:line="240" w:lineRule="auto"/>
      <w:jc w:val="center"/>
    </w:pPr>
    <w:rPr>
      <w:rFonts w:ascii="Times New Roman" w:eastAsia="Times New Roman" w:hAnsi="Times New Roman"/>
      <w:b/>
      <w:bCs/>
      <w:sz w:val="24"/>
      <w:szCs w:val="24"/>
    </w:rPr>
  </w:style>
  <w:style w:type="character" w:customStyle="1" w:styleId="PamattekstsRakstz">
    <w:name w:val="Pamatteksts Rakstz."/>
    <w:link w:val="Pamatteksts"/>
    <w:rsid w:val="00B2247B"/>
    <w:rPr>
      <w:rFonts w:ascii="Times New Roman" w:eastAsia="Times New Roman" w:hAnsi="Times New Roman"/>
      <w:b/>
      <w:bCs/>
      <w:sz w:val="24"/>
      <w:szCs w:val="24"/>
      <w:lang w:eastAsia="en-US"/>
    </w:rPr>
  </w:style>
  <w:style w:type="paragraph" w:styleId="Balonteksts">
    <w:name w:val="Balloon Text"/>
    <w:basedOn w:val="Parastais"/>
    <w:link w:val="BalontekstsRakstz"/>
    <w:uiPriority w:val="99"/>
    <w:semiHidden/>
    <w:unhideWhenUsed/>
    <w:rsid w:val="00B2247B"/>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B2247B"/>
    <w:rPr>
      <w:rFonts w:ascii="Tahoma" w:hAnsi="Tahoma" w:cs="Tahoma"/>
      <w:sz w:val="16"/>
      <w:szCs w:val="16"/>
      <w:lang w:eastAsia="en-US"/>
    </w:rPr>
  </w:style>
  <w:style w:type="paragraph" w:customStyle="1" w:styleId="naisvisr">
    <w:name w:val="naisvisr"/>
    <w:basedOn w:val="Parastais"/>
    <w:rsid w:val="00F7064A"/>
    <w:pPr>
      <w:spacing w:before="150" w:after="150" w:line="240" w:lineRule="auto"/>
      <w:jc w:val="center"/>
    </w:pPr>
    <w:rPr>
      <w:rFonts w:ascii="Times New Roman" w:eastAsia="Times New Roman" w:hAnsi="Times New Roman"/>
      <w:b/>
      <w:bCs/>
      <w:sz w:val="28"/>
      <w:szCs w:val="28"/>
      <w:lang w:eastAsia="lv-LV"/>
    </w:rPr>
  </w:style>
  <w:style w:type="paragraph" w:styleId="Pamattekstaatkpe2">
    <w:name w:val="Body Text Indent 2"/>
    <w:basedOn w:val="Parastais"/>
    <w:rsid w:val="00BE1E77"/>
    <w:pPr>
      <w:spacing w:after="120" w:line="480" w:lineRule="auto"/>
      <w:ind w:left="283"/>
    </w:pPr>
  </w:style>
  <w:style w:type="character" w:styleId="Komentraatsauce">
    <w:name w:val="annotation reference"/>
    <w:uiPriority w:val="99"/>
    <w:semiHidden/>
    <w:unhideWhenUsed/>
    <w:rsid w:val="00F17A9A"/>
    <w:rPr>
      <w:sz w:val="16"/>
      <w:szCs w:val="16"/>
    </w:rPr>
  </w:style>
  <w:style w:type="paragraph" w:styleId="Komentrateksts">
    <w:name w:val="annotation text"/>
    <w:basedOn w:val="Parastais"/>
    <w:link w:val="KomentratekstsRakstz"/>
    <w:uiPriority w:val="99"/>
    <w:semiHidden/>
    <w:unhideWhenUsed/>
    <w:rsid w:val="00F17A9A"/>
    <w:rPr>
      <w:szCs w:val="20"/>
    </w:rPr>
  </w:style>
  <w:style w:type="character" w:customStyle="1" w:styleId="KomentratekstsRakstz">
    <w:name w:val="Komentāra teksts Rakstz."/>
    <w:link w:val="Komentrateksts"/>
    <w:uiPriority w:val="99"/>
    <w:semiHidden/>
    <w:rsid w:val="00F17A9A"/>
    <w:rPr>
      <w:lang w:eastAsia="en-US"/>
    </w:rPr>
  </w:style>
  <w:style w:type="paragraph" w:styleId="Komentratma">
    <w:name w:val="annotation subject"/>
    <w:basedOn w:val="Komentrateksts"/>
    <w:next w:val="Komentrateksts"/>
    <w:link w:val="KomentratmaRakstz"/>
    <w:uiPriority w:val="99"/>
    <w:semiHidden/>
    <w:unhideWhenUsed/>
    <w:rsid w:val="00F17A9A"/>
    <w:rPr>
      <w:b/>
      <w:bCs/>
    </w:rPr>
  </w:style>
  <w:style w:type="character" w:customStyle="1" w:styleId="KomentratmaRakstz">
    <w:name w:val="Komentāra tēma Rakstz."/>
    <w:link w:val="Komentratma"/>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Tekstabloks">
    <w:name w:val="Block Text"/>
    <w:basedOn w:val="Parastais"/>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Parastais"/>
    <w:link w:val="NumberingChar"/>
    <w:rsid w:val="00AE430B"/>
    <w:pPr>
      <w:spacing w:after="0" w:line="240" w:lineRule="auto"/>
      <w:ind w:left="567" w:hanging="567"/>
      <w:jc w:val="both"/>
    </w:pPr>
    <w:rPr>
      <w:sz w:val="24"/>
      <w:szCs w:val="24"/>
    </w:rPr>
  </w:style>
  <w:style w:type="paragraph" w:customStyle="1" w:styleId="Teksts2">
    <w:name w:val="Teksts2"/>
    <w:basedOn w:val="Parastais"/>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Parastais"/>
    <w:rsid w:val="00AE430B"/>
    <w:pPr>
      <w:numPr>
        <w:numId w:val="1"/>
      </w:numPr>
      <w:spacing w:after="0" w:line="240" w:lineRule="auto"/>
    </w:pPr>
    <w:rPr>
      <w:rFonts w:ascii="Times New Roman" w:hAnsi="Times New Roman"/>
      <w:sz w:val="24"/>
      <w:szCs w:val="24"/>
    </w:rPr>
  </w:style>
  <w:style w:type="paragraph" w:customStyle="1" w:styleId="naisc">
    <w:name w:val="naisc"/>
    <w:basedOn w:val="Parastais"/>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Pamattekstsaratkpi">
    <w:name w:val="Body Text Indent"/>
    <w:basedOn w:val="Parastais"/>
    <w:link w:val="PamattekstsaratkpiRakstz"/>
    <w:uiPriority w:val="99"/>
    <w:unhideWhenUsed/>
    <w:rsid w:val="000D3176"/>
    <w:pPr>
      <w:spacing w:after="120"/>
      <w:ind w:left="283"/>
    </w:pPr>
  </w:style>
  <w:style w:type="character" w:customStyle="1" w:styleId="PamattekstsaratkpiRakstz">
    <w:name w:val="Pamatteksts ar atkāpi Rakstz."/>
    <w:link w:val="Pamattekstsaratkpi"/>
    <w:uiPriority w:val="99"/>
    <w:rsid w:val="000D3176"/>
    <w:rPr>
      <w:szCs w:val="22"/>
      <w:lang w:eastAsia="en-US"/>
    </w:rPr>
  </w:style>
  <w:style w:type="paragraph" w:styleId="Pamatteksts2">
    <w:name w:val="Body Text 2"/>
    <w:basedOn w:val="Parastais"/>
    <w:link w:val="Pamatteksts2Rakstz"/>
    <w:uiPriority w:val="99"/>
    <w:unhideWhenUsed/>
    <w:rsid w:val="000340C1"/>
    <w:pPr>
      <w:spacing w:after="120" w:line="480" w:lineRule="auto"/>
    </w:pPr>
  </w:style>
  <w:style w:type="character" w:customStyle="1" w:styleId="Pamatteksts2Rakstz">
    <w:name w:val="Pamatteksts 2 Rakstz."/>
    <w:link w:val="Pamatteksts2"/>
    <w:uiPriority w:val="99"/>
    <w:rsid w:val="000340C1"/>
    <w:rPr>
      <w:szCs w:val="22"/>
      <w:lang w:eastAsia="en-US"/>
    </w:rPr>
  </w:style>
  <w:style w:type="paragraph" w:customStyle="1" w:styleId="1">
    <w:name w:val="1"/>
    <w:basedOn w:val="Parastais"/>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Parastais"/>
    <w:rsid w:val="006B2FA0"/>
    <w:pPr>
      <w:spacing w:after="160" w:line="240" w:lineRule="exact"/>
    </w:pPr>
    <w:rPr>
      <w:rFonts w:ascii="Tahoma" w:eastAsia="Times New Roman" w:hAnsi="Tahoma"/>
      <w:szCs w:val="20"/>
      <w:lang w:val="en-US"/>
    </w:rPr>
  </w:style>
  <w:style w:type="paragraph" w:styleId="Nosaukums">
    <w:name w:val="Title"/>
    <w:basedOn w:val="Parastais"/>
    <w:link w:val="NosaukumsRakstz"/>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Parastais"/>
    <w:rsid w:val="006E117F"/>
    <w:pPr>
      <w:spacing w:after="160" w:line="240" w:lineRule="exact"/>
    </w:pPr>
    <w:rPr>
      <w:rFonts w:ascii="Tahoma" w:eastAsia="Times New Roman" w:hAnsi="Tahoma"/>
      <w:szCs w:val="20"/>
      <w:lang w:val="en-US"/>
    </w:rPr>
  </w:style>
  <w:style w:type="paragraph" w:customStyle="1" w:styleId="naisnod">
    <w:name w:val="naisnod"/>
    <w:basedOn w:val="Parastais"/>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Parastais"/>
    <w:rsid w:val="0027603D"/>
    <w:pPr>
      <w:spacing w:after="160" w:line="240" w:lineRule="exact"/>
    </w:pPr>
    <w:rPr>
      <w:rFonts w:ascii="Tahoma" w:eastAsia="Times New Roman" w:hAnsi="Tahoma"/>
      <w:szCs w:val="20"/>
      <w:lang w:val="en-US"/>
    </w:rPr>
  </w:style>
  <w:style w:type="character" w:customStyle="1" w:styleId="spelle">
    <w:name w:val="spelle"/>
    <w:basedOn w:val="Noklusjumarindkopasfonts"/>
    <w:rsid w:val="00BB61E8"/>
  </w:style>
  <w:style w:type="paragraph" w:customStyle="1" w:styleId="naiskr">
    <w:name w:val="naiskr"/>
    <w:basedOn w:val="Parastais"/>
    <w:rsid w:val="00B43844"/>
    <w:pPr>
      <w:spacing w:before="75" w:after="75" w:line="240" w:lineRule="auto"/>
    </w:pPr>
    <w:rPr>
      <w:rFonts w:ascii="Times New Roman" w:hAnsi="Times New Roman"/>
      <w:sz w:val="24"/>
      <w:szCs w:val="24"/>
      <w:lang w:eastAsia="lv-LV"/>
    </w:rPr>
  </w:style>
  <w:style w:type="paragraph" w:styleId="Vresteksts">
    <w:name w:val="footnote text"/>
    <w:basedOn w:val="Parastais"/>
    <w:link w:val="VrestekstsRakstz"/>
    <w:semiHidden/>
    <w:rsid w:val="00B43844"/>
    <w:pPr>
      <w:spacing w:after="0" w:line="240" w:lineRule="auto"/>
    </w:pPr>
    <w:rPr>
      <w:rFonts w:ascii="Times New Roman" w:hAnsi="Times New Roman"/>
      <w:szCs w:val="20"/>
    </w:rPr>
  </w:style>
  <w:style w:type="paragraph" w:customStyle="1" w:styleId="naislab">
    <w:name w:val="naislab"/>
    <w:basedOn w:val="Parastais"/>
    <w:rsid w:val="00973D4C"/>
    <w:pPr>
      <w:spacing w:before="75" w:after="75" w:line="240" w:lineRule="auto"/>
      <w:jc w:val="right"/>
    </w:pPr>
    <w:rPr>
      <w:rFonts w:ascii="Times New Roman" w:eastAsia="Times New Roman" w:hAnsi="Times New Roman"/>
      <w:sz w:val="24"/>
      <w:szCs w:val="24"/>
      <w:lang w:eastAsia="lv-LV"/>
    </w:rPr>
  </w:style>
  <w:style w:type="character" w:customStyle="1" w:styleId="VrestekstsRakstz">
    <w:name w:val="Vēres teksts Rakstz."/>
    <w:link w:val="Vresteksts"/>
    <w:semiHidden/>
    <w:rsid w:val="0013647D"/>
    <w:rPr>
      <w:rFonts w:ascii="Times New Roman" w:hAnsi="Times New Roman"/>
    </w:rPr>
  </w:style>
  <w:style w:type="paragraph" w:styleId="Sarakstarindkopa">
    <w:name w:val="List Paragraph"/>
    <w:basedOn w:val="Parastais"/>
    <w:uiPriority w:val="34"/>
    <w:qFormat/>
    <w:rsid w:val="000077E5"/>
    <w:pPr>
      <w:spacing w:after="0" w:line="240" w:lineRule="auto"/>
      <w:ind w:left="720"/>
      <w:contextualSpacing/>
    </w:pPr>
    <w:rPr>
      <w:rFonts w:ascii="Calibri" w:hAnsi="Calibri"/>
      <w:sz w:val="22"/>
    </w:rPr>
  </w:style>
  <w:style w:type="character" w:customStyle="1" w:styleId="NosaukumsRakstz">
    <w:name w:val="Nosaukums Rakstz."/>
    <w:link w:val="Nosaukums"/>
    <w:uiPriority w:val="99"/>
    <w:locked/>
    <w:rsid w:val="001A3515"/>
    <w:rPr>
      <w:rFonts w:ascii="Times New Roman" w:eastAsia="Times New Roman" w:hAnsi="Times New Roman"/>
      <w:b/>
      <w:sz w:val="32"/>
    </w:rPr>
  </w:style>
  <w:style w:type="paragraph" w:styleId="Pamattekstaatkpe3">
    <w:name w:val="Body Text Indent 3"/>
    <w:basedOn w:val="Parastais"/>
    <w:link w:val="Pamattekstaatkpe3Rakstz"/>
    <w:rsid w:val="004558D6"/>
    <w:pPr>
      <w:spacing w:after="120" w:line="240" w:lineRule="auto"/>
      <w:ind w:left="283"/>
    </w:pPr>
    <w:rPr>
      <w:rFonts w:ascii="Times New Roman" w:eastAsia="Times New Roman" w:hAnsi="Times New Roman"/>
      <w:sz w:val="16"/>
      <w:szCs w:val="16"/>
      <w:lang w:eastAsia="lv-LV"/>
    </w:rPr>
  </w:style>
  <w:style w:type="character" w:customStyle="1" w:styleId="Pamattekstaatkpe3Rakstz">
    <w:name w:val="Pamatteksta atkāpe 3 Rakstz."/>
    <w:link w:val="Pamattekstaatkpe3"/>
    <w:rsid w:val="004558D6"/>
    <w:rPr>
      <w:rFonts w:ascii="Times New Roman" w:eastAsia="Times New Roman" w:hAnsi="Times New Roman"/>
      <w:sz w:val="16"/>
      <w:szCs w:val="16"/>
    </w:rPr>
  </w:style>
  <w:style w:type="paragraph" w:styleId="Vienkrsteksts">
    <w:name w:val="Plain Text"/>
    <w:basedOn w:val="Parastais"/>
    <w:link w:val="VienkrstekstsRakstz"/>
    <w:uiPriority w:val="99"/>
    <w:rsid w:val="00A54DFF"/>
    <w:pPr>
      <w:snapToGrid w:val="0"/>
      <w:spacing w:after="0" w:line="240" w:lineRule="auto"/>
    </w:pPr>
    <w:rPr>
      <w:rFonts w:ascii="Courier New" w:eastAsia="Times New Roman" w:hAnsi="Courier New"/>
      <w:sz w:val="28"/>
      <w:szCs w:val="20"/>
    </w:rPr>
  </w:style>
  <w:style w:type="character" w:customStyle="1" w:styleId="VienkrstekstsRakstz">
    <w:name w:val="Vienkāršs teksts Rakstz."/>
    <w:link w:val="Vienkrsteksts"/>
    <w:uiPriority w:val="99"/>
    <w:rsid w:val="00A54DFF"/>
    <w:rPr>
      <w:rFonts w:ascii="Courier New" w:eastAsia="Times New Roman" w:hAnsi="Courier New"/>
      <w:sz w:val="28"/>
      <w:lang w:eastAsia="en-US"/>
    </w:rPr>
  </w:style>
  <w:style w:type="paragraph" w:customStyle="1" w:styleId="RakstzRakstz7Char">
    <w:name w:val="Rakstz. Rakstz.7 Char"/>
    <w:basedOn w:val="Parastais"/>
    <w:rsid w:val="00682685"/>
    <w:pPr>
      <w:spacing w:after="160" w:line="240" w:lineRule="exact"/>
    </w:pPr>
    <w:rPr>
      <w:rFonts w:ascii="Tahoma" w:eastAsia="Times New Roman" w:hAnsi="Tahoma"/>
      <w:szCs w:val="20"/>
      <w:lang w:val="en-US"/>
    </w:rPr>
  </w:style>
  <w:style w:type="character" w:styleId="Izclums">
    <w:name w:val="Emphasis"/>
    <w:uiPriority w:val="20"/>
    <w:qFormat/>
    <w:rsid w:val="0002068C"/>
    <w:rPr>
      <w:b/>
      <w:bCs/>
      <w:i w:val="0"/>
      <w:iCs w:val="0"/>
    </w:rPr>
  </w:style>
  <w:style w:type="character" w:customStyle="1" w:styleId="st">
    <w:name w:val="st"/>
    <w:basedOn w:val="Noklusjumarindkopasfonts"/>
    <w:rsid w:val="0002068C"/>
  </w:style>
  <w:style w:type="paragraph" w:styleId="Prskatjums">
    <w:name w:val="Revision"/>
    <w:hidden/>
    <w:uiPriority w:val="99"/>
    <w:semiHidden/>
    <w:rsid w:val="000B0F50"/>
    <w:rPr>
      <w:noProof/>
      <w:szCs w:val="22"/>
      <w:lang w:eastAsia="en-US"/>
    </w:rPr>
  </w:style>
  <w:style w:type="table" w:styleId="Reatabula">
    <w:name w:val="Table Grid"/>
    <w:basedOn w:val="Parastatabula"/>
    <w:rsid w:val="003F0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289701485">
      <w:bodyDiv w:val="1"/>
      <w:marLeft w:val="0"/>
      <w:marRight w:val="0"/>
      <w:marTop w:val="0"/>
      <w:marBottom w:val="0"/>
      <w:divBdr>
        <w:top w:val="none" w:sz="0" w:space="0" w:color="auto"/>
        <w:left w:val="none" w:sz="0" w:space="0" w:color="auto"/>
        <w:bottom w:val="none" w:sz="0" w:space="0" w:color="auto"/>
        <w:right w:val="none" w:sz="0" w:space="0" w:color="auto"/>
      </w:divBdr>
    </w:div>
    <w:div w:id="328142051">
      <w:bodyDiv w:val="1"/>
      <w:marLeft w:val="0"/>
      <w:marRight w:val="0"/>
      <w:marTop w:val="0"/>
      <w:marBottom w:val="0"/>
      <w:divBdr>
        <w:top w:val="none" w:sz="0" w:space="0" w:color="auto"/>
        <w:left w:val="none" w:sz="0" w:space="0" w:color="auto"/>
        <w:bottom w:val="none" w:sz="0" w:space="0" w:color="auto"/>
        <w:right w:val="none" w:sz="0" w:space="0" w:color="auto"/>
      </w:divBdr>
    </w:div>
    <w:div w:id="372580638">
      <w:bodyDiv w:val="1"/>
      <w:marLeft w:val="0"/>
      <w:marRight w:val="0"/>
      <w:marTop w:val="0"/>
      <w:marBottom w:val="0"/>
      <w:divBdr>
        <w:top w:val="none" w:sz="0" w:space="0" w:color="auto"/>
        <w:left w:val="none" w:sz="0" w:space="0" w:color="auto"/>
        <w:bottom w:val="none" w:sz="0" w:space="0" w:color="auto"/>
        <w:right w:val="none" w:sz="0" w:space="0" w:color="auto"/>
      </w:divBdr>
    </w:div>
    <w:div w:id="414016193">
      <w:bodyDiv w:val="1"/>
      <w:marLeft w:val="0"/>
      <w:marRight w:val="0"/>
      <w:marTop w:val="0"/>
      <w:marBottom w:val="0"/>
      <w:divBdr>
        <w:top w:val="none" w:sz="0" w:space="0" w:color="auto"/>
        <w:left w:val="none" w:sz="0" w:space="0" w:color="auto"/>
        <w:bottom w:val="none" w:sz="0" w:space="0" w:color="auto"/>
        <w:right w:val="none" w:sz="0" w:space="0" w:color="auto"/>
      </w:divBdr>
    </w:div>
    <w:div w:id="461507589">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614947707">
      <w:bodyDiv w:val="1"/>
      <w:marLeft w:val="0"/>
      <w:marRight w:val="0"/>
      <w:marTop w:val="0"/>
      <w:marBottom w:val="0"/>
      <w:divBdr>
        <w:top w:val="none" w:sz="0" w:space="0" w:color="auto"/>
        <w:left w:val="none" w:sz="0" w:space="0" w:color="auto"/>
        <w:bottom w:val="none" w:sz="0" w:space="0" w:color="auto"/>
        <w:right w:val="none" w:sz="0" w:space="0" w:color="auto"/>
      </w:divBdr>
    </w:div>
    <w:div w:id="665980085">
      <w:bodyDiv w:val="1"/>
      <w:marLeft w:val="0"/>
      <w:marRight w:val="0"/>
      <w:marTop w:val="0"/>
      <w:marBottom w:val="0"/>
      <w:divBdr>
        <w:top w:val="none" w:sz="0" w:space="0" w:color="auto"/>
        <w:left w:val="none" w:sz="0" w:space="0" w:color="auto"/>
        <w:bottom w:val="none" w:sz="0" w:space="0" w:color="auto"/>
        <w:right w:val="none" w:sz="0" w:space="0" w:color="auto"/>
      </w:divBdr>
    </w:div>
    <w:div w:id="673344876">
      <w:bodyDiv w:val="1"/>
      <w:marLeft w:val="0"/>
      <w:marRight w:val="0"/>
      <w:marTop w:val="0"/>
      <w:marBottom w:val="0"/>
      <w:divBdr>
        <w:top w:val="none" w:sz="0" w:space="0" w:color="auto"/>
        <w:left w:val="none" w:sz="0" w:space="0" w:color="auto"/>
        <w:bottom w:val="none" w:sz="0" w:space="0" w:color="auto"/>
        <w:right w:val="none" w:sz="0" w:space="0" w:color="auto"/>
      </w:divBdr>
    </w:div>
    <w:div w:id="703212784">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810634431">
      <w:bodyDiv w:val="1"/>
      <w:marLeft w:val="0"/>
      <w:marRight w:val="0"/>
      <w:marTop w:val="0"/>
      <w:marBottom w:val="0"/>
      <w:divBdr>
        <w:top w:val="none" w:sz="0" w:space="0" w:color="auto"/>
        <w:left w:val="none" w:sz="0" w:space="0" w:color="auto"/>
        <w:bottom w:val="none" w:sz="0" w:space="0" w:color="auto"/>
        <w:right w:val="none" w:sz="0" w:space="0" w:color="auto"/>
      </w:divBdr>
    </w:div>
    <w:div w:id="956064965">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200168531">
      <w:bodyDiv w:val="1"/>
      <w:marLeft w:val="0"/>
      <w:marRight w:val="0"/>
      <w:marTop w:val="0"/>
      <w:marBottom w:val="0"/>
      <w:divBdr>
        <w:top w:val="none" w:sz="0" w:space="0" w:color="auto"/>
        <w:left w:val="none" w:sz="0" w:space="0" w:color="auto"/>
        <w:bottom w:val="none" w:sz="0" w:space="0" w:color="auto"/>
        <w:right w:val="none" w:sz="0" w:space="0" w:color="auto"/>
      </w:divBdr>
    </w:div>
    <w:div w:id="1246113273">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zubov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D37D7-44F3-4F22-9AED-BE680FF1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17828</Words>
  <Characters>10163</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KMAnot_110714_JRT</vt:lpstr>
      <vt:lpstr>Ministru kabineta rīkojuma projekta „Par finansējuma piešķiršanu Jaunā Rīgas teātra ēku Lāčplēša ielā 25, Rīgā, rekonstrukcijas, nomas maksas, pārcelšanās un aprīkojuma iegādes izdevumu segšanai” sākotnējās ietekmes novērtējuma ziņojums (anotācija)</vt:lpstr>
    </vt:vector>
  </TitlesOfParts>
  <Manager>S.Bajāre</Manager>
  <Company>Finanšu ministrija (VNĪ)</Company>
  <LinksUpToDate>false</LinksUpToDate>
  <CharactersWithSpaces>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Jaunā Rīgas teātra ēku Lāčplēša ielā 25, Rīgā, rekonstrukcijas, nomas maksas, pārcelšanās un aprīkojuma iegādes izdevumu segšanai” sākotnējās ietekmes novērtējuma ziņojums (anotācija)</dc:title>
  <dc:subject>Anotācija</dc:subject>
  <dc:creator>I.Zubova</dc:creator>
  <dc:description>ilze.zubova@km.gov.lv
67330258</dc:description>
  <cp:lastModifiedBy>Dzintra Rozīte</cp:lastModifiedBy>
  <cp:revision>62</cp:revision>
  <cp:lastPrinted>2014-07-17T07:51:00Z</cp:lastPrinted>
  <dcterms:created xsi:type="dcterms:W3CDTF">2014-07-10T13:07:00Z</dcterms:created>
  <dcterms:modified xsi:type="dcterms:W3CDTF">2014-07-18T06:06:00Z</dcterms:modified>
  <cp:contentStatus>Projekts</cp:contentStatus>
</cp:coreProperties>
</file>