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22" w:rsidRDefault="007A03E6" w:rsidP="00D40422">
      <w:pPr>
        <w:jc w:val="center"/>
        <w:rPr>
          <w:b/>
          <w:bCs/>
          <w:sz w:val="28"/>
          <w:szCs w:val="28"/>
        </w:rPr>
      </w:pPr>
      <w:bookmarkStart w:id="0" w:name="OLE_LINK1"/>
      <w:bookmarkStart w:id="1" w:name="OLE_LINK2"/>
      <w:r>
        <w:rPr>
          <w:b/>
          <w:bCs/>
          <w:sz w:val="28"/>
          <w:szCs w:val="28"/>
        </w:rPr>
        <w:t>Ministru kabineta r</w:t>
      </w:r>
      <w:r w:rsidR="005744FB">
        <w:rPr>
          <w:b/>
          <w:bCs/>
          <w:sz w:val="28"/>
          <w:szCs w:val="28"/>
        </w:rPr>
        <w:t xml:space="preserve">īkojuma projekta </w:t>
      </w:r>
    </w:p>
    <w:p w:rsidR="00CC1B35" w:rsidRDefault="005744FB" w:rsidP="003D63CB">
      <w:pPr>
        <w:jc w:val="center"/>
        <w:rPr>
          <w:b/>
          <w:sz w:val="28"/>
          <w:szCs w:val="28"/>
        </w:rPr>
      </w:pPr>
      <w:r>
        <w:rPr>
          <w:b/>
          <w:bCs/>
          <w:sz w:val="28"/>
          <w:szCs w:val="28"/>
        </w:rPr>
        <w:t>„</w:t>
      </w:r>
      <w:r w:rsidR="003D63CB">
        <w:rPr>
          <w:b/>
          <w:bCs/>
          <w:sz w:val="28"/>
          <w:szCs w:val="28"/>
        </w:rPr>
        <w:t>Grozījums programmā „Nacionālās un reģionālās nozīmes koncertzāļu tīkla izveide 2007. – 2013.gadam</w:t>
      </w:r>
      <w:r>
        <w:rPr>
          <w:b/>
          <w:bCs/>
          <w:sz w:val="28"/>
          <w:szCs w:val="28"/>
        </w:rPr>
        <w:t>”</w:t>
      </w:r>
      <w:r w:rsidR="00C81AAC">
        <w:rPr>
          <w:b/>
          <w:bCs/>
          <w:sz w:val="28"/>
          <w:szCs w:val="28"/>
        </w:rPr>
        <w:t>”</w:t>
      </w:r>
      <w:r w:rsidR="00A644B8" w:rsidRPr="00A644B8">
        <w:rPr>
          <w:b/>
          <w:bCs/>
          <w:sz w:val="28"/>
          <w:szCs w:val="28"/>
        </w:rPr>
        <w:t xml:space="preserve"> </w:t>
      </w:r>
      <w:r w:rsidR="00C667A4" w:rsidRPr="00C667A4">
        <w:rPr>
          <w:b/>
          <w:sz w:val="28"/>
          <w:szCs w:val="28"/>
        </w:rPr>
        <w:t xml:space="preserve">sākotnējās ietekmes novērtējuma </w:t>
      </w:r>
      <w:smartTag w:uri="schemas-tilde-lv/tildestengine" w:element="veidnes">
        <w:smartTagPr>
          <w:attr w:name="text" w:val="ziņojums"/>
          <w:attr w:name="baseform" w:val="ziņojums"/>
          <w:attr w:name="id" w:val="-1"/>
        </w:smartTagPr>
        <w:r w:rsidR="00C667A4" w:rsidRPr="00C667A4">
          <w:rPr>
            <w:b/>
            <w:sz w:val="28"/>
            <w:szCs w:val="28"/>
          </w:rPr>
          <w:t>ziņojums</w:t>
        </w:r>
      </w:smartTag>
      <w:r w:rsidR="00C667A4" w:rsidRPr="00C667A4">
        <w:rPr>
          <w:b/>
          <w:sz w:val="28"/>
          <w:szCs w:val="28"/>
        </w:rPr>
        <w:t xml:space="preserve"> (anotācija)</w:t>
      </w:r>
    </w:p>
    <w:bookmarkEnd w:id="0"/>
    <w:bookmarkEnd w:id="1"/>
    <w:p w:rsidR="00D40422" w:rsidRDefault="00D40422" w:rsidP="00D40422">
      <w:pPr>
        <w:jc w:val="center"/>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6"/>
        <w:gridCol w:w="2961"/>
        <w:gridCol w:w="5484"/>
      </w:tblGrid>
      <w:tr w:rsidR="00B16A9F" w:rsidRPr="00B16A9F" w:rsidTr="00B16A9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C1B35" w:rsidRDefault="00B16A9F">
            <w:pPr>
              <w:spacing w:before="100" w:beforeAutospacing="1" w:after="100" w:afterAutospacing="1" w:line="360" w:lineRule="auto"/>
              <w:ind w:firstLine="300"/>
              <w:jc w:val="center"/>
              <w:rPr>
                <w:b/>
                <w:bCs/>
                <w:sz w:val="28"/>
                <w:szCs w:val="28"/>
              </w:rPr>
            </w:pPr>
            <w:r w:rsidRPr="00B16A9F">
              <w:rPr>
                <w:b/>
                <w:bCs/>
                <w:sz w:val="28"/>
                <w:szCs w:val="28"/>
              </w:rPr>
              <w:t>I. Tiesību akta projekta izstrādes nepieciešamība</w:t>
            </w:r>
          </w:p>
        </w:tc>
      </w:tr>
      <w:tr w:rsidR="00A642B9" w:rsidRPr="00B16A9F" w:rsidTr="00223439">
        <w:trPr>
          <w:trHeight w:val="405"/>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A642B9" w:rsidRPr="00B16A9F" w:rsidRDefault="00A642B9" w:rsidP="00B16A9F">
            <w:pPr>
              <w:spacing w:before="100" w:beforeAutospacing="1" w:after="100" w:afterAutospacing="1" w:line="360" w:lineRule="auto"/>
              <w:jc w:val="center"/>
              <w:rPr>
                <w:sz w:val="28"/>
                <w:szCs w:val="28"/>
              </w:rPr>
            </w:pPr>
            <w:r w:rsidRPr="00B16A9F">
              <w:rPr>
                <w:sz w:val="28"/>
                <w:szCs w:val="28"/>
              </w:rPr>
              <w:t>1.</w:t>
            </w:r>
          </w:p>
        </w:tc>
        <w:tc>
          <w:tcPr>
            <w:tcW w:w="1600" w:type="pct"/>
            <w:tcBorders>
              <w:top w:val="outset" w:sz="6" w:space="0" w:color="auto"/>
              <w:left w:val="outset" w:sz="6" w:space="0" w:color="auto"/>
              <w:bottom w:val="outset" w:sz="6" w:space="0" w:color="auto"/>
              <w:right w:val="outset" w:sz="6" w:space="0" w:color="auto"/>
            </w:tcBorders>
            <w:hideMark/>
          </w:tcPr>
          <w:p w:rsidR="00A642B9" w:rsidRPr="00B16A9F" w:rsidRDefault="00A642B9">
            <w:pPr>
              <w:rPr>
                <w:sz w:val="28"/>
                <w:szCs w:val="28"/>
              </w:rPr>
            </w:pPr>
            <w:r w:rsidRPr="00B16A9F">
              <w:rPr>
                <w:sz w:val="28"/>
                <w:szCs w:val="28"/>
              </w:rPr>
              <w:t>Pamatojums</w:t>
            </w:r>
          </w:p>
        </w:tc>
        <w:tc>
          <w:tcPr>
            <w:tcW w:w="2936" w:type="pct"/>
            <w:tcBorders>
              <w:top w:val="outset" w:sz="6" w:space="0" w:color="auto"/>
              <w:left w:val="outset" w:sz="6" w:space="0" w:color="auto"/>
              <w:bottom w:val="outset" w:sz="6" w:space="0" w:color="auto"/>
              <w:right w:val="outset" w:sz="6" w:space="0" w:color="auto"/>
            </w:tcBorders>
            <w:hideMark/>
          </w:tcPr>
          <w:p w:rsidR="00A642B9" w:rsidRDefault="00A642B9">
            <w:pPr>
              <w:ind w:firstLine="532"/>
              <w:jc w:val="both"/>
              <w:rPr>
                <w:sz w:val="28"/>
                <w:szCs w:val="28"/>
              </w:rPr>
            </w:pPr>
            <w:r w:rsidRPr="00D40422">
              <w:rPr>
                <w:sz w:val="28"/>
                <w:szCs w:val="28"/>
              </w:rPr>
              <w:t>Ministru kabineta rīkojuma projekt</w:t>
            </w:r>
            <w:r>
              <w:rPr>
                <w:sz w:val="28"/>
                <w:szCs w:val="28"/>
              </w:rPr>
              <w:t>s</w:t>
            </w:r>
            <w:r w:rsidRPr="00D40422">
              <w:rPr>
                <w:sz w:val="28"/>
                <w:szCs w:val="28"/>
              </w:rPr>
              <w:t xml:space="preserve"> „</w:t>
            </w:r>
            <w:r w:rsidR="003D63CB" w:rsidRPr="003D63CB">
              <w:rPr>
                <w:sz w:val="28"/>
                <w:szCs w:val="28"/>
              </w:rPr>
              <w:t>Grozījums programmā „Nacionālās un reģionālās nozīmes koncertzāļu tīkla izveide 2007. – 2013.gadam”</w:t>
            </w:r>
            <w:r w:rsidRPr="00D40422">
              <w:rPr>
                <w:sz w:val="28"/>
                <w:szCs w:val="28"/>
              </w:rPr>
              <w:t>”</w:t>
            </w:r>
            <w:r>
              <w:rPr>
                <w:sz w:val="28"/>
                <w:szCs w:val="28"/>
              </w:rPr>
              <w:t xml:space="preserve"> </w:t>
            </w:r>
            <w:r w:rsidRPr="00B71705">
              <w:rPr>
                <w:sz w:val="28"/>
                <w:szCs w:val="28"/>
              </w:rPr>
              <w:t>(turpmāk – Projekts</w:t>
            </w:r>
            <w:r>
              <w:rPr>
                <w:sz w:val="28"/>
                <w:szCs w:val="28"/>
              </w:rPr>
              <w:t xml:space="preserve">) izstrādāts saskaņā ar </w:t>
            </w:r>
            <w:r w:rsidRPr="008D2557">
              <w:rPr>
                <w:sz w:val="28"/>
                <w:szCs w:val="28"/>
              </w:rPr>
              <w:t xml:space="preserve">Ministru kabineta 2006.gada 15.jūnija </w:t>
            </w:r>
            <w:r w:rsidR="00887498">
              <w:rPr>
                <w:sz w:val="28"/>
                <w:szCs w:val="28"/>
              </w:rPr>
              <w:t>rīkojuma</w:t>
            </w:r>
            <w:r w:rsidRPr="008D2557">
              <w:rPr>
                <w:sz w:val="28"/>
                <w:szCs w:val="28"/>
              </w:rPr>
              <w:t xml:space="preserve"> Nr.435 „</w:t>
            </w:r>
            <w:r w:rsidRPr="008D2557">
              <w:rPr>
                <w:bCs/>
                <w:sz w:val="28"/>
                <w:szCs w:val="28"/>
              </w:rPr>
              <w:t>Par programmu „Nacionālās un reģionālās nozīmes koncertzāļu tīkla izveide 2007.</w:t>
            </w:r>
            <w:r w:rsidR="003D63CB">
              <w:rPr>
                <w:bCs/>
                <w:sz w:val="28"/>
                <w:szCs w:val="28"/>
              </w:rPr>
              <w:t>–</w:t>
            </w:r>
            <w:r w:rsidRPr="008D2557">
              <w:rPr>
                <w:bCs/>
                <w:sz w:val="28"/>
                <w:szCs w:val="28"/>
              </w:rPr>
              <w:t>2013.gadam”</w:t>
            </w:r>
            <w:r>
              <w:rPr>
                <w:bCs/>
                <w:sz w:val="28"/>
                <w:szCs w:val="28"/>
              </w:rPr>
              <w:t>” 3.punktu.</w:t>
            </w:r>
          </w:p>
        </w:tc>
      </w:tr>
      <w:tr w:rsidR="00B16A9F" w:rsidRPr="00B16A9F" w:rsidTr="00B16A9F">
        <w:trPr>
          <w:trHeight w:val="465"/>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CC1B35" w:rsidRDefault="00B16A9F">
            <w:pPr>
              <w:spacing w:before="100" w:beforeAutospacing="1" w:after="100" w:afterAutospacing="1" w:line="360" w:lineRule="auto"/>
              <w:jc w:val="center"/>
              <w:rPr>
                <w:sz w:val="28"/>
                <w:szCs w:val="28"/>
              </w:rPr>
            </w:pPr>
            <w:r w:rsidRPr="00B16A9F">
              <w:rPr>
                <w:sz w:val="28"/>
                <w:szCs w:val="28"/>
              </w:rPr>
              <w:t>2.</w:t>
            </w:r>
          </w:p>
        </w:tc>
        <w:tc>
          <w:tcPr>
            <w:tcW w:w="1600"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sidRPr="00B16A9F">
              <w:rPr>
                <w:sz w:val="28"/>
                <w:szCs w:val="28"/>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CC1B35" w:rsidRDefault="00B16A9F">
            <w:pPr>
              <w:ind w:firstLine="531"/>
              <w:jc w:val="both"/>
            </w:pPr>
            <w:r>
              <w:rPr>
                <w:sz w:val="28"/>
                <w:szCs w:val="28"/>
              </w:rPr>
              <w:t xml:space="preserve">Saskaņā ar </w:t>
            </w:r>
            <w:r w:rsidRPr="008D2557">
              <w:rPr>
                <w:sz w:val="28"/>
                <w:szCs w:val="28"/>
              </w:rPr>
              <w:t xml:space="preserve">Ministru kabineta 2006.gada 15.jūnija </w:t>
            </w:r>
            <w:r>
              <w:rPr>
                <w:sz w:val="28"/>
                <w:szCs w:val="28"/>
              </w:rPr>
              <w:t>rīkojumu</w:t>
            </w:r>
            <w:r w:rsidRPr="008D2557">
              <w:rPr>
                <w:sz w:val="28"/>
                <w:szCs w:val="28"/>
              </w:rPr>
              <w:t xml:space="preserve"> Nr.435 „</w:t>
            </w:r>
            <w:r w:rsidRPr="008D2557">
              <w:rPr>
                <w:bCs/>
                <w:sz w:val="28"/>
                <w:szCs w:val="28"/>
              </w:rPr>
              <w:t>Par programmu „Nacionālās un reģionālās nozīmes koncertzāļu tīkla izveide 2007.</w:t>
            </w:r>
            <w:r>
              <w:rPr>
                <w:bCs/>
                <w:sz w:val="28"/>
                <w:szCs w:val="28"/>
              </w:rPr>
              <w:t xml:space="preserve"> </w:t>
            </w:r>
            <w:r w:rsidRPr="008D2557">
              <w:rPr>
                <w:bCs/>
                <w:sz w:val="28"/>
                <w:szCs w:val="28"/>
              </w:rPr>
              <w:t>– 2013.gadam”</w:t>
            </w:r>
            <w:r>
              <w:rPr>
                <w:bCs/>
                <w:sz w:val="28"/>
                <w:szCs w:val="28"/>
              </w:rPr>
              <w:t>” (turpmāk – MK rīkojums Nr.435) apstiprināto</w:t>
            </w:r>
            <w:r w:rsidRPr="008D2557">
              <w:rPr>
                <w:sz w:val="28"/>
                <w:szCs w:val="28"/>
              </w:rPr>
              <w:t xml:space="preserve"> </w:t>
            </w:r>
            <w:r>
              <w:rPr>
                <w:sz w:val="28"/>
                <w:szCs w:val="28"/>
              </w:rPr>
              <w:t xml:space="preserve">programmu „Nacionālās un reģionālās nozīmes koncertzāļu tīkla izveide 2007.– 2013.gadam” (turpmāk – Programma) Kultūras ministrija kā atbildīgā iestāde ievieš darbības programmas „Infrastruktūra un pakalpojumi” papildinājuma 3.4.3.1.aktivitāti „Nacionālas un reģionālas nozīmes daudzfunkcionālu centru izveide”, kas apstiprināta Ministru kabinetā 2008.gada 2.septembrī ar Ministru kabineta noteikumiem Nr.702 </w:t>
            </w:r>
            <w:r w:rsidRPr="00F10253">
              <w:rPr>
                <w:sz w:val="28"/>
                <w:szCs w:val="28"/>
              </w:rPr>
              <w:t>„</w:t>
            </w:r>
            <w:r w:rsidRPr="00F10253">
              <w:rPr>
                <w:bCs/>
                <w:sz w:val="28"/>
                <w:szCs w:val="28"/>
              </w:rPr>
              <w:t>Not</w:t>
            </w:r>
            <w:r>
              <w:rPr>
                <w:bCs/>
                <w:sz w:val="28"/>
                <w:szCs w:val="28"/>
              </w:rPr>
              <w:t>eikumi par darbības programmas „</w:t>
            </w:r>
            <w:r w:rsidRPr="00F10253">
              <w:rPr>
                <w:bCs/>
                <w:sz w:val="28"/>
                <w:szCs w:val="28"/>
              </w:rPr>
              <w:t>Infrastruktūra un pakalpojumi" papildinājuma 3.4.3.1.aktivitāti "Nacionālas un reģionālas nozīmes daudzfunkcionālu centru izveide</w:t>
            </w:r>
            <w:r>
              <w:rPr>
                <w:bCs/>
                <w:sz w:val="28"/>
                <w:szCs w:val="28"/>
              </w:rPr>
              <w:t>”</w:t>
            </w:r>
            <w:r>
              <w:rPr>
                <w:sz w:val="28"/>
                <w:szCs w:val="28"/>
              </w:rPr>
              <w:t xml:space="preserve">” (turpmāk – aktivitāte). </w:t>
            </w:r>
          </w:p>
          <w:p w:rsidR="00CC1B35" w:rsidRDefault="00B16A9F">
            <w:pPr>
              <w:ind w:left="57" w:right="57" w:firstLine="474"/>
              <w:jc w:val="both"/>
              <w:rPr>
                <w:sz w:val="28"/>
                <w:szCs w:val="28"/>
              </w:rPr>
            </w:pPr>
            <w:r>
              <w:rPr>
                <w:bCs/>
                <w:sz w:val="28"/>
                <w:szCs w:val="28"/>
              </w:rPr>
              <w:t>MK rīkojuma Nr.435</w:t>
            </w:r>
            <w:r>
              <w:rPr>
                <w:sz w:val="28"/>
                <w:szCs w:val="28"/>
              </w:rPr>
              <w:t xml:space="preserve"> 3.punkts nosaka, ka Kultūras ministrijai līdz 2014.gada 1.jūnijam jāiesniedz noteiktā kārtībā Ministru kabinetā noslēguma ziņojums </w:t>
            </w:r>
            <w:r w:rsidR="003D63CB">
              <w:rPr>
                <w:sz w:val="28"/>
                <w:szCs w:val="28"/>
              </w:rPr>
              <w:t>par Programmas īstenošanu 2007.–</w:t>
            </w:r>
            <w:r>
              <w:rPr>
                <w:sz w:val="28"/>
                <w:szCs w:val="28"/>
              </w:rPr>
              <w:t>2013.gadā.</w:t>
            </w:r>
          </w:p>
          <w:p w:rsidR="00CC1B35" w:rsidRDefault="00B16A9F">
            <w:pPr>
              <w:ind w:left="57" w:right="57" w:firstLine="474"/>
              <w:jc w:val="both"/>
              <w:rPr>
                <w:sz w:val="28"/>
                <w:szCs w:val="28"/>
              </w:rPr>
            </w:pPr>
            <w:r>
              <w:rPr>
                <w:sz w:val="28"/>
                <w:szCs w:val="28"/>
              </w:rPr>
              <w:t xml:space="preserve">Aktivitātes ietvaros pilnībā ir īstenots viens no trīs aktivitātes ietvaros </w:t>
            </w:r>
            <w:r>
              <w:rPr>
                <w:sz w:val="28"/>
                <w:szCs w:val="28"/>
              </w:rPr>
              <w:lastRenderedPageBreak/>
              <w:t xml:space="preserve">apstiprinātajiem projektiem – Rēzeknes pilsētas domes projekts </w:t>
            </w:r>
            <w:r w:rsidRPr="00971164">
              <w:rPr>
                <w:sz w:val="28"/>
                <w:szCs w:val="28"/>
              </w:rPr>
              <w:t>„Austrumlatvijas reģionālais daudzfunkcionālais centrs Rēzeknē” (vienošanās Nr.3DP/3.4.3.1.0/09/IPIA/CFLA/01/001)</w:t>
            </w:r>
            <w:r>
              <w:rPr>
                <w:sz w:val="28"/>
                <w:szCs w:val="28"/>
              </w:rPr>
              <w:t>. Cēsu novada domes p</w:t>
            </w:r>
            <w:r w:rsidRPr="00971164">
              <w:rPr>
                <w:sz w:val="28"/>
                <w:szCs w:val="28"/>
              </w:rPr>
              <w:t>rojekt</w:t>
            </w:r>
            <w:r>
              <w:rPr>
                <w:sz w:val="28"/>
                <w:szCs w:val="28"/>
              </w:rPr>
              <w:t>s</w:t>
            </w:r>
            <w:r w:rsidRPr="00971164">
              <w:rPr>
                <w:sz w:val="28"/>
                <w:szCs w:val="28"/>
              </w:rPr>
              <w:t xml:space="preserve"> „Daudzfunkcionālā centra „Vidzemes mūzikas un kultūras centrs” izveide” (vienošanās Nr.3DP/3.4.3.1.0/09/IPIA/CFLA/02/002)</w:t>
            </w:r>
            <w:r>
              <w:rPr>
                <w:sz w:val="28"/>
                <w:szCs w:val="28"/>
              </w:rPr>
              <w:t xml:space="preserve"> ir īstenošanas noslēguma stadijā, bet Liepājas pilsētas domes projekta „</w:t>
            </w:r>
            <w:r w:rsidRPr="0015507B">
              <w:rPr>
                <w:sz w:val="28"/>
                <w:szCs w:val="28"/>
              </w:rPr>
              <w:t>Li</w:t>
            </w:r>
            <w:r>
              <w:rPr>
                <w:sz w:val="28"/>
                <w:szCs w:val="28"/>
              </w:rPr>
              <w:t>epājas daudzfunkcionālā centra „Lielais dzintars”</w:t>
            </w:r>
            <w:r w:rsidRPr="0015507B">
              <w:rPr>
                <w:sz w:val="28"/>
                <w:szCs w:val="28"/>
              </w:rPr>
              <w:t xml:space="preserve"> izveide</w:t>
            </w:r>
            <w:r>
              <w:rPr>
                <w:sz w:val="28"/>
                <w:szCs w:val="28"/>
              </w:rPr>
              <w:t xml:space="preserve">” (vienošanās Nr.3DP/3.4.3.1.0/09/IPIA/CFLA/03) plānotais īstenošanas termiņš ir 2015.gada 30.jūnijs. </w:t>
            </w:r>
          </w:p>
          <w:p w:rsidR="007758B3" w:rsidRDefault="00887498" w:rsidP="007758B3">
            <w:pPr>
              <w:ind w:left="57" w:right="57" w:firstLine="474"/>
              <w:jc w:val="both"/>
              <w:rPr>
                <w:sz w:val="28"/>
                <w:szCs w:val="28"/>
              </w:rPr>
            </w:pPr>
            <w:r>
              <w:rPr>
                <w:sz w:val="28"/>
                <w:szCs w:val="28"/>
              </w:rPr>
              <w:t>Lai kvalitatīvi un pilnīgi</w:t>
            </w:r>
            <w:r w:rsidRPr="007F222A">
              <w:rPr>
                <w:sz w:val="28"/>
                <w:szCs w:val="28"/>
              </w:rPr>
              <w:t xml:space="preserve"> </w:t>
            </w:r>
            <w:r>
              <w:rPr>
                <w:sz w:val="28"/>
                <w:szCs w:val="28"/>
              </w:rPr>
              <w:t>nodrošinātu</w:t>
            </w:r>
            <w:r w:rsidRPr="007F222A">
              <w:rPr>
                <w:sz w:val="28"/>
                <w:szCs w:val="28"/>
              </w:rPr>
              <w:t xml:space="preserve"> </w:t>
            </w:r>
            <w:r>
              <w:rPr>
                <w:bCs/>
                <w:sz w:val="28"/>
                <w:szCs w:val="28"/>
              </w:rPr>
              <w:t>MK rīkojuma Nr.435</w:t>
            </w:r>
            <w:r>
              <w:rPr>
                <w:sz w:val="28"/>
                <w:szCs w:val="28"/>
              </w:rPr>
              <w:t xml:space="preserve"> izpildi</w:t>
            </w:r>
            <w:r w:rsidR="003D63CB">
              <w:rPr>
                <w:sz w:val="28"/>
                <w:szCs w:val="28"/>
              </w:rPr>
              <w:t xml:space="preserve">, nepieciešams precizēt </w:t>
            </w:r>
            <w:r w:rsidR="003D63CB">
              <w:rPr>
                <w:bCs/>
                <w:sz w:val="28"/>
                <w:szCs w:val="28"/>
              </w:rPr>
              <w:t>Programmas 9.sadaļas 3.punktu</w:t>
            </w:r>
            <w:r w:rsidR="003D63CB">
              <w:rPr>
                <w:sz w:val="28"/>
                <w:szCs w:val="28"/>
              </w:rPr>
              <w:t>, nosakot, ka Kultūras ministrija informāciju par Programmas īstenošanas gaitu 2007.–2013.gadā iesniedz noteiktā kārtībā Ministru kabinetā kā noslēguma ziņojumu pēc</w:t>
            </w:r>
            <w:r>
              <w:rPr>
                <w:sz w:val="28"/>
                <w:szCs w:val="28"/>
              </w:rPr>
              <w:t xml:space="preserve"> Programmas īstenošanas līdz 2015.gada 31.jūlijam</w:t>
            </w:r>
            <w:r w:rsidR="00B16A9F">
              <w:rPr>
                <w:sz w:val="28"/>
                <w:szCs w:val="28"/>
              </w:rPr>
              <w:t>.</w:t>
            </w:r>
          </w:p>
          <w:p w:rsidR="00CC1B35" w:rsidRDefault="003D63CB">
            <w:pPr>
              <w:ind w:left="57" w:right="57" w:firstLine="474"/>
              <w:jc w:val="both"/>
              <w:rPr>
                <w:sz w:val="28"/>
                <w:szCs w:val="28"/>
              </w:rPr>
            </w:pPr>
            <w:r>
              <w:rPr>
                <w:sz w:val="28"/>
                <w:szCs w:val="28"/>
              </w:rPr>
              <w:t xml:space="preserve">Projekts paredz precizēt </w:t>
            </w:r>
            <w:r>
              <w:rPr>
                <w:bCs/>
                <w:sz w:val="28"/>
                <w:szCs w:val="28"/>
              </w:rPr>
              <w:t>Programmas 9.sadaļas 3.punktu</w:t>
            </w:r>
            <w:r>
              <w:rPr>
                <w:sz w:val="28"/>
                <w:szCs w:val="28"/>
              </w:rPr>
              <w:t xml:space="preserve">, kurā noteikts, ka Kultūras ministrijai līdz 2014.gada 1.jūnijam jāiesniedz </w:t>
            </w:r>
            <w:r w:rsidRPr="004F52FD">
              <w:rPr>
                <w:sz w:val="28"/>
                <w:szCs w:val="28"/>
              </w:rPr>
              <w:t>noteiktajā</w:t>
            </w:r>
            <w:r>
              <w:rPr>
                <w:sz w:val="28"/>
                <w:szCs w:val="28"/>
              </w:rPr>
              <w:t xml:space="preserve"> kārtībā Mini</w:t>
            </w:r>
            <w:r w:rsidR="00887498">
              <w:rPr>
                <w:sz w:val="28"/>
                <w:szCs w:val="28"/>
              </w:rPr>
              <w:t>stru kabinetā noslēguma ziņojums</w:t>
            </w:r>
            <w:r>
              <w:rPr>
                <w:sz w:val="28"/>
                <w:szCs w:val="28"/>
              </w:rPr>
              <w:t xml:space="preserve"> par Programmas īstenošanu 2007.–2013.gadā</w:t>
            </w:r>
            <w:r w:rsidR="00B16A9F">
              <w:rPr>
                <w:sz w:val="28"/>
                <w:szCs w:val="28"/>
              </w:rPr>
              <w:t>.</w:t>
            </w:r>
          </w:p>
        </w:tc>
      </w:tr>
      <w:tr w:rsidR="00B16A9F" w:rsidRPr="00B16A9F" w:rsidTr="00B16A9F">
        <w:trPr>
          <w:trHeight w:val="465"/>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CC1B35" w:rsidRDefault="00B16A9F">
            <w:pPr>
              <w:spacing w:before="100" w:beforeAutospacing="1" w:after="100" w:afterAutospacing="1" w:line="360" w:lineRule="auto"/>
              <w:jc w:val="center"/>
              <w:rPr>
                <w:sz w:val="28"/>
                <w:szCs w:val="28"/>
              </w:rPr>
            </w:pPr>
            <w:r w:rsidRPr="00B16A9F">
              <w:rPr>
                <w:sz w:val="28"/>
                <w:szCs w:val="28"/>
              </w:rPr>
              <w:lastRenderedPageBreak/>
              <w:t>3.</w:t>
            </w:r>
          </w:p>
        </w:tc>
        <w:tc>
          <w:tcPr>
            <w:tcW w:w="1600"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sidRPr="00B16A9F">
              <w:rPr>
                <w:sz w:val="28"/>
                <w:szCs w:val="28"/>
              </w:rPr>
              <w:t>Projekta izstrādē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CC1B35" w:rsidRDefault="00B16A9F">
            <w:pPr>
              <w:rPr>
                <w:sz w:val="28"/>
                <w:szCs w:val="28"/>
              </w:rPr>
            </w:pPr>
            <w:r>
              <w:rPr>
                <w:sz w:val="28"/>
                <w:szCs w:val="28"/>
              </w:rPr>
              <w:t>Kultūras ministrija.</w:t>
            </w:r>
          </w:p>
        </w:tc>
      </w:tr>
      <w:tr w:rsidR="00B16A9F" w:rsidRPr="00B16A9F" w:rsidTr="00B16A9F">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rsidR="00B16A9F" w:rsidRPr="00B16A9F" w:rsidRDefault="00B16A9F" w:rsidP="00B16A9F">
            <w:pPr>
              <w:spacing w:before="100" w:beforeAutospacing="1" w:after="100" w:afterAutospacing="1" w:line="360" w:lineRule="auto"/>
              <w:jc w:val="center"/>
              <w:rPr>
                <w:sz w:val="28"/>
                <w:szCs w:val="28"/>
              </w:rPr>
            </w:pPr>
            <w:r w:rsidRPr="00B16A9F">
              <w:rPr>
                <w:sz w:val="28"/>
                <w:szCs w:val="28"/>
              </w:rPr>
              <w:t>4.</w:t>
            </w:r>
          </w:p>
        </w:tc>
        <w:tc>
          <w:tcPr>
            <w:tcW w:w="1600" w:type="pct"/>
            <w:tcBorders>
              <w:top w:val="outset" w:sz="6" w:space="0" w:color="auto"/>
              <w:left w:val="outset" w:sz="6" w:space="0" w:color="auto"/>
              <w:bottom w:val="outset" w:sz="6" w:space="0" w:color="auto"/>
              <w:right w:val="outset" w:sz="6" w:space="0" w:color="auto"/>
            </w:tcBorders>
            <w:hideMark/>
          </w:tcPr>
          <w:p w:rsidR="00CC1B35" w:rsidRDefault="00B16A9F">
            <w:pPr>
              <w:rPr>
                <w:sz w:val="28"/>
                <w:szCs w:val="28"/>
              </w:rPr>
            </w:pPr>
            <w:r w:rsidRPr="00B16A9F">
              <w:rPr>
                <w:sz w:val="28"/>
                <w:szCs w:val="28"/>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CC1B35" w:rsidRDefault="00B16A9F">
            <w:pPr>
              <w:spacing w:before="100" w:beforeAutospacing="1" w:after="100" w:afterAutospacing="1" w:line="360" w:lineRule="auto"/>
              <w:rPr>
                <w:sz w:val="28"/>
                <w:szCs w:val="28"/>
              </w:rPr>
            </w:pPr>
            <w:r>
              <w:rPr>
                <w:sz w:val="28"/>
                <w:szCs w:val="28"/>
              </w:rPr>
              <w:t xml:space="preserve"> Nav.</w:t>
            </w:r>
          </w:p>
        </w:tc>
      </w:tr>
    </w:tbl>
    <w:p w:rsidR="00D40422" w:rsidRDefault="00D40422" w:rsidP="00D40422">
      <w:pPr>
        <w:rPr>
          <w:rFonts w:eastAsia="Calibri"/>
          <w:i/>
          <w:sz w:val="28"/>
          <w:szCs w:val="28"/>
        </w:rPr>
      </w:pPr>
    </w:p>
    <w:p w:rsidR="00CC1B35" w:rsidRDefault="00B16A9F">
      <w:pPr>
        <w:rPr>
          <w:rFonts w:eastAsia="Calibri"/>
          <w:i/>
          <w:sz w:val="28"/>
        </w:rPr>
      </w:pPr>
      <w:r>
        <w:rPr>
          <w:rFonts w:eastAsia="Calibri"/>
          <w:i/>
          <w:sz w:val="28"/>
          <w:szCs w:val="28"/>
        </w:rPr>
        <w:t>Anotācijas</w:t>
      </w:r>
      <w:r w:rsidR="00D95027" w:rsidRPr="00D95027">
        <w:rPr>
          <w:rFonts w:eastAsia="Calibri"/>
          <w:i/>
          <w:sz w:val="28"/>
        </w:rPr>
        <w:t xml:space="preserve"> II</w:t>
      </w:r>
      <w:r>
        <w:rPr>
          <w:rFonts w:eastAsia="Calibri"/>
          <w:i/>
          <w:sz w:val="28"/>
          <w:szCs w:val="28"/>
        </w:rPr>
        <w:t>, III,</w:t>
      </w:r>
      <w:r w:rsidR="00D40422">
        <w:rPr>
          <w:i/>
          <w:sz w:val="28"/>
          <w:szCs w:val="28"/>
        </w:rPr>
        <w:t xml:space="preserve">V, </w:t>
      </w:r>
      <w:r w:rsidR="00D40422" w:rsidRPr="00583341">
        <w:rPr>
          <w:rFonts w:eastAsia="Calibri"/>
          <w:i/>
          <w:sz w:val="28"/>
          <w:szCs w:val="28"/>
        </w:rPr>
        <w:t>V</w:t>
      </w:r>
      <w:r w:rsidR="00D40422">
        <w:rPr>
          <w:rFonts w:eastAsia="Calibri"/>
          <w:i/>
          <w:sz w:val="28"/>
          <w:szCs w:val="28"/>
        </w:rPr>
        <w:t>I</w:t>
      </w:r>
      <w:r w:rsidR="00D40422" w:rsidRPr="00583341">
        <w:rPr>
          <w:rFonts w:eastAsia="Calibri"/>
          <w:i/>
          <w:sz w:val="28"/>
          <w:szCs w:val="28"/>
        </w:rPr>
        <w:t xml:space="preserve"> </w:t>
      </w:r>
      <w:r w:rsidR="00D40422">
        <w:rPr>
          <w:i/>
          <w:sz w:val="28"/>
          <w:szCs w:val="28"/>
        </w:rPr>
        <w:t>un</w:t>
      </w:r>
      <w:r w:rsidR="00D95027" w:rsidRPr="00D95027">
        <w:rPr>
          <w:i/>
          <w:sz w:val="28"/>
        </w:rPr>
        <w:t xml:space="preserve"> VII </w:t>
      </w:r>
      <w:r w:rsidR="00D95027" w:rsidRPr="00D95027">
        <w:rPr>
          <w:rFonts w:eastAsia="Calibri"/>
          <w:i/>
          <w:sz w:val="28"/>
        </w:rPr>
        <w:t xml:space="preserve">sadaļa </w:t>
      </w:r>
      <w:r w:rsidR="00D40422" w:rsidRPr="00583341">
        <w:rPr>
          <w:rFonts w:eastAsia="Calibri"/>
          <w:i/>
          <w:sz w:val="28"/>
          <w:szCs w:val="28"/>
        </w:rPr>
        <w:t xml:space="preserve">– </w:t>
      </w:r>
      <w:r w:rsidR="00D40422">
        <w:rPr>
          <w:rFonts w:eastAsia="Calibri"/>
          <w:i/>
          <w:sz w:val="28"/>
          <w:szCs w:val="28"/>
        </w:rPr>
        <w:t>projekts šo jomu neskar</w:t>
      </w:r>
      <w:r w:rsidR="00D40422" w:rsidRPr="00583341">
        <w:rPr>
          <w:rFonts w:eastAsia="Calibri"/>
          <w:i/>
          <w:sz w:val="28"/>
          <w:szCs w:val="28"/>
        </w:rPr>
        <w:t>.</w:t>
      </w:r>
    </w:p>
    <w:p w:rsidR="00CC1B35" w:rsidRDefault="00CC1B35">
      <w:pPr>
        <w:pStyle w:val="naisf"/>
        <w:spacing w:before="0" w:beforeAutospacing="0" w:after="0" w:afterAutospacing="0"/>
        <w:ind w:firstLine="720"/>
        <w:jc w:val="both"/>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4"/>
        <w:gridCol w:w="2977"/>
        <w:gridCol w:w="5460"/>
      </w:tblGrid>
      <w:tr w:rsidR="00B16A9F" w:rsidRPr="00B16A9F" w:rsidTr="00B16A9F">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6A9F" w:rsidRPr="00B16A9F" w:rsidRDefault="00B16A9F">
            <w:pPr>
              <w:spacing w:before="100" w:beforeAutospacing="1" w:after="100" w:afterAutospacing="1" w:line="360" w:lineRule="auto"/>
              <w:ind w:firstLine="300"/>
              <w:jc w:val="center"/>
              <w:rPr>
                <w:b/>
                <w:bCs/>
                <w:sz w:val="28"/>
                <w:szCs w:val="28"/>
              </w:rPr>
            </w:pPr>
            <w:r w:rsidRPr="00B16A9F">
              <w:rPr>
                <w:b/>
                <w:bCs/>
                <w:sz w:val="28"/>
                <w:szCs w:val="28"/>
              </w:rPr>
              <w:t>IV. Tiesību akta projekta ietekme uz spēkā esošo tiesību normu sistēmu</w:t>
            </w:r>
          </w:p>
        </w:tc>
      </w:tr>
      <w:tr w:rsidR="00B16A9F" w:rsidRPr="00B16A9F" w:rsidTr="00B16A9F">
        <w:trPr>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rsidR="00B16A9F" w:rsidRPr="00B16A9F" w:rsidRDefault="00B16A9F" w:rsidP="00B16A9F">
            <w:pPr>
              <w:jc w:val="center"/>
              <w:rPr>
                <w:sz w:val="28"/>
                <w:szCs w:val="28"/>
              </w:rPr>
            </w:pPr>
            <w:r w:rsidRPr="00B16A9F">
              <w:rPr>
                <w:sz w:val="28"/>
                <w:szCs w:val="28"/>
              </w:rPr>
              <w:t>1.</w:t>
            </w:r>
          </w:p>
        </w:tc>
        <w:tc>
          <w:tcPr>
            <w:tcW w:w="1598"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sidRPr="00B16A9F">
              <w:rPr>
                <w:sz w:val="28"/>
                <w:szCs w:val="28"/>
              </w:rPr>
              <w:t>Nepieciešamie saistītie tiesību aktu projekti</w:t>
            </w:r>
          </w:p>
        </w:tc>
        <w:tc>
          <w:tcPr>
            <w:tcW w:w="2936" w:type="pct"/>
            <w:tcBorders>
              <w:top w:val="outset" w:sz="6" w:space="0" w:color="auto"/>
              <w:left w:val="outset" w:sz="6" w:space="0" w:color="auto"/>
              <w:bottom w:val="outset" w:sz="6" w:space="0" w:color="auto"/>
              <w:right w:val="outset" w:sz="6" w:space="0" w:color="auto"/>
            </w:tcBorders>
            <w:hideMark/>
          </w:tcPr>
          <w:p w:rsidR="00B16A9F" w:rsidRPr="003D63CB" w:rsidRDefault="007758B3" w:rsidP="00770B41">
            <w:pPr>
              <w:jc w:val="both"/>
              <w:rPr>
                <w:b/>
                <w:sz w:val="28"/>
              </w:rPr>
            </w:pPr>
            <w:r>
              <w:rPr>
                <w:sz w:val="28"/>
                <w:szCs w:val="28"/>
              </w:rPr>
              <w:t>Projekts tiek virzīts vienlaikus ar</w:t>
            </w:r>
            <w:r w:rsidR="00B16A9F" w:rsidRPr="00680F5E">
              <w:rPr>
                <w:sz w:val="28"/>
                <w:szCs w:val="28"/>
              </w:rPr>
              <w:t xml:space="preserve"> Ministru kabineta r</w:t>
            </w:r>
            <w:r w:rsidR="00B16A9F" w:rsidRPr="003D63CB">
              <w:rPr>
                <w:sz w:val="28"/>
                <w:szCs w:val="28"/>
              </w:rPr>
              <w:t>īkojuma projektu „</w:t>
            </w:r>
            <w:r w:rsidR="003D63CB" w:rsidRPr="003D63CB">
              <w:rPr>
                <w:sz w:val="28"/>
                <w:szCs w:val="28"/>
              </w:rPr>
              <w:t xml:space="preserve">Grozījums </w:t>
            </w:r>
            <w:r w:rsidR="003D63CB" w:rsidRPr="003D63CB">
              <w:rPr>
                <w:sz w:val="28"/>
                <w:szCs w:val="28"/>
              </w:rPr>
              <w:lastRenderedPageBreak/>
              <w:t>Ministru kabineta 2006.gada 15.jūnija rīkojumā</w:t>
            </w:r>
            <w:r w:rsidR="00770B41">
              <w:rPr>
                <w:sz w:val="28"/>
                <w:szCs w:val="28"/>
              </w:rPr>
              <w:t xml:space="preserve"> </w:t>
            </w:r>
            <w:r w:rsidR="003D63CB" w:rsidRPr="003D63CB">
              <w:rPr>
                <w:sz w:val="28"/>
                <w:szCs w:val="28"/>
              </w:rPr>
              <w:t>Nr.435 „Par programmu „Nacionālās un reģionālās nozīmes ko</w:t>
            </w:r>
            <w:r w:rsidR="003D63CB">
              <w:rPr>
                <w:sz w:val="28"/>
                <w:szCs w:val="28"/>
              </w:rPr>
              <w:t>ncertzāļu tīkla izveide 2007.–</w:t>
            </w:r>
            <w:r w:rsidR="003D63CB" w:rsidRPr="003D63CB">
              <w:rPr>
                <w:sz w:val="28"/>
                <w:szCs w:val="28"/>
              </w:rPr>
              <w:t>2013.gadam””</w:t>
            </w:r>
            <w:r w:rsidR="00B16A9F" w:rsidRPr="003D63CB">
              <w:rPr>
                <w:sz w:val="28"/>
                <w:szCs w:val="28"/>
              </w:rPr>
              <w:t xml:space="preserve">, kas paredz attiecīgi precizēt </w:t>
            </w:r>
            <w:r w:rsidR="003D63CB" w:rsidRPr="003D63CB">
              <w:rPr>
                <w:sz w:val="28"/>
                <w:szCs w:val="28"/>
              </w:rPr>
              <w:t xml:space="preserve">MK rīkojuma Nr.435 </w:t>
            </w:r>
            <w:r w:rsidR="00B16A9F" w:rsidRPr="003D63CB">
              <w:rPr>
                <w:sz w:val="28"/>
                <w:szCs w:val="28"/>
              </w:rPr>
              <w:t>3.punktu.</w:t>
            </w:r>
          </w:p>
        </w:tc>
      </w:tr>
      <w:tr w:rsidR="00B16A9F" w:rsidRPr="00B16A9F" w:rsidTr="00B16A9F">
        <w:trPr>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rsidR="00B16A9F" w:rsidRPr="00B16A9F" w:rsidRDefault="00B16A9F" w:rsidP="00B16A9F">
            <w:pPr>
              <w:jc w:val="center"/>
              <w:rPr>
                <w:sz w:val="28"/>
                <w:szCs w:val="28"/>
              </w:rPr>
            </w:pPr>
            <w:r w:rsidRPr="00B16A9F">
              <w:rPr>
                <w:sz w:val="28"/>
                <w:szCs w:val="28"/>
              </w:rPr>
              <w:lastRenderedPageBreak/>
              <w:t>2.</w:t>
            </w:r>
          </w:p>
        </w:tc>
        <w:tc>
          <w:tcPr>
            <w:tcW w:w="1598"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sidRPr="00B16A9F">
              <w:rPr>
                <w:sz w:val="28"/>
                <w:szCs w:val="28"/>
              </w:rPr>
              <w:t>Atbildīgā institūcija</w:t>
            </w:r>
          </w:p>
        </w:tc>
        <w:tc>
          <w:tcPr>
            <w:tcW w:w="2936"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Pr>
                <w:sz w:val="28"/>
                <w:szCs w:val="28"/>
              </w:rPr>
              <w:t>Kultūras ministrija</w:t>
            </w:r>
          </w:p>
        </w:tc>
      </w:tr>
      <w:tr w:rsidR="00B16A9F" w:rsidRPr="00B16A9F" w:rsidTr="003D63CB">
        <w:trPr>
          <w:trHeight w:val="333"/>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rsidR="00B16A9F" w:rsidRPr="00B16A9F" w:rsidRDefault="00B16A9F" w:rsidP="00B16A9F">
            <w:pPr>
              <w:jc w:val="center"/>
              <w:rPr>
                <w:sz w:val="28"/>
                <w:szCs w:val="28"/>
              </w:rPr>
            </w:pPr>
            <w:r w:rsidRPr="00B16A9F">
              <w:rPr>
                <w:sz w:val="28"/>
                <w:szCs w:val="28"/>
              </w:rPr>
              <w:t>3.</w:t>
            </w:r>
          </w:p>
        </w:tc>
        <w:tc>
          <w:tcPr>
            <w:tcW w:w="1598" w:type="pct"/>
            <w:tcBorders>
              <w:top w:val="outset" w:sz="6" w:space="0" w:color="auto"/>
              <w:left w:val="outset" w:sz="6" w:space="0" w:color="auto"/>
              <w:bottom w:val="outset" w:sz="6" w:space="0" w:color="auto"/>
              <w:right w:val="outset" w:sz="6" w:space="0" w:color="auto"/>
            </w:tcBorders>
            <w:hideMark/>
          </w:tcPr>
          <w:p w:rsidR="00B16A9F" w:rsidRPr="00B16A9F" w:rsidRDefault="00B16A9F">
            <w:pPr>
              <w:rPr>
                <w:sz w:val="28"/>
                <w:szCs w:val="28"/>
              </w:rPr>
            </w:pPr>
            <w:r w:rsidRPr="00B16A9F">
              <w:rPr>
                <w:sz w:val="28"/>
                <w:szCs w:val="28"/>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B16A9F" w:rsidRPr="00B16A9F" w:rsidRDefault="00B16A9F" w:rsidP="00B16A9F">
            <w:pPr>
              <w:spacing w:before="100" w:beforeAutospacing="1" w:after="100" w:afterAutospacing="1" w:line="360" w:lineRule="auto"/>
              <w:rPr>
                <w:sz w:val="28"/>
                <w:szCs w:val="28"/>
              </w:rPr>
            </w:pPr>
            <w:r>
              <w:rPr>
                <w:sz w:val="28"/>
                <w:szCs w:val="28"/>
              </w:rPr>
              <w:t>Nav.</w:t>
            </w:r>
          </w:p>
        </w:tc>
      </w:tr>
    </w:tbl>
    <w:p w:rsidR="00C667A4" w:rsidRDefault="00C667A4" w:rsidP="00D40422">
      <w:pPr>
        <w:pStyle w:val="naisf"/>
        <w:spacing w:before="0" w:beforeAutospacing="0" w:after="0" w:afterAutospacing="0"/>
        <w:ind w:firstLine="720"/>
        <w:jc w:val="both"/>
        <w:rPr>
          <w:sz w:val="28"/>
          <w:szCs w:val="28"/>
        </w:rPr>
      </w:pPr>
    </w:p>
    <w:p w:rsidR="00C667A4" w:rsidRPr="00F03BF3" w:rsidRDefault="00C667A4" w:rsidP="00D40422">
      <w:pPr>
        <w:pStyle w:val="naisf"/>
        <w:spacing w:before="0" w:beforeAutospacing="0" w:after="0" w:afterAutospacing="0"/>
        <w:ind w:firstLine="720"/>
        <w:jc w:val="both"/>
        <w:rPr>
          <w:sz w:val="28"/>
          <w:szCs w:val="28"/>
        </w:rPr>
      </w:pPr>
    </w:p>
    <w:p w:rsidR="00D40422" w:rsidRPr="003570D8" w:rsidRDefault="00D40422" w:rsidP="00D40422">
      <w:pPr>
        <w:ind w:left="284"/>
        <w:rPr>
          <w:bCs/>
          <w:sz w:val="28"/>
          <w:szCs w:val="28"/>
        </w:rPr>
      </w:pPr>
      <w:r w:rsidRPr="003570D8">
        <w:rPr>
          <w:bCs/>
          <w:sz w:val="28"/>
          <w:szCs w:val="28"/>
        </w:rPr>
        <w:t>Kultūras ministre</w:t>
      </w:r>
      <w:r w:rsidRPr="003570D8">
        <w:rPr>
          <w:bCs/>
          <w:sz w:val="28"/>
          <w:szCs w:val="28"/>
        </w:rPr>
        <w:tab/>
      </w:r>
      <w:r w:rsidRPr="003570D8">
        <w:rPr>
          <w:bCs/>
          <w:sz w:val="28"/>
          <w:szCs w:val="28"/>
        </w:rPr>
        <w:tab/>
      </w:r>
      <w:r w:rsidRPr="003570D8">
        <w:rPr>
          <w:bCs/>
          <w:sz w:val="28"/>
          <w:szCs w:val="28"/>
        </w:rPr>
        <w:tab/>
      </w:r>
      <w:r w:rsidRPr="003570D8">
        <w:rPr>
          <w:bCs/>
          <w:sz w:val="28"/>
          <w:szCs w:val="28"/>
        </w:rPr>
        <w:tab/>
      </w:r>
      <w:r w:rsidRPr="003570D8">
        <w:rPr>
          <w:bCs/>
          <w:sz w:val="28"/>
          <w:szCs w:val="28"/>
        </w:rPr>
        <w:tab/>
      </w:r>
      <w:r w:rsidRPr="003570D8">
        <w:rPr>
          <w:bCs/>
          <w:sz w:val="28"/>
          <w:szCs w:val="28"/>
        </w:rPr>
        <w:tab/>
        <w:t>D.Melbārde</w:t>
      </w:r>
    </w:p>
    <w:p w:rsidR="00D40422" w:rsidRPr="003570D8" w:rsidRDefault="00D40422" w:rsidP="00D40422">
      <w:pPr>
        <w:ind w:left="284"/>
        <w:rPr>
          <w:bCs/>
          <w:sz w:val="28"/>
          <w:szCs w:val="28"/>
        </w:rPr>
      </w:pPr>
    </w:p>
    <w:p w:rsidR="00CC1B35" w:rsidRDefault="00D40422">
      <w:pPr>
        <w:ind w:left="284"/>
        <w:rPr>
          <w:bCs/>
          <w:sz w:val="28"/>
          <w:szCs w:val="28"/>
        </w:rPr>
      </w:pPr>
      <w:r w:rsidRPr="003570D8">
        <w:rPr>
          <w:bCs/>
          <w:sz w:val="28"/>
          <w:szCs w:val="28"/>
        </w:rPr>
        <w:t>Vīza: Valsts sekretār</w:t>
      </w:r>
      <w:r>
        <w:rPr>
          <w:bCs/>
          <w:sz w:val="28"/>
          <w:szCs w:val="28"/>
        </w:rPr>
        <w:t>a p.i.</w:t>
      </w:r>
      <w:r>
        <w:rPr>
          <w:bCs/>
          <w:sz w:val="28"/>
          <w:szCs w:val="28"/>
        </w:rPr>
        <w:tab/>
      </w:r>
      <w:r>
        <w:rPr>
          <w:bCs/>
          <w:sz w:val="28"/>
          <w:szCs w:val="28"/>
        </w:rPr>
        <w:tab/>
      </w:r>
      <w:r>
        <w:rPr>
          <w:bCs/>
          <w:sz w:val="28"/>
          <w:szCs w:val="28"/>
        </w:rPr>
        <w:tab/>
      </w:r>
      <w:r>
        <w:rPr>
          <w:bCs/>
          <w:sz w:val="28"/>
          <w:szCs w:val="28"/>
        </w:rPr>
        <w:tab/>
      </w:r>
      <w:r>
        <w:rPr>
          <w:bCs/>
          <w:sz w:val="28"/>
          <w:szCs w:val="28"/>
        </w:rPr>
        <w:tab/>
      </w:r>
      <w:r w:rsidR="00233C03">
        <w:rPr>
          <w:bCs/>
          <w:sz w:val="28"/>
          <w:szCs w:val="28"/>
        </w:rPr>
        <w:t>U.Lielpēters</w:t>
      </w:r>
    </w:p>
    <w:p w:rsidR="00781A6D" w:rsidRDefault="00781A6D" w:rsidP="00D40422">
      <w:pPr>
        <w:rPr>
          <w:sz w:val="20"/>
          <w:szCs w:val="20"/>
        </w:rPr>
      </w:pPr>
    </w:p>
    <w:p w:rsidR="008F41BA" w:rsidRDefault="008F41BA" w:rsidP="00D40422">
      <w:pPr>
        <w:rPr>
          <w:sz w:val="20"/>
          <w:szCs w:val="20"/>
        </w:rPr>
      </w:pPr>
    </w:p>
    <w:p w:rsidR="008F41BA" w:rsidRDefault="008F41BA" w:rsidP="00D40422">
      <w:pPr>
        <w:rPr>
          <w:sz w:val="20"/>
          <w:szCs w:val="20"/>
        </w:rPr>
      </w:pPr>
    </w:p>
    <w:p w:rsidR="008F41BA" w:rsidRDefault="008F41BA" w:rsidP="00D40422">
      <w:pPr>
        <w:rPr>
          <w:sz w:val="20"/>
          <w:szCs w:val="20"/>
        </w:rPr>
      </w:pPr>
    </w:p>
    <w:p w:rsidR="008F41BA" w:rsidRDefault="008F41BA" w:rsidP="00D40422">
      <w:pPr>
        <w:rPr>
          <w:sz w:val="20"/>
          <w:szCs w:val="20"/>
        </w:rPr>
      </w:pPr>
    </w:p>
    <w:p w:rsidR="008F41BA" w:rsidRDefault="008F41BA" w:rsidP="00D40422">
      <w:pPr>
        <w:rPr>
          <w:sz w:val="20"/>
          <w:szCs w:val="20"/>
        </w:rPr>
      </w:pPr>
    </w:p>
    <w:p w:rsidR="00C667A4" w:rsidRDefault="00C667A4" w:rsidP="00D40422">
      <w:pPr>
        <w:rPr>
          <w:sz w:val="20"/>
          <w:szCs w:val="20"/>
        </w:rPr>
      </w:pPr>
    </w:p>
    <w:p w:rsidR="00C667A4" w:rsidRDefault="00C667A4" w:rsidP="00D40422">
      <w:pPr>
        <w:rPr>
          <w:sz w:val="20"/>
          <w:szCs w:val="20"/>
        </w:rPr>
      </w:pPr>
    </w:p>
    <w:p w:rsidR="007758B3" w:rsidRDefault="007758B3" w:rsidP="00D40422">
      <w:pPr>
        <w:rPr>
          <w:sz w:val="20"/>
          <w:szCs w:val="20"/>
        </w:rPr>
      </w:pPr>
    </w:p>
    <w:p w:rsidR="007758B3" w:rsidRDefault="007758B3" w:rsidP="00D40422">
      <w:pPr>
        <w:rPr>
          <w:sz w:val="20"/>
          <w:szCs w:val="20"/>
        </w:rPr>
      </w:pPr>
    </w:p>
    <w:p w:rsidR="007758B3" w:rsidRDefault="007758B3" w:rsidP="00D40422">
      <w:pPr>
        <w:rPr>
          <w:sz w:val="20"/>
          <w:szCs w:val="20"/>
        </w:rPr>
      </w:pPr>
    </w:p>
    <w:p w:rsidR="00C667A4" w:rsidRDefault="00C667A4" w:rsidP="00D40422">
      <w:pPr>
        <w:rPr>
          <w:sz w:val="20"/>
          <w:szCs w:val="20"/>
        </w:rPr>
      </w:pPr>
    </w:p>
    <w:p w:rsidR="005C763B" w:rsidRPr="005C763B" w:rsidRDefault="001724EB" w:rsidP="005C763B">
      <w:pPr>
        <w:rPr>
          <w:sz w:val="22"/>
        </w:rPr>
      </w:pPr>
      <w:r>
        <w:rPr>
          <w:bCs/>
          <w:sz w:val="22"/>
          <w:szCs w:val="22"/>
        </w:rPr>
        <w:t>18.07</w:t>
      </w:r>
      <w:r w:rsidR="00D95027" w:rsidRPr="00D95027">
        <w:rPr>
          <w:sz w:val="22"/>
        </w:rPr>
        <w:t xml:space="preserve">.2014. </w:t>
      </w:r>
      <w:r w:rsidR="005A4E44">
        <w:rPr>
          <w:bCs/>
          <w:sz w:val="22"/>
          <w:szCs w:val="22"/>
        </w:rPr>
        <w:t>10:45</w:t>
      </w:r>
    </w:p>
    <w:p w:rsidR="005C763B" w:rsidRPr="005C763B" w:rsidRDefault="007758B3" w:rsidP="005C763B">
      <w:pPr>
        <w:rPr>
          <w:bCs/>
          <w:sz w:val="22"/>
          <w:szCs w:val="22"/>
        </w:rPr>
      </w:pPr>
      <w:r>
        <w:rPr>
          <w:bCs/>
          <w:sz w:val="22"/>
          <w:szCs w:val="22"/>
        </w:rPr>
        <w:t>41</w:t>
      </w:r>
      <w:r w:rsidR="00887498">
        <w:rPr>
          <w:bCs/>
          <w:sz w:val="22"/>
          <w:szCs w:val="22"/>
        </w:rPr>
        <w:t>2</w:t>
      </w:r>
    </w:p>
    <w:p w:rsidR="005C763B" w:rsidRPr="005C763B" w:rsidRDefault="00D95027" w:rsidP="005C763B">
      <w:pPr>
        <w:rPr>
          <w:sz w:val="22"/>
        </w:rPr>
      </w:pPr>
      <w:bookmarkStart w:id="2" w:name="OLE_LINK3"/>
      <w:bookmarkStart w:id="3" w:name="OLE_LINK4"/>
      <w:r w:rsidRPr="00D95027">
        <w:rPr>
          <w:sz w:val="22"/>
        </w:rPr>
        <w:t>A.Beriņa</w:t>
      </w:r>
    </w:p>
    <w:p w:rsidR="005C763B" w:rsidRPr="005C763B" w:rsidRDefault="00D95027" w:rsidP="005C763B">
      <w:pPr>
        <w:rPr>
          <w:sz w:val="22"/>
        </w:rPr>
      </w:pPr>
      <w:bookmarkStart w:id="4" w:name="OLE_LINK5"/>
      <w:bookmarkStart w:id="5" w:name="OLE_LINK6"/>
      <w:bookmarkEnd w:id="2"/>
      <w:bookmarkEnd w:id="3"/>
      <w:r w:rsidRPr="00D95027">
        <w:rPr>
          <w:sz w:val="22"/>
        </w:rPr>
        <w:t xml:space="preserve">67330226; </w:t>
      </w:r>
      <w:hyperlink r:id="rId7" w:history="1">
        <w:r w:rsidR="005C763B" w:rsidRPr="005C763B">
          <w:rPr>
            <w:rStyle w:val="Hipersaite"/>
            <w:bCs/>
            <w:sz w:val="22"/>
            <w:szCs w:val="22"/>
          </w:rPr>
          <w:t>Anete.Berina</w:t>
        </w:r>
        <w:r w:rsidRPr="00D95027">
          <w:rPr>
            <w:rStyle w:val="Hipersaite"/>
            <w:sz w:val="22"/>
          </w:rPr>
          <w:t>@km.gov.lv</w:t>
        </w:r>
      </w:hyperlink>
    </w:p>
    <w:bookmarkEnd w:id="4"/>
    <w:bookmarkEnd w:id="5"/>
    <w:p w:rsidR="00A644B8" w:rsidRPr="00A644B8" w:rsidRDefault="00A644B8" w:rsidP="00D40422">
      <w:pPr>
        <w:rPr>
          <w:sz w:val="20"/>
          <w:szCs w:val="20"/>
        </w:rPr>
      </w:pPr>
    </w:p>
    <w:sectPr w:rsidR="00A644B8" w:rsidRPr="00A644B8" w:rsidSect="00D40422">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39" w:rsidRDefault="00223439">
      <w:r>
        <w:separator/>
      </w:r>
    </w:p>
  </w:endnote>
  <w:endnote w:type="continuationSeparator" w:id="0">
    <w:p w:rsidR="00223439" w:rsidRDefault="0022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39" w:rsidRPr="00770B41" w:rsidRDefault="00223439" w:rsidP="00770B41">
    <w:pPr>
      <w:jc w:val="both"/>
      <w:rPr>
        <w:sz w:val="22"/>
      </w:rPr>
    </w:pPr>
    <w:r w:rsidRPr="00D95027">
      <w:rPr>
        <w:sz w:val="22"/>
      </w:rPr>
      <w:t>KMAnot_</w:t>
    </w:r>
    <w:r>
      <w:rPr>
        <w:sz w:val="22"/>
        <w:szCs w:val="22"/>
      </w:rPr>
      <w:t>1807</w:t>
    </w:r>
    <w:r w:rsidR="001724EB">
      <w:rPr>
        <w:sz w:val="22"/>
        <w:szCs w:val="22"/>
      </w:rPr>
      <w:t>2014</w:t>
    </w:r>
    <w:r w:rsidRPr="00D40422">
      <w:rPr>
        <w:sz w:val="22"/>
        <w:szCs w:val="22"/>
      </w:rPr>
      <w:t>_groz</w:t>
    </w:r>
    <w:r w:rsidRPr="00D95027">
      <w:rPr>
        <w:sz w:val="22"/>
      </w:rPr>
      <w:t>_koncertz_</w:t>
    </w:r>
    <w:r>
      <w:rPr>
        <w:sz w:val="22"/>
      </w:rPr>
      <w:t>programma</w:t>
    </w:r>
    <w:r w:rsidRPr="00D95027">
      <w:rPr>
        <w:sz w:val="22"/>
      </w:rPr>
      <w:t xml:space="preserve">; </w:t>
    </w:r>
    <w:r w:rsidRPr="00770B41">
      <w:rPr>
        <w:sz w:val="22"/>
      </w:rPr>
      <w:t xml:space="preserve">Ministru kabineta rīkojuma projekta „Grozījums programmā „Nacionālās un reģionālās nozīmes koncertzāļu tīkla izveide 2007. – 2013.gadam”” sākotnējās ietekmes novērtējuma </w:t>
    </w:r>
    <w:smartTag w:uri="schemas-tilde-lv/tildestengine" w:element="veidnes">
      <w:smartTagPr>
        <w:attr w:name="text" w:val="ziņojums"/>
        <w:attr w:name="baseform" w:val="ziņojums"/>
        <w:attr w:name="id" w:val="-1"/>
      </w:smartTagPr>
      <w:r w:rsidRPr="00770B41">
        <w:rPr>
          <w:sz w:val="22"/>
        </w:rPr>
        <w:t>ziņojums</w:t>
      </w:r>
    </w:smartTag>
    <w:r w:rsidRPr="00770B41">
      <w:rPr>
        <w:sz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39" w:rsidRDefault="00223439">
    <w:pPr>
      <w:jc w:val="both"/>
      <w:rPr>
        <w:sz w:val="22"/>
      </w:rPr>
    </w:pPr>
    <w:r w:rsidRPr="00D95027">
      <w:rPr>
        <w:sz w:val="22"/>
      </w:rPr>
      <w:t>KMAnot_</w:t>
    </w:r>
    <w:r>
      <w:rPr>
        <w:sz w:val="22"/>
        <w:szCs w:val="22"/>
      </w:rPr>
      <w:t>1807</w:t>
    </w:r>
    <w:r w:rsidR="001724EB">
      <w:rPr>
        <w:sz w:val="22"/>
        <w:szCs w:val="22"/>
      </w:rPr>
      <w:t>20</w:t>
    </w:r>
    <w:r w:rsidRPr="00D40422">
      <w:rPr>
        <w:sz w:val="22"/>
        <w:szCs w:val="22"/>
      </w:rPr>
      <w:t>14_groz</w:t>
    </w:r>
    <w:r w:rsidRPr="00D95027">
      <w:rPr>
        <w:sz w:val="22"/>
      </w:rPr>
      <w:t>_koncertz_</w:t>
    </w:r>
    <w:r>
      <w:rPr>
        <w:sz w:val="22"/>
      </w:rPr>
      <w:t>programma</w:t>
    </w:r>
    <w:r w:rsidRPr="00D95027">
      <w:rPr>
        <w:sz w:val="22"/>
      </w:rPr>
      <w:t xml:space="preserve">; </w:t>
    </w:r>
    <w:r w:rsidRPr="00770B41">
      <w:rPr>
        <w:sz w:val="22"/>
      </w:rPr>
      <w:t xml:space="preserve">Ministru kabineta rīkojuma projekta „Grozījums programmā „Nacionālās un reģionālās nozīmes koncertzāļu tīkla izveide 2007. – 2013.gadam”” sākotnējās ietekmes novērtējuma </w:t>
    </w:r>
    <w:smartTag w:uri="schemas-tilde-lv/tildestengine" w:element="veidnes">
      <w:smartTagPr>
        <w:attr w:name="text" w:val="ziņojums"/>
        <w:attr w:name="baseform" w:val="ziņojums"/>
        <w:attr w:name="id" w:val="-1"/>
      </w:smartTagPr>
      <w:r w:rsidRPr="00770B41">
        <w:rPr>
          <w:sz w:val="22"/>
        </w:rPr>
        <w:t>ziņojums</w:t>
      </w:r>
    </w:smartTag>
    <w:r w:rsidRPr="00770B41">
      <w:rPr>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39" w:rsidRDefault="00223439">
      <w:r>
        <w:separator/>
      </w:r>
    </w:p>
  </w:footnote>
  <w:footnote w:type="continuationSeparator" w:id="0">
    <w:p w:rsidR="00223439" w:rsidRDefault="00223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39" w:rsidRDefault="002D4464" w:rsidP="004E28B1">
    <w:pPr>
      <w:pStyle w:val="Galvene"/>
      <w:framePr w:wrap="around" w:vAnchor="text" w:hAnchor="margin" w:xAlign="center" w:y="1"/>
      <w:rPr>
        <w:rStyle w:val="Lappusesnumurs"/>
      </w:rPr>
    </w:pPr>
    <w:r>
      <w:rPr>
        <w:rStyle w:val="Lappusesnumurs"/>
      </w:rPr>
      <w:fldChar w:fldCharType="begin"/>
    </w:r>
    <w:r w:rsidR="00223439">
      <w:rPr>
        <w:rStyle w:val="Lappusesnumurs"/>
      </w:rPr>
      <w:instrText xml:space="preserve">PAGE  </w:instrText>
    </w:r>
    <w:r>
      <w:rPr>
        <w:rStyle w:val="Lappusesnumurs"/>
      </w:rPr>
      <w:fldChar w:fldCharType="end"/>
    </w:r>
  </w:p>
  <w:p w:rsidR="00223439" w:rsidRDefault="0022343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39" w:rsidRPr="00D40422" w:rsidRDefault="002D4464" w:rsidP="004E28B1">
    <w:pPr>
      <w:pStyle w:val="Galvene"/>
      <w:framePr w:wrap="around" w:vAnchor="text" w:hAnchor="margin" w:xAlign="center" w:y="1"/>
      <w:rPr>
        <w:rStyle w:val="Lappusesnumurs"/>
        <w:sz w:val="22"/>
      </w:rPr>
    </w:pPr>
    <w:r w:rsidRPr="00D95027">
      <w:rPr>
        <w:rStyle w:val="Lappusesnumurs"/>
        <w:sz w:val="22"/>
      </w:rPr>
      <w:fldChar w:fldCharType="begin"/>
    </w:r>
    <w:r w:rsidR="00223439" w:rsidRPr="00D95027">
      <w:rPr>
        <w:rStyle w:val="Lappusesnumurs"/>
        <w:sz w:val="22"/>
      </w:rPr>
      <w:instrText xml:space="preserve">PAGE  </w:instrText>
    </w:r>
    <w:r w:rsidRPr="00D95027">
      <w:rPr>
        <w:rStyle w:val="Lappusesnumurs"/>
        <w:sz w:val="22"/>
      </w:rPr>
      <w:fldChar w:fldCharType="separate"/>
    </w:r>
    <w:r w:rsidR="00CB6F24">
      <w:rPr>
        <w:rStyle w:val="Lappusesnumurs"/>
        <w:noProof/>
        <w:sz w:val="22"/>
      </w:rPr>
      <w:t>2</w:t>
    </w:r>
    <w:r w:rsidRPr="00D95027">
      <w:rPr>
        <w:rStyle w:val="Lappusesnumurs"/>
        <w:sz w:val="22"/>
      </w:rPr>
      <w:fldChar w:fldCharType="end"/>
    </w:r>
  </w:p>
  <w:p w:rsidR="00223439" w:rsidRDefault="0022343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59E9"/>
    <w:rsid w:val="000011D1"/>
    <w:rsid w:val="00011FD8"/>
    <w:rsid w:val="00012581"/>
    <w:rsid w:val="00023490"/>
    <w:rsid w:val="00032CE9"/>
    <w:rsid w:val="0009176A"/>
    <w:rsid w:val="000A7458"/>
    <w:rsid w:val="000B0B11"/>
    <w:rsid w:val="000B2DFC"/>
    <w:rsid w:val="000B3D8B"/>
    <w:rsid w:val="000C0B4A"/>
    <w:rsid w:val="000D2AD7"/>
    <w:rsid w:val="000E3C08"/>
    <w:rsid w:val="000E5BCE"/>
    <w:rsid w:val="000F1B5A"/>
    <w:rsid w:val="00104236"/>
    <w:rsid w:val="00122820"/>
    <w:rsid w:val="0013512B"/>
    <w:rsid w:val="00136298"/>
    <w:rsid w:val="001526B4"/>
    <w:rsid w:val="00152DDD"/>
    <w:rsid w:val="0015553E"/>
    <w:rsid w:val="001650F0"/>
    <w:rsid w:val="001724EB"/>
    <w:rsid w:val="001861E7"/>
    <w:rsid w:val="001975B7"/>
    <w:rsid w:val="001A06FA"/>
    <w:rsid w:val="001C22BE"/>
    <w:rsid w:val="001C6182"/>
    <w:rsid w:val="001E00FB"/>
    <w:rsid w:val="001E24AF"/>
    <w:rsid w:val="001E64A3"/>
    <w:rsid w:val="00202FE9"/>
    <w:rsid w:val="00223439"/>
    <w:rsid w:val="0022724D"/>
    <w:rsid w:val="00233C03"/>
    <w:rsid w:val="002605D5"/>
    <w:rsid w:val="00280094"/>
    <w:rsid w:val="00292CAD"/>
    <w:rsid w:val="00294672"/>
    <w:rsid w:val="002956FF"/>
    <w:rsid w:val="002A2F09"/>
    <w:rsid w:val="002B488B"/>
    <w:rsid w:val="002B6095"/>
    <w:rsid w:val="002C488F"/>
    <w:rsid w:val="002D42AC"/>
    <w:rsid w:val="002D4464"/>
    <w:rsid w:val="002D5607"/>
    <w:rsid w:val="002D7CCE"/>
    <w:rsid w:val="002E2C87"/>
    <w:rsid w:val="002E37D2"/>
    <w:rsid w:val="00304418"/>
    <w:rsid w:val="00313EBA"/>
    <w:rsid w:val="00314791"/>
    <w:rsid w:val="003359E9"/>
    <w:rsid w:val="00394087"/>
    <w:rsid w:val="003951A1"/>
    <w:rsid w:val="003A6904"/>
    <w:rsid w:val="003B3BFD"/>
    <w:rsid w:val="003B7390"/>
    <w:rsid w:val="003C257A"/>
    <w:rsid w:val="003C2B71"/>
    <w:rsid w:val="003C5581"/>
    <w:rsid w:val="003D63CB"/>
    <w:rsid w:val="003D6E1A"/>
    <w:rsid w:val="003E5CE1"/>
    <w:rsid w:val="004159ED"/>
    <w:rsid w:val="00423D65"/>
    <w:rsid w:val="00431D55"/>
    <w:rsid w:val="0044308D"/>
    <w:rsid w:val="004511C6"/>
    <w:rsid w:val="0045419C"/>
    <w:rsid w:val="00454418"/>
    <w:rsid w:val="00460BFA"/>
    <w:rsid w:val="004746BE"/>
    <w:rsid w:val="004762B1"/>
    <w:rsid w:val="004805DA"/>
    <w:rsid w:val="004A7559"/>
    <w:rsid w:val="004B0F89"/>
    <w:rsid w:val="004D16E8"/>
    <w:rsid w:val="004D5AA2"/>
    <w:rsid w:val="004E28B1"/>
    <w:rsid w:val="00500529"/>
    <w:rsid w:val="0053437C"/>
    <w:rsid w:val="005430D1"/>
    <w:rsid w:val="00564065"/>
    <w:rsid w:val="005744FB"/>
    <w:rsid w:val="0057761A"/>
    <w:rsid w:val="00590E8F"/>
    <w:rsid w:val="005A0F15"/>
    <w:rsid w:val="005A2C4D"/>
    <w:rsid w:val="005A4E44"/>
    <w:rsid w:val="005A6BF0"/>
    <w:rsid w:val="005C0B10"/>
    <w:rsid w:val="005C4358"/>
    <w:rsid w:val="005C62D5"/>
    <w:rsid w:val="005C763B"/>
    <w:rsid w:val="00606D7B"/>
    <w:rsid w:val="00617196"/>
    <w:rsid w:val="00627225"/>
    <w:rsid w:val="00627C2E"/>
    <w:rsid w:val="0064253C"/>
    <w:rsid w:val="00643A2C"/>
    <w:rsid w:val="00654EFA"/>
    <w:rsid w:val="006562E8"/>
    <w:rsid w:val="006A7A19"/>
    <w:rsid w:val="006B273F"/>
    <w:rsid w:val="006C795B"/>
    <w:rsid w:val="006D7B96"/>
    <w:rsid w:val="006F20E0"/>
    <w:rsid w:val="006F400E"/>
    <w:rsid w:val="0071742A"/>
    <w:rsid w:val="00720AA8"/>
    <w:rsid w:val="00726621"/>
    <w:rsid w:val="00746C2B"/>
    <w:rsid w:val="00757D22"/>
    <w:rsid w:val="00762A5B"/>
    <w:rsid w:val="00770B41"/>
    <w:rsid w:val="00771D9F"/>
    <w:rsid w:val="007745D6"/>
    <w:rsid w:val="007758B3"/>
    <w:rsid w:val="00781A6D"/>
    <w:rsid w:val="007A03E6"/>
    <w:rsid w:val="007A6D71"/>
    <w:rsid w:val="007D0BA1"/>
    <w:rsid w:val="007D791C"/>
    <w:rsid w:val="00805545"/>
    <w:rsid w:val="0080635D"/>
    <w:rsid w:val="00843470"/>
    <w:rsid w:val="00847D7F"/>
    <w:rsid w:val="00852694"/>
    <w:rsid w:val="00870655"/>
    <w:rsid w:val="0088560C"/>
    <w:rsid w:val="008864F8"/>
    <w:rsid w:val="00887498"/>
    <w:rsid w:val="00893E8E"/>
    <w:rsid w:val="008B0DF4"/>
    <w:rsid w:val="008B777F"/>
    <w:rsid w:val="008C1033"/>
    <w:rsid w:val="008C3D1D"/>
    <w:rsid w:val="008C4210"/>
    <w:rsid w:val="008F41BA"/>
    <w:rsid w:val="00904712"/>
    <w:rsid w:val="00943046"/>
    <w:rsid w:val="009865CC"/>
    <w:rsid w:val="009A1C41"/>
    <w:rsid w:val="009A4CE1"/>
    <w:rsid w:val="009A76B2"/>
    <w:rsid w:val="009A78D1"/>
    <w:rsid w:val="009C17C4"/>
    <w:rsid w:val="00A302BD"/>
    <w:rsid w:val="00A642B9"/>
    <w:rsid w:val="00A644B8"/>
    <w:rsid w:val="00AB5290"/>
    <w:rsid w:val="00AC275A"/>
    <w:rsid w:val="00AC7BD7"/>
    <w:rsid w:val="00AD59CC"/>
    <w:rsid w:val="00AE7832"/>
    <w:rsid w:val="00AF61B7"/>
    <w:rsid w:val="00B07744"/>
    <w:rsid w:val="00B16A9F"/>
    <w:rsid w:val="00B21CC8"/>
    <w:rsid w:val="00B2342F"/>
    <w:rsid w:val="00B2746B"/>
    <w:rsid w:val="00B55ADB"/>
    <w:rsid w:val="00B85222"/>
    <w:rsid w:val="00BC7255"/>
    <w:rsid w:val="00C667A4"/>
    <w:rsid w:val="00C81AAC"/>
    <w:rsid w:val="00C879E7"/>
    <w:rsid w:val="00C93B64"/>
    <w:rsid w:val="00CA0515"/>
    <w:rsid w:val="00CA76C3"/>
    <w:rsid w:val="00CB6F24"/>
    <w:rsid w:val="00CC1B35"/>
    <w:rsid w:val="00CD6724"/>
    <w:rsid w:val="00CE2FF6"/>
    <w:rsid w:val="00D12CF5"/>
    <w:rsid w:val="00D152F9"/>
    <w:rsid w:val="00D40422"/>
    <w:rsid w:val="00D76F53"/>
    <w:rsid w:val="00D828CA"/>
    <w:rsid w:val="00D95027"/>
    <w:rsid w:val="00DA25E7"/>
    <w:rsid w:val="00DD78E0"/>
    <w:rsid w:val="00DF493E"/>
    <w:rsid w:val="00E2628F"/>
    <w:rsid w:val="00E302B4"/>
    <w:rsid w:val="00E478D4"/>
    <w:rsid w:val="00E55BE3"/>
    <w:rsid w:val="00E639A0"/>
    <w:rsid w:val="00E73890"/>
    <w:rsid w:val="00EA0C37"/>
    <w:rsid w:val="00EA629D"/>
    <w:rsid w:val="00EB1AE7"/>
    <w:rsid w:val="00EE6182"/>
    <w:rsid w:val="00F03BF3"/>
    <w:rsid w:val="00F10253"/>
    <w:rsid w:val="00F340DD"/>
    <w:rsid w:val="00F40BE2"/>
    <w:rsid w:val="00F42197"/>
    <w:rsid w:val="00F536C4"/>
    <w:rsid w:val="00F6680B"/>
    <w:rsid w:val="00F8302A"/>
    <w:rsid w:val="00FA4DB7"/>
    <w:rsid w:val="00FA67D7"/>
    <w:rsid w:val="00FB299C"/>
    <w:rsid w:val="00FF4C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9502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3359E9"/>
    <w:pPr>
      <w:spacing w:before="100" w:beforeAutospacing="1" w:after="100" w:afterAutospacing="1"/>
    </w:pPr>
    <w:rPr>
      <w:rFonts w:ascii="Verdana" w:hAnsi="Verdana"/>
      <w:sz w:val="18"/>
      <w:szCs w:val="18"/>
    </w:rPr>
  </w:style>
  <w:style w:type="paragraph" w:customStyle="1" w:styleId="Noteikumutekstam">
    <w:name w:val="Noteikumu tekstam"/>
    <w:basedOn w:val="Parastais"/>
    <w:link w:val="NoteikumutekstamRakstz"/>
    <w:autoRedefine/>
    <w:rsid w:val="007745D6"/>
    <w:pPr>
      <w:spacing w:after="120"/>
      <w:ind w:firstLine="720"/>
      <w:jc w:val="both"/>
    </w:pPr>
    <w:rPr>
      <w:sz w:val="28"/>
      <w:szCs w:val="28"/>
    </w:rPr>
  </w:style>
  <w:style w:type="paragraph" w:customStyle="1" w:styleId="Noteikumuapakpunkti">
    <w:name w:val="Noteikumu apakšpunkti"/>
    <w:basedOn w:val="Noteikumutekstam"/>
    <w:rsid w:val="007745D6"/>
    <w:pPr>
      <w:numPr>
        <w:ilvl w:val="1"/>
        <w:numId w:val="1"/>
      </w:numPr>
      <w:tabs>
        <w:tab w:val="clear" w:pos="680"/>
        <w:tab w:val="num" w:pos="360"/>
      </w:tabs>
    </w:pPr>
  </w:style>
  <w:style w:type="paragraph" w:customStyle="1" w:styleId="Noteikumuapakpunkti2">
    <w:name w:val="Noteikumu apakšpunkti_2"/>
    <w:basedOn w:val="Noteikumuapakpunkti"/>
    <w:rsid w:val="007745D6"/>
    <w:pPr>
      <w:numPr>
        <w:ilvl w:val="2"/>
      </w:numPr>
      <w:tabs>
        <w:tab w:val="clear" w:pos="851"/>
        <w:tab w:val="num" w:pos="360"/>
      </w:tabs>
    </w:pPr>
  </w:style>
  <w:style w:type="paragraph" w:customStyle="1" w:styleId="Noteikumuapakpunkt3">
    <w:name w:val="Noteikumu apakšpunkt_3"/>
    <w:basedOn w:val="Noteikumuapakpunkti2"/>
    <w:rsid w:val="007745D6"/>
    <w:pPr>
      <w:numPr>
        <w:ilvl w:val="3"/>
      </w:numPr>
      <w:tabs>
        <w:tab w:val="clear" w:pos="1134"/>
        <w:tab w:val="num" w:pos="360"/>
      </w:tabs>
    </w:pPr>
  </w:style>
  <w:style w:type="character" w:customStyle="1" w:styleId="NoteikumutekstamRakstz">
    <w:name w:val="Noteikumu tekstam Rakstz."/>
    <w:basedOn w:val="Noklusjumarindkopasfonts"/>
    <w:link w:val="Noteikumutekstam"/>
    <w:rsid w:val="007745D6"/>
    <w:rPr>
      <w:sz w:val="28"/>
      <w:szCs w:val="28"/>
      <w:lang w:val="lv-LV" w:eastAsia="lv-LV" w:bidi="ar-SA"/>
    </w:rPr>
  </w:style>
  <w:style w:type="paragraph" w:customStyle="1" w:styleId="naisf">
    <w:name w:val="naisf"/>
    <w:basedOn w:val="Parastais"/>
    <w:rsid w:val="00D828CA"/>
    <w:pPr>
      <w:spacing w:before="100" w:beforeAutospacing="1" w:after="100" w:afterAutospacing="1"/>
    </w:pPr>
  </w:style>
  <w:style w:type="paragraph" w:styleId="Galvene">
    <w:name w:val="header"/>
    <w:basedOn w:val="Parastais"/>
    <w:rsid w:val="00A644B8"/>
    <w:pPr>
      <w:tabs>
        <w:tab w:val="center" w:pos="4153"/>
        <w:tab w:val="right" w:pos="8306"/>
      </w:tabs>
    </w:pPr>
  </w:style>
  <w:style w:type="paragraph" w:styleId="Kjene">
    <w:name w:val="footer"/>
    <w:basedOn w:val="Parastais"/>
    <w:link w:val="KjeneRakstz"/>
    <w:rsid w:val="00A644B8"/>
    <w:pPr>
      <w:tabs>
        <w:tab w:val="center" w:pos="4153"/>
        <w:tab w:val="right" w:pos="8306"/>
      </w:tabs>
    </w:pPr>
  </w:style>
  <w:style w:type="character" w:customStyle="1" w:styleId="KjeneRakstz">
    <w:name w:val="Kājene Rakstz."/>
    <w:basedOn w:val="Noklusjumarindkopasfonts"/>
    <w:link w:val="Kjene"/>
    <w:rsid w:val="00A644B8"/>
    <w:rPr>
      <w:sz w:val="24"/>
      <w:szCs w:val="24"/>
      <w:lang w:val="lv-LV" w:eastAsia="lv-LV" w:bidi="ar-SA"/>
    </w:rPr>
  </w:style>
  <w:style w:type="character" w:styleId="Lappusesnumurs">
    <w:name w:val="page number"/>
    <w:basedOn w:val="Noklusjumarindkopasfonts"/>
    <w:rsid w:val="004B0F89"/>
  </w:style>
  <w:style w:type="character" w:styleId="Komentraatsauce">
    <w:name w:val="annotation reference"/>
    <w:basedOn w:val="Noklusjumarindkopasfonts"/>
    <w:semiHidden/>
    <w:rsid w:val="005C0B10"/>
    <w:rPr>
      <w:sz w:val="16"/>
      <w:szCs w:val="16"/>
    </w:rPr>
  </w:style>
  <w:style w:type="paragraph" w:styleId="Komentrateksts">
    <w:name w:val="annotation text"/>
    <w:basedOn w:val="Parastais"/>
    <w:semiHidden/>
    <w:rsid w:val="005C0B10"/>
    <w:rPr>
      <w:sz w:val="20"/>
      <w:szCs w:val="20"/>
    </w:rPr>
  </w:style>
  <w:style w:type="paragraph" w:styleId="Komentratma">
    <w:name w:val="annotation subject"/>
    <w:basedOn w:val="Komentrateksts"/>
    <w:next w:val="Komentrateksts"/>
    <w:semiHidden/>
    <w:rsid w:val="005C0B10"/>
    <w:rPr>
      <w:b/>
      <w:bCs/>
    </w:rPr>
  </w:style>
  <w:style w:type="paragraph" w:styleId="Balonteksts">
    <w:name w:val="Balloon Text"/>
    <w:basedOn w:val="Parastais"/>
    <w:semiHidden/>
    <w:rsid w:val="005C0B10"/>
    <w:rPr>
      <w:rFonts w:ascii="Tahoma" w:hAnsi="Tahoma" w:cs="Tahoma"/>
      <w:sz w:val="16"/>
      <w:szCs w:val="16"/>
    </w:rPr>
  </w:style>
  <w:style w:type="character" w:styleId="Hipersaite">
    <w:name w:val="Hyperlink"/>
    <w:basedOn w:val="Noklusjumarindkopasfonts"/>
    <w:uiPriority w:val="99"/>
    <w:rsid w:val="00FF4CE4"/>
    <w:rPr>
      <w:color w:val="0000FF"/>
      <w:u w:val="single"/>
    </w:rPr>
  </w:style>
</w:styles>
</file>

<file path=word/webSettings.xml><?xml version="1.0" encoding="utf-8"?>
<w:webSettings xmlns:r="http://schemas.openxmlformats.org/officeDocument/2006/relationships" xmlns:w="http://schemas.openxmlformats.org/wordprocessingml/2006/main">
  <w:divs>
    <w:div w:id="571895718">
      <w:bodyDiv w:val="1"/>
      <w:marLeft w:val="0"/>
      <w:marRight w:val="0"/>
      <w:marTop w:val="0"/>
      <w:marBottom w:val="0"/>
      <w:divBdr>
        <w:top w:val="none" w:sz="0" w:space="0" w:color="auto"/>
        <w:left w:val="none" w:sz="0" w:space="0" w:color="auto"/>
        <w:bottom w:val="none" w:sz="0" w:space="0" w:color="auto"/>
        <w:right w:val="none" w:sz="0" w:space="0" w:color="auto"/>
      </w:divBdr>
      <w:divsChild>
        <w:div w:id="1322539008">
          <w:marLeft w:val="0"/>
          <w:marRight w:val="0"/>
          <w:marTop w:val="0"/>
          <w:marBottom w:val="0"/>
          <w:divBdr>
            <w:top w:val="none" w:sz="0" w:space="0" w:color="auto"/>
            <w:left w:val="none" w:sz="0" w:space="0" w:color="auto"/>
            <w:bottom w:val="none" w:sz="0" w:space="0" w:color="auto"/>
            <w:right w:val="none" w:sz="0" w:space="0" w:color="auto"/>
          </w:divBdr>
          <w:divsChild>
            <w:div w:id="1275399981">
              <w:marLeft w:val="0"/>
              <w:marRight w:val="0"/>
              <w:marTop w:val="0"/>
              <w:marBottom w:val="0"/>
              <w:divBdr>
                <w:top w:val="none" w:sz="0" w:space="0" w:color="auto"/>
                <w:left w:val="none" w:sz="0" w:space="0" w:color="auto"/>
                <w:bottom w:val="none" w:sz="0" w:space="0" w:color="auto"/>
                <w:right w:val="none" w:sz="0" w:space="0" w:color="auto"/>
              </w:divBdr>
              <w:divsChild>
                <w:div w:id="1524440275">
                  <w:marLeft w:val="0"/>
                  <w:marRight w:val="0"/>
                  <w:marTop w:val="0"/>
                  <w:marBottom w:val="0"/>
                  <w:divBdr>
                    <w:top w:val="none" w:sz="0" w:space="0" w:color="auto"/>
                    <w:left w:val="none" w:sz="0" w:space="0" w:color="auto"/>
                    <w:bottom w:val="none" w:sz="0" w:space="0" w:color="auto"/>
                    <w:right w:val="none" w:sz="0" w:space="0" w:color="auto"/>
                  </w:divBdr>
                  <w:divsChild>
                    <w:div w:id="1120760555">
                      <w:marLeft w:val="0"/>
                      <w:marRight w:val="0"/>
                      <w:marTop w:val="0"/>
                      <w:marBottom w:val="0"/>
                      <w:divBdr>
                        <w:top w:val="none" w:sz="0" w:space="0" w:color="auto"/>
                        <w:left w:val="none" w:sz="0" w:space="0" w:color="auto"/>
                        <w:bottom w:val="none" w:sz="0" w:space="0" w:color="auto"/>
                        <w:right w:val="none" w:sz="0" w:space="0" w:color="auto"/>
                      </w:divBdr>
                      <w:divsChild>
                        <w:div w:id="332145982">
                          <w:marLeft w:val="0"/>
                          <w:marRight w:val="0"/>
                          <w:marTop w:val="0"/>
                          <w:marBottom w:val="0"/>
                          <w:divBdr>
                            <w:top w:val="none" w:sz="0" w:space="0" w:color="auto"/>
                            <w:left w:val="none" w:sz="0" w:space="0" w:color="auto"/>
                            <w:bottom w:val="none" w:sz="0" w:space="0" w:color="auto"/>
                            <w:right w:val="none" w:sz="0" w:space="0" w:color="auto"/>
                          </w:divBdr>
                          <w:divsChild>
                            <w:div w:id="1043022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36399">
      <w:bodyDiv w:val="1"/>
      <w:marLeft w:val="0"/>
      <w:marRight w:val="0"/>
      <w:marTop w:val="0"/>
      <w:marBottom w:val="0"/>
      <w:divBdr>
        <w:top w:val="none" w:sz="0" w:space="0" w:color="auto"/>
        <w:left w:val="none" w:sz="0" w:space="0" w:color="auto"/>
        <w:bottom w:val="none" w:sz="0" w:space="0" w:color="auto"/>
        <w:right w:val="none" w:sz="0" w:space="0" w:color="auto"/>
      </w:divBdr>
      <w:divsChild>
        <w:div w:id="2070028435">
          <w:marLeft w:val="0"/>
          <w:marRight w:val="0"/>
          <w:marTop w:val="0"/>
          <w:marBottom w:val="0"/>
          <w:divBdr>
            <w:top w:val="none" w:sz="0" w:space="0" w:color="auto"/>
            <w:left w:val="none" w:sz="0" w:space="0" w:color="auto"/>
            <w:bottom w:val="none" w:sz="0" w:space="0" w:color="auto"/>
            <w:right w:val="none" w:sz="0" w:space="0" w:color="auto"/>
          </w:divBdr>
          <w:divsChild>
            <w:div w:id="1609704200">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112821647">
                      <w:marLeft w:val="0"/>
                      <w:marRight w:val="0"/>
                      <w:marTop w:val="0"/>
                      <w:marBottom w:val="0"/>
                      <w:divBdr>
                        <w:top w:val="none" w:sz="0" w:space="0" w:color="auto"/>
                        <w:left w:val="none" w:sz="0" w:space="0" w:color="auto"/>
                        <w:bottom w:val="none" w:sz="0" w:space="0" w:color="auto"/>
                        <w:right w:val="none" w:sz="0" w:space="0" w:color="auto"/>
                      </w:divBdr>
                      <w:divsChild>
                        <w:div w:id="731781498">
                          <w:marLeft w:val="0"/>
                          <w:marRight w:val="0"/>
                          <w:marTop w:val="0"/>
                          <w:marBottom w:val="0"/>
                          <w:divBdr>
                            <w:top w:val="none" w:sz="0" w:space="0" w:color="auto"/>
                            <w:left w:val="none" w:sz="0" w:space="0" w:color="auto"/>
                            <w:bottom w:val="none" w:sz="0" w:space="0" w:color="auto"/>
                            <w:right w:val="none" w:sz="0" w:space="0" w:color="auto"/>
                          </w:divBdr>
                          <w:divsChild>
                            <w:div w:id="758139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11128">
      <w:bodyDiv w:val="1"/>
      <w:marLeft w:val="0"/>
      <w:marRight w:val="0"/>
      <w:marTop w:val="0"/>
      <w:marBottom w:val="0"/>
      <w:divBdr>
        <w:top w:val="none" w:sz="0" w:space="0" w:color="auto"/>
        <w:left w:val="none" w:sz="0" w:space="0" w:color="auto"/>
        <w:bottom w:val="none" w:sz="0" w:space="0" w:color="auto"/>
        <w:right w:val="none" w:sz="0" w:space="0" w:color="auto"/>
      </w:divBdr>
    </w:div>
    <w:div w:id="928852256">
      <w:bodyDiv w:val="1"/>
      <w:marLeft w:val="0"/>
      <w:marRight w:val="0"/>
      <w:marTop w:val="0"/>
      <w:marBottom w:val="0"/>
      <w:divBdr>
        <w:top w:val="none" w:sz="0" w:space="0" w:color="auto"/>
        <w:left w:val="none" w:sz="0" w:space="0" w:color="auto"/>
        <w:bottom w:val="none" w:sz="0" w:space="0" w:color="auto"/>
        <w:right w:val="none" w:sz="0" w:space="0" w:color="auto"/>
      </w:divBdr>
      <w:divsChild>
        <w:div w:id="1860118022">
          <w:marLeft w:val="0"/>
          <w:marRight w:val="0"/>
          <w:marTop w:val="0"/>
          <w:marBottom w:val="0"/>
          <w:divBdr>
            <w:top w:val="none" w:sz="0" w:space="0" w:color="auto"/>
            <w:left w:val="none" w:sz="0" w:space="0" w:color="auto"/>
            <w:bottom w:val="none" w:sz="0" w:space="0" w:color="auto"/>
            <w:right w:val="none" w:sz="0" w:space="0" w:color="auto"/>
          </w:divBdr>
          <w:divsChild>
            <w:div w:id="1501889385">
              <w:marLeft w:val="0"/>
              <w:marRight w:val="0"/>
              <w:marTop w:val="0"/>
              <w:marBottom w:val="0"/>
              <w:divBdr>
                <w:top w:val="none" w:sz="0" w:space="0" w:color="auto"/>
                <w:left w:val="none" w:sz="0" w:space="0" w:color="auto"/>
                <w:bottom w:val="none" w:sz="0" w:space="0" w:color="auto"/>
                <w:right w:val="none" w:sz="0" w:space="0" w:color="auto"/>
              </w:divBdr>
              <w:divsChild>
                <w:div w:id="1914117241">
                  <w:marLeft w:val="0"/>
                  <w:marRight w:val="0"/>
                  <w:marTop w:val="0"/>
                  <w:marBottom w:val="0"/>
                  <w:divBdr>
                    <w:top w:val="none" w:sz="0" w:space="0" w:color="auto"/>
                    <w:left w:val="none" w:sz="0" w:space="0" w:color="auto"/>
                    <w:bottom w:val="none" w:sz="0" w:space="0" w:color="auto"/>
                    <w:right w:val="none" w:sz="0" w:space="0" w:color="auto"/>
                  </w:divBdr>
                  <w:divsChild>
                    <w:div w:id="34278797">
                      <w:marLeft w:val="0"/>
                      <w:marRight w:val="0"/>
                      <w:marTop w:val="0"/>
                      <w:marBottom w:val="0"/>
                      <w:divBdr>
                        <w:top w:val="none" w:sz="0" w:space="0" w:color="auto"/>
                        <w:left w:val="none" w:sz="0" w:space="0" w:color="auto"/>
                        <w:bottom w:val="none" w:sz="0" w:space="0" w:color="auto"/>
                        <w:right w:val="none" w:sz="0" w:space="0" w:color="auto"/>
                      </w:divBdr>
                      <w:divsChild>
                        <w:div w:id="1423261537">
                          <w:marLeft w:val="0"/>
                          <w:marRight w:val="0"/>
                          <w:marTop w:val="0"/>
                          <w:marBottom w:val="0"/>
                          <w:divBdr>
                            <w:top w:val="none" w:sz="0" w:space="0" w:color="auto"/>
                            <w:left w:val="none" w:sz="0" w:space="0" w:color="auto"/>
                            <w:bottom w:val="none" w:sz="0" w:space="0" w:color="auto"/>
                            <w:right w:val="none" w:sz="0" w:space="0" w:color="auto"/>
                          </w:divBdr>
                          <w:divsChild>
                            <w:div w:id="575894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4082">
      <w:bodyDiv w:val="1"/>
      <w:marLeft w:val="0"/>
      <w:marRight w:val="0"/>
      <w:marTop w:val="0"/>
      <w:marBottom w:val="0"/>
      <w:divBdr>
        <w:top w:val="none" w:sz="0" w:space="0" w:color="auto"/>
        <w:left w:val="none" w:sz="0" w:space="0" w:color="auto"/>
        <w:bottom w:val="none" w:sz="0" w:space="0" w:color="auto"/>
        <w:right w:val="none" w:sz="0" w:space="0" w:color="auto"/>
      </w:divBdr>
      <w:divsChild>
        <w:div w:id="862324321">
          <w:marLeft w:val="0"/>
          <w:marRight w:val="0"/>
          <w:marTop w:val="0"/>
          <w:marBottom w:val="0"/>
          <w:divBdr>
            <w:top w:val="none" w:sz="0" w:space="0" w:color="auto"/>
            <w:left w:val="none" w:sz="0" w:space="0" w:color="auto"/>
            <w:bottom w:val="none" w:sz="0" w:space="0" w:color="auto"/>
            <w:right w:val="none" w:sz="0" w:space="0" w:color="auto"/>
          </w:divBdr>
          <w:divsChild>
            <w:div w:id="1552615482">
              <w:marLeft w:val="0"/>
              <w:marRight w:val="0"/>
              <w:marTop w:val="0"/>
              <w:marBottom w:val="0"/>
              <w:divBdr>
                <w:top w:val="none" w:sz="0" w:space="0" w:color="auto"/>
                <w:left w:val="none" w:sz="0" w:space="0" w:color="auto"/>
                <w:bottom w:val="none" w:sz="0" w:space="0" w:color="auto"/>
                <w:right w:val="none" w:sz="0" w:space="0" w:color="auto"/>
              </w:divBdr>
              <w:divsChild>
                <w:div w:id="93865491">
                  <w:marLeft w:val="0"/>
                  <w:marRight w:val="0"/>
                  <w:marTop w:val="0"/>
                  <w:marBottom w:val="0"/>
                  <w:divBdr>
                    <w:top w:val="none" w:sz="0" w:space="0" w:color="auto"/>
                    <w:left w:val="none" w:sz="0" w:space="0" w:color="auto"/>
                    <w:bottom w:val="none" w:sz="0" w:space="0" w:color="auto"/>
                    <w:right w:val="none" w:sz="0" w:space="0" w:color="auto"/>
                  </w:divBdr>
                  <w:divsChild>
                    <w:div w:id="1384790691">
                      <w:marLeft w:val="0"/>
                      <w:marRight w:val="0"/>
                      <w:marTop w:val="0"/>
                      <w:marBottom w:val="0"/>
                      <w:divBdr>
                        <w:top w:val="none" w:sz="0" w:space="0" w:color="auto"/>
                        <w:left w:val="none" w:sz="0" w:space="0" w:color="auto"/>
                        <w:bottom w:val="none" w:sz="0" w:space="0" w:color="auto"/>
                        <w:right w:val="none" w:sz="0" w:space="0" w:color="auto"/>
                      </w:divBdr>
                      <w:divsChild>
                        <w:div w:id="2110419368">
                          <w:marLeft w:val="0"/>
                          <w:marRight w:val="0"/>
                          <w:marTop w:val="0"/>
                          <w:marBottom w:val="0"/>
                          <w:divBdr>
                            <w:top w:val="none" w:sz="0" w:space="0" w:color="auto"/>
                            <w:left w:val="none" w:sz="0" w:space="0" w:color="auto"/>
                            <w:bottom w:val="none" w:sz="0" w:space="0" w:color="auto"/>
                            <w:right w:val="none" w:sz="0" w:space="0" w:color="auto"/>
                          </w:divBdr>
                          <w:divsChild>
                            <w:div w:id="555358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8519">
      <w:bodyDiv w:val="1"/>
      <w:marLeft w:val="0"/>
      <w:marRight w:val="0"/>
      <w:marTop w:val="0"/>
      <w:marBottom w:val="0"/>
      <w:divBdr>
        <w:top w:val="none" w:sz="0" w:space="0" w:color="auto"/>
        <w:left w:val="none" w:sz="0" w:space="0" w:color="auto"/>
        <w:bottom w:val="none" w:sz="0" w:space="0" w:color="auto"/>
        <w:right w:val="none" w:sz="0" w:space="0" w:color="auto"/>
      </w:divBdr>
      <w:divsChild>
        <w:div w:id="949170138">
          <w:marLeft w:val="0"/>
          <w:marRight w:val="0"/>
          <w:marTop w:val="0"/>
          <w:marBottom w:val="0"/>
          <w:divBdr>
            <w:top w:val="none" w:sz="0" w:space="0" w:color="auto"/>
            <w:left w:val="none" w:sz="0" w:space="0" w:color="auto"/>
            <w:bottom w:val="none" w:sz="0" w:space="0" w:color="auto"/>
            <w:right w:val="none" w:sz="0" w:space="0" w:color="auto"/>
          </w:divBdr>
          <w:divsChild>
            <w:div w:id="1255018585">
              <w:marLeft w:val="0"/>
              <w:marRight w:val="0"/>
              <w:marTop w:val="0"/>
              <w:marBottom w:val="0"/>
              <w:divBdr>
                <w:top w:val="none" w:sz="0" w:space="0" w:color="auto"/>
                <w:left w:val="none" w:sz="0" w:space="0" w:color="auto"/>
                <w:bottom w:val="none" w:sz="0" w:space="0" w:color="auto"/>
                <w:right w:val="none" w:sz="0" w:space="0" w:color="auto"/>
              </w:divBdr>
              <w:divsChild>
                <w:div w:id="1723863120">
                  <w:marLeft w:val="0"/>
                  <w:marRight w:val="0"/>
                  <w:marTop w:val="0"/>
                  <w:marBottom w:val="0"/>
                  <w:divBdr>
                    <w:top w:val="none" w:sz="0" w:space="0" w:color="auto"/>
                    <w:left w:val="none" w:sz="0" w:space="0" w:color="auto"/>
                    <w:bottom w:val="none" w:sz="0" w:space="0" w:color="auto"/>
                    <w:right w:val="none" w:sz="0" w:space="0" w:color="auto"/>
                  </w:divBdr>
                  <w:divsChild>
                    <w:div w:id="1441028602">
                      <w:marLeft w:val="0"/>
                      <w:marRight w:val="0"/>
                      <w:marTop w:val="0"/>
                      <w:marBottom w:val="0"/>
                      <w:divBdr>
                        <w:top w:val="none" w:sz="0" w:space="0" w:color="auto"/>
                        <w:left w:val="none" w:sz="0" w:space="0" w:color="auto"/>
                        <w:bottom w:val="none" w:sz="0" w:space="0" w:color="auto"/>
                        <w:right w:val="none" w:sz="0" w:space="0" w:color="auto"/>
                      </w:divBdr>
                      <w:divsChild>
                        <w:div w:id="963345876">
                          <w:marLeft w:val="0"/>
                          <w:marRight w:val="0"/>
                          <w:marTop w:val="0"/>
                          <w:marBottom w:val="0"/>
                          <w:divBdr>
                            <w:top w:val="none" w:sz="0" w:space="0" w:color="auto"/>
                            <w:left w:val="none" w:sz="0" w:space="0" w:color="auto"/>
                            <w:bottom w:val="none" w:sz="0" w:space="0" w:color="auto"/>
                            <w:right w:val="none" w:sz="0" w:space="0" w:color="auto"/>
                          </w:divBdr>
                          <w:divsChild>
                            <w:div w:id="841772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35451">
      <w:bodyDiv w:val="1"/>
      <w:marLeft w:val="0"/>
      <w:marRight w:val="0"/>
      <w:marTop w:val="0"/>
      <w:marBottom w:val="0"/>
      <w:divBdr>
        <w:top w:val="none" w:sz="0" w:space="0" w:color="auto"/>
        <w:left w:val="none" w:sz="0" w:space="0" w:color="auto"/>
        <w:bottom w:val="none" w:sz="0" w:space="0" w:color="auto"/>
        <w:right w:val="none" w:sz="0" w:space="0" w:color="auto"/>
      </w:divBdr>
      <w:divsChild>
        <w:div w:id="1265843713">
          <w:marLeft w:val="0"/>
          <w:marRight w:val="0"/>
          <w:marTop w:val="0"/>
          <w:marBottom w:val="0"/>
          <w:divBdr>
            <w:top w:val="none" w:sz="0" w:space="0" w:color="auto"/>
            <w:left w:val="none" w:sz="0" w:space="0" w:color="auto"/>
            <w:bottom w:val="none" w:sz="0" w:space="0" w:color="auto"/>
            <w:right w:val="none" w:sz="0" w:space="0" w:color="auto"/>
          </w:divBdr>
          <w:divsChild>
            <w:div w:id="1629318644">
              <w:marLeft w:val="0"/>
              <w:marRight w:val="0"/>
              <w:marTop w:val="0"/>
              <w:marBottom w:val="0"/>
              <w:divBdr>
                <w:top w:val="none" w:sz="0" w:space="0" w:color="auto"/>
                <w:left w:val="none" w:sz="0" w:space="0" w:color="auto"/>
                <w:bottom w:val="none" w:sz="0" w:space="0" w:color="auto"/>
                <w:right w:val="none" w:sz="0" w:space="0" w:color="auto"/>
              </w:divBdr>
              <w:divsChild>
                <w:div w:id="1483354171">
                  <w:marLeft w:val="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640768065">
                          <w:marLeft w:val="0"/>
                          <w:marRight w:val="0"/>
                          <w:marTop w:val="0"/>
                          <w:marBottom w:val="0"/>
                          <w:divBdr>
                            <w:top w:val="none" w:sz="0" w:space="0" w:color="auto"/>
                            <w:left w:val="none" w:sz="0" w:space="0" w:color="auto"/>
                            <w:bottom w:val="none" w:sz="0" w:space="0" w:color="auto"/>
                            <w:right w:val="none" w:sz="0" w:space="0" w:color="auto"/>
                          </w:divBdr>
                          <w:divsChild>
                            <w:div w:id="2102215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695">
      <w:bodyDiv w:val="1"/>
      <w:marLeft w:val="0"/>
      <w:marRight w:val="0"/>
      <w:marTop w:val="0"/>
      <w:marBottom w:val="0"/>
      <w:divBdr>
        <w:top w:val="none" w:sz="0" w:space="0" w:color="auto"/>
        <w:left w:val="none" w:sz="0" w:space="0" w:color="auto"/>
        <w:bottom w:val="none" w:sz="0" w:space="0" w:color="auto"/>
        <w:right w:val="none" w:sz="0" w:space="0" w:color="auto"/>
      </w:divBdr>
      <w:divsChild>
        <w:div w:id="1646931820">
          <w:marLeft w:val="0"/>
          <w:marRight w:val="0"/>
          <w:marTop w:val="0"/>
          <w:marBottom w:val="0"/>
          <w:divBdr>
            <w:top w:val="none" w:sz="0" w:space="0" w:color="auto"/>
            <w:left w:val="none" w:sz="0" w:space="0" w:color="auto"/>
            <w:bottom w:val="none" w:sz="0" w:space="0" w:color="auto"/>
            <w:right w:val="none" w:sz="0" w:space="0" w:color="auto"/>
          </w:divBdr>
          <w:divsChild>
            <w:div w:id="1785997294">
              <w:marLeft w:val="0"/>
              <w:marRight w:val="0"/>
              <w:marTop w:val="0"/>
              <w:marBottom w:val="0"/>
              <w:divBdr>
                <w:top w:val="none" w:sz="0" w:space="0" w:color="auto"/>
                <w:left w:val="none" w:sz="0" w:space="0" w:color="auto"/>
                <w:bottom w:val="none" w:sz="0" w:space="0" w:color="auto"/>
                <w:right w:val="none" w:sz="0" w:space="0" w:color="auto"/>
              </w:divBdr>
              <w:divsChild>
                <w:div w:id="283510530">
                  <w:marLeft w:val="0"/>
                  <w:marRight w:val="0"/>
                  <w:marTop w:val="0"/>
                  <w:marBottom w:val="0"/>
                  <w:divBdr>
                    <w:top w:val="none" w:sz="0" w:space="0" w:color="auto"/>
                    <w:left w:val="none" w:sz="0" w:space="0" w:color="auto"/>
                    <w:bottom w:val="none" w:sz="0" w:space="0" w:color="auto"/>
                    <w:right w:val="none" w:sz="0" w:space="0" w:color="auto"/>
                  </w:divBdr>
                  <w:divsChild>
                    <w:div w:id="283316966">
                      <w:marLeft w:val="0"/>
                      <w:marRight w:val="0"/>
                      <w:marTop w:val="0"/>
                      <w:marBottom w:val="0"/>
                      <w:divBdr>
                        <w:top w:val="none" w:sz="0" w:space="0" w:color="auto"/>
                        <w:left w:val="none" w:sz="0" w:space="0" w:color="auto"/>
                        <w:bottom w:val="none" w:sz="0" w:space="0" w:color="auto"/>
                        <w:right w:val="none" w:sz="0" w:space="0" w:color="auto"/>
                      </w:divBdr>
                      <w:divsChild>
                        <w:div w:id="263541446">
                          <w:marLeft w:val="0"/>
                          <w:marRight w:val="0"/>
                          <w:marTop w:val="0"/>
                          <w:marBottom w:val="0"/>
                          <w:divBdr>
                            <w:top w:val="none" w:sz="0" w:space="0" w:color="auto"/>
                            <w:left w:val="none" w:sz="0" w:space="0" w:color="auto"/>
                            <w:bottom w:val="none" w:sz="0" w:space="0" w:color="auto"/>
                            <w:right w:val="none" w:sz="0" w:space="0" w:color="auto"/>
                          </w:divBdr>
                          <w:divsChild>
                            <w:div w:id="2065910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437">
      <w:bodyDiv w:val="1"/>
      <w:marLeft w:val="0"/>
      <w:marRight w:val="0"/>
      <w:marTop w:val="0"/>
      <w:marBottom w:val="0"/>
      <w:divBdr>
        <w:top w:val="none" w:sz="0" w:space="0" w:color="auto"/>
        <w:left w:val="none" w:sz="0" w:space="0" w:color="auto"/>
        <w:bottom w:val="none" w:sz="0" w:space="0" w:color="auto"/>
        <w:right w:val="none" w:sz="0" w:space="0" w:color="auto"/>
      </w:divBdr>
    </w:div>
    <w:div w:id="1768770464">
      <w:bodyDiv w:val="1"/>
      <w:marLeft w:val="0"/>
      <w:marRight w:val="0"/>
      <w:marTop w:val="0"/>
      <w:marBottom w:val="0"/>
      <w:divBdr>
        <w:top w:val="none" w:sz="0" w:space="0" w:color="auto"/>
        <w:left w:val="none" w:sz="0" w:space="0" w:color="auto"/>
        <w:bottom w:val="none" w:sz="0" w:space="0" w:color="auto"/>
        <w:right w:val="none" w:sz="0" w:space="0" w:color="auto"/>
      </w:divBdr>
      <w:divsChild>
        <w:div w:id="386074480">
          <w:marLeft w:val="0"/>
          <w:marRight w:val="0"/>
          <w:marTop w:val="0"/>
          <w:marBottom w:val="0"/>
          <w:divBdr>
            <w:top w:val="none" w:sz="0" w:space="0" w:color="auto"/>
            <w:left w:val="none" w:sz="0" w:space="0" w:color="auto"/>
            <w:bottom w:val="none" w:sz="0" w:space="0" w:color="auto"/>
            <w:right w:val="none" w:sz="0" w:space="0" w:color="auto"/>
          </w:divBdr>
          <w:divsChild>
            <w:div w:id="1881744777">
              <w:marLeft w:val="0"/>
              <w:marRight w:val="0"/>
              <w:marTop w:val="0"/>
              <w:marBottom w:val="0"/>
              <w:divBdr>
                <w:top w:val="none" w:sz="0" w:space="0" w:color="auto"/>
                <w:left w:val="none" w:sz="0" w:space="0" w:color="auto"/>
                <w:bottom w:val="none" w:sz="0" w:space="0" w:color="auto"/>
                <w:right w:val="none" w:sz="0" w:space="0" w:color="auto"/>
              </w:divBdr>
              <w:divsChild>
                <w:div w:id="717048923">
                  <w:marLeft w:val="0"/>
                  <w:marRight w:val="0"/>
                  <w:marTop w:val="0"/>
                  <w:marBottom w:val="0"/>
                  <w:divBdr>
                    <w:top w:val="none" w:sz="0" w:space="0" w:color="auto"/>
                    <w:left w:val="none" w:sz="0" w:space="0" w:color="auto"/>
                    <w:bottom w:val="none" w:sz="0" w:space="0" w:color="auto"/>
                    <w:right w:val="none" w:sz="0" w:space="0" w:color="auto"/>
                  </w:divBdr>
                  <w:divsChild>
                    <w:div w:id="468549202">
                      <w:marLeft w:val="0"/>
                      <w:marRight w:val="0"/>
                      <w:marTop w:val="0"/>
                      <w:marBottom w:val="0"/>
                      <w:divBdr>
                        <w:top w:val="none" w:sz="0" w:space="0" w:color="auto"/>
                        <w:left w:val="none" w:sz="0" w:space="0" w:color="auto"/>
                        <w:bottom w:val="none" w:sz="0" w:space="0" w:color="auto"/>
                        <w:right w:val="none" w:sz="0" w:space="0" w:color="auto"/>
                      </w:divBdr>
                      <w:divsChild>
                        <w:div w:id="1179733135">
                          <w:marLeft w:val="0"/>
                          <w:marRight w:val="0"/>
                          <w:marTop w:val="0"/>
                          <w:marBottom w:val="0"/>
                          <w:divBdr>
                            <w:top w:val="none" w:sz="0" w:space="0" w:color="auto"/>
                            <w:left w:val="none" w:sz="0" w:space="0" w:color="auto"/>
                            <w:bottom w:val="none" w:sz="0" w:space="0" w:color="auto"/>
                            <w:right w:val="none" w:sz="0" w:space="0" w:color="auto"/>
                          </w:divBdr>
                          <w:divsChild>
                            <w:div w:id="813185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te.Berin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3364</Characters>
  <Application>Microsoft Office Word</Application>
  <DocSecurity>0</DocSecurity>
  <Lines>28</Lines>
  <Paragraphs>7</Paragraphs>
  <ScaleCrop>false</ScaleCrop>
  <HeadingPairs>
    <vt:vector size="2" baseType="variant">
      <vt:variant>
        <vt:lpstr>Nosaukums</vt:lpstr>
      </vt:variant>
      <vt:variant>
        <vt:i4>1</vt:i4>
      </vt:variant>
    </vt:vector>
  </HeadingPairs>
  <TitlesOfParts>
    <vt:vector size="1" baseType="lpstr">
      <vt:lpstr>Anotācija</vt:lpstr>
    </vt:vector>
  </TitlesOfParts>
  <Company>Kultūras ministrija</Company>
  <LinksUpToDate>false</LinksUpToDate>
  <CharactersWithSpaces>3769</CharactersWithSpaces>
  <SharedDoc>false</SharedDoc>
  <HLinks>
    <vt:vector size="6" baseType="variant">
      <vt:variant>
        <vt:i4>2949143</vt:i4>
      </vt:variant>
      <vt:variant>
        <vt:i4>0</vt:i4>
      </vt:variant>
      <vt:variant>
        <vt:i4>0</vt:i4>
      </vt:variant>
      <vt:variant>
        <vt:i4>5</vt:i4>
      </vt:variant>
      <vt:variant>
        <vt:lpwstr>mailto:Anete.Berina@km.gov.lv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programmā „Nacionālās un reģionālās nozīmes koncertzāļu tīkla izveide 2007. – 2013.gadam”” sākotnējās ietekmes novērtējuma ziņojums (anotācija)</dc:title>
  <dc:subject>anotācija</dc:subject>
  <dc:creator>A.Beriņa</dc:creator>
  <dc:description>67330226; Anete.Berina@km.gov.lv</dc:description>
  <cp:lastModifiedBy>Dzintra Rozīte</cp:lastModifiedBy>
  <cp:revision>5</cp:revision>
  <cp:lastPrinted>2014-06-19T08:01:00Z</cp:lastPrinted>
  <dcterms:created xsi:type="dcterms:W3CDTF">2014-06-19T07:45:00Z</dcterms:created>
  <dcterms:modified xsi:type="dcterms:W3CDTF">2014-07-28T05:54:00Z</dcterms:modified>
</cp:coreProperties>
</file>