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F7E" w:rsidRPr="0054178A" w:rsidRDefault="00400F7E" w:rsidP="0054178A">
      <w:pPr>
        <w:ind w:firstLine="720"/>
        <w:jc w:val="center"/>
        <w:rPr>
          <w:b/>
          <w:bCs/>
          <w:sz w:val="28"/>
          <w:szCs w:val="28"/>
          <w:lang w:eastAsia="lv-LV"/>
        </w:rPr>
      </w:pPr>
      <w:bookmarkStart w:id="0" w:name="OLE_LINK33"/>
      <w:bookmarkStart w:id="1" w:name="OLE_LINK34"/>
      <w:r w:rsidRPr="0054178A">
        <w:rPr>
          <w:b/>
          <w:bCs/>
          <w:sz w:val="28"/>
          <w:szCs w:val="28"/>
          <w:lang w:eastAsia="lv-LV"/>
        </w:rPr>
        <w:t xml:space="preserve">Ministru kabineta noteikumu projekta </w:t>
      </w:r>
    </w:p>
    <w:p w:rsidR="00400F7E" w:rsidRPr="0054178A" w:rsidRDefault="00400F7E" w:rsidP="0054178A">
      <w:pPr>
        <w:ind w:firstLine="720"/>
        <w:jc w:val="center"/>
        <w:rPr>
          <w:b/>
          <w:bCs/>
          <w:sz w:val="28"/>
          <w:szCs w:val="28"/>
          <w:lang w:eastAsia="lv-LV"/>
        </w:rPr>
      </w:pPr>
      <w:r w:rsidRPr="0054178A">
        <w:rPr>
          <w:b/>
          <w:bCs/>
          <w:sz w:val="28"/>
          <w:szCs w:val="28"/>
          <w:lang w:eastAsia="lv-LV"/>
        </w:rPr>
        <w:t>„Grozījumi Ministru kabineta 2011.gada 27.decembra noteikumos Nr.1035 „</w:t>
      </w:r>
      <w:r w:rsidRPr="0054178A">
        <w:rPr>
          <w:b/>
          <w:bCs/>
          <w:sz w:val="28"/>
          <w:szCs w:val="28"/>
        </w:rPr>
        <w:t>Kārtība, kādā valsts finansē profesionālās ievirzes mākslu, mūzikas un dejas izglītības programmas</w:t>
      </w:r>
      <w:r w:rsidRPr="0054178A">
        <w:rPr>
          <w:b/>
          <w:bCs/>
          <w:sz w:val="28"/>
          <w:szCs w:val="28"/>
          <w:lang w:eastAsia="lv-LV"/>
        </w:rPr>
        <w:t>”” sākotnējās ietekmes novērtējuma ziņojums (anotācija)</w:t>
      </w:r>
    </w:p>
    <w:bookmarkEnd w:id="0"/>
    <w:bookmarkEnd w:id="1"/>
    <w:p w:rsidR="008B6F82" w:rsidRPr="0054178A" w:rsidRDefault="008B6F82" w:rsidP="0054178A">
      <w:pPr>
        <w:jc w:val="center"/>
        <w:rPr>
          <w:b/>
          <w:color w:val="0D0D0D"/>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1"/>
        <w:gridCol w:w="2976"/>
        <w:gridCol w:w="5954"/>
      </w:tblGrid>
      <w:tr w:rsidR="008B6F82" w:rsidRPr="0054178A" w:rsidTr="00262F3E">
        <w:trPr>
          <w:trHeight w:val="535"/>
          <w:tblCellSpacing w:w="0" w:type="dxa"/>
        </w:trPr>
        <w:tc>
          <w:tcPr>
            <w:tcW w:w="9371" w:type="dxa"/>
            <w:gridSpan w:val="3"/>
            <w:tcBorders>
              <w:top w:val="outset" w:sz="6" w:space="0" w:color="auto"/>
              <w:left w:val="outset" w:sz="6" w:space="0" w:color="auto"/>
              <w:bottom w:val="outset" w:sz="6" w:space="0" w:color="auto"/>
              <w:right w:val="outset" w:sz="6" w:space="0" w:color="auto"/>
            </w:tcBorders>
            <w:vAlign w:val="center"/>
          </w:tcPr>
          <w:p w:rsidR="008B6F82" w:rsidRPr="0054178A" w:rsidRDefault="008B6F82" w:rsidP="0054178A">
            <w:pPr>
              <w:jc w:val="center"/>
              <w:rPr>
                <w:sz w:val="28"/>
                <w:szCs w:val="28"/>
              </w:rPr>
            </w:pPr>
            <w:bookmarkStart w:id="2" w:name="OLE_LINK3"/>
            <w:bookmarkStart w:id="3" w:name="OLE_LINK1"/>
            <w:bookmarkStart w:id="4" w:name="OLE_LINK2"/>
            <w:bookmarkStart w:id="5" w:name="OLE_LINK4"/>
            <w:r w:rsidRPr="0054178A">
              <w:rPr>
                <w:b/>
                <w:bCs/>
                <w:sz w:val="28"/>
                <w:szCs w:val="28"/>
              </w:rPr>
              <w:t>I. Tiesību akta projekta izstrādes nepieciešamība</w:t>
            </w:r>
          </w:p>
        </w:tc>
      </w:tr>
      <w:tr w:rsidR="008B6F82" w:rsidRPr="0054178A" w:rsidTr="00262F3E">
        <w:trPr>
          <w:trHeight w:val="2078"/>
          <w:tblCellSpacing w:w="0" w:type="dxa"/>
        </w:trPr>
        <w:tc>
          <w:tcPr>
            <w:tcW w:w="441" w:type="dxa"/>
            <w:tcBorders>
              <w:top w:val="outset" w:sz="6" w:space="0" w:color="auto"/>
              <w:left w:val="outset" w:sz="6" w:space="0" w:color="auto"/>
              <w:bottom w:val="outset" w:sz="6" w:space="0" w:color="auto"/>
              <w:right w:val="outset" w:sz="6" w:space="0" w:color="auto"/>
            </w:tcBorders>
          </w:tcPr>
          <w:p w:rsidR="008B6F82" w:rsidRPr="0054178A" w:rsidRDefault="008B6F82" w:rsidP="0054178A">
            <w:pPr>
              <w:jc w:val="center"/>
              <w:rPr>
                <w:sz w:val="28"/>
                <w:szCs w:val="28"/>
              </w:rPr>
            </w:pPr>
            <w:r w:rsidRPr="0054178A">
              <w:rPr>
                <w:sz w:val="28"/>
                <w:szCs w:val="28"/>
              </w:rPr>
              <w:t>1.</w:t>
            </w:r>
          </w:p>
        </w:tc>
        <w:tc>
          <w:tcPr>
            <w:tcW w:w="2976" w:type="dxa"/>
            <w:tcBorders>
              <w:top w:val="outset" w:sz="6" w:space="0" w:color="auto"/>
              <w:left w:val="outset" w:sz="6" w:space="0" w:color="auto"/>
              <w:bottom w:val="outset" w:sz="6" w:space="0" w:color="auto"/>
              <w:right w:val="outset" w:sz="6" w:space="0" w:color="auto"/>
            </w:tcBorders>
          </w:tcPr>
          <w:p w:rsidR="008B6F82" w:rsidRPr="0054178A" w:rsidRDefault="008B6F82" w:rsidP="0054178A">
            <w:pPr>
              <w:rPr>
                <w:sz w:val="28"/>
                <w:szCs w:val="28"/>
              </w:rPr>
            </w:pPr>
            <w:r w:rsidRPr="0054178A">
              <w:rPr>
                <w:sz w:val="28"/>
                <w:szCs w:val="28"/>
              </w:rPr>
              <w:t> Pamatojums</w:t>
            </w:r>
          </w:p>
        </w:tc>
        <w:tc>
          <w:tcPr>
            <w:tcW w:w="5954" w:type="dxa"/>
            <w:tcBorders>
              <w:top w:val="outset" w:sz="6" w:space="0" w:color="auto"/>
              <w:left w:val="outset" w:sz="6" w:space="0" w:color="auto"/>
              <w:bottom w:val="outset" w:sz="6" w:space="0" w:color="auto"/>
              <w:right w:val="outset" w:sz="6" w:space="0" w:color="auto"/>
            </w:tcBorders>
          </w:tcPr>
          <w:p w:rsidR="003D1FE9" w:rsidRPr="003D1FE9" w:rsidRDefault="00400F7E" w:rsidP="003D1FE9">
            <w:pPr>
              <w:ind w:firstLine="357"/>
              <w:jc w:val="both"/>
              <w:rPr>
                <w:sz w:val="28"/>
                <w:szCs w:val="28"/>
              </w:rPr>
            </w:pPr>
            <w:r w:rsidRPr="0054178A">
              <w:rPr>
                <w:sz w:val="28"/>
                <w:szCs w:val="28"/>
              </w:rPr>
              <w:t>Ministru kabineta noteikumu projekts „Grozījumi Ministru kabineta 2011.gada 27.decembra noteikumos Nr.1035 „Kārtība, kādā valsts finansē profesionālās ievirzes mākslu, mūzikas un dejas izglītības programmas”” (turpmāk</w:t>
            </w:r>
            <w:r w:rsidR="0054178A">
              <w:rPr>
                <w:sz w:val="28"/>
                <w:szCs w:val="28"/>
              </w:rPr>
              <w:t xml:space="preserve"> </w:t>
            </w:r>
            <w:r w:rsidRPr="0054178A">
              <w:rPr>
                <w:sz w:val="28"/>
                <w:szCs w:val="28"/>
              </w:rPr>
              <w:t xml:space="preserve">- </w:t>
            </w:r>
            <w:r w:rsidR="0054178A">
              <w:rPr>
                <w:sz w:val="28"/>
                <w:szCs w:val="28"/>
              </w:rPr>
              <w:t>p</w:t>
            </w:r>
            <w:r w:rsidRPr="0054178A">
              <w:rPr>
                <w:sz w:val="28"/>
                <w:szCs w:val="28"/>
              </w:rPr>
              <w:t>rojekts) izstrādāts</w:t>
            </w:r>
            <w:r w:rsidR="00105188">
              <w:rPr>
                <w:sz w:val="28"/>
                <w:szCs w:val="28"/>
              </w:rPr>
              <w:t>,</w:t>
            </w:r>
            <w:r w:rsidRPr="0054178A">
              <w:rPr>
                <w:sz w:val="28"/>
                <w:szCs w:val="28"/>
              </w:rPr>
              <w:t xml:space="preserve"> pamatojoties uz </w:t>
            </w:r>
            <w:r w:rsidR="00E67E4E" w:rsidRPr="0054178A">
              <w:rPr>
                <w:sz w:val="28"/>
                <w:szCs w:val="28"/>
              </w:rPr>
              <w:t xml:space="preserve">Ministru kabineta </w:t>
            </w:r>
            <w:r w:rsidR="00730EA3" w:rsidRPr="0054178A">
              <w:rPr>
                <w:sz w:val="28"/>
                <w:szCs w:val="28"/>
              </w:rPr>
              <w:t xml:space="preserve">2014.gada 7.aprīļa </w:t>
            </w:r>
            <w:r w:rsidR="0054178A">
              <w:rPr>
                <w:sz w:val="28"/>
                <w:szCs w:val="28"/>
              </w:rPr>
              <w:t>rīkojuma</w:t>
            </w:r>
            <w:r w:rsidR="00E67E4E" w:rsidRPr="0054178A">
              <w:rPr>
                <w:sz w:val="28"/>
                <w:szCs w:val="28"/>
              </w:rPr>
              <w:t xml:space="preserve"> Nr.151 „Par Valdības rīcības plānu Deklarācijas par Laimdotas Straujumas vadītā </w:t>
            </w:r>
            <w:r w:rsidR="00E67E4E" w:rsidRPr="003D1FE9">
              <w:rPr>
                <w:sz w:val="28"/>
                <w:szCs w:val="28"/>
              </w:rPr>
              <w:t>Ministru kabineta iecerēto darbīb</w:t>
            </w:r>
            <w:r w:rsidR="00426B45" w:rsidRPr="003D1FE9">
              <w:rPr>
                <w:sz w:val="28"/>
                <w:szCs w:val="28"/>
              </w:rPr>
              <w:t xml:space="preserve">u īstenošanu” </w:t>
            </w:r>
            <w:r w:rsidR="00182248" w:rsidRPr="003D1FE9">
              <w:rPr>
                <w:sz w:val="28"/>
                <w:szCs w:val="28"/>
              </w:rPr>
              <w:t xml:space="preserve">2.pielikuma „Valdības rīcības plāns Deklarācijas par Laimdotas Straujumas vadītā Ministru kabineta iecerēto darbību īstenošanai” </w:t>
            </w:r>
            <w:r w:rsidR="00426B45" w:rsidRPr="003D1FE9">
              <w:rPr>
                <w:sz w:val="28"/>
                <w:szCs w:val="28"/>
              </w:rPr>
              <w:t>132.1.</w:t>
            </w:r>
            <w:r w:rsidR="003D1FE9" w:rsidRPr="003D1FE9">
              <w:rPr>
                <w:sz w:val="28"/>
                <w:szCs w:val="28"/>
              </w:rPr>
              <w:t>apakšpunktu, kā arī saistībā ar:</w:t>
            </w:r>
          </w:p>
          <w:p w:rsidR="003D1FE9" w:rsidRPr="003D1FE9" w:rsidRDefault="003D1FE9" w:rsidP="003D1FE9">
            <w:pPr>
              <w:ind w:firstLine="357"/>
              <w:jc w:val="both"/>
              <w:rPr>
                <w:sz w:val="28"/>
                <w:szCs w:val="28"/>
              </w:rPr>
            </w:pPr>
            <w:r w:rsidRPr="003D1FE9">
              <w:rPr>
                <w:sz w:val="28"/>
                <w:szCs w:val="28"/>
              </w:rPr>
              <w:t>1) Sadarbības Memorandu, ko 2012.gada 4.jūlijā parakstīja Izglītības un zinātnes ministrija, Latvijas izglītības un zinātnes darbinieku arodbiedrība un arodbiedrība "Latvijas izglītības vadītāju asociācija", un saskaņā ar to izstrādāto  Informatīvo ziņojumu „Vispārējās un profesionālās izglītības pedagogu motivācijas, atalgojuma un profesionālās darbības kvalitātes novērtēšanas sistēmas sasaistes programma”, tās izstrāde un ieviešana”, kas pieņemta zināšanai Ministru kabineta 2013.gada 28.maija sēdē;</w:t>
            </w:r>
          </w:p>
          <w:p w:rsidR="00E961A0" w:rsidRPr="00E961A0" w:rsidRDefault="003D1FE9" w:rsidP="003D1FE9">
            <w:pPr>
              <w:ind w:firstLine="357"/>
              <w:jc w:val="both"/>
              <w:rPr>
                <w:sz w:val="28"/>
                <w:szCs w:val="28"/>
              </w:rPr>
            </w:pPr>
            <w:r w:rsidRPr="003D1FE9">
              <w:rPr>
                <w:sz w:val="28"/>
                <w:szCs w:val="28"/>
              </w:rPr>
              <w:t xml:space="preserve">2) </w:t>
            </w:r>
            <w:r w:rsidR="008C50BE">
              <w:rPr>
                <w:sz w:val="28"/>
                <w:szCs w:val="28"/>
              </w:rPr>
              <w:t xml:space="preserve">2014.gada 17.jūnija </w:t>
            </w:r>
            <w:r w:rsidR="00426B45" w:rsidRPr="003D1FE9">
              <w:rPr>
                <w:sz w:val="28"/>
                <w:szCs w:val="28"/>
              </w:rPr>
              <w:t>grozījumiem Ministru kabine</w:t>
            </w:r>
            <w:r w:rsidR="00D5396B">
              <w:rPr>
                <w:sz w:val="28"/>
                <w:szCs w:val="28"/>
              </w:rPr>
              <w:t>ta 2009.gada 28.jūlija noteikumos</w:t>
            </w:r>
            <w:r w:rsidR="00426B45" w:rsidRPr="003D1FE9">
              <w:rPr>
                <w:sz w:val="28"/>
                <w:szCs w:val="28"/>
              </w:rPr>
              <w:t xml:space="preserve"> Nr.836 „Pedagogu darba samaksas </w:t>
            </w:r>
            <w:r w:rsidRPr="003D1FE9">
              <w:rPr>
                <w:sz w:val="28"/>
                <w:szCs w:val="28"/>
              </w:rPr>
              <w:t>noteikumi”</w:t>
            </w:r>
            <w:r w:rsidR="00E744DC" w:rsidRPr="003D1FE9">
              <w:rPr>
                <w:sz w:val="28"/>
                <w:szCs w:val="28"/>
              </w:rPr>
              <w:t>.</w:t>
            </w:r>
          </w:p>
        </w:tc>
      </w:tr>
      <w:tr w:rsidR="008B6F82" w:rsidRPr="0054178A" w:rsidTr="00262F3E">
        <w:trPr>
          <w:trHeight w:val="472"/>
          <w:tblCellSpacing w:w="0" w:type="dxa"/>
        </w:trPr>
        <w:tc>
          <w:tcPr>
            <w:tcW w:w="441" w:type="dxa"/>
            <w:tcBorders>
              <w:top w:val="outset" w:sz="6" w:space="0" w:color="auto"/>
              <w:left w:val="outset" w:sz="6" w:space="0" w:color="auto"/>
              <w:bottom w:val="outset" w:sz="6" w:space="0" w:color="auto"/>
              <w:right w:val="outset" w:sz="6" w:space="0" w:color="auto"/>
            </w:tcBorders>
          </w:tcPr>
          <w:p w:rsidR="008B6F82" w:rsidRPr="0054178A" w:rsidRDefault="008B6F82" w:rsidP="0054178A">
            <w:pPr>
              <w:jc w:val="center"/>
              <w:rPr>
                <w:sz w:val="28"/>
                <w:szCs w:val="28"/>
              </w:rPr>
            </w:pPr>
            <w:r w:rsidRPr="0054178A">
              <w:rPr>
                <w:sz w:val="28"/>
                <w:szCs w:val="28"/>
              </w:rPr>
              <w:t>2.</w:t>
            </w:r>
          </w:p>
        </w:tc>
        <w:tc>
          <w:tcPr>
            <w:tcW w:w="2976" w:type="dxa"/>
            <w:tcBorders>
              <w:top w:val="outset" w:sz="6" w:space="0" w:color="auto"/>
              <w:left w:val="outset" w:sz="6" w:space="0" w:color="auto"/>
              <w:bottom w:val="outset" w:sz="6" w:space="0" w:color="auto"/>
              <w:right w:val="outset" w:sz="6" w:space="0" w:color="auto"/>
            </w:tcBorders>
          </w:tcPr>
          <w:p w:rsidR="008B6F82" w:rsidRPr="0054178A" w:rsidRDefault="008B6F82" w:rsidP="0054178A">
            <w:pPr>
              <w:rPr>
                <w:sz w:val="28"/>
                <w:szCs w:val="28"/>
              </w:rPr>
            </w:pPr>
            <w:r w:rsidRPr="0054178A">
              <w:rPr>
                <w:sz w:val="28"/>
                <w:szCs w:val="28"/>
              </w:rPr>
              <w:t>Pašreizējā situācija un problēmas</w:t>
            </w:r>
            <w:r w:rsidR="00503FA9" w:rsidRPr="0054178A">
              <w:rPr>
                <w:sz w:val="28"/>
                <w:szCs w:val="28"/>
              </w:rPr>
              <w:t>, kuru risināšanai tiesību akta projekts izstrādāts, tiesiskā regulējuma mērķis un būtība</w:t>
            </w:r>
          </w:p>
        </w:tc>
        <w:tc>
          <w:tcPr>
            <w:tcW w:w="5954" w:type="dxa"/>
            <w:tcBorders>
              <w:top w:val="outset" w:sz="6" w:space="0" w:color="auto"/>
              <w:left w:val="outset" w:sz="6" w:space="0" w:color="auto"/>
              <w:bottom w:val="outset" w:sz="6" w:space="0" w:color="auto"/>
              <w:right w:val="outset" w:sz="6" w:space="0" w:color="auto"/>
            </w:tcBorders>
          </w:tcPr>
          <w:p w:rsidR="009C4F0E" w:rsidRPr="0054178A" w:rsidRDefault="009C4F0E" w:rsidP="0054178A">
            <w:pPr>
              <w:ind w:firstLine="347"/>
              <w:jc w:val="both"/>
              <w:rPr>
                <w:sz w:val="28"/>
                <w:szCs w:val="28"/>
              </w:rPr>
            </w:pPr>
            <w:r w:rsidRPr="0054178A">
              <w:rPr>
                <w:sz w:val="28"/>
                <w:szCs w:val="28"/>
              </w:rPr>
              <w:t xml:space="preserve">Šobrīd spēkā esošo </w:t>
            </w:r>
            <w:r w:rsidRPr="0054178A">
              <w:rPr>
                <w:bCs/>
                <w:sz w:val="28"/>
                <w:szCs w:val="28"/>
                <w:lang w:eastAsia="lv-LV"/>
              </w:rPr>
              <w:t>Ministru kabineta 2011.gada 27.decembra noteikumu Nr.1035 „</w:t>
            </w:r>
            <w:r w:rsidRPr="0054178A">
              <w:rPr>
                <w:bCs/>
                <w:sz w:val="28"/>
                <w:szCs w:val="28"/>
              </w:rPr>
              <w:t>Kārtība, kādā valsts finansē profesionālās ievirzes mākslu, mūzikas un dejas izglītības programmas</w:t>
            </w:r>
            <w:r w:rsidRPr="0054178A">
              <w:rPr>
                <w:bCs/>
                <w:sz w:val="28"/>
                <w:szCs w:val="28"/>
                <w:lang w:eastAsia="lv-LV"/>
              </w:rPr>
              <w:t>”</w:t>
            </w:r>
            <w:r w:rsidRPr="0054178A">
              <w:rPr>
                <w:sz w:val="28"/>
                <w:szCs w:val="28"/>
              </w:rPr>
              <w:t xml:space="preserve"> redakcija nosaka piemaksas pedagogiem, kuri Eiropas Sociālā fonda projekta „Pedagogu konkurētspējas veicināšana izglītības sistēmas optimizācijas apstākļos” ietvaros, ir ieguvuši 3., 4. vai 5. kvalitātes </w:t>
            </w:r>
            <w:r w:rsidRPr="0054178A">
              <w:rPr>
                <w:sz w:val="28"/>
                <w:szCs w:val="28"/>
              </w:rPr>
              <w:lastRenderedPageBreak/>
              <w:t>pakāpi.</w:t>
            </w:r>
          </w:p>
          <w:p w:rsidR="009C4F0E" w:rsidRPr="0054178A" w:rsidRDefault="009C4F0E" w:rsidP="0054178A">
            <w:pPr>
              <w:ind w:firstLine="347"/>
              <w:jc w:val="both"/>
              <w:rPr>
                <w:sz w:val="28"/>
                <w:szCs w:val="28"/>
              </w:rPr>
            </w:pPr>
            <w:r w:rsidRPr="0054178A">
              <w:rPr>
                <w:sz w:val="28"/>
                <w:szCs w:val="28"/>
              </w:rPr>
              <w:t>Ar 2014.gada 1.septembri stājas spēkā grozījumi Ministru kabineta 2009.gada 28.jūlija noteikumu Nr.836 „Pedagogu darba samaksas noteikumi”</w:t>
            </w:r>
            <w:r w:rsidR="0054178A">
              <w:rPr>
                <w:sz w:val="28"/>
                <w:szCs w:val="28"/>
              </w:rPr>
              <w:t xml:space="preserve">   </w:t>
            </w:r>
            <w:r w:rsidRPr="0054178A">
              <w:rPr>
                <w:sz w:val="28"/>
                <w:szCs w:val="28"/>
              </w:rPr>
              <w:t xml:space="preserve"> 28.</w:t>
            </w:r>
            <w:r w:rsidRPr="0054178A">
              <w:rPr>
                <w:sz w:val="28"/>
                <w:szCs w:val="28"/>
                <w:vertAlign w:val="superscript"/>
              </w:rPr>
              <w:t>1</w:t>
            </w:r>
            <w:r w:rsidRPr="0054178A">
              <w:rPr>
                <w:sz w:val="28"/>
                <w:szCs w:val="28"/>
              </w:rPr>
              <w:t xml:space="preserve">punktā, kuri nosaka, ka visiem pedagogiem, kuriem ir piešķirta 3., 4. un 5. kvalitātes pakāpe, tiks piešķirta piemaksa attiecīgi 31,87 </w:t>
            </w:r>
            <w:r w:rsidRPr="0054178A">
              <w:rPr>
                <w:i/>
                <w:sz w:val="28"/>
                <w:szCs w:val="28"/>
              </w:rPr>
              <w:t xml:space="preserve">euro </w:t>
            </w:r>
            <w:r w:rsidRPr="0054178A">
              <w:rPr>
                <w:sz w:val="28"/>
                <w:szCs w:val="28"/>
              </w:rPr>
              <w:t xml:space="preserve">par 3.kvalitātes pakāpi, 79,68 </w:t>
            </w:r>
            <w:r w:rsidRPr="0054178A">
              <w:rPr>
                <w:i/>
                <w:sz w:val="28"/>
                <w:szCs w:val="28"/>
              </w:rPr>
              <w:t>euro</w:t>
            </w:r>
            <w:r w:rsidRPr="0054178A">
              <w:rPr>
                <w:sz w:val="28"/>
                <w:szCs w:val="28"/>
              </w:rPr>
              <w:t xml:space="preserve"> par 4.kvalitātes pakāpi un 99,60 </w:t>
            </w:r>
            <w:r w:rsidRPr="0054178A">
              <w:rPr>
                <w:i/>
                <w:sz w:val="28"/>
                <w:szCs w:val="28"/>
              </w:rPr>
              <w:t>euro</w:t>
            </w:r>
            <w:r w:rsidRPr="0054178A">
              <w:rPr>
                <w:sz w:val="28"/>
                <w:szCs w:val="28"/>
              </w:rPr>
              <w:t xml:space="preserve"> par 5.kvalitātes pakāpi vienai pedagoga darba likmei proporcionāli tarificētajai slodzei.</w:t>
            </w:r>
          </w:p>
          <w:p w:rsidR="009C4F0E" w:rsidRPr="0054178A" w:rsidRDefault="009C4F0E" w:rsidP="0054178A">
            <w:pPr>
              <w:ind w:firstLine="347"/>
              <w:jc w:val="both"/>
              <w:rPr>
                <w:sz w:val="28"/>
                <w:szCs w:val="28"/>
              </w:rPr>
            </w:pPr>
            <w:r w:rsidRPr="0054178A">
              <w:rPr>
                <w:sz w:val="28"/>
                <w:szCs w:val="28"/>
              </w:rPr>
              <w:t>Tādējādi, lai nodrošinātu piemaksas visiem pedagogiem, kuri ieguvuši 3., 4. vai 5.kvalifikācijas pakāpi, projekta 2.punktā paredzēts svītrot vārdus „Eiropas Sociālā fonda projekta „Pedagogu konkurētspējas veicināšanas izglītības sistēmas optimizācijas apstākļos” ietvaros”.</w:t>
            </w:r>
          </w:p>
          <w:p w:rsidR="009C4F0E" w:rsidRPr="0054178A" w:rsidRDefault="009C4F0E" w:rsidP="0054178A">
            <w:pPr>
              <w:pStyle w:val="tv213"/>
              <w:spacing w:before="0" w:beforeAutospacing="0" w:after="0" w:afterAutospacing="0"/>
              <w:ind w:firstLine="567"/>
              <w:jc w:val="both"/>
              <w:rPr>
                <w:sz w:val="28"/>
                <w:szCs w:val="28"/>
              </w:rPr>
            </w:pPr>
            <w:r w:rsidRPr="0054178A">
              <w:rPr>
                <w:sz w:val="28"/>
                <w:szCs w:val="28"/>
              </w:rPr>
              <w:t>Vienlaikus projekts ir precizēts attiecībā uz:</w:t>
            </w:r>
          </w:p>
          <w:p w:rsidR="009C4F0E" w:rsidRPr="0054178A" w:rsidRDefault="009C4F0E" w:rsidP="0054178A">
            <w:pPr>
              <w:pStyle w:val="tv213"/>
              <w:spacing w:before="0" w:beforeAutospacing="0" w:after="0" w:afterAutospacing="0"/>
              <w:ind w:firstLine="567"/>
              <w:jc w:val="both"/>
              <w:rPr>
                <w:sz w:val="28"/>
                <w:szCs w:val="28"/>
              </w:rPr>
            </w:pPr>
            <w:r w:rsidRPr="0054178A">
              <w:rPr>
                <w:sz w:val="28"/>
                <w:szCs w:val="28"/>
              </w:rPr>
              <w:t>1) kārtību, kādā izglītības iestādes iesniedz Latvijas Nacionālajā kultūras centrā izglītības iestādes dibinātāja apstiprinātu dotācijas pieteikumu nākamajam budžeta gadam un izglītības iestādes dibinātāja apstiprinātu tarifikāciju;</w:t>
            </w:r>
          </w:p>
          <w:p w:rsidR="009C4F0E" w:rsidRPr="0054178A" w:rsidRDefault="009C4F0E" w:rsidP="0054178A">
            <w:pPr>
              <w:ind w:firstLine="567"/>
              <w:jc w:val="both"/>
              <w:rPr>
                <w:sz w:val="28"/>
                <w:szCs w:val="28"/>
              </w:rPr>
            </w:pPr>
            <w:r w:rsidRPr="0054178A">
              <w:rPr>
                <w:sz w:val="28"/>
                <w:szCs w:val="28"/>
              </w:rPr>
              <w:t xml:space="preserve">2) kārtību, kādā nosaka dotācijas apmēru pedagogu darba samaksas noteikumos noteiktajām pedagoga profesionālās darbības kvalitātes piemaksām attiecīgajā izglītības iestādē </w:t>
            </w:r>
          </w:p>
          <w:p w:rsidR="009C4F0E" w:rsidRPr="0054178A" w:rsidRDefault="009C4F0E" w:rsidP="0054178A">
            <w:pPr>
              <w:pStyle w:val="tv213"/>
              <w:spacing w:before="0" w:beforeAutospacing="0" w:after="0" w:afterAutospacing="0"/>
              <w:ind w:firstLine="567"/>
              <w:jc w:val="both"/>
              <w:rPr>
                <w:sz w:val="28"/>
                <w:szCs w:val="28"/>
              </w:rPr>
            </w:pPr>
            <w:r w:rsidRPr="0054178A">
              <w:rPr>
                <w:sz w:val="28"/>
                <w:szCs w:val="28"/>
              </w:rPr>
              <w:t>3) kārtību, kādā aprēķina dotācijas apmēru pedagogu profesionālās darbības kvalitātes piemaksām laikposmā no 2014.gada 1.septembra līdz 31.decembrim un no 2015.gada 1.janvāra līdz 31.decembrim.</w:t>
            </w:r>
          </w:p>
          <w:p w:rsidR="009C4F0E" w:rsidRPr="0054178A" w:rsidRDefault="009C4F0E" w:rsidP="0054178A">
            <w:pPr>
              <w:ind w:firstLine="347"/>
              <w:jc w:val="both"/>
              <w:rPr>
                <w:sz w:val="28"/>
                <w:szCs w:val="28"/>
              </w:rPr>
            </w:pPr>
            <w:r w:rsidRPr="0054178A">
              <w:rPr>
                <w:sz w:val="28"/>
                <w:szCs w:val="28"/>
              </w:rPr>
              <w:t xml:space="preserve">Lai nodrošinātu piešķirtās valsts budžeta dotācijas izlietojuma kontroli, projekta 18.punkts ir izteikts jaunā redakcijā, nosakot, ka pašvaldībām pārskats par izglītības iestādei piešķirtās dotācijas izlietojumu profesionālās ievirzes programmu pedagogu darba samaksai un valsts sociālās apdrošināšanas obligātajām iemaksām jāiesniedz Valsts kases ministriju, centrālo valsts iestāžu un pašvaldību informācijas sistēmā. Attiecīgi precizēta ir projekta 3.pielikumā norādītā pārskata </w:t>
            </w:r>
            <w:r w:rsidRPr="0054178A">
              <w:rPr>
                <w:sz w:val="28"/>
                <w:szCs w:val="28"/>
              </w:rPr>
              <w:lastRenderedPageBreak/>
              <w:t xml:space="preserve">iesniegšanas veidlapa „Pārskats </w:t>
            </w:r>
            <w:r w:rsidRPr="0054178A">
              <w:rPr>
                <w:bCs/>
                <w:sz w:val="28"/>
                <w:szCs w:val="28"/>
              </w:rPr>
              <w:t>par dotācijas izlietojumu atbilstoši normatīvajos aktos budžeta izdevumu klasifikācijas jomā noteiktajai atlīdzības klasifikācijai”</w:t>
            </w:r>
            <w:r w:rsidRPr="0054178A">
              <w:rPr>
                <w:sz w:val="28"/>
                <w:szCs w:val="28"/>
              </w:rPr>
              <w:t xml:space="preserve">. Projekta 3.pielikumā norādītā pārskata veidlapas „Pārskats </w:t>
            </w:r>
            <w:r w:rsidRPr="0054178A">
              <w:rPr>
                <w:bCs/>
                <w:sz w:val="28"/>
                <w:szCs w:val="28"/>
              </w:rPr>
              <w:t xml:space="preserve">par dotācijas izlietojumu atbilstoši normatīvajos aktos budžeta izdevumu klasifikācijas jomā noteiktajai atlīdzības klasifikācijai” </w:t>
            </w:r>
            <w:r w:rsidRPr="0054178A">
              <w:rPr>
                <w:sz w:val="28"/>
                <w:szCs w:val="28"/>
              </w:rPr>
              <w:t xml:space="preserve">forma ir saskaņota ar Valsts kasi. </w:t>
            </w:r>
          </w:p>
          <w:p w:rsidR="00CF4C01" w:rsidRPr="0054178A" w:rsidRDefault="009C4F0E" w:rsidP="0054178A">
            <w:pPr>
              <w:ind w:firstLine="347"/>
              <w:jc w:val="both"/>
              <w:rPr>
                <w:sz w:val="28"/>
                <w:szCs w:val="28"/>
              </w:rPr>
            </w:pPr>
            <w:r w:rsidRPr="0054178A">
              <w:rPr>
                <w:sz w:val="28"/>
                <w:szCs w:val="28"/>
              </w:rPr>
              <w:t>Projekta 1.pielikuma „</w:t>
            </w:r>
            <w:r w:rsidRPr="0054178A">
              <w:rPr>
                <w:bCs/>
                <w:sz w:val="28"/>
                <w:szCs w:val="28"/>
              </w:rPr>
              <w:t>Valsts budžeta finansētās profesionālās ievirzes izglītības programmas”</w:t>
            </w:r>
            <w:r w:rsidRPr="0054178A">
              <w:rPr>
                <w:b/>
                <w:bCs/>
                <w:sz w:val="28"/>
                <w:szCs w:val="28"/>
              </w:rPr>
              <w:t xml:space="preserve"> </w:t>
            </w:r>
            <w:r w:rsidRPr="0054178A">
              <w:rPr>
                <w:sz w:val="28"/>
                <w:szCs w:val="28"/>
              </w:rPr>
              <w:t>tabula ir precizēta un nosaka no valsts budžeta apmaksājamās profesionālās ievirzes izglītības programmas.</w:t>
            </w:r>
            <w:r w:rsidR="00D20840" w:rsidRPr="0054178A">
              <w:rPr>
                <w:sz w:val="28"/>
                <w:szCs w:val="28"/>
              </w:rPr>
              <w:t xml:space="preserve"> </w:t>
            </w:r>
            <w:r w:rsidR="00196653" w:rsidRPr="0054178A">
              <w:rPr>
                <w:sz w:val="28"/>
                <w:szCs w:val="28"/>
              </w:rPr>
              <w:t>Projekta 2.pielikums ir papildināts ar 2.tabulu, kur</w:t>
            </w:r>
            <w:r w:rsidR="0054178A">
              <w:rPr>
                <w:sz w:val="28"/>
                <w:szCs w:val="28"/>
              </w:rPr>
              <w:t>ā</w:t>
            </w:r>
            <w:r w:rsidR="00196653" w:rsidRPr="0054178A">
              <w:rPr>
                <w:sz w:val="28"/>
                <w:szCs w:val="28"/>
              </w:rPr>
              <w:t xml:space="preserve"> norād</w:t>
            </w:r>
            <w:r w:rsidR="0054178A">
              <w:rPr>
                <w:sz w:val="28"/>
                <w:szCs w:val="28"/>
              </w:rPr>
              <w:t>īts</w:t>
            </w:r>
            <w:r w:rsidR="00196653" w:rsidRPr="0054178A">
              <w:rPr>
                <w:sz w:val="28"/>
                <w:szCs w:val="28"/>
              </w:rPr>
              <w:t xml:space="preserve"> pedagogu un pedagoģisko likmju skaits pedagogiem, kuri ieguvuši 3., 4. vai 5.kvalitātes pakāpi.</w:t>
            </w:r>
          </w:p>
        </w:tc>
      </w:tr>
      <w:tr w:rsidR="008B6F82" w:rsidRPr="0054178A" w:rsidTr="00262F3E">
        <w:trPr>
          <w:trHeight w:val="476"/>
          <w:tblCellSpacing w:w="0" w:type="dxa"/>
        </w:trPr>
        <w:tc>
          <w:tcPr>
            <w:tcW w:w="441" w:type="dxa"/>
            <w:tcBorders>
              <w:top w:val="outset" w:sz="6" w:space="0" w:color="auto"/>
              <w:left w:val="outset" w:sz="6" w:space="0" w:color="auto"/>
              <w:bottom w:val="outset" w:sz="6" w:space="0" w:color="auto"/>
              <w:right w:val="outset" w:sz="6" w:space="0" w:color="auto"/>
            </w:tcBorders>
          </w:tcPr>
          <w:p w:rsidR="008B6F82" w:rsidRPr="0054178A" w:rsidRDefault="003E7A49" w:rsidP="0054178A">
            <w:pPr>
              <w:jc w:val="center"/>
              <w:rPr>
                <w:sz w:val="28"/>
                <w:szCs w:val="28"/>
              </w:rPr>
            </w:pPr>
            <w:r w:rsidRPr="0054178A">
              <w:rPr>
                <w:sz w:val="28"/>
                <w:szCs w:val="28"/>
              </w:rPr>
              <w:lastRenderedPageBreak/>
              <w:t>3</w:t>
            </w:r>
            <w:r w:rsidR="008B6F82" w:rsidRPr="0054178A">
              <w:rPr>
                <w:sz w:val="28"/>
                <w:szCs w:val="28"/>
              </w:rPr>
              <w:t>.</w:t>
            </w:r>
          </w:p>
        </w:tc>
        <w:tc>
          <w:tcPr>
            <w:tcW w:w="2976" w:type="dxa"/>
            <w:tcBorders>
              <w:top w:val="outset" w:sz="6" w:space="0" w:color="auto"/>
              <w:left w:val="outset" w:sz="6" w:space="0" w:color="auto"/>
              <w:bottom w:val="outset" w:sz="6" w:space="0" w:color="auto"/>
              <w:right w:val="outset" w:sz="6" w:space="0" w:color="auto"/>
            </w:tcBorders>
          </w:tcPr>
          <w:p w:rsidR="008B6F82" w:rsidRPr="0054178A" w:rsidRDefault="008B6F82" w:rsidP="0054178A">
            <w:pPr>
              <w:rPr>
                <w:sz w:val="28"/>
                <w:szCs w:val="28"/>
              </w:rPr>
            </w:pPr>
            <w:r w:rsidRPr="0054178A">
              <w:rPr>
                <w:sz w:val="28"/>
                <w:szCs w:val="28"/>
              </w:rPr>
              <w:t> Projekta izstrādē iesaistītās institūcijas</w:t>
            </w:r>
          </w:p>
        </w:tc>
        <w:tc>
          <w:tcPr>
            <w:tcW w:w="5954" w:type="dxa"/>
            <w:tcBorders>
              <w:top w:val="outset" w:sz="6" w:space="0" w:color="auto"/>
              <w:left w:val="outset" w:sz="6" w:space="0" w:color="auto"/>
              <w:bottom w:val="outset" w:sz="6" w:space="0" w:color="auto"/>
              <w:right w:val="outset" w:sz="6" w:space="0" w:color="auto"/>
            </w:tcBorders>
          </w:tcPr>
          <w:p w:rsidR="008B6F82" w:rsidRPr="0054178A" w:rsidRDefault="00B3512D" w:rsidP="0054178A">
            <w:pPr>
              <w:ind w:left="57" w:right="57" w:firstLine="354"/>
              <w:jc w:val="both"/>
              <w:rPr>
                <w:sz w:val="28"/>
                <w:szCs w:val="28"/>
              </w:rPr>
            </w:pPr>
            <w:r w:rsidRPr="0054178A">
              <w:rPr>
                <w:sz w:val="28"/>
                <w:szCs w:val="28"/>
                <w:lang w:eastAsia="lv-LV"/>
              </w:rPr>
              <w:t>Kultūras ministrija, Latvij</w:t>
            </w:r>
            <w:r w:rsidR="00122C78" w:rsidRPr="0054178A">
              <w:rPr>
                <w:sz w:val="28"/>
                <w:szCs w:val="28"/>
                <w:lang w:eastAsia="lv-LV"/>
              </w:rPr>
              <w:t>as Nacionālais kultūras centrs.</w:t>
            </w:r>
          </w:p>
        </w:tc>
      </w:tr>
      <w:tr w:rsidR="008B6F82" w:rsidRPr="0054178A" w:rsidTr="00262F3E">
        <w:trPr>
          <w:trHeight w:val="506"/>
          <w:tblCellSpacing w:w="0" w:type="dxa"/>
        </w:trPr>
        <w:tc>
          <w:tcPr>
            <w:tcW w:w="441" w:type="dxa"/>
            <w:tcBorders>
              <w:top w:val="outset" w:sz="6" w:space="0" w:color="auto"/>
              <w:left w:val="outset" w:sz="6" w:space="0" w:color="auto"/>
              <w:bottom w:val="outset" w:sz="6" w:space="0" w:color="auto"/>
              <w:right w:val="outset" w:sz="6" w:space="0" w:color="auto"/>
            </w:tcBorders>
          </w:tcPr>
          <w:p w:rsidR="008B6F82" w:rsidRPr="0054178A" w:rsidRDefault="008207E7" w:rsidP="0054178A">
            <w:pPr>
              <w:jc w:val="center"/>
              <w:rPr>
                <w:sz w:val="28"/>
                <w:szCs w:val="28"/>
              </w:rPr>
            </w:pPr>
            <w:r w:rsidRPr="0054178A">
              <w:rPr>
                <w:sz w:val="28"/>
                <w:szCs w:val="28"/>
              </w:rPr>
              <w:t>4</w:t>
            </w:r>
            <w:r w:rsidR="008B6F82" w:rsidRPr="0054178A">
              <w:rPr>
                <w:sz w:val="28"/>
                <w:szCs w:val="28"/>
              </w:rPr>
              <w:t>.</w:t>
            </w:r>
          </w:p>
        </w:tc>
        <w:tc>
          <w:tcPr>
            <w:tcW w:w="2976" w:type="dxa"/>
            <w:tcBorders>
              <w:top w:val="outset" w:sz="6" w:space="0" w:color="auto"/>
              <w:left w:val="outset" w:sz="6" w:space="0" w:color="auto"/>
              <w:bottom w:val="outset" w:sz="6" w:space="0" w:color="auto"/>
              <w:right w:val="outset" w:sz="6" w:space="0" w:color="auto"/>
            </w:tcBorders>
          </w:tcPr>
          <w:p w:rsidR="008B6F82" w:rsidRPr="0054178A" w:rsidRDefault="008B6F82" w:rsidP="0054178A">
            <w:pPr>
              <w:rPr>
                <w:sz w:val="28"/>
                <w:szCs w:val="28"/>
              </w:rPr>
            </w:pPr>
            <w:r w:rsidRPr="0054178A">
              <w:rPr>
                <w:sz w:val="28"/>
                <w:szCs w:val="28"/>
              </w:rPr>
              <w:t> Cita informācija</w:t>
            </w:r>
          </w:p>
        </w:tc>
        <w:tc>
          <w:tcPr>
            <w:tcW w:w="5954" w:type="dxa"/>
            <w:tcBorders>
              <w:top w:val="outset" w:sz="6" w:space="0" w:color="auto"/>
              <w:left w:val="outset" w:sz="6" w:space="0" w:color="auto"/>
              <w:bottom w:val="outset" w:sz="6" w:space="0" w:color="auto"/>
              <w:right w:val="outset" w:sz="6" w:space="0" w:color="auto"/>
            </w:tcBorders>
          </w:tcPr>
          <w:p w:rsidR="008B6F82" w:rsidRPr="0054178A" w:rsidRDefault="009C5548" w:rsidP="0054178A">
            <w:pPr>
              <w:tabs>
                <w:tab w:val="left" w:pos="438"/>
              </w:tabs>
              <w:ind w:firstLine="411"/>
              <w:jc w:val="both"/>
              <w:rPr>
                <w:sz w:val="28"/>
                <w:szCs w:val="28"/>
              </w:rPr>
            </w:pPr>
            <w:r w:rsidRPr="0054178A">
              <w:rPr>
                <w:sz w:val="28"/>
                <w:szCs w:val="28"/>
              </w:rPr>
              <w:t>Nav</w:t>
            </w:r>
          </w:p>
        </w:tc>
      </w:tr>
    </w:tbl>
    <w:p w:rsidR="008B6F82" w:rsidRPr="0054178A" w:rsidRDefault="008B6F82" w:rsidP="0054178A">
      <w:pPr>
        <w:jc w:val="both"/>
        <w:rPr>
          <w:sz w:val="28"/>
          <w:szCs w:val="28"/>
        </w:rPr>
      </w:pPr>
    </w:p>
    <w:tbl>
      <w:tblPr>
        <w:tblpPr w:leftFromText="180" w:rightFromText="180" w:vertAnchor="text" w:horzAnchor="margin" w:tblpXSpec="center" w:tblpY="149"/>
        <w:tblW w:w="950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000"/>
      </w:tblPr>
      <w:tblGrid>
        <w:gridCol w:w="568"/>
        <w:gridCol w:w="2976"/>
        <w:gridCol w:w="5959"/>
      </w:tblGrid>
      <w:tr w:rsidR="008B6F82" w:rsidRPr="0054178A" w:rsidTr="00D62B59">
        <w:trPr>
          <w:trHeight w:val="560"/>
        </w:trPr>
        <w:tc>
          <w:tcPr>
            <w:tcW w:w="9503" w:type="dxa"/>
            <w:gridSpan w:val="3"/>
            <w:vAlign w:val="center"/>
          </w:tcPr>
          <w:p w:rsidR="008B6F82" w:rsidRPr="0054178A" w:rsidRDefault="008B6F82" w:rsidP="0054178A">
            <w:pPr>
              <w:pStyle w:val="naisnod"/>
              <w:spacing w:before="0" w:beforeAutospacing="0" w:after="0" w:afterAutospacing="0"/>
              <w:jc w:val="center"/>
              <w:rPr>
                <w:b/>
                <w:sz w:val="28"/>
                <w:szCs w:val="28"/>
              </w:rPr>
            </w:pPr>
            <w:r w:rsidRPr="0054178A">
              <w:rPr>
                <w:b/>
                <w:sz w:val="28"/>
                <w:szCs w:val="28"/>
              </w:rPr>
              <w:t>II. Tiesību akta projekta ietekme uz sabiedrību</w:t>
            </w:r>
            <w:r w:rsidR="00C141CC" w:rsidRPr="0054178A">
              <w:rPr>
                <w:b/>
                <w:sz w:val="28"/>
                <w:szCs w:val="28"/>
              </w:rPr>
              <w:t>, tautsaimniecības attīstību un administratīvo slogu</w:t>
            </w:r>
          </w:p>
        </w:tc>
      </w:tr>
      <w:tr w:rsidR="008B6F82" w:rsidRPr="0054178A" w:rsidTr="00D62B59">
        <w:trPr>
          <w:trHeight w:val="467"/>
        </w:trPr>
        <w:tc>
          <w:tcPr>
            <w:tcW w:w="568" w:type="dxa"/>
          </w:tcPr>
          <w:p w:rsidR="008B6F82" w:rsidRPr="0054178A" w:rsidRDefault="008B6F82" w:rsidP="0054178A">
            <w:pPr>
              <w:pStyle w:val="naiskr"/>
              <w:spacing w:before="0" w:beforeAutospacing="0" w:after="0" w:afterAutospacing="0"/>
              <w:jc w:val="center"/>
              <w:rPr>
                <w:sz w:val="28"/>
                <w:szCs w:val="28"/>
              </w:rPr>
            </w:pPr>
            <w:r w:rsidRPr="0054178A">
              <w:rPr>
                <w:sz w:val="28"/>
                <w:szCs w:val="28"/>
              </w:rPr>
              <w:t>1.</w:t>
            </w:r>
          </w:p>
        </w:tc>
        <w:tc>
          <w:tcPr>
            <w:tcW w:w="2976" w:type="dxa"/>
          </w:tcPr>
          <w:p w:rsidR="008B6F82" w:rsidRPr="0054178A" w:rsidRDefault="008B6F82" w:rsidP="0054178A">
            <w:pPr>
              <w:pStyle w:val="naiskr"/>
              <w:spacing w:before="0" w:beforeAutospacing="0" w:after="0" w:afterAutospacing="0"/>
              <w:rPr>
                <w:sz w:val="28"/>
                <w:szCs w:val="28"/>
              </w:rPr>
            </w:pPr>
            <w:r w:rsidRPr="0054178A">
              <w:rPr>
                <w:sz w:val="28"/>
                <w:szCs w:val="28"/>
              </w:rPr>
              <w:t>Sabiedrības mērķgrupa</w:t>
            </w:r>
            <w:r w:rsidR="00ED7F41" w:rsidRPr="0054178A">
              <w:rPr>
                <w:sz w:val="28"/>
                <w:szCs w:val="28"/>
              </w:rPr>
              <w:t>, kuras tiesiskais regulējums</w:t>
            </w:r>
            <w:r w:rsidR="008207E7" w:rsidRPr="0054178A">
              <w:rPr>
                <w:sz w:val="28"/>
                <w:szCs w:val="28"/>
              </w:rPr>
              <w:t xml:space="preserve"> ietekmē vai varētu ietekmēt</w:t>
            </w:r>
          </w:p>
        </w:tc>
        <w:tc>
          <w:tcPr>
            <w:tcW w:w="5959" w:type="dxa"/>
          </w:tcPr>
          <w:p w:rsidR="008B6F82" w:rsidRPr="0054178A" w:rsidRDefault="000178F6" w:rsidP="0054178A">
            <w:pPr>
              <w:pStyle w:val="naiskr"/>
              <w:spacing w:before="0" w:beforeAutospacing="0" w:after="0" w:afterAutospacing="0"/>
              <w:ind w:firstLine="426"/>
              <w:jc w:val="both"/>
              <w:rPr>
                <w:iCs/>
                <w:sz w:val="28"/>
                <w:szCs w:val="28"/>
              </w:rPr>
            </w:pPr>
            <w:r w:rsidRPr="0054178A">
              <w:rPr>
                <w:sz w:val="28"/>
                <w:szCs w:val="28"/>
              </w:rPr>
              <w:t>P</w:t>
            </w:r>
            <w:r w:rsidR="00B3512D" w:rsidRPr="0054178A">
              <w:rPr>
                <w:sz w:val="28"/>
                <w:szCs w:val="28"/>
              </w:rPr>
              <w:t xml:space="preserve">rojekts attiecas uz pašvaldību un </w:t>
            </w:r>
            <w:r w:rsidR="00730EA3" w:rsidRPr="0054178A">
              <w:rPr>
                <w:sz w:val="28"/>
                <w:szCs w:val="28"/>
              </w:rPr>
              <w:t xml:space="preserve">juridisku personu dibinātajām </w:t>
            </w:r>
            <w:r w:rsidR="00B3512D" w:rsidRPr="0054178A">
              <w:rPr>
                <w:sz w:val="28"/>
                <w:szCs w:val="28"/>
              </w:rPr>
              <w:t xml:space="preserve">izglītības iestādēm, kas īsteno profesionālās ievirzes izglītības programmas </w:t>
            </w:r>
            <w:r w:rsidR="00D82E5A" w:rsidRPr="0054178A">
              <w:rPr>
                <w:bCs/>
                <w:sz w:val="28"/>
                <w:szCs w:val="28"/>
              </w:rPr>
              <w:t>mākslā</w:t>
            </w:r>
            <w:r w:rsidR="00B3512D" w:rsidRPr="0054178A">
              <w:rPr>
                <w:bCs/>
                <w:sz w:val="28"/>
                <w:szCs w:val="28"/>
              </w:rPr>
              <w:t>, mūzikā un dejā.</w:t>
            </w:r>
            <w:r w:rsidR="00B3512D" w:rsidRPr="0054178A">
              <w:rPr>
                <w:sz w:val="28"/>
                <w:szCs w:val="28"/>
              </w:rPr>
              <w:t xml:space="preserve"> </w:t>
            </w:r>
          </w:p>
        </w:tc>
      </w:tr>
      <w:tr w:rsidR="00B3512D" w:rsidRPr="0054178A" w:rsidTr="00D62B59">
        <w:trPr>
          <w:trHeight w:val="523"/>
        </w:trPr>
        <w:tc>
          <w:tcPr>
            <w:tcW w:w="568" w:type="dxa"/>
          </w:tcPr>
          <w:p w:rsidR="00B3512D" w:rsidRPr="0054178A" w:rsidRDefault="00B3512D" w:rsidP="0054178A">
            <w:pPr>
              <w:pStyle w:val="naiskr"/>
              <w:spacing w:before="0" w:beforeAutospacing="0" w:after="0" w:afterAutospacing="0"/>
              <w:jc w:val="center"/>
              <w:rPr>
                <w:sz w:val="28"/>
                <w:szCs w:val="28"/>
              </w:rPr>
            </w:pPr>
            <w:r w:rsidRPr="0054178A">
              <w:rPr>
                <w:sz w:val="28"/>
                <w:szCs w:val="28"/>
              </w:rPr>
              <w:t>2.</w:t>
            </w:r>
          </w:p>
        </w:tc>
        <w:tc>
          <w:tcPr>
            <w:tcW w:w="2976" w:type="dxa"/>
          </w:tcPr>
          <w:p w:rsidR="00B3512D" w:rsidRPr="0054178A" w:rsidRDefault="00B3512D" w:rsidP="0054178A">
            <w:pPr>
              <w:pStyle w:val="naiskr"/>
              <w:spacing w:before="0" w:beforeAutospacing="0" w:after="0" w:afterAutospacing="0"/>
              <w:rPr>
                <w:sz w:val="28"/>
                <w:szCs w:val="28"/>
              </w:rPr>
            </w:pPr>
            <w:r w:rsidRPr="0054178A">
              <w:rPr>
                <w:sz w:val="28"/>
                <w:szCs w:val="28"/>
              </w:rPr>
              <w:t>Tiesiskā regulējuma ietekme uz tautsaimniecību un administratīvo slogu</w:t>
            </w:r>
          </w:p>
        </w:tc>
        <w:tc>
          <w:tcPr>
            <w:tcW w:w="5959" w:type="dxa"/>
          </w:tcPr>
          <w:p w:rsidR="00B3512D" w:rsidRPr="0054178A" w:rsidRDefault="00B3512D" w:rsidP="0054178A">
            <w:pPr>
              <w:ind w:firstLine="409"/>
              <w:jc w:val="both"/>
              <w:rPr>
                <w:sz w:val="28"/>
                <w:szCs w:val="28"/>
              </w:rPr>
            </w:pPr>
            <w:r w:rsidRPr="0054178A">
              <w:rPr>
                <w:sz w:val="28"/>
                <w:szCs w:val="28"/>
              </w:rPr>
              <w:t>Tiesiskais regulējums tiks īstenots kārtējam gadam apstiprinātā budžeta ietvaros</w:t>
            </w:r>
            <w:r w:rsidR="00EA43B6" w:rsidRPr="0054178A">
              <w:rPr>
                <w:sz w:val="28"/>
                <w:szCs w:val="28"/>
              </w:rPr>
              <w:t>.</w:t>
            </w:r>
          </w:p>
        </w:tc>
      </w:tr>
      <w:tr w:rsidR="00B3512D" w:rsidRPr="0054178A" w:rsidTr="00D62B59">
        <w:trPr>
          <w:trHeight w:val="357"/>
        </w:trPr>
        <w:tc>
          <w:tcPr>
            <w:tcW w:w="568" w:type="dxa"/>
          </w:tcPr>
          <w:p w:rsidR="00B3512D" w:rsidRPr="0054178A" w:rsidRDefault="00B3512D" w:rsidP="0054178A">
            <w:pPr>
              <w:pStyle w:val="naiskr"/>
              <w:spacing w:before="0" w:beforeAutospacing="0" w:after="0" w:afterAutospacing="0"/>
              <w:jc w:val="center"/>
              <w:rPr>
                <w:sz w:val="28"/>
                <w:szCs w:val="28"/>
              </w:rPr>
            </w:pPr>
            <w:r w:rsidRPr="0054178A">
              <w:rPr>
                <w:sz w:val="28"/>
                <w:szCs w:val="28"/>
              </w:rPr>
              <w:t>3.</w:t>
            </w:r>
          </w:p>
        </w:tc>
        <w:tc>
          <w:tcPr>
            <w:tcW w:w="2976" w:type="dxa"/>
          </w:tcPr>
          <w:p w:rsidR="00B3512D" w:rsidRPr="0054178A" w:rsidRDefault="00B3512D" w:rsidP="0054178A">
            <w:pPr>
              <w:pStyle w:val="naiskr"/>
              <w:spacing w:before="0" w:beforeAutospacing="0" w:after="0" w:afterAutospacing="0"/>
              <w:rPr>
                <w:sz w:val="28"/>
                <w:szCs w:val="28"/>
              </w:rPr>
            </w:pPr>
            <w:r w:rsidRPr="0054178A">
              <w:rPr>
                <w:sz w:val="28"/>
                <w:szCs w:val="28"/>
              </w:rPr>
              <w:t>Administratīvo izmaksu monetārs novērtējums</w:t>
            </w:r>
          </w:p>
        </w:tc>
        <w:tc>
          <w:tcPr>
            <w:tcW w:w="5959" w:type="dxa"/>
          </w:tcPr>
          <w:p w:rsidR="00B3512D" w:rsidRPr="0054178A" w:rsidRDefault="00B3512D" w:rsidP="0054178A">
            <w:pPr>
              <w:jc w:val="both"/>
              <w:rPr>
                <w:sz w:val="28"/>
                <w:szCs w:val="28"/>
                <w:lang w:eastAsia="lv-LV"/>
              </w:rPr>
            </w:pPr>
            <w:r w:rsidRPr="0054178A">
              <w:rPr>
                <w:sz w:val="28"/>
                <w:szCs w:val="28"/>
              </w:rPr>
              <w:t xml:space="preserve"> Projekts šo jomu neskar.</w:t>
            </w:r>
          </w:p>
        </w:tc>
      </w:tr>
      <w:tr w:rsidR="00B3512D" w:rsidRPr="0054178A" w:rsidTr="00D62B59">
        <w:trPr>
          <w:trHeight w:val="568"/>
        </w:trPr>
        <w:tc>
          <w:tcPr>
            <w:tcW w:w="568" w:type="dxa"/>
          </w:tcPr>
          <w:p w:rsidR="00B3512D" w:rsidRPr="0054178A" w:rsidRDefault="00B3512D" w:rsidP="0054178A">
            <w:pPr>
              <w:pStyle w:val="naiskr"/>
              <w:spacing w:before="0" w:beforeAutospacing="0" w:after="0" w:afterAutospacing="0"/>
              <w:jc w:val="center"/>
              <w:rPr>
                <w:sz w:val="28"/>
                <w:szCs w:val="28"/>
              </w:rPr>
            </w:pPr>
            <w:r w:rsidRPr="0054178A">
              <w:rPr>
                <w:sz w:val="28"/>
                <w:szCs w:val="28"/>
              </w:rPr>
              <w:t>4.</w:t>
            </w:r>
          </w:p>
        </w:tc>
        <w:tc>
          <w:tcPr>
            <w:tcW w:w="2976" w:type="dxa"/>
          </w:tcPr>
          <w:p w:rsidR="00B3512D" w:rsidRPr="0054178A" w:rsidRDefault="00B3512D" w:rsidP="0054178A">
            <w:pPr>
              <w:pStyle w:val="naiskr"/>
              <w:spacing w:before="0" w:beforeAutospacing="0" w:after="0" w:afterAutospacing="0"/>
              <w:rPr>
                <w:sz w:val="28"/>
                <w:szCs w:val="28"/>
              </w:rPr>
            </w:pPr>
            <w:r w:rsidRPr="0054178A">
              <w:rPr>
                <w:sz w:val="28"/>
                <w:szCs w:val="28"/>
              </w:rPr>
              <w:t>Cita informācija</w:t>
            </w:r>
          </w:p>
        </w:tc>
        <w:tc>
          <w:tcPr>
            <w:tcW w:w="5959" w:type="dxa"/>
          </w:tcPr>
          <w:p w:rsidR="00B3512D" w:rsidRPr="0054178A" w:rsidRDefault="00B3512D" w:rsidP="0054178A">
            <w:pPr>
              <w:jc w:val="both"/>
              <w:rPr>
                <w:sz w:val="28"/>
                <w:szCs w:val="28"/>
                <w:lang w:eastAsia="lv-LV"/>
              </w:rPr>
            </w:pPr>
            <w:r w:rsidRPr="0054178A">
              <w:rPr>
                <w:sz w:val="28"/>
                <w:szCs w:val="28"/>
                <w:lang w:eastAsia="lv-LV"/>
              </w:rPr>
              <w:t xml:space="preserve"> Nav</w:t>
            </w:r>
          </w:p>
        </w:tc>
      </w:tr>
    </w:tbl>
    <w:p w:rsidR="002C7391" w:rsidRPr="0054178A" w:rsidRDefault="002C7391" w:rsidP="0054178A">
      <w:pPr>
        <w:jc w:val="both"/>
        <w:rPr>
          <w:i/>
          <w:sz w:val="28"/>
          <w:szCs w:val="28"/>
        </w:rPr>
      </w:pPr>
    </w:p>
    <w:tbl>
      <w:tblPr>
        <w:tblW w:w="5272"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67"/>
        <w:gridCol w:w="1551"/>
        <w:gridCol w:w="1212"/>
        <w:gridCol w:w="1625"/>
        <w:gridCol w:w="1626"/>
        <w:gridCol w:w="2129"/>
      </w:tblGrid>
      <w:tr w:rsidR="00805808" w:rsidRPr="0054178A" w:rsidTr="00D62B59">
        <w:trPr>
          <w:trHeight w:val="360"/>
          <w:tblCellSpacing w:w="15" w:type="dxa"/>
          <w:jc w:val="center"/>
        </w:trPr>
        <w:tc>
          <w:tcPr>
            <w:tcW w:w="4970" w:type="pct"/>
            <w:gridSpan w:val="6"/>
            <w:tcBorders>
              <w:top w:val="single" w:sz="4" w:space="0" w:color="auto"/>
              <w:left w:val="single" w:sz="4" w:space="0" w:color="auto"/>
              <w:bottom w:val="single" w:sz="4" w:space="0" w:color="auto"/>
              <w:right w:val="single" w:sz="4" w:space="0" w:color="auto"/>
            </w:tcBorders>
            <w:vAlign w:val="center"/>
            <w:hideMark/>
          </w:tcPr>
          <w:p w:rsidR="00805808" w:rsidRPr="0054178A" w:rsidRDefault="00805808" w:rsidP="0054178A">
            <w:pPr>
              <w:ind w:firstLine="300"/>
              <w:jc w:val="center"/>
              <w:rPr>
                <w:b/>
                <w:bCs/>
                <w:sz w:val="28"/>
                <w:szCs w:val="28"/>
                <w:lang w:eastAsia="lv-LV"/>
              </w:rPr>
            </w:pPr>
            <w:r w:rsidRPr="0054178A">
              <w:rPr>
                <w:b/>
                <w:bCs/>
                <w:sz w:val="28"/>
                <w:szCs w:val="28"/>
                <w:lang w:eastAsia="lv-LV"/>
              </w:rPr>
              <w:t>III. Tiesību akta projekta ietekme uz valsts budžetu un pašvaldību budžetiem</w:t>
            </w:r>
          </w:p>
        </w:tc>
      </w:tr>
      <w:tr w:rsidR="00805808" w:rsidRPr="0054178A" w:rsidTr="00D62B59">
        <w:trPr>
          <w:tblCellSpacing w:w="15" w:type="dxa"/>
          <w:jc w:val="center"/>
        </w:trPr>
        <w:tc>
          <w:tcPr>
            <w:tcW w:w="910" w:type="pct"/>
            <w:vMerge w:val="restart"/>
            <w:tcBorders>
              <w:top w:val="single" w:sz="4" w:space="0" w:color="auto"/>
              <w:left w:val="single" w:sz="4" w:space="0" w:color="auto"/>
              <w:bottom w:val="single" w:sz="4" w:space="0" w:color="auto"/>
              <w:right w:val="single" w:sz="4" w:space="0" w:color="auto"/>
            </w:tcBorders>
            <w:vAlign w:val="center"/>
            <w:hideMark/>
          </w:tcPr>
          <w:p w:rsidR="00805808" w:rsidRPr="0054178A" w:rsidRDefault="00805808" w:rsidP="0054178A">
            <w:pPr>
              <w:ind w:firstLine="300"/>
              <w:jc w:val="center"/>
              <w:rPr>
                <w:b/>
                <w:bCs/>
                <w:sz w:val="28"/>
                <w:szCs w:val="28"/>
                <w:lang w:eastAsia="lv-LV"/>
              </w:rPr>
            </w:pPr>
            <w:r w:rsidRPr="0054178A">
              <w:rPr>
                <w:b/>
                <w:bCs/>
                <w:sz w:val="28"/>
                <w:szCs w:val="28"/>
                <w:lang w:eastAsia="lv-LV"/>
              </w:rPr>
              <w:t>Rādītāji</w:t>
            </w:r>
          </w:p>
        </w:tc>
        <w:tc>
          <w:tcPr>
            <w:tcW w:w="137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05808" w:rsidRPr="0054178A" w:rsidRDefault="00805808" w:rsidP="0054178A">
            <w:pPr>
              <w:ind w:firstLine="300"/>
              <w:jc w:val="center"/>
              <w:rPr>
                <w:b/>
                <w:bCs/>
                <w:sz w:val="28"/>
                <w:szCs w:val="28"/>
                <w:lang w:eastAsia="lv-LV"/>
              </w:rPr>
            </w:pPr>
            <w:r w:rsidRPr="0054178A">
              <w:rPr>
                <w:b/>
                <w:bCs/>
                <w:sz w:val="28"/>
                <w:szCs w:val="28"/>
                <w:lang w:eastAsia="lv-LV"/>
              </w:rPr>
              <w:t>2014-tais gads</w:t>
            </w:r>
          </w:p>
        </w:tc>
        <w:tc>
          <w:tcPr>
            <w:tcW w:w="2654" w:type="pct"/>
            <w:gridSpan w:val="3"/>
            <w:tcBorders>
              <w:top w:val="single" w:sz="4" w:space="0" w:color="auto"/>
              <w:left w:val="single" w:sz="4" w:space="0" w:color="auto"/>
              <w:bottom w:val="single" w:sz="4" w:space="0" w:color="auto"/>
              <w:right w:val="single" w:sz="4" w:space="0" w:color="auto"/>
            </w:tcBorders>
            <w:vAlign w:val="center"/>
            <w:hideMark/>
          </w:tcPr>
          <w:p w:rsidR="00805808" w:rsidRPr="0054178A" w:rsidRDefault="00805808" w:rsidP="0054178A">
            <w:pPr>
              <w:ind w:firstLine="300"/>
              <w:jc w:val="center"/>
              <w:rPr>
                <w:sz w:val="28"/>
                <w:szCs w:val="28"/>
                <w:lang w:eastAsia="lv-LV"/>
              </w:rPr>
            </w:pPr>
            <w:r w:rsidRPr="0054178A">
              <w:rPr>
                <w:sz w:val="28"/>
                <w:szCs w:val="28"/>
                <w:lang w:eastAsia="lv-LV"/>
              </w:rPr>
              <w:t>Turpmākie trīs gadi (</w:t>
            </w:r>
            <w:r w:rsidRPr="0054178A">
              <w:rPr>
                <w:i/>
                <w:iCs/>
                <w:sz w:val="28"/>
                <w:szCs w:val="28"/>
                <w:lang w:eastAsia="lv-LV"/>
              </w:rPr>
              <w:t>euro</w:t>
            </w:r>
            <w:r w:rsidRPr="0054178A">
              <w:rPr>
                <w:sz w:val="28"/>
                <w:szCs w:val="28"/>
                <w:lang w:eastAsia="lv-LV"/>
              </w:rPr>
              <w:t>)</w:t>
            </w:r>
          </w:p>
        </w:tc>
      </w:tr>
      <w:tr w:rsidR="00805808" w:rsidRPr="0054178A" w:rsidTr="00D62B59">
        <w:trPr>
          <w:tblCellSpacing w:w="15" w:type="dxa"/>
          <w:jc w:val="center"/>
        </w:trPr>
        <w:tc>
          <w:tcPr>
            <w:tcW w:w="910" w:type="pct"/>
            <w:vMerge/>
            <w:tcBorders>
              <w:top w:val="single" w:sz="4" w:space="0" w:color="auto"/>
              <w:left w:val="single" w:sz="4" w:space="0" w:color="auto"/>
              <w:bottom w:val="single" w:sz="4" w:space="0" w:color="auto"/>
              <w:right w:val="single" w:sz="4" w:space="0" w:color="auto"/>
            </w:tcBorders>
            <w:vAlign w:val="center"/>
            <w:hideMark/>
          </w:tcPr>
          <w:p w:rsidR="00805808" w:rsidRPr="0054178A" w:rsidRDefault="00805808" w:rsidP="0054178A">
            <w:pPr>
              <w:rPr>
                <w:b/>
                <w:bCs/>
                <w:sz w:val="28"/>
                <w:szCs w:val="28"/>
                <w:lang w:eastAsia="lv-LV"/>
              </w:rPr>
            </w:pPr>
          </w:p>
        </w:tc>
        <w:tc>
          <w:tcPr>
            <w:tcW w:w="1376" w:type="pct"/>
            <w:gridSpan w:val="2"/>
            <w:vMerge/>
            <w:tcBorders>
              <w:top w:val="single" w:sz="4" w:space="0" w:color="auto"/>
              <w:left w:val="single" w:sz="4" w:space="0" w:color="auto"/>
              <w:bottom w:val="single" w:sz="4" w:space="0" w:color="auto"/>
              <w:right w:val="single" w:sz="4" w:space="0" w:color="auto"/>
            </w:tcBorders>
            <w:vAlign w:val="center"/>
            <w:hideMark/>
          </w:tcPr>
          <w:p w:rsidR="00805808" w:rsidRPr="0054178A" w:rsidRDefault="00805808" w:rsidP="0054178A">
            <w:pPr>
              <w:rPr>
                <w:b/>
                <w:bCs/>
                <w:sz w:val="28"/>
                <w:szCs w:val="28"/>
                <w:lang w:eastAsia="lv-LV"/>
              </w:rPr>
            </w:pPr>
          </w:p>
        </w:tc>
        <w:tc>
          <w:tcPr>
            <w:tcW w:w="812" w:type="pct"/>
            <w:tcBorders>
              <w:top w:val="single" w:sz="4" w:space="0" w:color="auto"/>
              <w:left w:val="single" w:sz="4" w:space="0" w:color="auto"/>
              <w:bottom w:val="single" w:sz="4" w:space="0" w:color="auto"/>
              <w:right w:val="single" w:sz="4" w:space="0" w:color="auto"/>
            </w:tcBorders>
            <w:vAlign w:val="center"/>
            <w:hideMark/>
          </w:tcPr>
          <w:p w:rsidR="00805808" w:rsidRPr="0054178A" w:rsidRDefault="00805808" w:rsidP="0054178A">
            <w:pPr>
              <w:ind w:firstLine="300"/>
              <w:jc w:val="center"/>
              <w:rPr>
                <w:b/>
                <w:bCs/>
                <w:sz w:val="28"/>
                <w:szCs w:val="28"/>
                <w:lang w:eastAsia="lv-LV"/>
              </w:rPr>
            </w:pPr>
            <w:r w:rsidRPr="0054178A">
              <w:rPr>
                <w:b/>
                <w:bCs/>
                <w:sz w:val="28"/>
                <w:szCs w:val="28"/>
                <w:lang w:eastAsia="lv-LV"/>
              </w:rPr>
              <w:t>2015</w:t>
            </w:r>
          </w:p>
        </w:tc>
        <w:tc>
          <w:tcPr>
            <w:tcW w:w="812" w:type="pct"/>
            <w:tcBorders>
              <w:top w:val="single" w:sz="4" w:space="0" w:color="auto"/>
              <w:left w:val="single" w:sz="4" w:space="0" w:color="auto"/>
              <w:bottom w:val="single" w:sz="4" w:space="0" w:color="auto"/>
              <w:right w:val="single" w:sz="4" w:space="0" w:color="auto"/>
            </w:tcBorders>
            <w:vAlign w:val="center"/>
            <w:hideMark/>
          </w:tcPr>
          <w:p w:rsidR="00805808" w:rsidRPr="0054178A" w:rsidRDefault="00805808" w:rsidP="0054178A">
            <w:pPr>
              <w:ind w:firstLine="300"/>
              <w:jc w:val="center"/>
              <w:rPr>
                <w:b/>
                <w:bCs/>
                <w:sz w:val="28"/>
                <w:szCs w:val="28"/>
                <w:lang w:eastAsia="lv-LV"/>
              </w:rPr>
            </w:pPr>
            <w:r w:rsidRPr="0054178A">
              <w:rPr>
                <w:b/>
                <w:bCs/>
                <w:sz w:val="28"/>
                <w:szCs w:val="28"/>
                <w:lang w:eastAsia="lv-LV"/>
              </w:rPr>
              <w:t>2016</w:t>
            </w:r>
          </w:p>
        </w:tc>
        <w:tc>
          <w:tcPr>
            <w:tcW w:w="999" w:type="pct"/>
            <w:tcBorders>
              <w:top w:val="single" w:sz="4" w:space="0" w:color="auto"/>
              <w:left w:val="single" w:sz="4" w:space="0" w:color="auto"/>
              <w:bottom w:val="single" w:sz="4" w:space="0" w:color="auto"/>
              <w:right w:val="single" w:sz="4" w:space="0" w:color="auto"/>
            </w:tcBorders>
            <w:vAlign w:val="center"/>
            <w:hideMark/>
          </w:tcPr>
          <w:p w:rsidR="00805808" w:rsidRPr="0054178A" w:rsidRDefault="00805808" w:rsidP="0054178A">
            <w:pPr>
              <w:ind w:firstLine="300"/>
              <w:jc w:val="center"/>
              <w:rPr>
                <w:b/>
                <w:bCs/>
                <w:sz w:val="28"/>
                <w:szCs w:val="28"/>
                <w:lang w:eastAsia="lv-LV"/>
              </w:rPr>
            </w:pPr>
            <w:r w:rsidRPr="0054178A">
              <w:rPr>
                <w:b/>
                <w:bCs/>
                <w:sz w:val="28"/>
                <w:szCs w:val="28"/>
                <w:lang w:eastAsia="lv-LV"/>
              </w:rPr>
              <w:t>2017</w:t>
            </w:r>
          </w:p>
        </w:tc>
      </w:tr>
      <w:tr w:rsidR="00805808" w:rsidRPr="0054178A" w:rsidTr="00D62B59">
        <w:trPr>
          <w:tblCellSpacing w:w="15" w:type="dxa"/>
          <w:jc w:val="center"/>
        </w:trPr>
        <w:tc>
          <w:tcPr>
            <w:tcW w:w="910" w:type="pct"/>
            <w:vMerge/>
            <w:tcBorders>
              <w:top w:val="single" w:sz="4" w:space="0" w:color="auto"/>
              <w:left w:val="single" w:sz="4" w:space="0" w:color="auto"/>
              <w:bottom w:val="single" w:sz="4" w:space="0" w:color="auto"/>
              <w:right w:val="single" w:sz="4" w:space="0" w:color="auto"/>
            </w:tcBorders>
            <w:vAlign w:val="center"/>
            <w:hideMark/>
          </w:tcPr>
          <w:p w:rsidR="00805808" w:rsidRPr="0054178A" w:rsidRDefault="00805808" w:rsidP="0054178A">
            <w:pPr>
              <w:rPr>
                <w:b/>
                <w:bCs/>
                <w:sz w:val="28"/>
                <w:szCs w:val="28"/>
                <w:lang w:eastAsia="lv-LV"/>
              </w:rPr>
            </w:pPr>
          </w:p>
        </w:tc>
        <w:tc>
          <w:tcPr>
            <w:tcW w:w="774" w:type="pct"/>
            <w:tcBorders>
              <w:top w:val="single" w:sz="4" w:space="0" w:color="auto"/>
              <w:left w:val="single" w:sz="4" w:space="0" w:color="auto"/>
              <w:bottom w:val="single" w:sz="4" w:space="0" w:color="auto"/>
              <w:right w:val="single" w:sz="4" w:space="0" w:color="auto"/>
            </w:tcBorders>
            <w:vAlign w:val="center"/>
            <w:hideMark/>
          </w:tcPr>
          <w:p w:rsidR="00805808" w:rsidRPr="0054178A" w:rsidRDefault="00805808" w:rsidP="0054178A">
            <w:pPr>
              <w:ind w:firstLine="301"/>
              <w:jc w:val="center"/>
              <w:rPr>
                <w:sz w:val="28"/>
                <w:szCs w:val="28"/>
                <w:lang w:eastAsia="lv-LV"/>
              </w:rPr>
            </w:pPr>
            <w:r w:rsidRPr="0054178A">
              <w:rPr>
                <w:sz w:val="28"/>
                <w:szCs w:val="28"/>
                <w:lang w:eastAsia="lv-LV"/>
              </w:rPr>
              <w:t xml:space="preserve">saskaņā ar valsts </w:t>
            </w:r>
            <w:r w:rsidRPr="0054178A">
              <w:rPr>
                <w:sz w:val="28"/>
                <w:szCs w:val="28"/>
                <w:lang w:eastAsia="lv-LV"/>
              </w:rPr>
              <w:lastRenderedPageBreak/>
              <w:t>budžetu kārtējam gadam</w:t>
            </w:r>
          </w:p>
        </w:tc>
        <w:tc>
          <w:tcPr>
            <w:tcW w:w="587" w:type="pct"/>
            <w:tcBorders>
              <w:top w:val="single" w:sz="4" w:space="0" w:color="auto"/>
              <w:left w:val="single" w:sz="4" w:space="0" w:color="auto"/>
              <w:bottom w:val="single" w:sz="4" w:space="0" w:color="auto"/>
              <w:right w:val="single" w:sz="4" w:space="0" w:color="auto"/>
            </w:tcBorders>
            <w:vAlign w:val="center"/>
            <w:hideMark/>
          </w:tcPr>
          <w:p w:rsidR="00805808" w:rsidRPr="0054178A" w:rsidRDefault="00805808" w:rsidP="0054178A">
            <w:pPr>
              <w:ind w:firstLine="301"/>
              <w:jc w:val="center"/>
              <w:rPr>
                <w:sz w:val="28"/>
                <w:szCs w:val="28"/>
                <w:lang w:eastAsia="lv-LV"/>
              </w:rPr>
            </w:pPr>
            <w:r w:rsidRPr="0054178A">
              <w:rPr>
                <w:sz w:val="28"/>
                <w:szCs w:val="28"/>
                <w:lang w:eastAsia="lv-LV"/>
              </w:rPr>
              <w:lastRenderedPageBreak/>
              <w:t xml:space="preserve">izmaiņas kārtējā </w:t>
            </w:r>
            <w:r w:rsidRPr="0054178A">
              <w:rPr>
                <w:sz w:val="28"/>
                <w:szCs w:val="28"/>
                <w:lang w:eastAsia="lv-LV"/>
              </w:rPr>
              <w:lastRenderedPageBreak/>
              <w:t>gadā, salīdzinot ar valsts budžetu kārtējam gadam</w:t>
            </w:r>
          </w:p>
        </w:tc>
        <w:tc>
          <w:tcPr>
            <w:tcW w:w="812" w:type="pct"/>
            <w:tcBorders>
              <w:top w:val="single" w:sz="4" w:space="0" w:color="auto"/>
              <w:left w:val="single" w:sz="4" w:space="0" w:color="auto"/>
              <w:bottom w:val="single" w:sz="4" w:space="0" w:color="auto"/>
              <w:right w:val="single" w:sz="4" w:space="0" w:color="auto"/>
            </w:tcBorders>
            <w:vAlign w:val="center"/>
            <w:hideMark/>
          </w:tcPr>
          <w:p w:rsidR="00805808" w:rsidRPr="0054178A" w:rsidRDefault="00805808" w:rsidP="0054178A">
            <w:pPr>
              <w:ind w:firstLine="301"/>
              <w:jc w:val="center"/>
              <w:rPr>
                <w:sz w:val="28"/>
                <w:szCs w:val="28"/>
                <w:lang w:eastAsia="lv-LV"/>
              </w:rPr>
            </w:pPr>
            <w:r w:rsidRPr="0054178A">
              <w:rPr>
                <w:sz w:val="28"/>
                <w:szCs w:val="28"/>
                <w:lang w:eastAsia="lv-LV"/>
              </w:rPr>
              <w:lastRenderedPageBreak/>
              <w:t xml:space="preserve">izmaiņas, salīdzinot ar </w:t>
            </w:r>
            <w:r w:rsidRPr="0054178A">
              <w:rPr>
                <w:sz w:val="28"/>
                <w:szCs w:val="28"/>
                <w:lang w:eastAsia="lv-LV"/>
              </w:rPr>
              <w:lastRenderedPageBreak/>
              <w:t>kārtējo (n) gadu</w:t>
            </w:r>
          </w:p>
        </w:tc>
        <w:tc>
          <w:tcPr>
            <w:tcW w:w="812" w:type="pct"/>
            <w:tcBorders>
              <w:top w:val="single" w:sz="4" w:space="0" w:color="auto"/>
              <w:left w:val="single" w:sz="4" w:space="0" w:color="auto"/>
              <w:bottom w:val="single" w:sz="4" w:space="0" w:color="auto"/>
              <w:right w:val="single" w:sz="4" w:space="0" w:color="auto"/>
            </w:tcBorders>
            <w:vAlign w:val="center"/>
            <w:hideMark/>
          </w:tcPr>
          <w:p w:rsidR="00805808" w:rsidRPr="0054178A" w:rsidRDefault="00805808" w:rsidP="0054178A">
            <w:pPr>
              <w:ind w:firstLine="301"/>
              <w:jc w:val="center"/>
              <w:rPr>
                <w:sz w:val="28"/>
                <w:szCs w:val="28"/>
                <w:lang w:eastAsia="lv-LV"/>
              </w:rPr>
            </w:pPr>
            <w:r w:rsidRPr="0054178A">
              <w:rPr>
                <w:sz w:val="28"/>
                <w:szCs w:val="28"/>
                <w:lang w:eastAsia="lv-LV"/>
              </w:rPr>
              <w:lastRenderedPageBreak/>
              <w:t xml:space="preserve">izmaiņas, salīdzinot ar </w:t>
            </w:r>
            <w:r w:rsidRPr="0054178A">
              <w:rPr>
                <w:sz w:val="28"/>
                <w:szCs w:val="28"/>
                <w:lang w:eastAsia="lv-LV"/>
              </w:rPr>
              <w:lastRenderedPageBreak/>
              <w:t>kārtējo (n) gadu</w:t>
            </w:r>
          </w:p>
        </w:tc>
        <w:tc>
          <w:tcPr>
            <w:tcW w:w="999" w:type="pct"/>
            <w:tcBorders>
              <w:top w:val="single" w:sz="4" w:space="0" w:color="auto"/>
              <w:left w:val="single" w:sz="4" w:space="0" w:color="auto"/>
              <w:bottom w:val="single" w:sz="4" w:space="0" w:color="auto"/>
              <w:right w:val="single" w:sz="4" w:space="0" w:color="auto"/>
            </w:tcBorders>
            <w:vAlign w:val="center"/>
            <w:hideMark/>
          </w:tcPr>
          <w:p w:rsidR="00805808" w:rsidRPr="0054178A" w:rsidRDefault="00805808" w:rsidP="0054178A">
            <w:pPr>
              <w:ind w:firstLine="301"/>
              <w:jc w:val="center"/>
              <w:rPr>
                <w:sz w:val="28"/>
                <w:szCs w:val="28"/>
                <w:lang w:eastAsia="lv-LV"/>
              </w:rPr>
            </w:pPr>
            <w:r w:rsidRPr="0054178A">
              <w:rPr>
                <w:sz w:val="28"/>
                <w:szCs w:val="28"/>
                <w:lang w:eastAsia="lv-LV"/>
              </w:rPr>
              <w:lastRenderedPageBreak/>
              <w:t xml:space="preserve">izmaiņas, salīdzinot ar </w:t>
            </w:r>
            <w:r w:rsidRPr="0054178A">
              <w:rPr>
                <w:sz w:val="28"/>
                <w:szCs w:val="28"/>
                <w:lang w:eastAsia="lv-LV"/>
              </w:rPr>
              <w:lastRenderedPageBreak/>
              <w:t>kārtējo (n) gadu</w:t>
            </w:r>
          </w:p>
        </w:tc>
      </w:tr>
      <w:tr w:rsidR="00805808" w:rsidRPr="0054178A" w:rsidTr="00D62B59">
        <w:trPr>
          <w:tblCellSpacing w:w="15" w:type="dxa"/>
          <w:jc w:val="center"/>
        </w:trPr>
        <w:tc>
          <w:tcPr>
            <w:tcW w:w="910" w:type="pct"/>
            <w:tcBorders>
              <w:top w:val="single" w:sz="4" w:space="0" w:color="auto"/>
              <w:left w:val="single" w:sz="4" w:space="0" w:color="auto"/>
              <w:bottom w:val="single" w:sz="4" w:space="0" w:color="auto"/>
              <w:right w:val="single" w:sz="4" w:space="0" w:color="auto"/>
            </w:tcBorders>
            <w:vAlign w:val="center"/>
            <w:hideMark/>
          </w:tcPr>
          <w:p w:rsidR="00805808" w:rsidRPr="0054178A" w:rsidRDefault="00805808" w:rsidP="0054178A">
            <w:pPr>
              <w:ind w:firstLine="300"/>
              <w:jc w:val="center"/>
              <w:rPr>
                <w:sz w:val="28"/>
                <w:szCs w:val="28"/>
                <w:lang w:eastAsia="lv-LV"/>
              </w:rPr>
            </w:pPr>
            <w:r w:rsidRPr="0054178A">
              <w:rPr>
                <w:sz w:val="28"/>
                <w:szCs w:val="28"/>
                <w:lang w:eastAsia="lv-LV"/>
              </w:rPr>
              <w:lastRenderedPageBreak/>
              <w:t>1</w:t>
            </w:r>
          </w:p>
        </w:tc>
        <w:tc>
          <w:tcPr>
            <w:tcW w:w="774" w:type="pct"/>
            <w:tcBorders>
              <w:top w:val="single" w:sz="4" w:space="0" w:color="auto"/>
              <w:left w:val="single" w:sz="4" w:space="0" w:color="auto"/>
              <w:bottom w:val="single" w:sz="4" w:space="0" w:color="auto"/>
              <w:right w:val="single" w:sz="4" w:space="0" w:color="auto"/>
            </w:tcBorders>
            <w:vAlign w:val="center"/>
            <w:hideMark/>
          </w:tcPr>
          <w:p w:rsidR="00805808" w:rsidRPr="0054178A" w:rsidRDefault="00805808" w:rsidP="0054178A">
            <w:pPr>
              <w:ind w:firstLine="300"/>
              <w:jc w:val="center"/>
              <w:rPr>
                <w:sz w:val="28"/>
                <w:szCs w:val="28"/>
                <w:lang w:eastAsia="lv-LV"/>
              </w:rPr>
            </w:pPr>
            <w:r w:rsidRPr="0054178A">
              <w:rPr>
                <w:sz w:val="28"/>
                <w:szCs w:val="28"/>
                <w:lang w:eastAsia="lv-LV"/>
              </w:rPr>
              <w:t>2</w:t>
            </w:r>
          </w:p>
        </w:tc>
        <w:tc>
          <w:tcPr>
            <w:tcW w:w="587" w:type="pct"/>
            <w:tcBorders>
              <w:top w:val="single" w:sz="4" w:space="0" w:color="auto"/>
              <w:left w:val="single" w:sz="4" w:space="0" w:color="auto"/>
              <w:bottom w:val="single" w:sz="4" w:space="0" w:color="auto"/>
              <w:right w:val="single" w:sz="4" w:space="0" w:color="auto"/>
            </w:tcBorders>
            <w:vAlign w:val="center"/>
            <w:hideMark/>
          </w:tcPr>
          <w:p w:rsidR="00805808" w:rsidRPr="0054178A" w:rsidRDefault="00805808" w:rsidP="0054178A">
            <w:pPr>
              <w:ind w:firstLine="300"/>
              <w:jc w:val="center"/>
              <w:rPr>
                <w:sz w:val="28"/>
                <w:szCs w:val="28"/>
                <w:lang w:eastAsia="lv-LV"/>
              </w:rPr>
            </w:pPr>
            <w:r w:rsidRPr="0054178A">
              <w:rPr>
                <w:sz w:val="28"/>
                <w:szCs w:val="28"/>
                <w:lang w:eastAsia="lv-LV"/>
              </w:rPr>
              <w:t>3</w:t>
            </w:r>
          </w:p>
        </w:tc>
        <w:tc>
          <w:tcPr>
            <w:tcW w:w="812" w:type="pct"/>
            <w:tcBorders>
              <w:top w:val="single" w:sz="4" w:space="0" w:color="auto"/>
              <w:left w:val="single" w:sz="4" w:space="0" w:color="auto"/>
              <w:bottom w:val="single" w:sz="4" w:space="0" w:color="auto"/>
              <w:right w:val="single" w:sz="4" w:space="0" w:color="auto"/>
            </w:tcBorders>
            <w:vAlign w:val="center"/>
            <w:hideMark/>
          </w:tcPr>
          <w:p w:rsidR="00805808" w:rsidRPr="0054178A" w:rsidRDefault="00805808" w:rsidP="0054178A">
            <w:pPr>
              <w:ind w:firstLine="300"/>
              <w:jc w:val="center"/>
              <w:rPr>
                <w:sz w:val="28"/>
                <w:szCs w:val="28"/>
                <w:lang w:eastAsia="lv-LV"/>
              </w:rPr>
            </w:pPr>
            <w:r w:rsidRPr="0054178A">
              <w:rPr>
                <w:sz w:val="28"/>
                <w:szCs w:val="28"/>
                <w:lang w:eastAsia="lv-LV"/>
              </w:rPr>
              <w:t>4</w:t>
            </w:r>
          </w:p>
        </w:tc>
        <w:tc>
          <w:tcPr>
            <w:tcW w:w="812" w:type="pct"/>
            <w:tcBorders>
              <w:top w:val="single" w:sz="4" w:space="0" w:color="auto"/>
              <w:left w:val="single" w:sz="4" w:space="0" w:color="auto"/>
              <w:bottom w:val="single" w:sz="4" w:space="0" w:color="auto"/>
              <w:right w:val="single" w:sz="4" w:space="0" w:color="auto"/>
            </w:tcBorders>
            <w:vAlign w:val="center"/>
            <w:hideMark/>
          </w:tcPr>
          <w:p w:rsidR="00805808" w:rsidRPr="0054178A" w:rsidRDefault="00805808" w:rsidP="0054178A">
            <w:pPr>
              <w:ind w:firstLine="300"/>
              <w:jc w:val="center"/>
              <w:rPr>
                <w:sz w:val="28"/>
                <w:szCs w:val="28"/>
                <w:lang w:eastAsia="lv-LV"/>
              </w:rPr>
            </w:pPr>
            <w:r w:rsidRPr="0054178A">
              <w:rPr>
                <w:sz w:val="28"/>
                <w:szCs w:val="28"/>
                <w:lang w:eastAsia="lv-LV"/>
              </w:rPr>
              <w:t>5</w:t>
            </w:r>
          </w:p>
        </w:tc>
        <w:tc>
          <w:tcPr>
            <w:tcW w:w="999" w:type="pct"/>
            <w:tcBorders>
              <w:top w:val="single" w:sz="4" w:space="0" w:color="auto"/>
              <w:left w:val="single" w:sz="4" w:space="0" w:color="auto"/>
              <w:bottom w:val="single" w:sz="4" w:space="0" w:color="auto"/>
              <w:right w:val="single" w:sz="4" w:space="0" w:color="auto"/>
            </w:tcBorders>
            <w:vAlign w:val="center"/>
            <w:hideMark/>
          </w:tcPr>
          <w:p w:rsidR="00805808" w:rsidRPr="0054178A" w:rsidRDefault="00805808" w:rsidP="0054178A">
            <w:pPr>
              <w:ind w:firstLine="300"/>
              <w:jc w:val="center"/>
              <w:rPr>
                <w:sz w:val="28"/>
                <w:szCs w:val="28"/>
                <w:lang w:eastAsia="lv-LV"/>
              </w:rPr>
            </w:pPr>
            <w:r w:rsidRPr="0054178A">
              <w:rPr>
                <w:sz w:val="28"/>
                <w:szCs w:val="28"/>
                <w:lang w:eastAsia="lv-LV"/>
              </w:rPr>
              <w:t>6</w:t>
            </w:r>
          </w:p>
        </w:tc>
      </w:tr>
      <w:tr w:rsidR="005679D3" w:rsidRPr="0054178A" w:rsidTr="00D62B59">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5679D3" w:rsidRPr="0054178A" w:rsidRDefault="005679D3" w:rsidP="0054178A">
            <w:pPr>
              <w:rPr>
                <w:sz w:val="28"/>
                <w:szCs w:val="28"/>
                <w:lang w:eastAsia="lv-LV"/>
              </w:rPr>
            </w:pPr>
            <w:r w:rsidRPr="0054178A">
              <w:rPr>
                <w:sz w:val="28"/>
                <w:szCs w:val="28"/>
                <w:lang w:eastAsia="lv-LV"/>
              </w:rPr>
              <w:t>1. Budžeta ieņēmumi:</w:t>
            </w:r>
          </w:p>
        </w:tc>
        <w:tc>
          <w:tcPr>
            <w:tcW w:w="774" w:type="pct"/>
            <w:tcBorders>
              <w:top w:val="single" w:sz="4" w:space="0" w:color="auto"/>
              <w:left w:val="single" w:sz="4" w:space="0" w:color="auto"/>
              <w:bottom w:val="single" w:sz="4" w:space="0" w:color="auto"/>
              <w:right w:val="single" w:sz="4" w:space="0" w:color="auto"/>
            </w:tcBorders>
            <w:hideMark/>
          </w:tcPr>
          <w:p w:rsidR="005679D3" w:rsidRPr="0054178A" w:rsidRDefault="005679D3" w:rsidP="0054178A">
            <w:pPr>
              <w:rPr>
                <w:sz w:val="28"/>
                <w:szCs w:val="28"/>
                <w:lang w:eastAsia="lv-LV"/>
              </w:rPr>
            </w:pPr>
            <w:r w:rsidRPr="0054178A">
              <w:rPr>
                <w:sz w:val="28"/>
                <w:szCs w:val="28"/>
                <w:lang w:eastAsia="lv-LV"/>
              </w:rPr>
              <w:t> 12 864 736</w:t>
            </w:r>
          </w:p>
        </w:tc>
        <w:tc>
          <w:tcPr>
            <w:tcW w:w="587" w:type="pct"/>
            <w:tcBorders>
              <w:top w:val="single" w:sz="4" w:space="0" w:color="auto"/>
              <w:left w:val="single" w:sz="4" w:space="0" w:color="auto"/>
              <w:bottom w:val="single" w:sz="4" w:space="0" w:color="auto"/>
              <w:right w:val="single" w:sz="4" w:space="0" w:color="auto"/>
            </w:tcBorders>
            <w:hideMark/>
          </w:tcPr>
          <w:p w:rsidR="005679D3" w:rsidRPr="0054178A" w:rsidRDefault="005679D3" w:rsidP="0054178A">
            <w:pPr>
              <w:rPr>
                <w:sz w:val="28"/>
                <w:szCs w:val="28"/>
                <w:lang w:eastAsia="lv-LV"/>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hideMark/>
          </w:tcPr>
          <w:p w:rsidR="005679D3" w:rsidRPr="0054178A" w:rsidRDefault="0067778B" w:rsidP="0054178A">
            <w:pPr>
              <w:rPr>
                <w:sz w:val="28"/>
                <w:szCs w:val="28"/>
                <w:lang w:eastAsia="lv-LV"/>
              </w:rPr>
            </w:pPr>
            <w:r>
              <w:rPr>
                <w:sz w:val="28"/>
                <w:szCs w:val="28"/>
                <w:lang w:eastAsia="lv-LV"/>
              </w:rPr>
              <w:t>0</w:t>
            </w:r>
          </w:p>
        </w:tc>
        <w:tc>
          <w:tcPr>
            <w:tcW w:w="812" w:type="pct"/>
            <w:tcBorders>
              <w:top w:val="single" w:sz="4" w:space="0" w:color="auto"/>
              <w:left w:val="single" w:sz="4" w:space="0" w:color="auto"/>
              <w:bottom w:val="single" w:sz="4" w:space="0" w:color="auto"/>
              <w:right w:val="single" w:sz="4" w:space="0" w:color="auto"/>
            </w:tcBorders>
            <w:hideMark/>
          </w:tcPr>
          <w:p w:rsidR="005679D3" w:rsidRPr="0054178A" w:rsidRDefault="0067778B" w:rsidP="0054178A">
            <w:pPr>
              <w:rPr>
                <w:sz w:val="28"/>
                <w:szCs w:val="28"/>
                <w:lang w:eastAsia="lv-LV"/>
              </w:rPr>
            </w:pPr>
            <w:r>
              <w:rPr>
                <w:sz w:val="28"/>
                <w:szCs w:val="28"/>
                <w:lang w:eastAsia="lv-LV"/>
              </w:rPr>
              <w:t>0</w:t>
            </w:r>
          </w:p>
        </w:tc>
        <w:tc>
          <w:tcPr>
            <w:tcW w:w="999" w:type="pct"/>
            <w:tcBorders>
              <w:top w:val="single" w:sz="4" w:space="0" w:color="auto"/>
              <w:left w:val="single" w:sz="4" w:space="0" w:color="auto"/>
              <w:bottom w:val="single" w:sz="4" w:space="0" w:color="auto"/>
              <w:right w:val="single" w:sz="4" w:space="0" w:color="auto"/>
            </w:tcBorders>
            <w:hideMark/>
          </w:tcPr>
          <w:p w:rsidR="005679D3" w:rsidRPr="0054178A" w:rsidRDefault="0067778B" w:rsidP="0054178A">
            <w:pPr>
              <w:rPr>
                <w:sz w:val="28"/>
                <w:szCs w:val="28"/>
                <w:lang w:eastAsia="lv-LV"/>
              </w:rPr>
            </w:pPr>
            <w:r>
              <w:rPr>
                <w:sz w:val="28"/>
                <w:szCs w:val="28"/>
                <w:lang w:eastAsia="lv-LV"/>
              </w:rPr>
              <w:t>0</w:t>
            </w:r>
          </w:p>
        </w:tc>
      </w:tr>
      <w:tr w:rsidR="005679D3" w:rsidRPr="0054178A" w:rsidTr="00D62B59">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5679D3" w:rsidRPr="0054178A" w:rsidRDefault="005679D3" w:rsidP="0054178A">
            <w:pPr>
              <w:rPr>
                <w:sz w:val="28"/>
                <w:szCs w:val="28"/>
                <w:lang w:eastAsia="lv-LV"/>
              </w:rPr>
            </w:pPr>
            <w:r w:rsidRPr="0054178A">
              <w:rPr>
                <w:sz w:val="28"/>
                <w:szCs w:val="28"/>
                <w:lang w:eastAsia="lv-LV"/>
              </w:rPr>
              <w:t>1.1. valsts pamatbudžets, tai skaitā ieņēmumi no maksas pakalpojumiem un citi pašu ieņēmumi</w:t>
            </w:r>
          </w:p>
        </w:tc>
        <w:tc>
          <w:tcPr>
            <w:tcW w:w="774" w:type="pct"/>
            <w:tcBorders>
              <w:top w:val="single" w:sz="4" w:space="0" w:color="auto"/>
              <w:left w:val="single" w:sz="4" w:space="0" w:color="auto"/>
              <w:bottom w:val="single" w:sz="4" w:space="0" w:color="auto"/>
              <w:right w:val="single" w:sz="4" w:space="0" w:color="auto"/>
            </w:tcBorders>
            <w:hideMark/>
          </w:tcPr>
          <w:p w:rsidR="005679D3" w:rsidRPr="0054178A" w:rsidRDefault="005679D3" w:rsidP="0054178A">
            <w:pPr>
              <w:rPr>
                <w:sz w:val="28"/>
                <w:szCs w:val="28"/>
                <w:lang w:eastAsia="lv-LV"/>
              </w:rPr>
            </w:pPr>
            <w:r w:rsidRPr="0054178A">
              <w:rPr>
                <w:sz w:val="28"/>
                <w:szCs w:val="28"/>
                <w:lang w:eastAsia="lv-LV"/>
              </w:rPr>
              <w:t> 12 864 736</w:t>
            </w:r>
          </w:p>
        </w:tc>
        <w:tc>
          <w:tcPr>
            <w:tcW w:w="587" w:type="pct"/>
            <w:tcBorders>
              <w:top w:val="single" w:sz="4" w:space="0" w:color="auto"/>
              <w:left w:val="single" w:sz="4" w:space="0" w:color="auto"/>
              <w:bottom w:val="single" w:sz="4" w:space="0" w:color="auto"/>
              <w:right w:val="single" w:sz="4" w:space="0" w:color="auto"/>
            </w:tcBorders>
            <w:hideMark/>
          </w:tcPr>
          <w:p w:rsidR="005679D3" w:rsidRPr="0054178A" w:rsidRDefault="005679D3" w:rsidP="0054178A">
            <w:pPr>
              <w:rPr>
                <w:sz w:val="28"/>
                <w:szCs w:val="28"/>
                <w:lang w:eastAsia="lv-LV"/>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hideMark/>
          </w:tcPr>
          <w:p w:rsidR="005679D3" w:rsidRPr="0054178A" w:rsidRDefault="0067778B" w:rsidP="0054178A">
            <w:pPr>
              <w:rPr>
                <w:sz w:val="28"/>
                <w:szCs w:val="28"/>
                <w:lang w:eastAsia="lv-LV"/>
              </w:rPr>
            </w:pPr>
            <w:r>
              <w:rPr>
                <w:sz w:val="28"/>
                <w:szCs w:val="28"/>
                <w:lang w:eastAsia="lv-LV"/>
              </w:rPr>
              <w:t>0</w:t>
            </w:r>
          </w:p>
        </w:tc>
        <w:tc>
          <w:tcPr>
            <w:tcW w:w="812" w:type="pct"/>
            <w:tcBorders>
              <w:top w:val="single" w:sz="4" w:space="0" w:color="auto"/>
              <w:left w:val="single" w:sz="4" w:space="0" w:color="auto"/>
              <w:bottom w:val="single" w:sz="4" w:space="0" w:color="auto"/>
              <w:right w:val="single" w:sz="4" w:space="0" w:color="auto"/>
            </w:tcBorders>
            <w:hideMark/>
          </w:tcPr>
          <w:p w:rsidR="005679D3" w:rsidRPr="0054178A" w:rsidRDefault="0067778B" w:rsidP="0054178A">
            <w:pPr>
              <w:rPr>
                <w:sz w:val="28"/>
                <w:szCs w:val="28"/>
                <w:lang w:eastAsia="lv-LV"/>
              </w:rPr>
            </w:pPr>
            <w:r>
              <w:rPr>
                <w:sz w:val="28"/>
                <w:szCs w:val="28"/>
                <w:lang w:eastAsia="lv-LV"/>
              </w:rPr>
              <w:t>0</w:t>
            </w:r>
          </w:p>
        </w:tc>
        <w:tc>
          <w:tcPr>
            <w:tcW w:w="999" w:type="pct"/>
            <w:tcBorders>
              <w:top w:val="single" w:sz="4" w:space="0" w:color="auto"/>
              <w:left w:val="single" w:sz="4" w:space="0" w:color="auto"/>
              <w:bottom w:val="single" w:sz="4" w:space="0" w:color="auto"/>
              <w:right w:val="single" w:sz="4" w:space="0" w:color="auto"/>
            </w:tcBorders>
            <w:hideMark/>
          </w:tcPr>
          <w:p w:rsidR="005679D3" w:rsidRPr="0054178A" w:rsidRDefault="005679D3" w:rsidP="0067778B">
            <w:pPr>
              <w:rPr>
                <w:sz w:val="28"/>
                <w:szCs w:val="28"/>
                <w:lang w:eastAsia="lv-LV"/>
              </w:rPr>
            </w:pPr>
            <w:r w:rsidRPr="0054178A">
              <w:rPr>
                <w:sz w:val="28"/>
                <w:szCs w:val="28"/>
                <w:lang w:eastAsia="lv-LV"/>
              </w:rPr>
              <w:t> </w:t>
            </w:r>
            <w:r w:rsidR="0067778B">
              <w:rPr>
                <w:sz w:val="28"/>
                <w:szCs w:val="28"/>
                <w:lang w:eastAsia="lv-LV"/>
              </w:rPr>
              <w:t>0</w:t>
            </w:r>
          </w:p>
        </w:tc>
      </w:tr>
      <w:tr w:rsidR="005679D3" w:rsidRPr="0054178A" w:rsidTr="00D62B59">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5679D3" w:rsidRPr="0054178A" w:rsidRDefault="005679D3" w:rsidP="0054178A">
            <w:pPr>
              <w:rPr>
                <w:sz w:val="28"/>
                <w:szCs w:val="28"/>
                <w:lang w:eastAsia="lv-LV"/>
              </w:rPr>
            </w:pPr>
            <w:r w:rsidRPr="0054178A">
              <w:rPr>
                <w:sz w:val="28"/>
                <w:szCs w:val="28"/>
                <w:lang w:eastAsia="lv-LV"/>
              </w:rPr>
              <w:t>1.2. valsts speciālais budžets</w:t>
            </w:r>
          </w:p>
        </w:tc>
        <w:tc>
          <w:tcPr>
            <w:tcW w:w="774" w:type="pct"/>
            <w:tcBorders>
              <w:top w:val="single" w:sz="4" w:space="0" w:color="auto"/>
              <w:left w:val="single" w:sz="4" w:space="0" w:color="auto"/>
              <w:bottom w:val="single" w:sz="4" w:space="0" w:color="auto"/>
              <w:right w:val="single" w:sz="4" w:space="0" w:color="auto"/>
            </w:tcBorders>
            <w:hideMark/>
          </w:tcPr>
          <w:p w:rsidR="005679D3" w:rsidRPr="0054178A" w:rsidRDefault="005679D3" w:rsidP="0054178A">
            <w:pPr>
              <w:rPr>
                <w:sz w:val="28"/>
                <w:szCs w:val="28"/>
                <w:lang w:eastAsia="lv-LV"/>
              </w:rPr>
            </w:pPr>
            <w:r w:rsidRPr="0054178A">
              <w:rPr>
                <w:sz w:val="28"/>
                <w:szCs w:val="28"/>
                <w:lang w:eastAsia="lv-LV"/>
              </w:rPr>
              <w:t> 0</w:t>
            </w:r>
          </w:p>
        </w:tc>
        <w:tc>
          <w:tcPr>
            <w:tcW w:w="587" w:type="pct"/>
            <w:tcBorders>
              <w:top w:val="single" w:sz="4" w:space="0" w:color="auto"/>
              <w:left w:val="single" w:sz="4" w:space="0" w:color="auto"/>
              <w:bottom w:val="single" w:sz="4" w:space="0" w:color="auto"/>
              <w:right w:val="single" w:sz="4" w:space="0" w:color="auto"/>
            </w:tcBorders>
            <w:hideMark/>
          </w:tcPr>
          <w:p w:rsidR="005679D3" w:rsidRPr="0054178A" w:rsidRDefault="005679D3" w:rsidP="0054178A">
            <w:pPr>
              <w:rPr>
                <w:sz w:val="28"/>
                <w:szCs w:val="28"/>
                <w:lang w:eastAsia="lv-LV"/>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hideMark/>
          </w:tcPr>
          <w:p w:rsidR="005679D3" w:rsidRPr="0054178A" w:rsidRDefault="005679D3" w:rsidP="0054178A">
            <w:pPr>
              <w:rPr>
                <w:sz w:val="28"/>
                <w:szCs w:val="28"/>
                <w:lang w:eastAsia="lv-LV"/>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hideMark/>
          </w:tcPr>
          <w:p w:rsidR="005679D3" w:rsidRPr="0054178A" w:rsidRDefault="005679D3" w:rsidP="0054178A">
            <w:pPr>
              <w:rPr>
                <w:sz w:val="28"/>
                <w:szCs w:val="28"/>
                <w:lang w:eastAsia="lv-LV"/>
              </w:rPr>
            </w:pPr>
            <w:r w:rsidRPr="0054178A">
              <w:rPr>
                <w:sz w:val="28"/>
                <w:szCs w:val="28"/>
                <w:lang w:eastAsia="lv-LV"/>
              </w:rPr>
              <w:t> 0</w:t>
            </w:r>
          </w:p>
        </w:tc>
        <w:tc>
          <w:tcPr>
            <w:tcW w:w="999" w:type="pct"/>
            <w:tcBorders>
              <w:top w:val="single" w:sz="4" w:space="0" w:color="auto"/>
              <w:left w:val="single" w:sz="4" w:space="0" w:color="auto"/>
              <w:bottom w:val="single" w:sz="4" w:space="0" w:color="auto"/>
              <w:right w:val="single" w:sz="4" w:space="0" w:color="auto"/>
            </w:tcBorders>
            <w:hideMark/>
          </w:tcPr>
          <w:p w:rsidR="005679D3" w:rsidRPr="0054178A" w:rsidRDefault="005679D3" w:rsidP="0054178A">
            <w:pPr>
              <w:rPr>
                <w:sz w:val="28"/>
                <w:szCs w:val="28"/>
                <w:lang w:eastAsia="lv-LV"/>
              </w:rPr>
            </w:pPr>
            <w:r w:rsidRPr="0054178A">
              <w:rPr>
                <w:sz w:val="28"/>
                <w:szCs w:val="28"/>
                <w:lang w:eastAsia="lv-LV"/>
              </w:rPr>
              <w:t> 0</w:t>
            </w:r>
          </w:p>
        </w:tc>
      </w:tr>
      <w:tr w:rsidR="005679D3" w:rsidRPr="0054178A" w:rsidTr="00D62B59">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5679D3" w:rsidRPr="0054178A" w:rsidRDefault="005679D3" w:rsidP="0054178A">
            <w:pPr>
              <w:rPr>
                <w:sz w:val="28"/>
                <w:szCs w:val="28"/>
                <w:lang w:eastAsia="lv-LV"/>
              </w:rPr>
            </w:pPr>
            <w:r w:rsidRPr="0054178A">
              <w:rPr>
                <w:sz w:val="28"/>
                <w:szCs w:val="28"/>
                <w:lang w:eastAsia="lv-LV"/>
              </w:rPr>
              <w:t>1.3. pašvaldību budžets</w:t>
            </w:r>
          </w:p>
        </w:tc>
        <w:tc>
          <w:tcPr>
            <w:tcW w:w="774" w:type="pct"/>
            <w:tcBorders>
              <w:top w:val="single" w:sz="4" w:space="0" w:color="auto"/>
              <w:left w:val="single" w:sz="4" w:space="0" w:color="auto"/>
              <w:bottom w:val="single" w:sz="4" w:space="0" w:color="auto"/>
              <w:right w:val="single" w:sz="4" w:space="0" w:color="auto"/>
            </w:tcBorders>
            <w:hideMark/>
          </w:tcPr>
          <w:p w:rsidR="005679D3" w:rsidRPr="0054178A" w:rsidRDefault="005679D3" w:rsidP="0054178A">
            <w:pPr>
              <w:rPr>
                <w:sz w:val="28"/>
                <w:szCs w:val="28"/>
                <w:lang w:eastAsia="lv-LV"/>
              </w:rPr>
            </w:pPr>
            <w:r w:rsidRPr="0054178A">
              <w:rPr>
                <w:sz w:val="28"/>
                <w:szCs w:val="28"/>
                <w:lang w:eastAsia="lv-LV"/>
              </w:rPr>
              <w:t> 0</w:t>
            </w:r>
          </w:p>
        </w:tc>
        <w:tc>
          <w:tcPr>
            <w:tcW w:w="587" w:type="pct"/>
            <w:tcBorders>
              <w:top w:val="single" w:sz="4" w:space="0" w:color="auto"/>
              <w:left w:val="single" w:sz="4" w:space="0" w:color="auto"/>
              <w:bottom w:val="single" w:sz="4" w:space="0" w:color="auto"/>
              <w:right w:val="single" w:sz="4" w:space="0" w:color="auto"/>
            </w:tcBorders>
            <w:hideMark/>
          </w:tcPr>
          <w:p w:rsidR="005679D3" w:rsidRPr="0054178A" w:rsidRDefault="005679D3" w:rsidP="0054178A">
            <w:pPr>
              <w:rPr>
                <w:sz w:val="28"/>
                <w:szCs w:val="28"/>
                <w:lang w:eastAsia="lv-LV"/>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hideMark/>
          </w:tcPr>
          <w:p w:rsidR="005679D3" w:rsidRPr="0054178A" w:rsidRDefault="005679D3" w:rsidP="0054178A">
            <w:pPr>
              <w:rPr>
                <w:sz w:val="28"/>
                <w:szCs w:val="28"/>
                <w:lang w:eastAsia="lv-LV"/>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hideMark/>
          </w:tcPr>
          <w:p w:rsidR="005679D3" w:rsidRPr="0054178A" w:rsidRDefault="005679D3" w:rsidP="0054178A">
            <w:pPr>
              <w:rPr>
                <w:sz w:val="28"/>
                <w:szCs w:val="28"/>
                <w:lang w:eastAsia="lv-LV"/>
              </w:rPr>
            </w:pPr>
            <w:r w:rsidRPr="0054178A">
              <w:rPr>
                <w:sz w:val="28"/>
                <w:szCs w:val="28"/>
                <w:lang w:eastAsia="lv-LV"/>
              </w:rPr>
              <w:t> 0</w:t>
            </w:r>
          </w:p>
        </w:tc>
        <w:tc>
          <w:tcPr>
            <w:tcW w:w="999" w:type="pct"/>
            <w:tcBorders>
              <w:top w:val="single" w:sz="4" w:space="0" w:color="auto"/>
              <w:left w:val="single" w:sz="4" w:space="0" w:color="auto"/>
              <w:bottom w:val="single" w:sz="4" w:space="0" w:color="auto"/>
              <w:right w:val="single" w:sz="4" w:space="0" w:color="auto"/>
            </w:tcBorders>
            <w:hideMark/>
          </w:tcPr>
          <w:p w:rsidR="005679D3" w:rsidRPr="0054178A" w:rsidRDefault="005679D3" w:rsidP="0054178A">
            <w:pPr>
              <w:rPr>
                <w:sz w:val="28"/>
                <w:szCs w:val="28"/>
                <w:lang w:eastAsia="lv-LV"/>
              </w:rPr>
            </w:pPr>
            <w:r w:rsidRPr="0054178A">
              <w:rPr>
                <w:sz w:val="28"/>
                <w:szCs w:val="28"/>
                <w:lang w:eastAsia="lv-LV"/>
              </w:rPr>
              <w:t> 0</w:t>
            </w:r>
          </w:p>
        </w:tc>
      </w:tr>
      <w:tr w:rsidR="005679D3" w:rsidRPr="0054178A" w:rsidTr="00D62B59">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5679D3" w:rsidRPr="0054178A" w:rsidRDefault="005679D3" w:rsidP="0054178A">
            <w:pPr>
              <w:rPr>
                <w:sz w:val="28"/>
                <w:szCs w:val="28"/>
                <w:lang w:eastAsia="lv-LV"/>
              </w:rPr>
            </w:pPr>
            <w:r w:rsidRPr="0054178A">
              <w:rPr>
                <w:sz w:val="28"/>
                <w:szCs w:val="28"/>
                <w:lang w:eastAsia="lv-LV"/>
              </w:rPr>
              <w:t>2. Budžeta izdevumi:</w:t>
            </w:r>
          </w:p>
        </w:tc>
        <w:tc>
          <w:tcPr>
            <w:tcW w:w="774" w:type="pct"/>
            <w:tcBorders>
              <w:top w:val="single" w:sz="4" w:space="0" w:color="auto"/>
              <w:left w:val="single" w:sz="4" w:space="0" w:color="auto"/>
              <w:bottom w:val="single" w:sz="4" w:space="0" w:color="auto"/>
              <w:right w:val="single" w:sz="4" w:space="0" w:color="auto"/>
            </w:tcBorders>
            <w:hideMark/>
          </w:tcPr>
          <w:p w:rsidR="005679D3" w:rsidRPr="0054178A" w:rsidRDefault="005679D3" w:rsidP="0054178A">
            <w:pPr>
              <w:rPr>
                <w:sz w:val="28"/>
                <w:szCs w:val="28"/>
                <w:lang w:eastAsia="lv-LV"/>
              </w:rPr>
            </w:pPr>
            <w:r w:rsidRPr="0054178A">
              <w:rPr>
                <w:sz w:val="28"/>
                <w:szCs w:val="28"/>
                <w:lang w:eastAsia="lv-LV"/>
              </w:rPr>
              <w:t> 12 864 736</w:t>
            </w:r>
          </w:p>
        </w:tc>
        <w:tc>
          <w:tcPr>
            <w:tcW w:w="587" w:type="pct"/>
            <w:tcBorders>
              <w:top w:val="single" w:sz="4" w:space="0" w:color="auto"/>
              <w:left w:val="single" w:sz="4" w:space="0" w:color="auto"/>
              <w:bottom w:val="single" w:sz="4" w:space="0" w:color="auto"/>
              <w:right w:val="single" w:sz="4" w:space="0" w:color="auto"/>
            </w:tcBorders>
          </w:tcPr>
          <w:p w:rsidR="005679D3" w:rsidRPr="0054178A" w:rsidRDefault="005679D3" w:rsidP="0054178A">
            <w:pPr>
              <w:rPr>
                <w:sz w:val="28"/>
                <w:szCs w:val="28"/>
                <w:lang w:eastAsia="lv-LV"/>
              </w:rPr>
            </w:pPr>
          </w:p>
        </w:tc>
        <w:tc>
          <w:tcPr>
            <w:tcW w:w="812" w:type="pct"/>
            <w:tcBorders>
              <w:top w:val="single" w:sz="4" w:space="0" w:color="auto"/>
              <w:left w:val="single" w:sz="4" w:space="0" w:color="auto"/>
              <w:bottom w:val="single" w:sz="4" w:space="0" w:color="auto"/>
              <w:right w:val="single" w:sz="4" w:space="0" w:color="auto"/>
            </w:tcBorders>
          </w:tcPr>
          <w:p w:rsidR="005679D3" w:rsidRPr="0054178A" w:rsidRDefault="0067778B" w:rsidP="0054178A">
            <w:pPr>
              <w:rPr>
                <w:sz w:val="28"/>
                <w:szCs w:val="28"/>
                <w:lang w:eastAsia="lv-LV"/>
              </w:rPr>
            </w:pPr>
            <w:r>
              <w:rPr>
                <w:sz w:val="28"/>
                <w:szCs w:val="28"/>
                <w:lang w:eastAsia="lv-LV"/>
              </w:rPr>
              <w:t>0</w:t>
            </w:r>
          </w:p>
        </w:tc>
        <w:tc>
          <w:tcPr>
            <w:tcW w:w="812" w:type="pct"/>
            <w:tcBorders>
              <w:top w:val="single" w:sz="4" w:space="0" w:color="auto"/>
              <w:left w:val="single" w:sz="4" w:space="0" w:color="auto"/>
              <w:bottom w:val="single" w:sz="4" w:space="0" w:color="auto"/>
              <w:right w:val="single" w:sz="4" w:space="0" w:color="auto"/>
            </w:tcBorders>
            <w:hideMark/>
          </w:tcPr>
          <w:p w:rsidR="005679D3" w:rsidRPr="0054178A" w:rsidRDefault="0067778B" w:rsidP="0054178A">
            <w:pPr>
              <w:rPr>
                <w:sz w:val="28"/>
                <w:szCs w:val="28"/>
                <w:lang w:eastAsia="lv-LV"/>
              </w:rPr>
            </w:pPr>
            <w:r>
              <w:rPr>
                <w:sz w:val="28"/>
                <w:szCs w:val="28"/>
                <w:lang w:eastAsia="lv-LV"/>
              </w:rPr>
              <w:t>0</w:t>
            </w:r>
          </w:p>
        </w:tc>
        <w:tc>
          <w:tcPr>
            <w:tcW w:w="999" w:type="pct"/>
            <w:tcBorders>
              <w:top w:val="single" w:sz="4" w:space="0" w:color="auto"/>
              <w:left w:val="single" w:sz="4" w:space="0" w:color="auto"/>
              <w:bottom w:val="single" w:sz="4" w:space="0" w:color="auto"/>
              <w:right w:val="single" w:sz="4" w:space="0" w:color="auto"/>
            </w:tcBorders>
            <w:hideMark/>
          </w:tcPr>
          <w:p w:rsidR="005679D3" w:rsidRPr="0054178A" w:rsidRDefault="0067778B" w:rsidP="0054178A">
            <w:pPr>
              <w:rPr>
                <w:sz w:val="28"/>
                <w:szCs w:val="28"/>
                <w:lang w:eastAsia="lv-LV"/>
              </w:rPr>
            </w:pPr>
            <w:r>
              <w:rPr>
                <w:sz w:val="28"/>
                <w:szCs w:val="28"/>
                <w:lang w:eastAsia="lv-LV"/>
              </w:rPr>
              <w:t>0</w:t>
            </w:r>
          </w:p>
        </w:tc>
      </w:tr>
      <w:tr w:rsidR="005679D3" w:rsidRPr="0054178A" w:rsidTr="00D62B59">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5679D3" w:rsidRPr="0054178A" w:rsidRDefault="005679D3" w:rsidP="0054178A">
            <w:pPr>
              <w:rPr>
                <w:sz w:val="28"/>
                <w:szCs w:val="28"/>
                <w:lang w:eastAsia="lv-LV"/>
              </w:rPr>
            </w:pPr>
            <w:r w:rsidRPr="0054178A">
              <w:rPr>
                <w:sz w:val="28"/>
                <w:szCs w:val="28"/>
                <w:lang w:eastAsia="lv-LV"/>
              </w:rPr>
              <w:t>2.1. valsts pamatbudžets</w:t>
            </w:r>
          </w:p>
        </w:tc>
        <w:tc>
          <w:tcPr>
            <w:tcW w:w="774" w:type="pct"/>
            <w:tcBorders>
              <w:top w:val="single" w:sz="4" w:space="0" w:color="auto"/>
              <w:left w:val="single" w:sz="4" w:space="0" w:color="auto"/>
              <w:bottom w:val="single" w:sz="4" w:space="0" w:color="auto"/>
              <w:right w:val="single" w:sz="4" w:space="0" w:color="auto"/>
            </w:tcBorders>
            <w:hideMark/>
          </w:tcPr>
          <w:p w:rsidR="005679D3" w:rsidRPr="0054178A" w:rsidRDefault="005679D3" w:rsidP="0054178A">
            <w:pPr>
              <w:rPr>
                <w:sz w:val="28"/>
                <w:szCs w:val="28"/>
                <w:lang w:eastAsia="lv-LV"/>
              </w:rPr>
            </w:pPr>
            <w:r w:rsidRPr="0054178A">
              <w:rPr>
                <w:sz w:val="28"/>
                <w:szCs w:val="28"/>
                <w:lang w:eastAsia="lv-LV"/>
              </w:rPr>
              <w:t> 12 864 736</w:t>
            </w:r>
          </w:p>
        </w:tc>
        <w:tc>
          <w:tcPr>
            <w:tcW w:w="587" w:type="pct"/>
            <w:tcBorders>
              <w:top w:val="single" w:sz="4" w:space="0" w:color="auto"/>
              <w:left w:val="single" w:sz="4" w:space="0" w:color="auto"/>
              <w:bottom w:val="single" w:sz="4" w:space="0" w:color="auto"/>
              <w:right w:val="single" w:sz="4" w:space="0" w:color="auto"/>
            </w:tcBorders>
          </w:tcPr>
          <w:p w:rsidR="005679D3" w:rsidRPr="0054178A" w:rsidRDefault="005679D3" w:rsidP="0054178A">
            <w:pPr>
              <w:rPr>
                <w:sz w:val="28"/>
                <w:szCs w:val="28"/>
                <w:lang w:eastAsia="lv-LV"/>
              </w:rPr>
            </w:pPr>
          </w:p>
        </w:tc>
        <w:tc>
          <w:tcPr>
            <w:tcW w:w="812" w:type="pct"/>
            <w:tcBorders>
              <w:top w:val="single" w:sz="4" w:space="0" w:color="auto"/>
              <w:left w:val="single" w:sz="4" w:space="0" w:color="auto"/>
              <w:bottom w:val="single" w:sz="4" w:space="0" w:color="auto"/>
              <w:right w:val="single" w:sz="4" w:space="0" w:color="auto"/>
            </w:tcBorders>
          </w:tcPr>
          <w:p w:rsidR="005679D3" w:rsidRPr="0054178A" w:rsidRDefault="0067778B" w:rsidP="0054178A">
            <w:pPr>
              <w:rPr>
                <w:sz w:val="28"/>
                <w:szCs w:val="28"/>
                <w:lang w:eastAsia="lv-LV"/>
              </w:rPr>
            </w:pPr>
            <w:r>
              <w:rPr>
                <w:sz w:val="28"/>
                <w:szCs w:val="28"/>
                <w:lang w:eastAsia="lv-LV"/>
              </w:rPr>
              <w:t>0</w:t>
            </w:r>
          </w:p>
        </w:tc>
        <w:tc>
          <w:tcPr>
            <w:tcW w:w="812" w:type="pct"/>
            <w:tcBorders>
              <w:top w:val="single" w:sz="4" w:space="0" w:color="auto"/>
              <w:left w:val="single" w:sz="4" w:space="0" w:color="auto"/>
              <w:bottom w:val="single" w:sz="4" w:space="0" w:color="auto"/>
              <w:right w:val="single" w:sz="4" w:space="0" w:color="auto"/>
            </w:tcBorders>
            <w:hideMark/>
          </w:tcPr>
          <w:p w:rsidR="005679D3" w:rsidRPr="0054178A" w:rsidRDefault="0067778B" w:rsidP="0054178A">
            <w:pPr>
              <w:rPr>
                <w:sz w:val="28"/>
                <w:szCs w:val="28"/>
                <w:lang w:eastAsia="lv-LV"/>
              </w:rPr>
            </w:pPr>
            <w:r>
              <w:rPr>
                <w:sz w:val="28"/>
                <w:szCs w:val="28"/>
                <w:lang w:eastAsia="lv-LV"/>
              </w:rPr>
              <w:t>0</w:t>
            </w:r>
          </w:p>
        </w:tc>
        <w:tc>
          <w:tcPr>
            <w:tcW w:w="999" w:type="pct"/>
            <w:tcBorders>
              <w:top w:val="single" w:sz="4" w:space="0" w:color="auto"/>
              <w:left w:val="single" w:sz="4" w:space="0" w:color="auto"/>
              <w:bottom w:val="single" w:sz="4" w:space="0" w:color="auto"/>
              <w:right w:val="single" w:sz="4" w:space="0" w:color="auto"/>
            </w:tcBorders>
            <w:hideMark/>
          </w:tcPr>
          <w:p w:rsidR="005679D3" w:rsidRPr="0054178A" w:rsidRDefault="0067778B" w:rsidP="0054178A">
            <w:pPr>
              <w:rPr>
                <w:sz w:val="28"/>
                <w:szCs w:val="28"/>
                <w:lang w:eastAsia="lv-LV"/>
              </w:rPr>
            </w:pPr>
            <w:r>
              <w:rPr>
                <w:sz w:val="28"/>
                <w:szCs w:val="28"/>
                <w:lang w:eastAsia="lv-LV"/>
              </w:rPr>
              <w:t>0</w:t>
            </w:r>
          </w:p>
        </w:tc>
      </w:tr>
      <w:tr w:rsidR="00113F55" w:rsidRPr="0054178A" w:rsidTr="00D62B59">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rPr>
                <w:sz w:val="28"/>
                <w:szCs w:val="28"/>
                <w:lang w:eastAsia="lv-LV"/>
              </w:rPr>
            </w:pPr>
            <w:r w:rsidRPr="0054178A">
              <w:rPr>
                <w:sz w:val="28"/>
                <w:szCs w:val="28"/>
                <w:lang w:eastAsia="lv-LV"/>
              </w:rPr>
              <w:t>2.2. valsts speciālais budžets</w:t>
            </w:r>
          </w:p>
        </w:tc>
        <w:tc>
          <w:tcPr>
            <w:tcW w:w="774" w:type="pc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rPr>
                <w:sz w:val="28"/>
                <w:szCs w:val="28"/>
                <w:lang w:eastAsia="lv-LV"/>
              </w:rPr>
            </w:pPr>
            <w:r w:rsidRPr="0054178A">
              <w:rPr>
                <w:sz w:val="28"/>
                <w:szCs w:val="28"/>
                <w:lang w:eastAsia="lv-LV"/>
              </w:rPr>
              <w:t> 0</w:t>
            </w:r>
          </w:p>
        </w:tc>
        <w:tc>
          <w:tcPr>
            <w:tcW w:w="587" w:type="pc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rPr>
                <w:sz w:val="28"/>
                <w:szCs w:val="28"/>
                <w:lang w:eastAsia="lv-LV"/>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rPr>
                <w:sz w:val="28"/>
                <w:szCs w:val="28"/>
                <w:lang w:eastAsia="lv-LV"/>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rPr>
                <w:sz w:val="28"/>
                <w:szCs w:val="28"/>
                <w:lang w:eastAsia="lv-LV"/>
              </w:rPr>
            </w:pPr>
            <w:r w:rsidRPr="0054178A">
              <w:rPr>
                <w:sz w:val="28"/>
                <w:szCs w:val="28"/>
                <w:lang w:eastAsia="lv-LV"/>
              </w:rPr>
              <w:t> 0</w:t>
            </w:r>
          </w:p>
        </w:tc>
        <w:tc>
          <w:tcPr>
            <w:tcW w:w="999" w:type="pc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rPr>
                <w:sz w:val="28"/>
                <w:szCs w:val="28"/>
                <w:lang w:eastAsia="lv-LV"/>
              </w:rPr>
            </w:pPr>
            <w:r w:rsidRPr="0054178A">
              <w:rPr>
                <w:sz w:val="28"/>
                <w:szCs w:val="28"/>
                <w:lang w:eastAsia="lv-LV"/>
              </w:rPr>
              <w:t> 0</w:t>
            </w:r>
          </w:p>
        </w:tc>
      </w:tr>
      <w:tr w:rsidR="00113F55" w:rsidRPr="0054178A" w:rsidTr="00D62B59">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rPr>
                <w:sz w:val="28"/>
                <w:szCs w:val="28"/>
                <w:lang w:eastAsia="lv-LV"/>
              </w:rPr>
            </w:pPr>
            <w:r w:rsidRPr="0054178A">
              <w:rPr>
                <w:sz w:val="28"/>
                <w:szCs w:val="28"/>
                <w:lang w:eastAsia="lv-LV"/>
              </w:rPr>
              <w:t>2.3. pašvaldību budžets</w:t>
            </w:r>
          </w:p>
        </w:tc>
        <w:tc>
          <w:tcPr>
            <w:tcW w:w="774" w:type="pc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rPr>
                <w:sz w:val="28"/>
                <w:szCs w:val="28"/>
                <w:lang w:eastAsia="lv-LV"/>
              </w:rPr>
            </w:pPr>
            <w:r w:rsidRPr="0054178A">
              <w:rPr>
                <w:sz w:val="28"/>
                <w:szCs w:val="28"/>
                <w:lang w:eastAsia="lv-LV"/>
              </w:rPr>
              <w:t> 0</w:t>
            </w:r>
          </w:p>
        </w:tc>
        <w:tc>
          <w:tcPr>
            <w:tcW w:w="587" w:type="pc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rPr>
                <w:sz w:val="28"/>
                <w:szCs w:val="28"/>
                <w:lang w:eastAsia="lv-LV"/>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rPr>
                <w:sz w:val="28"/>
                <w:szCs w:val="28"/>
                <w:lang w:eastAsia="lv-LV"/>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rPr>
                <w:sz w:val="28"/>
                <w:szCs w:val="28"/>
                <w:lang w:eastAsia="lv-LV"/>
              </w:rPr>
            </w:pPr>
            <w:r w:rsidRPr="0054178A">
              <w:rPr>
                <w:sz w:val="28"/>
                <w:szCs w:val="28"/>
                <w:lang w:eastAsia="lv-LV"/>
              </w:rPr>
              <w:t> 0</w:t>
            </w:r>
          </w:p>
        </w:tc>
        <w:tc>
          <w:tcPr>
            <w:tcW w:w="999" w:type="pc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rPr>
                <w:sz w:val="28"/>
                <w:szCs w:val="28"/>
                <w:lang w:eastAsia="lv-LV"/>
              </w:rPr>
            </w:pPr>
            <w:r w:rsidRPr="0054178A">
              <w:rPr>
                <w:sz w:val="28"/>
                <w:szCs w:val="28"/>
                <w:lang w:eastAsia="lv-LV"/>
              </w:rPr>
              <w:t> 0</w:t>
            </w:r>
          </w:p>
        </w:tc>
      </w:tr>
      <w:tr w:rsidR="0086522E" w:rsidRPr="0054178A" w:rsidTr="00D62B59">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86522E" w:rsidRPr="0054178A" w:rsidRDefault="0086522E" w:rsidP="0054178A">
            <w:pPr>
              <w:rPr>
                <w:sz w:val="28"/>
                <w:szCs w:val="28"/>
                <w:lang w:eastAsia="lv-LV"/>
              </w:rPr>
            </w:pPr>
            <w:r w:rsidRPr="0054178A">
              <w:rPr>
                <w:sz w:val="28"/>
                <w:szCs w:val="28"/>
                <w:lang w:eastAsia="lv-LV"/>
              </w:rPr>
              <w:t>3. Finansiālā ietekme:</w:t>
            </w:r>
          </w:p>
        </w:tc>
        <w:tc>
          <w:tcPr>
            <w:tcW w:w="774" w:type="pct"/>
            <w:tcBorders>
              <w:top w:val="single" w:sz="4" w:space="0" w:color="auto"/>
              <w:left w:val="single" w:sz="4" w:space="0" w:color="auto"/>
              <w:bottom w:val="single" w:sz="4" w:space="0" w:color="auto"/>
              <w:right w:val="single" w:sz="4" w:space="0" w:color="auto"/>
            </w:tcBorders>
            <w:vAlign w:val="center"/>
            <w:hideMark/>
          </w:tcPr>
          <w:p w:rsidR="0086522E" w:rsidRPr="0054178A" w:rsidRDefault="0086522E" w:rsidP="0054178A">
            <w:pPr>
              <w:rPr>
                <w:sz w:val="28"/>
                <w:szCs w:val="28"/>
                <w:lang w:eastAsia="lv-LV"/>
              </w:rPr>
            </w:pPr>
            <w:r w:rsidRPr="0054178A">
              <w:rPr>
                <w:sz w:val="28"/>
                <w:szCs w:val="28"/>
                <w:lang w:eastAsia="lv-LV"/>
              </w:rPr>
              <w:t> 0</w:t>
            </w:r>
          </w:p>
        </w:tc>
        <w:tc>
          <w:tcPr>
            <w:tcW w:w="587" w:type="pct"/>
            <w:tcBorders>
              <w:top w:val="single" w:sz="4" w:space="0" w:color="auto"/>
              <w:left w:val="single" w:sz="4" w:space="0" w:color="auto"/>
              <w:bottom w:val="single" w:sz="4" w:space="0" w:color="auto"/>
              <w:right w:val="single" w:sz="4" w:space="0" w:color="auto"/>
            </w:tcBorders>
          </w:tcPr>
          <w:p w:rsidR="0086522E" w:rsidRPr="0054178A" w:rsidRDefault="0086522E" w:rsidP="0054178A">
            <w:pPr>
              <w:rPr>
                <w:sz w:val="28"/>
                <w:szCs w:val="28"/>
                <w:lang w:eastAsia="lv-LV"/>
              </w:rPr>
            </w:pPr>
            <w:r w:rsidRPr="0054178A">
              <w:rPr>
                <w:sz w:val="28"/>
                <w:szCs w:val="28"/>
                <w:lang w:eastAsia="lv-LV"/>
              </w:rPr>
              <w:t>0</w:t>
            </w:r>
          </w:p>
        </w:tc>
        <w:tc>
          <w:tcPr>
            <w:tcW w:w="812" w:type="pct"/>
            <w:tcBorders>
              <w:top w:val="single" w:sz="4" w:space="0" w:color="auto"/>
              <w:left w:val="single" w:sz="4" w:space="0" w:color="auto"/>
              <w:bottom w:val="single" w:sz="4" w:space="0" w:color="auto"/>
              <w:right w:val="single" w:sz="4" w:space="0" w:color="auto"/>
            </w:tcBorders>
          </w:tcPr>
          <w:p w:rsidR="0086522E" w:rsidRPr="0054178A" w:rsidRDefault="00A44425" w:rsidP="0054178A">
            <w:pPr>
              <w:rPr>
                <w:sz w:val="28"/>
                <w:szCs w:val="28"/>
                <w:lang w:eastAsia="lv-LV"/>
              </w:rPr>
            </w:pPr>
            <w:r w:rsidRPr="0054178A">
              <w:rPr>
                <w:sz w:val="28"/>
                <w:szCs w:val="28"/>
                <w:lang w:eastAsia="lv-LV"/>
              </w:rPr>
              <w:t>0</w:t>
            </w:r>
          </w:p>
        </w:tc>
        <w:tc>
          <w:tcPr>
            <w:tcW w:w="812" w:type="pct"/>
            <w:tcBorders>
              <w:top w:val="single" w:sz="4" w:space="0" w:color="auto"/>
              <w:left w:val="single" w:sz="4" w:space="0" w:color="auto"/>
              <w:bottom w:val="single" w:sz="4" w:space="0" w:color="auto"/>
              <w:right w:val="single" w:sz="4" w:space="0" w:color="auto"/>
            </w:tcBorders>
            <w:hideMark/>
          </w:tcPr>
          <w:p w:rsidR="0086522E" w:rsidRPr="0054178A" w:rsidRDefault="00A44425" w:rsidP="0054178A">
            <w:pPr>
              <w:rPr>
                <w:sz w:val="28"/>
                <w:szCs w:val="28"/>
                <w:lang w:eastAsia="lv-LV"/>
              </w:rPr>
            </w:pPr>
            <w:r w:rsidRPr="0054178A">
              <w:rPr>
                <w:sz w:val="28"/>
                <w:szCs w:val="28"/>
                <w:lang w:eastAsia="lv-LV"/>
              </w:rPr>
              <w:t>0</w:t>
            </w:r>
          </w:p>
        </w:tc>
        <w:tc>
          <w:tcPr>
            <w:tcW w:w="999" w:type="pct"/>
            <w:tcBorders>
              <w:top w:val="single" w:sz="4" w:space="0" w:color="auto"/>
              <w:left w:val="single" w:sz="4" w:space="0" w:color="auto"/>
              <w:bottom w:val="single" w:sz="4" w:space="0" w:color="auto"/>
              <w:right w:val="single" w:sz="4" w:space="0" w:color="auto"/>
            </w:tcBorders>
            <w:hideMark/>
          </w:tcPr>
          <w:p w:rsidR="0086522E" w:rsidRPr="0054178A" w:rsidRDefault="00A44425" w:rsidP="0054178A">
            <w:pPr>
              <w:rPr>
                <w:sz w:val="28"/>
                <w:szCs w:val="28"/>
                <w:lang w:eastAsia="lv-LV"/>
              </w:rPr>
            </w:pPr>
            <w:r w:rsidRPr="0054178A">
              <w:rPr>
                <w:sz w:val="28"/>
                <w:szCs w:val="28"/>
                <w:lang w:eastAsia="lv-LV"/>
              </w:rPr>
              <w:t>0</w:t>
            </w:r>
          </w:p>
        </w:tc>
      </w:tr>
      <w:tr w:rsidR="0086522E" w:rsidRPr="0054178A" w:rsidTr="00D62B59">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86522E" w:rsidRPr="0054178A" w:rsidRDefault="0086522E" w:rsidP="0054178A">
            <w:pPr>
              <w:rPr>
                <w:sz w:val="28"/>
                <w:szCs w:val="28"/>
                <w:lang w:eastAsia="lv-LV"/>
              </w:rPr>
            </w:pPr>
            <w:r w:rsidRPr="0054178A">
              <w:rPr>
                <w:sz w:val="28"/>
                <w:szCs w:val="28"/>
                <w:lang w:eastAsia="lv-LV"/>
              </w:rPr>
              <w:t>3.1. valsts pamatbudžets</w:t>
            </w:r>
          </w:p>
        </w:tc>
        <w:tc>
          <w:tcPr>
            <w:tcW w:w="774" w:type="pct"/>
            <w:tcBorders>
              <w:top w:val="single" w:sz="4" w:space="0" w:color="auto"/>
              <w:left w:val="single" w:sz="4" w:space="0" w:color="auto"/>
              <w:bottom w:val="single" w:sz="4" w:space="0" w:color="auto"/>
              <w:right w:val="single" w:sz="4" w:space="0" w:color="auto"/>
            </w:tcBorders>
            <w:hideMark/>
          </w:tcPr>
          <w:p w:rsidR="0086522E" w:rsidRPr="0054178A" w:rsidRDefault="0086522E" w:rsidP="0054178A">
            <w:pPr>
              <w:rPr>
                <w:sz w:val="28"/>
                <w:szCs w:val="28"/>
                <w:lang w:eastAsia="lv-LV"/>
              </w:rPr>
            </w:pPr>
            <w:r w:rsidRPr="0054178A">
              <w:rPr>
                <w:sz w:val="28"/>
                <w:szCs w:val="28"/>
                <w:lang w:eastAsia="lv-LV"/>
              </w:rPr>
              <w:t> 0</w:t>
            </w:r>
          </w:p>
        </w:tc>
        <w:tc>
          <w:tcPr>
            <w:tcW w:w="587" w:type="pct"/>
            <w:tcBorders>
              <w:top w:val="single" w:sz="4" w:space="0" w:color="auto"/>
              <w:left w:val="single" w:sz="4" w:space="0" w:color="auto"/>
              <w:bottom w:val="single" w:sz="4" w:space="0" w:color="auto"/>
              <w:right w:val="single" w:sz="4" w:space="0" w:color="auto"/>
            </w:tcBorders>
          </w:tcPr>
          <w:p w:rsidR="0086522E" w:rsidRPr="0054178A" w:rsidRDefault="0086522E" w:rsidP="0054178A">
            <w:pPr>
              <w:rPr>
                <w:sz w:val="28"/>
                <w:szCs w:val="28"/>
                <w:lang w:eastAsia="lv-LV"/>
              </w:rPr>
            </w:pPr>
            <w:r w:rsidRPr="0054178A">
              <w:rPr>
                <w:sz w:val="28"/>
                <w:szCs w:val="28"/>
                <w:lang w:eastAsia="lv-LV"/>
              </w:rPr>
              <w:t>0</w:t>
            </w:r>
          </w:p>
        </w:tc>
        <w:tc>
          <w:tcPr>
            <w:tcW w:w="812" w:type="pct"/>
            <w:tcBorders>
              <w:top w:val="single" w:sz="4" w:space="0" w:color="auto"/>
              <w:left w:val="single" w:sz="4" w:space="0" w:color="auto"/>
              <w:bottom w:val="single" w:sz="4" w:space="0" w:color="auto"/>
              <w:right w:val="single" w:sz="4" w:space="0" w:color="auto"/>
            </w:tcBorders>
          </w:tcPr>
          <w:p w:rsidR="0086522E" w:rsidRPr="0054178A" w:rsidRDefault="00A44425" w:rsidP="0054178A">
            <w:pPr>
              <w:rPr>
                <w:sz w:val="28"/>
                <w:szCs w:val="28"/>
                <w:lang w:eastAsia="lv-LV"/>
              </w:rPr>
            </w:pPr>
            <w:r w:rsidRPr="0054178A">
              <w:rPr>
                <w:sz w:val="28"/>
                <w:szCs w:val="28"/>
                <w:lang w:eastAsia="lv-LV"/>
              </w:rPr>
              <w:t>0</w:t>
            </w:r>
          </w:p>
        </w:tc>
        <w:tc>
          <w:tcPr>
            <w:tcW w:w="812" w:type="pct"/>
            <w:tcBorders>
              <w:top w:val="single" w:sz="4" w:space="0" w:color="auto"/>
              <w:left w:val="single" w:sz="4" w:space="0" w:color="auto"/>
              <w:bottom w:val="single" w:sz="4" w:space="0" w:color="auto"/>
              <w:right w:val="single" w:sz="4" w:space="0" w:color="auto"/>
            </w:tcBorders>
            <w:hideMark/>
          </w:tcPr>
          <w:p w:rsidR="0086522E" w:rsidRPr="0054178A" w:rsidRDefault="00A44425" w:rsidP="0054178A">
            <w:pPr>
              <w:rPr>
                <w:sz w:val="28"/>
                <w:szCs w:val="28"/>
                <w:lang w:eastAsia="lv-LV"/>
              </w:rPr>
            </w:pPr>
            <w:r w:rsidRPr="0054178A">
              <w:rPr>
                <w:sz w:val="28"/>
                <w:szCs w:val="28"/>
                <w:lang w:eastAsia="lv-LV"/>
              </w:rPr>
              <w:t>0</w:t>
            </w:r>
          </w:p>
        </w:tc>
        <w:tc>
          <w:tcPr>
            <w:tcW w:w="999" w:type="pct"/>
            <w:tcBorders>
              <w:top w:val="single" w:sz="4" w:space="0" w:color="auto"/>
              <w:left w:val="single" w:sz="4" w:space="0" w:color="auto"/>
              <w:bottom w:val="single" w:sz="4" w:space="0" w:color="auto"/>
              <w:right w:val="single" w:sz="4" w:space="0" w:color="auto"/>
            </w:tcBorders>
            <w:hideMark/>
          </w:tcPr>
          <w:p w:rsidR="0086522E" w:rsidRPr="0054178A" w:rsidRDefault="00A44425" w:rsidP="0054178A">
            <w:pPr>
              <w:rPr>
                <w:sz w:val="28"/>
                <w:szCs w:val="28"/>
                <w:lang w:eastAsia="lv-LV"/>
              </w:rPr>
            </w:pPr>
            <w:r w:rsidRPr="0054178A">
              <w:rPr>
                <w:sz w:val="28"/>
                <w:szCs w:val="28"/>
                <w:lang w:eastAsia="lv-LV"/>
              </w:rPr>
              <w:t>0</w:t>
            </w:r>
          </w:p>
        </w:tc>
      </w:tr>
      <w:tr w:rsidR="00113F55" w:rsidRPr="0054178A" w:rsidTr="00D62B59">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rPr>
                <w:sz w:val="28"/>
                <w:szCs w:val="28"/>
                <w:lang w:eastAsia="lv-LV"/>
              </w:rPr>
            </w:pPr>
            <w:r w:rsidRPr="0054178A">
              <w:rPr>
                <w:sz w:val="28"/>
                <w:szCs w:val="28"/>
                <w:lang w:eastAsia="lv-LV"/>
              </w:rPr>
              <w:t>3.2. speciālais budžets</w:t>
            </w:r>
          </w:p>
        </w:tc>
        <w:tc>
          <w:tcPr>
            <w:tcW w:w="774" w:type="pc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rPr>
                <w:sz w:val="28"/>
                <w:szCs w:val="28"/>
                <w:lang w:eastAsia="lv-LV"/>
              </w:rPr>
            </w:pPr>
            <w:r w:rsidRPr="0054178A">
              <w:rPr>
                <w:sz w:val="28"/>
                <w:szCs w:val="28"/>
                <w:lang w:eastAsia="lv-LV"/>
              </w:rPr>
              <w:t> 0</w:t>
            </w:r>
          </w:p>
        </w:tc>
        <w:tc>
          <w:tcPr>
            <w:tcW w:w="587" w:type="pc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rPr>
                <w:sz w:val="28"/>
                <w:szCs w:val="28"/>
                <w:lang w:eastAsia="lv-LV"/>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rPr>
                <w:sz w:val="28"/>
                <w:szCs w:val="28"/>
                <w:lang w:eastAsia="lv-LV"/>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rPr>
                <w:sz w:val="28"/>
                <w:szCs w:val="28"/>
                <w:lang w:eastAsia="lv-LV"/>
              </w:rPr>
            </w:pPr>
            <w:r w:rsidRPr="0054178A">
              <w:rPr>
                <w:sz w:val="28"/>
                <w:szCs w:val="28"/>
                <w:lang w:eastAsia="lv-LV"/>
              </w:rPr>
              <w:t> 0</w:t>
            </w:r>
          </w:p>
        </w:tc>
        <w:tc>
          <w:tcPr>
            <w:tcW w:w="999" w:type="pc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rPr>
                <w:sz w:val="28"/>
                <w:szCs w:val="28"/>
                <w:lang w:eastAsia="lv-LV"/>
              </w:rPr>
            </w:pPr>
            <w:r w:rsidRPr="0054178A">
              <w:rPr>
                <w:sz w:val="28"/>
                <w:szCs w:val="28"/>
                <w:lang w:eastAsia="lv-LV"/>
              </w:rPr>
              <w:t> 0</w:t>
            </w:r>
          </w:p>
        </w:tc>
      </w:tr>
      <w:tr w:rsidR="00113F55" w:rsidRPr="0054178A" w:rsidTr="00D62B59">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rPr>
                <w:sz w:val="28"/>
                <w:szCs w:val="28"/>
                <w:lang w:eastAsia="lv-LV"/>
              </w:rPr>
            </w:pPr>
            <w:r w:rsidRPr="0054178A">
              <w:rPr>
                <w:sz w:val="28"/>
                <w:szCs w:val="28"/>
                <w:lang w:eastAsia="lv-LV"/>
              </w:rPr>
              <w:t xml:space="preserve">3.3. pašvaldību </w:t>
            </w:r>
            <w:r w:rsidRPr="0054178A">
              <w:rPr>
                <w:sz w:val="28"/>
                <w:szCs w:val="28"/>
                <w:lang w:eastAsia="lv-LV"/>
              </w:rPr>
              <w:lastRenderedPageBreak/>
              <w:t>budžets</w:t>
            </w:r>
          </w:p>
        </w:tc>
        <w:tc>
          <w:tcPr>
            <w:tcW w:w="774" w:type="pc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rPr>
                <w:sz w:val="28"/>
                <w:szCs w:val="28"/>
                <w:lang w:eastAsia="lv-LV"/>
              </w:rPr>
            </w:pPr>
            <w:r w:rsidRPr="0054178A">
              <w:rPr>
                <w:sz w:val="28"/>
                <w:szCs w:val="28"/>
                <w:lang w:eastAsia="lv-LV"/>
              </w:rPr>
              <w:lastRenderedPageBreak/>
              <w:t> 0</w:t>
            </w:r>
          </w:p>
        </w:tc>
        <w:tc>
          <w:tcPr>
            <w:tcW w:w="587" w:type="pc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rPr>
                <w:sz w:val="28"/>
                <w:szCs w:val="28"/>
                <w:lang w:eastAsia="lv-LV"/>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rPr>
                <w:sz w:val="28"/>
                <w:szCs w:val="28"/>
                <w:lang w:eastAsia="lv-LV"/>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rPr>
                <w:sz w:val="28"/>
                <w:szCs w:val="28"/>
                <w:lang w:eastAsia="lv-LV"/>
              </w:rPr>
            </w:pPr>
            <w:r w:rsidRPr="0054178A">
              <w:rPr>
                <w:sz w:val="28"/>
                <w:szCs w:val="28"/>
                <w:lang w:eastAsia="lv-LV"/>
              </w:rPr>
              <w:t> 0</w:t>
            </w:r>
          </w:p>
        </w:tc>
        <w:tc>
          <w:tcPr>
            <w:tcW w:w="999" w:type="pc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rPr>
                <w:sz w:val="28"/>
                <w:szCs w:val="28"/>
                <w:lang w:eastAsia="lv-LV"/>
              </w:rPr>
            </w:pPr>
            <w:r w:rsidRPr="0054178A">
              <w:rPr>
                <w:sz w:val="28"/>
                <w:szCs w:val="28"/>
                <w:lang w:eastAsia="lv-LV"/>
              </w:rPr>
              <w:t> 0</w:t>
            </w:r>
          </w:p>
        </w:tc>
      </w:tr>
      <w:tr w:rsidR="00113F55" w:rsidRPr="0054178A" w:rsidTr="00D62B59">
        <w:trPr>
          <w:tblCellSpacing w:w="15" w:type="dxa"/>
          <w:jc w:val="center"/>
        </w:trPr>
        <w:tc>
          <w:tcPr>
            <w:tcW w:w="910" w:type="pct"/>
            <w:vMerge w:val="restar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rPr>
                <w:sz w:val="28"/>
                <w:szCs w:val="28"/>
                <w:lang w:eastAsia="lv-LV"/>
              </w:rPr>
            </w:pPr>
            <w:r w:rsidRPr="0054178A">
              <w:rPr>
                <w:sz w:val="28"/>
                <w:szCs w:val="28"/>
                <w:lang w:eastAsia="lv-LV"/>
              </w:rPr>
              <w:lastRenderedPageBreak/>
              <w:t>4. Finanšu līdzekļi papildu izdevumu finansēšanai (kompensējošu izdevumu samazinājumu norāda ar "+" zīmi)</w:t>
            </w:r>
          </w:p>
        </w:tc>
        <w:tc>
          <w:tcPr>
            <w:tcW w:w="774" w:type="pct"/>
            <w:vMerge w:val="restar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ind w:firstLine="300"/>
              <w:jc w:val="center"/>
              <w:rPr>
                <w:sz w:val="28"/>
                <w:szCs w:val="28"/>
                <w:lang w:eastAsia="lv-LV"/>
              </w:rPr>
            </w:pPr>
            <w:r w:rsidRPr="0054178A">
              <w:rPr>
                <w:sz w:val="28"/>
                <w:szCs w:val="28"/>
                <w:lang w:eastAsia="lv-LV"/>
              </w:rPr>
              <w:t>X</w:t>
            </w:r>
          </w:p>
        </w:tc>
        <w:tc>
          <w:tcPr>
            <w:tcW w:w="587" w:type="pct"/>
            <w:tcBorders>
              <w:top w:val="single" w:sz="4" w:space="0" w:color="auto"/>
              <w:left w:val="single" w:sz="4" w:space="0" w:color="auto"/>
              <w:bottom w:val="single" w:sz="4" w:space="0" w:color="auto"/>
              <w:right w:val="single" w:sz="4" w:space="0" w:color="auto"/>
            </w:tcBorders>
          </w:tcPr>
          <w:p w:rsidR="00113F55" w:rsidRPr="0054178A" w:rsidRDefault="00113F55" w:rsidP="0054178A">
            <w:pPr>
              <w:rPr>
                <w:sz w:val="28"/>
                <w:szCs w:val="28"/>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tcPr>
          <w:p w:rsidR="00113F55" w:rsidRPr="0054178A" w:rsidRDefault="00113F55" w:rsidP="0054178A">
            <w:pPr>
              <w:rPr>
                <w:sz w:val="28"/>
                <w:szCs w:val="28"/>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rPr>
                <w:sz w:val="28"/>
                <w:szCs w:val="28"/>
              </w:rPr>
            </w:pPr>
            <w:r w:rsidRPr="0054178A">
              <w:rPr>
                <w:sz w:val="28"/>
                <w:szCs w:val="28"/>
                <w:lang w:eastAsia="lv-LV"/>
              </w:rPr>
              <w:t> 0</w:t>
            </w:r>
          </w:p>
        </w:tc>
        <w:tc>
          <w:tcPr>
            <w:tcW w:w="999" w:type="pc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rPr>
                <w:sz w:val="28"/>
                <w:szCs w:val="28"/>
              </w:rPr>
            </w:pPr>
            <w:r w:rsidRPr="0054178A">
              <w:rPr>
                <w:sz w:val="28"/>
                <w:szCs w:val="28"/>
                <w:lang w:eastAsia="lv-LV"/>
              </w:rPr>
              <w:t> 0</w:t>
            </w:r>
          </w:p>
        </w:tc>
      </w:tr>
      <w:tr w:rsidR="00113F55" w:rsidRPr="0054178A" w:rsidTr="00D62B59">
        <w:trPr>
          <w:tblCellSpacing w:w="15" w:type="dxa"/>
          <w:jc w:val="center"/>
        </w:trPr>
        <w:tc>
          <w:tcPr>
            <w:tcW w:w="910" w:type="pct"/>
            <w:vMerge/>
            <w:tcBorders>
              <w:top w:val="single" w:sz="4" w:space="0" w:color="auto"/>
              <w:left w:val="single" w:sz="4" w:space="0" w:color="auto"/>
              <w:bottom w:val="single" w:sz="4" w:space="0" w:color="auto"/>
              <w:right w:val="single" w:sz="4" w:space="0" w:color="auto"/>
            </w:tcBorders>
            <w:vAlign w:val="center"/>
            <w:hideMark/>
          </w:tcPr>
          <w:p w:rsidR="00113F55" w:rsidRPr="0054178A" w:rsidRDefault="00113F55" w:rsidP="0054178A">
            <w:pPr>
              <w:rPr>
                <w:sz w:val="28"/>
                <w:szCs w:val="28"/>
                <w:lang w:eastAsia="lv-LV"/>
              </w:rPr>
            </w:pP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113F55" w:rsidRPr="0054178A" w:rsidRDefault="00113F55" w:rsidP="0054178A">
            <w:pPr>
              <w:rPr>
                <w:sz w:val="28"/>
                <w:szCs w:val="28"/>
                <w:lang w:eastAsia="lv-LV"/>
              </w:rPr>
            </w:pPr>
          </w:p>
        </w:tc>
        <w:tc>
          <w:tcPr>
            <w:tcW w:w="587" w:type="pct"/>
            <w:tcBorders>
              <w:top w:val="single" w:sz="4" w:space="0" w:color="auto"/>
              <w:left w:val="single" w:sz="4" w:space="0" w:color="auto"/>
              <w:bottom w:val="single" w:sz="4" w:space="0" w:color="auto"/>
              <w:right w:val="single" w:sz="4" w:space="0" w:color="auto"/>
            </w:tcBorders>
          </w:tcPr>
          <w:p w:rsidR="00113F55" w:rsidRPr="0054178A" w:rsidRDefault="00113F55" w:rsidP="0054178A">
            <w:pPr>
              <w:rPr>
                <w:sz w:val="28"/>
                <w:szCs w:val="28"/>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tcPr>
          <w:p w:rsidR="00113F55" w:rsidRPr="0054178A" w:rsidRDefault="00113F55" w:rsidP="0054178A">
            <w:pPr>
              <w:rPr>
                <w:sz w:val="28"/>
                <w:szCs w:val="28"/>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rPr>
                <w:sz w:val="28"/>
                <w:szCs w:val="28"/>
              </w:rPr>
            </w:pPr>
            <w:r w:rsidRPr="0054178A">
              <w:rPr>
                <w:sz w:val="28"/>
                <w:szCs w:val="28"/>
                <w:lang w:eastAsia="lv-LV"/>
              </w:rPr>
              <w:t> 0</w:t>
            </w:r>
          </w:p>
        </w:tc>
        <w:tc>
          <w:tcPr>
            <w:tcW w:w="999" w:type="pc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rPr>
                <w:sz w:val="28"/>
                <w:szCs w:val="28"/>
              </w:rPr>
            </w:pPr>
            <w:r w:rsidRPr="0054178A">
              <w:rPr>
                <w:sz w:val="28"/>
                <w:szCs w:val="28"/>
                <w:lang w:eastAsia="lv-LV"/>
              </w:rPr>
              <w:t> 0</w:t>
            </w:r>
          </w:p>
        </w:tc>
      </w:tr>
      <w:tr w:rsidR="00113F55" w:rsidRPr="0054178A" w:rsidTr="00D62B59">
        <w:trPr>
          <w:tblCellSpacing w:w="15" w:type="dxa"/>
          <w:jc w:val="center"/>
        </w:trPr>
        <w:tc>
          <w:tcPr>
            <w:tcW w:w="910" w:type="pct"/>
            <w:vMerge/>
            <w:tcBorders>
              <w:top w:val="single" w:sz="4" w:space="0" w:color="auto"/>
              <w:left w:val="single" w:sz="4" w:space="0" w:color="auto"/>
              <w:bottom w:val="single" w:sz="4" w:space="0" w:color="auto"/>
              <w:right w:val="single" w:sz="4" w:space="0" w:color="auto"/>
            </w:tcBorders>
            <w:vAlign w:val="center"/>
            <w:hideMark/>
          </w:tcPr>
          <w:p w:rsidR="00113F55" w:rsidRPr="0054178A" w:rsidRDefault="00113F55" w:rsidP="0054178A">
            <w:pPr>
              <w:rPr>
                <w:sz w:val="28"/>
                <w:szCs w:val="28"/>
                <w:lang w:eastAsia="lv-LV"/>
              </w:rPr>
            </w:pP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113F55" w:rsidRPr="0054178A" w:rsidRDefault="00113F55" w:rsidP="0054178A">
            <w:pPr>
              <w:rPr>
                <w:sz w:val="28"/>
                <w:szCs w:val="28"/>
                <w:lang w:eastAsia="lv-LV"/>
              </w:rPr>
            </w:pPr>
          </w:p>
        </w:tc>
        <w:tc>
          <w:tcPr>
            <w:tcW w:w="587" w:type="pc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rPr>
                <w:sz w:val="28"/>
                <w:szCs w:val="28"/>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rPr>
                <w:sz w:val="28"/>
                <w:szCs w:val="28"/>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rPr>
                <w:sz w:val="28"/>
                <w:szCs w:val="28"/>
              </w:rPr>
            </w:pPr>
            <w:r w:rsidRPr="0054178A">
              <w:rPr>
                <w:sz w:val="28"/>
                <w:szCs w:val="28"/>
                <w:lang w:eastAsia="lv-LV"/>
              </w:rPr>
              <w:t> 0</w:t>
            </w:r>
          </w:p>
        </w:tc>
        <w:tc>
          <w:tcPr>
            <w:tcW w:w="999" w:type="pc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rPr>
                <w:sz w:val="28"/>
                <w:szCs w:val="28"/>
              </w:rPr>
            </w:pPr>
            <w:r w:rsidRPr="0054178A">
              <w:rPr>
                <w:sz w:val="28"/>
                <w:szCs w:val="28"/>
                <w:lang w:eastAsia="lv-LV"/>
              </w:rPr>
              <w:t> 0</w:t>
            </w:r>
          </w:p>
        </w:tc>
      </w:tr>
      <w:tr w:rsidR="00113F55" w:rsidRPr="0054178A" w:rsidTr="008B6BB4">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rPr>
                <w:sz w:val="28"/>
                <w:szCs w:val="28"/>
                <w:lang w:eastAsia="lv-LV"/>
              </w:rPr>
            </w:pPr>
            <w:r w:rsidRPr="0054178A">
              <w:rPr>
                <w:sz w:val="28"/>
                <w:szCs w:val="28"/>
                <w:lang w:eastAsia="lv-LV"/>
              </w:rPr>
              <w:t>5. Precizēta finansiālā ietekme:</w:t>
            </w:r>
          </w:p>
        </w:tc>
        <w:tc>
          <w:tcPr>
            <w:tcW w:w="774" w:type="pct"/>
            <w:vMerge w:val="restar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ind w:firstLine="300"/>
              <w:jc w:val="center"/>
              <w:rPr>
                <w:sz w:val="28"/>
                <w:szCs w:val="28"/>
                <w:lang w:eastAsia="lv-LV"/>
              </w:rPr>
            </w:pPr>
            <w:r w:rsidRPr="0054178A">
              <w:rPr>
                <w:sz w:val="28"/>
                <w:szCs w:val="28"/>
                <w:lang w:eastAsia="lv-LV"/>
              </w:rPr>
              <w:t>X</w:t>
            </w:r>
          </w:p>
        </w:tc>
        <w:tc>
          <w:tcPr>
            <w:tcW w:w="587" w:type="pct"/>
            <w:tcBorders>
              <w:top w:val="single" w:sz="4" w:space="0" w:color="auto"/>
              <w:left w:val="single" w:sz="4" w:space="0" w:color="auto"/>
              <w:bottom w:val="single" w:sz="4" w:space="0" w:color="auto"/>
              <w:right w:val="single" w:sz="4" w:space="0" w:color="auto"/>
            </w:tcBorders>
          </w:tcPr>
          <w:p w:rsidR="00113F55" w:rsidRPr="0054178A" w:rsidRDefault="00113F55" w:rsidP="0054178A">
            <w:pPr>
              <w:rPr>
                <w:sz w:val="28"/>
                <w:szCs w:val="28"/>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tcPr>
          <w:p w:rsidR="00113F55" w:rsidRPr="0054178A" w:rsidRDefault="00113F55" w:rsidP="0054178A">
            <w:pPr>
              <w:rPr>
                <w:sz w:val="28"/>
                <w:szCs w:val="28"/>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rPr>
                <w:sz w:val="28"/>
                <w:szCs w:val="28"/>
              </w:rPr>
            </w:pPr>
            <w:r w:rsidRPr="0054178A">
              <w:rPr>
                <w:sz w:val="28"/>
                <w:szCs w:val="28"/>
                <w:lang w:eastAsia="lv-LV"/>
              </w:rPr>
              <w:t> 0</w:t>
            </w:r>
          </w:p>
        </w:tc>
        <w:tc>
          <w:tcPr>
            <w:tcW w:w="999" w:type="pc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rPr>
                <w:sz w:val="28"/>
                <w:szCs w:val="28"/>
              </w:rPr>
            </w:pPr>
            <w:r w:rsidRPr="0054178A">
              <w:rPr>
                <w:sz w:val="28"/>
                <w:szCs w:val="28"/>
                <w:lang w:eastAsia="lv-LV"/>
              </w:rPr>
              <w:t> 0</w:t>
            </w:r>
          </w:p>
        </w:tc>
      </w:tr>
      <w:tr w:rsidR="00113F55" w:rsidRPr="0054178A" w:rsidTr="008B6BB4">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rPr>
                <w:sz w:val="28"/>
                <w:szCs w:val="28"/>
                <w:lang w:eastAsia="lv-LV"/>
              </w:rPr>
            </w:pPr>
            <w:r w:rsidRPr="0054178A">
              <w:rPr>
                <w:sz w:val="28"/>
                <w:szCs w:val="28"/>
                <w:lang w:eastAsia="lv-LV"/>
              </w:rPr>
              <w:t>5.1. valsts pamatbudžets</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113F55" w:rsidRPr="0054178A" w:rsidRDefault="00113F55" w:rsidP="0054178A">
            <w:pPr>
              <w:rPr>
                <w:sz w:val="28"/>
                <w:szCs w:val="28"/>
                <w:lang w:eastAsia="lv-LV"/>
              </w:rPr>
            </w:pPr>
          </w:p>
        </w:tc>
        <w:tc>
          <w:tcPr>
            <w:tcW w:w="587" w:type="pc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rPr>
                <w:sz w:val="28"/>
                <w:szCs w:val="28"/>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rPr>
                <w:sz w:val="28"/>
                <w:szCs w:val="28"/>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rPr>
                <w:sz w:val="28"/>
                <w:szCs w:val="28"/>
              </w:rPr>
            </w:pPr>
            <w:r w:rsidRPr="0054178A">
              <w:rPr>
                <w:sz w:val="28"/>
                <w:szCs w:val="28"/>
                <w:lang w:eastAsia="lv-LV"/>
              </w:rPr>
              <w:t> 0</w:t>
            </w:r>
          </w:p>
        </w:tc>
        <w:tc>
          <w:tcPr>
            <w:tcW w:w="999" w:type="pc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rPr>
                <w:sz w:val="28"/>
                <w:szCs w:val="28"/>
              </w:rPr>
            </w:pPr>
            <w:r w:rsidRPr="0054178A">
              <w:rPr>
                <w:sz w:val="28"/>
                <w:szCs w:val="28"/>
                <w:lang w:eastAsia="lv-LV"/>
              </w:rPr>
              <w:t> 0</w:t>
            </w:r>
          </w:p>
        </w:tc>
      </w:tr>
      <w:tr w:rsidR="00113F55" w:rsidRPr="0054178A" w:rsidTr="008B6BB4">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rPr>
                <w:sz w:val="28"/>
                <w:szCs w:val="28"/>
                <w:lang w:eastAsia="lv-LV"/>
              </w:rPr>
            </w:pPr>
            <w:r w:rsidRPr="0054178A">
              <w:rPr>
                <w:sz w:val="28"/>
                <w:szCs w:val="28"/>
                <w:lang w:eastAsia="lv-LV"/>
              </w:rPr>
              <w:t>5.2. speciālais budžets</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113F55" w:rsidRPr="0054178A" w:rsidRDefault="00113F55" w:rsidP="0054178A">
            <w:pPr>
              <w:rPr>
                <w:sz w:val="28"/>
                <w:szCs w:val="28"/>
                <w:lang w:eastAsia="lv-LV"/>
              </w:rPr>
            </w:pPr>
          </w:p>
        </w:tc>
        <w:tc>
          <w:tcPr>
            <w:tcW w:w="587" w:type="pc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rPr>
                <w:sz w:val="28"/>
                <w:szCs w:val="28"/>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rPr>
                <w:sz w:val="28"/>
                <w:szCs w:val="28"/>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rPr>
                <w:sz w:val="28"/>
                <w:szCs w:val="28"/>
              </w:rPr>
            </w:pPr>
            <w:r w:rsidRPr="0054178A">
              <w:rPr>
                <w:sz w:val="28"/>
                <w:szCs w:val="28"/>
                <w:lang w:eastAsia="lv-LV"/>
              </w:rPr>
              <w:t> 0</w:t>
            </w:r>
          </w:p>
        </w:tc>
        <w:tc>
          <w:tcPr>
            <w:tcW w:w="999" w:type="pc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rPr>
                <w:sz w:val="28"/>
                <w:szCs w:val="28"/>
              </w:rPr>
            </w:pPr>
            <w:r w:rsidRPr="0054178A">
              <w:rPr>
                <w:sz w:val="28"/>
                <w:szCs w:val="28"/>
                <w:lang w:eastAsia="lv-LV"/>
              </w:rPr>
              <w:t> 0</w:t>
            </w:r>
          </w:p>
        </w:tc>
      </w:tr>
      <w:tr w:rsidR="00113F55" w:rsidRPr="0054178A" w:rsidTr="008B6BB4">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rPr>
                <w:sz w:val="28"/>
                <w:szCs w:val="28"/>
                <w:lang w:eastAsia="lv-LV"/>
              </w:rPr>
            </w:pPr>
            <w:r w:rsidRPr="0054178A">
              <w:rPr>
                <w:sz w:val="28"/>
                <w:szCs w:val="28"/>
                <w:lang w:eastAsia="lv-LV"/>
              </w:rPr>
              <w:t>5.3. pašvaldību budžets</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113F55" w:rsidRPr="0054178A" w:rsidRDefault="00113F55" w:rsidP="0054178A">
            <w:pPr>
              <w:rPr>
                <w:sz w:val="28"/>
                <w:szCs w:val="28"/>
                <w:lang w:eastAsia="lv-LV"/>
              </w:rPr>
            </w:pPr>
          </w:p>
        </w:tc>
        <w:tc>
          <w:tcPr>
            <w:tcW w:w="587" w:type="pc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rPr>
                <w:sz w:val="28"/>
                <w:szCs w:val="28"/>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rPr>
                <w:sz w:val="28"/>
                <w:szCs w:val="28"/>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rPr>
                <w:sz w:val="28"/>
                <w:szCs w:val="28"/>
              </w:rPr>
            </w:pPr>
            <w:r w:rsidRPr="0054178A">
              <w:rPr>
                <w:sz w:val="28"/>
                <w:szCs w:val="28"/>
                <w:lang w:eastAsia="lv-LV"/>
              </w:rPr>
              <w:t> 0</w:t>
            </w:r>
          </w:p>
        </w:tc>
        <w:tc>
          <w:tcPr>
            <w:tcW w:w="999" w:type="pc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rPr>
                <w:sz w:val="28"/>
                <w:szCs w:val="28"/>
              </w:rPr>
            </w:pPr>
            <w:r w:rsidRPr="0054178A">
              <w:rPr>
                <w:sz w:val="28"/>
                <w:szCs w:val="28"/>
                <w:lang w:eastAsia="lv-LV"/>
              </w:rPr>
              <w:t> 0</w:t>
            </w:r>
          </w:p>
        </w:tc>
      </w:tr>
      <w:tr w:rsidR="00113F55" w:rsidRPr="0054178A" w:rsidTr="008B6BB4">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rPr>
                <w:sz w:val="28"/>
                <w:szCs w:val="28"/>
                <w:lang w:eastAsia="lv-LV"/>
              </w:rPr>
            </w:pPr>
            <w:r w:rsidRPr="0054178A">
              <w:rPr>
                <w:sz w:val="28"/>
                <w:szCs w:val="28"/>
                <w:lang w:eastAsia="lv-LV"/>
              </w:rPr>
              <w:t>6. Detalizēts ieņēmumu un izdevumu aprēķins (ja nepieciešams, detalizētu ieņēmumu un izdevumu aprēķinu var pievienot anotācijas pielikumā):</w:t>
            </w:r>
          </w:p>
        </w:tc>
        <w:tc>
          <w:tcPr>
            <w:tcW w:w="4045" w:type="pct"/>
            <w:gridSpan w:val="5"/>
            <w:vMerge w:val="restart"/>
            <w:tcBorders>
              <w:top w:val="single" w:sz="4" w:space="0" w:color="auto"/>
              <w:left w:val="single" w:sz="4" w:space="0" w:color="auto"/>
              <w:bottom w:val="single" w:sz="4" w:space="0" w:color="auto"/>
              <w:right w:val="single" w:sz="4" w:space="0" w:color="auto"/>
            </w:tcBorders>
            <w:vAlign w:val="center"/>
            <w:hideMark/>
          </w:tcPr>
          <w:p w:rsidR="00977F28" w:rsidRDefault="00977F28" w:rsidP="0054178A">
            <w:pPr>
              <w:jc w:val="both"/>
              <w:rPr>
                <w:bCs/>
                <w:sz w:val="28"/>
                <w:szCs w:val="28"/>
                <w:shd w:val="clear" w:color="auto" w:fill="FFFFFF"/>
              </w:rPr>
            </w:pPr>
          </w:p>
          <w:p w:rsidR="00113F55" w:rsidRPr="0054178A" w:rsidRDefault="00113F55" w:rsidP="00671281">
            <w:pPr>
              <w:jc w:val="both"/>
              <w:rPr>
                <w:sz w:val="28"/>
                <w:szCs w:val="28"/>
                <w:lang w:eastAsia="lv-LV"/>
              </w:rPr>
            </w:pPr>
          </w:p>
        </w:tc>
      </w:tr>
      <w:tr w:rsidR="00113F55" w:rsidRPr="0054178A" w:rsidTr="008B6BB4">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rPr>
                <w:sz w:val="28"/>
                <w:szCs w:val="28"/>
                <w:lang w:eastAsia="lv-LV"/>
              </w:rPr>
            </w:pPr>
            <w:r w:rsidRPr="0054178A">
              <w:rPr>
                <w:sz w:val="28"/>
                <w:szCs w:val="28"/>
                <w:lang w:eastAsia="lv-LV"/>
              </w:rPr>
              <w:t>6.1. detalizēts ieņēmumu aprēķins</w:t>
            </w:r>
          </w:p>
        </w:tc>
        <w:tc>
          <w:tcPr>
            <w:tcW w:w="4045" w:type="pct"/>
            <w:gridSpan w:val="5"/>
            <w:vMerge/>
            <w:tcBorders>
              <w:top w:val="single" w:sz="4" w:space="0" w:color="auto"/>
              <w:left w:val="single" w:sz="4" w:space="0" w:color="auto"/>
              <w:bottom w:val="single" w:sz="4" w:space="0" w:color="auto"/>
              <w:right w:val="single" w:sz="4" w:space="0" w:color="auto"/>
            </w:tcBorders>
            <w:vAlign w:val="center"/>
            <w:hideMark/>
          </w:tcPr>
          <w:p w:rsidR="00113F55" w:rsidRPr="0054178A" w:rsidRDefault="00113F55" w:rsidP="0054178A">
            <w:pPr>
              <w:rPr>
                <w:sz w:val="28"/>
                <w:szCs w:val="28"/>
                <w:lang w:eastAsia="lv-LV"/>
              </w:rPr>
            </w:pPr>
          </w:p>
        </w:tc>
      </w:tr>
      <w:tr w:rsidR="00113F55" w:rsidRPr="0054178A" w:rsidTr="008B6BB4">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113F55" w:rsidRPr="0054178A" w:rsidRDefault="00113F55" w:rsidP="0054178A">
            <w:pPr>
              <w:rPr>
                <w:sz w:val="28"/>
                <w:szCs w:val="28"/>
                <w:lang w:eastAsia="lv-LV"/>
              </w:rPr>
            </w:pPr>
            <w:r w:rsidRPr="0054178A">
              <w:rPr>
                <w:sz w:val="28"/>
                <w:szCs w:val="28"/>
                <w:lang w:eastAsia="lv-LV"/>
              </w:rPr>
              <w:t>6.2. detalizēts izdevumu aprēķins</w:t>
            </w:r>
          </w:p>
        </w:tc>
        <w:tc>
          <w:tcPr>
            <w:tcW w:w="4045" w:type="pct"/>
            <w:gridSpan w:val="5"/>
            <w:vMerge/>
            <w:tcBorders>
              <w:top w:val="single" w:sz="4" w:space="0" w:color="auto"/>
              <w:left w:val="single" w:sz="4" w:space="0" w:color="auto"/>
              <w:bottom w:val="single" w:sz="4" w:space="0" w:color="auto"/>
              <w:right w:val="single" w:sz="4" w:space="0" w:color="auto"/>
            </w:tcBorders>
            <w:vAlign w:val="center"/>
            <w:hideMark/>
          </w:tcPr>
          <w:p w:rsidR="00113F55" w:rsidRPr="0054178A" w:rsidRDefault="00113F55" w:rsidP="0054178A">
            <w:pPr>
              <w:rPr>
                <w:sz w:val="28"/>
                <w:szCs w:val="28"/>
                <w:lang w:eastAsia="lv-LV"/>
              </w:rPr>
            </w:pPr>
          </w:p>
        </w:tc>
      </w:tr>
      <w:tr w:rsidR="00113F55" w:rsidRPr="0054178A" w:rsidTr="008B6BB4">
        <w:trPr>
          <w:tblCellSpacing w:w="15" w:type="dxa"/>
          <w:jc w:val="center"/>
        </w:trPr>
        <w:tc>
          <w:tcPr>
            <w:tcW w:w="910" w:type="pct"/>
            <w:tcBorders>
              <w:top w:val="single" w:sz="4" w:space="0" w:color="auto"/>
              <w:left w:val="single" w:sz="4" w:space="0" w:color="auto"/>
              <w:bottom w:val="single" w:sz="4" w:space="0" w:color="auto"/>
              <w:right w:val="single" w:sz="4" w:space="0" w:color="auto"/>
            </w:tcBorders>
          </w:tcPr>
          <w:p w:rsidR="00113F55" w:rsidRPr="0054178A" w:rsidRDefault="00113F55" w:rsidP="0054178A">
            <w:pPr>
              <w:rPr>
                <w:sz w:val="28"/>
                <w:szCs w:val="28"/>
                <w:lang w:eastAsia="lv-LV"/>
              </w:rPr>
            </w:pPr>
            <w:r w:rsidRPr="0054178A">
              <w:rPr>
                <w:sz w:val="28"/>
                <w:szCs w:val="28"/>
                <w:lang w:eastAsia="lv-LV"/>
              </w:rPr>
              <w:t xml:space="preserve">7. Cita </w:t>
            </w:r>
            <w:r w:rsidRPr="0054178A">
              <w:rPr>
                <w:sz w:val="28"/>
                <w:szCs w:val="28"/>
                <w:lang w:eastAsia="lv-LV"/>
              </w:rPr>
              <w:lastRenderedPageBreak/>
              <w:t>informācija</w:t>
            </w:r>
          </w:p>
        </w:tc>
        <w:tc>
          <w:tcPr>
            <w:tcW w:w="4045" w:type="pct"/>
            <w:gridSpan w:val="5"/>
            <w:tcBorders>
              <w:top w:val="single" w:sz="4" w:space="0" w:color="auto"/>
              <w:left w:val="single" w:sz="4" w:space="0" w:color="auto"/>
              <w:bottom w:val="single" w:sz="4" w:space="0" w:color="auto"/>
              <w:right w:val="single" w:sz="4" w:space="0" w:color="auto"/>
            </w:tcBorders>
            <w:vAlign w:val="center"/>
          </w:tcPr>
          <w:p w:rsidR="004B0601" w:rsidRDefault="004B0601" w:rsidP="004B0601">
            <w:pPr>
              <w:jc w:val="both"/>
              <w:rPr>
                <w:bCs/>
                <w:sz w:val="28"/>
                <w:szCs w:val="28"/>
                <w:shd w:val="clear" w:color="auto" w:fill="FFFFFF"/>
              </w:rPr>
            </w:pPr>
            <w:r>
              <w:rPr>
                <w:sz w:val="28"/>
                <w:szCs w:val="28"/>
              </w:rPr>
              <w:lastRenderedPageBreak/>
              <w:t>Jautājums par papildus finansējumu</w:t>
            </w:r>
            <w:r w:rsidRPr="0054178A">
              <w:rPr>
                <w:sz w:val="28"/>
                <w:szCs w:val="28"/>
              </w:rPr>
              <w:t xml:space="preserve">, kas nepieciešams, lai nodrošinātu </w:t>
            </w:r>
            <w:r w:rsidRPr="0054178A">
              <w:rPr>
                <w:sz w:val="28"/>
                <w:szCs w:val="28"/>
              </w:rPr>
              <w:lastRenderedPageBreak/>
              <w:t xml:space="preserve">piemaksas Kultūras ministrijas padotības izglītības iestāžu pedagogiem, kuri līdz 2014.gada 1.septembrim ieguvuši </w:t>
            </w:r>
            <w:r>
              <w:rPr>
                <w:sz w:val="28"/>
                <w:szCs w:val="28"/>
              </w:rPr>
              <w:t>3.-5.</w:t>
            </w:r>
            <w:r w:rsidRPr="0054178A">
              <w:rPr>
                <w:sz w:val="28"/>
                <w:szCs w:val="28"/>
              </w:rPr>
              <w:t>kvalitātes pakāp</w:t>
            </w:r>
            <w:r>
              <w:rPr>
                <w:sz w:val="28"/>
                <w:szCs w:val="28"/>
              </w:rPr>
              <w:t>es</w:t>
            </w:r>
            <w:r w:rsidRPr="0054178A">
              <w:rPr>
                <w:sz w:val="28"/>
                <w:szCs w:val="28"/>
              </w:rPr>
              <w:t xml:space="preserve">, </w:t>
            </w:r>
            <w:r>
              <w:rPr>
                <w:sz w:val="28"/>
                <w:szCs w:val="28"/>
              </w:rPr>
              <w:t xml:space="preserve">t.sk., papildus finansējums, kas nepieciešams pašvaldību un privāto dibinātāju profesionālās ievirzes mūzikas un mākslas skolu pedagogiem, izskatīts Ministru kabinetā </w:t>
            </w:r>
            <w:r w:rsidRPr="0054178A">
              <w:rPr>
                <w:sz w:val="28"/>
                <w:szCs w:val="28"/>
              </w:rPr>
              <w:t>2014.gada 17.jūnijā</w:t>
            </w:r>
            <w:r>
              <w:rPr>
                <w:sz w:val="28"/>
                <w:szCs w:val="28"/>
              </w:rPr>
              <w:t>, skatot</w:t>
            </w:r>
            <w:proofErr w:type="gramStart"/>
            <w:r>
              <w:rPr>
                <w:sz w:val="28"/>
                <w:szCs w:val="28"/>
              </w:rPr>
              <w:t xml:space="preserve">  </w:t>
            </w:r>
            <w:proofErr w:type="gramEnd"/>
            <w:r>
              <w:rPr>
                <w:sz w:val="28"/>
                <w:szCs w:val="28"/>
              </w:rPr>
              <w:t>Izglītības un zinātnes ministrijas sagatavoto Ministru kabineta</w:t>
            </w:r>
            <w:r w:rsidRPr="0054178A">
              <w:rPr>
                <w:sz w:val="28"/>
                <w:szCs w:val="28"/>
              </w:rPr>
              <w:t xml:space="preserve"> noteikumu projekt</w:t>
            </w:r>
            <w:r>
              <w:rPr>
                <w:sz w:val="28"/>
                <w:szCs w:val="28"/>
              </w:rPr>
              <w:t>u</w:t>
            </w:r>
            <w:r w:rsidRPr="0054178A">
              <w:rPr>
                <w:sz w:val="28"/>
                <w:szCs w:val="28"/>
              </w:rPr>
              <w:t xml:space="preserve"> </w:t>
            </w:r>
            <w:r w:rsidRPr="00CF5DC8">
              <w:rPr>
                <w:rStyle w:val="Izteiksmgs"/>
                <w:b w:val="0"/>
                <w:sz w:val="28"/>
                <w:szCs w:val="28"/>
              </w:rPr>
              <w:t>„G</w:t>
            </w:r>
            <w:r w:rsidRPr="00CF5DC8">
              <w:rPr>
                <w:sz w:val="28"/>
                <w:szCs w:val="28"/>
              </w:rPr>
              <w:t xml:space="preserve">rozījumi </w:t>
            </w:r>
            <w:r w:rsidRPr="00CF5DC8">
              <w:rPr>
                <w:rStyle w:val="Izteiksmgs"/>
                <w:b w:val="0"/>
                <w:sz w:val="28"/>
                <w:szCs w:val="28"/>
              </w:rPr>
              <w:t>Ministru</w:t>
            </w:r>
            <w:r w:rsidRPr="00CF5DC8">
              <w:rPr>
                <w:rStyle w:val="Izteiksmgs"/>
                <w:sz w:val="28"/>
                <w:szCs w:val="28"/>
              </w:rPr>
              <w:t xml:space="preserve"> </w:t>
            </w:r>
            <w:r w:rsidRPr="00CF5DC8">
              <w:rPr>
                <w:rStyle w:val="Izteiksmgs"/>
                <w:b w:val="0"/>
                <w:sz w:val="28"/>
                <w:szCs w:val="28"/>
              </w:rPr>
              <w:t>kabineta</w:t>
            </w:r>
            <w:r w:rsidRPr="00CF5DC8">
              <w:rPr>
                <w:rStyle w:val="Izteiksmgs"/>
                <w:sz w:val="28"/>
                <w:szCs w:val="28"/>
              </w:rPr>
              <w:t xml:space="preserve"> </w:t>
            </w:r>
            <w:r w:rsidRPr="00CF5DC8">
              <w:rPr>
                <w:rStyle w:val="Izteiksmgs"/>
                <w:b w:val="0"/>
                <w:sz w:val="28"/>
                <w:szCs w:val="28"/>
              </w:rPr>
              <w:t>2009</w:t>
            </w:r>
            <w:r w:rsidRPr="00CF5DC8">
              <w:rPr>
                <w:rStyle w:val="Izteiksmgs"/>
                <w:sz w:val="28"/>
                <w:szCs w:val="28"/>
              </w:rPr>
              <w:t>.</w:t>
            </w:r>
            <w:r w:rsidRPr="00CF5DC8">
              <w:rPr>
                <w:rStyle w:val="Izteiksmgs"/>
                <w:b w:val="0"/>
                <w:sz w:val="28"/>
                <w:szCs w:val="28"/>
              </w:rPr>
              <w:t>gada</w:t>
            </w:r>
            <w:r w:rsidRPr="00CF5DC8">
              <w:rPr>
                <w:rStyle w:val="Izteiksmgs"/>
                <w:sz w:val="28"/>
                <w:szCs w:val="28"/>
              </w:rPr>
              <w:t xml:space="preserve"> </w:t>
            </w:r>
            <w:r w:rsidRPr="00CF5DC8">
              <w:rPr>
                <w:rStyle w:val="Izteiksmgs"/>
                <w:b w:val="0"/>
                <w:sz w:val="28"/>
                <w:szCs w:val="28"/>
              </w:rPr>
              <w:t>28</w:t>
            </w:r>
            <w:r w:rsidRPr="00CF5DC8">
              <w:rPr>
                <w:rStyle w:val="Izteiksmgs"/>
                <w:sz w:val="28"/>
                <w:szCs w:val="28"/>
              </w:rPr>
              <w:t>.</w:t>
            </w:r>
            <w:r w:rsidRPr="00CF5DC8">
              <w:rPr>
                <w:rStyle w:val="Izteiksmgs"/>
                <w:b w:val="0"/>
                <w:sz w:val="28"/>
                <w:szCs w:val="28"/>
              </w:rPr>
              <w:t>jūlija</w:t>
            </w:r>
            <w:r w:rsidRPr="00CF5DC8">
              <w:rPr>
                <w:rStyle w:val="Izteiksmgs"/>
                <w:sz w:val="28"/>
                <w:szCs w:val="28"/>
              </w:rPr>
              <w:t xml:space="preserve"> </w:t>
            </w:r>
            <w:r w:rsidRPr="00CF5DC8">
              <w:rPr>
                <w:rStyle w:val="Izteiksmgs"/>
                <w:b w:val="0"/>
                <w:sz w:val="28"/>
                <w:szCs w:val="28"/>
              </w:rPr>
              <w:t>noteikumos</w:t>
            </w:r>
            <w:r w:rsidRPr="00CF5DC8">
              <w:rPr>
                <w:rStyle w:val="Izteiksmgs"/>
                <w:sz w:val="28"/>
                <w:szCs w:val="28"/>
              </w:rPr>
              <w:t xml:space="preserve"> </w:t>
            </w:r>
            <w:r w:rsidRPr="00CF5DC8">
              <w:rPr>
                <w:rStyle w:val="Izteiksmgs"/>
                <w:b w:val="0"/>
                <w:sz w:val="28"/>
                <w:szCs w:val="28"/>
              </w:rPr>
              <w:t>Nr</w:t>
            </w:r>
            <w:r w:rsidRPr="00CF5DC8">
              <w:rPr>
                <w:rStyle w:val="Izteiksmgs"/>
                <w:sz w:val="28"/>
                <w:szCs w:val="28"/>
              </w:rPr>
              <w:t>.</w:t>
            </w:r>
            <w:r w:rsidRPr="00CF5DC8">
              <w:rPr>
                <w:rStyle w:val="Izteiksmgs"/>
                <w:b w:val="0"/>
                <w:sz w:val="28"/>
                <w:szCs w:val="28"/>
              </w:rPr>
              <w:t>836</w:t>
            </w:r>
            <w:r w:rsidRPr="00CF5DC8">
              <w:rPr>
                <w:rStyle w:val="Izteiksmgs"/>
                <w:sz w:val="28"/>
                <w:szCs w:val="28"/>
              </w:rPr>
              <w:t xml:space="preserve"> </w:t>
            </w:r>
            <w:r w:rsidRPr="00CF5DC8">
              <w:rPr>
                <w:rStyle w:val="Izteiksmgs"/>
                <w:b w:val="0"/>
                <w:sz w:val="28"/>
                <w:szCs w:val="28"/>
              </w:rPr>
              <w:t>„</w:t>
            </w:r>
            <w:r w:rsidRPr="00CF5DC8">
              <w:rPr>
                <w:sz w:val="28"/>
                <w:szCs w:val="28"/>
              </w:rPr>
              <w:t>Peda</w:t>
            </w:r>
            <w:r>
              <w:rPr>
                <w:sz w:val="28"/>
                <w:szCs w:val="28"/>
              </w:rPr>
              <w:t>gogu darba samaksas noteikumi” (</w:t>
            </w:r>
            <w:r w:rsidRPr="0054178A">
              <w:rPr>
                <w:sz w:val="28"/>
                <w:szCs w:val="28"/>
              </w:rPr>
              <w:t>Ministru kabineta 2014.gada 17.jūnija</w:t>
            </w:r>
            <w:r w:rsidRPr="0054178A">
              <w:rPr>
                <w:sz w:val="28"/>
                <w:szCs w:val="28"/>
                <w:shd w:val="clear" w:color="auto" w:fill="FFFFFF"/>
              </w:rPr>
              <w:t xml:space="preserve"> sēdes prot.Nr.33, </w:t>
            </w:r>
            <w:bookmarkStart w:id="6" w:name="97"/>
            <w:r w:rsidRPr="0054178A">
              <w:rPr>
                <w:bCs/>
                <w:sz w:val="28"/>
                <w:szCs w:val="28"/>
                <w:shd w:val="clear" w:color="auto" w:fill="FFFFFF"/>
              </w:rPr>
              <w:t>97.§</w:t>
            </w:r>
            <w:bookmarkEnd w:id="6"/>
            <w:r w:rsidRPr="0054178A">
              <w:rPr>
                <w:bCs/>
                <w:sz w:val="28"/>
                <w:szCs w:val="28"/>
                <w:shd w:val="clear" w:color="auto" w:fill="FFFFFF"/>
              </w:rPr>
              <w:t>, 2.punkts)</w:t>
            </w:r>
            <w:r>
              <w:rPr>
                <w:bCs/>
                <w:sz w:val="28"/>
                <w:szCs w:val="28"/>
                <w:shd w:val="clear" w:color="auto" w:fill="FFFFFF"/>
              </w:rPr>
              <w:t>, kā arī</w:t>
            </w:r>
            <w:proofErr w:type="gramStart"/>
            <w:r>
              <w:rPr>
                <w:bCs/>
                <w:sz w:val="28"/>
                <w:szCs w:val="28"/>
                <w:shd w:val="clear" w:color="auto" w:fill="FFFFFF"/>
              </w:rPr>
              <w:t xml:space="preserve">  </w:t>
            </w:r>
            <w:proofErr w:type="gramEnd"/>
            <w:r>
              <w:rPr>
                <w:bCs/>
                <w:sz w:val="28"/>
                <w:szCs w:val="28"/>
                <w:shd w:val="clear" w:color="auto" w:fill="FFFFFF"/>
              </w:rPr>
              <w:br/>
              <w:t>R</w:t>
            </w:r>
            <w:r w:rsidRPr="00977F28">
              <w:rPr>
                <w:bCs/>
                <w:sz w:val="28"/>
                <w:szCs w:val="28"/>
                <w:shd w:val="clear" w:color="auto" w:fill="FFFFFF"/>
              </w:rPr>
              <w:t>īkojuma projekt</w:t>
            </w:r>
            <w:r>
              <w:rPr>
                <w:bCs/>
                <w:sz w:val="28"/>
                <w:szCs w:val="28"/>
                <w:shd w:val="clear" w:color="auto" w:fill="FFFFFF"/>
              </w:rPr>
              <w:t>u</w:t>
            </w:r>
            <w:r w:rsidRPr="00977F28">
              <w:rPr>
                <w:bCs/>
                <w:sz w:val="28"/>
                <w:szCs w:val="28"/>
                <w:shd w:val="clear" w:color="auto" w:fill="FFFFFF"/>
              </w:rPr>
              <w:t xml:space="preserve"> </w:t>
            </w:r>
            <w:r>
              <w:rPr>
                <w:bCs/>
                <w:sz w:val="28"/>
                <w:szCs w:val="28"/>
                <w:shd w:val="clear" w:color="auto" w:fill="FFFFFF"/>
              </w:rPr>
              <w:t>„</w:t>
            </w:r>
            <w:r w:rsidRPr="00977F28">
              <w:rPr>
                <w:bCs/>
                <w:sz w:val="28"/>
                <w:szCs w:val="28"/>
                <w:shd w:val="clear" w:color="auto" w:fill="FFFFFF"/>
              </w:rPr>
              <w:t>Par apropriācijas pārdali starp ministrijām</w:t>
            </w:r>
            <w:r>
              <w:rPr>
                <w:bCs/>
                <w:sz w:val="28"/>
                <w:szCs w:val="28"/>
                <w:shd w:val="clear" w:color="auto" w:fill="FFFFFF"/>
              </w:rPr>
              <w:t>” (</w:t>
            </w:r>
            <w:r w:rsidRPr="0054178A">
              <w:rPr>
                <w:sz w:val="28"/>
                <w:szCs w:val="28"/>
              </w:rPr>
              <w:t>Ministru kabineta 2014.gada 17.jūnija</w:t>
            </w:r>
            <w:r w:rsidRPr="0054178A">
              <w:rPr>
                <w:sz w:val="28"/>
                <w:szCs w:val="28"/>
                <w:shd w:val="clear" w:color="auto" w:fill="FFFFFF"/>
              </w:rPr>
              <w:t xml:space="preserve"> sēdes prot.Nr.33, </w:t>
            </w:r>
            <w:r w:rsidRPr="0054178A">
              <w:rPr>
                <w:bCs/>
                <w:sz w:val="28"/>
                <w:szCs w:val="28"/>
                <w:shd w:val="clear" w:color="auto" w:fill="FFFFFF"/>
              </w:rPr>
              <w:t>9</w:t>
            </w:r>
            <w:r>
              <w:rPr>
                <w:bCs/>
                <w:sz w:val="28"/>
                <w:szCs w:val="28"/>
                <w:shd w:val="clear" w:color="auto" w:fill="FFFFFF"/>
              </w:rPr>
              <w:t>9</w:t>
            </w:r>
            <w:r w:rsidRPr="0054178A">
              <w:rPr>
                <w:bCs/>
                <w:sz w:val="28"/>
                <w:szCs w:val="28"/>
                <w:shd w:val="clear" w:color="auto" w:fill="FFFFFF"/>
              </w:rPr>
              <w:t>.§</w:t>
            </w:r>
            <w:r>
              <w:rPr>
                <w:bCs/>
                <w:sz w:val="28"/>
                <w:szCs w:val="28"/>
                <w:shd w:val="clear" w:color="auto" w:fill="FFFFFF"/>
              </w:rPr>
              <w:t xml:space="preserve"> 3.2.2. un 3.2.3.punkts).  Papildus nepieciešamais finansējums piemaksu nodrošināšanai pedagogiem, kuri ieguvuši 3., 4. un 5.kvalitātes pakāpi pēc </w:t>
            </w:r>
            <w:r w:rsidRPr="0054178A">
              <w:rPr>
                <w:sz w:val="28"/>
                <w:szCs w:val="28"/>
              </w:rPr>
              <w:t>Eiropas Sociālā fonda projekta „Pedagogu konkurētspējas veicināšanas izglītības sistēmas optimizācijas apstākļos”</w:t>
            </w:r>
            <w:r>
              <w:rPr>
                <w:sz w:val="28"/>
                <w:szCs w:val="28"/>
              </w:rPr>
              <w:t xml:space="preserve"> projekta beigām,</w:t>
            </w:r>
            <w:proofErr w:type="gramStart"/>
            <w:r>
              <w:rPr>
                <w:sz w:val="28"/>
                <w:szCs w:val="28"/>
              </w:rPr>
              <w:t xml:space="preserve">  </w:t>
            </w:r>
            <w:proofErr w:type="gramEnd"/>
            <w:r>
              <w:rPr>
                <w:bCs/>
                <w:sz w:val="28"/>
                <w:szCs w:val="28"/>
                <w:shd w:val="clear" w:color="auto" w:fill="FFFFFF"/>
              </w:rPr>
              <w:t xml:space="preserve">2014.gadā ir 47 794 </w:t>
            </w:r>
            <w:proofErr w:type="spellStart"/>
            <w:r w:rsidRPr="00CA1738">
              <w:rPr>
                <w:bCs/>
                <w:i/>
                <w:iCs/>
                <w:sz w:val="28"/>
                <w:szCs w:val="28"/>
                <w:shd w:val="clear" w:color="auto" w:fill="FFFFFF"/>
              </w:rPr>
              <w:t>euro</w:t>
            </w:r>
            <w:proofErr w:type="spellEnd"/>
            <w:r>
              <w:rPr>
                <w:bCs/>
                <w:sz w:val="28"/>
                <w:szCs w:val="28"/>
                <w:shd w:val="clear" w:color="auto" w:fill="FFFFFF"/>
              </w:rPr>
              <w:t xml:space="preserve">, savukārt 2015.gadā – 30 096 </w:t>
            </w:r>
            <w:proofErr w:type="spellStart"/>
            <w:r w:rsidRPr="00CA1738">
              <w:rPr>
                <w:bCs/>
                <w:i/>
                <w:iCs/>
                <w:sz w:val="28"/>
                <w:szCs w:val="28"/>
                <w:shd w:val="clear" w:color="auto" w:fill="FFFFFF"/>
              </w:rPr>
              <w:t>euro</w:t>
            </w:r>
            <w:proofErr w:type="spellEnd"/>
            <w:r>
              <w:rPr>
                <w:bCs/>
                <w:sz w:val="28"/>
                <w:szCs w:val="28"/>
                <w:shd w:val="clear" w:color="auto" w:fill="FFFFFF"/>
              </w:rPr>
              <w:t xml:space="preserve">.   </w:t>
            </w:r>
          </w:p>
          <w:p w:rsidR="004B0601" w:rsidRPr="0054178A" w:rsidRDefault="004B0601" w:rsidP="004B0601">
            <w:pPr>
              <w:jc w:val="both"/>
              <w:rPr>
                <w:sz w:val="28"/>
                <w:szCs w:val="28"/>
                <w:lang w:eastAsia="lv-LV"/>
              </w:rPr>
            </w:pPr>
            <w:r>
              <w:rPr>
                <w:bCs/>
                <w:sz w:val="28"/>
                <w:szCs w:val="28"/>
                <w:shd w:val="clear" w:color="auto" w:fill="FFFFFF"/>
              </w:rPr>
              <w:t>Atbilstoši</w:t>
            </w:r>
            <w:r>
              <w:rPr>
                <w:sz w:val="28"/>
                <w:szCs w:val="28"/>
              </w:rPr>
              <w:t xml:space="preserve"> 2014.gada 17.jūnija sēdes </w:t>
            </w:r>
            <w:proofErr w:type="spellStart"/>
            <w:r>
              <w:rPr>
                <w:sz w:val="28"/>
                <w:szCs w:val="28"/>
              </w:rPr>
              <w:t>protokollēmuma</w:t>
            </w:r>
            <w:proofErr w:type="spellEnd"/>
            <w:r>
              <w:rPr>
                <w:sz w:val="28"/>
                <w:szCs w:val="28"/>
              </w:rPr>
              <w:t xml:space="preserve"> (prot.Nr.33, </w:t>
            </w:r>
            <w:r w:rsidRPr="0054178A">
              <w:rPr>
                <w:bCs/>
                <w:sz w:val="28"/>
                <w:szCs w:val="28"/>
                <w:shd w:val="clear" w:color="auto" w:fill="FFFFFF"/>
              </w:rPr>
              <w:t>9</w:t>
            </w:r>
            <w:r>
              <w:rPr>
                <w:bCs/>
                <w:sz w:val="28"/>
                <w:szCs w:val="28"/>
                <w:shd w:val="clear" w:color="auto" w:fill="FFFFFF"/>
              </w:rPr>
              <w:t>9</w:t>
            </w:r>
            <w:r w:rsidRPr="0054178A">
              <w:rPr>
                <w:bCs/>
                <w:sz w:val="28"/>
                <w:szCs w:val="28"/>
                <w:shd w:val="clear" w:color="auto" w:fill="FFFFFF"/>
              </w:rPr>
              <w:t>.§</w:t>
            </w:r>
            <w:r>
              <w:rPr>
                <w:bCs/>
                <w:sz w:val="28"/>
                <w:szCs w:val="28"/>
                <w:shd w:val="clear" w:color="auto" w:fill="FFFFFF"/>
              </w:rPr>
              <w:t>) „R</w:t>
            </w:r>
            <w:r w:rsidRPr="00977F28">
              <w:rPr>
                <w:bCs/>
                <w:sz w:val="28"/>
                <w:szCs w:val="28"/>
                <w:shd w:val="clear" w:color="auto" w:fill="FFFFFF"/>
              </w:rPr>
              <w:t>īkojuma projekt</w:t>
            </w:r>
            <w:r>
              <w:rPr>
                <w:bCs/>
                <w:sz w:val="28"/>
                <w:szCs w:val="28"/>
                <w:shd w:val="clear" w:color="auto" w:fill="FFFFFF"/>
              </w:rPr>
              <w:t>s</w:t>
            </w:r>
            <w:r w:rsidRPr="00977F28">
              <w:rPr>
                <w:bCs/>
                <w:sz w:val="28"/>
                <w:szCs w:val="28"/>
                <w:shd w:val="clear" w:color="auto" w:fill="FFFFFF"/>
              </w:rPr>
              <w:t xml:space="preserve"> </w:t>
            </w:r>
            <w:r>
              <w:rPr>
                <w:bCs/>
                <w:sz w:val="28"/>
                <w:szCs w:val="28"/>
                <w:shd w:val="clear" w:color="auto" w:fill="FFFFFF"/>
              </w:rPr>
              <w:t>„</w:t>
            </w:r>
            <w:r w:rsidRPr="00977F28">
              <w:rPr>
                <w:bCs/>
                <w:sz w:val="28"/>
                <w:szCs w:val="28"/>
                <w:shd w:val="clear" w:color="auto" w:fill="FFFFFF"/>
              </w:rPr>
              <w:t>Par apropriācijas pārdali starp ministrijām</w:t>
            </w:r>
            <w:r>
              <w:rPr>
                <w:bCs/>
                <w:sz w:val="28"/>
                <w:szCs w:val="28"/>
                <w:shd w:val="clear" w:color="auto" w:fill="FFFFFF"/>
              </w:rPr>
              <w:t>” 3.2.2. punktam, l</w:t>
            </w:r>
            <w:r w:rsidRPr="00630340">
              <w:rPr>
                <w:bCs/>
                <w:sz w:val="28"/>
                <w:szCs w:val="28"/>
                <w:shd w:val="clear" w:color="auto" w:fill="FFFFFF"/>
              </w:rPr>
              <w:t xml:space="preserve">ai no 2014.gada 1.septembra nodrošinātu piemaksas pedagogiem, kuri </w:t>
            </w:r>
            <w:r>
              <w:rPr>
                <w:bCs/>
                <w:sz w:val="28"/>
                <w:szCs w:val="28"/>
                <w:shd w:val="clear" w:color="auto" w:fill="FFFFFF"/>
              </w:rPr>
              <w:t xml:space="preserve">ieguvuši </w:t>
            </w:r>
            <w:r w:rsidRPr="00630340">
              <w:rPr>
                <w:bCs/>
                <w:sz w:val="28"/>
                <w:szCs w:val="28"/>
                <w:shd w:val="clear" w:color="auto" w:fill="FFFFFF"/>
              </w:rPr>
              <w:t>3., 4. vai 5. kvalitātes pakāpi</w:t>
            </w:r>
            <w:r>
              <w:rPr>
                <w:bCs/>
                <w:sz w:val="28"/>
                <w:szCs w:val="28"/>
                <w:shd w:val="clear" w:color="auto" w:fill="FFFFFF"/>
              </w:rPr>
              <w:t>, iestādēs, kurām finansējums pedagogu darba samaksai tiek nodrošināts no Kultūras mi</w:t>
            </w:r>
            <w:r w:rsidR="00CA1738">
              <w:rPr>
                <w:bCs/>
                <w:sz w:val="28"/>
                <w:szCs w:val="28"/>
                <w:shd w:val="clear" w:color="auto" w:fill="FFFFFF"/>
              </w:rPr>
              <w:t xml:space="preserve">nistrijas budžeta, tika veikta </w:t>
            </w:r>
            <w:r>
              <w:rPr>
                <w:bCs/>
                <w:sz w:val="28"/>
                <w:szCs w:val="28"/>
                <w:shd w:val="clear" w:color="auto" w:fill="FFFFFF"/>
              </w:rPr>
              <w:t>finansējuma pārdale no Izglītības un zinātnes ministrijas</w:t>
            </w:r>
            <w:proofErr w:type="gramStart"/>
            <w:r>
              <w:rPr>
                <w:bCs/>
                <w:sz w:val="28"/>
                <w:szCs w:val="28"/>
                <w:shd w:val="clear" w:color="auto" w:fill="FFFFFF"/>
              </w:rPr>
              <w:t xml:space="preserve"> </w:t>
            </w:r>
            <w:r w:rsidR="00105188">
              <w:rPr>
                <w:bCs/>
                <w:sz w:val="28"/>
                <w:szCs w:val="28"/>
                <w:shd w:val="clear" w:color="auto" w:fill="FFFFFF"/>
              </w:rPr>
              <w:t xml:space="preserve"> </w:t>
            </w:r>
            <w:proofErr w:type="gramEnd"/>
            <w:r w:rsidRPr="00630340">
              <w:rPr>
                <w:bCs/>
                <w:sz w:val="28"/>
                <w:szCs w:val="28"/>
                <w:shd w:val="clear" w:color="auto" w:fill="FFFFFF"/>
              </w:rPr>
              <w:t>apakšprogramm</w:t>
            </w:r>
            <w:r>
              <w:rPr>
                <w:bCs/>
                <w:sz w:val="28"/>
                <w:szCs w:val="28"/>
                <w:shd w:val="clear" w:color="auto" w:fill="FFFFFF"/>
              </w:rPr>
              <w:t>as</w:t>
            </w:r>
            <w:r w:rsidRPr="00630340">
              <w:rPr>
                <w:bCs/>
                <w:sz w:val="28"/>
                <w:szCs w:val="28"/>
                <w:shd w:val="clear" w:color="auto" w:fill="FFFFFF"/>
              </w:rPr>
              <w:t xml:space="preserve"> 01.05.00 "Dotācija privātajām mācību iestādēm” </w:t>
            </w:r>
            <w:r>
              <w:rPr>
                <w:bCs/>
                <w:sz w:val="28"/>
                <w:szCs w:val="28"/>
                <w:shd w:val="clear" w:color="auto" w:fill="FFFFFF"/>
              </w:rPr>
              <w:t xml:space="preserve">47 794 </w:t>
            </w:r>
            <w:proofErr w:type="spellStart"/>
            <w:r w:rsidRPr="00CA1738">
              <w:rPr>
                <w:bCs/>
                <w:i/>
                <w:iCs/>
                <w:sz w:val="28"/>
                <w:szCs w:val="28"/>
                <w:shd w:val="clear" w:color="auto" w:fill="FFFFFF"/>
              </w:rPr>
              <w:t>euro</w:t>
            </w:r>
            <w:proofErr w:type="spellEnd"/>
            <w:r>
              <w:rPr>
                <w:bCs/>
                <w:sz w:val="28"/>
                <w:szCs w:val="28"/>
                <w:shd w:val="clear" w:color="auto" w:fill="FFFFFF"/>
              </w:rPr>
              <w:t xml:space="preserve"> apmērā.  </w:t>
            </w:r>
          </w:p>
          <w:p w:rsidR="00113F55" w:rsidRPr="0054178A" w:rsidRDefault="004B0601" w:rsidP="004B0601">
            <w:pPr>
              <w:jc w:val="both"/>
              <w:rPr>
                <w:sz w:val="28"/>
                <w:szCs w:val="28"/>
              </w:rPr>
            </w:pPr>
            <w:r>
              <w:rPr>
                <w:bCs/>
                <w:sz w:val="28"/>
                <w:szCs w:val="28"/>
                <w:shd w:val="clear" w:color="auto" w:fill="FFFFFF"/>
              </w:rPr>
              <w:t>Savukārt atbilstoši</w:t>
            </w:r>
            <w:r>
              <w:rPr>
                <w:sz w:val="28"/>
                <w:szCs w:val="28"/>
              </w:rPr>
              <w:t xml:space="preserve"> 2014.gada 17.jūnija sēdes </w:t>
            </w:r>
            <w:proofErr w:type="spellStart"/>
            <w:r>
              <w:rPr>
                <w:sz w:val="28"/>
                <w:szCs w:val="28"/>
              </w:rPr>
              <w:t>protokollēmuma</w:t>
            </w:r>
            <w:proofErr w:type="spellEnd"/>
            <w:r>
              <w:rPr>
                <w:sz w:val="28"/>
                <w:szCs w:val="28"/>
              </w:rPr>
              <w:t xml:space="preserve"> (prot.Nr.33, </w:t>
            </w:r>
            <w:r w:rsidRPr="0054178A">
              <w:rPr>
                <w:bCs/>
                <w:sz w:val="28"/>
                <w:szCs w:val="28"/>
                <w:shd w:val="clear" w:color="auto" w:fill="FFFFFF"/>
              </w:rPr>
              <w:t>9</w:t>
            </w:r>
            <w:r>
              <w:rPr>
                <w:bCs/>
                <w:sz w:val="28"/>
                <w:szCs w:val="28"/>
                <w:shd w:val="clear" w:color="auto" w:fill="FFFFFF"/>
              </w:rPr>
              <w:t>9</w:t>
            </w:r>
            <w:r w:rsidRPr="0054178A">
              <w:rPr>
                <w:bCs/>
                <w:sz w:val="28"/>
                <w:szCs w:val="28"/>
                <w:shd w:val="clear" w:color="auto" w:fill="FFFFFF"/>
              </w:rPr>
              <w:t>.§</w:t>
            </w:r>
            <w:r>
              <w:rPr>
                <w:bCs/>
                <w:sz w:val="28"/>
                <w:szCs w:val="28"/>
                <w:shd w:val="clear" w:color="auto" w:fill="FFFFFF"/>
              </w:rPr>
              <w:t>) „R</w:t>
            </w:r>
            <w:r w:rsidRPr="00977F28">
              <w:rPr>
                <w:bCs/>
                <w:sz w:val="28"/>
                <w:szCs w:val="28"/>
                <w:shd w:val="clear" w:color="auto" w:fill="FFFFFF"/>
              </w:rPr>
              <w:t>īkojuma projekt</w:t>
            </w:r>
            <w:r>
              <w:rPr>
                <w:bCs/>
                <w:sz w:val="28"/>
                <w:szCs w:val="28"/>
                <w:shd w:val="clear" w:color="auto" w:fill="FFFFFF"/>
              </w:rPr>
              <w:t>s</w:t>
            </w:r>
            <w:r w:rsidRPr="00977F28">
              <w:rPr>
                <w:bCs/>
                <w:sz w:val="28"/>
                <w:szCs w:val="28"/>
                <w:shd w:val="clear" w:color="auto" w:fill="FFFFFF"/>
              </w:rPr>
              <w:t xml:space="preserve"> </w:t>
            </w:r>
            <w:r>
              <w:rPr>
                <w:bCs/>
                <w:sz w:val="28"/>
                <w:szCs w:val="28"/>
                <w:shd w:val="clear" w:color="auto" w:fill="FFFFFF"/>
              </w:rPr>
              <w:t>„</w:t>
            </w:r>
            <w:r w:rsidRPr="00977F28">
              <w:rPr>
                <w:bCs/>
                <w:sz w:val="28"/>
                <w:szCs w:val="28"/>
                <w:shd w:val="clear" w:color="auto" w:fill="FFFFFF"/>
              </w:rPr>
              <w:t>Par apropriācijas pārdali starp ministrijām</w:t>
            </w:r>
            <w:r>
              <w:rPr>
                <w:bCs/>
                <w:sz w:val="28"/>
                <w:szCs w:val="28"/>
                <w:shd w:val="clear" w:color="auto" w:fill="FFFFFF"/>
              </w:rPr>
              <w:t xml:space="preserve">” 3.2.3. punktam Kultūras ministrija ir iesniegusi pieprasījumu 2015.gadā bāzes izdevumu palielināšanai par 30096 </w:t>
            </w:r>
            <w:proofErr w:type="spellStart"/>
            <w:r w:rsidRPr="00CA1738">
              <w:rPr>
                <w:bCs/>
                <w:i/>
                <w:iCs/>
                <w:sz w:val="28"/>
                <w:szCs w:val="28"/>
                <w:shd w:val="clear" w:color="auto" w:fill="FFFFFF"/>
              </w:rPr>
              <w:t>euro</w:t>
            </w:r>
            <w:proofErr w:type="spellEnd"/>
            <w:r>
              <w:rPr>
                <w:bCs/>
                <w:sz w:val="28"/>
                <w:szCs w:val="28"/>
                <w:shd w:val="clear" w:color="auto" w:fill="FFFFFF"/>
              </w:rPr>
              <w:t>.  Tādējādi p</w:t>
            </w:r>
            <w:r w:rsidRPr="0054178A">
              <w:rPr>
                <w:sz w:val="28"/>
                <w:szCs w:val="28"/>
                <w:lang w:eastAsia="lv-LV"/>
              </w:rPr>
              <w:t>apildus finansējums</w:t>
            </w:r>
            <w:r>
              <w:rPr>
                <w:sz w:val="28"/>
                <w:szCs w:val="28"/>
                <w:lang w:eastAsia="lv-LV"/>
              </w:rPr>
              <w:t xml:space="preserve"> projekta īstenošanai, t.i., </w:t>
            </w:r>
            <w:r w:rsidRPr="0054178A">
              <w:rPr>
                <w:sz w:val="28"/>
                <w:szCs w:val="28"/>
                <w:lang w:eastAsia="lv-LV"/>
              </w:rPr>
              <w:t xml:space="preserve">minimālās samaksas par likmi paaugstināšanai līdz 420 </w:t>
            </w:r>
            <w:proofErr w:type="spellStart"/>
            <w:r w:rsidRPr="00671281">
              <w:rPr>
                <w:i/>
                <w:sz w:val="28"/>
                <w:szCs w:val="28"/>
                <w:lang w:eastAsia="lv-LV"/>
              </w:rPr>
              <w:t>euro</w:t>
            </w:r>
            <w:proofErr w:type="spellEnd"/>
            <w:r w:rsidRPr="0054178A">
              <w:rPr>
                <w:sz w:val="28"/>
                <w:szCs w:val="28"/>
                <w:lang w:eastAsia="lv-LV"/>
              </w:rPr>
              <w:t xml:space="preserve"> un piemaksu nodrošināšanai pedagogiem, kuri ieguvuši 3., 4. </w:t>
            </w:r>
            <w:r>
              <w:rPr>
                <w:sz w:val="28"/>
                <w:szCs w:val="28"/>
                <w:lang w:eastAsia="lv-LV"/>
              </w:rPr>
              <w:t xml:space="preserve">un </w:t>
            </w:r>
            <w:r w:rsidRPr="0054178A">
              <w:rPr>
                <w:sz w:val="28"/>
                <w:szCs w:val="28"/>
                <w:lang w:eastAsia="lv-LV"/>
              </w:rPr>
              <w:t>5.kvalitātes pakāpi pēc ESF projekta beigām</w:t>
            </w:r>
            <w:r>
              <w:rPr>
                <w:sz w:val="28"/>
                <w:szCs w:val="28"/>
                <w:lang w:eastAsia="lv-LV"/>
              </w:rPr>
              <w:t xml:space="preserve">, </w:t>
            </w:r>
            <w:r w:rsidRPr="0054178A">
              <w:rPr>
                <w:sz w:val="28"/>
                <w:szCs w:val="28"/>
                <w:lang w:eastAsia="lv-LV"/>
              </w:rPr>
              <w:t>nav nepi</w:t>
            </w:r>
            <w:r>
              <w:rPr>
                <w:sz w:val="28"/>
                <w:szCs w:val="28"/>
                <w:lang w:eastAsia="lv-LV"/>
              </w:rPr>
              <w:t>eciešams</w:t>
            </w:r>
          </w:p>
        </w:tc>
      </w:tr>
    </w:tbl>
    <w:p w:rsidR="00671281" w:rsidRPr="0054178A" w:rsidRDefault="00671281" w:rsidP="0054178A">
      <w:pPr>
        <w:jc w:val="both"/>
        <w:rPr>
          <w:sz w:val="28"/>
          <w:szCs w:val="28"/>
        </w:rPr>
      </w:pPr>
    </w:p>
    <w:tbl>
      <w:tblPr>
        <w:tblW w:w="5287" w:type="pct"/>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6"/>
        <w:gridCol w:w="3993"/>
        <w:gridCol w:w="5104"/>
      </w:tblGrid>
      <w:tr w:rsidR="008B6F82" w:rsidRPr="0054178A" w:rsidTr="00105188">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8B6F82" w:rsidRPr="0054178A" w:rsidRDefault="008B6F82" w:rsidP="0054178A">
            <w:pPr>
              <w:jc w:val="center"/>
              <w:rPr>
                <w:sz w:val="28"/>
                <w:szCs w:val="28"/>
              </w:rPr>
            </w:pPr>
            <w:r w:rsidRPr="0054178A">
              <w:rPr>
                <w:b/>
                <w:bCs/>
                <w:sz w:val="28"/>
                <w:szCs w:val="28"/>
              </w:rPr>
              <w:t>VII. Tiesību akta projekta izpildes nodrošināšana un tās ietekme uz institūcijām</w:t>
            </w:r>
          </w:p>
        </w:tc>
      </w:tr>
      <w:tr w:rsidR="008B6F82" w:rsidRPr="0054178A" w:rsidTr="00105188">
        <w:trPr>
          <w:trHeight w:val="427"/>
          <w:tblCellSpacing w:w="0" w:type="dxa"/>
        </w:trPr>
        <w:tc>
          <w:tcPr>
            <w:tcW w:w="416" w:type="pct"/>
            <w:tcBorders>
              <w:top w:val="outset" w:sz="6" w:space="0" w:color="auto"/>
              <w:left w:val="outset" w:sz="6" w:space="0" w:color="auto"/>
              <w:bottom w:val="outset" w:sz="6" w:space="0" w:color="auto"/>
              <w:right w:val="outset" w:sz="6" w:space="0" w:color="auto"/>
            </w:tcBorders>
          </w:tcPr>
          <w:p w:rsidR="008B6F82" w:rsidRPr="0054178A" w:rsidRDefault="008B6F82" w:rsidP="0054178A">
            <w:pPr>
              <w:rPr>
                <w:sz w:val="28"/>
                <w:szCs w:val="28"/>
              </w:rPr>
            </w:pPr>
            <w:r w:rsidRPr="0054178A">
              <w:rPr>
                <w:sz w:val="28"/>
                <w:szCs w:val="28"/>
              </w:rPr>
              <w:t> 1.</w:t>
            </w:r>
          </w:p>
        </w:tc>
        <w:tc>
          <w:tcPr>
            <w:tcW w:w="2012" w:type="pct"/>
            <w:tcBorders>
              <w:top w:val="outset" w:sz="6" w:space="0" w:color="auto"/>
              <w:left w:val="outset" w:sz="6" w:space="0" w:color="auto"/>
              <w:bottom w:val="outset" w:sz="6" w:space="0" w:color="auto"/>
              <w:right w:val="outset" w:sz="6" w:space="0" w:color="auto"/>
            </w:tcBorders>
          </w:tcPr>
          <w:p w:rsidR="008B6F82" w:rsidRPr="0054178A" w:rsidRDefault="008B6F82" w:rsidP="0054178A">
            <w:pPr>
              <w:rPr>
                <w:sz w:val="28"/>
                <w:szCs w:val="28"/>
              </w:rPr>
            </w:pPr>
            <w:r w:rsidRPr="0054178A">
              <w:rPr>
                <w:sz w:val="28"/>
                <w:szCs w:val="28"/>
              </w:rPr>
              <w:t>Projekta izpildē iesaistītās institūcijas</w:t>
            </w:r>
          </w:p>
        </w:tc>
        <w:tc>
          <w:tcPr>
            <w:tcW w:w="2571" w:type="pct"/>
            <w:tcBorders>
              <w:top w:val="outset" w:sz="6" w:space="0" w:color="auto"/>
              <w:left w:val="outset" w:sz="6" w:space="0" w:color="auto"/>
              <w:bottom w:val="outset" w:sz="6" w:space="0" w:color="auto"/>
              <w:right w:val="outset" w:sz="6" w:space="0" w:color="auto"/>
            </w:tcBorders>
            <w:vAlign w:val="center"/>
          </w:tcPr>
          <w:p w:rsidR="008B6F82" w:rsidRPr="0054178A" w:rsidRDefault="008B6F82" w:rsidP="0054178A">
            <w:pPr>
              <w:tabs>
                <w:tab w:val="left" w:pos="269"/>
              </w:tabs>
              <w:ind w:left="57" w:right="57" w:firstLine="354"/>
              <w:contextualSpacing/>
              <w:jc w:val="both"/>
              <w:rPr>
                <w:sz w:val="28"/>
                <w:szCs w:val="28"/>
              </w:rPr>
            </w:pPr>
            <w:r w:rsidRPr="0054178A">
              <w:rPr>
                <w:sz w:val="28"/>
                <w:szCs w:val="28"/>
              </w:rPr>
              <w:t xml:space="preserve">Kultūras ministrija, </w:t>
            </w:r>
            <w:r w:rsidR="00DD3EC5" w:rsidRPr="0054178A">
              <w:rPr>
                <w:sz w:val="28"/>
                <w:szCs w:val="28"/>
              </w:rPr>
              <w:t>Latvijas Nacionālais kultūras</w:t>
            </w:r>
            <w:r w:rsidRPr="0054178A">
              <w:rPr>
                <w:sz w:val="28"/>
                <w:szCs w:val="28"/>
              </w:rPr>
              <w:t xml:space="preserve"> centrs</w:t>
            </w:r>
            <w:r w:rsidR="00D11823" w:rsidRPr="0054178A">
              <w:rPr>
                <w:sz w:val="28"/>
                <w:szCs w:val="28"/>
              </w:rPr>
              <w:t>.</w:t>
            </w:r>
          </w:p>
        </w:tc>
      </w:tr>
      <w:tr w:rsidR="008B6F82" w:rsidRPr="0054178A" w:rsidTr="00105188">
        <w:trPr>
          <w:trHeight w:val="463"/>
          <w:tblCellSpacing w:w="0" w:type="dxa"/>
        </w:trPr>
        <w:tc>
          <w:tcPr>
            <w:tcW w:w="416" w:type="pct"/>
            <w:tcBorders>
              <w:top w:val="outset" w:sz="6" w:space="0" w:color="auto"/>
              <w:left w:val="outset" w:sz="6" w:space="0" w:color="auto"/>
              <w:bottom w:val="outset" w:sz="6" w:space="0" w:color="auto"/>
              <w:right w:val="outset" w:sz="6" w:space="0" w:color="auto"/>
            </w:tcBorders>
          </w:tcPr>
          <w:p w:rsidR="008B6F82" w:rsidRPr="0054178A" w:rsidRDefault="008B6F82" w:rsidP="0054178A">
            <w:pPr>
              <w:rPr>
                <w:sz w:val="28"/>
                <w:szCs w:val="28"/>
              </w:rPr>
            </w:pPr>
            <w:r w:rsidRPr="0054178A">
              <w:rPr>
                <w:sz w:val="28"/>
                <w:szCs w:val="28"/>
              </w:rPr>
              <w:t> 2.</w:t>
            </w:r>
          </w:p>
        </w:tc>
        <w:tc>
          <w:tcPr>
            <w:tcW w:w="2012" w:type="pct"/>
            <w:tcBorders>
              <w:top w:val="outset" w:sz="6" w:space="0" w:color="auto"/>
              <w:left w:val="outset" w:sz="6" w:space="0" w:color="auto"/>
              <w:bottom w:val="outset" w:sz="6" w:space="0" w:color="auto"/>
              <w:right w:val="outset" w:sz="6" w:space="0" w:color="auto"/>
            </w:tcBorders>
          </w:tcPr>
          <w:p w:rsidR="008B6F82" w:rsidRPr="0054178A" w:rsidRDefault="008B6F82" w:rsidP="0054178A">
            <w:pPr>
              <w:rPr>
                <w:sz w:val="28"/>
                <w:szCs w:val="28"/>
              </w:rPr>
            </w:pPr>
            <w:r w:rsidRPr="0054178A">
              <w:rPr>
                <w:sz w:val="28"/>
                <w:szCs w:val="28"/>
              </w:rPr>
              <w:t>Projekta izpildes ietekme uz pārvaldes funkcijām</w:t>
            </w:r>
            <w:r w:rsidR="00E33871" w:rsidRPr="0054178A">
              <w:rPr>
                <w:sz w:val="28"/>
                <w:szCs w:val="28"/>
              </w:rPr>
              <w:t xml:space="preserve"> un institucionālo struktūru.</w:t>
            </w:r>
          </w:p>
          <w:p w:rsidR="00E33871" w:rsidRPr="0054178A" w:rsidRDefault="00E33871" w:rsidP="0054178A">
            <w:pPr>
              <w:rPr>
                <w:sz w:val="28"/>
                <w:szCs w:val="28"/>
              </w:rPr>
            </w:pPr>
            <w:r w:rsidRPr="0054178A">
              <w:rPr>
                <w:sz w:val="28"/>
                <w:szCs w:val="28"/>
              </w:rPr>
              <w:t xml:space="preserve">Jaunu institūciju izveide, esošo institūciju likvidācija vai reorganizācija, to ietekme uz </w:t>
            </w:r>
            <w:r w:rsidRPr="0054178A">
              <w:rPr>
                <w:sz w:val="28"/>
                <w:szCs w:val="28"/>
              </w:rPr>
              <w:lastRenderedPageBreak/>
              <w:t xml:space="preserve">institūcijas cilvēkresursiem. </w:t>
            </w:r>
          </w:p>
        </w:tc>
        <w:tc>
          <w:tcPr>
            <w:tcW w:w="2571" w:type="pct"/>
            <w:tcBorders>
              <w:top w:val="outset" w:sz="6" w:space="0" w:color="auto"/>
              <w:left w:val="outset" w:sz="6" w:space="0" w:color="auto"/>
              <w:bottom w:val="outset" w:sz="6" w:space="0" w:color="auto"/>
              <w:right w:val="outset" w:sz="6" w:space="0" w:color="auto"/>
            </w:tcBorders>
          </w:tcPr>
          <w:p w:rsidR="008B6F82" w:rsidRPr="0054178A" w:rsidRDefault="00C90621" w:rsidP="0054178A">
            <w:pPr>
              <w:ind w:left="57" w:right="57" w:firstLine="354"/>
              <w:jc w:val="both"/>
              <w:rPr>
                <w:sz w:val="28"/>
                <w:szCs w:val="28"/>
              </w:rPr>
            </w:pPr>
            <w:r w:rsidRPr="0054178A">
              <w:rPr>
                <w:sz w:val="28"/>
                <w:szCs w:val="28"/>
              </w:rPr>
              <w:lastRenderedPageBreak/>
              <w:t>P</w:t>
            </w:r>
            <w:r w:rsidR="00ED7F41" w:rsidRPr="0054178A">
              <w:rPr>
                <w:sz w:val="28"/>
                <w:szCs w:val="28"/>
              </w:rPr>
              <w:t>rojekta izpilde neietekmēs pārvaldes funkcijas vai institucionālo struktūru.</w:t>
            </w:r>
          </w:p>
        </w:tc>
      </w:tr>
      <w:tr w:rsidR="008B6F82" w:rsidRPr="0054178A" w:rsidTr="00105188">
        <w:trPr>
          <w:trHeight w:val="476"/>
          <w:tblCellSpacing w:w="0" w:type="dxa"/>
        </w:trPr>
        <w:tc>
          <w:tcPr>
            <w:tcW w:w="416" w:type="pct"/>
            <w:tcBorders>
              <w:top w:val="outset" w:sz="6" w:space="0" w:color="auto"/>
              <w:left w:val="outset" w:sz="6" w:space="0" w:color="auto"/>
              <w:bottom w:val="outset" w:sz="6" w:space="0" w:color="auto"/>
              <w:right w:val="outset" w:sz="6" w:space="0" w:color="auto"/>
            </w:tcBorders>
          </w:tcPr>
          <w:p w:rsidR="008B6F82" w:rsidRPr="0054178A" w:rsidRDefault="005624BC" w:rsidP="0054178A">
            <w:pPr>
              <w:rPr>
                <w:sz w:val="28"/>
                <w:szCs w:val="28"/>
              </w:rPr>
            </w:pPr>
            <w:r w:rsidRPr="0054178A">
              <w:rPr>
                <w:sz w:val="28"/>
                <w:szCs w:val="28"/>
              </w:rPr>
              <w:lastRenderedPageBreak/>
              <w:t> 3</w:t>
            </w:r>
            <w:r w:rsidR="008B6F82" w:rsidRPr="0054178A">
              <w:rPr>
                <w:sz w:val="28"/>
                <w:szCs w:val="28"/>
              </w:rPr>
              <w:t>.</w:t>
            </w:r>
          </w:p>
        </w:tc>
        <w:tc>
          <w:tcPr>
            <w:tcW w:w="2012" w:type="pct"/>
            <w:tcBorders>
              <w:top w:val="outset" w:sz="6" w:space="0" w:color="auto"/>
              <w:left w:val="outset" w:sz="6" w:space="0" w:color="auto"/>
              <w:bottom w:val="outset" w:sz="6" w:space="0" w:color="auto"/>
              <w:right w:val="outset" w:sz="6" w:space="0" w:color="auto"/>
            </w:tcBorders>
          </w:tcPr>
          <w:p w:rsidR="008B6F82" w:rsidRPr="0054178A" w:rsidRDefault="008B6F82" w:rsidP="0054178A">
            <w:pPr>
              <w:rPr>
                <w:sz w:val="28"/>
                <w:szCs w:val="28"/>
              </w:rPr>
            </w:pPr>
            <w:r w:rsidRPr="0054178A">
              <w:rPr>
                <w:sz w:val="28"/>
                <w:szCs w:val="28"/>
              </w:rPr>
              <w:t> Cita informācija</w:t>
            </w:r>
          </w:p>
        </w:tc>
        <w:tc>
          <w:tcPr>
            <w:tcW w:w="2571" w:type="pct"/>
            <w:tcBorders>
              <w:top w:val="outset" w:sz="6" w:space="0" w:color="auto"/>
              <w:left w:val="outset" w:sz="6" w:space="0" w:color="auto"/>
              <w:bottom w:val="outset" w:sz="6" w:space="0" w:color="auto"/>
              <w:right w:val="outset" w:sz="6" w:space="0" w:color="auto"/>
            </w:tcBorders>
          </w:tcPr>
          <w:p w:rsidR="008B6F82" w:rsidRPr="0054178A" w:rsidRDefault="00391CB8" w:rsidP="0054178A">
            <w:pPr>
              <w:ind w:left="-19"/>
              <w:rPr>
                <w:sz w:val="28"/>
                <w:szCs w:val="28"/>
              </w:rPr>
            </w:pPr>
            <w:r w:rsidRPr="0054178A">
              <w:rPr>
                <w:sz w:val="28"/>
                <w:szCs w:val="28"/>
              </w:rPr>
              <w:t xml:space="preserve"> </w:t>
            </w:r>
            <w:r w:rsidR="008B6F82" w:rsidRPr="0054178A">
              <w:rPr>
                <w:sz w:val="28"/>
                <w:szCs w:val="28"/>
              </w:rPr>
              <w:t>Nav</w:t>
            </w:r>
          </w:p>
        </w:tc>
      </w:tr>
      <w:bookmarkEnd w:id="2"/>
      <w:bookmarkEnd w:id="3"/>
      <w:bookmarkEnd w:id="4"/>
      <w:bookmarkEnd w:id="5"/>
    </w:tbl>
    <w:p w:rsidR="00AE3F5F" w:rsidRPr="0054178A" w:rsidRDefault="00AE3F5F" w:rsidP="0054178A">
      <w:pPr>
        <w:jc w:val="both"/>
        <w:rPr>
          <w:color w:val="000000"/>
          <w:sz w:val="28"/>
          <w:szCs w:val="28"/>
        </w:rPr>
      </w:pPr>
    </w:p>
    <w:p w:rsidR="00C170FD" w:rsidRPr="0054178A" w:rsidRDefault="00C170FD" w:rsidP="0054178A">
      <w:pPr>
        <w:ind w:firstLine="327"/>
        <w:jc w:val="both"/>
        <w:rPr>
          <w:i/>
          <w:sz w:val="28"/>
          <w:szCs w:val="28"/>
        </w:rPr>
      </w:pPr>
      <w:r w:rsidRPr="0054178A">
        <w:rPr>
          <w:i/>
          <w:sz w:val="28"/>
          <w:szCs w:val="28"/>
        </w:rPr>
        <w:t>Anotācijas IV, V</w:t>
      </w:r>
      <w:r w:rsidR="006B7519" w:rsidRPr="0054178A">
        <w:rPr>
          <w:i/>
          <w:sz w:val="28"/>
          <w:szCs w:val="28"/>
        </w:rPr>
        <w:t>, VI</w:t>
      </w:r>
      <w:r w:rsidRPr="0054178A">
        <w:rPr>
          <w:i/>
          <w:sz w:val="28"/>
          <w:szCs w:val="28"/>
        </w:rPr>
        <w:t xml:space="preserve"> sadaļa – projekts šo jomu neskar.</w:t>
      </w:r>
    </w:p>
    <w:p w:rsidR="00C170FD" w:rsidRPr="0054178A" w:rsidRDefault="00C170FD" w:rsidP="0054178A">
      <w:pPr>
        <w:ind w:left="284"/>
        <w:rPr>
          <w:sz w:val="28"/>
          <w:szCs w:val="28"/>
        </w:rPr>
      </w:pPr>
    </w:p>
    <w:p w:rsidR="00C170FD" w:rsidRPr="0054178A" w:rsidRDefault="00C170FD" w:rsidP="0054178A">
      <w:pPr>
        <w:ind w:left="284"/>
        <w:rPr>
          <w:sz w:val="28"/>
          <w:szCs w:val="28"/>
        </w:rPr>
      </w:pPr>
    </w:p>
    <w:p w:rsidR="00D62B59" w:rsidRDefault="00D62B59" w:rsidP="0054178A">
      <w:pPr>
        <w:ind w:left="284"/>
        <w:rPr>
          <w:sz w:val="28"/>
          <w:szCs w:val="28"/>
        </w:rPr>
      </w:pPr>
    </w:p>
    <w:p w:rsidR="00D62B59" w:rsidRDefault="00D62B59" w:rsidP="0054178A">
      <w:pPr>
        <w:ind w:left="284"/>
        <w:rPr>
          <w:sz w:val="28"/>
          <w:szCs w:val="28"/>
        </w:rPr>
      </w:pPr>
    </w:p>
    <w:p w:rsidR="008B6F82" w:rsidRPr="0054178A" w:rsidRDefault="004C3742" w:rsidP="0054178A">
      <w:pPr>
        <w:ind w:left="284"/>
        <w:rPr>
          <w:sz w:val="28"/>
          <w:szCs w:val="28"/>
        </w:rPr>
      </w:pPr>
      <w:r w:rsidRPr="0054178A">
        <w:rPr>
          <w:sz w:val="28"/>
          <w:szCs w:val="28"/>
        </w:rPr>
        <w:t>K</w:t>
      </w:r>
      <w:r w:rsidR="008B6F82" w:rsidRPr="0054178A">
        <w:rPr>
          <w:sz w:val="28"/>
          <w:szCs w:val="28"/>
        </w:rPr>
        <w:t xml:space="preserve">ultūras </w:t>
      </w:r>
      <w:r w:rsidR="001D5FA5" w:rsidRPr="0054178A">
        <w:rPr>
          <w:sz w:val="28"/>
          <w:szCs w:val="28"/>
        </w:rPr>
        <w:t>ministre</w:t>
      </w:r>
      <w:r w:rsidR="008B6F82" w:rsidRPr="0054178A">
        <w:rPr>
          <w:sz w:val="28"/>
          <w:szCs w:val="28"/>
        </w:rPr>
        <w:tab/>
      </w:r>
      <w:r w:rsidR="008B6F82" w:rsidRPr="0054178A">
        <w:rPr>
          <w:sz w:val="28"/>
          <w:szCs w:val="28"/>
        </w:rPr>
        <w:tab/>
      </w:r>
      <w:r w:rsidR="001D5FA5" w:rsidRPr="0054178A">
        <w:rPr>
          <w:sz w:val="28"/>
          <w:szCs w:val="28"/>
        </w:rPr>
        <w:tab/>
      </w:r>
      <w:r w:rsidR="001D5FA5" w:rsidRPr="0054178A">
        <w:rPr>
          <w:sz w:val="28"/>
          <w:szCs w:val="28"/>
        </w:rPr>
        <w:tab/>
      </w:r>
      <w:r w:rsidR="001D5FA5" w:rsidRPr="0054178A">
        <w:rPr>
          <w:sz w:val="28"/>
          <w:szCs w:val="28"/>
        </w:rPr>
        <w:tab/>
      </w:r>
      <w:r w:rsidR="001D5FA5" w:rsidRPr="0054178A">
        <w:rPr>
          <w:sz w:val="28"/>
          <w:szCs w:val="28"/>
        </w:rPr>
        <w:tab/>
      </w:r>
      <w:r w:rsidR="001D5FA5" w:rsidRPr="0054178A">
        <w:rPr>
          <w:sz w:val="28"/>
          <w:szCs w:val="28"/>
        </w:rPr>
        <w:tab/>
        <w:t>D.Melbārde</w:t>
      </w:r>
    </w:p>
    <w:p w:rsidR="00326CEC" w:rsidRPr="0054178A" w:rsidRDefault="00326CEC" w:rsidP="0054178A">
      <w:pPr>
        <w:rPr>
          <w:sz w:val="28"/>
          <w:szCs w:val="28"/>
        </w:rPr>
      </w:pPr>
    </w:p>
    <w:p w:rsidR="00974F5E" w:rsidRPr="0054178A" w:rsidRDefault="00974F5E" w:rsidP="0054178A">
      <w:pPr>
        <w:ind w:left="284"/>
        <w:rPr>
          <w:sz w:val="28"/>
          <w:szCs w:val="28"/>
        </w:rPr>
      </w:pPr>
    </w:p>
    <w:p w:rsidR="00D62B59" w:rsidRDefault="00D62B59" w:rsidP="0054178A">
      <w:pPr>
        <w:ind w:left="284"/>
        <w:rPr>
          <w:sz w:val="28"/>
          <w:szCs w:val="28"/>
        </w:rPr>
      </w:pPr>
    </w:p>
    <w:p w:rsidR="00326CEC" w:rsidRPr="0054178A" w:rsidRDefault="006A2554" w:rsidP="0054178A">
      <w:pPr>
        <w:ind w:left="284"/>
        <w:rPr>
          <w:sz w:val="28"/>
          <w:szCs w:val="28"/>
        </w:rPr>
      </w:pPr>
      <w:r w:rsidRPr="0054178A">
        <w:rPr>
          <w:sz w:val="28"/>
          <w:szCs w:val="28"/>
        </w:rPr>
        <w:t xml:space="preserve">Vīza: Valsts sekretāra </w:t>
      </w:r>
      <w:proofErr w:type="spellStart"/>
      <w:r w:rsidRPr="0054178A">
        <w:rPr>
          <w:sz w:val="28"/>
          <w:szCs w:val="28"/>
        </w:rPr>
        <w:t>p.i</w:t>
      </w:r>
      <w:proofErr w:type="spellEnd"/>
      <w:r w:rsidRPr="0054178A">
        <w:rPr>
          <w:sz w:val="28"/>
          <w:szCs w:val="28"/>
        </w:rPr>
        <w:t>.</w:t>
      </w:r>
      <w:r w:rsidR="008B6F82" w:rsidRPr="0054178A">
        <w:rPr>
          <w:sz w:val="28"/>
          <w:szCs w:val="28"/>
        </w:rPr>
        <w:tab/>
      </w:r>
      <w:r w:rsidR="008B6F82" w:rsidRPr="0054178A">
        <w:rPr>
          <w:sz w:val="28"/>
          <w:szCs w:val="28"/>
        </w:rPr>
        <w:tab/>
      </w:r>
      <w:r w:rsidR="008B6F82" w:rsidRPr="0054178A">
        <w:rPr>
          <w:sz w:val="28"/>
          <w:szCs w:val="28"/>
        </w:rPr>
        <w:tab/>
      </w:r>
      <w:r w:rsidR="008B6F82" w:rsidRPr="0054178A">
        <w:rPr>
          <w:sz w:val="28"/>
          <w:szCs w:val="28"/>
        </w:rPr>
        <w:tab/>
      </w:r>
      <w:r w:rsidR="008B6F82" w:rsidRPr="0054178A">
        <w:rPr>
          <w:sz w:val="28"/>
          <w:szCs w:val="28"/>
        </w:rPr>
        <w:tab/>
      </w:r>
      <w:r w:rsidR="00C90621" w:rsidRPr="0054178A">
        <w:rPr>
          <w:sz w:val="28"/>
          <w:szCs w:val="28"/>
        </w:rPr>
        <w:tab/>
      </w:r>
      <w:r w:rsidR="00A37EA1" w:rsidRPr="0054178A">
        <w:rPr>
          <w:sz w:val="28"/>
          <w:szCs w:val="28"/>
        </w:rPr>
        <w:t>S.Voldiņš</w:t>
      </w:r>
    </w:p>
    <w:p w:rsidR="005624BC" w:rsidRPr="0054178A" w:rsidRDefault="005624BC" w:rsidP="0054178A">
      <w:pPr>
        <w:suppressAutoHyphens w:val="0"/>
        <w:rPr>
          <w:rFonts w:eastAsia="Calibri"/>
          <w:sz w:val="28"/>
          <w:szCs w:val="28"/>
        </w:rPr>
      </w:pPr>
    </w:p>
    <w:p w:rsidR="00D62B59" w:rsidRDefault="00D62B59" w:rsidP="0054178A">
      <w:pPr>
        <w:suppressAutoHyphens w:val="0"/>
        <w:rPr>
          <w:rFonts w:eastAsia="Calibri"/>
          <w:sz w:val="28"/>
          <w:szCs w:val="28"/>
        </w:rPr>
      </w:pPr>
    </w:p>
    <w:p w:rsidR="00D62B59" w:rsidRDefault="00D62B59" w:rsidP="0054178A">
      <w:pPr>
        <w:suppressAutoHyphens w:val="0"/>
        <w:rPr>
          <w:rFonts w:eastAsia="Calibri"/>
          <w:sz w:val="28"/>
          <w:szCs w:val="28"/>
        </w:rPr>
      </w:pPr>
    </w:p>
    <w:p w:rsidR="001D5FA5" w:rsidRPr="00671281" w:rsidRDefault="00E64D98" w:rsidP="0054178A">
      <w:pPr>
        <w:suppressAutoHyphens w:val="0"/>
        <w:rPr>
          <w:rFonts w:eastAsia="Calibri"/>
          <w:sz w:val="22"/>
          <w:szCs w:val="22"/>
          <w:lang w:eastAsia="en-US"/>
        </w:rPr>
      </w:pPr>
      <w:r>
        <w:rPr>
          <w:rFonts w:eastAsia="Calibri"/>
          <w:sz w:val="22"/>
          <w:szCs w:val="22"/>
        </w:rPr>
        <w:t>22</w:t>
      </w:r>
      <w:r w:rsidR="00D82E5A" w:rsidRPr="00671281">
        <w:rPr>
          <w:rFonts w:eastAsia="Calibri"/>
          <w:sz w:val="22"/>
          <w:szCs w:val="22"/>
        </w:rPr>
        <w:t>.08</w:t>
      </w:r>
      <w:r w:rsidR="0039497C" w:rsidRPr="00671281">
        <w:rPr>
          <w:rFonts w:eastAsia="Calibri"/>
          <w:sz w:val="22"/>
          <w:szCs w:val="22"/>
        </w:rPr>
        <w:t>.2014</w:t>
      </w:r>
      <w:r w:rsidR="001D5FA5" w:rsidRPr="00671281">
        <w:rPr>
          <w:rFonts w:eastAsia="Calibri"/>
          <w:sz w:val="22"/>
          <w:szCs w:val="22"/>
        </w:rPr>
        <w:t>.</w:t>
      </w:r>
      <w:r w:rsidR="00443246" w:rsidRPr="00671281">
        <w:rPr>
          <w:rFonts w:eastAsia="Calibri"/>
          <w:sz w:val="22"/>
          <w:szCs w:val="22"/>
        </w:rPr>
        <w:t>1</w:t>
      </w:r>
      <w:r w:rsidR="009C4F0E" w:rsidRPr="00671281">
        <w:rPr>
          <w:rFonts w:eastAsia="Calibri"/>
          <w:sz w:val="22"/>
          <w:szCs w:val="22"/>
        </w:rPr>
        <w:t>0</w:t>
      </w:r>
      <w:r w:rsidR="005C6880" w:rsidRPr="00671281">
        <w:rPr>
          <w:rFonts w:eastAsia="Calibri"/>
          <w:sz w:val="22"/>
          <w:szCs w:val="22"/>
        </w:rPr>
        <w:t>.00</w:t>
      </w:r>
    </w:p>
    <w:p w:rsidR="001D5FA5" w:rsidRDefault="00A2219A" w:rsidP="00D62B59">
      <w:pPr>
        <w:suppressAutoHyphens w:val="0"/>
        <w:spacing w:after="120"/>
        <w:jc w:val="both"/>
        <w:rPr>
          <w:rFonts w:eastAsia="Calibri"/>
          <w:sz w:val="22"/>
          <w:szCs w:val="22"/>
          <w:lang w:eastAsia="en-US"/>
        </w:rPr>
      </w:pPr>
      <w:r>
        <w:rPr>
          <w:rFonts w:eastAsia="Calibri"/>
          <w:sz w:val="22"/>
          <w:szCs w:val="22"/>
          <w:lang w:eastAsia="en-US"/>
        </w:rPr>
        <w:t>12</w:t>
      </w:r>
      <w:r w:rsidR="00D62B59">
        <w:rPr>
          <w:rFonts w:eastAsia="Calibri"/>
          <w:sz w:val="22"/>
          <w:szCs w:val="22"/>
          <w:lang w:eastAsia="en-US"/>
        </w:rPr>
        <w:t>24</w:t>
      </w:r>
    </w:p>
    <w:p w:rsidR="00D62B59" w:rsidRDefault="008276FB" w:rsidP="0054178A">
      <w:pPr>
        <w:suppressAutoHyphens w:val="0"/>
        <w:rPr>
          <w:rFonts w:eastAsia="Calibri"/>
          <w:sz w:val="22"/>
          <w:szCs w:val="22"/>
          <w:lang w:eastAsia="en-US"/>
        </w:rPr>
      </w:pPr>
      <w:bookmarkStart w:id="7" w:name="OLE_LINK5"/>
      <w:bookmarkStart w:id="8" w:name="OLE_LINK6"/>
      <w:bookmarkStart w:id="9" w:name="OLE_LINK11"/>
      <w:bookmarkStart w:id="10" w:name="OLE_LINK12"/>
      <w:r w:rsidRPr="00671281">
        <w:rPr>
          <w:rFonts w:eastAsia="Calibri"/>
          <w:sz w:val="22"/>
          <w:szCs w:val="22"/>
          <w:lang w:eastAsia="en-US"/>
        </w:rPr>
        <w:t>J.Klišāne</w:t>
      </w:r>
      <w:bookmarkEnd w:id="7"/>
      <w:bookmarkEnd w:id="8"/>
    </w:p>
    <w:p w:rsidR="00D62B59" w:rsidRDefault="00D62B59" w:rsidP="00D62B59">
      <w:pPr>
        <w:suppressAutoHyphens w:val="0"/>
        <w:jc w:val="both"/>
        <w:rPr>
          <w:rFonts w:eastAsia="Calibri"/>
          <w:sz w:val="22"/>
          <w:szCs w:val="22"/>
          <w:lang w:eastAsia="en-US"/>
        </w:rPr>
      </w:pPr>
      <w:r>
        <w:rPr>
          <w:rFonts w:eastAsia="Calibri"/>
          <w:sz w:val="22"/>
          <w:szCs w:val="22"/>
          <w:lang w:eastAsia="en-US"/>
        </w:rPr>
        <w:t>Latvijas Nacionālā kultūras centra</w:t>
      </w:r>
    </w:p>
    <w:p w:rsidR="00D62B59" w:rsidRPr="00D62B59" w:rsidRDefault="00D62B59" w:rsidP="00D62B59">
      <w:pPr>
        <w:suppressAutoHyphens w:val="0"/>
        <w:rPr>
          <w:sz w:val="22"/>
          <w:szCs w:val="22"/>
        </w:rPr>
      </w:pPr>
      <w:r w:rsidRPr="00D62B59">
        <w:rPr>
          <w:sz w:val="22"/>
          <w:szCs w:val="22"/>
        </w:rPr>
        <w:t xml:space="preserve">Kultūras izglītības un radošās industrijas </w:t>
      </w:r>
    </w:p>
    <w:p w:rsidR="00D62B59" w:rsidRDefault="00D62B59" w:rsidP="00D62B59">
      <w:pPr>
        <w:suppressAutoHyphens w:val="0"/>
        <w:spacing w:after="120"/>
        <w:rPr>
          <w:sz w:val="28"/>
          <w:szCs w:val="28"/>
        </w:rPr>
      </w:pPr>
      <w:r w:rsidRPr="00D62B59">
        <w:rPr>
          <w:sz w:val="22"/>
          <w:szCs w:val="22"/>
        </w:rPr>
        <w:t>nodaļas vadītāja</w:t>
      </w:r>
      <w:r w:rsidRPr="00B43762">
        <w:rPr>
          <w:sz w:val="28"/>
          <w:szCs w:val="28"/>
        </w:rPr>
        <w:t xml:space="preserve"> </w:t>
      </w:r>
    </w:p>
    <w:p w:rsidR="001D5FA5" w:rsidRPr="00671281" w:rsidRDefault="008276FB" w:rsidP="00D62B59">
      <w:pPr>
        <w:suppressAutoHyphens w:val="0"/>
        <w:rPr>
          <w:rFonts w:eastAsia="Calibri"/>
          <w:color w:val="808080" w:themeColor="background1" w:themeShade="80"/>
          <w:sz w:val="22"/>
          <w:szCs w:val="22"/>
          <w:lang w:eastAsia="en-US"/>
        </w:rPr>
      </w:pPr>
      <w:r w:rsidRPr="00671281">
        <w:rPr>
          <w:rFonts w:eastAsia="Calibri"/>
          <w:sz w:val="22"/>
          <w:szCs w:val="22"/>
          <w:lang w:eastAsia="en-US"/>
        </w:rPr>
        <w:t>Tālr.67322234</w:t>
      </w:r>
      <w:r w:rsidR="00D62B59">
        <w:rPr>
          <w:rFonts w:eastAsia="Calibri"/>
          <w:sz w:val="22"/>
          <w:szCs w:val="22"/>
          <w:lang w:eastAsia="en-US"/>
        </w:rPr>
        <w:t xml:space="preserve">, </w:t>
      </w:r>
      <w:r w:rsidR="00C71066" w:rsidRPr="00671281">
        <w:rPr>
          <w:rFonts w:eastAsia="Calibri"/>
          <w:sz w:val="22"/>
          <w:szCs w:val="22"/>
          <w:lang w:eastAsia="en-US"/>
        </w:rPr>
        <w:t>f</w:t>
      </w:r>
      <w:r w:rsidR="001D5FA5" w:rsidRPr="00671281">
        <w:rPr>
          <w:rFonts w:eastAsia="Calibri"/>
          <w:sz w:val="22"/>
          <w:szCs w:val="22"/>
          <w:lang w:eastAsia="en-US"/>
        </w:rPr>
        <w:t>akss 67227405</w:t>
      </w:r>
    </w:p>
    <w:p w:rsidR="00117AF5" w:rsidRPr="00671281" w:rsidRDefault="008A707C" w:rsidP="0054178A">
      <w:pPr>
        <w:suppressAutoHyphens w:val="0"/>
        <w:rPr>
          <w:rStyle w:val="Hipersaite"/>
          <w:sz w:val="22"/>
          <w:szCs w:val="22"/>
        </w:rPr>
      </w:pPr>
      <w:hyperlink r:id="rId9" w:history="1">
        <w:r w:rsidR="001F20D6" w:rsidRPr="00671281">
          <w:rPr>
            <w:rStyle w:val="Hipersaite"/>
            <w:sz w:val="22"/>
            <w:szCs w:val="22"/>
          </w:rPr>
          <w:t>Jolanta.Klisane@lnkc.gov.lv</w:t>
        </w:r>
      </w:hyperlink>
    </w:p>
    <w:bookmarkEnd w:id="9"/>
    <w:bookmarkEnd w:id="10"/>
    <w:p w:rsidR="00487499" w:rsidRPr="00671281" w:rsidRDefault="00487499" w:rsidP="0054178A">
      <w:pPr>
        <w:suppressAutoHyphens w:val="0"/>
        <w:rPr>
          <w:rStyle w:val="Hipersaite"/>
          <w:color w:val="auto"/>
          <w:sz w:val="22"/>
          <w:szCs w:val="22"/>
          <w:u w:val="none"/>
        </w:rPr>
      </w:pPr>
    </w:p>
    <w:sectPr w:rsidR="00487499" w:rsidRPr="00671281" w:rsidSect="005624BC">
      <w:headerReference w:type="default" r:id="rId10"/>
      <w:footerReference w:type="default" r:id="rId11"/>
      <w:footerReference w:type="first" r:id="rId12"/>
      <w:pgSz w:w="11906" w:h="16838"/>
      <w:pgMar w:top="1135" w:right="1134" w:bottom="993"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536" w:rsidRDefault="007F1536" w:rsidP="00DD3EC5">
      <w:r>
        <w:separator/>
      </w:r>
    </w:p>
    <w:p w:rsidR="007F1536" w:rsidRDefault="007F1536"/>
    <w:p w:rsidR="007F1536" w:rsidRDefault="007F1536"/>
  </w:endnote>
  <w:endnote w:type="continuationSeparator" w:id="0">
    <w:p w:rsidR="007F1536" w:rsidRDefault="007F1536" w:rsidP="00DD3EC5">
      <w:r>
        <w:continuationSeparator/>
      </w:r>
    </w:p>
    <w:p w:rsidR="007F1536" w:rsidRDefault="007F1536"/>
    <w:p w:rsidR="007F1536" w:rsidRDefault="007F153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F48" w:rsidRPr="00C170FD" w:rsidRDefault="00AF5F48" w:rsidP="0054178A">
    <w:pPr>
      <w:jc w:val="both"/>
    </w:pPr>
    <w:r w:rsidRPr="00391699">
      <w:t>KMAnot_</w:t>
    </w:r>
    <w:r w:rsidR="00E64D98">
      <w:t>22</w:t>
    </w:r>
    <w:r>
      <w:t>0814_MK1035</w:t>
    </w:r>
    <w:r w:rsidRPr="00391699">
      <w:t xml:space="preserve">; </w:t>
    </w:r>
    <w:bookmarkStart w:id="11" w:name="OLE_LINK9"/>
    <w:bookmarkStart w:id="12" w:name="OLE_LINK10"/>
    <w:r w:rsidRPr="00391699">
      <w:rPr>
        <w:bCs/>
        <w:lang w:eastAsia="lv-LV"/>
      </w:rPr>
      <w:t>Ministru kabineta noteikumu projekta „Grozījumi Ministru kabineta 2011.gada 27.decembra noteikumos Nr.1035 „</w:t>
    </w:r>
    <w:r w:rsidRPr="00391699">
      <w:rPr>
        <w:bCs/>
      </w:rPr>
      <w:t>Kārtība, kādā valsts finansē profesionālās ievirzes mākslu, mūzikas un dejas izglītības programmas</w:t>
    </w:r>
    <w:r w:rsidRPr="00391699">
      <w:rPr>
        <w:bCs/>
        <w:lang w:eastAsia="lv-LV"/>
      </w:rPr>
      <w:t xml:space="preserve">”” </w:t>
    </w:r>
    <w:bookmarkStart w:id="13" w:name="OLE_LINK7"/>
    <w:bookmarkStart w:id="14" w:name="OLE_LINK8"/>
    <w:bookmarkStart w:id="15" w:name="_Hlk395717547"/>
    <w:bookmarkEnd w:id="11"/>
    <w:bookmarkEnd w:id="12"/>
    <w:r w:rsidRPr="00391699">
      <w:rPr>
        <w:bCs/>
        <w:lang w:eastAsia="lv-LV"/>
      </w:rPr>
      <w:t>sākotnējās ietekmes novērtējuma ziņojums (anotācija)</w:t>
    </w:r>
    <w:bookmarkEnd w:id="13"/>
    <w:bookmarkEnd w:id="14"/>
    <w:bookmarkEnd w:id="15"/>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F48" w:rsidRPr="00C170FD" w:rsidRDefault="00AF5F48" w:rsidP="00D62B59">
    <w:pPr>
      <w:jc w:val="both"/>
    </w:pPr>
    <w:r w:rsidRPr="00391699">
      <w:t>KMAnot_</w:t>
    </w:r>
    <w:r w:rsidR="00E64D98">
      <w:t>22</w:t>
    </w:r>
    <w:r>
      <w:t>0814_MK1035</w:t>
    </w:r>
    <w:r w:rsidRPr="00391699">
      <w:t xml:space="preserve">; </w:t>
    </w:r>
    <w:r w:rsidRPr="00391699">
      <w:rPr>
        <w:bCs/>
        <w:lang w:eastAsia="lv-LV"/>
      </w:rPr>
      <w:t>Ministru kabineta noteikumu projekta „Grozījumi Ministru kabineta 2011.gada 27.decembra noteikumos Nr.1035 „</w:t>
    </w:r>
    <w:r w:rsidRPr="00391699">
      <w:rPr>
        <w:bCs/>
      </w:rPr>
      <w:t>Kārtība, kādā valsts finansē profesionālās ievirzes mākslu, mūzikas un dejas izglītības programmas</w:t>
    </w:r>
    <w:r w:rsidRPr="00391699">
      <w:rPr>
        <w:bCs/>
        <w:lang w:eastAsia="lv-LV"/>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536" w:rsidRDefault="007F1536" w:rsidP="00DD3EC5">
      <w:r>
        <w:separator/>
      </w:r>
    </w:p>
    <w:p w:rsidR="007F1536" w:rsidRDefault="007F1536"/>
    <w:p w:rsidR="007F1536" w:rsidRDefault="007F1536"/>
  </w:footnote>
  <w:footnote w:type="continuationSeparator" w:id="0">
    <w:p w:rsidR="007F1536" w:rsidRDefault="007F1536" w:rsidP="00DD3EC5">
      <w:r>
        <w:continuationSeparator/>
      </w:r>
    </w:p>
    <w:p w:rsidR="007F1536" w:rsidRDefault="007F1536"/>
    <w:p w:rsidR="007F1536" w:rsidRDefault="007F153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66242"/>
      <w:docPartObj>
        <w:docPartGallery w:val="Page Numbers (Top of Page)"/>
        <w:docPartUnique/>
      </w:docPartObj>
    </w:sdtPr>
    <w:sdtContent>
      <w:p w:rsidR="00AF5F48" w:rsidRDefault="008A707C">
        <w:pPr>
          <w:pStyle w:val="Galvene"/>
          <w:jc w:val="center"/>
        </w:pPr>
        <w:r w:rsidRPr="00C71066">
          <w:rPr>
            <w:sz w:val="22"/>
            <w:szCs w:val="22"/>
          </w:rPr>
          <w:fldChar w:fldCharType="begin"/>
        </w:r>
        <w:r w:rsidR="00AF5F48" w:rsidRPr="00C71066">
          <w:rPr>
            <w:sz w:val="22"/>
            <w:szCs w:val="22"/>
          </w:rPr>
          <w:instrText xml:space="preserve"> PAGE   \* MERGEFORMAT </w:instrText>
        </w:r>
        <w:r w:rsidRPr="00C71066">
          <w:rPr>
            <w:sz w:val="22"/>
            <w:szCs w:val="22"/>
          </w:rPr>
          <w:fldChar w:fldCharType="separate"/>
        </w:r>
        <w:r w:rsidR="007274D4">
          <w:rPr>
            <w:noProof/>
            <w:sz w:val="22"/>
            <w:szCs w:val="22"/>
          </w:rPr>
          <w:t>7</w:t>
        </w:r>
        <w:r w:rsidRPr="00C71066">
          <w:rPr>
            <w:noProof/>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53DD"/>
    <w:multiLevelType w:val="hybridMultilevel"/>
    <w:tmpl w:val="5840F6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5367DB2"/>
    <w:multiLevelType w:val="hybridMultilevel"/>
    <w:tmpl w:val="E1200734"/>
    <w:lvl w:ilvl="0" w:tplc="0426000F">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2">
    <w:nsid w:val="45F747C3"/>
    <w:multiLevelType w:val="hybridMultilevel"/>
    <w:tmpl w:val="9AC604CC"/>
    <w:lvl w:ilvl="0" w:tplc="0426000F">
      <w:start w:val="1"/>
      <w:numFmt w:val="decimal"/>
      <w:lvlText w:val="%1."/>
      <w:lvlJc w:val="left"/>
      <w:pPr>
        <w:ind w:left="765" w:hanging="360"/>
      </w:p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3">
    <w:nsid w:val="5268202E"/>
    <w:multiLevelType w:val="hybridMultilevel"/>
    <w:tmpl w:val="F6525618"/>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B6F82"/>
    <w:rsid w:val="0000029F"/>
    <w:rsid w:val="00001203"/>
    <w:rsid w:val="00004974"/>
    <w:rsid w:val="00007604"/>
    <w:rsid w:val="000178F6"/>
    <w:rsid w:val="00017D9B"/>
    <w:rsid w:val="00021A72"/>
    <w:rsid w:val="000250CC"/>
    <w:rsid w:val="00026004"/>
    <w:rsid w:val="00026B1B"/>
    <w:rsid w:val="00044018"/>
    <w:rsid w:val="000472C7"/>
    <w:rsid w:val="00056514"/>
    <w:rsid w:val="00061235"/>
    <w:rsid w:val="00061C57"/>
    <w:rsid w:val="0006276E"/>
    <w:rsid w:val="00063123"/>
    <w:rsid w:val="000645FA"/>
    <w:rsid w:val="00090CBA"/>
    <w:rsid w:val="00091664"/>
    <w:rsid w:val="0009245B"/>
    <w:rsid w:val="00095AC3"/>
    <w:rsid w:val="000A2E43"/>
    <w:rsid w:val="000A446E"/>
    <w:rsid w:val="000B203B"/>
    <w:rsid w:val="000B691F"/>
    <w:rsid w:val="000C2816"/>
    <w:rsid w:val="000D3A02"/>
    <w:rsid w:val="000F5EC9"/>
    <w:rsid w:val="001004B3"/>
    <w:rsid w:val="00102FD0"/>
    <w:rsid w:val="00105188"/>
    <w:rsid w:val="001122F9"/>
    <w:rsid w:val="00113F55"/>
    <w:rsid w:val="00117AF5"/>
    <w:rsid w:val="00122C78"/>
    <w:rsid w:val="0013373B"/>
    <w:rsid w:val="00133A0B"/>
    <w:rsid w:val="001446B1"/>
    <w:rsid w:val="00147CE8"/>
    <w:rsid w:val="00170D79"/>
    <w:rsid w:val="00182248"/>
    <w:rsid w:val="00187A63"/>
    <w:rsid w:val="00196653"/>
    <w:rsid w:val="001A33BF"/>
    <w:rsid w:val="001A3EDE"/>
    <w:rsid w:val="001B1EA9"/>
    <w:rsid w:val="001B1FC5"/>
    <w:rsid w:val="001C1039"/>
    <w:rsid w:val="001C4D8C"/>
    <w:rsid w:val="001C7C4C"/>
    <w:rsid w:val="001D3E69"/>
    <w:rsid w:val="001D450D"/>
    <w:rsid w:val="001D5014"/>
    <w:rsid w:val="001D5FA5"/>
    <w:rsid w:val="001E7A66"/>
    <w:rsid w:val="001F0BBC"/>
    <w:rsid w:val="001F20D6"/>
    <w:rsid w:val="001F27C1"/>
    <w:rsid w:val="001F530F"/>
    <w:rsid w:val="00206237"/>
    <w:rsid w:val="002273E0"/>
    <w:rsid w:val="00234644"/>
    <w:rsid w:val="00242514"/>
    <w:rsid w:val="00242720"/>
    <w:rsid w:val="00245FE7"/>
    <w:rsid w:val="00247A8B"/>
    <w:rsid w:val="00255A9D"/>
    <w:rsid w:val="00262F3E"/>
    <w:rsid w:val="00266DD2"/>
    <w:rsid w:val="00276567"/>
    <w:rsid w:val="00281A9E"/>
    <w:rsid w:val="0028522F"/>
    <w:rsid w:val="0028643E"/>
    <w:rsid w:val="00290C0B"/>
    <w:rsid w:val="002A29B7"/>
    <w:rsid w:val="002B6E86"/>
    <w:rsid w:val="002C144E"/>
    <w:rsid w:val="002C7391"/>
    <w:rsid w:val="002E1E98"/>
    <w:rsid w:val="002E646F"/>
    <w:rsid w:val="002E6AB3"/>
    <w:rsid w:val="002F1137"/>
    <w:rsid w:val="002F1AD0"/>
    <w:rsid w:val="002F66EE"/>
    <w:rsid w:val="00303334"/>
    <w:rsid w:val="00303A52"/>
    <w:rsid w:val="00310F21"/>
    <w:rsid w:val="00316006"/>
    <w:rsid w:val="00324CE0"/>
    <w:rsid w:val="00324F18"/>
    <w:rsid w:val="00326CEC"/>
    <w:rsid w:val="003540DF"/>
    <w:rsid w:val="00357C91"/>
    <w:rsid w:val="00364DF1"/>
    <w:rsid w:val="0036524F"/>
    <w:rsid w:val="00366758"/>
    <w:rsid w:val="0037281C"/>
    <w:rsid w:val="00375CBE"/>
    <w:rsid w:val="003801D8"/>
    <w:rsid w:val="00383C7C"/>
    <w:rsid w:val="00384DE1"/>
    <w:rsid w:val="0038679D"/>
    <w:rsid w:val="00391CB8"/>
    <w:rsid w:val="0039318D"/>
    <w:rsid w:val="0039497C"/>
    <w:rsid w:val="00394996"/>
    <w:rsid w:val="003B06E5"/>
    <w:rsid w:val="003B3E0F"/>
    <w:rsid w:val="003C6028"/>
    <w:rsid w:val="003D1FE9"/>
    <w:rsid w:val="003D5B60"/>
    <w:rsid w:val="003D5CF4"/>
    <w:rsid w:val="003E7A49"/>
    <w:rsid w:val="003E7E7B"/>
    <w:rsid w:val="003F1058"/>
    <w:rsid w:val="003F5519"/>
    <w:rsid w:val="003F59B0"/>
    <w:rsid w:val="003F6B86"/>
    <w:rsid w:val="003F75DF"/>
    <w:rsid w:val="003F7B5A"/>
    <w:rsid w:val="00400C8D"/>
    <w:rsid w:val="00400F7E"/>
    <w:rsid w:val="00403919"/>
    <w:rsid w:val="00415F1B"/>
    <w:rsid w:val="004162BC"/>
    <w:rsid w:val="00426B45"/>
    <w:rsid w:val="00432119"/>
    <w:rsid w:val="00437FC3"/>
    <w:rsid w:val="00443246"/>
    <w:rsid w:val="0044528E"/>
    <w:rsid w:val="0044643F"/>
    <w:rsid w:val="0044691C"/>
    <w:rsid w:val="00461E48"/>
    <w:rsid w:val="00474CE4"/>
    <w:rsid w:val="00487499"/>
    <w:rsid w:val="004928E5"/>
    <w:rsid w:val="00495E2D"/>
    <w:rsid w:val="004A019A"/>
    <w:rsid w:val="004A3875"/>
    <w:rsid w:val="004A5A0B"/>
    <w:rsid w:val="004B043D"/>
    <w:rsid w:val="004B0601"/>
    <w:rsid w:val="004B33E7"/>
    <w:rsid w:val="004B51A8"/>
    <w:rsid w:val="004C3742"/>
    <w:rsid w:val="004D2CB5"/>
    <w:rsid w:val="004D47E6"/>
    <w:rsid w:val="004D6339"/>
    <w:rsid w:val="004D6EB2"/>
    <w:rsid w:val="004E51C0"/>
    <w:rsid w:val="004E6099"/>
    <w:rsid w:val="004F0FB2"/>
    <w:rsid w:val="004F2496"/>
    <w:rsid w:val="004F4118"/>
    <w:rsid w:val="005022AD"/>
    <w:rsid w:val="00503FA9"/>
    <w:rsid w:val="00507BC4"/>
    <w:rsid w:val="0052647C"/>
    <w:rsid w:val="00531ADA"/>
    <w:rsid w:val="00541476"/>
    <w:rsid w:val="0054178A"/>
    <w:rsid w:val="00551BC0"/>
    <w:rsid w:val="005549F4"/>
    <w:rsid w:val="00557F36"/>
    <w:rsid w:val="005624BC"/>
    <w:rsid w:val="00563D29"/>
    <w:rsid w:val="00564293"/>
    <w:rsid w:val="00567174"/>
    <w:rsid w:val="005679D3"/>
    <w:rsid w:val="00572E70"/>
    <w:rsid w:val="00573D4D"/>
    <w:rsid w:val="00575FDA"/>
    <w:rsid w:val="00576C06"/>
    <w:rsid w:val="005A145C"/>
    <w:rsid w:val="005A7097"/>
    <w:rsid w:val="005C4C91"/>
    <w:rsid w:val="005C5759"/>
    <w:rsid w:val="005C6880"/>
    <w:rsid w:val="005C6F73"/>
    <w:rsid w:val="005E0C43"/>
    <w:rsid w:val="005E741A"/>
    <w:rsid w:val="005F53DB"/>
    <w:rsid w:val="00604AAF"/>
    <w:rsid w:val="00607273"/>
    <w:rsid w:val="00610A39"/>
    <w:rsid w:val="006157A0"/>
    <w:rsid w:val="00616CD8"/>
    <w:rsid w:val="0062302C"/>
    <w:rsid w:val="00623B6D"/>
    <w:rsid w:val="00623CB0"/>
    <w:rsid w:val="00630340"/>
    <w:rsid w:val="00632A40"/>
    <w:rsid w:val="00635605"/>
    <w:rsid w:val="00636309"/>
    <w:rsid w:val="006503E8"/>
    <w:rsid w:val="00651B00"/>
    <w:rsid w:val="0065612E"/>
    <w:rsid w:val="00657FC0"/>
    <w:rsid w:val="00671281"/>
    <w:rsid w:val="00672A3D"/>
    <w:rsid w:val="0067778B"/>
    <w:rsid w:val="006808B4"/>
    <w:rsid w:val="006A1C4E"/>
    <w:rsid w:val="006A2554"/>
    <w:rsid w:val="006B3F7B"/>
    <w:rsid w:val="006B7519"/>
    <w:rsid w:val="006B7AFF"/>
    <w:rsid w:val="006E6EE7"/>
    <w:rsid w:val="006F148C"/>
    <w:rsid w:val="006F34C1"/>
    <w:rsid w:val="00707B68"/>
    <w:rsid w:val="00713914"/>
    <w:rsid w:val="00726A6D"/>
    <w:rsid w:val="007274D4"/>
    <w:rsid w:val="00730EA3"/>
    <w:rsid w:val="00735DF0"/>
    <w:rsid w:val="0074015E"/>
    <w:rsid w:val="00744A55"/>
    <w:rsid w:val="0075026E"/>
    <w:rsid w:val="00756D6C"/>
    <w:rsid w:val="00763334"/>
    <w:rsid w:val="00772300"/>
    <w:rsid w:val="0077430B"/>
    <w:rsid w:val="00774DC8"/>
    <w:rsid w:val="007751CE"/>
    <w:rsid w:val="007771EC"/>
    <w:rsid w:val="00777B67"/>
    <w:rsid w:val="00783147"/>
    <w:rsid w:val="0079053C"/>
    <w:rsid w:val="007948C0"/>
    <w:rsid w:val="007A0F2A"/>
    <w:rsid w:val="007A1943"/>
    <w:rsid w:val="007A7D5A"/>
    <w:rsid w:val="007C0B20"/>
    <w:rsid w:val="007C2FC4"/>
    <w:rsid w:val="007C6340"/>
    <w:rsid w:val="007C64AF"/>
    <w:rsid w:val="007D03C8"/>
    <w:rsid w:val="007D3012"/>
    <w:rsid w:val="007D4545"/>
    <w:rsid w:val="007D5610"/>
    <w:rsid w:val="007E0021"/>
    <w:rsid w:val="007E79DC"/>
    <w:rsid w:val="007F1536"/>
    <w:rsid w:val="007F42D9"/>
    <w:rsid w:val="007F62C5"/>
    <w:rsid w:val="008025F6"/>
    <w:rsid w:val="0080448D"/>
    <w:rsid w:val="00805808"/>
    <w:rsid w:val="00817F2C"/>
    <w:rsid w:val="008207E7"/>
    <w:rsid w:val="0082141C"/>
    <w:rsid w:val="00826BFB"/>
    <w:rsid w:val="00826C4B"/>
    <w:rsid w:val="008276FB"/>
    <w:rsid w:val="00834875"/>
    <w:rsid w:val="00842BED"/>
    <w:rsid w:val="00852F15"/>
    <w:rsid w:val="0085511C"/>
    <w:rsid w:val="00860E13"/>
    <w:rsid w:val="00862EC6"/>
    <w:rsid w:val="0086522E"/>
    <w:rsid w:val="00866752"/>
    <w:rsid w:val="00871F68"/>
    <w:rsid w:val="00873F4E"/>
    <w:rsid w:val="00883B99"/>
    <w:rsid w:val="00895A82"/>
    <w:rsid w:val="008A4E68"/>
    <w:rsid w:val="008A707C"/>
    <w:rsid w:val="008B2833"/>
    <w:rsid w:val="008B3FF2"/>
    <w:rsid w:val="008B4E3B"/>
    <w:rsid w:val="008B6534"/>
    <w:rsid w:val="008B6BB4"/>
    <w:rsid w:val="008B6F82"/>
    <w:rsid w:val="008C50BE"/>
    <w:rsid w:val="008C5992"/>
    <w:rsid w:val="008C7D3F"/>
    <w:rsid w:val="008D3C74"/>
    <w:rsid w:val="008D4760"/>
    <w:rsid w:val="008D7DF9"/>
    <w:rsid w:val="008E0D6B"/>
    <w:rsid w:val="008E26C5"/>
    <w:rsid w:val="008E2777"/>
    <w:rsid w:val="008E7EBC"/>
    <w:rsid w:val="008F0863"/>
    <w:rsid w:val="00904B37"/>
    <w:rsid w:val="0091394B"/>
    <w:rsid w:val="00913C3E"/>
    <w:rsid w:val="00915DF0"/>
    <w:rsid w:val="00916745"/>
    <w:rsid w:val="00917D02"/>
    <w:rsid w:val="0092311F"/>
    <w:rsid w:val="00927C72"/>
    <w:rsid w:val="00931FCA"/>
    <w:rsid w:val="00944C24"/>
    <w:rsid w:val="00950082"/>
    <w:rsid w:val="009503E1"/>
    <w:rsid w:val="009506DD"/>
    <w:rsid w:val="00956AD2"/>
    <w:rsid w:val="009600D1"/>
    <w:rsid w:val="0096284B"/>
    <w:rsid w:val="00964BF5"/>
    <w:rsid w:val="00971A5F"/>
    <w:rsid w:val="00974F5E"/>
    <w:rsid w:val="00976947"/>
    <w:rsid w:val="00977F28"/>
    <w:rsid w:val="0098030A"/>
    <w:rsid w:val="00982371"/>
    <w:rsid w:val="00990648"/>
    <w:rsid w:val="00992CF9"/>
    <w:rsid w:val="00996112"/>
    <w:rsid w:val="009A08BA"/>
    <w:rsid w:val="009A5FF7"/>
    <w:rsid w:val="009B5489"/>
    <w:rsid w:val="009B66E1"/>
    <w:rsid w:val="009C4F0E"/>
    <w:rsid w:val="009C5548"/>
    <w:rsid w:val="009D426B"/>
    <w:rsid w:val="009D544F"/>
    <w:rsid w:val="009E3A1C"/>
    <w:rsid w:val="009E4F83"/>
    <w:rsid w:val="009F039A"/>
    <w:rsid w:val="009F2AD4"/>
    <w:rsid w:val="009F41C8"/>
    <w:rsid w:val="009F54E7"/>
    <w:rsid w:val="00A2219A"/>
    <w:rsid w:val="00A2559D"/>
    <w:rsid w:val="00A256D7"/>
    <w:rsid w:val="00A25F3A"/>
    <w:rsid w:val="00A26999"/>
    <w:rsid w:val="00A34A10"/>
    <w:rsid w:val="00A37EA1"/>
    <w:rsid w:val="00A44425"/>
    <w:rsid w:val="00A50947"/>
    <w:rsid w:val="00A83526"/>
    <w:rsid w:val="00A95E3C"/>
    <w:rsid w:val="00AA0ECC"/>
    <w:rsid w:val="00AA122D"/>
    <w:rsid w:val="00AA2E64"/>
    <w:rsid w:val="00AC1635"/>
    <w:rsid w:val="00AC178E"/>
    <w:rsid w:val="00AD4A94"/>
    <w:rsid w:val="00AD6995"/>
    <w:rsid w:val="00AD6F1E"/>
    <w:rsid w:val="00AE392B"/>
    <w:rsid w:val="00AE3F5F"/>
    <w:rsid w:val="00AF5F48"/>
    <w:rsid w:val="00AF718B"/>
    <w:rsid w:val="00B02CA7"/>
    <w:rsid w:val="00B04FC0"/>
    <w:rsid w:val="00B109BD"/>
    <w:rsid w:val="00B13622"/>
    <w:rsid w:val="00B15455"/>
    <w:rsid w:val="00B227A7"/>
    <w:rsid w:val="00B3124F"/>
    <w:rsid w:val="00B31419"/>
    <w:rsid w:val="00B33890"/>
    <w:rsid w:val="00B3512D"/>
    <w:rsid w:val="00B41D76"/>
    <w:rsid w:val="00B52793"/>
    <w:rsid w:val="00B53253"/>
    <w:rsid w:val="00B64046"/>
    <w:rsid w:val="00B67B36"/>
    <w:rsid w:val="00B74FAB"/>
    <w:rsid w:val="00B81BB1"/>
    <w:rsid w:val="00B953DE"/>
    <w:rsid w:val="00B96D68"/>
    <w:rsid w:val="00BA1E31"/>
    <w:rsid w:val="00BA21B8"/>
    <w:rsid w:val="00BC4F52"/>
    <w:rsid w:val="00BC58E7"/>
    <w:rsid w:val="00BC6051"/>
    <w:rsid w:val="00BD2F06"/>
    <w:rsid w:val="00BE45BA"/>
    <w:rsid w:val="00BF3B32"/>
    <w:rsid w:val="00BF760D"/>
    <w:rsid w:val="00C06E0A"/>
    <w:rsid w:val="00C141CC"/>
    <w:rsid w:val="00C170FD"/>
    <w:rsid w:val="00C20265"/>
    <w:rsid w:val="00C4275C"/>
    <w:rsid w:val="00C50BCE"/>
    <w:rsid w:val="00C53D6E"/>
    <w:rsid w:val="00C71066"/>
    <w:rsid w:val="00C72DD8"/>
    <w:rsid w:val="00C74834"/>
    <w:rsid w:val="00C8266F"/>
    <w:rsid w:val="00C82F76"/>
    <w:rsid w:val="00C90621"/>
    <w:rsid w:val="00CA1738"/>
    <w:rsid w:val="00CA5139"/>
    <w:rsid w:val="00CA5DDA"/>
    <w:rsid w:val="00CB6356"/>
    <w:rsid w:val="00CC554F"/>
    <w:rsid w:val="00CC6EFC"/>
    <w:rsid w:val="00CC7DC4"/>
    <w:rsid w:val="00CD0335"/>
    <w:rsid w:val="00CD54B4"/>
    <w:rsid w:val="00CD7DF4"/>
    <w:rsid w:val="00CE43D2"/>
    <w:rsid w:val="00CE589D"/>
    <w:rsid w:val="00CF4C01"/>
    <w:rsid w:val="00CF5DC8"/>
    <w:rsid w:val="00D01615"/>
    <w:rsid w:val="00D039BF"/>
    <w:rsid w:val="00D10581"/>
    <w:rsid w:val="00D11823"/>
    <w:rsid w:val="00D20840"/>
    <w:rsid w:val="00D27DDC"/>
    <w:rsid w:val="00D404A8"/>
    <w:rsid w:val="00D44F2E"/>
    <w:rsid w:val="00D4676E"/>
    <w:rsid w:val="00D5396B"/>
    <w:rsid w:val="00D62B59"/>
    <w:rsid w:val="00D7012F"/>
    <w:rsid w:val="00D71D9B"/>
    <w:rsid w:val="00D73047"/>
    <w:rsid w:val="00D82E5A"/>
    <w:rsid w:val="00D86CEA"/>
    <w:rsid w:val="00D93492"/>
    <w:rsid w:val="00DA4C92"/>
    <w:rsid w:val="00DA5504"/>
    <w:rsid w:val="00DB17E1"/>
    <w:rsid w:val="00DB2FFD"/>
    <w:rsid w:val="00DC2411"/>
    <w:rsid w:val="00DD3A09"/>
    <w:rsid w:val="00DD3EC5"/>
    <w:rsid w:val="00DF032D"/>
    <w:rsid w:val="00E016D0"/>
    <w:rsid w:val="00E07A82"/>
    <w:rsid w:val="00E116AE"/>
    <w:rsid w:val="00E138A3"/>
    <w:rsid w:val="00E16418"/>
    <w:rsid w:val="00E274BB"/>
    <w:rsid w:val="00E32871"/>
    <w:rsid w:val="00E33871"/>
    <w:rsid w:val="00E37327"/>
    <w:rsid w:val="00E51EE5"/>
    <w:rsid w:val="00E63B2D"/>
    <w:rsid w:val="00E64011"/>
    <w:rsid w:val="00E64D98"/>
    <w:rsid w:val="00E67E4E"/>
    <w:rsid w:val="00E70EC2"/>
    <w:rsid w:val="00E744DC"/>
    <w:rsid w:val="00E83005"/>
    <w:rsid w:val="00E86299"/>
    <w:rsid w:val="00E87678"/>
    <w:rsid w:val="00E961A0"/>
    <w:rsid w:val="00EA3042"/>
    <w:rsid w:val="00EA43B6"/>
    <w:rsid w:val="00EA47AA"/>
    <w:rsid w:val="00EA5EA9"/>
    <w:rsid w:val="00EA7262"/>
    <w:rsid w:val="00EB5D76"/>
    <w:rsid w:val="00EC6ED4"/>
    <w:rsid w:val="00ED46A2"/>
    <w:rsid w:val="00ED52AB"/>
    <w:rsid w:val="00ED7F41"/>
    <w:rsid w:val="00EF2EB1"/>
    <w:rsid w:val="00F1007D"/>
    <w:rsid w:val="00F20CA6"/>
    <w:rsid w:val="00F25C11"/>
    <w:rsid w:val="00F43AC7"/>
    <w:rsid w:val="00F44623"/>
    <w:rsid w:val="00F57387"/>
    <w:rsid w:val="00F63406"/>
    <w:rsid w:val="00F805F2"/>
    <w:rsid w:val="00F83B35"/>
    <w:rsid w:val="00F90915"/>
    <w:rsid w:val="00F9200D"/>
    <w:rsid w:val="00F92247"/>
    <w:rsid w:val="00F95A3F"/>
    <w:rsid w:val="00FA4D92"/>
    <w:rsid w:val="00FB1FBE"/>
    <w:rsid w:val="00FB2E1B"/>
    <w:rsid w:val="00FB429A"/>
    <w:rsid w:val="00FC1A64"/>
    <w:rsid w:val="00FC4877"/>
    <w:rsid w:val="00FC6D3F"/>
    <w:rsid w:val="00FD2B01"/>
    <w:rsid w:val="00FD50AA"/>
    <w:rsid w:val="00FE017B"/>
    <w:rsid w:val="00FE177D"/>
    <w:rsid w:val="00FE2F33"/>
    <w:rsid w:val="00FE6358"/>
    <w:rsid w:val="00FF0696"/>
    <w:rsid w:val="00FF3AFD"/>
  </w:rsids>
  <m:mathPr>
    <m:mathFont m:val="Cambria Math"/>
    <m:brkBin m:val="before"/>
    <m:brkBinSub m:val="--"/>
    <m:smallFrac m:val="off"/>
    <m:dispDef/>
    <m:lMargin m:val="0"/>
    <m:rMargin m:val="0"/>
    <m:defJc m:val="centerGroup"/>
    <m:wrapIndent m:val="1440"/>
    <m:intLim m:val="subSup"/>
    <m:naryLim m:val="undOvr"/>
  </m:mathPr>
  <w:themeFontLang w:val="lv-LV"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B6F82"/>
    <w:pPr>
      <w:suppressAutoHyphens/>
      <w:spacing w:after="0" w:line="240" w:lineRule="auto"/>
    </w:pPr>
    <w:rPr>
      <w:rFonts w:ascii="Times New Roman" w:eastAsia="Times New Roman" w:hAnsi="Times New Roman" w:cs="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ais"/>
    <w:link w:val="KjeneRakstz"/>
    <w:rsid w:val="008B6F82"/>
    <w:pPr>
      <w:tabs>
        <w:tab w:val="center" w:pos="4153"/>
        <w:tab w:val="right" w:pos="8306"/>
      </w:tabs>
    </w:pPr>
  </w:style>
  <w:style w:type="character" w:customStyle="1" w:styleId="KjeneRakstz">
    <w:name w:val="Kājene Rakstz."/>
    <w:basedOn w:val="Noklusjumarindkopasfonts"/>
    <w:link w:val="Kjene"/>
    <w:rsid w:val="008B6F82"/>
    <w:rPr>
      <w:rFonts w:ascii="Times New Roman" w:eastAsia="Times New Roman" w:hAnsi="Times New Roman" w:cs="Times New Roman"/>
      <w:sz w:val="24"/>
      <w:szCs w:val="24"/>
      <w:lang w:eastAsia="ar-SA"/>
    </w:rPr>
  </w:style>
  <w:style w:type="paragraph" w:styleId="Galvene">
    <w:name w:val="header"/>
    <w:basedOn w:val="Parastais"/>
    <w:link w:val="GalveneRakstz"/>
    <w:uiPriority w:val="99"/>
    <w:rsid w:val="008B6F82"/>
    <w:pPr>
      <w:tabs>
        <w:tab w:val="center" w:pos="4153"/>
        <w:tab w:val="right" w:pos="8306"/>
      </w:tabs>
      <w:suppressAutoHyphens w:val="0"/>
    </w:pPr>
    <w:rPr>
      <w:lang w:eastAsia="lv-LV"/>
    </w:rPr>
  </w:style>
  <w:style w:type="character" w:customStyle="1" w:styleId="GalveneRakstz">
    <w:name w:val="Galvene Rakstz."/>
    <w:basedOn w:val="Noklusjumarindkopasfonts"/>
    <w:link w:val="Galvene"/>
    <w:uiPriority w:val="99"/>
    <w:rsid w:val="008B6F82"/>
    <w:rPr>
      <w:rFonts w:ascii="Times New Roman" w:eastAsia="Times New Roman" w:hAnsi="Times New Roman" w:cs="Times New Roman"/>
      <w:sz w:val="24"/>
      <w:szCs w:val="24"/>
      <w:lang w:eastAsia="lv-LV"/>
    </w:rPr>
  </w:style>
  <w:style w:type="paragraph" w:customStyle="1" w:styleId="naisnod">
    <w:name w:val="naisnod"/>
    <w:basedOn w:val="Parastais"/>
    <w:rsid w:val="008B6F82"/>
    <w:pPr>
      <w:suppressAutoHyphens w:val="0"/>
      <w:spacing w:before="100" w:beforeAutospacing="1" w:after="100" w:afterAutospacing="1"/>
    </w:pPr>
    <w:rPr>
      <w:lang w:eastAsia="lv-LV"/>
    </w:rPr>
  </w:style>
  <w:style w:type="paragraph" w:customStyle="1" w:styleId="naiskr">
    <w:name w:val="naiskr"/>
    <w:basedOn w:val="Parastais"/>
    <w:rsid w:val="008B6F82"/>
    <w:pPr>
      <w:suppressAutoHyphens w:val="0"/>
      <w:spacing w:before="100" w:beforeAutospacing="1" w:after="100" w:afterAutospacing="1"/>
    </w:pPr>
    <w:rPr>
      <w:lang w:eastAsia="lv-LV"/>
    </w:rPr>
  </w:style>
  <w:style w:type="paragraph" w:customStyle="1" w:styleId="naisf">
    <w:name w:val="naisf"/>
    <w:basedOn w:val="Parastais"/>
    <w:rsid w:val="008B6F82"/>
    <w:pPr>
      <w:suppressAutoHyphens w:val="0"/>
      <w:spacing w:before="75" w:after="75"/>
      <w:ind w:firstLine="375"/>
      <w:jc w:val="both"/>
    </w:pPr>
    <w:rPr>
      <w:lang w:eastAsia="lv-LV"/>
    </w:rPr>
  </w:style>
  <w:style w:type="paragraph" w:styleId="Pamatteksts">
    <w:name w:val="Body Text"/>
    <w:basedOn w:val="Parastais"/>
    <w:link w:val="PamattekstsRakstz"/>
    <w:rsid w:val="008B6F82"/>
    <w:pPr>
      <w:suppressAutoHyphens w:val="0"/>
      <w:spacing w:before="100" w:beforeAutospacing="1" w:after="100" w:afterAutospacing="1"/>
    </w:pPr>
    <w:rPr>
      <w:lang w:eastAsia="lv-LV"/>
    </w:rPr>
  </w:style>
  <w:style w:type="character" w:customStyle="1" w:styleId="PamattekstsRakstz">
    <w:name w:val="Pamatteksts Rakstz."/>
    <w:basedOn w:val="Noklusjumarindkopasfonts"/>
    <w:link w:val="Pamatteksts"/>
    <w:rsid w:val="008B6F82"/>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B6F82"/>
  </w:style>
  <w:style w:type="paragraph" w:styleId="Pamatteksts2">
    <w:name w:val="Body Text 2"/>
    <w:basedOn w:val="Parastais"/>
    <w:link w:val="Pamatteksts2Rakstz"/>
    <w:uiPriority w:val="99"/>
    <w:semiHidden/>
    <w:unhideWhenUsed/>
    <w:rsid w:val="00DD3EC5"/>
    <w:pPr>
      <w:spacing w:after="120" w:line="480" w:lineRule="auto"/>
    </w:pPr>
  </w:style>
  <w:style w:type="character" w:customStyle="1" w:styleId="Pamatteksts2Rakstz">
    <w:name w:val="Pamatteksts 2 Rakstz."/>
    <w:basedOn w:val="Noklusjumarindkopasfonts"/>
    <w:link w:val="Pamatteksts2"/>
    <w:uiPriority w:val="99"/>
    <w:semiHidden/>
    <w:rsid w:val="00DD3EC5"/>
    <w:rPr>
      <w:rFonts w:ascii="Times New Roman" w:eastAsia="Times New Roman" w:hAnsi="Times New Roman" w:cs="Times New Roman"/>
      <w:sz w:val="24"/>
      <w:szCs w:val="24"/>
      <w:lang w:eastAsia="ar-SA"/>
    </w:rPr>
  </w:style>
  <w:style w:type="character" w:styleId="Hipersaite">
    <w:name w:val="Hyperlink"/>
    <w:basedOn w:val="Noklusjumarindkopasfonts"/>
    <w:uiPriority w:val="99"/>
    <w:unhideWhenUsed/>
    <w:rsid w:val="00C71066"/>
    <w:rPr>
      <w:color w:val="0000FF" w:themeColor="hyperlink"/>
      <w:u w:val="single"/>
    </w:rPr>
  </w:style>
  <w:style w:type="paragraph" w:styleId="Balonteksts">
    <w:name w:val="Balloon Text"/>
    <w:basedOn w:val="Parastais"/>
    <w:link w:val="BalontekstsRakstz"/>
    <w:uiPriority w:val="99"/>
    <w:semiHidden/>
    <w:unhideWhenUsed/>
    <w:rsid w:val="00651B0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51B00"/>
    <w:rPr>
      <w:rFonts w:ascii="Tahoma" w:eastAsia="Times New Roman" w:hAnsi="Tahoma" w:cs="Tahoma"/>
      <w:sz w:val="16"/>
      <w:szCs w:val="16"/>
      <w:lang w:eastAsia="ar-SA"/>
    </w:rPr>
  </w:style>
  <w:style w:type="character" w:styleId="Komentraatsauce">
    <w:name w:val="annotation reference"/>
    <w:basedOn w:val="Noklusjumarindkopasfonts"/>
    <w:uiPriority w:val="99"/>
    <w:semiHidden/>
    <w:unhideWhenUsed/>
    <w:rsid w:val="00651B00"/>
    <w:rPr>
      <w:sz w:val="16"/>
      <w:szCs w:val="16"/>
    </w:rPr>
  </w:style>
  <w:style w:type="paragraph" w:styleId="Komentrateksts">
    <w:name w:val="annotation text"/>
    <w:basedOn w:val="Parastais"/>
    <w:link w:val="KomentratekstsRakstz"/>
    <w:uiPriority w:val="99"/>
    <w:unhideWhenUsed/>
    <w:rsid w:val="00651B00"/>
    <w:rPr>
      <w:sz w:val="20"/>
      <w:szCs w:val="20"/>
    </w:rPr>
  </w:style>
  <w:style w:type="character" w:customStyle="1" w:styleId="KomentratekstsRakstz">
    <w:name w:val="Komentāra teksts Rakstz."/>
    <w:basedOn w:val="Noklusjumarindkopasfonts"/>
    <w:link w:val="Komentrateksts"/>
    <w:uiPriority w:val="99"/>
    <w:rsid w:val="00651B00"/>
    <w:rPr>
      <w:rFonts w:ascii="Times New Roman" w:eastAsia="Times New Roman" w:hAnsi="Times New Roman" w:cs="Times New Roman"/>
      <w:sz w:val="20"/>
      <w:szCs w:val="20"/>
      <w:lang w:eastAsia="ar-SA"/>
    </w:rPr>
  </w:style>
  <w:style w:type="paragraph" w:styleId="Komentratma">
    <w:name w:val="annotation subject"/>
    <w:basedOn w:val="Komentrateksts"/>
    <w:next w:val="Komentrateksts"/>
    <w:link w:val="KomentratmaRakstz"/>
    <w:uiPriority w:val="99"/>
    <w:semiHidden/>
    <w:unhideWhenUsed/>
    <w:rsid w:val="00651B00"/>
    <w:rPr>
      <w:b/>
      <w:bCs/>
    </w:rPr>
  </w:style>
  <w:style w:type="character" w:customStyle="1" w:styleId="KomentratmaRakstz">
    <w:name w:val="Komentāra tēma Rakstz."/>
    <w:basedOn w:val="KomentratekstsRakstz"/>
    <w:link w:val="Komentratma"/>
    <w:uiPriority w:val="99"/>
    <w:semiHidden/>
    <w:rsid w:val="00651B00"/>
    <w:rPr>
      <w:rFonts w:ascii="Times New Roman" w:eastAsia="Times New Roman" w:hAnsi="Times New Roman" w:cs="Times New Roman"/>
      <w:b/>
      <w:bCs/>
      <w:sz w:val="20"/>
      <w:szCs w:val="20"/>
      <w:lang w:eastAsia="ar-SA"/>
    </w:rPr>
  </w:style>
  <w:style w:type="paragraph" w:styleId="Sarakstarindkopa">
    <w:name w:val="List Paragraph"/>
    <w:basedOn w:val="Parastais"/>
    <w:qFormat/>
    <w:rsid w:val="00B74FAB"/>
    <w:pPr>
      <w:ind w:left="720"/>
      <w:contextualSpacing/>
    </w:pPr>
  </w:style>
  <w:style w:type="character" w:styleId="Izteiksmgs">
    <w:name w:val="Strong"/>
    <w:basedOn w:val="Noklusjumarindkopasfonts"/>
    <w:uiPriority w:val="22"/>
    <w:qFormat/>
    <w:rsid w:val="00C8266F"/>
    <w:rPr>
      <w:b/>
      <w:bCs/>
    </w:rPr>
  </w:style>
  <w:style w:type="paragraph" w:customStyle="1" w:styleId="tv213">
    <w:name w:val="tv213"/>
    <w:basedOn w:val="Parastais"/>
    <w:rsid w:val="009C4F0E"/>
    <w:pPr>
      <w:suppressAutoHyphens w:val="0"/>
      <w:spacing w:before="100" w:beforeAutospacing="1" w:after="100" w:afterAutospacing="1"/>
    </w:pPr>
    <w:rPr>
      <w:rFonts w:eastAsiaTheme="minorHAnsi"/>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F8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B6F82"/>
    <w:pPr>
      <w:tabs>
        <w:tab w:val="center" w:pos="4153"/>
        <w:tab w:val="right" w:pos="8306"/>
      </w:tabs>
    </w:pPr>
  </w:style>
  <w:style w:type="character" w:customStyle="1" w:styleId="FooterChar">
    <w:name w:val="Footer Char"/>
    <w:basedOn w:val="DefaultParagraphFont"/>
    <w:link w:val="Footer"/>
    <w:rsid w:val="008B6F82"/>
    <w:rPr>
      <w:rFonts w:ascii="Times New Roman" w:eastAsia="Times New Roman" w:hAnsi="Times New Roman" w:cs="Times New Roman"/>
      <w:sz w:val="24"/>
      <w:szCs w:val="24"/>
      <w:lang w:eastAsia="ar-SA"/>
    </w:rPr>
  </w:style>
  <w:style w:type="paragraph" w:styleId="Header">
    <w:name w:val="header"/>
    <w:basedOn w:val="Normal"/>
    <w:link w:val="HeaderChar"/>
    <w:uiPriority w:val="99"/>
    <w:rsid w:val="008B6F82"/>
    <w:pPr>
      <w:tabs>
        <w:tab w:val="center" w:pos="4153"/>
        <w:tab w:val="right" w:pos="8306"/>
      </w:tabs>
      <w:suppressAutoHyphens w:val="0"/>
    </w:pPr>
    <w:rPr>
      <w:lang w:eastAsia="lv-LV"/>
    </w:rPr>
  </w:style>
  <w:style w:type="character" w:customStyle="1" w:styleId="HeaderChar">
    <w:name w:val="Header Char"/>
    <w:basedOn w:val="DefaultParagraphFont"/>
    <w:link w:val="Header"/>
    <w:uiPriority w:val="99"/>
    <w:rsid w:val="008B6F82"/>
    <w:rPr>
      <w:rFonts w:ascii="Times New Roman" w:eastAsia="Times New Roman" w:hAnsi="Times New Roman" w:cs="Times New Roman"/>
      <w:sz w:val="24"/>
      <w:szCs w:val="24"/>
      <w:lang w:eastAsia="lv-LV"/>
    </w:rPr>
  </w:style>
  <w:style w:type="paragraph" w:customStyle="1" w:styleId="naisnod">
    <w:name w:val="naisnod"/>
    <w:basedOn w:val="Normal"/>
    <w:rsid w:val="008B6F82"/>
    <w:pPr>
      <w:suppressAutoHyphens w:val="0"/>
      <w:spacing w:before="100" w:beforeAutospacing="1" w:after="100" w:afterAutospacing="1"/>
    </w:pPr>
    <w:rPr>
      <w:lang w:eastAsia="lv-LV"/>
    </w:rPr>
  </w:style>
  <w:style w:type="paragraph" w:customStyle="1" w:styleId="naiskr">
    <w:name w:val="naiskr"/>
    <w:basedOn w:val="Normal"/>
    <w:rsid w:val="008B6F82"/>
    <w:pPr>
      <w:suppressAutoHyphens w:val="0"/>
      <w:spacing w:before="100" w:beforeAutospacing="1" w:after="100" w:afterAutospacing="1"/>
    </w:pPr>
    <w:rPr>
      <w:lang w:eastAsia="lv-LV"/>
    </w:rPr>
  </w:style>
  <w:style w:type="paragraph" w:customStyle="1" w:styleId="naisf">
    <w:name w:val="naisf"/>
    <w:basedOn w:val="Normal"/>
    <w:rsid w:val="008B6F82"/>
    <w:pPr>
      <w:suppressAutoHyphens w:val="0"/>
      <w:spacing w:before="75" w:after="75"/>
      <w:ind w:firstLine="375"/>
      <w:jc w:val="both"/>
    </w:pPr>
    <w:rPr>
      <w:lang w:eastAsia="lv-LV"/>
    </w:rPr>
  </w:style>
  <w:style w:type="paragraph" w:styleId="BodyText">
    <w:name w:val="Body Text"/>
    <w:basedOn w:val="Normal"/>
    <w:link w:val="BodyTextChar"/>
    <w:rsid w:val="008B6F82"/>
    <w:pPr>
      <w:suppressAutoHyphens w:val="0"/>
      <w:spacing w:before="100" w:beforeAutospacing="1" w:after="100" w:afterAutospacing="1"/>
    </w:pPr>
    <w:rPr>
      <w:lang w:eastAsia="lv-LV"/>
    </w:rPr>
  </w:style>
  <w:style w:type="character" w:customStyle="1" w:styleId="BodyTextChar">
    <w:name w:val="Body Text Char"/>
    <w:basedOn w:val="DefaultParagraphFont"/>
    <w:link w:val="BodyText"/>
    <w:rsid w:val="008B6F82"/>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B6F82"/>
  </w:style>
  <w:style w:type="paragraph" w:styleId="BodyText2">
    <w:name w:val="Body Text 2"/>
    <w:basedOn w:val="Normal"/>
    <w:link w:val="BodyText2Char"/>
    <w:uiPriority w:val="99"/>
    <w:semiHidden/>
    <w:unhideWhenUsed/>
    <w:rsid w:val="00DD3EC5"/>
    <w:pPr>
      <w:spacing w:after="120" w:line="480" w:lineRule="auto"/>
    </w:pPr>
  </w:style>
  <w:style w:type="character" w:customStyle="1" w:styleId="BodyText2Char">
    <w:name w:val="Body Text 2 Char"/>
    <w:basedOn w:val="DefaultParagraphFont"/>
    <w:link w:val="BodyText2"/>
    <w:uiPriority w:val="99"/>
    <w:semiHidden/>
    <w:rsid w:val="00DD3EC5"/>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C71066"/>
    <w:rPr>
      <w:color w:val="0000FF" w:themeColor="hyperlink"/>
      <w:u w:val="single"/>
    </w:rPr>
  </w:style>
  <w:style w:type="paragraph" w:styleId="BalloonText">
    <w:name w:val="Balloon Text"/>
    <w:basedOn w:val="Normal"/>
    <w:link w:val="BalloonTextChar"/>
    <w:uiPriority w:val="99"/>
    <w:semiHidden/>
    <w:unhideWhenUsed/>
    <w:rsid w:val="00651B00"/>
    <w:rPr>
      <w:rFonts w:ascii="Tahoma" w:hAnsi="Tahoma" w:cs="Tahoma"/>
      <w:sz w:val="16"/>
      <w:szCs w:val="16"/>
    </w:rPr>
  </w:style>
  <w:style w:type="character" w:customStyle="1" w:styleId="BalloonTextChar">
    <w:name w:val="Balloon Text Char"/>
    <w:basedOn w:val="DefaultParagraphFont"/>
    <w:link w:val="BalloonText"/>
    <w:uiPriority w:val="99"/>
    <w:semiHidden/>
    <w:rsid w:val="00651B00"/>
    <w:rPr>
      <w:rFonts w:ascii="Tahoma" w:eastAsia="Times New Roman" w:hAnsi="Tahoma" w:cs="Tahoma"/>
      <w:sz w:val="16"/>
      <w:szCs w:val="16"/>
      <w:lang w:eastAsia="ar-SA"/>
    </w:rPr>
  </w:style>
  <w:style w:type="character" w:styleId="CommentReference">
    <w:name w:val="annotation reference"/>
    <w:basedOn w:val="DefaultParagraphFont"/>
    <w:uiPriority w:val="99"/>
    <w:semiHidden/>
    <w:unhideWhenUsed/>
    <w:rsid w:val="00651B00"/>
    <w:rPr>
      <w:sz w:val="16"/>
      <w:szCs w:val="16"/>
    </w:rPr>
  </w:style>
  <w:style w:type="paragraph" w:styleId="CommentText">
    <w:name w:val="annotation text"/>
    <w:basedOn w:val="Normal"/>
    <w:link w:val="CommentTextChar"/>
    <w:uiPriority w:val="99"/>
    <w:unhideWhenUsed/>
    <w:rsid w:val="00651B00"/>
    <w:rPr>
      <w:sz w:val="20"/>
      <w:szCs w:val="20"/>
    </w:rPr>
  </w:style>
  <w:style w:type="character" w:customStyle="1" w:styleId="CommentTextChar">
    <w:name w:val="Comment Text Char"/>
    <w:basedOn w:val="DefaultParagraphFont"/>
    <w:link w:val="CommentText"/>
    <w:uiPriority w:val="99"/>
    <w:rsid w:val="00651B00"/>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651B00"/>
    <w:rPr>
      <w:b/>
      <w:bCs/>
    </w:rPr>
  </w:style>
  <w:style w:type="character" w:customStyle="1" w:styleId="CommentSubjectChar">
    <w:name w:val="Comment Subject Char"/>
    <w:basedOn w:val="CommentTextChar"/>
    <w:link w:val="CommentSubject"/>
    <w:uiPriority w:val="99"/>
    <w:semiHidden/>
    <w:rsid w:val="00651B00"/>
    <w:rPr>
      <w:rFonts w:ascii="Times New Roman" w:eastAsia="Times New Roman" w:hAnsi="Times New Roman" w:cs="Times New Roman"/>
      <w:b/>
      <w:bCs/>
      <w:sz w:val="20"/>
      <w:szCs w:val="20"/>
      <w:lang w:eastAsia="ar-SA"/>
    </w:rPr>
  </w:style>
  <w:style w:type="paragraph" w:styleId="ListParagraph">
    <w:name w:val="List Paragraph"/>
    <w:basedOn w:val="Normal"/>
    <w:uiPriority w:val="34"/>
    <w:qFormat/>
    <w:rsid w:val="00B74FAB"/>
    <w:pPr>
      <w:ind w:left="720"/>
      <w:contextualSpacing/>
    </w:pPr>
  </w:style>
  <w:style w:type="character" w:styleId="Strong">
    <w:name w:val="Strong"/>
    <w:basedOn w:val="DefaultParagraphFont"/>
    <w:uiPriority w:val="22"/>
    <w:qFormat/>
    <w:rsid w:val="00C8266F"/>
    <w:rPr>
      <w:b/>
      <w:bCs/>
    </w:rPr>
  </w:style>
  <w:style w:type="paragraph" w:customStyle="1" w:styleId="tv213">
    <w:name w:val="tv213"/>
    <w:basedOn w:val="Normal"/>
    <w:rsid w:val="009C4F0E"/>
    <w:pPr>
      <w:suppressAutoHyphens w:val="0"/>
      <w:spacing w:before="100" w:beforeAutospacing="1" w:after="100" w:afterAutospacing="1"/>
    </w:pPr>
    <w:rPr>
      <w:rFonts w:eastAsiaTheme="minorHAnsi"/>
      <w:lang w:eastAsia="lv-LV"/>
    </w:rPr>
  </w:style>
</w:styles>
</file>

<file path=word/webSettings.xml><?xml version="1.0" encoding="utf-8"?>
<w:webSettings xmlns:r="http://schemas.openxmlformats.org/officeDocument/2006/relationships" xmlns:w="http://schemas.openxmlformats.org/wordprocessingml/2006/main">
  <w:divs>
    <w:div w:id="1290355896">
      <w:bodyDiv w:val="1"/>
      <w:marLeft w:val="0"/>
      <w:marRight w:val="0"/>
      <w:marTop w:val="0"/>
      <w:marBottom w:val="0"/>
      <w:divBdr>
        <w:top w:val="none" w:sz="0" w:space="0" w:color="auto"/>
        <w:left w:val="none" w:sz="0" w:space="0" w:color="auto"/>
        <w:bottom w:val="none" w:sz="0" w:space="0" w:color="auto"/>
        <w:right w:val="none" w:sz="0" w:space="0" w:color="auto"/>
      </w:divBdr>
    </w:div>
    <w:div w:id="143124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olanta.Klisane@lnkc.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3DAB8E-2D89-4BF8-B03C-6A9F3116D619}">
  <ds:schemaRefs>
    <ds:schemaRef ds:uri="http://schemas.openxmlformats.org/officeDocument/2006/bibliography"/>
  </ds:schemaRefs>
</ds:datastoreItem>
</file>

<file path=customXml/itemProps2.xml><?xml version="1.0" encoding="utf-8"?>
<ds:datastoreItem xmlns:ds="http://schemas.openxmlformats.org/officeDocument/2006/customXml" ds:itemID="{96C90720-3F7D-4316-B75E-4F56A9CD2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6363</Words>
  <Characters>3628</Characters>
  <Application>Microsoft Office Word</Application>
  <DocSecurity>0</DocSecurity>
  <Lines>30</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sākotnējās ietekmes novērtējuma ziņojums (anotācija)</vt:lpstr>
      <vt:lpstr>sākotnējās ietekmes novērtējuma ziņojums (anotācija)</vt:lpstr>
    </vt:vector>
  </TitlesOfParts>
  <Company>Birojs</Company>
  <LinksUpToDate>false</LinksUpToDate>
  <CharactersWithSpaces>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27.decembra noteikumos Nr.1035 „Kārtība, kādā valsts finansē profesionālās ievirzes mākslu, mūzikas un dejas izglītības programmas”” sākotnējās ietekmes novērtējuma ziņojums (anotācija)</dc:title>
  <dc:subject>KMAnot_220814_MK1035</dc:subject>
  <dc:creator>J.Klišāne</dc:creator>
  <dc:description>J.Klišāne; Tālr.67322234; fakss 67227405
Jolanta.Klisane@lnkc.gov.lv
Ināra Karpova; Tālr.67228985; fakss 67227405         
Inara.karpova@lnkc.gov.lv</dc:description>
  <cp:lastModifiedBy>Dzintra Rozīte</cp:lastModifiedBy>
  <cp:revision>7</cp:revision>
  <cp:lastPrinted>2014-08-13T16:28:00Z</cp:lastPrinted>
  <dcterms:created xsi:type="dcterms:W3CDTF">2014-08-19T06:54:00Z</dcterms:created>
  <dcterms:modified xsi:type="dcterms:W3CDTF">2014-08-22T09:05:00Z</dcterms:modified>
</cp:coreProperties>
</file>