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5A" w:rsidRDefault="007665CF" w:rsidP="001D6556">
      <w:pPr>
        <w:jc w:val="center"/>
        <w:rPr>
          <w:b/>
          <w:sz w:val="28"/>
          <w:szCs w:val="28"/>
        </w:rPr>
      </w:pPr>
      <w:r w:rsidRPr="00D27A5A">
        <w:rPr>
          <w:b/>
          <w:sz w:val="28"/>
          <w:szCs w:val="28"/>
        </w:rPr>
        <w:t xml:space="preserve">Ministru kabineta </w:t>
      </w:r>
      <w:r w:rsidR="00C1735C" w:rsidRPr="00D27A5A">
        <w:rPr>
          <w:b/>
          <w:sz w:val="28"/>
          <w:szCs w:val="28"/>
        </w:rPr>
        <w:t>noteikumu</w:t>
      </w:r>
      <w:r w:rsidRPr="00D27A5A">
        <w:rPr>
          <w:b/>
          <w:sz w:val="28"/>
          <w:szCs w:val="28"/>
        </w:rPr>
        <w:t xml:space="preserve"> projekta </w:t>
      </w:r>
    </w:p>
    <w:p w:rsidR="009F30B3" w:rsidRPr="00D27A5A" w:rsidRDefault="007665CF" w:rsidP="001D6556">
      <w:pPr>
        <w:jc w:val="center"/>
        <w:rPr>
          <w:b/>
          <w:sz w:val="28"/>
          <w:szCs w:val="28"/>
        </w:rPr>
      </w:pPr>
      <w:r w:rsidRPr="00D27A5A">
        <w:rPr>
          <w:b/>
          <w:sz w:val="28"/>
          <w:szCs w:val="28"/>
        </w:rPr>
        <w:t>„</w:t>
      </w:r>
      <w:bookmarkStart w:id="0" w:name="OLE_LINK1"/>
      <w:bookmarkStart w:id="1" w:name="OLE_LINK2"/>
      <w:bookmarkStart w:id="2" w:name="OLE_LINK3"/>
      <w:bookmarkStart w:id="3" w:name="OLE_LINK4"/>
      <w:bookmarkStart w:id="4" w:name="OLE_LINK5"/>
      <w:r w:rsidR="00E84A18" w:rsidRPr="00D27A5A">
        <w:rPr>
          <w:b/>
          <w:sz w:val="28"/>
          <w:szCs w:val="28"/>
        </w:rPr>
        <w:t>Grozījumi Ministru kabineta 2003.gada 29.aprīļa noteikumos Nr.241 „Kultūras ministrijas nolikums”</w:t>
      </w:r>
      <w:bookmarkEnd w:id="0"/>
      <w:bookmarkEnd w:id="1"/>
      <w:bookmarkEnd w:id="2"/>
      <w:bookmarkEnd w:id="3"/>
      <w:bookmarkEnd w:id="4"/>
      <w:r w:rsidR="00E84A18" w:rsidRPr="00D27A5A">
        <w:rPr>
          <w:b/>
          <w:sz w:val="28"/>
          <w:szCs w:val="28"/>
        </w:rPr>
        <w:t>”</w:t>
      </w:r>
      <w:r w:rsidRPr="00D27A5A">
        <w:rPr>
          <w:b/>
          <w:sz w:val="28"/>
          <w:szCs w:val="28"/>
        </w:rPr>
        <w:t xml:space="preserve"> sākotnējās ietekmes novērtējuma ziņojums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36"/>
        <w:gridCol w:w="3106"/>
        <w:gridCol w:w="5443"/>
      </w:tblGrid>
      <w:tr w:rsidR="009A0027" w:rsidRPr="00D27A5A" w:rsidTr="00D27A5A">
        <w:trPr>
          <w:trHeight w:val="416"/>
        </w:trPr>
        <w:tc>
          <w:tcPr>
            <w:tcW w:w="5000" w:type="pct"/>
            <w:gridSpan w:val="3"/>
            <w:vAlign w:val="center"/>
          </w:tcPr>
          <w:p w:rsidR="00852042" w:rsidRPr="00D27A5A" w:rsidRDefault="00852042" w:rsidP="00C75FD9">
            <w:pPr>
              <w:pStyle w:val="naisnod"/>
              <w:spacing w:before="0" w:after="0"/>
              <w:rPr>
                <w:sz w:val="28"/>
                <w:szCs w:val="28"/>
              </w:rPr>
            </w:pPr>
            <w:r w:rsidRPr="00D27A5A">
              <w:rPr>
                <w:sz w:val="28"/>
                <w:szCs w:val="28"/>
              </w:rPr>
              <w:t>I</w:t>
            </w:r>
            <w:r w:rsidR="000941C5" w:rsidRPr="00D27A5A">
              <w:rPr>
                <w:sz w:val="28"/>
                <w:szCs w:val="28"/>
              </w:rPr>
              <w:t>.</w:t>
            </w:r>
            <w:r w:rsidRPr="00D27A5A">
              <w:rPr>
                <w:sz w:val="28"/>
                <w:szCs w:val="28"/>
              </w:rPr>
              <w:t xml:space="preserve"> Tiesību akta </w:t>
            </w:r>
            <w:r w:rsidR="002E3FF4" w:rsidRPr="00D27A5A">
              <w:rPr>
                <w:sz w:val="28"/>
                <w:szCs w:val="28"/>
              </w:rPr>
              <w:t xml:space="preserve">projekta </w:t>
            </w:r>
            <w:r w:rsidRPr="00D27A5A">
              <w:rPr>
                <w:sz w:val="28"/>
                <w:szCs w:val="28"/>
              </w:rPr>
              <w:t>izstrādes nepieciešamība</w:t>
            </w:r>
          </w:p>
        </w:tc>
      </w:tr>
      <w:tr w:rsidR="009A0027" w:rsidRPr="00D27A5A" w:rsidTr="00246C47">
        <w:trPr>
          <w:trHeight w:val="267"/>
        </w:trPr>
        <w:tc>
          <w:tcPr>
            <w:tcW w:w="346" w:type="pct"/>
          </w:tcPr>
          <w:p w:rsidR="00262E2B" w:rsidRPr="00D27A5A" w:rsidRDefault="00262E2B" w:rsidP="00C75FD9">
            <w:pPr>
              <w:pStyle w:val="naiskr"/>
              <w:spacing w:before="0" w:after="0"/>
              <w:jc w:val="center"/>
              <w:rPr>
                <w:sz w:val="28"/>
                <w:szCs w:val="28"/>
              </w:rPr>
            </w:pPr>
            <w:r w:rsidRPr="00D27A5A">
              <w:rPr>
                <w:sz w:val="28"/>
                <w:szCs w:val="28"/>
              </w:rPr>
              <w:t>1.</w:t>
            </w:r>
          </w:p>
        </w:tc>
        <w:tc>
          <w:tcPr>
            <w:tcW w:w="1691" w:type="pct"/>
          </w:tcPr>
          <w:p w:rsidR="00262E2B" w:rsidRPr="00D27A5A" w:rsidRDefault="002D7F54" w:rsidP="00C75FD9">
            <w:pPr>
              <w:pStyle w:val="naiskr"/>
              <w:spacing w:before="0" w:after="0"/>
              <w:rPr>
                <w:sz w:val="28"/>
                <w:szCs w:val="28"/>
              </w:rPr>
            </w:pPr>
            <w:r w:rsidRPr="00D27A5A">
              <w:rPr>
                <w:sz w:val="28"/>
                <w:szCs w:val="28"/>
              </w:rPr>
              <w:t>Pamatojums</w:t>
            </w:r>
          </w:p>
        </w:tc>
        <w:tc>
          <w:tcPr>
            <w:tcW w:w="2962" w:type="pct"/>
          </w:tcPr>
          <w:p w:rsidR="0052126B" w:rsidRPr="00E656CC" w:rsidRDefault="00246C47" w:rsidP="00E656CC">
            <w:pPr>
              <w:pStyle w:val="naiskr"/>
              <w:spacing w:before="0" w:after="0"/>
              <w:jc w:val="both"/>
              <w:rPr>
                <w:i/>
                <w:sz w:val="28"/>
                <w:szCs w:val="28"/>
              </w:rPr>
            </w:pPr>
            <w:r w:rsidRPr="00246C47">
              <w:rPr>
                <w:sz w:val="28"/>
                <w:szCs w:val="28"/>
              </w:rPr>
              <w:t>Mini</w:t>
            </w:r>
            <w:r>
              <w:rPr>
                <w:sz w:val="28"/>
                <w:szCs w:val="28"/>
              </w:rPr>
              <w:t>stru kabineta noteikumu projekts</w:t>
            </w:r>
            <w:r w:rsidRPr="00246C47">
              <w:rPr>
                <w:sz w:val="28"/>
                <w:szCs w:val="28"/>
              </w:rPr>
              <w:t xml:space="preserve"> „Grozījumi Ministru kabineta 2003.gada 29.aprīļa noteikumos Nr.241 „Kultūras ministrijas nolikums”” </w:t>
            </w:r>
            <w:r>
              <w:rPr>
                <w:sz w:val="28"/>
                <w:szCs w:val="28"/>
              </w:rPr>
              <w:t xml:space="preserve">(turpmāk – Projekts) izstrādāts, pamatojoties uz </w:t>
            </w:r>
            <w:r w:rsidRPr="00A50F40">
              <w:rPr>
                <w:sz w:val="28"/>
                <w:szCs w:val="28"/>
              </w:rPr>
              <w:t>Ministru kabineta 2014.</w:t>
            </w:r>
            <w:r>
              <w:rPr>
                <w:sz w:val="28"/>
                <w:szCs w:val="28"/>
              </w:rPr>
              <w:t xml:space="preserve">gada 22.aprīļa </w:t>
            </w:r>
            <w:r w:rsidRPr="00A50F40">
              <w:rPr>
                <w:sz w:val="28"/>
                <w:szCs w:val="28"/>
              </w:rPr>
              <w:t xml:space="preserve">sēdes protokollēmuma </w:t>
            </w:r>
            <w:r>
              <w:rPr>
                <w:sz w:val="28"/>
                <w:szCs w:val="28"/>
              </w:rPr>
              <w:t xml:space="preserve">(prot. </w:t>
            </w:r>
            <w:r w:rsidRPr="00A50F40">
              <w:rPr>
                <w:sz w:val="28"/>
                <w:szCs w:val="28"/>
              </w:rPr>
              <w:t>Nr.24 42.§</w:t>
            </w:r>
            <w:r>
              <w:rPr>
                <w:sz w:val="28"/>
                <w:szCs w:val="28"/>
              </w:rPr>
              <w:t>)</w:t>
            </w:r>
            <w:r w:rsidRPr="00A50F40">
              <w:rPr>
                <w:sz w:val="28"/>
                <w:szCs w:val="28"/>
              </w:rPr>
              <w:t xml:space="preserve"> 4.2</w:t>
            </w:r>
            <w:r>
              <w:rPr>
                <w:sz w:val="28"/>
                <w:szCs w:val="28"/>
              </w:rPr>
              <w:t xml:space="preserve">.apakšpunktu un ievērojot </w:t>
            </w:r>
            <w:r w:rsidRPr="00A50F40">
              <w:rPr>
                <w:sz w:val="28"/>
                <w:szCs w:val="28"/>
              </w:rPr>
              <w:t xml:space="preserve">Deklarācijas par Laimdotas Straujumas vadītā Ministru kabineta iecerēto darbību </w:t>
            </w:r>
            <w:r>
              <w:rPr>
                <w:sz w:val="28"/>
                <w:szCs w:val="28"/>
              </w:rPr>
              <w:t>137.punktā noteikto</w:t>
            </w:r>
            <w:r w:rsidRPr="00A50F40">
              <w:rPr>
                <w:sz w:val="28"/>
                <w:szCs w:val="28"/>
              </w:rPr>
              <w:t xml:space="preserve"> – </w:t>
            </w:r>
            <w:r w:rsidRPr="00A50F40">
              <w:rPr>
                <w:i/>
                <w:sz w:val="28"/>
                <w:szCs w:val="28"/>
              </w:rPr>
              <w:t>Izstrādāsim mediju politikas veidošanas institucionālo risinājumu.</w:t>
            </w:r>
            <w:r w:rsidR="0052126B">
              <w:rPr>
                <w:i/>
                <w:sz w:val="28"/>
                <w:szCs w:val="28"/>
              </w:rPr>
              <w:t xml:space="preserve"> </w:t>
            </w:r>
          </w:p>
        </w:tc>
      </w:tr>
      <w:tr w:rsidR="009A0027" w:rsidRPr="00D27A5A" w:rsidTr="00246C47">
        <w:trPr>
          <w:trHeight w:val="472"/>
        </w:trPr>
        <w:tc>
          <w:tcPr>
            <w:tcW w:w="346" w:type="pct"/>
          </w:tcPr>
          <w:p w:rsidR="00262E2B" w:rsidRPr="00D27A5A" w:rsidRDefault="00262E2B" w:rsidP="00C75FD9">
            <w:pPr>
              <w:pStyle w:val="naiskr"/>
              <w:spacing w:before="0" w:after="0"/>
              <w:jc w:val="center"/>
              <w:rPr>
                <w:sz w:val="28"/>
                <w:szCs w:val="28"/>
              </w:rPr>
            </w:pPr>
            <w:r w:rsidRPr="00D27A5A">
              <w:rPr>
                <w:sz w:val="28"/>
                <w:szCs w:val="28"/>
              </w:rPr>
              <w:t>2.</w:t>
            </w:r>
          </w:p>
        </w:tc>
        <w:tc>
          <w:tcPr>
            <w:tcW w:w="1691" w:type="pct"/>
          </w:tcPr>
          <w:p w:rsidR="00262E2B" w:rsidRPr="00D27A5A" w:rsidRDefault="003A3C61" w:rsidP="00C75FD9">
            <w:pPr>
              <w:pStyle w:val="naiskr"/>
              <w:spacing w:before="0" w:after="0"/>
              <w:rPr>
                <w:sz w:val="28"/>
                <w:szCs w:val="28"/>
              </w:rPr>
            </w:pPr>
            <w:r w:rsidRPr="00D27A5A">
              <w:rPr>
                <w:sz w:val="28"/>
                <w:szCs w:val="28"/>
              </w:rPr>
              <w:t>Pašreizējā situācija un problēmas, kuru risināšanai tiesību akta projekts izstrādāts, tiesiskā regulējuma mērķis un būtība</w:t>
            </w:r>
          </w:p>
        </w:tc>
        <w:tc>
          <w:tcPr>
            <w:tcW w:w="2962" w:type="pct"/>
          </w:tcPr>
          <w:p w:rsidR="00070BB4" w:rsidRPr="00D27A5A" w:rsidRDefault="00070BB4" w:rsidP="003266BB">
            <w:pPr>
              <w:pStyle w:val="Bezatstarpm"/>
              <w:jc w:val="both"/>
              <w:rPr>
                <w:rFonts w:ascii="Times New Roman" w:hAnsi="Times New Roman" w:cs="Times New Roman"/>
                <w:i/>
                <w:color w:val="auto"/>
                <w:sz w:val="28"/>
                <w:szCs w:val="28"/>
              </w:rPr>
            </w:pPr>
            <w:r w:rsidRPr="00D27A5A">
              <w:rPr>
                <w:rFonts w:ascii="Times New Roman" w:hAnsi="Times New Roman" w:cs="Times New Roman"/>
                <w:i/>
                <w:color w:val="auto"/>
                <w:sz w:val="28"/>
                <w:szCs w:val="28"/>
              </w:rPr>
              <w:t xml:space="preserve">Esošā situācija </w:t>
            </w:r>
          </w:p>
          <w:p w:rsidR="00F43A66" w:rsidRDefault="00F43A66" w:rsidP="003266BB">
            <w:pPr>
              <w:pStyle w:val="Bezatstarpm"/>
              <w:jc w:val="both"/>
              <w:rPr>
                <w:rFonts w:ascii="Times New Roman" w:hAnsi="Times New Roman" w:cs="Times New Roman"/>
                <w:color w:val="auto"/>
                <w:sz w:val="28"/>
                <w:szCs w:val="28"/>
              </w:rPr>
            </w:pPr>
            <w:r w:rsidRPr="00D27A5A">
              <w:rPr>
                <w:rFonts w:ascii="Times New Roman" w:hAnsi="Times New Roman" w:cs="Times New Roman"/>
                <w:color w:val="auto"/>
                <w:sz w:val="28"/>
                <w:szCs w:val="28"/>
              </w:rPr>
              <w:t>Latvijā nav institūcijas, kurai būtu koordinējoša loma</w:t>
            </w:r>
            <w:r w:rsidR="003354C3" w:rsidRPr="00D27A5A">
              <w:rPr>
                <w:rFonts w:ascii="Times New Roman" w:hAnsi="Times New Roman" w:cs="Times New Roman"/>
                <w:color w:val="auto"/>
                <w:sz w:val="28"/>
                <w:szCs w:val="28"/>
              </w:rPr>
              <w:t xml:space="preserve"> masu informācijas </w:t>
            </w:r>
            <w:r w:rsidR="00C41166" w:rsidRPr="00D27A5A">
              <w:rPr>
                <w:rFonts w:ascii="Times New Roman" w:hAnsi="Times New Roman" w:cs="Times New Roman"/>
                <w:color w:val="auto"/>
                <w:sz w:val="28"/>
                <w:szCs w:val="28"/>
              </w:rPr>
              <w:t xml:space="preserve">(plašsaziņas) </w:t>
            </w:r>
            <w:r w:rsidR="003354C3" w:rsidRPr="00D27A5A">
              <w:rPr>
                <w:rFonts w:ascii="Times New Roman" w:hAnsi="Times New Roman" w:cs="Times New Roman"/>
                <w:color w:val="auto"/>
                <w:sz w:val="28"/>
                <w:szCs w:val="28"/>
              </w:rPr>
              <w:t xml:space="preserve">līdzekļu </w:t>
            </w:r>
            <w:r w:rsidR="00C41166" w:rsidRPr="00D27A5A">
              <w:rPr>
                <w:rFonts w:ascii="Times New Roman" w:hAnsi="Times New Roman" w:cs="Times New Roman"/>
                <w:color w:val="auto"/>
                <w:sz w:val="28"/>
                <w:szCs w:val="28"/>
              </w:rPr>
              <w:t>jeb mediju</w:t>
            </w:r>
            <w:r w:rsidRPr="00D27A5A">
              <w:rPr>
                <w:rFonts w:ascii="Times New Roman" w:hAnsi="Times New Roman" w:cs="Times New Roman"/>
                <w:color w:val="auto"/>
                <w:sz w:val="28"/>
                <w:szCs w:val="28"/>
              </w:rPr>
              <w:t xml:space="preserve"> nozares politikas veidošanā un kura būtu atbildīga par nozares likumdošanas iniciatīvām </w:t>
            </w:r>
            <w:r w:rsidR="003354C3" w:rsidRPr="00D27A5A">
              <w:rPr>
                <w:rFonts w:ascii="Times New Roman" w:hAnsi="Times New Roman" w:cs="Times New Roman"/>
                <w:color w:val="auto"/>
                <w:sz w:val="28"/>
                <w:szCs w:val="28"/>
              </w:rPr>
              <w:t xml:space="preserve">un politikas plānošanu </w:t>
            </w:r>
            <w:r w:rsidRPr="00D27A5A">
              <w:rPr>
                <w:rFonts w:ascii="Times New Roman" w:hAnsi="Times New Roman" w:cs="Times New Roman"/>
                <w:color w:val="auto"/>
                <w:sz w:val="28"/>
                <w:szCs w:val="28"/>
              </w:rPr>
              <w:t xml:space="preserve">visā </w:t>
            </w:r>
            <w:r w:rsidR="00531247" w:rsidRPr="00D27A5A">
              <w:rPr>
                <w:rFonts w:ascii="Times New Roman" w:hAnsi="Times New Roman" w:cs="Times New Roman"/>
                <w:color w:val="auto"/>
                <w:sz w:val="28"/>
                <w:szCs w:val="28"/>
              </w:rPr>
              <w:t>masu informācijas līdzekļu (</w:t>
            </w:r>
            <w:r w:rsidRPr="00D27A5A">
              <w:rPr>
                <w:rFonts w:ascii="Times New Roman" w:hAnsi="Times New Roman" w:cs="Times New Roman"/>
                <w:color w:val="auto"/>
                <w:sz w:val="28"/>
                <w:szCs w:val="28"/>
              </w:rPr>
              <w:t>mediju</w:t>
            </w:r>
            <w:r w:rsidR="00531247" w:rsidRPr="00D27A5A">
              <w:rPr>
                <w:rFonts w:ascii="Times New Roman" w:hAnsi="Times New Roman" w:cs="Times New Roman"/>
                <w:color w:val="auto"/>
                <w:sz w:val="28"/>
                <w:szCs w:val="28"/>
              </w:rPr>
              <w:t>)</w:t>
            </w:r>
            <w:r w:rsidRPr="00D27A5A">
              <w:rPr>
                <w:rFonts w:ascii="Times New Roman" w:hAnsi="Times New Roman" w:cs="Times New Roman"/>
                <w:color w:val="auto"/>
                <w:sz w:val="28"/>
                <w:szCs w:val="28"/>
              </w:rPr>
              <w:t xml:space="preserve"> telpā kopumā. Latvija ir vienīgā E</w:t>
            </w:r>
            <w:r w:rsidR="003354C3" w:rsidRPr="00D27A5A">
              <w:rPr>
                <w:rFonts w:ascii="Times New Roman" w:hAnsi="Times New Roman" w:cs="Times New Roman"/>
                <w:color w:val="auto"/>
                <w:sz w:val="28"/>
                <w:szCs w:val="28"/>
              </w:rPr>
              <w:t xml:space="preserve">iropas </w:t>
            </w:r>
            <w:r w:rsidRPr="00D27A5A">
              <w:rPr>
                <w:rFonts w:ascii="Times New Roman" w:hAnsi="Times New Roman" w:cs="Times New Roman"/>
                <w:color w:val="auto"/>
                <w:sz w:val="28"/>
                <w:szCs w:val="28"/>
              </w:rPr>
              <w:t>S</w:t>
            </w:r>
            <w:r w:rsidR="003354C3" w:rsidRPr="00D27A5A">
              <w:rPr>
                <w:rFonts w:ascii="Times New Roman" w:hAnsi="Times New Roman" w:cs="Times New Roman"/>
                <w:color w:val="auto"/>
                <w:sz w:val="28"/>
                <w:szCs w:val="28"/>
              </w:rPr>
              <w:t>avienības</w:t>
            </w:r>
            <w:r w:rsidRPr="00D27A5A">
              <w:rPr>
                <w:rFonts w:ascii="Times New Roman" w:hAnsi="Times New Roman" w:cs="Times New Roman"/>
                <w:color w:val="auto"/>
                <w:sz w:val="28"/>
                <w:szCs w:val="28"/>
              </w:rPr>
              <w:t xml:space="preserve"> dalībvalsts, kurā izpildvarai nav atsevišķas, par mediju politikas veidošanu, atbildīgas institūcijas. Saskaņā ar nolikumu Kultūras ministrija tikai „uzrauga un koordinē Eiropas Kopienas tiesību ieviešanu audiovizuālās politikas jomā”. Elektronisko plašsaziņas līdzekļu likums nosaka, ka Nacionālā elektronisko plašsaziņas līdzekļu padome (</w:t>
            </w:r>
            <w:r w:rsidR="00103CCD" w:rsidRPr="00D27A5A">
              <w:rPr>
                <w:rFonts w:ascii="Times New Roman" w:hAnsi="Times New Roman" w:cs="Times New Roman"/>
                <w:sz w:val="28"/>
                <w:szCs w:val="28"/>
              </w:rPr>
              <w:t>turpmāk</w:t>
            </w:r>
            <w:r w:rsidR="00246C47">
              <w:rPr>
                <w:rFonts w:ascii="Times New Roman" w:hAnsi="Times New Roman" w:cs="Times New Roman"/>
                <w:sz w:val="28"/>
                <w:szCs w:val="28"/>
              </w:rPr>
              <w:t xml:space="preserve"> – </w:t>
            </w:r>
            <w:r w:rsidRPr="00D27A5A">
              <w:rPr>
                <w:rFonts w:ascii="Times New Roman" w:hAnsi="Times New Roman" w:cs="Times New Roman"/>
                <w:color w:val="auto"/>
                <w:sz w:val="28"/>
                <w:szCs w:val="28"/>
              </w:rPr>
              <w:t xml:space="preserve">NEPLP) „veicina Latvijas nacionālajām interesēm atbilstošu elektronisko plašsaziņas līdzekļu programmu politiku”, kā arī izstrādā nozares attīstības nacionālo stratēģiju. Lai gan NEPLP nav </w:t>
            </w:r>
            <w:r w:rsidRPr="00D27A5A">
              <w:rPr>
                <w:rFonts w:ascii="Times New Roman" w:eastAsia="MS Mincho" w:hAnsi="Times New Roman" w:cs="Times New Roman"/>
                <w:color w:val="auto"/>
                <w:sz w:val="28"/>
                <w:szCs w:val="28"/>
              </w:rPr>
              <w:t>likumdošanas iniciatīvas tiesību, tā veic lielu darbu likumu projektu izstrādes procesā, tai skaitā izstrādājot Elektronisko plašsaziņas līdzekļu likumu, taču vienlaikus jāņem vērā, ka NEPLP</w:t>
            </w:r>
            <w:r w:rsidRPr="00D27A5A">
              <w:rPr>
                <w:rFonts w:ascii="Times New Roman" w:hAnsi="Times New Roman" w:cs="Times New Roman"/>
                <w:color w:val="auto"/>
                <w:sz w:val="28"/>
                <w:szCs w:val="28"/>
              </w:rPr>
              <w:t xml:space="preserve"> </w:t>
            </w:r>
            <w:r w:rsidR="003354C3" w:rsidRPr="00D27A5A">
              <w:rPr>
                <w:rFonts w:ascii="Times New Roman" w:hAnsi="Times New Roman" w:cs="Times New Roman"/>
                <w:sz w:val="28"/>
                <w:szCs w:val="28"/>
              </w:rPr>
              <w:t xml:space="preserve">ir atbildīga tikai </w:t>
            </w:r>
            <w:r w:rsidRPr="00D27A5A">
              <w:rPr>
                <w:rFonts w:ascii="Times New Roman" w:hAnsi="Times New Roman" w:cs="Times New Roman"/>
                <w:color w:val="auto"/>
                <w:sz w:val="28"/>
                <w:szCs w:val="28"/>
              </w:rPr>
              <w:t>par elektronisko mediju jomu.</w:t>
            </w:r>
          </w:p>
          <w:p w:rsidR="00F43A66" w:rsidRPr="00D27A5A" w:rsidRDefault="00F43A66" w:rsidP="00103CCD">
            <w:pPr>
              <w:jc w:val="both"/>
              <w:rPr>
                <w:sz w:val="28"/>
                <w:szCs w:val="28"/>
              </w:rPr>
            </w:pPr>
            <w:r w:rsidRPr="00D27A5A">
              <w:rPr>
                <w:sz w:val="28"/>
                <w:szCs w:val="28"/>
              </w:rPr>
              <w:lastRenderedPageBreak/>
              <w:t xml:space="preserve">Mediju politikas izstrādi un īstenošanu ierosina un veic </w:t>
            </w:r>
            <w:r w:rsidR="0046042D" w:rsidRPr="00D27A5A">
              <w:rPr>
                <w:sz w:val="28"/>
                <w:szCs w:val="28"/>
              </w:rPr>
              <w:t xml:space="preserve">dažādas </w:t>
            </w:r>
            <w:r w:rsidRPr="00D27A5A">
              <w:rPr>
                <w:rFonts w:eastAsia="MS Mincho"/>
                <w:sz w:val="28"/>
                <w:szCs w:val="28"/>
              </w:rPr>
              <w:t xml:space="preserve">ministrijas un institūcijas, </w:t>
            </w:r>
            <w:r w:rsidRPr="00D27A5A">
              <w:rPr>
                <w:sz w:val="28"/>
                <w:szCs w:val="28"/>
              </w:rPr>
              <w:t>pēc piekritības vai nepieciešamības</w:t>
            </w:r>
            <w:r w:rsidRPr="00D27A5A">
              <w:rPr>
                <w:rFonts w:eastAsia="MS Mincho"/>
                <w:sz w:val="28"/>
                <w:szCs w:val="28"/>
              </w:rPr>
              <w:t xml:space="preserve"> izstrādājot un virzot tiesību aktu un likumu projektus </w:t>
            </w:r>
            <w:r w:rsidRPr="00D27A5A">
              <w:rPr>
                <w:sz w:val="28"/>
                <w:szCs w:val="28"/>
              </w:rPr>
              <w:t>atbilstoši to kompetencei, kā arī nodrošinot ekspertīzi par atbilstošajiem mediju aspektiem:</w:t>
            </w:r>
          </w:p>
          <w:p w:rsidR="00F43A66" w:rsidRPr="00D27A5A" w:rsidRDefault="00103CCD" w:rsidP="00103CCD">
            <w:pPr>
              <w:pStyle w:val="yiv0203084086msonormal"/>
              <w:spacing w:before="0" w:beforeAutospacing="0" w:after="0" w:afterAutospacing="0"/>
              <w:jc w:val="both"/>
              <w:rPr>
                <w:sz w:val="28"/>
                <w:szCs w:val="28"/>
              </w:rPr>
            </w:pPr>
            <w:r w:rsidRPr="00D27A5A">
              <w:rPr>
                <w:color w:val="000000"/>
                <w:sz w:val="28"/>
                <w:szCs w:val="28"/>
              </w:rPr>
              <w:t>- </w:t>
            </w:r>
            <w:r w:rsidR="00F43A66" w:rsidRPr="00D27A5A">
              <w:rPr>
                <w:color w:val="000000"/>
                <w:sz w:val="28"/>
                <w:szCs w:val="28"/>
              </w:rPr>
              <w:t>Satiksmes ministrija – nodarbojas ar elektronisko mediju izplatīšanas un pārraidīšanas tehnoloģiju attīstīšanu un nodrošināšanu;</w:t>
            </w:r>
          </w:p>
          <w:p w:rsidR="00F43A66" w:rsidRPr="00D27A5A" w:rsidRDefault="00103CCD" w:rsidP="00103CCD">
            <w:pPr>
              <w:pStyle w:val="yiv0203084086msonormal"/>
              <w:spacing w:before="0" w:beforeAutospacing="0" w:after="0" w:afterAutospacing="0"/>
              <w:jc w:val="both"/>
              <w:rPr>
                <w:sz w:val="28"/>
                <w:szCs w:val="28"/>
              </w:rPr>
            </w:pPr>
            <w:r w:rsidRPr="00D27A5A">
              <w:rPr>
                <w:color w:val="000000"/>
                <w:sz w:val="28"/>
                <w:szCs w:val="28"/>
              </w:rPr>
              <w:t>- </w:t>
            </w:r>
            <w:r w:rsidR="00F43A66" w:rsidRPr="00D27A5A">
              <w:rPr>
                <w:color w:val="000000"/>
                <w:sz w:val="28"/>
                <w:szCs w:val="28"/>
              </w:rPr>
              <w:t xml:space="preserve">Izglītības un zinātnes ministrija – </w:t>
            </w:r>
            <w:r w:rsidR="00694F09" w:rsidRPr="00D27A5A">
              <w:rPr>
                <w:color w:val="000000"/>
                <w:sz w:val="28"/>
                <w:szCs w:val="28"/>
              </w:rPr>
              <w:t xml:space="preserve">pārziņā </w:t>
            </w:r>
            <w:r w:rsidR="00F43A66" w:rsidRPr="00D27A5A">
              <w:rPr>
                <w:color w:val="000000"/>
                <w:sz w:val="28"/>
                <w:szCs w:val="28"/>
              </w:rPr>
              <w:t>mediju lietotprasmes (bērnu, skolēnu un pedagogu apmācība) veicināšana;</w:t>
            </w:r>
          </w:p>
          <w:p w:rsidR="00F43A66" w:rsidRPr="00D27A5A" w:rsidRDefault="00103CCD" w:rsidP="00103CCD">
            <w:pPr>
              <w:pStyle w:val="yiv0203084086msonormal"/>
              <w:spacing w:before="0" w:beforeAutospacing="0" w:after="0" w:afterAutospacing="0"/>
              <w:jc w:val="both"/>
              <w:rPr>
                <w:sz w:val="28"/>
                <w:szCs w:val="28"/>
              </w:rPr>
            </w:pPr>
            <w:r w:rsidRPr="00D27A5A">
              <w:rPr>
                <w:color w:val="000000"/>
                <w:sz w:val="28"/>
                <w:szCs w:val="28"/>
              </w:rPr>
              <w:t>- </w:t>
            </w:r>
            <w:r w:rsidR="00F43A66" w:rsidRPr="00D27A5A">
              <w:rPr>
                <w:color w:val="000000"/>
                <w:sz w:val="28"/>
                <w:szCs w:val="28"/>
              </w:rPr>
              <w:t>Tieslietu ministrija – at</w:t>
            </w:r>
            <w:r w:rsidR="00F43A66" w:rsidRPr="00D27A5A">
              <w:rPr>
                <w:sz w:val="28"/>
                <w:szCs w:val="28"/>
              </w:rPr>
              <w:t xml:space="preserve">bildīga par </w:t>
            </w:r>
            <w:r w:rsidR="00F43A66" w:rsidRPr="00D27A5A">
              <w:rPr>
                <w:color w:val="000000"/>
                <w:sz w:val="28"/>
                <w:szCs w:val="28"/>
              </w:rPr>
              <w:t>vispārējo tiesisko regulējuma nodrošināšanu;</w:t>
            </w:r>
          </w:p>
          <w:p w:rsidR="00F43A66" w:rsidRPr="00D27A5A" w:rsidRDefault="00103CCD" w:rsidP="00103CCD">
            <w:pPr>
              <w:pStyle w:val="yiv0203084086msonormal"/>
              <w:spacing w:before="0" w:beforeAutospacing="0" w:after="0" w:afterAutospacing="0"/>
              <w:jc w:val="both"/>
              <w:rPr>
                <w:sz w:val="28"/>
                <w:szCs w:val="28"/>
              </w:rPr>
            </w:pPr>
            <w:r w:rsidRPr="00D27A5A">
              <w:rPr>
                <w:color w:val="000000"/>
                <w:sz w:val="28"/>
                <w:szCs w:val="28"/>
              </w:rPr>
              <w:t>- </w:t>
            </w:r>
            <w:r w:rsidR="00F43A66" w:rsidRPr="00D27A5A">
              <w:rPr>
                <w:color w:val="000000"/>
                <w:sz w:val="28"/>
                <w:szCs w:val="28"/>
              </w:rPr>
              <w:t>Veselības ministrija, Labklājības ministrija, Patērētāju tiesību aizsardzības centrs, Sabiedrisko pakalpojumu regulēšanas komisija un Konkurences padome – iesaistītas patērētāju aizsardzības un godīgas komercprakses jautājumos;</w:t>
            </w:r>
          </w:p>
          <w:p w:rsidR="00103CCD" w:rsidRPr="00D27A5A" w:rsidRDefault="00103CCD" w:rsidP="00103CCD">
            <w:pPr>
              <w:pStyle w:val="yiv0203084086msonormal"/>
              <w:spacing w:before="0" w:beforeAutospacing="0" w:after="0" w:afterAutospacing="0"/>
              <w:jc w:val="both"/>
              <w:rPr>
                <w:sz w:val="28"/>
                <w:szCs w:val="28"/>
              </w:rPr>
            </w:pPr>
            <w:r w:rsidRPr="00D27A5A">
              <w:rPr>
                <w:sz w:val="28"/>
                <w:szCs w:val="28"/>
              </w:rPr>
              <w:t>- </w:t>
            </w:r>
            <w:r w:rsidR="00274C70" w:rsidRPr="00D27A5A">
              <w:rPr>
                <w:sz w:val="28"/>
                <w:szCs w:val="28"/>
              </w:rPr>
              <w:t xml:space="preserve">valsts akciju sabiedrība </w:t>
            </w:r>
            <w:r w:rsidR="00F43A66" w:rsidRPr="00D27A5A">
              <w:rPr>
                <w:sz w:val="28"/>
                <w:szCs w:val="28"/>
              </w:rPr>
              <w:t>„Elektroniskie sakari”</w:t>
            </w:r>
            <w:r w:rsidR="00E656CC">
              <w:rPr>
                <w:sz w:val="28"/>
                <w:szCs w:val="28"/>
              </w:rPr>
              <w:t> </w:t>
            </w:r>
            <w:r w:rsidR="00F43A66" w:rsidRPr="00D27A5A">
              <w:rPr>
                <w:color w:val="000000"/>
                <w:sz w:val="28"/>
                <w:szCs w:val="28"/>
              </w:rPr>
              <w:t xml:space="preserve">– </w:t>
            </w:r>
            <w:r w:rsidR="00F43A66" w:rsidRPr="00D27A5A">
              <w:rPr>
                <w:sz w:val="28"/>
                <w:szCs w:val="28"/>
              </w:rPr>
              <w:t>pārvalda radiofrekvenču spektru un numerāciju, lai nodrošinātu to racionālu un efektīvu izmantošanu;</w:t>
            </w:r>
          </w:p>
          <w:p w:rsidR="00F43A66" w:rsidRPr="00D27A5A" w:rsidRDefault="00103CCD" w:rsidP="00103CCD">
            <w:pPr>
              <w:pStyle w:val="yiv0203084086msonormal"/>
              <w:spacing w:before="0" w:beforeAutospacing="0" w:after="0" w:afterAutospacing="0"/>
              <w:jc w:val="both"/>
              <w:rPr>
                <w:sz w:val="28"/>
                <w:szCs w:val="28"/>
              </w:rPr>
            </w:pPr>
            <w:r w:rsidRPr="00D27A5A">
              <w:rPr>
                <w:sz w:val="28"/>
                <w:szCs w:val="28"/>
              </w:rPr>
              <w:t>- </w:t>
            </w:r>
            <w:r w:rsidR="00F43A66" w:rsidRPr="00D27A5A">
              <w:rPr>
                <w:color w:val="000000"/>
                <w:sz w:val="28"/>
                <w:szCs w:val="28"/>
              </w:rPr>
              <w:t>Drošības policija un Satversmes aizsardzības birojs – nacionālās drošības jautājumi.</w:t>
            </w:r>
          </w:p>
          <w:p w:rsidR="00BE2DB3" w:rsidRPr="00D27A5A" w:rsidRDefault="00BE2DB3" w:rsidP="00103CCD">
            <w:pPr>
              <w:jc w:val="both"/>
              <w:rPr>
                <w:sz w:val="28"/>
                <w:szCs w:val="28"/>
              </w:rPr>
            </w:pPr>
          </w:p>
          <w:p w:rsidR="00F43A66" w:rsidRPr="00D27A5A" w:rsidRDefault="00F43A66" w:rsidP="00103CCD">
            <w:pPr>
              <w:jc w:val="both"/>
              <w:rPr>
                <w:sz w:val="28"/>
                <w:szCs w:val="28"/>
              </w:rPr>
            </w:pPr>
            <w:r w:rsidRPr="00D27A5A">
              <w:rPr>
                <w:sz w:val="28"/>
                <w:szCs w:val="28"/>
              </w:rPr>
              <w:t>Mediju politikas sadrumstalotība neļauj nozarē izvirzīt un īstenot valsts un nācijas pastāvēšanai nozīmīgus un saskaņotus stratēģiskos mērķus. Nosakot valstī vienu institūciju par atbildīgu mediju politikas izstrādē, mediju politika tiks veidota un attīstīta kā vienots veselums, ņemot vērā visu ieinteresēto pušu viedokļus un sadarbojoties ar tām. Koncentrējot nozares politik</w:t>
            </w:r>
            <w:r w:rsidR="00EB67BA" w:rsidRPr="00D27A5A">
              <w:rPr>
                <w:sz w:val="28"/>
                <w:szCs w:val="28"/>
              </w:rPr>
              <w:t>as izstrādi vienā iestādē, tiks</w:t>
            </w:r>
            <w:r w:rsidRPr="00D27A5A">
              <w:rPr>
                <w:sz w:val="28"/>
                <w:szCs w:val="28"/>
              </w:rPr>
              <w:t xml:space="preserve"> sagatavots un attīstīts ekspertu resurss, kā arī uz skaidriem nosacījumiem tiktu iesaistīti jau esošie nozares eksperti, kuri ir ieinteresēti un gatavi dot ieguldījumu nozares attīstībai.</w:t>
            </w:r>
          </w:p>
          <w:p w:rsidR="00103CCD" w:rsidRDefault="00103CCD" w:rsidP="00801BB4">
            <w:pPr>
              <w:jc w:val="both"/>
              <w:rPr>
                <w:sz w:val="28"/>
                <w:szCs w:val="28"/>
              </w:rPr>
            </w:pPr>
          </w:p>
          <w:p w:rsidR="00041E1E" w:rsidRPr="00D27A5A" w:rsidRDefault="00041E1E" w:rsidP="00801BB4">
            <w:pPr>
              <w:jc w:val="both"/>
              <w:rPr>
                <w:i/>
                <w:sz w:val="28"/>
                <w:szCs w:val="28"/>
              </w:rPr>
            </w:pPr>
            <w:r w:rsidRPr="00D27A5A">
              <w:rPr>
                <w:i/>
                <w:sz w:val="28"/>
                <w:szCs w:val="28"/>
              </w:rPr>
              <w:lastRenderedPageBreak/>
              <w:t>Eiropas pieredze</w:t>
            </w:r>
          </w:p>
          <w:p w:rsidR="00070BB4" w:rsidRPr="00D27A5A" w:rsidRDefault="00522B6A" w:rsidP="00801BB4">
            <w:pPr>
              <w:pStyle w:val="Virsraksts1"/>
              <w:spacing w:before="0"/>
              <w:jc w:val="both"/>
              <w:rPr>
                <w:rFonts w:ascii="Times New Roman" w:hAnsi="Times New Roman" w:cs="Times New Roman"/>
                <w:b w:val="0"/>
                <w:color w:val="auto"/>
                <w:sz w:val="28"/>
              </w:rPr>
            </w:pPr>
            <w:r w:rsidRPr="00D27A5A">
              <w:rPr>
                <w:rFonts w:ascii="Times New Roman" w:hAnsi="Times New Roman" w:cs="Times New Roman"/>
                <w:b w:val="0"/>
                <w:color w:val="auto"/>
                <w:sz w:val="28"/>
              </w:rPr>
              <w:t xml:space="preserve">Apskatot mediju politikas veidošanas pieredzi Eiropā, secināms, ka </w:t>
            </w:r>
            <w:r w:rsidR="00694F09">
              <w:rPr>
                <w:rFonts w:ascii="Times New Roman" w:hAnsi="Times New Roman" w:cs="Times New Roman"/>
                <w:b w:val="0"/>
                <w:color w:val="auto"/>
                <w:sz w:val="28"/>
              </w:rPr>
              <w:t>19 (</w:t>
            </w:r>
            <w:r w:rsidR="00801BB4" w:rsidRPr="00D27A5A">
              <w:rPr>
                <w:rFonts w:ascii="Times New Roman" w:hAnsi="Times New Roman" w:cs="Times New Roman"/>
                <w:b w:val="0"/>
                <w:color w:val="auto"/>
                <w:sz w:val="28"/>
              </w:rPr>
              <w:t>d</w:t>
            </w:r>
            <w:r w:rsidRPr="00D27A5A">
              <w:rPr>
                <w:rFonts w:ascii="Times New Roman" w:hAnsi="Times New Roman" w:cs="Times New Roman"/>
                <w:b w:val="0"/>
                <w:color w:val="auto"/>
                <w:sz w:val="28"/>
              </w:rPr>
              <w:t>eviņpadsmit</w:t>
            </w:r>
            <w:r w:rsidR="00694F09">
              <w:rPr>
                <w:rFonts w:ascii="Times New Roman" w:hAnsi="Times New Roman" w:cs="Times New Roman"/>
                <w:b w:val="0"/>
                <w:color w:val="auto"/>
                <w:sz w:val="28"/>
              </w:rPr>
              <w:t>)</w:t>
            </w:r>
            <w:r w:rsidRPr="00D27A5A">
              <w:rPr>
                <w:rFonts w:ascii="Times New Roman" w:hAnsi="Times New Roman" w:cs="Times New Roman"/>
                <w:b w:val="0"/>
                <w:color w:val="auto"/>
                <w:sz w:val="28"/>
              </w:rPr>
              <w:t xml:space="preserve"> valstīs no </w:t>
            </w:r>
            <w:r w:rsidR="00694F09">
              <w:rPr>
                <w:rFonts w:ascii="Times New Roman" w:hAnsi="Times New Roman" w:cs="Times New Roman"/>
                <w:b w:val="0"/>
                <w:color w:val="auto"/>
                <w:sz w:val="28"/>
              </w:rPr>
              <w:t>31 (</w:t>
            </w:r>
            <w:r w:rsidRPr="00D27A5A">
              <w:rPr>
                <w:rFonts w:ascii="Times New Roman" w:hAnsi="Times New Roman" w:cs="Times New Roman"/>
                <w:b w:val="0"/>
                <w:color w:val="auto"/>
                <w:sz w:val="28"/>
              </w:rPr>
              <w:t>trīsdesmit vienas</w:t>
            </w:r>
            <w:r w:rsidR="00694F09">
              <w:rPr>
                <w:rFonts w:ascii="Times New Roman" w:hAnsi="Times New Roman" w:cs="Times New Roman"/>
                <w:b w:val="0"/>
                <w:color w:val="auto"/>
                <w:sz w:val="28"/>
              </w:rPr>
              <w:t>)</w:t>
            </w:r>
            <w:r w:rsidRPr="00D27A5A">
              <w:rPr>
                <w:rFonts w:ascii="Times New Roman" w:hAnsi="Times New Roman" w:cs="Times New Roman"/>
                <w:b w:val="0"/>
                <w:color w:val="auto"/>
                <w:sz w:val="28"/>
              </w:rPr>
              <w:t xml:space="preserve"> Eiropas Ekonomiskās zonas dalībvalsts mediju politika ir tās ministrijas kompetencē, kura pilnīgi vai daļēji ir atbildīga par kultūras jomu; </w:t>
            </w:r>
            <w:r w:rsidR="00694F09">
              <w:rPr>
                <w:rFonts w:ascii="Times New Roman" w:hAnsi="Times New Roman" w:cs="Times New Roman"/>
                <w:b w:val="0"/>
                <w:color w:val="auto"/>
                <w:sz w:val="28"/>
              </w:rPr>
              <w:t>4 (</w:t>
            </w:r>
            <w:r w:rsidRPr="00D27A5A">
              <w:rPr>
                <w:rFonts w:ascii="Times New Roman" w:hAnsi="Times New Roman" w:cs="Times New Roman"/>
                <w:b w:val="0"/>
                <w:color w:val="auto"/>
                <w:sz w:val="28"/>
              </w:rPr>
              <w:t>četrās</w:t>
            </w:r>
            <w:r w:rsidR="00694F09">
              <w:rPr>
                <w:rFonts w:ascii="Times New Roman" w:hAnsi="Times New Roman" w:cs="Times New Roman"/>
                <w:b w:val="0"/>
                <w:color w:val="auto"/>
                <w:sz w:val="28"/>
              </w:rPr>
              <w:t>)</w:t>
            </w:r>
            <w:r w:rsidRPr="00D27A5A">
              <w:rPr>
                <w:rFonts w:ascii="Times New Roman" w:hAnsi="Times New Roman" w:cs="Times New Roman"/>
                <w:b w:val="0"/>
                <w:color w:val="auto"/>
                <w:sz w:val="28"/>
              </w:rPr>
              <w:t xml:space="preserve"> dalībvalstīs atbildīgā ir Sakaru vai Transporta ministrija, bet </w:t>
            </w:r>
            <w:r w:rsidR="00694F09">
              <w:rPr>
                <w:rFonts w:ascii="Times New Roman" w:hAnsi="Times New Roman" w:cs="Times New Roman"/>
                <w:b w:val="0"/>
                <w:color w:val="auto"/>
                <w:sz w:val="28"/>
              </w:rPr>
              <w:t>8 (</w:t>
            </w:r>
            <w:r w:rsidRPr="00D27A5A">
              <w:rPr>
                <w:rFonts w:ascii="Times New Roman" w:hAnsi="Times New Roman" w:cs="Times New Roman"/>
                <w:b w:val="0"/>
                <w:color w:val="auto"/>
                <w:sz w:val="28"/>
              </w:rPr>
              <w:t>astoņās</w:t>
            </w:r>
            <w:r w:rsidR="00694F09">
              <w:rPr>
                <w:rFonts w:ascii="Times New Roman" w:hAnsi="Times New Roman" w:cs="Times New Roman"/>
                <w:b w:val="0"/>
                <w:color w:val="auto"/>
                <w:sz w:val="28"/>
              </w:rPr>
              <w:t>)</w:t>
            </w:r>
            <w:r w:rsidRPr="00D27A5A">
              <w:rPr>
                <w:rFonts w:ascii="Times New Roman" w:hAnsi="Times New Roman" w:cs="Times New Roman"/>
                <w:b w:val="0"/>
                <w:color w:val="auto"/>
                <w:sz w:val="28"/>
              </w:rPr>
              <w:t xml:space="preserve"> – šī atbildība piešķirta citai ministrijai vai tai ekvivalentai izpildvaras iestādei. Vācijā par mediju politiku atbildīga ir katra atsevišķā federālā zeme un politika tiek saskaņota starpzemju līgumos. Beļģijā katras kopienas (flāmu, franču un vāciešu) izpildvara veido savu mediju politiku. </w:t>
            </w:r>
          </w:p>
          <w:p w:rsidR="00070BB4" w:rsidRPr="00D27A5A" w:rsidRDefault="00070BB4" w:rsidP="00801BB4">
            <w:pPr>
              <w:pStyle w:val="Virsraksts1"/>
              <w:spacing w:before="0"/>
              <w:jc w:val="both"/>
              <w:rPr>
                <w:rFonts w:ascii="Times New Roman" w:hAnsi="Times New Roman" w:cs="Times New Roman"/>
                <w:b w:val="0"/>
                <w:color w:val="auto"/>
                <w:sz w:val="28"/>
              </w:rPr>
            </w:pPr>
          </w:p>
          <w:p w:rsidR="00801BB4" w:rsidRPr="00D27A5A" w:rsidRDefault="00801BB4" w:rsidP="00801BB4">
            <w:pPr>
              <w:pStyle w:val="Virsraksts1"/>
              <w:spacing w:before="0"/>
              <w:jc w:val="both"/>
              <w:rPr>
                <w:rFonts w:ascii="Times New Roman" w:hAnsi="Times New Roman" w:cs="Times New Roman"/>
                <w:b w:val="0"/>
                <w:i/>
                <w:color w:val="auto"/>
                <w:sz w:val="28"/>
              </w:rPr>
            </w:pPr>
            <w:r w:rsidRPr="00D27A5A">
              <w:rPr>
                <w:rFonts w:ascii="Times New Roman" w:hAnsi="Times New Roman" w:cs="Times New Roman"/>
                <w:b w:val="0"/>
                <w:i/>
                <w:color w:val="auto"/>
                <w:sz w:val="28"/>
              </w:rPr>
              <w:t>Mediju politikas struktūrvienības uzdevumi un funkcijas</w:t>
            </w:r>
          </w:p>
          <w:p w:rsidR="00801BB4" w:rsidRPr="00D27A5A" w:rsidRDefault="00801BB4" w:rsidP="00801BB4">
            <w:pPr>
              <w:jc w:val="both"/>
              <w:rPr>
                <w:sz w:val="28"/>
                <w:szCs w:val="28"/>
              </w:rPr>
            </w:pPr>
            <w:r w:rsidRPr="00D27A5A">
              <w:rPr>
                <w:sz w:val="28"/>
                <w:szCs w:val="28"/>
              </w:rPr>
              <w:t>Latvijā ir nepieciešama institucionāla koncentrēšanās uz informācijas vides attīstību (ietverot mediju politiku un medijus), tostarp Latvijas normatīvo aktu izvērtēšana kompleksi ar E</w:t>
            </w:r>
            <w:r w:rsidR="00877C10" w:rsidRPr="00D27A5A">
              <w:rPr>
                <w:sz w:val="28"/>
                <w:szCs w:val="28"/>
              </w:rPr>
              <w:t xml:space="preserve">iropas Savienības prasībām, Eiropas Cilvēktiesību tiesas </w:t>
            </w:r>
            <w:r w:rsidR="00D32417" w:rsidRPr="00D27A5A">
              <w:rPr>
                <w:sz w:val="28"/>
                <w:szCs w:val="28"/>
              </w:rPr>
              <w:t xml:space="preserve">spriedumiem u.tml. </w:t>
            </w:r>
            <w:r w:rsidRPr="00D27A5A">
              <w:rPr>
                <w:sz w:val="28"/>
                <w:szCs w:val="28"/>
              </w:rPr>
              <w:t>Mediju politikai jānodrošina kvalitatīvas un daudzveidīgas mediju vides veidošanās, kas sekmē vārda brīvību, t.i. cilvēka pamattiesības saņemt un nodot informāciju, mediju neatkarību un īpašumtiesību caurspīdīgumu, pieejamību, kvalitatīvu mediju piedāvājumu un ž</w:t>
            </w:r>
            <w:r w:rsidR="008D3351">
              <w:rPr>
                <w:sz w:val="28"/>
                <w:szCs w:val="28"/>
              </w:rPr>
              <w:t xml:space="preserve">urnālistiku un citus aspektus – </w:t>
            </w:r>
            <w:r w:rsidRPr="00D27A5A">
              <w:rPr>
                <w:sz w:val="28"/>
                <w:szCs w:val="28"/>
              </w:rPr>
              <w:t xml:space="preserve">tie ir vitāli nepieciešami sabiedrības attīstībai un integritātei. </w:t>
            </w:r>
          </w:p>
          <w:p w:rsidR="00801BB4" w:rsidRPr="00D27A5A" w:rsidRDefault="00801BB4" w:rsidP="00801BB4">
            <w:pPr>
              <w:jc w:val="both"/>
              <w:rPr>
                <w:sz w:val="28"/>
                <w:szCs w:val="28"/>
              </w:rPr>
            </w:pPr>
          </w:p>
          <w:p w:rsidR="00801BB4" w:rsidRPr="00D27A5A" w:rsidRDefault="00801BB4" w:rsidP="00801BB4">
            <w:pPr>
              <w:jc w:val="both"/>
              <w:rPr>
                <w:sz w:val="28"/>
                <w:szCs w:val="28"/>
              </w:rPr>
            </w:pPr>
            <w:r w:rsidRPr="00D27A5A">
              <w:rPr>
                <w:sz w:val="28"/>
                <w:szCs w:val="28"/>
              </w:rPr>
              <w:t>Vienlaicīgi mediju politikai jānodrošina līdzsvarota un ilgtspējīga mediju tirgus attīstība Latv</w:t>
            </w:r>
            <w:r w:rsidR="008D3351">
              <w:rPr>
                <w:sz w:val="28"/>
                <w:szCs w:val="28"/>
              </w:rPr>
              <w:t xml:space="preserve">ijas valsts interesēs, kā arī – </w:t>
            </w:r>
            <w:r w:rsidRPr="00D27A5A">
              <w:rPr>
                <w:sz w:val="28"/>
                <w:szCs w:val="28"/>
              </w:rPr>
              <w:t xml:space="preserve">Latvijas informatīvās </w:t>
            </w:r>
            <w:r w:rsidR="00377007">
              <w:rPr>
                <w:sz w:val="28"/>
                <w:szCs w:val="28"/>
              </w:rPr>
              <w:t>vides atbilstība</w:t>
            </w:r>
            <w:r w:rsidRPr="00D27A5A">
              <w:rPr>
                <w:sz w:val="28"/>
                <w:szCs w:val="28"/>
              </w:rPr>
              <w:t xml:space="preserve"> Eiropas tiesiskajam regulējumam, pieņemtajiem standartiem un Eiropas Cilvēktiesību tiesas judikatūrai. </w:t>
            </w:r>
            <w:r w:rsidRPr="00D27A5A">
              <w:rPr>
                <w:rFonts w:eastAsiaTheme="minorHAnsi"/>
                <w:sz w:val="28"/>
                <w:szCs w:val="28"/>
                <w:lang w:eastAsia="en-US"/>
              </w:rPr>
              <w:t xml:space="preserve">Skatoties no </w:t>
            </w:r>
            <w:r w:rsidRPr="00D27A5A">
              <w:rPr>
                <w:bCs/>
                <w:sz w:val="28"/>
                <w:szCs w:val="28"/>
              </w:rPr>
              <w:t xml:space="preserve">Latvijas saistībām un līdzdalības ES un EP audiovizuālās politikas jautājumos, Latvijas mediju politikai jāveicina </w:t>
            </w:r>
            <w:r w:rsidRPr="00D27A5A">
              <w:rPr>
                <w:bCs/>
                <w:sz w:val="28"/>
                <w:szCs w:val="28"/>
              </w:rPr>
              <w:lastRenderedPageBreak/>
              <w:t xml:space="preserve">Eiropas kopējos dokumentos nosprausto mērķu sasniegšana un politikas īstenošana – t.sk. </w:t>
            </w:r>
            <w:r w:rsidRPr="00D27A5A">
              <w:rPr>
                <w:sz w:val="28"/>
                <w:szCs w:val="28"/>
              </w:rPr>
              <w:t>ES Zaļā grāmata „Gatavojoties pilnīgi konverģētai audiovizuālajai pasaulei”, ES Augsta līmeņa grupas ziņojums un rekomendācijas, Eiropas Audiovizuālo mediju politikas direktīvas izpilde (Eiropas audiovizuālie darbi, mediju lietotprasme u.c.), Latvijas mediju telpas vispārējā atbilstība Eiropas normām un standartiem, Latvijas prezidentūras nodrošināšana ES Padomē.</w:t>
            </w:r>
          </w:p>
          <w:p w:rsidR="00801BB4" w:rsidRPr="00D27A5A" w:rsidRDefault="00801BB4" w:rsidP="00801BB4">
            <w:pPr>
              <w:jc w:val="both"/>
              <w:rPr>
                <w:bCs/>
                <w:sz w:val="28"/>
                <w:szCs w:val="28"/>
              </w:rPr>
            </w:pPr>
          </w:p>
          <w:p w:rsidR="00801BB4" w:rsidRPr="00D27A5A" w:rsidRDefault="00801BB4" w:rsidP="00801BB4">
            <w:pPr>
              <w:jc w:val="both"/>
              <w:rPr>
                <w:bCs/>
                <w:sz w:val="28"/>
                <w:szCs w:val="28"/>
              </w:rPr>
            </w:pPr>
            <w:r w:rsidRPr="00D27A5A">
              <w:rPr>
                <w:bCs/>
                <w:sz w:val="28"/>
                <w:szCs w:val="28"/>
              </w:rPr>
              <w:t>Veidojot Latvijas mediju politiku, jāņem vērā specifiskie mediju jautājumi, kas jāskata kompleksi:</w:t>
            </w:r>
          </w:p>
          <w:p w:rsidR="00801BB4" w:rsidRPr="00D13984" w:rsidRDefault="00D13984" w:rsidP="00D13984">
            <w:pPr>
              <w:snapToGrid w:val="0"/>
              <w:contextualSpacing/>
              <w:jc w:val="both"/>
              <w:rPr>
                <w:sz w:val="28"/>
                <w:szCs w:val="28"/>
              </w:rPr>
            </w:pPr>
            <w:r>
              <w:rPr>
                <w:sz w:val="28"/>
                <w:szCs w:val="28"/>
              </w:rPr>
              <w:t>- </w:t>
            </w:r>
            <w:r w:rsidR="00801BB4" w:rsidRPr="00D13984">
              <w:rPr>
                <w:sz w:val="28"/>
                <w:szCs w:val="28"/>
              </w:rPr>
              <w:t>mediju attīstība: sabiedriskā medija koncepcija, mediju konverģences, mediju koncentrācijas jautājumi un valsts atbalsts medijiem;</w:t>
            </w:r>
          </w:p>
          <w:p w:rsidR="00801BB4" w:rsidRPr="00D13984" w:rsidRDefault="00D13984" w:rsidP="00D13984">
            <w:pPr>
              <w:snapToGrid w:val="0"/>
              <w:jc w:val="both"/>
              <w:rPr>
                <w:sz w:val="28"/>
                <w:szCs w:val="28"/>
              </w:rPr>
            </w:pPr>
            <w:r>
              <w:rPr>
                <w:sz w:val="28"/>
                <w:szCs w:val="28"/>
              </w:rPr>
              <w:t>- </w:t>
            </w:r>
            <w:r w:rsidR="00801BB4" w:rsidRPr="00D13984">
              <w:rPr>
                <w:sz w:val="28"/>
                <w:szCs w:val="28"/>
              </w:rPr>
              <w:t>mediju normatīvā bāze: mediju tiesiskā regulējuma audits, rakstītās preses, interneta un sociālo mediju tiesiskais regulējums (regulācija, koregulācija, pašregulācija);</w:t>
            </w:r>
          </w:p>
          <w:p w:rsidR="00F314E8" w:rsidRPr="00D13984" w:rsidRDefault="00D13984" w:rsidP="00D13984">
            <w:pPr>
              <w:snapToGrid w:val="0"/>
              <w:jc w:val="both"/>
              <w:rPr>
                <w:sz w:val="28"/>
                <w:szCs w:val="28"/>
              </w:rPr>
            </w:pPr>
            <w:r>
              <w:rPr>
                <w:sz w:val="28"/>
                <w:szCs w:val="28"/>
              </w:rPr>
              <w:t>- </w:t>
            </w:r>
            <w:r w:rsidR="00801BB4" w:rsidRPr="00D13984">
              <w:rPr>
                <w:sz w:val="28"/>
                <w:szCs w:val="28"/>
              </w:rPr>
              <w:t>mediju politikas analīze un attīstība: valsts informatīvās un publiskās telpas un mediju politikas koncepcija, Eiropas un Latvijas satura veicināšana, mediju loma starpkultūru dialoga un sabiedrības integrācijas sekmēšanā, mediju plurālisms, mediju īpašumtiesību caurredzamība (t.sk. politiskās un ekonomiskās ietekmes jautājums nacionālajā un reģionu līmeņos), mediju pārskatatbildība, mediju lietotprasme, piekļuve medijiem cilvēkiem ar redzes un/vai dzirdes traucējumiem, retranslēto ārzemju kanālu ietekme uz vietējo tirgu.</w:t>
            </w:r>
          </w:p>
          <w:p w:rsidR="00D60A48" w:rsidRPr="00D27A5A" w:rsidRDefault="00D60A48" w:rsidP="00D60A48">
            <w:pPr>
              <w:snapToGrid w:val="0"/>
              <w:jc w:val="both"/>
              <w:rPr>
                <w:sz w:val="28"/>
                <w:szCs w:val="28"/>
              </w:rPr>
            </w:pPr>
          </w:p>
          <w:p w:rsidR="00D32417" w:rsidRPr="00D27A5A" w:rsidRDefault="008D3351" w:rsidP="00D60A48">
            <w:pPr>
              <w:snapToGrid w:val="0"/>
              <w:jc w:val="both"/>
              <w:rPr>
                <w:i/>
                <w:sz w:val="28"/>
                <w:szCs w:val="28"/>
              </w:rPr>
            </w:pPr>
            <w:r>
              <w:rPr>
                <w:i/>
                <w:sz w:val="28"/>
                <w:szCs w:val="28"/>
              </w:rPr>
              <w:t>P</w:t>
            </w:r>
            <w:r w:rsidR="00D32417" w:rsidRPr="00D27A5A">
              <w:rPr>
                <w:i/>
                <w:sz w:val="28"/>
                <w:szCs w:val="28"/>
              </w:rPr>
              <w:t>rojekta būtība</w:t>
            </w:r>
          </w:p>
          <w:p w:rsidR="00D60A48" w:rsidRPr="00D27A5A" w:rsidRDefault="00D60A48" w:rsidP="00D60A48">
            <w:pPr>
              <w:snapToGrid w:val="0"/>
              <w:jc w:val="both"/>
              <w:rPr>
                <w:sz w:val="28"/>
                <w:szCs w:val="28"/>
              </w:rPr>
            </w:pPr>
            <w:r w:rsidRPr="00D27A5A">
              <w:rPr>
                <w:sz w:val="28"/>
                <w:szCs w:val="28"/>
              </w:rPr>
              <w:t xml:space="preserve">Ņemot vērā iepriekš minēto, kā arī </w:t>
            </w:r>
            <w:r w:rsidR="008D3351" w:rsidRPr="00A50F40">
              <w:rPr>
                <w:sz w:val="28"/>
                <w:szCs w:val="28"/>
              </w:rPr>
              <w:t xml:space="preserve"> Ministru kabineta 2014.gada </w:t>
            </w:r>
            <w:r w:rsidR="008D3351">
              <w:rPr>
                <w:sz w:val="28"/>
                <w:szCs w:val="28"/>
              </w:rPr>
              <w:t>22.aprīļa sēdē</w:t>
            </w:r>
            <w:r w:rsidR="008D3351" w:rsidRPr="00A50F40">
              <w:rPr>
                <w:sz w:val="28"/>
                <w:szCs w:val="28"/>
              </w:rPr>
              <w:t xml:space="preserve"> doto uzdevumu </w:t>
            </w:r>
            <w:r w:rsidR="00E931D9" w:rsidRPr="00D27A5A">
              <w:rPr>
                <w:sz w:val="28"/>
                <w:szCs w:val="28"/>
              </w:rPr>
              <w:t>(anotācijas I sadaļas 1.punkts)</w:t>
            </w:r>
            <w:r w:rsidRPr="00D27A5A">
              <w:rPr>
                <w:sz w:val="28"/>
                <w:szCs w:val="28"/>
              </w:rPr>
              <w:t xml:space="preserve">, </w:t>
            </w:r>
            <w:r w:rsidR="008D3351">
              <w:rPr>
                <w:sz w:val="28"/>
                <w:szCs w:val="28"/>
              </w:rPr>
              <w:t>P</w:t>
            </w:r>
            <w:r w:rsidRPr="00D27A5A">
              <w:rPr>
                <w:sz w:val="28"/>
                <w:szCs w:val="28"/>
              </w:rPr>
              <w:t>rojekts paredz papildināt Kultūras ministrijas funkcijas un uzdevumus attiecībā uz tās kompetenci masu informācijas līdzekļu</w:t>
            </w:r>
            <w:r w:rsidR="00E931D9" w:rsidRPr="00D27A5A">
              <w:rPr>
                <w:sz w:val="28"/>
                <w:szCs w:val="28"/>
              </w:rPr>
              <w:t xml:space="preserve"> </w:t>
            </w:r>
            <w:r w:rsidR="00E931D9" w:rsidRPr="00D27A5A">
              <w:rPr>
                <w:sz w:val="28"/>
                <w:szCs w:val="28"/>
              </w:rPr>
              <w:lastRenderedPageBreak/>
              <w:t>(mediju</w:t>
            </w:r>
            <w:r w:rsidRPr="00D27A5A">
              <w:rPr>
                <w:sz w:val="28"/>
                <w:szCs w:val="28"/>
              </w:rPr>
              <w:t>) politikas jom</w:t>
            </w:r>
            <w:r w:rsidR="007F204C" w:rsidRPr="00D27A5A">
              <w:rPr>
                <w:sz w:val="28"/>
                <w:szCs w:val="28"/>
              </w:rPr>
              <w:t xml:space="preserve">ā, paredzot: </w:t>
            </w:r>
          </w:p>
          <w:p w:rsidR="00E45BBA" w:rsidRPr="00D27A5A" w:rsidRDefault="007F204C" w:rsidP="00D60A48">
            <w:pPr>
              <w:snapToGrid w:val="0"/>
              <w:jc w:val="both"/>
              <w:rPr>
                <w:sz w:val="28"/>
                <w:szCs w:val="28"/>
              </w:rPr>
            </w:pPr>
            <w:r w:rsidRPr="00D27A5A">
              <w:rPr>
                <w:sz w:val="28"/>
                <w:szCs w:val="28"/>
              </w:rPr>
              <w:t>1) jaunu Kultūras ministrijas funkciju</w:t>
            </w:r>
            <w:r w:rsidR="00E45BBA" w:rsidRPr="00D27A5A">
              <w:rPr>
                <w:sz w:val="28"/>
                <w:szCs w:val="28"/>
              </w:rPr>
              <w:t>:</w:t>
            </w:r>
          </w:p>
          <w:p w:rsidR="007F204C" w:rsidRPr="00D27A5A" w:rsidRDefault="00E45BBA" w:rsidP="00D60A48">
            <w:pPr>
              <w:snapToGrid w:val="0"/>
              <w:jc w:val="both"/>
              <w:rPr>
                <w:sz w:val="28"/>
                <w:szCs w:val="28"/>
              </w:rPr>
            </w:pPr>
            <w:r w:rsidRPr="00D27A5A">
              <w:rPr>
                <w:sz w:val="28"/>
                <w:szCs w:val="28"/>
              </w:rPr>
              <w:t>-</w:t>
            </w:r>
            <w:r w:rsidR="00E656CC">
              <w:rPr>
                <w:sz w:val="28"/>
                <w:szCs w:val="28"/>
              </w:rPr>
              <w:t> </w:t>
            </w:r>
            <w:r w:rsidRPr="00D27A5A">
              <w:rPr>
                <w:sz w:val="28"/>
                <w:szCs w:val="28"/>
              </w:rPr>
              <w:t xml:space="preserve">izstrādāt masu informācijas </w:t>
            </w:r>
            <w:r w:rsidR="00946325" w:rsidRPr="00D27A5A">
              <w:rPr>
                <w:sz w:val="28"/>
                <w:szCs w:val="28"/>
              </w:rPr>
              <w:t xml:space="preserve">(plašsaziņas) </w:t>
            </w:r>
            <w:r w:rsidRPr="00D27A5A">
              <w:rPr>
                <w:sz w:val="28"/>
                <w:szCs w:val="28"/>
              </w:rPr>
              <w:t>līdzekļu politiku (</w:t>
            </w:r>
            <w:r w:rsidR="008D3351">
              <w:rPr>
                <w:sz w:val="28"/>
                <w:szCs w:val="28"/>
              </w:rPr>
              <w:t>Projekta 2</w:t>
            </w:r>
            <w:r w:rsidRPr="00D27A5A">
              <w:rPr>
                <w:sz w:val="28"/>
                <w:szCs w:val="28"/>
              </w:rPr>
              <w:t>.punkts);</w:t>
            </w:r>
          </w:p>
          <w:p w:rsidR="00E45BBA" w:rsidRPr="00D27A5A" w:rsidRDefault="00E45BBA" w:rsidP="00D60A48">
            <w:pPr>
              <w:snapToGrid w:val="0"/>
              <w:jc w:val="both"/>
              <w:rPr>
                <w:sz w:val="28"/>
                <w:szCs w:val="28"/>
              </w:rPr>
            </w:pPr>
            <w:r w:rsidRPr="00D27A5A">
              <w:rPr>
                <w:sz w:val="28"/>
                <w:szCs w:val="28"/>
              </w:rPr>
              <w:t xml:space="preserve">2) funkcijai atbilstošus uzdevumus: </w:t>
            </w:r>
          </w:p>
          <w:p w:rsidR="00E45BBA" w:rsidRPr="00D27A5A" w:rsidRDefault="00E45BBA" w:rsidP="00D60A48">
            <w:pPr>
              <w:snapToGrid w:val="0"/>
              <w:jc w:val="both"/>
              <w:rPr>
                <w:sz w:val="28"/>
                <w:szCs w:val="28"/>
              </w:rPr>
            </w:pPr>
            <w:r w:rsidRPr="00D27A5A">
              <w:rPr>
                <w:sz w:val="28"/>
                <w:szCs w:val="28"/>
              </w:rPr>
              <w:t>-</w:t>
            </w:r>
            <w:r w:rsidR="00F05846" w:rsidRPr="00D27A5A">
              <w:rPr>
                <w:sz w:val="28"/>
                <w:szCs w:val="28"/>
              </w:rPr>
              <w:t xml:space="preserve"> koordinē masu informācijas </w:t>
            </w:r>
            <w:r w:rsidR="00946325" w:rsidRPr="00D27A5A">
              <w:rPr>
                <w:sz w:val="28"/>
                <w:szCs w:val="28"/>
              </w:rPr>
              <w:t xml:space="preserve">(plašsaziņas) </w:t>
            </w:r>
            <w:r w:rsidR="00F05846" w:rsidRPr="00D27A5A">
              <w:rPr>
                <w:sz w:val="28"/>
                <w:szCs w:val="28"/>
              </w:rPr>
              <w:t xml:space="preserve">līdzekļu politiku, lai nodrošinātu kvalitatīvas, daudzveidīgas, līdzsvarotas un ilgtspējīgas </w:t>
            </w:r>
            <w:r w:rsidR="00946325" w:rsidRPr="00D27A5A">
              <w:rPr>
                <w:sz w:val="28"/>
                <w:szCs w:val="28"/>
              </w:rPr>
              <w:t xml:space="preserve">plašsaziņas līdzekļu </w:t>
            </w:r>
            <w:r w:rsidR="00F05846" w:rsidRPr="00D27A5A">
              <w:rPr>
                <w:sz w:val="28"/>
                <w:szCs w:val="28"/>
              </w:rPr>
              <w:t>vides attīstību, kas sekmē vārda brīvību;</w:t>
            </w:r>
          </w:p>
          <w:p w:rsidR="0020487F" w:rsidRPr="00D27A5A" w:rsidRDefault="0020487F" w:rsidP="00D60A48">
            <w:pPr>
              <w:snapToGrid w:val="0"/>
              <w:jc w:val="both"/>
              <w:rPr>
                <w:sz w:val="28"/>
                <w:szCs w:val="28"/>
              </w:rPr>
            </w:pPr>
            <w:r w:rsidRPr="00D27A5A">
              <w:rPr>
                <w:sz w:val="28"/>
                <w:szCs w:val="28"/>
              </w:rPr>
              <w:t>-</w:t>
            </w:r>
            <w:r w:rsidR="00F05846" w:rsidRPr="00D27A5A">
              <w:rPr>
                <w:sz w:val="28"/>
                <w:szCs w:val="28"/>
              </w:rPr>
              <w:t xml:space="preserve"> apkopo un analizē ar masu informācijas </w:t>
            </w:r>
            <w:r w:rsidR="00946325" w:rsidRPr="00D27A5A">
              <w:rPr>
                <w:sz w:val="28"/>
                <w:szCs w:val="28"/>
              </w:rPr>
              <w:t xml:space="preserve">(plašsaziņas) </w:t>
            </w:r>
            <w:r w:rsidR="00F05846" w:rsidRPr="00D27A5A">
              <w:rPr>
                <w:sz w:val="28"/>
                <w:szCs w:val="28"/>
              </w:rPr>
              <w:t xml:space="preserve">līdzekļu politiku saistīto informāciju </w:t>
            </w:r>
            <w:r w:rsidRPr="00D27A5A">
              <w:rPr>
                <w:sz w:val="28"/>
                <w:szCs w:val="28"/>
              </w:rPr>
              <w:t>(</w:t>
            </w:r>
            <w:r w:rsidR="008D3351">
              <w:rPr>
                <w:sz w:val="28"/>
                <w:szCs w:val="28"/>
              </w:rPr>
              <w:t>P</w:t>
            </w:r>
            <w:r w:rsidRPr="00D27A5A">
              <w:rPr>
                <w:sz w:val="28"/>
                <w:szCs w:val="28"/>
              </w:rPr>
              <w:t xml:space="preserve">rojekta </w:t>
            </w:r>
            <w:r w:rsidR="008D3351">
              <w:rPr>
                <w:sz w:val="28"/>
                <w:szCs w:val="28"/>
              </w:rPr>
              <w:t>3</w:t>
            </w:r>
            <w:r w:rsidRPr="00D27A5A">
              <w:rPr>
                <w:sz w:val="28"/>
                <w:szCs w:val="28"/>
              </w:rPr>
              <w:t xml:space="preserve">.punkts). </w:t>
            </w:r>
          </w:p>
          <w:p w:rsidR="00606AD9" w:rsidRPr="00D27A5A" w:rsidRDefault="00606AD9" w:rsidP="00606AD9">
            <w:pPr>
              <w:snapToGrid w:val="0"/>
              <w:jc w:val="both"/>
              <w:rPr>
                <w:sz w:val="28"/>
                <w:szCs w:val="28"/>
              </w:rPr>
            </w:pPr>
          </w:p>
          <w:p w:rsidR="00AA2DBA" w:rsidRPr="000F1908" w:rsidRDefault="008D3351" w:rsidP="00AA2DBA">
            <w:pPr>
              <w:snapToGrid w:val="0"/>
              <w:jc w:val="both"/>
              <w:rPr>
                <w:sz w:val="28"/>
                <w:szCs w:val="28"/>
              </w:rPr>
            </w:pPr>
            <w:r w:rsidRPr="000F1908">
              <w:rPr>
                <w:sz w:val="28"/>
                <w:szCs w:val="28"/>
              </w:rPr>
              <w:t>P</w:t>
            </w:r>
            <w:r w:rsidR="00606AD9" w:rsidRPr="000F1908">
              <w:rPr>
                <w:sz w:val="28"/>
                <w:szCs w:val="28"/>
              </w:rPr>
              <w:t xml:space="preserve">rojekts nemaina </w:t>
            </w:r>
            <w:r w:rsidR="00E931D9" w:rsidRPr="000F1908">
              <w:rPr>
                <w:sz w:val="28"/>
                <w:szCs w:val="28"/>
              </w:rPr>
              <w:t xml:space="preserve">citos </w:t>
            </w:r>
            <w:r w:rsidR="00606AD9" w:rsidRPr="000F1908">
              <w:rPr>
                <w:sz w:val="28"/>
                <w:szCs w:val="28"/>
              </w:rPr>
              <w:t xml:space="preserve">normatīvajos </w:t>
            </w:r>
            <w:r w:rsidR="00E931D9" w:rsidRPr="000F1908">
              <w:rPr>
                <w:sz w:val="28"/>
                <w:szCs w:val="28"/>
              </w:rPr>
              <w:t>aktos noteikto</w:t>
            </w:r>
            <w:r w:rsidR="00606AD9" w:rsidRPr="000F1908">
              <w:rPr>
                <w:sz w:val="28"/>
                <w:szCs w:val="28"/>
              </w:rPr>
              <w:t xml:space="preserve"> valsts p</w:t>
            </w:r>
            <w:r w:rsidR="00AA2DBA" w:rsidRPr="000F1908">
              <w:rPr>
                <w:sz w:val="28"/>
                <w:szCs w:val="28"/>
              </w:rPr>
              <w:t>ārvaldes institūciju kompetenci</w:t>
            </w:r>
            <w:r w:rsidR="00497D80" w:rsidRPr="000F1908">
              <w:rPr>
                <w:sz w:val="28"/>
                <w:szCs w:val="28"/>
              </w:rPr>
              <w:t xml:space="preserve"> mediju politikas jautājumos</w:t>
            </w:r>
            <w:r w:rsidR="000F1908" w:rsidRPr="000F1908">
              <w:rPr>
                <w:sz w:val="28"/>
                <w:szCs w:val="28"/>
              </w:rPr>
              <w:t xml:space="preserve"> –</w:t>
            </w:r>
            <w:r w:rsidR="00AA2DBA" w:rsidRPr="000F1908">
              <w:rPr>
                <w:sz w:val="28"/>
                <w:szCs w:val="28"/>
              </w:rPr>
              <w:t xml:space="preserve"> Kultūras ministrija neparedz pārņemt un centralizēt tās funkcijas, kuras mediju jomā īsteno, piemēram, Satiksmes ministrija un tās pārziņā esošās valsts institūcijas, nacionālās drošības iestādes vai patērētāju intereses pārstāvošas organizācijas. Tāpat arī mediju nozarē ir jautājumi, kuru regulējums būtu jāīsteno nozares profesionālajām organizācijām. </w:t>
            </w:r>
          </w:p>
          <w:p w:rsidR="00AA2DBA" w:rsidRPr="00720739" w:rsidRDefault="00AA2DBA" w:rsidP="00AA2DBA">
            <w:pPr>
              <w:snapToGrid w:val="0"/>
              <w:jc w:val="both"/>
              <w:rPr>
                <w:sz w:val="28"/>
                <w:szCs w:val="28"/>
              </w:rPr>
            </w:pPr>
            <w:r w:rsidRPr="000F1908">
              <w:rPr>
                <w:sz w:val="28"/>
                <w:szCs w:val="28"/>
              </w:rPr>
              <w:t>Tāpat arī Kultūras ministrija nepretendē uz oficiālo izdevumu politik</w:t>
            </w:r>
            <w:r w:rsidR="00AC4BDA" w:rsidRPr="000F1908">
              <w:rPr>
                <w:sz w:val="28"/>
                <w:szCs w:val="28"/>
              </w:rPr>
              <w:t>as not</w:t>
            </w:r>
            <w:r w:rsidR="00F9275A" w:rsidRPr="000F1908">
              <w:rPr>
                <w:sz w:val="28"/>
                <w:szCs w:val="28"/>
              </w:rPr>
              <w:t>eikšan</w:t>
            </w:r>
            <w:r w:rsidRPr="000F1908">
              <w:rPr>
                <w:sz w:val="28"/>
                <w:szCs w:val="28"/>
              </w:rPr>
              <w:t xml:space="preserve">u un tas arī neizriet no iepriekš minētajām </w:t>
            </w:r>
            <w:r w:rsidR="000F1908" w:rsidRPr="000F1908">
              <w:rPr>
                <w:sz w:val="28"/>
                <w:szCs w:val="28"/>
              </w:rPr>
              <w:t xml:space="preserve">plānotajām </w:t>
            </w:r>
            <w:r w:rsidRPr="000F1908">
              <w:rPr>
                <w:sz w:val="28"/>
                <w:szCs w:val="28"/>
              </w:rPr>
              <w:t>K</w:t>
            </w:r>
            <w:r w:rsidR="000F1908" w:rsidRPr="000F1908">
              <w:rPr>
                <w:sz w:val="28"/>
                <w:szCs w:val="28"/>
              </w:rPr>
              <w:t>ultūras ministrijas</w:t>
            </w:r>
            <w:r w:rsidRPr="000F1908">
              <w:rPr>
                <w:sz w:val="28"/>
                <w:szCs w:val="28"/>
              </w:rPr>
              <w:t xml:space="preserve"> funkcijām masu informācijas (plašsaziņas</w:t>
            </w:r>
            <w:r w:rsidR="000F1908" w:rsidRPr="000F1908">
              <w:rPr>
                <w:sz w:val="28"/>
                <w:szCs w:val="28"/>
              </w:rPr>
              <w:t>)</w:t>
            </w:r>
            <w:r w:rsidRPr="000F1908">
              <w:rPr>
                <w:sz w:val="28"/>
                <w:szCs w:val="28"/>
              </w:rPr>
              <w:t xml:space="preserve"> līdzekļu jomā.</w:t>
            </w:r>
          </w:p>
          <w:p w:rsidR="00D60A48" w:rsidRPr="00720739" w:rsidRDefault="00D60A48" w:rsidP="00D60A48">
            <w:pPr>
              <w:snapToGrid w:val="0"/>
              <w:jc w:val="both"/>
              <w:rPr>
                <w:sz w:val="28"/>
                <w:szCs w:val="28"/>
              </w:rPr>
            </w:pPr>
          </w:p>
          <w:p w:rsidR="004226C4" w:rsidRPr="00D27A5A" w:rsidRDefault="004226C4" w:rsidP="00D60A48">
            <w:pPr>
              <w:snapToGrid w:val="0"/>
              <w:jc w:val="both"/>
              <w:rPr>
                <w:i/>
                <w:sz w:val="28"/>
                <w:szCs w:val="28"/>
              </w:rPr>
            </w:pPr>
            <w:r w:rsidRPr="00720739">
              <w:rPr>
                <w:i/>
                <w:sz w:val="28"/>
                <w:szCs w:val="28"/>
              </w:rPr>
              <w:t>Par terminoloģiju</w:t>
            </w:r>
          </w:p>
          <w:p w:rsidR="00AB62A6" w:rsidRPr="00D27A5A" w:rsidRDefault="00AB62A6" w:rsidP="001D6556">
            <w:pPr>
              <w:snapToGrid w:val="0"/>
              <w:jc w:val="both"/>
              <w:rPr>
                <w:sz w:val="28"/>
                <w:szCs w:val="28"/>
              </w:rPr>
            </w:pPr>
            <w:r w:rsidRPr="00D27A5A">
              <w:rPr>
                <w:sz w:val="28"/>
                <w:szCs w:val="28"/>
              </w:rPr>
              <w:t>Jāatzīmē, ka g</w:t>
            </w:r>
            <w:r w:rsidR="001D6556" w:rsidRPr="00D27A5A">
              <w:rPr>
                <w:sz w:val="28"/>
                <w:szCs w:val="28"/>
              </w:rPr>
              <w:t xml:space="preserve">alvenie nozari reglamentējošie likumi – t.i., likums „Par presi un citiem masu informācijas līdzekļiem” un Elektronisko plašsaziņas līdzekļu likums nelieto jēdzienu „mediji”, „mediju </w:t>
            </w:r>
            <w:r w:rsidRPr="00D27A5A">
              <w:rPr>
                <w:sz w:val="28"/>
                <w:szCs w:val="28"/>
              </w:rPr>
              <w:t xml:space="preserve">politika” u.c. Tāpat Latvijas Zinātņu Akadēmijas Terminoloģijas komisija ar </w:t>
            </w:r>
            <w:r w:rsidR="00CC32E9" w:rsidRPr="00D27A5A">
              <w:rPr>
                <w:sz w:val="28"/>
                <w:szCs w:val="28"/>
              </w:rPr>
              <w:t xml:space="preserve">2009.gada 24.novembra </w:t>
            </w:r>
            <w:r w:rsidRPr="00D27A5A">
              <w:rPr>
                <w:sz w:val="28"/>
                <w:szCs w:val="28"/>
              </w:rPr>
              <w:t xml:space="preserve">lēmumu Nr.85 „Par terminu plašsaziņas līdzeklis un medijs lietošanu” </w:t>
            </w:r>
            <w:r w:rsidR="00CC32E9" w:rsidRPr="00D27A5A">
              <w:rPr>
                <w:sz w:val="28"/>
                <w:szCs w:val="28"/>
              </w:rPr>
              <w:t xml:space="preserve">(prot.Nr.6/1096) ir norādījusi, ka </w:t>
            </w:r>
            <w:r w:rsidR="00822977" w:rsidRPr="00D27A5A">
              <w:rPr>
                <w:sz w:val="28"/>
                <w:szCs w:val="28"/>
              </w:rPr>
              <w:t xml:space="preserve">„LZA Terminoloģijas komisija pēc īpaši šim </w:t>
            </w:r>
            <w:r w:rsidR="00822977" w:rsidRPr="00D27A5A">
              <w:rPr>
                <w:sz w:val="28"/>
                <w:szCs w:val="28"/>
              </w:rPr>
              <w:lastRenderedPageBreak/>
              <w:t xml:space="preserve">jautājumam veltītām debatēm, kā arī ievērojot Valsts valodas centra apkopotos faktus par termina </w:t>
            </w:r>
            <w:r w:rsidR="00822977" w:rsidRPr="00D27A5A">
              <w:rPr>
                <w:i/>
                <w:iCs/>
                <w:sz w:val="28"/>
                <w:szCs w:val="28"/>
              </w:rPr>
              <w:t>plašsaziņas līdzekļi</w:t>
            </w:r>
            <w:r w:rsidR="00822977" w:rsidRPr="00D27A5A">
              <w:rPr>
                <w:sz w:val="28"/>
                <w:szCs w:val="28"/>
              </w:rPr>
              <w:t xml:space="preserve"> lietojuma pārliecinošu pārsvaru ES normatīvo aktu tulkojumos latviešu valodā un to, ka angļu valodā 'plašsaziņas līdzekļu' nozīmē </w:t>
            </w:r>
            <w:r w:rsidR="00822977" w:rsidRPr="00D27A5A">
              <w:rPr>
                <w:i/>
                <w:iCs/>
                <w:sz w:val="28"/>
                <w:szCs w:val="28"/>
              </w:rPr>
              <w:t>media</w:t>
            </w:r>
            <w:r w:rsidR="00822977" w:rsidRPr="00D27A5A">
              <w:rPr>
                <w:sz w:val="28"/>
                <w:szCs w:val="28"/>
              </w:rPr>
              <w:t xml:space="preserve"> un </w:t>
            </w:r>
            <w:r w:rsidR="00822977" w:rsidRPr="00D27A5A">
              <w:rPr>
                <w:i/>
                <w:iCs/>
                <w:sz w:val="28"/>
                <w:szCs w:val="28"/>
              </w:rPr>
              <w:t>mass media</w:t>
            </w:r>
            <w:r w:rsidR="00822977" w:rsidRPr="00D27A5A">
              <w:rPr>
                <w:sz w:val="28"/>
                <w:szCs w:val="28"/>
              </w:rPr>
              <w:t xml:space="preserve"> tiek lietoti kā sinonīmi (Oksfordas vārdnīcā no </w:t>
            </w:r>
            <w:r w:rsidR="00822977" w:rsidRPr="00D27A5A">
              <w:rPr>
                <w:i/>
                <w:iCs/>
                <w:sz w:val="28"/>
                <w:szCs w:val="28"/>
              </w:rPr>
              <w:t>mass media</w:t>
            </w:r>
            <w:r w:rsidR="00822977" w:rsidRPr="00D27A5A">
              <w:rPr>
                <w:sz w:val="28"/>
                <w:szCs w:val="28"/>
              </w:rPr>
              <w:t xml:space="preserve"> dota norāde uz </w:t>
            </w:r>
            <w:r w:rsidR="00822977" w:rsidRPr="00D27A5A">
              <w:rPr>
                <w:i/>
                <w:iCs/>
                <w:sz w:val="28"/>
                <w:szCs w:val="28"/>
              </w:rPr>
              <w:t>media</w:t>
            </w:r>
            <w:r w:rsidR="00822977" w:rsidRPr="00D27A5A">
              <w:rPr>
                <w:sz w:val="28"/>
                <w:szCs w:val="28"/>
              </w:rPr>
              <w:t xml:space="preserve">, bet </w:t>
            </w:r>
            <w:r w:rsidR="00822977" w:rsidRPr="00D27A5A">
              <w:rPr>
                <w:i/>
                <w:iCs/>
                <w:sz w:val="28"/>
                <w:szCs w:val="28"/>
              </w:rPr>
              <w:t>media</w:t>
            </w:r>
            <w:r w:rsidR="00822977" w:rsidRPr="00D27A5A">
              <w:rPr>
                <w:sz w:val="28"/>
                <w:szCs w:val="28"/>
              </w:rPr>
              <w:t xml:space="preserve"> (2. nozīmē) skaidrots kā "the main means of mass communication (esp., newspapers and broadcasting) regarded collectively"), </w:t>
            </w:r>
            <w:r w:rsidR="00822977" w:rsidRPr="00D27A5A">
              <w:rPr>
                <w:b/>
                <w:bCs/>
                <w:sz w:val="28"/>
                <w:szCs w:val="28"/>
              </w:rPr>
              <w:t>atzīst</w:t>
            </w:r>
            <w:r w:rsidR="00822977" w:rsidRPr="00D27A5A">
              <w:rPr>
                <w:sz w:val="28"/>
                <w:szCs w:val="28"/>
              </w:rPr>
              <w:t xml:space="preserve">, ka neatsakās no iepriekš apstiprinātā termina </w:t>
            </w:r>
            <w:r w:rsidR="00822977" w:rsidRPr="00D27A5A">
              <w:rPr>
                <w:i/>
                <w:iCs/>
                <w:sz w:val="28"/>
                <w:szCs w:val="28"/>
              </w:rPr>
              <w:t>plašsaziņas līdzekļi</w:t>
            </w:r>
            <w:r w:rsidR="00822977" w:rsidRPr="00D27A5A">
              <w:rPr>
                <w:sz w:val="28"/>
                <w:szCs w:val="28"/>
              </w:rPr>
              <w:t xml:space="preserve"> (ar nozīmi 'plašām iedzīvotāju aprindām adresēti preses izdevumi, radio un televīzijas raidījumi, kā arī interneta ziņu vietnes') un ka attiecīgās nozīmes izteikšanai kā sinonīms nav apstiprināms aizguvums </w:t>
            </w:r>
            <w:r w:rsidR="00822977" w:rsidRPr="00D27A5A">
              <w:rPr>
                <w:i/>
                <w:iCs/>
                <w:sz w:val="28"/>
                <w:szCs w:val="28"/>
              </w:rPr>
              <w:t>mediji</w:t>
            </w:r>
            <w:r w:rsidR="00822977" w:rsidRPr="00D27A5A">
              <w:rPr>
                <w:sz w:val="28"/>
                <w:szCs w:val="28"/>
              </w:rPr>
              <w:t>.”</w:t>
            </w:r>
          </w:p>
          <w:p w:rsidR="00CC32E9" w:rsidRPr="00D27A5A" w:rsidRDefault="00CC32E9" w:rsidP="001D6556">
            <w:pPr>
              <w:snapToGrid w:val="0"/>
              <w:jc w:val="both"/>
              <w:rPr>
                <w:sz w:val="28"/>
                <w:szCs w:val="28"/>
              </w:rPr>
            </w:pPr>
          </w:p>
          <w:p w:rsidR="001D6556" w:rsidRPr="00D27A5A" w:rsidRDefault="00CC32E9" w:rsidP="001D6556">
            <w:pPr>
              <w:snapToGrid w:val="0"/>
              <w:jc w:val="both"/>
              <w:rPr>
                <w:sz w:val="28"/>
                <w:szCs w:val="28"/>
              </w:rPr>
            </w:pPr>
            <w:r w:rsidRPr="00D27A5A">
              <w:rPr>
                <w:sz w:val="28"/>
                <w:szCs w:val="28"/>
              </w:rPr>
              <w:t xml:space="preserve">Ņemot vērā iepriekšminēto, </w:t>
            </w:r>
            <w:r w:rsidR="001D6556" w:rsidRPr="00D27A5A">
              <w:rPr>
                <w:sz w:val="28"/>
                <w:szCs w:val="28"/>
              </w:rPr>
              <w:t>lai nodrošināt</w:t>
            </w:r>
            <w:r w:rsidR="00BE57AD" w:rsidRPr="00D27A5A">
              <w:rPr>
                <w:sz w:val="28"/>
                <w:szCs w:val="28"/>
              </w:rPr>
              <w:t>u</w:t>
            </w:r>
            <w:r w:rsidR="001D6556" w:rsidRPr="00D27A5A">
              <w:rPr>
                <w:sz w:val="28"/>
                <w:szCs w:val="28"/>
              </w:rPr>
              <w:t xml:space="preserve"> </w:t>
            </w:r>
            <w:r w:rsidR="008D3351">
              <w:rPr>
                <w:sz w:val="28"/>
                <w:szCs w:val="28"/>
              </w:rPr>
              <w:t>P</w:t>
            </w:r>
            <w:r w:rsidR="001D6556" w:rsidRPr="00D27A5A">
              <w:rPr>
                <w:sz w:val="28"/>
                <w:szCs w:val="28"/>
              </w:rPr>
              <w:t xml:space="preserve">rojektā lietoto jēdzienu atbilstību minētajiem likumiem, </w:t>
            </w:r>
            <w:r w:rsidR="00AB62A6" w:rsidRPr="00D27A5A">
              <w:rPr>
                <w:sz w:val="28"/>
                <w:szCs w:val="28"/>
              </w:rPr>
              <w:t xml:space="preserve">kā arī Latvijas Zinātņu akadēmijas Terminoloģijas komisijas lēmumam, </w:t>
            </w:r>
            <w:r w:rsidR="008D3351">
              <w:rPr>
                <w:sz w:val="28"/>
                <w:szCs w:val="28"/>
              </w:rPr>
              <w:t>P</w:t>
            </w:r>
            <w:r w:rsidR="00930ACA" w:rsidRPr="00D27A5A">
              <w:rPr>
                <w:sz w:val="28"/>
                <w:szCs w:val="28"/>
              </w:rPr>
              <w:t xml:space="preserve">rojektā </w:t>
            </w:r>
            <w:r w:rsidR="001D6556" w:rsidRPr="00D27A5A">
              <w:rPr>
                <w:sz w:val="28"/>
                <w:szCs w:val="28"/>
              </w:rPr>
              <w:t xml:space="preserve">tiek izmantots jēdziens „masu informācijas </w:t>
            </w:r>
            <w:r w:rsidR="00AB62A6" w:rsidRPr="00D27A5A">
              <w:rPr>
                <w:sz w:val="28"/>
                <w:szCs w:val="28"/>
              </w:rPr>
              <w:t xml:space="preserve">(plašsaziņas) </w:t>
            </w:r>
            <w:r w:rsidR="001D6556" w:rsidRPr="00D27A5A">
              <w:rPr>
                <w:sz w:val="28"/>
                <w:szCs w:val="28"/>
              </w:rPr>
              <w:t>līdzekļu politika”, kurš sevī ietver:</w:t>
            </w:r>
          </w:p>
          <w:p w:rsidR="001D6556" w:rsidRPr="00D27A5A" w:rsidRDefault="001D6556" w:rsidP="001D6556">
            <w:pPr>
              <w:snapToGrid w:val="0"/>
              <w:jc w:val="both"/>
              <w:rPr>
                <w:sz w:val="28"/>
                <w:szCs w:val="28"/>
              </w:rPr>
            </w:pPr>
            <w:r w:rsidRPr="00D27A5A">
              <w:rPr>
                <w:sz w:val="28"/>
                <w:szCs w:val="28"/>
              </w:rPr>
              <w:t>1) masu informācijas līdzekļus atbilstoši likuma „Par presi un citiem masu informācijas līdzekļiem” 2.pantam „Prese un citi masu informācijas līdzekļi (turpmāk tekstā — masu informācijas līdzekļi) ir avīzes, žurnāli, biļeteni un citi periodiskie izdevumi (iznāk ne retāk kā reizi trīs mēnešos, v</w:t>
            </w:r>
            <w:r w:rsidR="00E656CC">
              <w:rPr>
                <w:sz w:val="28"/>
                <w:szCs w:val="28"/>
              </w:rPr>
              <w:t>ienreizējā tirāža pārsniedz 100 </w:t>
            </w:r>
            <w:r w:rsidRPr="00D27A5A">
              <w:rPr>
                <w:sz w:val="28"/>
                <w:szCs w:val="28"/>
              </w:rPr>
              <w:t xml:space="preserve">eksemplārus), kā arī elektroniskie plašsaziņas līdzekļi, kinohronika, informācijas aģentūru paziņojumi, audiovizuāli ieraksti, kas paredzēti publiskai izplatīšanai. Interneta vietni var reģistrēt kā masu informācijas līdzekli.”; </w:t>
            </w:r>
          </w:p>
          <w:p w:rsidR="001D6556" w:rsidRPr="00D27A5A" w:rsidRDefault="001D6556" w:rsidP="001D6556">
            <w:pPr>
              <w:snapToGrid w:val="0"/>
              <w:jc w:val="both"/>
              <w:rPr>
                <w:sz w:val="28"/>
                <w:szCs w:val="28"/>
              </w:rPr>
            </w:pPr>
            <w:r w:rsidRPr="00D27A5A">
              <w:rPr>
                <w:sz w:val="28"/>
                <w:szCs w:val="28"/>
              </w:rPr>
              <w:t>2) elektroniskos plašsaziņas līdzekļus atbilstoši Elektronisko plašsaziņas līdzekļu likuma 1.panta 7.punktam – „</w:t>
            </w:r>
            <w:r w:rsidRPr="00D27A5A">
              <w:rPr>
                <w:bCs/>
                <w:sz w:val="28"/>
                <w:szCs w:val="28"/>
              </w:rPr>
              <w:t>elektroniskais plašsaziņas līdzeklis</w:t>
            </w:r>
            <w:r w:rsidRPr="00D27A5A">
              <w:rPr>
                <w:sz w:val="28"/>
                <w:szCs w:val="28"/>
              </w:rPr>
              <w:t xml:space="preserve"> </w:t>
            </w:r>
            <w:r w:rsidR="008D3351" w:rsidRPr="00D27A5A">
              <w:rPr>
                <w:sz w:val="28"/>
                <w:szCs w:val="28"/>
              </w:rPr>
              <w:t>–</w:t>
            </w:r>
            <w:r w:rsidRPr="00D27A5A">
              <w:rPr>
                <w:sz w:val="28"/>
                <w:szCs w:val="28"/>
              </w:rPr>
              <w:t xml:space="preserve"> privātpersona, kurai tiesību aktos noteiktajā kārtībā ir izsniegta </w:t>
            </w:r>
            <w:r w:rsidRPr="00D27A5A">
              <w:rPr>
                <w:sz w:val="28"/>
                <w:szCs w:val="28"/>
              </w:rPr>
              <w:lastRenderedPageBreak/>
              <w:t>apraides atļauja vai retranslācijas atļauja vai kuras darbību šajā likumā noteiktajā kārtībā ir reģistrējusi Nacionālā elektronisko plašsaziņas līdzekļu padome.”</w:t>
            </w:r>
          </w:p>
          <w:p w:rsidR="00C90D6E" w:rsidRPr="00720739" w:rsidRDefault="001D08EC" w:rsidP="00D60A48">
            <w:pPr>
              <w:snapToGrid w:val="0"/>
              <w:jc w:val="both"/>
              <w:rPr>
                <w:sz w:val="28"/>
                <w:szCs w:val="28"/>
              </w:rPr>
            </w:pPr>
            <w:r w:rsidRPr="00720739">
              <w:rPr>
                <w:sz w:val="28"/>
                <w:szCs w:val="28"/>
              </w:rPr>
              <w:t xml:space="preserve">Kultūras ministrijas </w:t>
            </w:r>
            <w:r w:rsidR="00C90D6E" w:rsidRPr="00720739">
              <w:rPr>
                <w:sz w:val="28"/>
                <w:szCs w:val="28"/>
              </w:rPr>
              <w:t>jaun</w:t>
            </w:r>
            <w:r w:rsidRPr="00720739">
              <w:rPr>
                <w:sz w:val="28"/>
                <w:szCs w:val="28"/>
              </w:rPr>
              <w:t xml:space="preserve">ās funkcijas </w:t>
            </w:r>
            <w:r w:rsidR="00C90D6E" w:rsidRPr="00720739">
              <w:rPr>
                <w:sz w:val="28"/>
                <w:szCs w:val="28"/>
              </w:rPr>
              <w:t xml:space="preserve">– masu informācijas </w:t>
            </w:r>
            <w:r w:rsidR="00946325" w:rsidRPr="00720739">
              <w:rPr>
                <w:sz w:val="28"/>
                <w:szCs w:val="28"/>
              </w:rPr>
              <w:t xml:space="preserve">(plašsaziņas) </w:t>
            </w:r>
            <w:r w:rsidRPr="00720739">
              <w:rPr>
                <w:sz w:val="28"/>
                <w:szCs w:val="28"/>
              </w:rPr>
              <w:t>līdzekļu politikas izstrāde</w:t>
            </w:r>
            <w:r w:rsidR="00C90D6E" w:rsidRPr="00720739">
              <w:rPr>
                <w:sz w:val="28"/>
                <w:szCs w:val="28"/>
              </w:rPr>
              <w:t xml:space="preserve"> u</w:t>
            </w:r>
            <w:r w:rsidRPr="00720739">
              <w:rPr>
                <w:sz w:val="28"/>
                <w:szCs w:val="28"/>
              </w:rPr>
              <w:t xml:space="preserve">n koordinēšana – izpilde </w:t>
            </w:r>
            <w:r w:rsidR="00E656CC" w:rsidRPr="00720739">
              <w:rPr>
                <w:sz w:val="28"/>
                <w:szCs w:val="28"/>
              </w:rPr>
              <w:t>nozīmēs, ka</w:t>
            </w:r>
            <w:r w:rsidRPr="00720739">
              <w:rPr>
                <w:sz w:val="28"/>
                <w:szCs w:val="28"/>
              </w:rPr>
              <w:t xml:space="preserve"> Kultūras ministrija</w:t>
            </w:r>
            <w:r w:rsidR="008D3351" w:rsidRPr="00720739">
              <w:rPr>
                <w:sz w:val="28"/>
                <w:szCs w:val="28"/>
              </w:rPr>
              <w:t>:</w:t>
            </w:r>
          </w:p>
          <w:p w:rsidR="001573BF" w:rsidRPr="00D27A5A" w:rsidRDefault="00C90D6E" w:rsidP="00D60A48">
            <w:pPr>
              <w:snapToGrid w:val="0"/>
              <w:jc w:val="both"/>
              <w:rPr>
                <w:sz w:val="28"/>
                <w:szCs w:val="28"/>
              </w:rPr>
            </w:pPr>
            <w:r w:rsidRPr="00720739">
              <w:rPr>
                <w:sz w:val="28"/>
                <w:szCs w:val="28"/>
              </w:rPr>
              <w:t>-</w:t>
            </w:r>
            <w:r w:rsidR="00E656CC" w:rsidRPr="00720739">
              <w:rPr>
                <w:sz w:val="28"/>
                <w:szCs w:val="28"/>
              </w:rPr>
              <w:t> </w:t>
            </w:r>
            <w:r w:rsidR="005248F7" w:rsidRPr="00720739">
              <w:rPr>
                <w:sz w:val="28"/>
                <w:szCs w:val="28"/>
              </w:rPr>
              <w:t xml:space="preserve">izstrādā </w:t>
            </w:r>
            <w:r w:rsidR="00BE57AD" w:rsidRPr="00720739">
              <w:rPr>
                <w:sz w:val="28"/>
                <w:szCs w:val="28"/>
              </w:rPr>
              <w:t xml:space="preserve">masu informācijas </w:t>
            </w:r>
            <w:r w:rsidR="00946325" w:rsidRPr="00720739">
              <w:rPr>
                <w:sz w:val="28"/>
                <w:szCs w:val="28"/>
              </w:rPr>
              <w:t xml:space="preserve">(plašsaziņas) </w:t>
            </w:r>
            <w:r w:rsidR="00BE57AD" w:rsidRPr="00720739">
              <w:rPr>
                <w:sz w:val="28"/>
                <w:szCs w:val="28"/>
              </w:rPr>
              <w:t xml:space="preserve">līdzekļu </w:t>
            </w:r>
            <w:r w:rsidR="005248F7" w:rsidRPr="00720739">
              <w:rPr>
                <w:sz w:val="28"/>
                <w:szCs w:val="28"/>
              </w:rPr>
              <w:t>nozari reglamentējošo</w:t>
            </w:r>
            <w:r w:rsidR="005248F7" w:rsidRPr="00D27A5A">
              <w:rPr>
                <w:sz w:val="28"/>
                <w:szCs w:val="28"/>
              </w:rPr>
              <w:t xml:space="preserve"> tiesību aktu un politikas plānošanas dokumentu projektus</w:t>
            </w:r>
            <w:r w:rsidRPr="00D27A5A">
              <w:rPr>
                <w:sz w:val="28"/>
                <w:szCs w:val="28"/>
              </w:rPr>
              <w:t xml:space="preserve"> (nolikuma </w:t>
            </w:r>
            <w:r w:rsidR="001573BF" w:rsidRPr="00D27A5A">
              <w:rPr>
                <w:sz w:val="28"/>
                <w:szCs w:val="28"/>
              </w:rPr>
              <w:t>6.1.apakšpunkts)</w:t>
            </w:r>
            <w:r w:rsidR="005248F7" w:rsidRPr="00D27A5A">
              <w:rPr>
                <w:sz w:val="28"/>
                <w:szCs w:val="28"/>
              </w:rPr>
              <w:t>;</w:t>
            </w:r>
          </w:p>
          <w:p w:rsidR="005248F7" w:rsidRPr="00D27A5A" w:rsidRDefault="001573BF" w:rsidP="00D60A48">
            <w:pPr>
              <w:snapToGrid w:val="0"/>
              <w:jc w:val="both"/>
              <w:rPr>
                <w:sz w:val="28"/>
                <w:szCs w:val="28"/>
              </w:rPr>
            </w:pPr>
            <w:r w:rsidRPr="00D27A5A">
              <w:rPr>
                <w:sz w:val="28"/>
                <w:szCs w:val="28"/>
              </w:rPr>
              <w:t>-</w:t>
            </w:r>
            <w:r w:rsidR="008D3351">
              <w:rPr>
                <w:sz w:val="28"/>
                <w:szCs w:val="28"/>
              </w:rPr>
              <w:t> </w:t>
            </w:r>
            <w:r w:rsidR="005248F7" w:rsidRPr="00D27A5A">
              <w:rPr>
                <w:sz w:val="28"/>
                <w:szCs w:val="28"/>
              </w:rPr>
              <w:t>sniedz atzinumus par citu institūciju izstrādātajiem tiesību aktu un politikas plānošanas dokumentu projektiem</w:t>
            </w:r>
            <w:r w:rsidRPr="00D27A5A">
              <w:rPr>
                <w:sz w:val="28"/>
                <w:szCs w:val="28"/>
              </w:rPr>
              <w:t xml:space="preserve"> (nolikuma 6.2.apakšpunkts)</w:t>
            </w:r>
            <w:r w:rsidR="005248F7" w:rsidRPr="00D27A5A">
              <w:rPr>
                <w:sz w:val="28"/>
                <w:szCs w:val="28"/>
              </w:rPr>
              <w:t xml:space="preserve">; </w:t>
            </w:r>
          </w:p>
          <w:p w:rsidR="001573BF" w:rsidRPr="00D27A5A" w:rsidRDefault="001573BF" w:rsidP="00D60A48">
            <w:pPr>
              <w:snapToGrid w:val="0"/>
              <w:jc w:val="both"/>
              <w:rPr>
                <w:sz w:val="28"/>
                <w:szCs w:val="28"/>
              </w:rPr>
            </w:pPr>
            <w:r w:rsidRPr="00D27A5A">
              <w:rPr>
                <w:sz w:val="28"/>
                <w:szCs w:val="28"/>
              </w:rPr>
              <w:t>-</w:t>
            </w:r>
            <w:r w:rsidR="0045296A" w:rsidRPr="00D27A5A">
              <w:rPr>
                <w:sz w:val="28"/>
                <w:szCs w:val="28"/>
              </w:rPr>
              <w:t> </w:t>
            </w:r>
            <w:r w:rsidRPr="00D27A5A">
              <w:rPr>
                <w:sz w:val="28"/>
                <w:szCs w:val="28"/>
              </w:rPr>
              <w:t xml:space="preserve">nodrošina valsts pasūtīto pētījumu pieteikumu izstrādi un veicina pētījumu efektīvu izmantošanu </w:t>
            </w:r>
            <w:r w:rsidR="00BE57AD" w:rsidRPr="00D27A5A">
              <w:rPr>
                <w:sz w:val="28"/>
                <w:szCs w:val="28"/>
              </w:rPr>
              <w:t>masu informācijas līdzekļu (</w:t>
            </w:r>
            <w:r w:rsidR="00946325" w:rsidRPr="00D27A5A">
              <w:rPr>
                <w:sz w:val="28"/>
                <w:szCs w:val="28"/>
              </w:rPr>
              <w:t>plašsaziņas</w:t>
            </w:r>
            <w:r w:rsidR="00BE57AD" w:rsidRPr="00D27A5A">
              <w:rPr>
                <w:sz w:val="28"/>
                <w:szCs w:val="28"/>
              </w:rPr>
              <w:t xml:space="preserve">) </w:t>
            </w:r>
            <w:r w:rsidRPr="00D27A5A">
              <w:rPr>
                <w:sz w:val="28"/>
                <w:szCs w:val="28"/>
              </w:rPr>
              <w:t>nozares politikas izstrādē (nolikuma 6.10.apakšpunkts);</w:t>
            </w:r>
          </w:p>
          <w:p w:rsidR="001573BF" w:rsidRPr="00D27A5A" w:rsidRDefault="001573BF" w:rsidP="00D60A48">
            <w:pPr>
              <w:snapToGrid w:val="0"/>
              <w:jc w:val="both"/>
              <w:rPr>
                <w:sz w:val="28"/>
                <w:szCs w:val="28"/>
              </w:rPr>
            </w:pPr>
            <w:r w:rsidRPr="00D27A5A">
              <w:rPr>
                <w:sz w:val="28"/>
                <w:szCs w:val="28"/>
              </w:rPr>
              <w:t>-</w:t>
            </w:r>
            <w:r w:rsidR="0045296A" w:rsidRPr="00D27A5A">
              <w:rPr>
                <w:sz w:val="28"/>
                <w:szCs w:val="28"/>
              </w:rPr>
              <w:t> </w:t>
            </w:r>
            <w:r w:rsidRPr="00D27A5A">
              <w:rPr>
                <w:sz w:val="28"/>
                <w:szCs w:val="28"/>
              </w:rPr>
              <w:t xml:space="preserve">normatīvajos aktos noteiktajā kārtībā sadarbojas ar citām valsts pārvaldes iestādēm </w:t>
            </w:r>
            <w:r w:rsidR="00095903" w:rsidRPr="00D27A5A">
              <w:rPr>
                <w:sz w:val="28"/>
                <w:szCs w:val="28"/>
              </w:rPr>
              <w:t>vienotas valsts politikas izstrādāšanā un īstenošanā (nolikuma 6.11.apakšpunkts);</w:t>
            </w:r>
          </w:p>
          <w:p w:rsidR="00DD1403" w:rsidRPr="00D27A5A" w:rsidRDefault="00095903" w:rsidP="00DD1403">
            <w:pPr>
              <w:snapToGrid w:val="0"/>
              <w:jc w:val="both"/>
              <w:rPr>
                <w:sz w:val="28"/>
                <w:szCs w:val="28"/>
              </w:rPr>
            </w:pPr>
            <w:r w:rsidRPr="00D27A5A">
              <w:rPr>
                <w:sz w:val="28"/>
                <w:szCs w:val="28"/>
              </w:rPr>
              <w:t>-</w:t>
            </w:r>
            <w:r w:rsidR="00E656CC">
              <w:rPr>
                <w:sz w:val="28"/>
                <w:szCs w:val="28"/>
              </w:rPr>
              <w:t> </w:t>
            </w:r>
            <w:r w:rsidRPr="00D27A5A">
              <w:rPr>
                <w:sz w:val="28"/>
                <w:szCs w:val="28"/>
              </w:rPr>
              <w:t xml:space="preserve">informē </w:t>
            </w:r>
            <w:r w:rsidR="001D6556" w:rsidRPr="00D27A5A">
              <w:rPr>
                <w:sz w:val="28"/>
                <w:szCs w:val="28"/>
              </w:rPr>
              <w:t>sabiedrību par nozares politiku un ministrijas padotībā esošo iestāžu darbību, konsultējas ar nevalstiskajām organizācijām lēmuma pieņemšanas procesā, veicina sociālo dialogu jautājumos, kas saistīti ar politikas izstrādi un īstenošanu, kā arī iesaista sabiedrības pārstāvjus valsts pārvaldē (nolikuma 6.12.apakšpunkts).</w:t>
            </w:r>
          </w:p>
          <w:p w:rsidR="00057196" w:rsidRDefault="00057196" w:rsidP="00DD1403">
            <w:pPr>
              <w:snapToGrid w:val="0"/>
              <w:jc w:val="both"/>
              <w:rPr>
                <w:sz w:val="28"/>
                <w:szCs w:val="28"/>
              </w:rPr>
            </w:pPr>
          </w:p>
          <w:p w:rsidR="0030175A" w:rsidRDefault="008D3351" w:rsidP="0030175A">
            <w:pPr>
              <w:snapToGrid w:val="0"/>
              <w:jc w:val="both"/>
              <w:rPr>
                <w:sz w:val="28"/>
                <w:szCs w:val="28"/>
              </w:rPr>
            </w:pPr>
            <w:r>
              <w:rPr>
                <w:sz w:val="28"/>
                <w:szCs w:val="28"/>
              </w:rPr>
              <w:t xml:space="preserve">Projekta 1.punkts paredz </w:t>
            </w:r>
            <w:r w:rsidR="00FD0730">
              <w:rPr>
                <w:sz w:val="28"/>
                <w:szCs w:val="28"/>
              </w:rPr>
              <w:t xml:space="preserve">papildināt </w:t>
            </w:r>
            <w:r w:rsidR="00FD0730" w:rsidRPr="00FD0730">
              <w:rPr>
                <w:sz w:val="28"/>
                <w:szCs w:val="28"/>
              </w:rPr>
              <w:t xml:space="preserve">Ministru kabineta 2003.gada 23.aprīļa </w:t>
            </w:r>
            <w:r w:rsidR="00FD0730">
              <w:rPr>
                <w:sz w:val="28"/>
                <w:szCs w:val="28"/>
              </w:rPr>
              <w:t>noteikumu</w:t>
            </w:r>
            <w:r w:rsidR="00FD0730" w:rsidRPr="00FD0730">
              <w:rPr>
                <w:sz w:val="28"/>
                <w:szCs w:val="28"/>
              </w:rPr>
              <w:t xml:space="preserve"> Nr.241 „Kultūras ministrijas nolikums””</w:t>
            </w:r>
            <w:r w:rsidR="00FD0730">
              <w:rPr>
                <w:sz w:val="28"/>
                <w:szCs w:val="28"/>
              </w:rPr>
              <w:t xml:space="preserve"> 1.punktā noteikto Kultūras ministrijas atbildībā esošo kultūras </w:t>
            </w:r>
            <w:r w:rsidR="0030175A">
              <w:rPr>
                <w:sz w:val="28"/>
                <w:szCs w:val="28"/>
              </w:rPr>
              <w:t>nozares</w:t>
            </w:r>
            <w:r w:rsidR="00FD0730">
              <w:rPr>
                <w:sz w:val="28"/>
                <w:szCs w:val="28"/>
              </w:rPr>
              <w:t xml:space="preserve"> apakšnozaru uzskaitījumu ar dizaina apakšnozari. </w:t>
            </w:r>
          </w:p>
          <w:p w:rsidR="00477709" w:rsidRPr="0030175A" w:rsidRDefault="00477709" w:rsidP="00477709">
            <w:pPr>
              <w:snapToGrid w:val="0"/>
              <w:jc w:val="both"/>
              <w:rPr>
                <w:sz w:val="28"/>
                <w:szCs w:val="28"/>
              </w:rPr>
            </w:pPr>
            <w:r w:rsidRPr="0030175A">
              <w:rPr>
                <w:sz w:val="28"/>
                <w:szCs w:val="28"/>
              </w:rPr>
              <w:t>Atbalsts radošo industriju attīstībai ir viena no Kultūras ministrijas darbības prioritātēm. Likumsakarīgi, ka dizains</w:t>
            </w:r>
            <w:r>
              <w:rPr>
                <w:sz w:val="28"/>
                <w:szCs w:val="28"/>
              </w:rPr>
              <w:t>, kas</w:t>
            </w:r>
            <w:r w:rsidRPr="0030175A">
              <w:rPr>
                <w:sz w:val="28"/>
                <w:szCs w:val="28"/>
              </w:rPr>
              <w:t xml:space="preserve"> </w:t>
            </w:r>
            <w:r>
              <w:rPr>
                <w:sz w:val="28"/>
                <w:szCs w:val="28"/>
              </w:rPr>
              <w:t xml:space="preserve">ir </w:t>
            </w:r>
            <w:r w:rsidRPr="0030175A">
              <w:rPr>
                <w:bCs/>
                <w:sz w:val="28"/>
                <w:szCs w:val="28"/>
              </w:rPr>
              <w:t xml:space="preserve">viena no </w:t>
            </w:r>
            <w:r w:rsidRPr="0030175A">
              <w:rPr>
                <w:bCs/>
                <w:sz w:val="28"/>
                <w:szCs w:val="28"/>
              </w:rPr>
              <w:lastRenderedPageBreak/>
              <w:t xml:space="preserve">radošo industriju </w:t>
            </w:r>
            <w:r>
              <w:rPr>
                <w:bCs/>
                <w:sz w:val="28"/>
                <w:szCs w:val="28"/>
              </w:rPr>
              <w:t>pamat</w:t>
            </w:r>
            <w:r w:rsidRPr="0030175A">
              <w:rPr>
                <w:bCs/>
                <w:sz w:val="28"/>
                <w:szCs w:val="28"/>
              </w:rPr>
              <w:t xml:space="preserve">jomām, </w:t>
            </w:r>
            <w:r w:rsidRPr="0030175A">
              <w:rPr>
                <w:sz w:val="28"/>
                <w:szCs w:val="28"/>
              </w:rPr>
              <w:t>pēdējos gados ir ieņēmusi stabilu vietu Kultūras ministrijas darbībā</w:t>
            </w:r>
            <w:r>
              <w:rPr>
                <w:sz w:val="28"/>
                <w:szCs w:val="28"/>
              </w:rPr>
              <w:t>, veidojot radošo industriju politiku</w:t>
            </w:r>
            <w:r w:rsidRPr="0030175A">
              <w:rPr>
                <w:sz w:val="28"/>
                <w:szCs w:val="28"/>
              </w:rPr>
              <w:t xml:space="preserve">. </w:t>
            </w:r>
          </w:p>
          <w:p w:rsidR="00477709" w:rsidRPr="0030175A" w:rsidRDefault="00477709" w:rsidP="00477709">
            <w:pPr>
              <w:snapToGrid w:val="0"/>
              <w:jc w:val="both"/>
              <w:rPr>
                <w:sz w:val="28"/>
                <w:szCs w:val="28"/>
              </w:rPr>
            </w:pPr>
            <w:r w:rsidRPr="0030175A">
              <w:rPr>
                <w:sz w:val="28"/>
                <w:szCs w:val="28"/>
              </w:rPr>
              <w:t xml:space="preserve">Par paveikto liecina vairāki fakti: ar </w:t>
            </w:r>
            <w:r>
              <w:rPr>
                <w:sz w:val="28"/>
                <w:szCs w:val="28"/>
              </w:rPr>
              <w:t xml:space="preserve">Kultūras ministrijas </w:t>
            </w:r>
            <w:r w:rsidRPr="0030175A">
              <w:rPr>
                <w:sz w:val="28"/>
                <w:szCs w:val="28"/>
              </w:rPr>
              <w:t xml:space="preserve">2013.gada 21.jūnija rīkojumu Nr.5.1.-1-153 ir izveidota Latvijas Dizaina padome, kas ir Kultūras ministrijas konsultatīva institūcija, kuras darbības mērķis ir koordinēt un sekmēt valsts institūciju un nozares profesionāļu sadarbību stratēģiskos jautājumos, kas saistīti ar dizaina nozares attīstību un kvalitatīvas kultūrvides veidošanu Latvijā. </w:t>
            </w:r>
            <w:r>
              <w:rPr>
                <w:sz w:val="28"/>
                <w:szCs w:val="28"/>
              </w:rPr>
              <w:t xml:space="preserve">Kopsakarā </w:t>
            </w:r>
            <w:r w:rsidRPr="0030175A">
              <w:rPr>
                <w:sz w:val="28"/>
                <w:szCs w:val="28"/>
              </w:rPr>
              <w:t xml:space="preserve">ar </w:t>
            </w:r>
            <w:r>
              <w:rPr>
                <w:sz w:val="28"/>
                <w:szCs w:val="28"/>
              </w:rPr>
              <w:t>Kultūras ministrijas virzīto pamatnostādņu projektu „Kultūrpolitikas pamatnostādnes</w:t>
            </w:r>
            <w:r w:rsidRPr="0030175A">
              <w:rPr>
                <w:sz w:val="28"/>
                <w:szCs w:val="28"/>
              </w:rPr>
              <w:t xml:space="preserve"> </w:t>
            </w:r>
            <w:r>
              <w:rPr>
                <w:sz w:val="28"/>
                <w:szCs w:val="28"/>
              </w:rPr>
              <w:t>2014.</w:t>
            </w:r>
            <w:r w:rsidR="003A614A">
              <w:rPr>
                <w:sz w:val="28"/>
                <w:szCs w:val="28"/>
              </w:rPr>
              <w:t xml:space="preserve"> – </w:t>
            </w:r>
            <w:r w:rsidRPr="0030175A">
              <w:rPr>
                <w:sz w:val="28"/>
                <w:szCs w:val="28"/>
              </w:rPr>
              <w:t>2020.gadam „Radošā Latvija”</w:t>
            </w:r>
            <w:r>
              <w:rPr>
                <w:sz w:val="28"/>
                <w:szCs w:val="28"/>
              </w:rPr>
              <w:t xml:space="preserve">” </w:t>
            </w:r>
            <w:r w:rsidRPr="0030175A">
              <w:rPr>
                <w:sz w:val="28"/>
                <w:szCs w:val="28"/>
              </w:rPr>
              <w:t>ir izstrādāta La</w:t>
            </w:r>
            <w:r>
              <w:rPr>
                <w:sz w:val="28"/>
                <w:szCs w:val="28"/>
              </w:rPr>
              <w:t>tvijas Dizaina s</w:t>
            </w:r>
            <w:r w:rsidR="003A614A">
              <w:rPr>
                <w:sz w:val="28"/>
                <w:szCs w:val="28"/>
              </w:rPr>
              <w:t xml:space="preserve">tratēģija 2014. – </w:t>
            </w:r>
            <w:r w:rsidRPr="0030175A">
              <w:rPr>
                <w:sz w:val="28"/>
                <w:szCs w:val="28"/>
              </w:rPr>
              <w:t xml:space="preserve">2020.gadam, kas ir apstiprināta Latvijas Dizaina padomē un kuras prioritārie uzdevumi ir iekļauti </w:t>
            </w:r>
            <w:r>
              <w:rPr>
                <w:sz w:val="28"/>
                <w:szCs w:val="28"/>
              </w:rPr>
              <w:t>minētajā pamatnostādņu projektā</w:t>
            </w:r>
            <w:r w:rsidRPr="0030175A">
              <w:rPr>
                <w:sz w:val="28"/>
                <w:szCs w:val="28"/>
              </w:rPr>
              <w:t xml:space="preserve">. </w:t>
            </w:r>
          </w:p>
          <w:p w:rsidR="00477709" w:rsidRPr="0030175A" w:rsidRDefault="00477709" w:rsidP="00477709">
            <w:pPr>
              <w:snapToGrid w:val="0"/>
              <w:jc w:val="both"/>
              <w:rPr>
                <w:sz w:val="28"/>
                <w:szCs w:val="28"/>
              </w:rPr>
            </w:pPr>
            <w:r w:rsidRPr="0030175A">
              <w:rPr>
                <w:sz w:val="28"/>
                <w:szCs w:val="28"/>
              </w:rPr>
              <w:t xml:space="preserve">Lai varētu nodrošināt sekmīgu dizaina </w:t>
            </w:r>
            <w:r>
              <w:rPr>
                <w:sz w:val="28"/>
                <w:szCs w:val="28"/>
              </w:rPr>
              <w:t>apakš</w:t>
            </w:r>
            <w:r w:rsidRPr="0030175A">
              <w:rPr>
                <w:sz w:val="28"/>
                <w:szCs w:val="28"/>
              </w:rPr>
              <w:t>nozares turpmāko attīstību ilgtermiņā</w:t>
            </w:r>
            <w:r>
              <w:rPr>
                <w:sz w:val="28"/>
                <w:szCs w:val="28"/>
              </w:rPr>
              <w:t xml:space="preserve"> un stratēģiski veidot valsts</w:t>
            </w:r>
            <w:r w:rsidRPr="0030175A">
              <w:rPr>
                <w:sz w:val="28"/>
                <w:szCs w:val="28"/>
              </w:rPr>
              <w:t xml:space="preserve"> dizaina politiku; </w:t>
            </w:r>
            <w:r>
              <w:rPr>
                <w:sz w:val="28"/>
                <w:szCs w:val="28"/>
              </w:rPr>
              <w:t xml:space="preserve">koordinēt </w:t>
            </w:r>
            <w:r w:rsidRPr="0030175A">
              <w:rPr>
                <w:sz w:val="28"/>
                <w:szCs w:val="28"/>
              </w:rPr>
              <w:t>sadarb</w:t>
            </w:r>
            <w:r>
              <w:rPr>
                <w:sz w:val="28"/>
                <w:szCs w:val="28"/>
              </w:rPr>
              <w:t>ību</w:t>
            </w:r>
            <w:r w:rsidRPr="0030175A">
              <w:rPr>
                <w:sz w:val="28"/>
                <w:szCs w:val="28"/>
              </w:rPr>
              <w:t xml:space="preserve"> ar visām dizaina jomā iesaistītajām institūcijām valsts, pašvaldības un privātajā sektorā</w:t>
            </w:r>
            <w:r>
              <w:rPr>
                <w:sz w:val="28"/>
                <w:szCs w:val="28"/>
              </w:rPr>
              <w:t xml:space="preserve"> dizaina politikas īstenošanā</w:t>
            </w:r>
            <w:r w:rsidRPr="0030175A">
              <w:rPr>
                <w:sz w:val="28"/>
                <w:szCs w:val="28"/>
              </w:rPr>
              <w:t>; deleģē</w:t>
            </w:r>
            <w:r>
              <w:rPr>
                <w:sz w:val="28"/>
                <w:szCs w:val="28"/>
              </w:rPr>
              <w:t xml:space="preserve">t atsevišķus </w:t>
            </w:r>
            <w:r w:rsidRPr="0030175A">
              <w:rPr>
                <w:sz w:val="28"/>
                <w:szCs w:val="28"/>
              </w:rPr>
              <w:t xml:space="preserve">valsts </w:t>
            </w:r>
            <w:r>
              <w:rPr>
                <w:sz w:val="28"/>
                <w:szCs w:val="28"/>
              </w:rPr>
              <w:t xml:space="preserve">pārvaldes uzdevumus </w:t>
            </w:r>
            <w:r w:rsidRPr="0030175A">
              <w:rPr>
                <w:sz w:val="28"/>
                <w:szCs w:val="28"/>
              </w:rPr>
              <w:t xml:space="preserve">dizaina jomā, ir nepieciešams definēt dizaina </w:t>
            </w:r>
            <w:r>
              <w:rPr>
                <w:sz w:val="28"/>
                <w:szCs w:val="28"/>
              </w:rPr>
              <w:t>apakš</w:t>
            </w:r>
            <w:r w:rsidRPr="0030175A">
              <w:rPr>
                <w:sz w:val="28"/>
                <w:szCs w:val="28"/>
              </w:rPr>
              <w:t xml:space="preserve">nozari kā atsevišķu Kultūras ministrijas pārraudzībā esošu </w:t>
            </w:r>
            <w:r>
              <w:rPr>
                <w:sz w:val="28"/>
                <w:szCs w:val="28"/>
              </w:rPr>
              <w:t>apakš</w:t>
            </w:r>
            <w:r w:rsidR="00CE0996">
              <w:rPr>
                <w:sz w:val="28"/>
                <w:szCs w:val="28"/>
              </w:rPr>
              <w:t>nozari. Minētais priekšlikums atbalstīts Latvijas Dizaina padomes 2014.gada 12.jūnija sēdē.</w:t>
            </w:r>
          </w:p>
          <w:p w:rsidR="003A614A" w:rsidRDefault="003A614A" w:rsidP="008D3351">
            <w:pPr>
              <w:jc w:val="both"/>
              <w:rPr>
                <w:sz w:val="28"/>
                <w:szCs w:val="28"/>
              </w:rPr>
            </w:pPr>
          </w:p>
          <w:p w:rsidR="00057196" w:rsidRPr="00D27A5A" w:rsidRDefault="00CE7F9D" w:rsidP="008D3351">
            <w:pPr>
              <w:jc w:val="both"/>
              <w:rPr>
                <w:sz w:val="28"/>
                <w:szCs w:val="28"/>
              </w:rPr>
            </w:pPr>
            <w:r w:rsidRPr="00D27A5A">
              <w:rPr>
                <w:sz w:val="28"/>
                <w:szCs w:val="28"/>
              </w:rPr>
              <w:t xml:space="preserve">Ar </w:t>
            </w:r>
            <w:r w:rsidR="008D3351">
              <w:rPr>
                <w:sz w:val="28"/>
                <w:szCs w:val="28"/>
              </w:rPr>
              <w:t>Projekta 4</w:t>
            </w:r>
            <w:r w:rsidR="00057196" w:rsidRPr="00D27A5A">
              <w:rPr>
                <w:sz w:val="28"/>
                <w:szCs w:val="28"/>
              </w:rPr>
              <w:t xml:space="preserve">.punktu </w:t>
            </w:r>
            <w:r w:rsidR="00544B06" w:rsidRPr="00D27A5A">
              <w:rPr>
                <w:sz w:val="28"/>
                <w:szCs w:val="28"/>
              </w:rPr>
              <w:t xml:space="preserve">tiek aktualizēts Liepājas mākslas vidusskolas nosaukums. Profesionālās izglītības likuma 15.panta pirmā daļa nosaka, ka profesionālās izglītības iestādes darbības tiesiskais pamats ir </w:t>
            </w:r>
            <w:r w:rsidRPr="00D27A5A">
              <w:rPr>
                <w:sz w:val="28"/>
                <w:szCs w:val="28"/>
              </w:rPr>
              <w:t>minētais</w:t>
            </w:r>
            <w:r w:rsidR="00544B06" w:rsidRPr="00D27A5A">
              <w:rPr>
                <w:sz w:val="28"/>
                <w:szCs w:val="28"/>
              </w:rPr>
              <w:t xml:space="preserve"> likums, Izglītības likums, citi normatīvie akti un attiecīgās profesionālās izglītības iestādes nolikums. Profesionālās izglītības iestādes nolikumu apstiprina tās dibinātājs. Savukārt Profesionālās izglītības likuma 16.panta otrā </w:t>
            </w:r>
            <w:r w:rsidR="00544B06" w:rsidRPr="00D27A5A">
              <w:rPr>
                <w:sz w:val="28"/>
                <w:szCs w:val="28"/>
              </w:rPr>
              <w:lastRenderedPageBreak/>
              <w:t>daļa nosaka, ka profesionālās izglītības iestādes nosaukumā papildus šā panta pirmajā daļā minētajam nosaukumam var ietvert norādi uz izglītības programmas raksturojumu. Pamatojoties uz Izglītības likuma 22.panta pirmo daļu, Profesionālās izglītības likuma 15.panta pirmo daļu, 16.panta otro daļu un pārejas noteikumu 4.punktu, Kultūras ministrija ar 2013.gada 28.marta rīkojumu Nr.5.1-1-87 „Par Liepājas mākslas vidusskolas nosaukuma maiņu un Liepājas Dizaina un mākslas vidusskolas nolikuma apstiprināšanu” ir mainījusi Kultūras ministrijas padotībā esošās profesionālās vidējās izglītības iestādes nosaukumu „Liepājas mākslas vidusskola” uz „Liepājas Dizaina un mākslas vidusskola” un apstiprinājusi Liepājas Dizaina un mākslas vidusskolas nolikuma jauno redakciju.</w:t>
            </w:r>
          </w:p>
        </w:tc>
      </w:tr>
      <w:tr w:rsidR="009A0027" w:rsidRPr="00D27A5A" w:rsidTr="00246C47">
        <w:trPr>
          <w:trHeight w:val="476"/>
        </w:trPr>
        <w:tc>
          <w:tcPr>
            <w:tcW w:w="346" w:type="pct"/>
          </w:tcPr>
          <w:p w:rsidR="00262E2B" w:rsidRPr="00D27A5A" w:rsidRDefault="003A3C61" w:rsidP="00C75FD9">
            <w:pPr>
              <w:pStyle w:val="naiskr"/>
              <w:spacing w:before="0" w:after="0"/>
              <w:jc w:val="center"/>
              <w:rPr>
                <w:sz w:val="28"/>
                <w:szCs w:val="28"/>
              </w:rPr>
            </w:pPr>
            <w:r w:rsidRPr="00D27A5A">
              <w:rPr>
                <w:sz w:val="28"/>
                <w:szCs w:val="28"/>
              </w:rPr>
              <w:lastRenderedPageBreak/>
              <w:t>3</w:t>
            </w:r>
            <w:r w:rsidR="00262E2B" w:rsidRPr="00D27A5A">
              <w:rPr>
                <w:sz w:val="28"/>
                <w:szCs w:val="28"/>
              </w:rPr>
              <w:t>.</w:t>
            </w:r>
          </w:p>
        </w:tc>
        <w:tc>
          <w:tcPr>
            <w:tcW w:w="1691" w:type="pct"/>
          </w:tcPr>
          <w:p w:rsidR="00262E2B" w:rsidRPr="00D27A5A" w:rsidRDefault="001A4066" w:rsidP="00C75FD9">
            <w:pPr>
              <w:pStyle w:val="naiskr"/>
              <w:spacing w:before="0" w:after="0"/>
              <w:rPr>
                <w:sz w:val="28"/>
                <w:szCs w:val="28"/>
              </w:rPr>
            </w:pPr>
            <w:r w:rsidRPr="00D27A5A">
              <w:rPr>
                <w:sz w:val="28"/>
                <w:szCs w:val="28"/>
              </w:rPr>
              <w:t>Projekta i</w:t>
            </w:r>
            <w:r w:rsidR="00262E2B" w:rsidRPr="00D27A5A">
              <w:rPr>
                <w:sz w:val="28"/>
                <w:szCs w:val="28"/>
              </w:rPr>
              <w:t>zstrād</w:t>
            </w:r>
            <w:r w:rsidR="00420870" w:rsidRPr="00D27A5A">
              <w:rPr>
                <w:sz w:val="28"/>
                <w:szCs w:val="28"/>
              </w:rPr>
              <w:t xml:space="preserve">ē </w:t>
            </w:r>
            <w:r w:rsidR="00262E2B" w:rsidRPr="00D27A5A">
              <w:rPr>
                <w:sz w:val="28"/>
                <w:szCs w:val="28"/>
              </w:rPr>
              <w:t>iesaistītās institūcijas</w:t>
            </w:r>
          </w:p>
        </w:tc>
        <w:tc>
          <w:tcPr>
            <w:tcW w:w="2962" w:type="pct"/>
          </w:tcPr>
          <w:p w:rsidR="009C5659" w:rsidRPr="00D27A5A" w:rsidRDefault="00C75FD9" w:rsidP="00C75FD9">
            <w:pPr>
              <w:pStyle w:val="naiskr"/>
              <w:spacing w:before="0" w:after="0"/>
              <w:jc w:val="both"/>
              <w:rPr>
                <w:sz w:val="28"/>
                <w:szCs w:val="28"/>
              </w:rPr>
            </w:pPr>
            <w:r w:rsidRPr="00D27A5A">
              <w:rPr>
                <w:sz w:val="28"/>
                <w:szCs w:val="28"/>
              </w:rPr>
              <w:t>Kultūras ministrija</w:t>
            </w:r>
            <w:r w:rsidR="00246C47">
              <w:rPr>
                <w:sz w:val="28"/>
                <w:szCs w:val="28"/>
              </w:rPr>
              <w:t>.</w:t>
            </w:r>
          </w:p>
        </w:tc>
      </w:tr>
      <w:tr w:rsidR="009A0027" w:rsidRPr="00D27A5A" w:rsidTr="00246C47">
        <w:trPr>
          <w:trHeight w:val="362"/>
        </w:trPr>
        <w:tc>
          <w:tcPr>
            <w:tcW w:w="346" w:type="pct"/>
          </w:tcPr>
          <w:p w:rsidR="00262E2B" w:rsidRPr="00D27A5A" w:rsidRDefault="003A3C61" w:rsidP="00C75FD9">
            <w:pPr>
              <w:pStyle w:val="naiskr"/>
              <w:spacing w:before="0" w:after="0"/>
              <w:jc w:val="center"/>
              <w:rPr>
                <w:sz w:val="28"/>
                <w:szCs w:val="28"/>
              </w:rPr>
            </w:pPr>
            <w:r w:rsidRPr="00D27A5A">
              <w:rPr>
                <w:sz w:val="28"/>
                <w:szCs w:val="28"/>
              </w:rPr>
              <w:t>4</w:t>
            </w:r>
            <w:r w:rsidR="00262E2B" w:rsidRPr="00D27A5A">
              <w:rPr>
                <w:sz w:val="28"/>
                <w:szCs w:val="28"/>
              </w:rPr>
              <w:t>.</w:t>
            </w:r>
          </w:p>
        </w:tc>
        <w:tc>
          <w:tcPr>
            <w:tcW w:w="1691" w:type="pct"/>
          </w:tcPr>
          <w:p w:rsidR="00262E2B" w:rsidRPr="00D27A5A" w:rsidRDefault="00262E2B" w:rsidP="00C75FD9">
            <w:pPr>
              <w:pStyle w:val="naiskr"/>
              <w:spacing w:before="0" w:after="0"/>
              <w:rPr>
                <w:sz w:val="28"/>
                <w:szCs w:val="28"/>
              </w:rPr>
            </w:pPr>
            <w:r w:rsidRPr="00D27A5A">
              <w:rPr>
                <w:sz w:val="28"/>
                <w:szCs w:val="28"/>
              </w:rPr>
              <w:t>Cita informācija</w:t>
            </w:r>
          </w:p>
        </w:tc>
        <w:tc>
          <w:tcPr>
            <w:tcW w:w="2962" w:type="pct"/>
          </w:tcPr>
          <w:p w:rsidR="00F00FA3" w:rsidRPr="00D27A5A" w:rsidRDefault="00C75FD9" w:rsidP="00C75FD9">
            <w:pPr>
              <w:jc w:val="both"/>
              <w:rPr>
                <w:sz w:val="28"/>
                <w:szCs w:val="28"/>
              </w:rPr>
            </w:pPr>
            <w:r w:rsidRPr="00D27A5A">
              <w:rPr>
                <w:sz w:val="28"/>
                <w:szCs w:val="28"/>
              </w:rPr>
              <w:t>Nav</w:t>
            </w:r>
          </w:p>
        </w:tc>
      </w:tr>
    </w:tbl>
    <w:p w:rsidR="009D4EF6" w:rsidRPr="00D27A5A" w:rsidRDefault="009D4EF6" w:rsidP="00C75FD9">
      <w:pPr>
        <w:pStyle w:val="naisf"/>
        <w:spacing w:before="0" w:after="0"/>
        <w:ind w:firstLine="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52"/>
        <w:gridCol w:w="3092"/>
        <w:gridCol w:w="5441"/>
      </w:tblGrid>
      <w:tr w:rsidR="009A0027" w:rsidRPr="00D27A5A" w:rsidTr="00D27A5A">
        <w:trPr>
          <w:jc w:val="center"/>
        </w:trPr>
        <w:tc>
          <w:tcPr>
            <w:tcW w:w="5000" w:type="pct"/>
            <w:gridSpan w:val="3"/>
          </w:tcPr>
          <w:p w:rsidR="00FE4973" w:rsidRPr="00D27A5A" w:rsidRDefault="00FE4973" w:rsidP="00C75FD9">
            <w:pPr>
              <w:pStyle w:val="naisnod"/>
              <w:spacing w:before="0" w:after="0"/>
              <w:rPr>
                <w:sz w:val="28"/>
                <w:szCs w:val="28"/>
              </w:rPr>
            </w:pPr>
            <w:r w:rsidRPr="00D27A5A">
              <w:rPr>
                <w:sz w:val="28"/>
                <w:szCs w:val="28"/>
              </w:rPr>
              <w:t>II.</w:t>
            </w:r>
            <w:r w:rsidRPr="00D27A5A">
              <w:rPr>
                <w:bCs w:val="0"/>
                <w:sz w:val="28"/>
                <w:szCs w:val="28"/>
              </w:rPr>
              <w:t xml:space="preserve"> Tiesību akta projekta ietekme uz sabiedrību, tautsaimniecības attīstību un administratīvo slogu</w:t>
            </w:r>
          </w:p>
        </w:tc>
      </w:tr>
      <w:tr w:rsidR="009A0027" w:rsidRPr="00D27A5A" w:rsidTr="00246C47">
        <w:trPr>
          <w:jc w:val="center"/>
        </w:trPr>
        <w:tc>
          <w:tcPr>
            <w:tcW w:w="355" w:type="pct"/>
          </w:tcPr>
          <w:p w:rsidR="00FE4973" w:rsidRPr="00D27A5A" w:rsidRDefault="00FE4973" w:rsidP="00C75FD9">
            <w:pPr>
              <w:pStyle w:val="naiskr"/>
              <w:tabs>
                <w:tab w:val="left" w:pos="2628"/>
              </w:tabs>
              <w:spacing w:before="0" w:after="0"/>
              <w:jc w:val="center"/>
              <w:rPr>
                <w:iCs/>
                <w:sz w:val="28"/>
                <w:szCs w:val="28"/>
              </w:rPr>
            </w:pPr>
            <w:r w:rsidRPr="00D27A5A">
              <w:rPr>
                <w:iCs/>
                <w:sz w:val="28"/>
                <w:szCs w:val="28"/>
              </w:rPr>
              <w:t>1.</w:t>
            </w:r>
          </w:p>
        </w:tc>
        <w:tc>
          <w:tcPr>
            <w:tcW w:w="1683" w:type="pct"/>
          </w:tcPr>
          <w:p w:rsidR="00FE4973" w:rsidRPr="00D27A5A" w:rsidRDefault="00FE4973" w:rsidP="00C75FD9">
            <w:pPr>
              <w:pStyle w:val="naiskr"/>
              <w:spacing w:before="0" w:after="0"/>
              <w:rPr>
                <w:iCs/>
                <w:sz w:val="28"/>
                <w:szCs w:val="28"/>
              </w:rPr>
            </w:pPr>
            <w:r w:rsidRPr="00D27A5A">
              <w:rPr>
                <w:sz w:val="28"/>
                <w:szCs w:val="28"/>
              </w:rPr>
              <w:t>Sabiedrības mērķgrupas, kuras tiesiskais regulējums ietekmē vai varētu ietekmēt</w:t>
            </w:r>
          </w:p>
        </w:tc>
        <w:tc>
          <w:tcPr>
            <w:tcW w:w="2962" w:type="pct"/>
          </w:tcPr>
          <w:p w:rsidR="00477962" w:rsidRPr="00D27A5A" w:rsidRDefault="00F43A66" w:rsidP="007918B6">
            <w:pPr>
              <w:pStyle w:val="naiskr"/>
              <w:tabs>
                <w:tab w:val="left" w:pos="360"/>
              </w:tabs>
              <w:spacing w:before="0" w:after="0"/>
              <w:jc w:val="both"/>
              <w:rPr>
                <w:sz w:val="28"/>
                <w:szCs w:val="28"/>
              </w:rPr>
            </w:pPr>
            <w:r w:rsidRPr="00D27A5A">
              <w:rPr>
                <w:sz w:val="28"/>
                <w:szCs w:val="28"/>
              </w:rPr>
              <w:t xml:space="preserve">Latvijā reģistrētie masu informācijas līdzekļi atbilstoši likumam „Par presi un </w:t>
            </w:r>
            <w:r w:rsidR="000A1511" w:rsidRPr="00D27A5A">
              <w:rPr>
                <w:sz w:val="28"/>
                <w:szCs w:val="28"/>
              </w:rPr>
              <w:t xml:space="preserve">citiem </w:t>
            </w:r>
            <w:r w:rsidRPr="00D27A5A">
              <w:rPr>
                <w:sz w:val="28"/>
                <w:szCs w:val="28"/>
              </w:rPr>
              <w:t xml:space="preserve">masu informācijas līdzekļiem” </w:t>
            </w:r>
            <w:r w:rsidR="00D426FB" w:rsidRPr="00D27A5A">
              <w:rPr>
                <w:sz w:val="28"/>
                <w:szCs w:val="28"/>
              </w:rPr>
              <w:t xml:space="preserve">2.pantam. Atbilstoši Uzņēmumu reģistra publiski pieejamai statistikas informācijai, 02.06.2014. </w:t>
            </w:r>
            <w:r w:rsidR="004578BE" w:rsidRPr="00D27A5A">
              <w:rPr>
                <w:sz w:val="28"/>
                <w:szCs w:val="28"/>
              </w:rPr>
              <w:t>reģistr</w:t>
            </w:r>
            <w:r w:rsidR="00477962" w:rsidRPr="00D27A5A">
              <w:rPr>
                <w:sz w:val="28"/>
                <w:szCs w:val="28"/>
              </w:rPr>
              <w:t>ēts</w:t>
            </w:r>
            <w:r w:rsidR="004578BE" w:rsidRPr="00D27A5A">
              <w:rPr>
                <w:sz w:val="28"/>
                <w:szCs w:val="28"/>
              </w:rPr>
              <w:t xml:space="preserve"> </w:t>
            </w:r>
            <w:r w:rsidR="00BF028B" w:rsidRPr="00D27A5A">
              <w:rPr>
                <w:sz w:val="28"/>
                <w:szCs w:val="28"/>
              </w:rPr>
              <w:t>1511</w:t>
            </w:r>
            <w:r w:rsidR="00477962" w:rsidRPr="00D27A5A">
              <w:rPr>
                <w:sz w:val="28"/>
                <w:szCs w:val="28"/>
              </w:rPr>
              <w:t xml:space="preserve"> masu informācijas līdzeklis</w:t>
            </w:r>
            <w:r w:rsidR="00BF028B" w:rsidRPr="00D27A5A">
              <w:rPr>
                <w:sz w:val="28"/>
                <w:szCs w:val="28"/>
              </w:rPr>
              <w:t xml:space="preserve">, tai skaitā aktīvi </w:t>
            </w:r>
            <w:r w:rsidR="00353DF9" w:rsidRPr="00D27A5A">
              <w:rPr>
                <w:sz w:val="28"/>
                <w:szCs w:val="28"/>
              </w:rPr>
              <w:t>–</w:t>
            </w:r>
            <w:r w:rsidR="00353DF9">
              <w:rPr>
                <w:sz w:val="28"/>
                <w:szCs w:val="28"/>
              </w:rPr>
              <w:t xml:space="preserve"> </w:t>
            </w:r>
            <w:r w:rsidR="00BF028B" w:rsidRPr="00D27A5A">
              <w:rPr>
                <w:sz w:val="28"/>
                <w:szCs w:val="28"/>
              </w:rPr>
              <w:t xml:space="preserve">1487; izbeiguši darbību </w:t>
            </w:r>
            <w:r w:rsidR="00477962" w:rsidRPr="00D27A5A">
              <w:rPr>
                <w:sz w:val="28"/>
                <w:szCs w:val="28"/>
              </w:rPr>
              <w:t>–</w:t>
            </w:r>
            <w:r w:rsidR="00BF028B" w:rsidRPr="00D27A5A">
              <w:rPr>
                <w:sz w:val="28"/>
                <w:szCs w:val="28"/>
              </w:rPr>
              <w:t xml:space="preserve"> 24</w:t>
            </w:r>
            <w:r w:rsidR="00477962" w:rsidRPr="00D27A5A">
              <w:rPr>
                <w:sz w:val="28"/>
                <w:szCs w:val="28"/>
              </w:rPr>
              <w:t>.</w:t>
            </w:r>
          </w:p>
        </w:tc>
      </w:tr>
      <w:tr w:rsidR="009A0027" w:rsidRPr="00D27A5A" w:rsidTr="00246C47">
        <w:trPr>
          <w:jc w:val="center"/>
        </w:trPr>
        <w:tc>
          <w:tcPr>
            <w:tcW w:w="355" w:type="pct"/>
          </w:tcPr>
          <w:p w:rsidR="00FE4973" w:rsidRPr="00D27A5A" w:rsidRDefault="00FE4973" w:rsidP="00C75FD9">
            <w:pPr>
              <w:pStyle w:val="naiskr"/>
              <w:tabs>
                <w:tab w:val="left" w:pos="2628"/>
              </w:tabs>
              <w:spacing w:before="0" w:after="0"/>
              <w:jc w:val="center"/>
              <w:rPr>
                <w:iCs/>
                <w:sz w:val="28"/>
                <w:szCs w:val="28"/>
              </w:rPr>
            </w:pPr>
            <w:r w:rsidRPr="00D27A5A">
              <w:rPr>
                <w:iCs/>
                <w:sz w:val="28"/>
                <w:szCs w:val="28"/>
              </w:rPr>
              <w:t>2.</w:t>
            </w:r>
          </w:p>
        </w:tc>
        <w:tc>
          <w:tcPr>
            <w:tcW w:w="1683" w:type="pct"/>
          </w:tcPr>
          <w:p w:rsidR="00FE4973" w:rsidRPr="00D27A5A" w:rsidRDefault="00FE4973" w:rsidP="00C75FD9">
            <w:pPr>
              <w:pStyle w:val="naiskr"/>
              <w:spacing w:before="0" w:after="0"/>
              <w:rPr>
                <w:sz w:val="28"/>
                <w:szCs w:val="28"/>
              </w:rPr>
            </w:pPr>
            <w:r w:rsidRPr="00D27A5A">
              <w:rPr>
                <w:sz w:val="28"/>
                <w:szCs w:val="28"/>
              </w:rPr>
              <w:t>Tiesiskā regulējuma ietekme uz tautsaimniecību un administratīvo slogu</w:t>
            </w:r>
          </w:p>
        </w:tc>
        <w:tc>
          <w:tcPr>
            <w:tcW w:w="2962" w:type="pct"/>
          </w:tcPr>
          <w:p w:rsidR="00477962" w:rsidRPr="00D27A5A" w:rsidRDefault="00353DF9" w:rsidP="00477962">
            <w:pPr>
              <w:pStyle w:val="naiskr"/>
              <w:tabs>
                <w:tab w:val="left" w:pos="283"/>
              </w:tabs>
              <w:spacing w:before="0" w:after="0"/>
              <w:jc w:val="both"/>
              <w:rPr>
                <w:sz w:val="28"/>
                <w:szCs w:val="28"/>
              </w:rPr>
            </w:pPr>
            <w:r>
              <w:rPr>
                <w:sz w:val="28"/>
                <w:szCs w:val="28"/>
              </w:rPr>
              <w:t>P</w:t>
            </w:r>
            <w:r w:rsidR="00477962" w:rsidRPr="00D27A5A">
              <w:rPr>
                <w:sz w:val="28"/>
                <w:szCs w:val="28"/>
              </w:rPr>
              <w:t xml:space="preserve">rojekts neparedz papildus administratīvās prasības masu informācijas līdzekļiem – tai skaitā netiek paredzēta reģistrācija un/vai izmaiņas tajā. Ietekme uz administratīvo slogu netiek paredzēta.  </w:t>
            </w:r>
          </w:p>
        </w:tc>
      </w:tr>
      <w:tr w:rsidR="009A0027" w:rsidRPr="00D27A5A" w:rsidTr="00246C47">
        <w:trPr>
          <w:jc w:val="center"/>
        </w:trPr>
        <w:tc>
          <w:tcPr>
            <w:tcW w:w="355" w:type="pct"/>
          </w:tcPr>
          <w:p w:rsidR="00FE4973" w:rsidRPr="00D27A5A" w:rsidRDefault="00FE4973" w:rsidP="00C75FD9">
            <w:pPr>
              <w:pStyle w:val="naiskr"/>
              <w:tabs>
                <w:tab w:val="left" w:pos="2628"/>
              </w:tabs>
              <w:spacing w:before="0" w:after="0"/>
              <w:jc w:val="center"/>
              <w:rPr>
                <w:iCs/>
                <w:sz w:val="28"/>
                <w:szCs w:val="28"/>
              </w:rPr>
            </w:pPr>
            <w:r w:rsidRPr="00D27A5A">
              <w:rPr>
                <w:iCs/>
                <w:sz w:val="28"/>
                <w:szCs w:val="28"/>
              </w:rPr>
              <w:t>3.</w:t>
            </w:r>
          </w:p>
        </w:tc>
        <w:tc>
          <w:tcPr>
            <w:tcW w:w="1683" w:type="pct"/>
          </w:tcPr>
          <w:p w:rsidR="00FE4973" w:rsidRPr="00D27A5A" w:rsidRDefault="00FE4973" w:rsidP="00C75FD9">
            <w:pPr>
              <w:pStyle w:val="naiskr"/>
              <w:tabs>
                <w:tab w:val="left" w:pos="2628"/>
              </w:tabs>
              <w:spacing w:before="0" w:after="0"/>
              <w:rPr>
                <w:iCs/>
                <w:sz w:val="28"/>
                <w:szCs w:val="28"/>
              </w:rPr>
            </w:pPr>
            <w:r w:rsidRPr="00D27A5A">
              <w:rPr>
                <w:sz w:val="28"/>
                <w:szCs w:val="28"/>
              </w:rPr>
              <w:t>Administratīvo izmaksu monetārs novērtējums</w:t>
            </w:r>
          </w:p>
        </w:tc>
        <w:tc>
          <w:tcPr>
            <w:tcW w:w="2962" w:type="pct"/>
          </w:tcPr>
          <w:p w:rsidR="00FE4973" w:rsidRPr="00D27A5A" w:rsidRDefault="00303F8C" w:rsidP="00C75FD9">
            <w:pPr>
              <w:pStyle w:val="naiskr"/>
              <w:tabs>
                <w:tab w:val="left" w:pos="2628"/>
              </w:tabs>
              <w:spacing w:before="0" w:after="0"/>
              <w:jc w:val="both"/>
              <w:rPr>
                <w:iCs/>
                <w:sz w:val="28"/>
                <w:szCs w:val="28"/>
              </w:rPr>
            </w:pPr>
            <w:r w:rsidRPr="00D27A5A">
              <w:rPr>
                <w:iCs/>
                <w:sz w:val="28"/>
                <w:szCs w:val="28"/>
              </w:rPr>
              <w:t>Projekts šo jomu neskar.</w:t>
            </w:r>
          </w:p>
        </w:tc>
      </w:tr>
      <w:tr w:rsidR="009A0027" w:rsidRPr="00D27A5A" w:rsidTr="00246C47">
        <w:trPr>
          <w:trHeight w:val="411"/>
          <w:jc w:val="center"/>
        </w:trPr>
        <w:tc>
          <w:tcPr>
            <w:tcW w:w="355" w:type="pct"/>
          </w:tcPr>
          <w:p w:rsidR="00FE4973" w:rsidRPr="00D27A5A" w:rsidRDefault="00FE4973" w:rsidP="00C75FD9">
            <w:pPr>
              <w:pStyle w:val="naiskr"/>
              <w:tabs>
                <w:tab w:val="left" w:pos="2628"/>
              </w:tabs>
              <w:spacing w:before="0" w:after="0"/>
              <w:jc w:val="center"/>
              <w:rPr>
                <w:iCs/>
                <w:sz w:val="28"/>
                <w:szCs w:val="28"/>
              </w:rPr>
            </w:pPr>
            <w:r w:rsidRPr="00D27A5A">
              <w:rPr>
                <w:iCs/>
                <w:sz w:val="28"/>
                <w:szCs w:val="28"/>
              </w:rPr>
              <w:t>4.</w:t>
            </w:r>
          </w:p>
        </w:tc>
        <w:tc>
          <w:tcPr>
            <w:tcW w:w="1683" w:type="pct"/>
          </w:tcPr>
          <w:p w:rsidR="00FE4973" w:rsidRPr="00D27A5A" w:rsidRDefault="00FE4973" w:rsidP="00C75FD9">
            <w:pPr>
              <w:pStyle w:val="naiskr"/>
              <w:tabs>
                <w:tab w:val="left" w:pos="2628"/>
              </w:tabs>
              <w:spacing w:before="0" w:after="0"/>
              <w:rPr>
                <w:sz w:val="28"/>
                <w:szCs w:val="28"/>
              </w:rPr>
            </w:pPr>
            <w:r w:rsidRPr="00D27A5A">
              <w:rPr>
                <w:sz w:val="28"/>
                <w:szCs w:val="28"/>
              </w:rPr>
              <w:t>Cita informācija</w:t>
            </w:r>
          </w:p>
        </w:tc>
        <w:tc>
          <w:tcPr>
            <w:tcW w:w="2962" w:type="pct"/>
          </w:tcPr>
          <w:p w:rsidR="00FE4973" w:rsidRPr="00D27A5A" w:rsidRDefault="00F64A42" w:rsidP="00C75FD9">
            <w:pPr>
              <w:pStyle w:val="naiskr"/>
              <w:tabs>
                <w:tab w:val="left" w:pos="2628"/>
              </w:tabs>
              <w:spacing w:before="0" w:after="0"/>
              <w:jc w:val="both"/>
              <w:rPr>
                <w:sz w:val="28"/>
                <w:szCs w:val="28"/>
              </w:rPr>
            </w:pPr>
            <w:r w:rsidRPr="00D27A5A">
              <w:rPr>
                <w:sz w:val="28"/>
                <w:szCs w:val="28"/>
              </w:rPr>
              <w:t>Nav</w:t>
            </w:r>
          </w:p>
        </w:tc>
      </w:tr>
    </w:tbl>
    <w:p w:rsidR="00B86A85" w:rsidRPr="00D27A5A" w:rsidRDefault="00B86A85" w:rsidP="00C75FD9">
      <w:pPr>
        <w:pStyle w:val="naisf"/>
        <w:spacing w:before="0" w:after="0"/>
        <w:ind w:firstLine="0"/>
        <w:rPr>
          <w:sz w:val="28"/>
          <w:szCs w:val="28"/>
        </w:rPr>
      </w:pPr>
    </w:p>
    <w:tbl>
      <w:tblPr>
        <w:tblpPr w:leftFromText="180" w:rightFromText="180" w:vertAnchor="text" w:horzAnchor="margin" w:tblpXSpec="center" w:tblpY="151"/>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1702"/>
        <w:gridCol w:w="1511"/>
        <w:gridCol w:w="1439"/>
        <w:gridCol w:w="1495"/>
        <w:gridCol w:w="1439"/>
        <w:gridCol w:w="1545"/>
      </w:tblGrid>
      <w:tr w:rsidR="00FE5949" w:rsidRPr="00D27A5A" w:rsidTr="009C4ED5">
        <w:tc>
          <w:tcPr>
            <w:tcW w:w="5000" w:type="pct"/>
            <w:gridSpan w:val="6"/>
            <w:tcBorders>
              <w:top w:val="outset" w:sz="6" w:space="0" w:color="000000"/>
              <w:left w:val="outset" w:sz="6" w:space="0" w:color="000000"/>
              <w:bottom w:val="outset" w:sz="6" w:space="0" w:color="000000"/>
              <w:right w:val="outset" w:sz="6" w:space="0" w:color="000000"/>
            </w:tcBorders>
          </w:tcPr>
          <w:p w:rsidR="00FE5949" w:rsidRPr="00D27A5A" w:rsidRDefault="00FE5949" w:rsidP="000C7EE8">
            <w:pPr>
              <w:jc w:val="center"/>
              <w:rPr>
                <w:b/>
                <w:bCs/>
                <w:sz w:val="28"/>
                <w:szCs w:val="28"/>
              </w:rPr>
            </w:pPr>
            <w:r w:rsidRPr="00D27A5A">
              <w:rPr>
                <w:b/>
                <w:bCs/>
                <w:sz w:val="28"/>
                <w:szCs w:val="28"/>
              </w:rPr>
              <w:t>III. Tiesību akta projekta ietekme uz valsts budžetu un pašvaldību budžetiem</w:t>
            </w:r>
          </w:p>
        </w:tc>
      </w:tr>
      <w:tr w:rsidR="00FE5949" w:rsidRPr="00D27A5A" w:rsidTr="009C4ED5">
        <w:tc>
          <w:tcPr>
            <w:tcW w:w="932" w:type="pct"/>
            <w:vMerge w:val="restart"/>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353DF9">
            <w:pPr>
              <w:jc w:val="center"/>
              <w:rPr>
                <w:b/>
                <w:bCs/>
                <w:sz w:val="28"/>
                <w:szCs w:val="28"/>
              </w:rPr>
            </w:pPr>
            <w:r w:rsidRPr="00D27A5A">
              <w:rPr>
                <w:b/>
                <w:bCs/>
                <w:sz w:val="28"/>
                <w:szCs w:val="28"/>
              </w:rPr>
              <w:lastRenderedPageBreak/>
              <w:t>Rādītāji</w:t>
            </w:r>
          </w:p>
        </w:tc>
        <w:tc>
          <w:tcPr>
            <w:tcW w:w="1590" w:type="pct"/>
            <w:gridSpan w:val="2"/>
            <w:vMerge w:val="restart"/>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center"/>
              <w:rPr>
                <w:b/>
                <w:bCs/>
                <w:sz w:val="28"/>
                <w:szCs w:val="28"/>
              </w:rPr>
            </w:pPr>
            <w:r w:rsidRPr="00D27A5A">
              <w:rPr>
                <w:b/>
                <w:bCs/>
                <w:sz w:val="28"/>
                <w:szCs w:val="28"/>
              </w:rPr>
              <w:t>2014</w:t>
            </w:r>
            <w:r w:rsidR="00164EA6">
              <w:rPr>
                <w:b/>
                <w:bCs/>
                <w:sz w:val="28"/>
                <w:szCs w:val="28"/>
              </w:rPr>
              <w:t>.gads</w:t>
            </w:r>
          </w:p>
        </w:tc>
        <w:tc>
          <w:tcPr>
            <w:tcW w:w="2478" w:type="pct"/>
            <w:gridSpan w:val="3"/>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164EA6">
            <w:pPr>
              <w:jc w:val="center"/>
              <w:rPr>
                <w:sz w:val="28"/>
                <w:szCs w:val="28"/>
              </w:rPr>
            </w:pPr>
            <w:r w:rsidRPr="00D27A5A">
              <w:rPr>
                <w:sz w:val="28"/>
                <w:szCs w:val="28"/>
              </w:rPr>
              <w:t>Turpmākie trīs gadi (</w:t>
            </w:r>
            <w:r w:rsidR="00353DF9" w:rsidRPr="00353DF9">
              <w:rPr>
                <w:i/>
                <w:sz w:val="28"/>
                <w:szCs w:val="28"/>
              </w:rPr>
              <w:t>euro</w:t>
            </w:r>
            <w:r w:rsidRPr="00D27A5A">
              <w:rPr>
                <w:sz w:val="28"/>
                <w:szCs w:val="28"/>
              </w:rPr>
              <w:t>)</w:t>
            </w:r>
          </w:p>
        </w:tc>
      </w:tr>
      <w:tr w:rsidR="00FE5949" w:rsidRPr="00D27A5A" w:rsidTr="009C4ED5">
        <w:trPr>
          <w:trHeight w:val="254"/>
        </w:trPr>
        <w:tc>
          <w:tcPr>
            <w:tcW w:w="932" w:type="pct"/>
            <w:vMerge/>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both"/>
              <w:rPr>
                <w:b/>
                <w:bCs/>
                <w:sz w:val="28"/>
                <w:szCs w:val="28"/>
              </w:rPr>
            </w:pPr>
          </w:p>
        </w:tc>
        <w:tc>
          <w:tcPr>
            <w:tcW w:w="1590" w:type="pct"/>
            <w:gridSpan w:val="2"/>
            <w:vMerge/>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both"/>
              <w:rPr>
                <w:b/>
                <w:bCs/>
                <w:sz w:val="28"/>
                <w:szCs w:val="28"/>
              </w:rPr>
            </w:pPr>
          </w:p>
        </w:tc>
        <w:tc>
          <w:tcPr>
            <w:tcW w:w="827" w:type="pct"/>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center"/>
              <w:rPr>
                <w:b/>
                <w:bCs/>
                <w:sz w:val="28"/>
                <w:szCs w:val="28"/>
              </w:rPr>
            </w:pPr>
            <w:r w:rsidRPr="00D27A5A">
              <w:rPr>
                <w:b/>
                <w:bCs/>
                <w:sz w:val="28"/>
                <w:szCs w:val="28"/>
              </w:rPr>
              <w:t>2015</w:t>
            </w:r>
          </w:p>
        </w:tc>
        <w:tc>
          <w:tcPr>
            <w:tcW w:w="796" w:type="pct"/>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center"/>
              <w:rPr>
                <w:b/>
                <w:bCs/>
                <w:sz w:val="28"/>
                <w:szCs w:val="28"/>
              </w:rPr>
            </w:pPr>
            <w:r w:rsidRPr="00D27A5A">
              <w:rPr>
                <w:b/>
                <w:bCs/>
                <w:sz w:val="28"/>
                <w:szCs w:val="28"/>
              </w:rPr>
              <w:t>2016</w:t>
            </w:r>
          </w:p>
        </w:tc>
        <w:tc>
          <w:tcPr>
            <w:tcW w:w="855" w:type="pct"/>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center"/>
              <w:rPr>
                <w:b/>
                <w:bCs/>
                <w:sz w:val="28"/>
                <w:szCs w:val="28"/>
              </w:rPr>
            </w:pPr>
            <w:r w:rsidRPr="00D27A5A">
              <w:rPr>
                <w:b/>
                <w:bCs/>
                <w:sz w:val="28"/>
                <w:szCs w:val="28"/>
              </w:rPr>
              <w:t>2017</w:t>
            </w:r>
          </w:p>
        </w:tc>
      </w:tr>
      <w:tr w:rsidR="00FE5949" w:rsidRPr="00D27A5A" w:rsidTr="009C4ED5">
        <w:tc>
          <w:tcPr>
            <w:tcW w:w="932" w:type="pct"/>
            <w:vMerge/>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both"/>
              <w:rPr>
                <w:b/>
                <w:bCs/>
                <w:sz w:val="28"/>
                <w:szCs w:val="28"/>
              </w:rPr>
            </w:pPr>
          </w:p>
        </w:tc>
        <w:tc>
          <w:tcPr>
            <w:tcW w:w="794" w:type="pct"/>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353DF9">
            <w:pPr>
              <w:jc w:val="center"/>
              <w:rPr>
                <w:sz w:val="28"/>
                <w:szCs w:val="28"/>
              </w:rPr>
            </w:pPr>
            <w:r w:rsidRPr="00D27A5A">
              <w:rPr>
                <w:sz w:val="28"/>
                <w:szCs w:val="28"/>
              </w:rPr>
              <w:t>Saskaņā ar valsts budžetu kārtējam gadam</w:t>
            </w:r>
          </w:p>
        </w:tc>
        <w:tc>
          <w:tcPr>
            <w:tcW w:w="796" w:type="pct"/>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353DF9">
            <w:pPr>
              <w:jc w:val="center"/>
              <w:rPr>
                <w:sz w:val="28"/>
                <w:szCs w:val="28"/>
              </w:rPr>
            </w:pPr>
            <w:r w:rsidRPr="00D27A5A">
              <w:rPr>
                <w:sz w:val="28"/>
                <w:szCs w:val="28"/>
              </w:rPr>
              <w:t>Izmaiņas kārtējā gadā, salīdzinot ar budžetu kārtējam gadam</w:t>
            </w:r>
          </w:p>
        </w:tc>
        <w:tc>
          <w:tcPr>
            <w:tcW w:w="827" w:type="pct"/>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164EA6">
            <w:pPr>
              <w:jc w:val="center"/>
              <w:rPr>
                <w:sz w:val="28"/>
                <w:szCs w:val="28"/>
              </w:rPr>
            </w:pPr>
            <w:r w:rsidRPr="00D27A5A">
              <w:rPr>
                <w:sz w:val="28"/>
                <w:szCs w:val="28"/>
              </w:rPr>
              <w:t>Izmaiņas, salīdzinot ar kārtējo (</w:t>
            </w:r>
            <w:r w:rsidR="00164EA6">
              <w:rPr>
                <w:sz w:val="28"/>
                <w:szCs w:val="28"/>
              </w:rPr>
              <w:t>2014</w:t>
            </w:r>
            <w:r w:rsidRPr="00D27A5A">
              <w:rPr>
                <w:sz w:val="28"/>
                <w:szCs w:val="28"/>
              </w:rPr>
              <w:t>) gadu</w:t>
            </w:r>
          </w:p>
        </w:tc>
        <w:tc>
          <w:tcPr>
            <w:tcW w:w="796" w:type="pct"/>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164EA6">
            <w:pPr>
              <w:jc w:val="center"/>
              <w:rPr>
                <w:sz w:val="28"/>
                <w:szCs w:val="28"/>
              </w:rPr>
            </w:pPr>
            <w:r w:rsidRPr="00D27A5A">
              <w:rPr>
                <w:sz w:val="28"/>
                <w:szCs w:val="28"/>
              </w:rPr>
              <w:t>Izmaiņas, salīdzinot ar kārtējo (</w:t>
            </w:r>
            <w:r w:rsidR="00164EA6">
              <w:rPr>
                <w:sz w:val="28"/>
                <w:szCs w:val="28"/>
              </w:rPr>
              <w:t>2014</w:t>
            </w:r>
            <w:r w:rsidRPr="00D27A5A">
              <w:rPr>
                <w:sz w:val="28"/>
                <w:szCs w:val="28"/>
              </w:rPr>
              <w:t>) gadu</w:t>
            </w:r>
          </w:p>
        </w:tc>
        <w:tc>
          <w:tcPr>
            <w:tcW w:w="855" w:type="pct"/>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164EA6">
            <w:pPr>
              <w:jc w:val="center"/>
              <w:rPr>
                <w:sz w:val="28"/>
                <w:szCs w:val="28"/>
              </w:rPr>
            </w:pPr>
            <w:r w:rsidRPr="00D27A5A">
              <w:rPr>
                <w:sz w:val="28"/>
                <w:szCs w:val="28"/>
              </w:rPr>
              <w:t>Izmaiņas, salīdzinot ar kārtējo (</w:t>
            </w:r>
            <w:r w:rsidR="00164EA6">
              <w:rPr>
                <w:sz w:val="28"/>
                <w:szCs w:val="28"/>
              </w:rPr>
              <w:t>2014</w:t>
            </w:r>
            <w:r w:rsidRPr="00D27A5A">
              <w:rPr>
                <w:sz w:val="28"/>
                <w:szCs w:val="28"/>
              </w:rPr>
              <w:t>) gadu</w:t>
            </w: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center"/>
              <w:rPr>
                <w:sz w:val="28"/>
                <w:szCs w:val="28"/>
              </w:rPr>
            </w:pPr>
            <w:r w:rsidRPr="00D27A5A">
              <w:rPr>
                <w:sz w:val="28"/>
                <w:szCs w:val="28"/>
              </w:rPr>
              <w:t>1</w:t>
            </w:r>
          </w:p>
        </w:tc>
        <w:tc>
          <w:tcPr>
            <w:tcW w:w="794" w:type="pct"/>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center"/>
              <w:rPr>
                <w:sz w:val="28"/>
                <w:szCs w:val="28"/>
              </w:rPr>
            </w:pPr>
            <w:r w:rsidRPr="00D27A5A">
              <w:rPr>
                <w:sz w:val="28"/>
                <w:szCs w:val="28"/>
              </w:rPr>
              <w:t>2</w:t>
            </w:r>
          </w:p>
        </w:tc>
        <w:tc>
          <w:tcPr>
            <w:tcW w:w="796" w:type="pct"/>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center"/>
              <w:rPr>
                <w:sz w:val="28"/>
                <w:szCs w:val="28"/>
              </w:rPr>
            </w:pPr>
            <w:r w:rsidRPr="00D27A5A">
              <w:rPr>
                <w:sz w:val="28"/>
                <w:szCs w:val="28"/>
              </w:rPr>
              <w:t>3</w:t>
            </w:r>
          </w:p>
        </w:tc>
        <w:tc>
          <w:tcPr>
            <w:tcW w:w="827" w:type="pct"/>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center"/>
              <w:rPr>
                <w:sz w:val="28"/>
                <w:szCs w:val="28"/>
              </w:rPr>
            </w:pPr>
            <w:r w:rsidRPr="00D27A5A">
              <w:rPr>
                <w:sz w:val="28"/>
                <w:szCs w:val="28"/>
              </w:rPr>
              <w:t>4</w:t>
            </w:r>
          </w:p>
        </w:tc>
        <w:tc>
          <w:tcPr>
            <w:tcW w:w="796" w:type="pct"/>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center"/>
              <w:rPr>
                <w:sz w:val="28"/>
                <w:szCs w:val="28"/>
              </w:rPr>
            </w:pPr>
            <w:r w:rsidRPr="00D27A5A">
              <w:rPr>
                <w:sz w:val="28"/>
                <w:szCs w:val="28"/>
              </w:rPr>
              <w:t>5</w:t>
            </w:r>
          </w:p>
        </w:tc>
        <w:tc>
          <w:tcPr>
            <w:tcW w:w="855" w:type="pct"/>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center"/>
              <w:rPr>
                <w:sz w:val="28"/>
                <w:szCs w:val="28"/>
              </w:rPr>
            </w:pPr>
            <w:r w:rsidRPr="00D27A5A">
              <w:rPr>
                <w:sz w:val="28"/>
                <w:szCs w:val="28"/>
              </w:rPr>
              <w:t>6</w:t>
            </w: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FD0B6B" w:rsidRDefault="00FE5949" w:rsidP="00C75FD9">
            <w:pPr>
              <w:jc w:val="both"/>
              <w:rPr>
                <w:sz w:val="28"/>
                <w:szCs w:val="28"/>
              </w:rPr>
            </w:pPr>
            <w:r w:rsidRPr="00FD0B6B">
              <w:rPr>
                <w:sz w:val="28"/>
                <w:szCs w:val="28"/>
              </w:rPr>
              <w:t>1. Budžeta ieņēmumi:</w:t>
            </w:r>
          </w:p>
        </w:tc>
        <w:tc>
          <w:tcPr>
            <w:tcW w:w="794" w:type="pct"/>
            <w:tcBorders>
              <w:top w:val="outset" w:sz="6" w:space="0" w:color="000000"/>
              <w:left w:val="outset" w:sz="6" w:space="0" w:color="000000"/>
              <w:bottom w:val="outset" w:sz="6" w:space="0" w:color="000000"/>
              <w:right w:val="outset" w:sz="6" w:space="0" w:color="000000"/>
            </w:tcBorders>
          </w:tcPr>
          <w:p w:rsidR="00FE5949" w:rsidRPr="00FD0B6B" w:rsidRDefault="00FE5949" w:rsidP="00C75FD9">
            <w:pPr>
              <w:jc w:val="center"/>
              <w:rPr>
                <w:sz w:val="28"/>
                <w:szCs w:val="28"/>
              </w:rPr>
            </w:pPr>
            <w:r w:rsidRPr="00FD0B6B">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FD0B6B" w:rsidRDefault="00FE5949" w:rsidP="00C75FD9">
            <w:pPr>
              <w:jc w:val="center"/>
              <w:rPr>
                <w:sz w:val="28"/>
                <w:szCs w:val="28"/>
              </w:rPr>
            </w:pPr>
            <w:r w:rsidRPr="00FD0B6B">
              <w:rPr>
                <w:sz w:val="28"/>
                <w:szCs w:val="28"/>
              </w:rPr>
              <w:t>0</w:t>
            </w:r>
          </w:p>
        </w:tc>
        <w:tc>
          <w:tcPr>
            <w:tcW w:w="827" w:type="pct"/>
            <w:tcBorders>
              <w:top w:val="outset" w:sz="6" w:space="0" w:color="000000"/>
              <w:left w:val="outset" w:sz="6" w:space="0" w:color="000000"/>
              <w:bottom w:val="outset" w:sz="6" w:space="0" w:color="000000"/>
              <w:right w:val="outset" w:sz="6" w:space="0" w:color="000000"/>
            </w:tcBorders>
          </w:tcPr>
          <w:p w:rsidR="00FE5949" w:rsidRPr="00FD0B6B" w:rsidRDefault="00FE5949" w:rsidP="00C75FD9">
            <w:pPr>
              <w:jc w:val="center"/>
              <w:rPr>
                <w:sz w:val="28"/>
                <w:szCs w:val="28"/>
              </w:rPr>
            </w:pPr>
            <w:r w:rsidRPr="00FD0B6B">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FD0B6B" w:rsidRDefault="00FE5949" w:rsidP="00C75FD9">
            <w:pPr>
              <w:jc w:val="center"/>
              <w:rPr>
                <w:sz w:val="28"/>
                <w:szCs w:val="28"/>
              </w:rPr>
            </w:pPr>
            <w:r w:rsidRPr="00FD0B6B">
              <w:rPr>
                <w:sz w:val="28"/>
                <w:szCs w:val="28"/>
              </w:rPr>
              <w:t>0</w:t>
            </w:r>
          </w:p>
        </w:tc>
        <w:tc>
          <w:tcPr>
            <w:tcW w:w="855"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FD0B6B">
              <w:rPr>
                <w:sz w:val="28"/>
                <w:szCs w:val="28"/>
              </w:rPr>
              <w:t>0</w:t>
            </w: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both"/>
              <w:rPr>
                <w:sz w:val="28"/>
                <w:szCs w:val="28"/>
              </w:rPr>
            </w:pPr>
            <w:r w:rsidRPr="00D27A5A">
              <w:rPr>
                <w:sz w:val="28"/>
                <w:szCs w:val="28"/>
              </w:rPr>
              <w:t>1.1. valsts pamatbudžets, tai sk</w:t>
            </w:r>
            <w:r w:rsidR="00B946AE">
              <w:rPr>
                <w:sz w:val="28"/>
                <w:szCs w:val="28"/>
              </w:rPr>
              <w:t>aitā ieņēmumi no maksas pakalpo</w:t>
            </w:r>
            <w:r w:rsidRPr="00D27A5A">
              <w:rPr>
                <w:sz w:val="28"/>
                <w:szCs w:val="28"/>
              </w:rPr>
              <w:t>jumiem un citi pašu ieņēmumi</w:t>
            </w:r>
          </w:p>
        </w:tc>
        <w:tc>
          <w:tcPr>
            <w:tcW w:w="794"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27"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55"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both"/>
              <w:rPr>
                <w:sz w:val="28"/>
                <w:szCs w:val="28"/>
              </w:rPr>
            </w:pPr>
            <w:r w:rsidRPr="00D27A5A">
              <w:rPr>
                <w:sz w:val="28"/>
                <w:szCs w:val="28"/>
              </w:rPr>
              <w:t>1.2. valsts speciālais budžets</w:t>
            </w:r>
          </w:p>
        </w:tc>
        <w:tc>
          <w:tcPr>
            <w:tcW w:w="794"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27"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55"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both"/>
              <w:rPr>
                <w:sz w:val="28"/>
                <w:szCs w:val="28"/>
              </w:rPr>
            </w:pPr>
            <w:r w:rsidRPr="00D27A5A">
              <w:rPr>
                <w:sz w:val="28"/>
                <w:szCs w:val="28"/>
              </w:rPr>
              <w:t>1.3. pašvaldību budžets</w:t>
            </w:r>
          </w:p>
        </w:tc>
        <w:tc>
          <w:tcPr>
            <w:tcW w:w="794"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27"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55"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716DD7" w:rsidRDefault="00FE5949" w:rsidP="00C75FD9">
            <w:pPr>
              <w:jc w:val="both"/>
              <w:rPr>
                <w:sz w:val="28"/>
                <w:szCs w:val="28"/>
              </w:rPr>
            </w:pPr>
            <w:r w:rsidRPr="00716DD7">
              <w:rPr>
                <w:sz w:val="28"/>
                <w:szCs w:val="28"/>
              </w:rPr>
              <w:t>2. Budžeta izdevumi:</w:t>
            </w:r>
          </w:p>
        </w:tc>
        <w:tc>
          <w:tcPr>
            <w:tcW w:w="794" w:type="pct"/>
            <w:tcBorders>
              <w:top w:val="outset" w:sz="6" w:space="0" w:color="000000"/>
              <w:left w:val="outset" w:sz="6" w:space="0" w:color="000000"/>
              <w:bottom w:val="outset" w:sz="6" w:space="0" w:color="000000"/>
              <w:right w:val="outset" w:sz="6" w:space="0" w:color="000000"/>
            </w:tcBorders>
          </w:tcPr>
          <w:p w:rsidR="00FE5949" w:rsidRPr="00716DD7" w:rsidRDefault="00FE5949" w:rsidP="00C75FD9">
            <w:pPr>
              <w:jc w:val="center"/>
              <w:rPr>
                <w:sz w:val="28"/>
                <w:szCs w:val="28"/>
              </w:rPr>
            </w:pPr>
            <w:r w:rsidRPr="00716DD7">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716DD7" w:rsidRDefault="00FE5949" w:rsidP="00C75FD9">
            <w:pPr>
              <w:jc w:val="center"/>
              <w:rPr>
                <w:sz w:val="28"/>
                <w:szCs w:val="28"/>
              </w:rPr>
            </w:pPr>
            <w:r w:rsidRPr="00716DD7">
              <w:rPr>
                <w:sz w:val="28"/>
                <w:szCs w:val="28"/>
              </w:rPr>
              <w:t>0</w:t>
            </w:r>
          </w:p>
        </w:tc>
        <w:tc>
          <w:tcPr>
            <w:tcW w:w="827" w:type="pct"/>
            <w:tcBorders>
              <w:top w:val="outset" w:sz="6" w:space="0" w:color="000000"/>
              <w:left w:val="outset" w:sz="6" w:space="0" w:color="000000"/>
              <w:bottom w:val="outset" w:sz="6" w:space="0" w:color="000000"/>
              <w:right w:val="outset" w:sz="6" w:space="0" w:color="000000"/>
            </w:tcBorders>
          </w:tcPr>
          <w:p w:rsidR="00FE5949" w:rsidRPr="00716DD7" w:rsidRDefault="00716DD7" w:rsidP="00C75FD9">
            <w:pPr>
              <w:ind w:left="95" w:hanging="27"/>
              <w:jc w:val="center"/>
              <w:rPr>
                <w:sz w:val="28"/>
                <w:szCs w:val="28"/>
              </w:rPr>
            </w:pPr>
            <w:r w:rsidRPr="00716DD7">
              <w:rPr>
                <w:sz w:val="28"/>
                <w:szCs w:val="28"/>
              </w:rPr>
              <w:t>74 506</w:t>
            </w:r>
          </w:p>
        </w:tc>
        <w:tc>
          <w:tcPr>
            <w:tcW w:w="796" w:type="pct"/>
            <w:tcBorders>
              <w:top w:val="outset" w:sz="6" w:space="0" w:color="000000"/>
              <w:left w:val="outset" w:sz="6" w:space="0" w:color="000000"/>
              <w:bottom w:val="outset" w:sz="6" w:space="0" w:color="000000"/>
              <w:right w:val="outset" w:sz="6" w:space="0" w:color="000000"/>
            </w:tcBorders>
          </w:tcPr>
          <w:p w:rsidR="00FE5949" w:rsidRPr="00716DD7" w:rsidRDefault="00716DD7" w:rsidP="00C75FD9">
            <w:pPr>
              <w:jc w:val="center"/>
              <w:rPr>
                <w:sz w:val="28"/>
                <w:szCs w:val="28"/>
              </w:rPr>
            </w:pPr>
            <w:r w:rsidRPr="00716DD7">
              <w:rPr>
                <w:sz w:val="28"/>
                <w:szCs w:val="28"/>
              </w:rPr>
              <w:t>57 539</w:t>
            </w:r>
          </w:p>
        </w:tc>
        <w:tc>
          <w:tcPr>
            <w:tcW w:w="855" w:type="pct"/>
            <w:tcBorders>
              <w:top w:val="outset" w:sz="6" w:space="0" w:color="000000"/>
              <w:left w:val="outset" w:sz="6" w:space="0" w:color="000000"/>
              <w:bottom w:val="outset" w:sz="6" w:space="0" w:color="000000"/>
              <w:right w:val="outset" w:sz="6" w:space="0" w:color="000000"/>
            </w:tcBorders>
          </w:tcPr>
          <w:p w:rsidR="00716DD7" w:rsidRPr="00716DD7" w:rsidRDefault="00716DD7" w:rsidP="00716DD7">
            <w:pPr>
              <w:jc w:val="center"/>
              <w:rPr>
                <w:sz w:val="28"/>
                <w:szCs w:val="28"/>
              </w:rPr>
            </w:pPr>
            <w:r w:rsidRPr="00716DD7">
              <w:rPr>
                <w:sz w:val="28"/>
                <w:szCs w:val="28"/>
              </w:rPr>
              <w:t>57 539</w:t>
            </w: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716DD7" w:rsidRDefault="00FE5949" w:rsidP="00C75FD9">
            <w:pPr>
              <w:jc w:val="both"/>
              <w:rPr>
                <w:sz w:val="28"/>
                <w:szCs w:val="28"/>
              </w:rPr>
            </w:pPr>
            <w:r w:rsidRPr="00716DD7">
              <w:rPr>
                <w:sz w:val="28"/>
                <w:szCs w:val="28"/>
              </w:rPr>
              <w:t>2.1. valsts pamatbudžets</w:t>
            </w:r>
          </w:p>
        </w:tc>
        <w:tc>
          <w:tcPr>
            <w:tcW w:w="794" w:type="pct"/>
            <w:tcBorders>
              <w:top w:val="outset" w:sz="6" w:space="0" w:color="000000"/>
              <w:left w:val="outset" w:sz="6" w:space="0" w:color="000000"/>
              <w:bottom w:val="outset" w:sz="6" w:space="0" w:color="000000"/>
              <w:right w:val="outset" w:sz="6" w:space="0" w:color="000000"/>
            </w:tcBorders>
          </w:tcPr>
          <w:p w:rsidR="00FE5949" w:rsidRPr="00716DD7" w:rsidRDefault="00FE5949" w:rsidP="00C75FD9">
            <w:pPr>
              <w:jc w:val="center"/>
              <w:rPr>
                <w:sz w:val="28"/>
                <w:szCs w:val="28"/>
              </w:rPr>
            </w:pPr>
            <w:r w:rsidRPr="00716DD7">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716DD7" w:rsidRDefault="00FE5949" w:rsidP="00C75FD9">
            <w:pPr>
              <w:jc w:val="center"/>
              <w:rPr>
                <w:sz w:val="28"/>
                <w:szCs w:val="28"/>
              </w:rPr>
            </w:pPr>
            <w:r w:rsidRPr="00716DD7">
              <w:rPr>
                <w:sz w:val="28"/>
                <w:szCs w:val="28"/>
              </w:rPr>
              <w:t>0</w:t>
            </w:r>
          </w:p>
        </w:tc>
        <w:tc>
          <w:tcPr>
            <w:tcW w:w="827" w:type="pct"/>
            <w:tcBorders>
              <w:top w:val="outset" w:sz="6" w:space="0" w:color="000000"/>
              <w:left w:val="outset" w:sz="6" w:space="0" w:color="000000"/>
              <w:bottom w:val="outset" w:sz="6" w:space="0" w:color="000000"/>
              <w:right w:val="outset" w:sz="6" w:space="0" w:color="000000"/>
            </w:tcBorders>
          </w:tcPr>
          <w:p w:rsidR="00FE5949" w:rsidRPr="00716DD7" w:rsidRDefault="00716DD7" w:rsidP="00716DD7">
            <w:pPr>
              <w:jc w:val="center"/>
              <w:rPr>
                <w:sz w:val="28"/>
                <w:szCs w:val="28"/>
              </w:rPr>
            </w:pPr>
            <w:r w:rsidRPr="00716DD7">
              <w:rPr>
                <w:sz w:val="28"/>
                <w:szCs w:val="28"/>
              </w:rPr>
              <w:t>74 506</w:t>
            </w:r>
          </w:p>
        </w:tc>
        <w:tc>
          <w:tcPr>
            <w:tcW w:w="796" w:type="pct"/>
            <w:tcBorders>
              <w:top w:val="outset" w:sz="6" w:space="0" w:color="000000"/>
              <w:left w:val="outset" w:sz="6" w:space="0" w:color="000000"/>
              <w:bottom w:val="outset" w:sz="6" w:space="0" w:color="000000"/>
              <w:right w:val="outset" w:sz="6" w:space="0" w:color="000000"/>
            </w:tcBorders>
          </w:tcPr>
          <w:p w:rsidR="00FE5949" w:rsidRPr="00716DD7" w:rsidRDefault="00716DD7" w:rsidP="00C75FD9">
            <w:pPr>
              <w:jc w:val="center"/>
              <w:rPr>
                <w:sz w:val="28"/>
                <w:szCs w:val="28"/>
              </w:rPr>
            </w:pPr>
            <w:r w:rsidRPr="00716DD7">
              <w:rPr>
                <w:sz w:val="28"/>
                <w:szCs w:val="28"/>
              </w:rPr>
              <w:t>57 539</w:t>
            </w:r>
          </w:p>
        </w:tc>
        <w:tc>
          <w:tcPr>
            <w:tcW w:w="855" w:type="pct"/>
            <w:tcBorders>
              <w:top w:val="outset" w:sz="6" w:space="0" w:color="000000"/>
              <w:left w:val="outset" w:sz="6" w:space="0" w:color="000000"/>
              <w:bottom w:val="outset" w:sz="6" w:space="0" w:color="000000"/>
              <w:right w:val="outset" w:sz="6" w:space="0" w:color="000000"/>
            </w:tcBorders>
          </w:tcPr>
          <w:p w:rsidR="00FE5949" w:rsidRPr="00716DD7" w:rsidRDefault="00716DD7" w:rsidP="00C75FD9">
            <w:pPr>
              <w:jc w:val="center"/>
              <w:rPr>
                <w:sz w:val="28"/>
                <w:szCs w:val="28"/>
              </w:rPr>
            </w:pPr>
            <w:r w:rsidRPr="00716DD7">
              <w:rPr>
                <w:sz w:val="28"/>
                <w:szCs w:val="28"/>
              </w:rPr>
              <w:t>57 539</w:t>
            </w: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both"/>
              <w:rPr>
                <w:sz w:val="28"/>
                <w:szCs w:val="28"/>
              </w:rPr>
            </w:pPr>
            <w:r w:rsidRPr="00D27A5A">
              <w:rPr>
                <w:sz w:val="28"/>
                <w:szCs w:val="28"/>
              </w:rPr>
              <w:t>2.2. valsts speciālais budžets</w:t>
            </w:r>
          </w:p>
        </w:tc>
        <w:tc>
          <w:tcPr>
            <w:tcW w:w="794"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27"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55"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both"/>
              <w:rPr>
                <w:sz w:val="28"/>
                <w:szCs w:val="28"/>
              </w:rPr>
            </w:pPr>
            <w:r w:rsidRPr="00D27A5A">
              <w:rPr>
                <w:sz w:val="28"/>
                <w:szCs w:val="28"/>
              </w:rPr>
              <w:t>2.3. pašvaldību budžets</w:t>
            </w:r>
          </w:p>
        </w:tc>
        <w:tc>
          <w:tcPr>
            <w:tcW w:w="794"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27"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55"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716DD7" w:rsidRDefault="00FE5949" w:rsidP="00C75FD9">
            <w:pPr>
              <w:jc w:val="both"/>
              <w:rPr>
                <w:sz w:val="28"/>
                <w:szCs w:val="28"/>
              </w:rPr>
            </w:pPr>
            <w:r w:rsidRPr="00716DD7">
              <w:rPr>
                <w:sz w:val="28"/>
                <w:szCs w:val="28"/>
              </w:rPr>
              <w:t>3. Finansiālā ietekme:</w:t>
            </w:r>
          </w:p>
        </w:tc>
        <w:tc>
          <w:tcPr>
            <w:tcW w:w="794" w:type="pct"/>
            <w:tcBorders>
              <w:top w:val="outset" w:sz="6" w:space="0" w:color="000000"/>
              <w:left w:val="outset" w:sz="6" w:space="0" w:color="000000"/>
              <w:bottom w:val="outset" w:sz="6" w:space="0" w:color="000000"/>
              <w:right w:val="outset" w:sz="6" w:space="0" w:color="000000"/>
            </w:tcBorders>
            <w:vAlign w:val="center"/>
          </w:tcPr>
          <w:p w:rsidR="00FE5949" w:rsidRPr="00716DD7" w:rsidRDefault="00FE5949" w:rsidP="00C75FD9">
            <w:pPr>
              <w:jc w:val="center"/>
              <w:rPr>
                <w:sz w:val="28"/>
                <w:szCs w:val="28"/>
              </w:rPr>
            </w:pPr>
            <w:r w:rsidRPr="00716DD7">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716DD7" w:rsidRDefault="00FE5949" w:rsidP="00C75FD9">
            <w:pPr>
              <w:jc w:val="center"/>
              <w:rPr>
                <w:sz w:val="28"/>
                <w:szCs w:val="28"/>
              </w:rPr>
            </w:pPr>
            <w:r w:rsidRPr="00716DD7">
              <w:rPr>
                <w:sz w:val="28"/>
                <w:szCs w:val="28"/>
              </w:rPr>
              <w:t>0</w:t>
            </w:r>
          </w:p>
        </w:tc>
        <w:tc>
          <w:tcPr>
            <w:tcW w:w="827" w:type="pct"/>
            <w:tcBorders>
              <w:top w:val="outset" w:sz="6" w:space="0" w:color="000000"/>
              <w:left w:val="outset" w:sz="6" w:space="0" w:color="000000"/>
              <w:bottom w:val="outset" w:sz="6" w:space="0" w:color="000000"/>
              <w:right w:val="outset" w:sz="6" w:space="0" w:color="000000"/>
            </w:tcBorders>
          </w:tcPr>
          <w:p w:rsidR="00FE5949" w:rsidRPr="00716DD7" w:rsidRDefault="00716DD7" w:rsidP="00C75FD9">
            <w:pPr>
              <w:jc w:val="center"/>
              <w:rPr>
                <w:sz w:val="28"/>
                <w:szCs w:val="28"/>
              </w:rPr>
            </w:pPr>
            <w:r w:rsidRPr="00716DD7">
              <w:rPr>
                <w:sz w:val="28"/>
                <w:szCs w:val="28"/>
              </w:rPr>
              <w:t>-74 506</w:t>
            </w:r>
          </w:p>
        </w:tc>
        <w:tc>
          <w:tcPr>
            <w:tcW w:w="796" w:type="pct"/>
            <w:tcBorders>
              <w:top w:val="outset" w:sz="6" w:space="0" w:color="000000"/>
              <w:left w:val="outset" w:sz="6" w:space="0" w:color="000000"/>
              <w:bottom w:val="outset" w:sz="6" w:space="0" w:color="000000"/>
              <w:right w:val="outset" w:sz="6" w:space="0" w:color="000000"/>
            </w:tcBorders>
          </w:tcPr>
          <w:p w:rsidR="00FE5949" w:rsidRPr="00716DD7" w:rsidRDefault="00716DD7" w:rsidP="00C75FD9">
            <w:pPr>
              <w:jc w:val="center"/>
              <w:rPr>
                <w:sz w:val="28"/>
                <w:szCs w:val="28"/>
              </w:rPr>
            </w:pPr>
            <w:r w:rsidRPr="00716DD7">
              <w:rPr>
                <w:sz w:val="28"/>
                <w:szCs w:val="28"/>
              </w:rPr>
              <w:t>-57 539</w:t>
            </w:r>
          </w:p>
        </w:tc>
        <w:tc>
          <w:tcPr>
            <w:tcW w:w="855" w:type="pct"/>
            <w:tcBorders>
              <w:top w:val="outset" w:sz="6" w:space="0" w:color="000000"/>
              <w:left w:val="outset" w:sz="6" w:space="0" w:color="000000"/>
              <w:bottom w:val="outset" w:sz="6" w:space="0" w:color="000000"/>
              <w:right w:val="outset" w:sz="6" w:space="0" w:color="000000"/>
            </w:tcBorders>
          </w:tcPr>
          <w:p w:rsidR="00FE5949" w:rsidRPr="00D27A5A" w:rsidRDefault="00716DD7" w:rsidP="00C75FD9">
            <w:pPr>
              <w:jc w:val="center"/>
              <w:rPr>
                <w:sz w:val="28"/>
                <w:szCs w:val="28"/>
              </w:rPr>
            </w:pPr>
            <w:r>
              <w:rPr>
                <w:sz w:val="28"/>
                <w:szCs w:val="28"/>
              </w:rPr>
              <w:t>-57 539</w:t>
            </w: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716DD7" w:rsidRDefault="00FE5949" w:rsidP="00C75FD9">
            <w:pPr>
              <w:jc w:val="both"/>
              <w:rPr>
                <w:sz w:val="28"/>
                <w:szCs w:val="28"/>
              </w:rPr>
            </w:pPr>
            <w:r w:rsidRPr="00716DD7">
              <w:rPr>
                <w:sz w:val="28"/>
                <w:szCs w:val="28"/>
              </w:rPr>
              <w:t>3.1. valsts pamatbudžets</w:t>
            </w:r>
          </w:p>
        </w:tc>
        <w:tc>
          <w:tcPr>
            <w:tcW w:w="794" w:type="pct"/>
            <w:tcBorders>
              <w:top w:val="outset" w:sz="6" w:space="0" w:color="000000"/>
              <w:left w:val="outset" w:sz="6" w:space="0" w:color="000000"/>
              <w:bottom w:val="outset" w:sz="6" w:space="0" w:color="000000"/>
              <w:right w:val="outset" w:sz="6" w:space="0" w:color="000000"/>
            </w:tcBorders>
          </w:tcPr>
          <w:p w:rsidR="00FE5949" w:rsidRPr="00716DD7" w:rsidRDefault="00FE5949" w:rsidP="00C75FD9">
            <w:pPr>
              <w:jc w:val="center"/>
              <w:rPr>
                <w:sz w:val="28"/>
                <w:szCs w:val="28"/>
              </w:rPr>
            </w:pPr>
            <w:r w:rsidRPr="00716DD7">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716DD7" w:rsidRDefault="00FE5949" w:rsidP="00C75FD9">
            <w:pPr>
              <w:jc w:val="center"/>
              <w:rPr>
                <w:sz w:val="28"/>
                <w:szCs w:val="28"/>
              </w:rPr>
            </w:pPr>
            <w:r w:rsidRPr="00716DD7">
              <w:rPr>
                <w:sz w:val="28"/>
                <w:szCs w:val="28"/>
              </w:rPr>
              <w:t>0</w:t>
            </w:r>
          </w:p>
        </w:tc>
        <w:tc>
          <w:tcPr>
            <w:tcW w:w="827" w:type="pct"/>
            <w:tcBorders>
              <w:top w:val="outset" w:sz="6" w:space="0" w:color="000000"/>
              <w:left w:val="outset" w:sz="6" w:space="0" w:color="000000"/>
              <w:bottom w:val="outset" w:sz="6" w:space="0" w:color="000000"/>
              <w:right w:val="outset" w:sz="6" w:space="0" w:color="000000"/>
            </w:tcBorders>
          </w:tcPr>
          <w:p w:rsidR="00FE5949" w:rsidRPr="00716DD7" w:rsidRDefault="00716DD7" w:rsidP="00C75FD9">
            <w:pPr>
              <w:jc w:val="center"/>
              <w:rPr>
                <w:sz w:val="28"/>
                <w:szCs w:val="28"/>
              </w:rPr>
            </w:pPr>
            <w:r w:rsidRPr="00716DD7">
              <w:rPr>
                <w:sz w:val="28"/>
                <w:szCs w:val="28"/>
              </w:rPr>
              <w:t>-74 506</w:t>
            </w:r>
          </w:p>
        </w:tc>
        <w:tc>
          <w:tcPr>
            <w:tcW w:w="796" w:type="pct"/>
            <w:tcBorders>
              <w:top w:val="outset" w:sz="6" w:space="0" w:color="000000"/>
              <w:left w:val="outset" w:sz="6" w:space="0" w:color="000000"/>
              <w:bottom w:val="outset" w:sz="6" w:space="0" w:color="000000"/>
              <w:right w:val="outset" w:sz="6" w:space="0" w:color="000000"/>
            </w:tcBorders>
          </w:tcPr>
          <w:p w:rsidR="00FE5949" w:rsidRPr="00716DD7" w:rsidRDefault="00716DD7" w:rsidP="00C75FD9">
            <w:pPr>
              <w:jc w:val="center"/>
              <w:rPr>
                <w:sz w:val="28"/>
                <w:szCs w:val="28"/>
              </w:rPr>
            </w:pPr>
            <w:r w:rsidRPr="00716DD7">
              <w:rPr>
                <w:sz w:val="28"/>
                <w:szCs w:val="28"/>
              </w:rPr>
              <w:t>-57 539</w:t>
            </w:r>
          </w:p>
        </w:tc>
        <w:tc>
          <w:tcPr>
            <w:tcW w:w="855" w:type="pct"/>
            <w:tcBorders>
              <w:top w:val="outset" w:sz="6" w:space="0" w:color="000000"/>
              <w:left w:val="outset" w:sz="6" w:space="0" w:color="000000"/>
              <w:bottom w:val="outset" w:sz="6" w:space="0" w:color="000000"/>
              <w:right w:val="outset" w:sz="6" w:space="0" w:color="000000"/>
            </w:tcBorders>
          </w:tcPr>
          <w:p w:rsidR="00FE5949" w:rsidRPr="00D27A5A" w:rsidRDefault="00716DD7" w:rsidP="00C75FD9">
            <w:pPr>
              <w:jc w:val="center"/>
              <w:rPr>
                <w:sz w:val="28"/>
                <w:szCs w:val="28"/>
              </w:rPr>
            </w:pPr>
            <w:r>
              <w:rPr>
                <w:sz w:val="28"/>
                <w:szCs w:val="28"/>
              </w:rPr>
              <w:t>-57 539</w:t>
            </w: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both"/>
              <w:rPr>
                <w:sz w:val="28"/>
                <w:szCs w:val="28"/>
              </w:rPr>
            </w:pPr>
            <w:r w:rsidRPr="00D27A5A">
              <w:rPr>
                <w:sz w:val="28"/>
                <w:szCs w:val="28"/>
              </w:rPr>
              <w:lastRenderedPageBreak/>
              <w:t>3.2. speciālais budžets</w:t>
            </w:r>
          </w:p>
        </w:tc>
        <w:tc>
          <w:tcPr>
            <w:tcW w:w="794"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27"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55"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both"/>
              <w:rPr>
                <w:sz w:val="28"/>
                <w:szCs w:val="28"/>
              </w:rPr>
            </w:pPr>
            <w:r w:rsidRPr="00D27A5A">
              <w:rPr>
                <w:sz w:val="28"/>
                <w:szCs w:val="28"/>
              </w:rPr>
              <w:t>3.3. pašvaldību budžets</w:t>
            </w:r>
          </w:p>
        </w:tc>
        <w:tc>
          <w:tcPr>
            <w:tcW w:w="794"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27"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55"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r>
      <w:tr w:rsidR="00FE5949" w:rsidRPr="00D27A5A" w:rsidTr="009C4ED5">
        <w:tc>
          <w:tcPr>
            <w:tcW w:w="932" w:type="pct"/>
            <w:vMerge w:val="restar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both"/>
              <w:rPr>
                <w:sz w:val="28"/>
                <w:szCs w:val="28"/>
              </w:rPr>
            </w:pPr>
            <w:r w:rsidRPr="00D27A5A">
              <w:rPr>
                <w:sz w:val="28"/>
                <w:szCs w:val="28"/>
              </w:rPr>
              <w:t>4. Finanšu līdzekļi papildu izde</w:t>
            </w:r>
            <w:r w:rsidRPr="00D27A5A">
              <w:rPr>
                <w:sz w:val="28"/>
                <w:szCs w:val="28"/>
              </w:rPr>
              <w:softHyphen/>
              <w:t>vumu finansēšanai (kompensējošu izdevumu samazinājumu norāda ar "+" zīmi)</w:t>
            </w:r>
          </w:p>
        </w:tc>
        <w:tc>
          <w:tcPr>
            <w:tcW w:w="794" w:type="pct"/>
            <w:vMerge w:val="restar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X</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27"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55"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r>
      <w:tr w:rsidR="00FE5949" w:rsidRPr="00D27A5A" w:rsidTr="009C4ED5">
        <w:tc>
          <w:tcPr>
            <w:tcW w:w="932" w:type="pct"/>
            <w:vMerge/>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both"/>
              <w:rPr>
                <w:sz w:val="28"/>
                <w:szCs w:val="28"/>
              </w:rPr>
            </w:pPr>
          </w:p>
        </w:tc>
        <w:tc>
          <w:tcPr>
            <w:tcW w:w="794" w:type="pct"/>
            <w:vMerge/>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center"/>
              <w:rPr>
                <w:sz w:val="28"/>
                <w:szCs w:val="28"/>
              </w:rPr>
            </w:pP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27"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55"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r>
      <w:tr w:rsidR="00FE5949" w:rsidRPr="00D27A5A" w:rsidTr="009C4ED5">
        <w:tc>
          <w:tcPr>
            <w:tcW w:w="932" w:type="pct"/>
            <w:vMerge/>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both"/>
              <w:rPr>
                <w:sz w:val="28"/>
                <w:szCs w:val="28"/>
              </w:rPr>
            </w:pPr>
          </w:p>
        </w:tc>
        <w:tc>
          <w:tcPr>
            <w:tcW w:w="794" w:type="pct"/>
            <w:vMerge/>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center"/>
              <w:rPr>
                <w:sz w:val="28"/>
                <w:szCs w:val="28"/>
              </w:rPr>
            </w:pP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27"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55"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both"/>
              <w:rPr>
                <w:sz w:val="28"/>
                <w:szCs w:val="28"/>
              </w:rPr>
            </w:pPr>
            <w:r w:rsidRPr="00D27A5A">
              <w:rPr>
                <w:sz w:val="28"/>
                <w:szCs w:val="28"/>
              </w:rPr>
              <w:t>5. Precizēta finansiālā ietekme:</w:t>
            </w:r>
          </w:p>
        </w:tc>
        <w:tc>
          <w:tcPr>
            <w:tcW w:w="794" w:type="pct"/>
            <w:vMerge w:val="restar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X</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27"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55"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both"/>
              <w:rPr>
                <w:sz w:val="28"/>
                <w:szCs w:val="28"/>
              </w:rPr>
            </w:pPr>
            <w:r w:rsidRPr="00D27A5A">
              <w:rPr>
                <w:sz w:val="28"/>
                <w:szCs w:val="28"/>
              </w:rPr>
              <w:t>5.1. valsts pamatbudžets</w:t>
            </w:r>
          </w:p>
        </w:tc>
        <w:tc>
          <w:tcPr>
            <w:tcW w:w="794" w:type="pct"/>
            <w:vMerge/>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center"/>
              <w:rPr>
                <w:sz w:val="28"/>
                <w:szCs w:val="28"/>
              </w:rPr>
            </w:pP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27"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55"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both"/>
              <w:rPr>
                <w:sz w:val="28"/>
                <w:szCs w:val="28"/>
              </w:rPr>
            </w:pPr>
            <w:r w:rsidRPr="00D27A5A">
              <w:rPr>
                <w:sz w:val="28"/>
                <w:szCs w:val="28"/>
              </w:rPr>
              <w:t>5.2. speciālais budžets</w:t>
            </w:r>
          </w:p>
        </w:tc>
        <w:tc>
          <w:tcPr>
            <w:tcW w:w="794" w:type="pct"/>
            <w:vMerge/>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center"/>
              <w:rPr>
                <w:sz w:val="28"/>
                <w:szCs w:val="28"/>
              </w:rPr>
            </w:pP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27"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55"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both"/>
              <w:rPr>
                <w:sz w:val="28"/>
                <w:szCs w:val="28"/>
              </w:rPr>
            </w:pPr>
            <w:r w:rsidRPr="00D27A5A">
              <w:rPr>
                <w:sz w:val="28"/>
                <w:szCs w:val="28"/>
              </w:rPr>
              <w:t>5.3. pašvaldību budžets</w:t>
            </w:r>
          </w:p>
        </w:tc>
        <w:tc>
          <w:tcPr>
            <w:tcW w:w="794" w:type="pct"/>
            <w:vMerge/>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center"/>
              <w:rPr>
                <w:sz w:val="28"/>
                <w:szCs w:val="28"/>
              </w:rPr>
            </w:pP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27"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796"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c>
          <w:tcPr>
            <w:tcW w:w="855"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center"/>
              <w:rPr>
                <w:sz w:val="28"/>
                <w:szCs w:val="28"/>
              </w:rPr>
            </w:pPr>
            <w:r w:rsidRPr="00D27A5A">
              <w:rPr>
                <w:sz w:val="28"/>
                <w:szCs w:val="28"/>
              </w:rPr>
              <w:t>0</w:t>
            </w: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FD0B6B" w:rsidRDefault="00FE5949" w:rsidP="00C75FD9">
            <w:pPr>
              <w:jc w:val="both"/>
              <w:rPr>
                <w:sz w:val="28"/>
                <w:szCs w:val="28"/>
                <w:highlight w:val="yellow"/>
              </w:rPr>
            </w:pPr>
            <w:r w:rsidRPr="00C27F40">
              <w:rPr>
                <w:sz w:val="28"/>
                <w:szCs w:val="28"/>
              </w:rPr>
              <w:t>6</w:t>
            </w:r>
            <w:r w:rsidR="005B3F18">
              <w:rPr>
                <w:sz w:val="28"/>
                <w:szCs w:val="28"/>
              </w:rPr>
              <w:t>. Detalizēts ieņēmumu un izdevu</w:t>
            </w:r>
            <w:r w:rsidRPr="00C27F40">
              <w:rPr>
                <w:sz w:val="28"/>
                <w:szCs w:val="28"/>
              </w:rPr>
              <w:t>mu aprēķins (ja nepieciešams, detalizētu ieņēmumu un izdevumu aprēķinu var pievienot anotācijas pielikumā):</w:t>
            </w:r>
          </w:p>
        </w:tc>
        <w:tc>
          <w:tcPr>
            <w:tcW w:w="4068" w:type="pct"/>
            <w:gridSpan w:val="5"/>
            <w:vMerge w:val="restart"/>
            <w:tcBorders>
              <w:top w:val="outset" w:sz="6" w:space="0" w:color="000000"/>
              <w:left w:val="outset" w:sz="6" w:space="0" w:color="000000"/>
              <w:bottom w:val="outset" w:sz="6" w:space="0" w:color="000000"/>
              <w:right w:val="outset" w:sz="6" w:space="0" w:color="000000"/>
            </w:tcBorders>
          </w:tcPr>
          <w:p w:rsidR="00291A4D" w:rsidRDefault="00C27F40" w:rsidP="000F1908">
            <w:pPr>
              <w:jc w:val="both"/>
            </w:pPr>
            <w:r w:rsidRPr="00C27F40">
              <w:rPr>
                <w:sz w:val="28"/>
                <w:szCs w:val="28"/>
              </w:rPr>
              <w:t>2014.gadā</w:t>
            </w:r>
            <w:r>
              <w:t xml:space="preserve"> </w:t>
            </w:r>
            <w:r w:rsidRPr="00D27A5A">
              <w:rPr>
                <w:sz w:val="28"/>
                <w:szCs w:val="28"/>
              </w:rPr>
              <w:t>Mediju politikas</w:t>
            </w:r>
            <w:r>
              <w:rPr>
                <w:sz w:val="28"/>
                <w:szCs w:val="28"/>
              </w:rPr>
              <w:t xml:space="preserve"> nodaļas darbības uzsākšana tiks nodrošināta esošo valsts budžeta līdzekļu ietvaros. </w:t>
            </w:r>
            <w:r w:rsidR="00F74CDE">
              <w:rPr>
                <w:sz w:val="28"/>
                <w:szCs w:val="28"/>
              </w:rPr>
              <w:t>Detalizēts f</w:t>
            </w:r>
            <w:r>
              <w:rPr>
                <w:sz w:val="28"/>
                <w:szCs w:val="28"/>
              </w:rPr>
              <w:t>inanšu līdzekļu pieprasījums turpmākaj</w:t>
            </w:r>
            <w:r w:rsidR="00F74CDE">
              <w:rPr>
                <w:sz w:val="28"/>
                <w:szCs w:val="28"/>
              </w:rPr>
              <w:t>iem</w:t>
            </w:r>
            <w:r>
              <w:rPr>
                <w:sz w:val="28"/>
                <w:szCs w:val="28"/>
              </w:rPr>
              <w:t xml:space="preserve"> gad</w:t>
            </w:r>
            <w:r w:rsidR="00F74CDE">
              <w:rPr>
                <w:sz w:val="28"/>
                <w:szCs w:val="28"/>
              </w:rPr>
              <w:t>iem struktūrvienības darbībai:</w:t>
            </w:r>
            <w:r>
              <w:rPr>
                <w:sz w:val="28"/>
                <w:szCs w:val="28"/>
              </w:rPr>
              <w:t xml:space="preserve"> </w:t>
            </w:r>
          </w:p>
          <w:tbl>
            <w:tblPr>
              <w:tblW w:w="7602" w:type="dxa"/>
              <w:tblLook w:val="04A0"/>
            </w:tblPr>
            <w:tblGrid>
              <w:gridCol w:w="2820"/>
              <w:gridCol w:w="694"/>
              <w:gridCol w:w="717"/>
              <w:gridCol w:w="882"/>
              <w:gridCol w:w="1128"/>
              <w:gridCol w:w="1128"/>
            </w:tblGrid>
            <w:tr w:rsidR="00291A4D" w:rsidRPr="00291A4D" w:rsidTr="00291A4D">
              <w:trPr>
                <w:trHeight w:val="300"/>
              </w:trPr>
              <w:tc>
                <w:tcPr>
                  <w:tcW w:w="2972" w:type="dxa"/>
                  <w:tcBorders>
                    <w:top w:val="nil"/>
                    <w:left w:val="nil"/>
                    <w:bottom w:val="nil"/>
                    <w:right w:val="nil"/>
                  </w:tcBorders>
                  <w:shd w:val="clear" w:color="auto" w:fill="auto"/>
                  <w:noWrap/>
                  <w:vAlign w:val="bottom"/>
                  <w:hideMark/>
                </w:tcPr>
                <w:p w:rsidR="00291A4D" w:rsidRPr="00291A4D" w:rsidRDefault="00291A4D" w:rsidP="00CA41A5">
                  <w:pPr>
                    <w:framePr w:hSpace="180" w:wrap="around" w:vAnchor="text" w:hAnchor="margin" w:xAlign="center" w:y="151"/>
                    <w:rPr>
                      <w:rFonts w:ascii="Calibri" w:hAnsi="Calibri"/>
                      <w:color w:val="000000"/>
                      <w:sz w:val="18"/>
                      <w:szCs w:val="18"/>
                    </w:rPr>
                  </w:pPr>
                </w:p>
              </w:tc>
              <w:tc>
                <w:tcPr>
                  <w:tcW w:w="722" w:type="dxa"/>
                  <w:tcBorders>
                    <w:top w:val="nil"/>
                    <w:left w:val="nil"/>
                    <w:bottom w:val="nil"/>
                    <w:right w:val="nil"/>
                  </w:tcBorders>
                  <w:shd w:val="clear" w:color="auto" w:fill="auto"/>
                  <w:noWrap/>
                  <w:vAlign w:val="bottom"/>
                  <w:hideMark/>
                </w:tcPr>
                <w:p w:rsidR="00291A4D" w:rsidRPr="00291A4D" w:rsidRDefault="00291A4D" w:rsidP="00CA41A5">
                  <w:pPr>
                    <w:framePr w:hSpace="180" w:wrap="around" w:vAnchor="text" w:hAnchor="margin" w:xAlign="center" w:y="151"/>
                    <w:rPr>
                      <w:rFonts w:ascii="Calibri" w:hAnsi="Calibri"/>
                      <w:color w:val="000000"/>
                      <w:sz w:val="18"/>
                      <w:szCs w:val="18"/>
                    </w:rPr>
                  </w:pPr>
                </w:p>
              </w:tc>
              <w:tc>
                <w:tcPr>
                  <w:tcW w:w="708" w:type="dxa"/>
                  <w:tcBorders>
                    <w:top w:val="nil"/>
                    <w:left w:val="nil"/>
                    <w:bottom w:val="nil"/>
                    <w:right w:val="nil"/>
                  </w:tcBorders>
                  <w:shd w:val="clear" w:color="auto" w:fill="auto"/>
                  <w:noWrap/>
                  <w:vAlign w:val="bottom"/>
                  <w:hideMark/>
                </w:tcPr>
                <w:p w:rsidR="00291A4D" w:rsidRPr="00291A4D" w:rsidRDefault="00291A4D" w:rsidP="00CA41A5">
                  <w:pPr>
                    <w:framePr w:hSpace="180" w:wrap="around" w:vAnchor="text" w:hAnchor="margin" w:xAlign="center" w:y="151"/>
                    <w:rPr>
                      <w:rFonts w:ascii="Calibri" w:hAnsi="Calibri"/>
                      <w:color w:val="000000"/>
                      <w:sz w:val="18"/>
                      <w:szCs w:val="18"/>
                    </w:rPr>
                  </w:pPr>
                </w:p>
              </w:tc>
              <w:tc>
                <w:tcPr>
                  <w:tcW w:w="838" w:type="dxa"/>
                  <w:tcBorders>
                    <w:top w:val="nil"/>
                    <w:left w:val="nil"/>
                    <w:bottom w:val="nil"/>
                    <w:right w:val="nil"/>
                  </w:tcBorders>
                  <w:shd w:val="clear" w:color="auto" w:fill="auto"/>
                  <w:noWrap/>
                  <w:vAlign w:val="bottom"/>
                  <w:hideMark/>
                </w:tcPr>
                <w:p w:rsidR="00291A4D" w:rsidRPr="00291A4D" w:rsidRDefault="00291A4D" w:rsidP="00CA41A5">
                  <w:pPr>
                    <w:framePr w:hSpace="180" w:wrap="around" w:vAnchor="text" w:hAnchor="margin" w:xAlign="center" w:y="151"/>
                    <w:rPr>
                      <w:rFonts w:ascii="Calibri" w:hAnsi="Calibri"/>
                      <w:color w:val="000000"/>
                      <w:sz w:val="18"/>
                      <w:szCs w:val="18"/>
                    </w:rPr>
                  </w:pPr>
                </w:p>
              </w:tc>
              <w:tc>
                <w:tcPr>
                  <w:tcW w:w="1181" w:type="dxa"/>
                  <w:tcBorders>
                    <w:top w:val="nil"/>
                    <w:left w:val="nil"/>
                    <w:bottom w:val="nil"/>
                    <w:right w:val="nil"/>
                  </w:tcBorders>
                  <w:shd w:val="clear" w:color="auto" w:fill="auto"/>
                  <w:noWrap/>
                  <w:vAlign w:val="bottom"/>
                  <w:hideMark/>
                </w:tcPr>
                <w:p w:rsidR="00291A4D" w:rsidRPr="00291A4D" w:rsidRDefault="00291A4D" w:rsidP="00CA41A5">
                  <w:pPr>
                    <w:framePr w:hSpace="180" w:wrap="around" w:vAnchor="text" w:hAnchor="margin" w:xAlign="center" w:y="151"/>
                    <w:rPr>
                      <w:rFonts w:ascii="Calibri" w:hAnsi="Calibri"/>
                      <w:color w:val="000000"/>
                      <w:sz w:val="18"/>
                      <w:szCs w:val="18"/>
                    </w:rPr>
                  </w:pPr>
                </w:p>
              </w:tc>
              <w:tc>
                <w:tcPr>
                  <w:tcW w:w="1181" w:type="dxa"/>
                  <w:tcBorders>
                    <w:top w:val="nil"/>
                    <w:left w:val="nil"/>
                    <w:bottom w:val="nil"/>
                    <w:right w:val="nil"/>
                  </w:tcBorders>
                  <w:shd w:val="clear" w:color="auto" w:fill="auto"/>
                  <w:noWrap/>
                  <w:vAlign w:val="bottom"/>
                  <w:hideMark/>
                </w:tcPr>
                <w:p w:rsidR="00291A4D" w:rsidRPr="00720739" w:rsidRDefault="00291A4D" w:rsidP="00CA41A5">
                  <w:pPr>
                    <w:framePr w:hSpace="180" w:wrap="around" w:vAnchor="text" w:hAnchor="margin" w:xAlign="center" w:y="151"/>
                    <w:jc w:val="right"/>
                    <w:rPr>
                      <w:i/>
                      <w:color w:val="000000"/>
                      <w:sz w:val="18"/>
                      <w:szCs w:val="18"/>
                    </w:rPr>
                  </w:pPr>
                  <w:r w:rsidRPr="00720739">
                    <w:rPr>
                      <w:i/>
                      <w:color w:val="000000"/>
                      <w:sz w:val="18"/>
                      <w:szCs w:val="18"/>
                    </w:rPr>
                    <w:t>euro</w:t>
                  </w:r>
                </w:p>
              </w:tc>
            </w:tr>
            <w:tr w:rsidR="00291A4D" w:rsidRPr="00291A4D" w:rsidTr="00291A4D">
              <w:trPr>
                <w:trHeight w:val="960"/>
              </w:trPr>
              <w:tc>
                <w:tcPr>
                  <w:tcW w:w="2972"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291A4D" w:rsidRPr="000E6C45" w:rsidRDefault="00291A4D" w:rsidP="00CA41A5">
                  <w:pPr>
                    <w:framePr w:hSpace="180" w:wrap="around" w:vAnchor="text" w:hAnchor="margin" w:xAlign="center" w:y="151"/>
                    <w:jc w:val="center"/>
                    <w:rPr>
                      <w:color w:val="000000"/>
                      <w:sz w:val="18"/>
                      <w:szCs w:val="18"/>
                    </w:rPr>
                  </w:pPr>
                  <w:r w:rsidRPr="000E6C45">
                    <w:rPr>
                      <w:color w:val="000000"/>
                      <w:sz w:val="18"/>
                      <w:szCs w:val="18"/>
                    </w:rPr>
                    <w:t> </w:t>
                  </w:r>
                </w:p>
              </w:tc>
              <w:tc>
                <w:tcPr>
                  <w:tcW w:w="722" w:type="dxa"/>
                  <w:tcBorders>
                    <w:top w:val="single" w:sz="4" w:space="0" w:color="auto"/>
                    <w:left w:val="nil"/>
                    <w:bottom w:val="single" w:sz="4" w:space="0" w:color="auto"/>
                    <w:right w:val="single" w:sz="4" w:space="0" w:color="auto"/>
                  </w:tcBorders>
                  <w:shd w:val="clear" w:color="000000" w:fill="B8CCE4"/>
                  <w:vAlign w:val="center"/>
                  <w:hideMark/>
                </w:tcPr>
                <w:p w:rsidR="00291A4D" w:rsidRPr="000E6C45" w:rsidRDefault="00291A4D" w:rsidP="00CA41A5">
                  <w:pPr>
                    <w:framePr w:hSpace="180" w:wrap="around" w:vAnchor="text" w:hAnchor="margin" w:xAlign="center" w:y="151"/>
                    <w:jc w:val="center"/>
                    <w:rPr>
                      <w:color w:val="000000"/>
                      <w:sz w:val="18"/>
                      <w:szCs w:val="18"/>
                    </w:rPr>
                  </w:pPr>
                  <w:proofErr w:type="spellStart"/>
                  <w:r w:rsidRPr="000E6C45">
                    <w:rPr>
                      <w:color w:val="000000"/>
                      <w:sz w:val="18"/>
                      <w:szCs w:val="18"/>
                    </w:rPr>
                    <w:t>Vienī</w:t>
                  </w:r>
                  <w:r w:rsidR="00720739">
                    <w:rPr>
                      <w:color w:val="000000"/>
                      <w:sz w:val="18"/>
                      <w:szCs w:val="18"/>
                    </w:rPr>
                    <w:t>-</w:t>
                  </w:r>
                  <w:r w:rsidRPr="000E6C45">
                    <w:rPr>
                      <w:color w:val="000000"/>
                      <w:sz w:val="18"/>
                      <w:szCs w:val="18"/>
                    </w:rPr>
                    <w:t>bas</w:t>
                  </w:r>
                  <w:proofErr w:type="spellEnd"/>
                </w:p>
              </w:tc>
              <w:tc>
                <w:tcPr>
                  <w:tcW w:w="708" w:type="dxa"/>
                  <w:tcBorders>
                    <w:top w:val="single" w:sz="4" w:space="0" w:color="auto"/>
                    <w:left w:val="nil"/>
                    <w:bottom w:val="single" w:sz="4" w:space="0" w:color="auto"/>
                    <w:right w:val="single" w:sz="4" w:space="0" w:color="auto"/>
                  </w:tcBorders>
                  <w:shd w:val="clear" w:color="000000" w:fill="B8CCE4"/>
                  <w:vAlign w:val="center"/>
                  <w:hideMark/>
                </w:tcPr>
                <w:p w:rsidR="00291A4D" w:rsidRPr="000E6C45" w:rsidRDefault="00720739" w:rsidP="00CA41A5">
                  <w:pPr>
                    <w:framePr w:hSpace="180" w:wrap="around" w:vAnchor="text" w:hAnchor="margin" w:xAlign="center" w:y="151"/>
                    <w:jc w:val="center"/>
                    <w:rPr>
                      <w:color w:val="000000"/>
                      <w:sz w:val="18"/>
                      <w:szCs w:val="18"/>
                    </w:rPr>
                  </w:pPr>
                  <w:r>
                    <w:rPr>
                      <w:color w:val="000000"/>
                      <w:sz w:val="18"/>
                      <w:szCs w:val="18"/>
                    </w:rPr>
                    <w:t>Reizes/</w:t>
                  </w:r>
                  <w:r w:rsidR="00291A4D" w:rsidRPr="000E6C45">
                    <w:rPr>
                      <w:color w:val="000000"/>
                      <w:sz w:val="18"/>
                      <w:szCs w:val="18"/>
                    </w:rPr>
                    <w:t xml:space="preserve"> </w:t>
                  </w:r>
                  <w:proofErr w:type="spellStart"/>
                  <w:r w:rsidR="00291A4D" w:rsidRPr="000E6C45">
                    <w:rPr>
                      <w:color w:val="000000"/>
                      <w:sz w:val="18"/>
                      <w:szCs w:val="18"/>
                    </w:rPr>
                    <w:t>mēne</w:t>
                  </w:r>
                  <w:r>
                    <w:rPr>
                      <w:color w:val="000000"/>
                      <w:sz w:val="18"/>
                      <w:szCs w:val="18"/>
                    </w:rPr>
                    <w:t>-</w:t>
                  </w:r>
                  <w:r w:rsidR="00291A4D" w:rsidRPr="000E6C45">
                    <w:rPr>
                      <w:color w:val="000000"/>
                      <w:sz w:val="18"/>
                      <w:szCs w:val="18"/>
                    </w:rPr>
                    <w:t>ši</w:t>
                  </w:r>
                  <w:proofErr w:type="spellEnd"/>
                </w:p>
              </w:tc>
              <w:tc>
                <w:tcPr>
                  <w:tcW w:w="838" w:type="dxa"/>
                  <w:tcBorders>
                    <w:top w:val="single" w:sz="4" w:space="0" w:color="auto"/>
                    <w:left w:val="nil"/>
                    <w:bottom w:val="single" w:sz="4" w:space="0" w:color="auto"/>
                    <w:right w:val="single" w:sz="4" w:space="0" w:color="auto"/>
                  </w:tcBorders>
                  <w:shd w:val="clear" w:color="000000" w:fill="B8CCE4"/>
                  <w:vAlign w:val="center"/>
                  <w:hideMark/>
                </w:tcPr>
                <w:p w:rsidR="00291A4D" w:rsidRPr="000E6C45" w:rsidRDefault="00291A4D" w:rsidP="00CA41A5">
                  <w:pPr>
                    <w:framePr w:hSpace="180" w:wrap="around" w:vAnchor="text" w:hAnchor="margin" w:xAlign="center" w:y="151"/>
                    <w:jc w:val="center"/>
                    <w:rPr>
                      <w:color w:val="000000"/>
                      <w:sz w:val="18"/>
                      <w:szCs w:val="18"/>
                    </w:rPr>
                  </w:pPr>
                  <w:r w:rsidRPr="000E6C45">
                    <w:rPr>
                      <w:color w:val="000000"/>
                      <w:sz w:val="18"/>
                      <w:szCs w:val="18"/>
                    </w:rPr>
                    <w:t>Vienas vienības izmaksas, EUR</w:t>
                  </w:r>
                </w:p>
              </w:tc>
              <w:tc>
                <w:tcPr>
                  <w:tcW w:w="1181" w:type="dxa"/>
                  <w:tcBorders>
                    <w:top w:val="single" w:sz="4" w:space="0" w:color="auto"/>
                    <w:left w:val="nil"/>
                    <w:bottom w:val="single" w:sz="4" w:space="0" w:color="auto"/>
                    <w:right w:val="single" w:sz="4" w:space="0" w:color="auto"/>
                  </w:tcBorders>
                  <w:shd w:val="clear" w:color="000000" w:fill="B8CCE4"/>
                  <w:vAlign w:val="center"/>
                  <w:hideMark/>
                </w:tcPr>
                <w:p w:rsidR="00291A4D" w:rsidRPr="000E6C45" w:rsidRDefault="00291A4D" w:rsidP="00CA41A5">
                  <w:pPr>
                    <w:framePr w:hSpace="180" w:wrap="around" w:vAnchor="text" w:hAnchor="margin" w:xAlign="center" w:y="151"/>
                    <w:jc w:val="center"/>
                    <w:rPr>
                      <w:color w:val="000000"/>
                      <w:sz w:val="18"/>
                      <w:szCs w:val="18"/>
                    </w:rPr>
                  </w:pPr>
                  <w:r w:rsidRPr="000E6C45">
                    <w:rPr>
                      <w:color w:val="000000"/>
                      <w:sz w:val="18"/>
                      <w:szCs w:val="18"/>
                    </w:rPr>
                    <w:t>Finansē</w:t>
                  </w:r>
                  <w:r w:rsidR="00720739">
                    <w:rPr>
                      <w:color w:val="000000"/>
                      <w:sz w:val="18"/>
                      <w:szCs w:val="18"/>
                    </w:rPr>
                    <w:t>-</w:t>
                  </w:r>
                  <w:r w:rsidRPr="000E6C45">
                    <w:rPr>
                      <w:color w:val="000000"/>
                      <w:sz w:val="18"/>
                      <w:szCs w:val="18"/>
                    </w:rPr>
                    <w:t>jums 2015.gadā</w:t>
                  </w:r>
                </w:p>
              </w:tc>
              <w:tc>
                <w:tcPr>
                  <w:tcW w:w="1181" w:type="dxa"/>
                  <w:tcBorders>
                    <w:top w:val="single" w:sz="4" w:space="0" w:color="auto"/>
                    <w:left w:val="nil"/>
                    <w:bottom w:val="single" w:sz="4" w:space="0" w:color="auto"/>
                    <w:right w:val="single" w:sz="4" w:space="0" w:color="auto"/>
                  </w:tcBorders>
                  <w:shd w:val="clear" w:color="000000" w:fill="B8CCE4"/>
                  <w:vAlign w:val="center"/>
                  <w:hideMark/>
                </w:tcPr>
                <w:p w:rsidR="00291A4D" w:rsidRPr="00720739" w:rsidRDefault="00291A4D" w:rsidP="00CA41A5">
                  <w:pPr>
                    <w:framePr w:hSpace="180" w:wrap="around" w:vAnchor="text" w:hAnchor="margin" w:xAlign="center" w:y="151"/>
                    <w:jc w:val="center"/>
                    <w:rPr>
                      <w:color w:val="000000"/>
                      <w:sz w:val="18"/>
                      <w:szCs w:val="18"/>
                    </w:rPr>
                  </w:pPr>
                  <w:r w:rsidRPr="00720739">
                    <w:rPr>
                      <w:color w:val="000000"/>
                      <w:sz w:val="18"/>
                      <w:szCs w:val="18"/>
                    </w:rPr>
                    <w:t>Turpmākie gadi</w:t>
                  </w:r>
                </w:p>
              </w:tc>
            </w:tr>
            <w:tr w:rsidR="00291A4D" w:rsidRPr="00291A4D" w:rsidTr="00720739">
              <w:trPr>
                <w:trHeight w:val="166"/>
              </w:trPr>
              <w:tc>
                <w:tcPr>
                  <w:tcW w:w="2972" w:type="dxa"/>
                  <w:tcBorders>
                    <w:top w:val="nil"/>
                    <w:left w:val="single" w:sz="4" w:space="0" w:color="auto"/>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rPr>
                      <w:b/>
                      <w:bCs/>
                      <w:color w:val="000000"/>
                      <w:sz w:val="18"/>
                      <w:szCs w:val="18"/>
                    </w:rPr>
                  </w:pPr>
                  <w:r w:rsidRPr="000E6C45">
                    <w:rPr>
                      <w:b/>
                      <w:bCs/>
                      <w:color w:val="000000"/>
                      <w:sz w:val="18"/>
                      <w:szCs w:val="18"/>
                    </w:rPr>
                    <w:t xml:space="preserve">EKK 1000 Atlīdzība kopā </w:t>
                  </w:r>
                </w:p>
              </w:tc>
              <w:tc>
                <w:tcPr>
                  <w:tcW w:w="722"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jc w:val="right"/>
                    <w:rPr>
                      <w:b/>
                      <w:bCs/>
                      <w:color w:val="000000"/>
                      <w:sz w:val="18"/>
                      <w:szCs w:val="18"/>
                    </w:rPr>
                  </w:pPr>
                  <w:r w:rsidRPr="000E6C45">
                    <w:rPr>
                      <w:b/>
                      <w:bCs/>
                      <w:color w:val="000000"/>
                      <w:sz w:val="18"/>
                      <w:szCs w:val="18"/>
                    </w:rPr>
                    <w:t>1</w:t>
                  </w:r>
                </w:p>
              </w:tc>
              <w:tc>
                <w:tcPr>
                  <w:tcW w:w="708"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rPr>
                      <w:b/>
                      <w:bCs/>
                      <w:color w:val="000000"/>
                      <w:sz w:val="18"/>
                      <w:szCs w:val="18"/>
                    </w:rPr>
                  </w:pPr>
                  <w:r w:rsidRPr="000E6C45">
                    <w:rPr>
                      <w:b/>
                      <w:bCs/>
                      <w:color w:val="000000"/>
                      <w:sz w:val="18"/>
                      <w:szCs w:val="18"/>
                    </w:rPr>
                    <w:t> </w:t>
                  </w:r>
                </w:p>
              </w:tc>
              <w:tc>
                <w:tcPr>
                  <w:tcW w:w="838"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jc w:val="right"/>
                    <w:rPr>
                      <w:b/>
                      <w:bCs/>
                      <w:color w:val="000000"/>
                      <w:sz w:val="18"/>
                      <w:szCs w:val="18"/>
                    </w:rPr>
                  </w:pPr>
                  <w:r w:rsidRPr="000E6C45">
                    <w:rPr>
                      <w:b/>
                      <w:bCs/>
                      <w:color w:val="000000"/>
                      <w:sz w:val="18"/>
                      <w:szCs w:val="18"/>
                    </w:rPr>
                    <w:t>1 963</w:t>
                  </w:r>
                </w:p>
              </w:tc>
              <w:tc>
                <w:tcPr>
                  <w:tcW w:w="1181"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jc w:val="right"/>
                    <w:rPr>
                      <w:b/>
                      <w:bCs/>
                      <w:color w:val="000000"/>
                      <w:sz w:val="18"/>
                      <w:szCs w:val="18"/>
                    </w:rPr>
                  </w:pPr>
                  <w:r w:rsidRPr="000E6C45">
                    <w:rPr>
                      <w:b/>
                      <w:bCs/>
                      <w:color w:val="000000"/>
                      <w:sz w:val="18"/>
                      <w:szCs w:val="18"/>
                    </w:rPr>
                    <w:t>23 559</w:t>
                  </w:r>
                </w:p>
              </w:tc>
              <w:tc>
                <w:tcPr>
                  <w:tcW w:w="1181"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jc w:val="right"/>
                    <w:rPr>
                      <w:b/>
                      <w:bCs/>
                      <w:color w:val="000000"/>
                      <w:sz w:val="18"/>
                      <w:szCs w:val="18"/>
                    </w:rPr>
                  </w:pPr>
                  <w:r w:rsidRPr="000E6C45">
                    <w:rPr>
                      <w:b/>
                      <w:bCs/>
                      <w:color w:val="000000"/>
                      <w:sz w:val="18"/>
                      <w:szCs w:val="18"/>
                    </w:rPr>
                    <w:t>23 559</w:t>
                  </w:r>
                </w:p>
              </w:tc>
            </w:tr>
            <w:tr w:rsidR="00291A4D" w:rsidRPr="00291A4D" w:rsidTr="00720739">
              <w:trPr>
                <w:trHeight w:val="142"/>
              </w:trPr>
              <w:tc>
                <w:tcPr>
                  <w:tcW w:w="2972" w:type="dxa"/>
                  <w:tcBorders>
                    <w:top w:val="nil"/>
                    <w:left w:val="single" w:sz="4" w:space="0" w:color="auto"/>
                    <w:bottom w:val="single" w:sz="4" w:space="0" w:color="auto"/>
                    <w:right w:val="single" w:sz="4" w:space="0" w:color="auto"/>
                  </w:tcBorders>
                  <w:shd w:val="clear" w:color="000000" w:fill="EAF1DD"/>
                  <w:noWrap/>
                  <w:vAlign w:val="bottom"/>
                  <w:hideMark/>
                </w:tcPr>
                <w:p w:rsidR="00291A4D" w:rsidRPr="000E6C45" w:rsidRDefault="000E6C45" w:rsidP="00CA41A5">
                  <w:pPr>
                    <w:framePr w:hSpace="180" w:wrap="around" w:vAnchor="text" w:hAnchor="margin" w:xAlign="center" w:y="151"/>
                    <w:rPr>
                      <w:b/>
                      <w:bCs/>
                      <w:color w:val="000000"/>
                      <w:sz w:val="18"/>
                      <w:szCs w:val="18"/>
                    </w:rPr>
                  </w:pPr>
                  <w:r>
                    <w:rPr>
                      <w:b/>
                      <w:bCs/>
                      <w:color w:val="000000"/>
                      <w:sz w:val="18"/>
                      <w:szCs w:val="18"/>
                    </w:rPr>
                    <w:t xml:space="preserve">  </w:t>
                  </w:r>
                  <w:r w:rsidR="00291A4D" w:rsidRPr="000E6C45">
                    <w:rPr>
                      <w:b/>
                      <w:bCs/>
                      <w:color w:val="000000"/>
                      <w:sz w:val="18"/>
                      <w:szCs w:val="18"/>
                    </w:rPr>
                    <w:t>EKK 1100 Atalgojums</w:t>
                  </w:r>
                </w:p>
              </w:tc>
              <w:tc>
                <w:tcPr>
                  <w:tcW w:w="722" w:type="dxa"/>
                  <w:tcBorders>
                    <w:top w:val="nil"/>
                    <w:left w:val="nil"/>
                    <w:bottom w:val="single" w:sz="4" w:space="0" w:color="auto"/>
                    <w:right w:val="single" w:sz="4" w:space="0" w:color="auto"/>
                  </w:tcBorders>
                  <w:shd w:val="clear" w:color="000000" w:fill="EAF1DD"/>
                  <w:noWrap/>
                  <w:vAlign w:val="bottom"/>
                  <w:hideMark/>
                </w:tcPr>
                <w:p w:rsidR="00291A4D" w:rsidRPr="000E6C45" w:rsidRDefault="00291A4D" w:rsidP="00CA41A5">
                  <w:pPr>
                    <w:framePr w:hSpace="180" w:wrap="around" w:vAnchor="text" w:hAnchor="margin" w:xAlign="center" w:y="151"/>
                    <w:rPr>
                      <w:color w:val="000000"/>
                      <w:sz w:val="18"/>
                      <w:szCs w:val="18"/>
                    </w:rPr>
                  </w:pPr>
                  <w:r w:rsidRPr="000E6C45">
                    <w:rPr>
                      <w:color w:val="000000"/>
                      <w:sz w:val="18"/>
                      <w:szCs w:val="18"/>
                    </w:rPr>
                    <w:t> </w:t>
                  </w:r>
                </w:p>
              </w:tc>
              <w:tc>
                <w:tcPr>
                  <w:tcW w:w="708" w:type="dxa"/>
                  <w:tcBorders>
                    <w:top w:val="nil"/>
                    <w:left w:val="nil"/>
                    <w:bottom w:val="single" w:sz="4" w:space="0" w:color="auto"/>
                    <w:right w:val="single" w:sz="4" w:space="0" w:color="auto"/>
                  </w:tcBorders>
                  <w:shd w:val="clear" w:color="000000" w:fill="EAF1DD"/>
                  <w:noWrap/>
                  <w:vAlign w:val="bottom"/>
                  <w:hideMark/>
                </w:tcPr>
                <w:p w:rsidR="00291A4D" w:rsidRPr="000E6C45" w:rsidRDefault="00291A4D" w:rsidP="00CA41A5">
                  <w:pPr>
                    <w:framePr w:hSpace="180" w:wrap="around" w:vAnchor="text" w:hAnchor="margin" w:xAlign="center" w:y="151"/>
                    <w:rPr>
                      <w:color w:val="000000"/>
                      <w:sz w:val="18"/>
                      <w:szCs w:val="18"/>
                    </w:rPr>
                  </w:pPr>
                  <w:r w:rsidRPr="000E6C45">
                    <w:rPr>
                      <w:color w:val="000000"/>
                      <w:sz w:val="18"/>
                      <w:szCs w:val="18"/>
                    </w:rPr>
                    <w:t> </w:t>
                  </w:r>
                </w:p>
              </w:tc>
              <w:tc>
                <w:tcPr>
                  <w:tcW w:w="838" w:type="dxa"/>
                  <w:tcBorders>
                    <w:top w:val="nil"/>
                    <w:left w:val="nil"/>
                    <w:bottom w:val="single" w:sz="4" w:space="0" w:color="auto"/>
                    <w:right w:val="single" w:sz="4" w:space="0" w:color="auto"/>
                  </w:tcBorders>
                  <w:shd w:val="clear" w:color="000000" w:fill="EAF1DD"/>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1 537</w:t>
                  </w:r>
                </w:p>
              </w:tc>
              <w:tc>
                <w:tcPr>
                  <w:tcW w:w="1181" w:type="dxa"/>
                  <w:tcBorders>
                    <w:top w:val="nil"/>
                    <w:left w:val="nil"/>
                    <w:bottom w:val="single" w:sz="4" w:space="0" w:color="auto"/>
                    <w:right w:val="single" w:sz="4" w:space="0" w:color="auto"/>
                  </w:tcBorders>
                  <w:shd w:val="clear" w:color="000000" w:fill="EAF1DD"/>
                  <w:noWrap/>
                  <w:vAlign w:val="bottom"/>
                  <w:hideMark/>
                </w:tcPr>
                <w:p w:rsidR="00291A4D" w:rsidRPr="000E6C45" w:rsidRDefault="00291A4D" w:rsidP="00CA41A5">
                  <w:pPr>
                    <w:framePr w:hSpace="180" w:wrap="around" w:vAnchor="text" w:hAnchor="margin" w:xAlign="center" w:y="151"/>
                    <w:jc w:val="right"/>
                    <w:rPr>
                      <w:b/>
                      <w:bCs/>
                      <w:color w:val="000000"/>
                      <w:sz w:val="18"/>
                      <w:szCs w:val="18"/>
                    </w:rPr>
                  </w:pPr>
                  <w:r w:rsidRPr="000E6C45">
                    <w:rPr>
                      <w:b/>
                      <w:bCs/>
                      <w:color w:val="000000"/>
                      <w:sz w:val="18"/>
                      <w:szCs w:val="18"/>
                    </w:rPr>
                    <w:t>18 440</w:t>
                  </w:r>
                </w:p>
              </w:tc>
              <w:tc>
                <w:tcPr>
                  <w:tcW w:w="1181" w:type="dxa"/>
                  <w:tcBorders>
                    <w:top w:val="nil"/>
                    <w:left w:val="nil"/>
                    <w:bottom w:val="single" w:sz="4" w:space="0" w:color="auto"/>
                    <w:right w:val="single" w:sz="4" w:space="0" w:color="auto"/>
                  </w:tcBorders>
                  <w:shd w:val="clear" w:color="000000" w:fill="EAF1DD"/>
                  <w:noWrap/>
                  <w:vAlign w:val="bottom"/>
                  <w:hideMark/>
                </w:tcPr>
                <w:p w:rsidR="00291A4D" w:rsidRPr="000E6C45" w:rsidRDefault="00291A4D" w:rsidP="00CA41A5">
                  <w:pPr>
                    <w:framePr w:hSpace="180" w:wrap="around" w:vAnchor="text" w:hAnchor="margin" w:xAlign="center" w:y="151"/>
                    <w:jc w:val="right"/>
                    <w:rPr>
                      <w:b/>
                      <w:bCs/>
                      <w:color w:val="000000"/>
                      <w:sz w:val="18"/>
                      <w:szCs w:val="18"/>
                    </w:rPr>
                  </w:pPr>
                  <w:r w:rsidRPr="000E6C45">
                    <w:rPr>
                      <w:b/>
                      <w:bCs/>
                      <w:color w:val="000000"/>
                      <w:sz w:val="18"/>
                      <w:szCs w:val="18"/>
                    </w:rPr>
                    <w:t>18 440</w:t>
                  </w:r>
                </w:p>
              </w:tc>
            </w:tr>
            <w:tr w:rsidR="00291A4D" w:rsidRPr="00291A4D" w:rsidTr="00720739">
              <w:trPr>
                <w:trHeight w:val="15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91A4D" w:rsidRPr="000E6C45" w:rsidRDefault="000E6C45" w:rsidP="00CA41A5">
                  <w:pPr>
                    <w:framePr w:hSpace="180" w:wrap="around" w:vAnchor="text" w:hAnchor="margin" w:xAlign="center" w:y="151"/>
                    <w:rPr>
                      <w:color w:val="000000"/>
                      <w:sz w:val="18"/>
                      <w:szCs w:val="18"/>
                    </w:rPr>
                  </w:pPr>
                  <w:r>
                    <w:rPr>
                      <w:color w:val="000000"/>
                      <w:sz w:val="18"/>
                      <w:szCs w:val="18"/>
                    </w:rPr>
                    <w:t xml:space="preserve">    </w:t>
                  </w:r>
                  <w:r w:rsidR="00291A4D" w:rsidRPr="000E6C45">
                    <w:rPr>
                      <w:color w:val="000000"/>
                      <w:sz w:val="18"/>
                      <w:szCs w:val="18"/>
                    </w:rPr>
                    <w:t>Juriskonsults (36.amatu saime)</w:t>
                  </w:r>
                </w:p>
              </w:tc>
              <w:tc>
                <w:tcPr>
                  <w:tcW w:w="722"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12</w:t>
                  </w:r>
                </w:p>
              </w:tc>
              <w:tc>
                <w:tcPr>
                  <w:tcW w:w="838"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1 281</w:t>
                  </w:r>
                </w:p>
              </w:tc>
              <w:tc>
                <w:tcPr>
                  <w:tcW w:w="1181"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15 367</w:t>
                  </w:r>
                </w:p>
              </w:tc>
              <w:tc>
                <w:tcPr>
                  <w:tcW w:w="1181"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15 367</w:t>
                  </w:r>
                </w:p>
              </w:tc>
            </w:tr>
            <w:tr w:rsidR="00291A4D" w:rsidRPr="00291A4D" w:rsidTr="00720739">
              <w:trPr>
                <w:trHeight w:val="133"/>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91A4D" w:rsidRPr="000E6C45" w:rsidRDefault="000E6C45" w:rsidP="00CA41A5">
                  <w:pPr>
                    <w:framePr w:hSpace="180" w:wrap="around" w:vAnchor="text" w:hAnchor="margin" w:xAlign="center" w:y="151"/>
                    <w:rPr>
                      <w:color w:val="000000"/>
                      <w:sz w:val="18"/>
                      <w:szCs w:val="18"/>
                    </w:rPr>
                  </w:pPr>
                  <w:r>
                    <w:rPr>
                      <w:color w:val="000000"/>
                      <w:sz w:val="18"/>
                      <w:szCs w:val="18"/>
                    </w:rPr>
                    <w:t xml:space="preserve">    </w:t>
                  </w:r>
                  <w:r w:rsidR="00291A4D" w:rsidRPr="000E6C45">
                    <w:rPr>
                      <w:color w:val="000000"/>
                      <w:sz w:val="18"/>
                      <w:szCs w:val="18"/>
                    </w:rPr>
                    <w:t>Piemaksas 10%, prēmijas 10%</w:t>
                  </w:r>
                </w:p>
              </w:tc>
              <w:tc>
                <w:tcPr>
                  <w:tcW w:w="722"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rPr>
                      <w:color w:val="000000"/>
                      <w:sz w:val="18"/>
                      <w:szCs w:val="18"/>
                    </w:rPr>
                  </w:pPr>
                  <w:r w:rsidRPr="000E6C45">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rPr>
                      <w:color w:val="000000"/>
                      <w:sz w:val="18"/>
                      <w:szCs w:val="18"/>
                    </w:rPr>
                  </w:pPr>
                  <w:r w:rsidRPr="000E6C45">
                    <w:rPr>
                      <w:color w:val="000000"/>
                      <w:sz w:val="18"/>
                      <w:szCs w:val="18"/>
                    </w:rPr>
                    <w:t> </w:t>
                  </w:r>
                </w:p>
              </w:tc>
              <w:tc>
                <w:tcPr>
                  <w:tcW w:w="838"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256</w:t>
                  </w:r>
                </w:p>
              </w:tc>
              <w:tc>
                <w:tcPr>
                  <w:tcW w:w="1181"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3 073</w:t>
                  </w:r>
                </w:p>
              </w:tc>
              <w:tc>
                <w:tcPr>
                  <w:tcW w:w="1181"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3 073</w:t>
                  </w:r>
                </w:p>
              </w:tc>
            </w:tr>
            <w:tr w:rsidR="00291A4D" w:rsidRPr="00291A4D" w:rsidTr="00720739">
              <w:trPr>
                <w:trHeight w:val="149"/>
              </w:trPr>
              <w:tc>
                <w:tcPr>
                  <w:tcW w:w="2972" w:type="dxa"/>
                  <w:tcBorders>
                    <w:top w:val="nil"/>
                    <w:left w:val="single" w:sz="4" w:space="0" w:color="auto"/>
                    <w:bottom w:val="single" w:sz="4" w:space="0" w:color="auto"/>
                    <w:right w:val="single" w:sz="4" w:space="0" w:color="auto"/>
                  </w:tcBorders>
                  <w:shd w:val="clear" w:color="000000" w:fill="FDE9D9"/>
                  <w:noWrap/>
                  <w:vAlign w:val="bottom"/>
                  <w:hideMark/>
                </w:tcPr>
                <w:p w:rsidR="00291A4D" w:rsidRPr="000E6C45" w:rsidRDefault="000E6C45" w:rsidP="00CA41A5">
                  <w:pPr>
                    <w:framePr w:hSpace="180" w:wrap="around" w:vAnchor="text" w:hAnchor="margin" w:xAlign="center" w:y="151"/>
                    <w:rPr>
                      <w:b/>
                      <w:bCs/>
                      <w:color w:val="000000"/>
                      <w:sz w:val="18"/>
                      <w:szCs w:val="18"/>
                    </w:rPr>
                  </w:pPr>
                  <w:r>
                    <w:rPr>
                      <w:b/>
                      <w:bCs/>
                      <w:color w:val="000000"/>
                      <w:sz w:val="18"/>
                      <w:szCs w:val="18"/>
                    </w:rPr>
                    <w:t xml:space="preserve">  </w:t>
                  </w:r>
                  <w:r w:rsidR="00291A4D" w:rsidRPr="000E6C45">
                    <w:rPr>
                      <w:b/>
                      <w:bCs/>
                      <w:color w:val="000000"/>
                      <w:sz w:val="18"/>
                      <w:szCs w:val="18"/>
                    </w:rPr>
                    <w:t xml:space="preserve">EKK 1200 </w:t>
                  </w:r>
                </w:p>
              </w:tc>
              <w:tc>
                <w:tcPr>
                  <w:tcW w:w="722"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rPr>
                      <w:color w:val="000000"/>
                      <w:sz w:val="18"/>
                      <w:szCs w:val="18"/>
                    </w:rPr>
                  </w:pPr>
                  <w:r w:rsidRPr="000E6C45">
                    <w:rPr>
                      <w:color w:val="000000"/>
                      <w:sz w:val="18"/>
                      <w:szCs w:val="18"/>
                    </w:rPr>
                    <w:t> </w:t>
                  </w:r>
                </w:p>
              </w:tc>
              <w:tc>
                <w:tcPr>
                  <w:tcW w:w="708"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rPr>
                      <w:color w:val="000000"/>
                      <w:sz w:val="18"/>
                      <w:szCs w:val="18"/>
                    </w:rPr>
                  </w:pPr>
                  <w:r w:rsidRPr="000E6C45">
                    <w:rPr>
                      <w:color w:val="000000"/>
                      <w:sz w:val="18"/>
                      <w:szCs w:val="18"/>
                    </w:rPr>
                    <w:t> </w:t>
                  </w:r>
                </w:p>
              </w:tc>
              <w:tc>
                <w:tcPr>
                  <w:tcW w:w="838"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427</w:t>
                  </w:r>
                </w:p>
              </w:tc>
              <w:tc>
                <w:tcPr>
                  <w:tcW w:w="1181"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5 118</w:t>
                  </w:r>
                </w:p>
              </w:tc>
              <w:tc>
                <w:tcPr>
                  <w:tcW w:w="1181"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5 118</w:t>
                  </w:r>
                </w:p>
              </w:tc>
            </w:tr>
            <w:tr w:rsidR="00291A4D" w:rsidRPr="00291A4D" w:rsidTr="000E6C45">
              <w:trPr>
                <w:trHeight w:val="232"/>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291A4D" w:rsidRPr="000E6C45" w:rsidRDefault="000E6C45" w:rsidP="00CA41A5">
                  <w:pPr>
                    <w:framePr w:hSpace="180" w:wrap="around" w:vAnchor="text" w:hAnchor="margin" w:xAlign="center" w:y="151"/>
                    <w:rPr>
                      <w:color w:val="000000"/>
                      <w:sz w:val="18"/>
                      <w:szCs w:val="18"/>
                    </w:rPr>
                  </w:pPr>
                  <w:r>
                    <w:rPr>
                      <w:color w:val="000000"/>
                      <w:sz w:val="18"/>
                      <w:szCs w:val="18"/>
                    </w:rPr>
                    <w:t xml:space="preserve">    </w:t>
                  </w:r>
                  <w:r w:rsidR="00291A4D" w:rsidRPr="000E6C45">
                    <w:rPr>
                      <w:color w:val="000000"/>
                      <w:sz w:val="18"/>
                      <w:szCs w:val="18"/>
                    </w:rPr>
                    <w:t>EKK 1210 Darba devēja sociālais nodoklis (23.59%)</w:t>
                  </w:r>
                </w:p>
              </w:tc>
              <w:tc>
                <w:tcPr>
                  <w:tcW w:w="722"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rPr>
                      <w:color w:val="000000"/>
                      <w:sz w:val="18"/>
                      <w:szCs w:val="18"/>
                    </w:rPr>
                  </w:pPr>
                  <w:r w:rsidRPr="000E6C45">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rPr>
                      <w:color w:val="000000"/>
                      <w:sz w:val="18"/>
                      <w:szCs w:val="18"/>
                    </w:rPr>
                  </w:pPr>
                  <w:r w:rsidRPr="000E6C45">
                    <w:rPr>
                      <w:color w:val="000000"/>
                      <w:sz w:val="18"/>
                      <w:szCs w:val="18"/>
                    </w:rPr>
                    <w:t> </w:t>
                  </w:r>
                </w:p>
              </w:tc>
              <w:tc>
                <w:tcPr>
                  <w:tcW w:w="838"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363</w:t>
                  </w:r>
                </w:p>
              </w:tc>
              <w:tc>
                <w:tcPr>
                  <w:tcW w:w="1181"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4 350</w:t>
                  </w:r>
                </w:p>
              </w:tc>
              <w:tc>
                <w:tcPr>
                  <w:tcW w:w="1181"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4 350</w:t>
                  </w:r>
                </w:p>
              </w:tc>
            </w:tr>
            <w:tr w:rsidR="00291A4D" w:rsidRPr="00291A4D" w:rsidTr="000E6C45">
              <w:trPr>
                <w:trHeight w:val="252"/>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291A4D" w:rsidRPr="000E6C45" w:rsidRDefault="000E6C45" w:rsidP="00CA41A5">
                  <w:pPr>
                    <w:framePr w:hSpace="180" w:wrap="around" w:vAnchor="text" w:hAnchor="margin" w:xAlign="center" w:y="151"/>
                    <w:rPr>
                      <w:color w:val="000000"/>
                      <w:sz w:val="18"/>
                      <w:szCs w:val="18"/>
                    </w:rPr>
                  </w:pPr>
                  <w:r>
                    <w:rPr>
                      <w:color w:val="000000"/>
                      <w:sz w:val="18"/>
                      <w:szCs w:val="18"/>
                    </w:rPr>
                    <w:t xml:space="preserve">    </w:t>
                  </w:r>
                  <w:r w:rsidR="00291A4D" w:rsidRPr="000E6C45">
                    <w:rPr>
                      <w:color w:val="000000"/>
                      <w:sz w:val="18"/>
                      <w:szCs w:val="18"/>
                    </w:rPr>
                    <w:t>EKK 12</w:t>
                  </w:r>
                  <w:r w:rsidR="00C27F40" w:rsidRPr="000E6C45">
                    <w:rPr>
                      <w:color w:val="000000"/>
                      <w:sz w:val="18"/>
                      <w:szCs w:val="18"/>
                    </w:rPr>
                    <w:t xml:space="preserve">20 Darba devēja </w:t>
                  </w:r>
                  <w:r w:rsidR="00291A4D" w:rsidRPr="000E6C45">
                    <w:rPr>
                      <w:color w:val="000000"/>
                      <w:sz w:val="18"/>
                      <w:szCs w:val="18"/>
                    </w:rPr>
                    <w:t>pabalst</w:t>
                  </w:r>
                  <w:r w:rsidR="00C27F40" w:rsidRPr="000E6C45">
                    <w:rPr>
                      <w:color w:val="000000"/>
                      <w:sz w:val="18"/>
                      <w:szCs w:val="18"/>
                    </w:rPr>
                    <w:t xml:space="preserve">i </w:t>
                  </w:r>
                  <w:r w:rsidR="00291A4D" w:rsidRPr="000E6C45">
                    <w:rPr>
                      <w:color w:val="000000"/>
                      <w:sz w:val="18"/>
                      <w:szCs w:val="18"/>
                    </w:rPr>
                    <w:t xml:space="preserve"> un </w:t>
                  </w:r>
                  <w:r w:rsidR="00C27F40" w:rsidRPr="000E6C45">
                    <w:rPr>
                      <w:color w:val="000000"/>
                      <w:sz w:val="18"/>
                      <w:szCs w:val="18"/>
                    </w:rPr>
                    <w:t>kompensācijas</w:t>
                  </w:r>
                </w:p>
              </w:tc>
              <w:tc>
                <w:tcPr>
                  <w:tcW w:w="722"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rPr>
                      <w:color w:val="000000"/>
                      <w:sz w:val="18"/>
                      <w:szCs w:val="18"/>
                    </w:rPr>
                  </w:pPr>
                  <w:r w:rsidRPr="000E6C45">
                    <w:rPr>
                      <w:color w:val="000000"/>
                      <w:sz w:val="18"/>
                      <w:szCs w:val="18"/>
                    </w:rPr>
                    <w:t> </w:t>
                  </w:r>
                </w:p>
              </w:tc>
              <w:tc>
                <w:tcPr>
                  <w:tcW w:w="838"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64</w:t>
                  </w:r>
                </w:p>
              </w:tc>
              <w:tc>
                <w:tcPr>
                  <w:tcW w:w="1181"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768</w:t>
                  </w:r>
                </w:p>
              </w:tc>
              <w:tc>
                <w:tcPr>
                  <w:tcW w:w="1181"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768</w:t>
                  </w:r>
                </w:p>
              </w:tc>
            </w:tr>
            <w:tr w:rsidR="00291A4D" w:rsidRPr="00291A4D" w:rsidTr="00291A4D">
              <w:trPr>
                <w:trHeight w:val="300"/>
              </w:trPr>
              <w:tc>
                <w:tcPr>
                  <w:tcW w:w="2972" w:type="dxa"/>
                  <w:tcBorders>
                    <w:top w:val="nil"/>
                    <w:left w:val="single" w:sz="4" w:space="0" w:color="auto"/>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rPr>
                      <w:b/>
                      <w:bCs/>
                      <w:color w:val="000000"/>
                      <w:sz w:val="18"/>
                      <w:szCs w:val="18"/>
                    </w:rPr>
                  </w:pPr>
                  <w:r w:rsidRPr="000E6C45">
                    <w:rPr>
                      <w:b/>
                      <w:bCs/>
                      <w:color w:val="000000"/>
                      <w:sz w:val="18"/>
                      <w:szCs w:val="18"/>
                    </w:rPr>
                    <w:t>EKK 2000 Preces un pakalpojumi kopā</w:t>
                  </w:r>
                </w:p>
              </w:tc>
              <w:tc>
                <w:tcPr>
                  <w:tcW w:w="722"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rPr>
                      <w:color w:val="000000"/>
                      <w:sz w:val="18"/>
                      <w:szCs w:val="18"/>
                    </w:rPr>
                  </w:pPr>
                  <w:r w:rsidRPr="000E6C45">
                    <w:rPr>
                      <w:color w:val="000000"/>
                      <w:sz w:val="18"/>
                      <w:szCs w:val="18"/>
                    </w:rPr>
                    <w:t> </w:t>
                  </w:r>
                </w:p>
              </w:tc>
              <w:tc>
                <w:tcPr>
                  <w:tcW w:w="708"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rPr>
                      <w:color w:val="000000"/>
                      <w:sz w:val="18"/>
                      <w:szCs w:val="18"/>
                    </w:rPr>
                  </w:pPr>
                  <w:r w:rsidRPr="000E6C45">
                    <w:rPr>
                      <w:color w:val="000000"/>
                      <w:sz w:val="18"/>
                      <w:szCs w:val="18"/>
                    </w:rPr>
                    <w:t> </w:t>
                  </w:r>
                </w:p>
              </w:tc>
              <w:tc>
                <w:tcPr>
                  <w:tcW w:w="838"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jc w:val="right"/>
                    <w:rPr>
                      <w:b/>
                      <w:bCs/>
                      <w:color w:val="000000"/>
                      <w:sz w:val="18"/>
                      <w:szCs w:val="18"/>
                    </w:rPr>
                  </w:pPr>
                  <w:r w:rsidRPr="000E6C45">
                    <w:rPr>
                      <w:b/>
                      <w:bCs/>
                      <w:color w:val="000000"/>
                      <w:sz w:val="18"/>
                      <w:szCs w:val="18"/>
                    </w:rPr>
                    <w:t>3 875</w:t>
                  </w:r>
                </w:p>
              </w:tc>
              <w:tc>
                <w:tcPr>
                  <w:tcW w:w="1181"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jc w:val="right"/>
                    <w:rPr>
                      <w:b/>
                      <w:bCs/>
                      <w:color w:val="000000"/>
                      <w:sz w:val="18"/>
                      <w:szCs w:val="18"/>
                    </w:rPr>
                  </w:pPr>
                  <w:r w:rsidRPr="000E6C45">
                    <w:rPr>
                      <w:b/>
                      <w:bCs/>
                      <w:color w:val="000000"/>
                      <w:sz w:val="18"/>
                      <w:szCs w:val="18"/>
                    </w:rPr>
                    <w:t>32 980</w:t>
                  </w:r>
                </w:p>
              </w:tc>
              <w:tc>
                <w:tcPr>
                  <w:tcW w:w="1181"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jc w:val="right"/>
                    <w:rPr>
                      <w:b/>
                      <w:bCs/>
                      <w:color w:val="000000"/>
                      <w:sz w:val="18"/>
                      <w:szCs w:val="18"/>
                    </w:rPr>
                  </w:pPr>
                  <w:r w:rsidRPr="000E6C45">
                    <w:rPr>
                      <w:b/>
                      <w:bCs/>
                      <w:color w:val="000000"/>
                      <w:sz w:val="18"/>
                      <w:szCs w:val="18"/>
                    </w:rPr>
                    <w:t>32 980</w:t>
                  </w:r>
                </w:p>
              </w:tc>
            </w:tr>
            <w:tr w:rsidR="00291A4D" w:rsidRPr="00291A4D" w:rsidTr="00720739">
              <w:trPr>
                <w:trHeight w:val="108"/>
              </w:trPr>
              <w:tc>
                <w:tcPr>
                  <w:tcW w:w="2972" w:type="dxa"/>
                  <w:tcBorders>
                    <w:top w:val="nil"/>
                    <w:left w:val="single" w:sz="4" w:space="0" w:color="auto"/>
                    <w:bottom w:val="single" w:sz="4" w:space="0" w:color="auto"/>
                    <w:right w:val="single" w:sz="4" w:space="0" w:color="auto"/>
                  </w:tcBorders>
                  <w:shd w:val="clear" w:color="000000" w:fill="FFFFFF"/>
                  <w:vAlign w:val="bottom"/>
                  <w:hideMark/>
                </w:tcPr>
                <w:p w:rsidR="00291A4D" w:rsidRPr="000E6C45" w:rsidRDefault="000E6C45" w:rsidP="00CA41A5">
                  <w:pPr>
                    <w:framePr w:hSpace="180" w:wrap="around" w:vAnchor="text" w:hAnchor="margin" w:xAlign="center" w:y="151"/>
                    <w:rPr>
                      <w:color w:val="000000"/>
                      <w:sz w:val="18"/>
                      <w:szCs w:val="18"/>
                    </w:rPr>
                  </w:pPr>
                  <w:r>
                    <w:rPr>
                      <w:color w:val="000000"/>
                      <w:sz w:val="18"/>
                      <w:szCs w:val="18"/>
                    </w:rPr>
                    <w:t xml:space="preserve">    </w:t>
                  </w:r>
                  <w:r w:rsidR="00291A4D" w:rsidRPr="000E6C45">
                    <w:rPr>
                      <w:color w:val="000000"/>
                      <w:sz w:val="18"/>
                      <w:szCs w:val="18"/>
                    </w:rPr>
                    <w:t>EKK 2100 Komandējumi kopā</w:t>
                  </w:r>
                </w:p>
              </w:tc>
              <w:tc>
                <w:tcPr>
                  <w:tcW w:w="722"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rPr>
                      <w:color w:val="000000"/>
                      <w:sz w:val="18"/>
                      <w:szCs w:val="18"/>
                    </w:rPr>
                  </w:pPr>
                  <w:r w:rsidRPr="000E6C45">
                    <w:rPr>
                      <w:color w:val="000000"/>
                      <w:sz w:val="18"/>
                      <w:szCs w:val="1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rPr>
                      <w:color w:val="000000"/>
                      <w:sz w:val="18"/>
                      <w:szCs w:val="18"/>
                    </w:rPr>
                  </w:pPr>
                  <w:r w:rsidRPr="000E6C45">
                    <w:rPr>
                      <w:color w:val="000000"/>
                      <w:sz w:val="18"/>
                      <w:szCs w:val="18"/>
                    </w:rPr>
                    <w:t> </w:t>
                  </w:r>
                </w:p>
              </w:tc>
              <w:tc>
                <w:tcPr>
                  <w:tcW w:w="838"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2 240</w:t>
                  </w:r>
                </w:p>
              </w:tc>
              <w:tc>
                <w:tcPr>
                  <w:tcW w:w="1181"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13 360</w:t>
                  </w:r>
                </w:p>
              </w:tc>
              <w:tc>
                <w:tcPr>
                  <w:tcW w:w="1181"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13 360</w:t>
                  </w:r>
                </w:p>
              </w:tc>
            </w:tr>
            <w:tr w:rsidR="00291A4D" w:rsidRPr="00291A4D" w:rsidTr="00291A4D">
              <w:trPr>
                <w:trHeight w:val="390"/>
              </w:trPr>
              <w:tc>
                <w:tcPr>
                  <w:tcW w:w="2972" w:type="dxa"/>
                  <w:tcBorders>
                    <w:top w:val="nil"/>
                    <w:left w:val="single" w:sz="4" w:space="0" w:color="auto"/>
                    <w:bottom w:val="single" w:sz="4" w:space="0" w:color="auto"/>
                    <w:right w:val="single" w:sz="4" w:space="0" w:color="auto"/>
                  </w:tcBorders>
                  <w:shd w:val="clear" w:color="000000" w:fill="FFFFFF"/>
                  <w:vAlign w:val="bottom"/>
                  <w:hideMark/>
                </w:tcPr>
                <w:p w:rsidR="00291A4D" w:rsidRPr="000E6C45" w:rsidRDefault="000E6C45" w:rsidP="00CA41A5">
                  <w:pPr>
                    <w:framePr w:hSpace="180" w:wrap="around" w:vAnchor="text" w:hAnchor="margin" w:xAlign="center" w:y="151"/>
                    <w:rPr>
                      <w:i/>
                      <w:iCs/>
                      <w:color w:val="000000"/>
                      <w:sz w:val="18"/>
                      <w:szCs w:val="18"/>
                    </w:rPr>
                  </w:pPr>
                  <w:r>
                    <w:rPr>
                      <w:i/>
                      <w:iCs/>
                      <w:color w:val="000000"/>
                      <w:sz w:val="18"/>
                      <w:szCs w:val="18"/>
                    </w:rPr>
                    <w:lastRenderedPageBreak/>
                    <w:t xml:space="preserve">      </w:t>
                  </w:r>
                  <w:r w:rsidR="00291A4D" w:rsidRPr="000E6C45">
                    <w:rPr>
                      <w:i/>
                      <w:iCs/>
                      <w:color w:val="000000"/>
                      <w:sz w:val="18"/>
                      <w:szCs w:val="18"/>
                    </w:rPr>
                    <w:t>Brisele (4 komandējumi 2 dienas)</w:t>
                  </w:r>
                </w:p>
              </w:tc>
              <w:tc>
                <w:tcPr>
                  <w:tcW w:w="722"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i/>
                      <w:iCs/>
                      <w:color w:val="000000"/>
                      <w:sz w:val="18"/>
                      <w:szCs w:val="18"/>
                    </w:rPr>
                  </w:pPr>
                  <w:r w:rsidRPr="000E6C45">
                    <w:rPr>
                      <w:i/>
                      <w:iCs/>
                      <w:color w:val="000000"/>
                      <w:sz w:val="18"/>
                      <w:szCs w:val="18"/>
                    </w:rPr>
                    <w:t>4</w:t>
                  </w:r>
                </w:p>
              </w:tc>
              <w:tc>
                <w:tcPr>
                  <w:tcW w:w="708"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i/>
                      <w:iCs/>
                      <w:color w:val="000000"/>
                      <w:sz w:val="18"/>
                      <w:szCs w:val="18"/>
                    </w:rPr>
                  </w:pPr>
                  <w:r w:rsidRPr="000E6C45">
                    <w:rPr>
                      <w:i/>
                      <w:iCs/>
                      <w:color w:val="000000"/>
                      <w:sz w:val="18"/>
                      <w:szCs w:val="18"/>
                    </w:rPr>
                    <w:t>2</w:t>
                  </w:r>
                </w:p>
              </w:tc>
              <w:tc>
                <w:tcPr>
                  <w:tcW w:w="838"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i/>
                      <w:iCs/>
                      <w:color w:val="000000"/>
                      <w:sz w:val="18"/>
                      <w:szCs w:val="18"/>
                    </w:rPr>
                  </w:pPr>
                  <w:r w:rsidRPr="000E6C45">
                    <w:rPr>
                      <w:i/>
                      <w:iCs/>
                      <w:color w:val="000000"/>
                      <w:sz w:val="18"/>
                      <w:szCs w:val="18"/>
                    </w:rPr>
                    <w:t>1 100</w:t>
                  </w:r>
                </w:p>
              </w:tc>
              <w:tc>
                <w:tcPr>
                  <w:tcW w:w="1181"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i/>
                      <w:iCs/>
                      <w:color w:val="000000"/>
                      <w:sz w:val="18"/>
                      <w:szCs w:val="18"/>
                    </w:rPr>
                  </w:pPr>
                  <w:r w:rsidRPr="000E6C45">
                    <w:rPr>
                      <w:i/>
                      <w:iCs/>
                      <w:color w:val="000000"/>
                      <w:sz w:val="18"/>
                      <w:szCs w:val="18"/>
                    </w:rPr>
                    <w:t>8 800</w:t>
                  </w:r>
                </w:p>
              </w:tc>
              <w:tc>
                <w:tcPr>
                  <w:tcW w:w="1181"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i/>
                      <w:iCs/>
                      <w:color w:val="000000"/>
                      <w:sz w:val="18"/>
                      <w:szCs w:val="18"/>
                    </w:rPr>
                  </w:pPr>
                  <w:r w:rsidRPr="000E6C45">
                    <w:rPr>
                      <w:i/>
                      <w:iCs/>
                      <w:color w:val="000000"/>
                      <w:sz w:val="18"/>
                      <w:szCs w:val="18"/>
                    </w:rPr>
                    <w:t>8 800</w:t>
                  </w:r>
                </w:p>
              </w:tc>
            </w:tr>
            <w:tr w:rsidR="00291A4D" w:rsidRPr="00291A4D" w:rsidTr="000E6C45">
              <w:trPr>
                <w:trHeight w:val="293"/>
              </w:trPr>
              <w:tc>
                <w:tcPr>
                  <w:tcW w:w="2972" w:type="dxa"/>
                  <w:tcBorders>
                    <w:top w:val="nil"/>
                    <w:left w:val="single" w:sz="4" w:space="0" w:color="auto"/>
                    <w:bottom w:val="single" w:sz="4" w:space="0" w:color="auto"/>
                    <w:right w:val="single" w:sz="4" w:space="0" w:color="auto"/>
                  </w:tcBorders>
                  <w:shd w:val="clear" w:color="000000" w:fill="FFFFFF"/>
                  <w:vAlign w:val="bottom"/>
                  <w:hideMark/>
                </w:tcPr>
                <w:p w:rsidR="00291A4D" w:rsidRPr="000E6C45" w:rsidRDefault="000E6C45" w:rsidP="00CA41A5">
                  <w:pPr>
                    <w:framePr w:hSpace="180" w:wrap="around" w:vAnchor="text" w:hAnchor="margin" w:xAlign="center" w:y="151"/>
                    <w:rPr>
                      <w:i/>
                      <w:iCs/>
                      <w:color w:val="000000"/>
                      <w:sz w:val="18"/>
                      <w:szCs w:val="18"/>
                    </w:rPr>
                  </w:pPr>
                  <w:r>
                    <w:rPr>
                      <w:i/>
                      <w:iCs/>
                      <w:color w:val="000000"/>
                      <w:sz w:val="18"/>
                      <w:szCs w:val="18"/>
                    </w:rPr>
                    <w:t xml:space="preserve">      </w:t>
                  </w:r>
                  <w:r w:rsidR="00291A4D" w:rsidRPr="000E6C45">
                    <w:rPr>
                      <w:i/>
                      <w:iCs/>
                      <w:color w:val="000000"/>
                      <w:sz w:val="18"/>
                      <w:szCs w:val="18"/>
                    </w:rPr>
                    <w:t>ES galvaspilsētas (2 konferences, 2 pārstāvji, 2 dienas)</w:t>
                  </w:r>
                </w:p>
              </w:tc>
              <w:tc>
                <w:tcPr>
                  <w:tcW w:w="722"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i/>
                      <w:iCs/>
                      <w:color w:val="000000"/>
                      <w:sz w:val="18"/>
                      <w:szCs w:val="18"/>
                    </w:rPr>
                  </w:pPr>
                  <w:r w:rsidRPr="000E6C45">
                    <w:rPr>
                      <w:i/>
                      <w:iCs/>
                      <w:color w:val="000000"/>
                      <w:sz w:val="18"/>
                      <w:szCs w:val="18"/>
                    </w:rPr>
                    <w:t>2</w:t>
                  </w:r>
                </w:p>
              </w:tc>
              <w:tc>
                <w:tcPr>
                  <w:tcW w:w="708"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i/>
                      <w:iCs/>
                      <w:color w:val="000000"/>
                      <w:sz w:val="18"/>
                      <w:szCs w:val="18"/>
                    </w:rPr>
                  </w:pPr>
                  <w:r w:rsidRPr="000E6C45">
                    <w:rPr>
                      <w:i/>
                      <w:iCs/>
                      <w:color w:val="000000"/>
                      <w:sz w:val="18"/>
                      <w:szCs w:val="18"/>
                    </w:rPr>
                    <w:t>2</w:t>
                  </w:r>
                </w:p>
              </w:tc>
              <w:tc>
                <w:tcPr>
                  <w:tcW w:w="838"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i/>
                      <w:iCs/>
                      <w:color w:val="000000"/>
                      <w:sz w:val="18"/>
                      <w:szCs w:val="18"/>
                    </w:rPr>
                  </w:pPr>
                  <w:r w:rsidRPr="000E6C45">
                    <w:rPr>
                      <w:i/>
                      <w:iCs/>
                      <w:color w:val="000000"/>
                      <w:sz w:val="18"/>
                      <w:szCs w:val="18"/>
                    </w:rPr>
                    <w:t>1 140</w:t>
                  </w:r>
                </w:p>
              </w:tc>
              <w:tc>
                <w:tcPr>
                  <w:tcW w:w="1181"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i/>
                      <w:iCs/>
                      <w:color w:val="000000"/>
                      <w:sz w:val="18"/>
                      <w:szCs w:val="18"/>
                    </w:rPr>
                  </w:pPr>
                  <w:r w:rsidRPr="000E6C45">
                    <w:rPr>
                      <w:i/>
                      <w:iCs/>
                      <w:color w:val="000000"/>
                      <w:sz w:val="18"/>
                      <w:szCs w:val="18"/>
                    </w:rPr>
                    <w:t>4 560</w:t>
                  </w:r>
                </w:p>
              </w:tc>
              <w:tc>
                <w:tcPr>
                  <w:tcW w:w="1181"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i/>
                      <w:iCs/>
                      <w:color w:val="000000"/>
                      <w:sz w:val="18"/>
                      <w:szCs w:val="18"/>
                    </w:rPr>
                  </w:pPr>
                  <w:r w:rsidRPr="000E6C45">
                    <w:rPr>
                      <w:i/>
                      <w:iCs/>
                      <w:color w:val="000000"/>
                      <w:sz w:val="18"/>
                      <w:szCs w:val="18"/>
                    </w:rPr>
                    <w:t>4 560</w:t>
                  </w:r>
                </w:p>
              </w:tc>
            </w:tr>
            <w:tr w:rsidR="00291A4D" w:rsidRPr="00291A4D" w:rsidTr="000E6C45">
              <w:trPr>
                <w:trHeight w:val="129"/>
              </w:trPr>
              <w:tc>
                <w:tcPr>
                  <w:tcW w:w="2972" w:type="dxa"/>
                  <w:tcBorders>
                    <w:top w:val="nil"/>
                    <w:left w:val="single" w:sz="4" w:space="0" w:color="auto"/>
                    <w:bottom w:val="single" w:sz="4" w:space="0" w:color="auto"/>
                    <w:right w:val="single" w:sz="4" w:space="0" w:color="auto"/>
                  </w:tcBorders>
                  <w:shd w:val="clear" w:color="000000" w:fill="FFFFFF"/>
                  <w:vAlign w:val="bottom"/>
                  <w:hideMark/>
                </w:tcPr>
                <w:p w:rsidR="00291A4D" w:rsidRPr="000E6C45" w:rsidRDefault="000E6C45" w:rsidP="00CA41A5">
                  <w:pPr>
                    <w:framePr w:hSpace="180" w:wrap="around" w:vAnchor="text" w:hAnchor="margin" w:xAlign="center" w:y="151"/>
                    <w:rPr>
                      <w:color w:val="000000"/>
                      <w:sz w:val="18"/>
                      <w:szCs w:val="18"/>
                    </w:rPr>
                  </w:pPr>
                  <w:r>
                    <w:rPr>
                      <w:color w:val="000000"/>
                      <w:sz w:val="18"/>
                      <w:szCs w:val="18"/>
                    </w:rPr>
                    <w:t xml:space="preserve">    </w:t>
                  </w:r>
                  <w:r w:rsidR="00291A4D" w:rsidRPr="000E6C45">
                    <w:rPr>
                      <w:color w:val="000000"/>
                      <w:sz w:val="18"/>
                      <w:szCs w:val="18"/>
                    </w:rPr>
                    <w:t>EKK 2210 Pasta, telefona un citi sakaru pakalpojumi</w:t>
                  </w:r>
                </w:p>
              </w:tc>
              <w:tc>
                <w:tcPr>
                  <w:tcW w:w="722"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12</w:t>
                  </w:r>
                </w:p>
              </w:tc>
              <w:tc>
                <w:tcPr>
                  <w:tcW w:w="838"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200</w:t>
                  </w:r>
                </w:p>
              </w:tc>
              <w:tc>
                <w:tcPr>
                  <w:tcW w:w="1181"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2 400</w:t>
                  </w:r>
                </w:p>
              </w:tc>
              <w:tc>
                <w:tcPr>
                  <w:tcW w:w="1181"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2 400</w:t>
                  </w:r>
                </w:p>
              </w:tc>
            </w:tr>
            <w:tr w:rsidR="00291A4D" w:rsidRPr="00291A4D" w:rsidTr="000E6C45">
              <w:trPr>
                <w:trHeight w:val="122"/>
              </w:trPr>
              <w:tc>
                <w:tcPr>
                  <w:tcW w:w="2972" w:type="dxa"/>
                  <w:tcBorders>
                    <w:top w:val="nil"/>
                    <w:left w:val="single" w:sz="4" w:space="0" w:color="auto"/>
                    <w:bottom w:val="single" w:sz="4" w:space="0" w:color="auto"/>
                    <w:right w:val="single" w:sz="4" w:space="0" w:color="auto"/>
                  </w:tcBorders>
                  <w:shd w:val="clear" w:color="000000" w:fill="FFFFFF"/>
                  <w:vAlign w:val="bottom"/>
                  <w:hideMark/>
                </w:tcPr>
                <w:p w:rsidR="00291A4D" w:rsidRPr="000E6C45" w:rsidRDefault="000E6C45" w:rsidP="00CA41A5">
                  <w:pPr>
                    <w:framePr w:hSpace="180" w:wrap="around" w:vAnchor="text" w:hAnchor="margin" w:xAlign="center" w:y="151"/>
                    <w:rPr>
                      <w:color w:val="000000"/>
                      <w:sz w:val="18"/>
                      <w:szCs w:val="18"/>
                    </w:rPr>
                  </w:pPr>
                  <w:r>
                    <w:rPr>
                      <w:color w:val="000000"/>
                      <w:sz w:val="18"/>
                      <w:szCs w:val="18"/>
                    </w:rPr>
                    <w:t xml:space="preserve">    </w:t>
                  </w:r>
                  <w:r w:rsidR="00291A4D" w:rsidRPr="000E6C45">
                    <w:rPr>
                      <w:color w:val="000000"/>
                      <w:sz w:val="18"/>
                      <w:szCs w:val="18"/>
                    </w:rPr>
                    <w:t>EKK 2220 Komunālie izdevumi</w:t>
                  </w:r>
                </w:p>
              </w:tc>
              <w:tc>
                <w:tcPr>
                  <w:tcW w:w="722"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12</w:t>
                  </w:r>
                </w:p>
              </w:tc>
              <w:tc>
                <w:tcPr>
                  <w:tcW w:w="838"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500</w:t>
                  </w:r>
                </w:p>
              </w:tc>
              <w:tc>
                <w:tcPr>
                  <w:tcW w:w="1181"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6 000</w:t>
                  </w:r>
                </w:p>
              </w:tc>
              <w:tc>
                <w:tcPr>
                  <w:tcW w:w="1181"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6 000</w:t>
                  </w:r>
                </w:p>
              </w:tc>
            </w:tr>
            <w:tr w:rsidR="00291A4D" w:rsidRPr="00291A4D" w:rsidTr="000E6C45">
              <w:trPr>
                <w:trHeight w:val="309"/>
              </w:trPr>
              <w:tc>
                <w:tcPr>
                  <w:tcW w:w="2972" w:type="dxa"/>
                  <w:tcBorders>
                    <w:top w:val="nil"/>
                    <w:left w:val="single" w:sz="4" w:space="0" w:color="auto"/>
                    <w:bottom w:val="single" w:sz="4" w:space="0" w:color="auto"/>
                    <w:right w:val="single" w:sz="4" w:space="0" w:color="auto"/>
                  </w:tcBorders>
                  <w:shd w:val="clear" w:color="000000" w:fill="FFFFFF"/>
                  <w:vAlign w:val="bottom"/>
                  <w:hideMark/>
                </w:tcPr>
                <w:p w:rsidR="00291A4D" w:rsidRPr="000E6C45" w:rsidRDefault="000E6C45" w:rsidP="00CA41A5">
                  <w:pPr>
                    <w:framePr w:hSpace="180" w:wrap="around" w:vAnchor="text" w:hAnchor="margin" w:xAlign="center" w:y="151"/>
                    <w:rPr>
                      <w:color w:val="000000"/>
                      <w:sz w:val="18"/>
                      <w:szCs w:val="18"/>
                    </w:rPr>
                  </w:pPr>
                  <w:r>
                    <w:rPr>
                      <w:color w:val="000000"/>
                      <w:sz w:val="18"/>
                      <w:szCs w:val="18"/>
                    </w:rPr>
                    <w:t xml:space="preserve">    </w:t>
                  </w:r>
                  <w:r w:rsidR="00291A4D" w:rsidRPr="000E6C45">
                    <w:rPr>
                      <w:color w:val="000000"/>
                      <w:sz w:val="18"/>
                      <w:szCs w:val="18"/>
                    </w:rPr>
                    <w:t xml:space="preserve">EKK 2261 Telpu īre ((5 </w:t>
                  </w:r>
                  <w:r w:rsidR="00291A4D" w:rsidRPr="000E6C45">
                    <w:rPr>
                      <w:i/>
                      <w:iCs/>
                      <w:color w:val="000000"/>
                      <w:sz w:val="18"/>
                      <w:szCs w:val="18"/>
                    </w:rPr>
                    <w:t>euro</w:t>
                  </w:r>
                  <w:r w:rsidR="00291A4D" w:rsidRPr="000E6C45">
                    <w:rPr>
                      <w:color w:val="000000"/>
                      <w:sz w:val="18"/>
                      <w:szCs w:val="18"/>
                    </w:rPr>
                    <w:t>/m</w:t>
                  </w:r>
                  <w:r w:rsidR="00291A4D" w:rsidRPr="000E6C45">
                    <w:rPr>
                      <w:color w:val="000000"/>
                      <w:sz w:val="18"/>
                      <w:szCs w:val="18"/>
                      <w:vertAlign w:val="superscript"/>
                    </w:rPr>
                    <w:t>2</w:t>
                  </w:r>
                  <w:r w:rsidR="00291A4D" w:rsidRPr="000E6C45">
                    <w:rPr>
                      <w:color w:val="000000"/>
                      <w:sz w:val="18"/>
                      <w:szCs w:val="18"/>
                    </w:rPr>
                    <w:t>+21% PVN) *100m</w:t>
                  </w:r>
                  <w:r w:rsidR="00291A4D" w:rsidRPr="000E6C45">
                    <w:rPr>
                      <w:color w:val="000000"/>
                      <w:sz w:val="18"/>
                      <w:szCs w:val="18"/>
                      <w:vertAlign w:val="superscript"/>
                    </w:rPr>
                    <w:t>2</w:t>
                  </w:r>
                  <w:r w:rsidR="00291A4D" w:rsidRPr="000E6C45">
                    <w:rPr>
                      <w:color w:val="000000"/>
                      <w:sz w:val="18"/>
                      <w:szCs w:val="18"/>
                    </w:rPr>
                    <w:t>)</w:t>
                  </w:r>
                </w:p>
              </w:tc>
              <w:tc>
                <w:tcPr>
                  <w:tcW w:w="722"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12</w:t>
                  </w:r>
                </w:p>
              </w:tc>
              <w:tc>
                <w:tcPr>
                  <w:tcW w:w="838"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605</w:t>
                  </w:r>
                </w:p>
              </w:tc>
              <w:tc>
                <w:tcPr>
                  <w:tcW w:w="1181"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7 260</w:t>
                  </w:r>
                </w:p>
              </w:tc>
              <w:tc>
                <w:tcPr>
                  <w:tcW w:w="1181"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7 260</w:t>
                  </w:r>
                </w:p>
              </w:tc>
            </w:tr>
            <w:tr w:rsidR="00291A4D" w:rsidRPr="00291A4D" w:rsidTr="000E6C45">
              <w:trPr>
                <w:trHeight w:val="287"/>
              </w:trPr>
              <w:tc>
                <w:tcPr>
                  <w:tcW w:w="2972" w:type="dxa"/>
                  <w:tcBorders>
                    <w:top w:val="nil"/>
                    <w:left w:val="single" w:sz="4" w:space="0" w:color="auto"/>
                    <w:bottom w:val="single" w:sz="4" w:space="0" w:color="auto"/>
                    <w:right w:val="single" w:sz="4" w:space="0" w:color="auto"/>
                  </w:tcBorders>
                  <w:shd w:val="clear" w:color="000000" w:fill="FFFFFF"/>
                  <w:vAlign w:val="bottom"/>
                  <w:hideMark/>
                </w:tcPr>
                <w:p w:rsidR="00291A4D" w:rsidRPr="000E6C45" w:rsidRDefault="000E6C45" w:rsidP="00CA41A5">
                  <w:pPr>
                    <w:framePr w:hSpace="180" w:wrap="around" w:vAnchor="text" w:hAnchor="margin" w:xAlign="center" w:y="151"/>
                    <w:rPr>
                      <w:color w:val="000000"/>
                      <w:sz w:val="18"/>
                      <w:szCs w:val="18"/>
                    </w:rPr>
                  </w:pPr>
                  <w:r>
                    <w:rPr>
                      <w:color w:val="000000"/>
                      <w:sz w:val="18"/>
                      <w:szCs w:val="18"/>
                    </w:rPr>
                    <w:t xml:space="preserve">    </w:t>
                  </w:r>
                  <w:r w:rsidR="00291A4D" w:rsidRPr="000E6C45">
                    <w:rPr>
                      <w:color w:val="000000"/>
                      <w:sz w:val="18"/>
                      <w:szCs w:val="18"/>
                    </w:rPr>
                    <w:t>EKK 2244 Telpu uzturēšana, tehniskā apsardze</w:t>
                  </w:r>
                </w:p>
              </w:tc>
              <w:tc>
                <w:tcPr>
                  <w:tcW w:w="722"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12</w:t>
                  </w:r>
                </w:p>
              </w:tc>
              <w:tc>
                <w:tcPr>
                  <w:tcW w:w="838"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230</w:t>
                  </w:r>
                </w:p>
              </w:tc>
              <w:tc>
                <w:tcPr>
                  <w:tcW w:w="1181"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2 760</w:t>
                  </w:r>
                </w:p>
              </w:tc>
              <w:tc>
                <w:tcPr>
                  <w:tcW w:w="1181"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2 760</w:t>
                  </w:r>
                </w:p>
              </w:tc>
            </w:tr>
            <w:tr w:rsidR="00291A4D" w:rsidRPr="00291A4D" w:rsidTr="00291A4D">
              <w:trPr>
                <w:trHeight w:val="300"/>
              </w:trPr>
              <w:tc>
                <w:tcPr>
                  <w:tcW w:w="2972" w:type="dxa"/>
                  <w:tcBorders>
                    <w:top w:val="nil"/>
                    <w:left w:val="single" w:sz="4" w:space="0" w:color="auto"/>
                    <w:bottom w:val="single" w:sz="4" w:space="0" w:color="auto"/>
                    <w:right w:val="single" w:sz="4" w:space="0" w:color="auto"/>
                  </w:tcBorders>
                  <w:shd w:val="clear" w:color="000000" w:fill="FFFFFF"/>
                  <w:noWrap/>
                  <w:vAlign w:val="bottom"/>
                  <w:hideMark/>
                </w:tcPr>
                <w:p w:rsidR="00291A4D" w:rsidRPr="000E6C45" w:rsidRDefault="000E6C45" w:rsidP="00CA41A5">
                  <w:pPr>
                    <w:framePr w:hSpace="180" w:wrap="around" w:vAnchor="text" w:hAnchor="margin" w:xAlign="center" w:y="151"/>
                    <w:rPr>
                      <w:color w:val="000000"/>
                      <w:sz w:val="18"/>
                      <w:szCs w:val="18"/>
                    </w:rPr>
                  </w:pPr>
                  <w:r>
                    <w:rPr>
                      <w:color w:val="000000"/>
                      <w:sz w:val="18"/>
                      <w:szCs w:val="18"/>
                    </w:rPr>
                    <w:t xml:space="preserve">    </w:t>
                  </w:r>
                  <w:r w:rsidR="00291A4D" w:rsidRPr="000E6C45">
                    <w:rPr>
                      <w:color w:val="000000"/>
                      <w:sz w:val="18"/>
                      <w:szCs w:val="18"/>
                    </w:rPr>
                    <w:t>EKK 2300 Materiāli, kancelejas preces</w:t>
                  </w:r>
                </w:p>
              </w:tc>
              <w:tc>
                <w:tcPr>
                  <w:tcW w:w="722"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12</w:t>
                  </w:r>
                </w:p>
              </w:tc>
              <w:tc>
                <w:tcPr>
                  <w:tcW w:w="838"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100</w:t>
                  </w:r>
                </w:p>
              </w:tc>
              <w:tc>
                <w:tcPr>
                  <w:tcW w:w="1181"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1 200</w:t>
                  </w:r>
                </w:p>
              </w:tc>
              <w:tc>
                <w:tcPr>
                  <w:tcW w:w="1181"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1 200</w:t>
                  </w:r>
                </w:p>
              </w:tc>
            </w:tr>
            <w:tr w:rsidR="00291A4D" w:rsidRPr="00291A4D" w:rsidTr="00291A4D">
              <w:trPr>
                <w:trHeight w:val="300"/>
              </w:trPr>
              <w:tc>
                <w:tcPr>
                  <w:tcW w:w="2972" w:type="dxa"/>
                  <w:tcBorders>
                    <w:top w:val="nil"/>
                    <w:left w:val="single" w:sz="4" w:space="0" w:color="auto"/>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rPr>
                      <w:b/>
                      <w:bCs/>
                      <w:color w:val="000000"/>
                      <w:sz w:val="18"/>
                      <w:szCs w:val="18"/>
                    </w:rPr>
                  </w:pPr>
                  <w:r w:rsidRPr="000E6C45">
                    <w:rPr>
                      <w:b/>
                      <w:bCs/>
                      <w:color w:val="000000"/>
                      <w:sz w:val="18"/>
                      <w:szCs w:val="18"/>
                    </w:rPr>
                    <w:t>EKK 5000 Kapitālie izdevumi kopā</w:t>
                  </w:r>
                </w:p>
              </w:tc>
              <w:tc>
                <w:tcPr>
                  <w:tcW w:w="722"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rPr>
                      <w:color w:val="000000"/>
                      <w:sz w:val="18"/>
                      <w:szCs w:val="18"/>
                    </w:rPr>
                  </w:pPr>
                  <w:r w:rsidRPr="000E6C45">
                    <w:rPr>
                      <w:color w:val="000000"/>
                      <w:sz w:val="18"/>
                      <w:szCs w:val="18"/>
                    </w:rPr>
                    <w:t> </w:t>
                  </w:r>
                </w:p>
              </w:tc>
              <w:tc>
                <w:tcPr>
                  <w:tcW w:w="708"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rPr>
                      <w:color w:val="000000"/>
                      <w:sz w:val="18"/>
                      <w:szCs w:val="18"/>
                    </w:rPr>
                  </w:pPr>
                  <w:r w:rsidRPr="000E6C45">
                    <w:rPr>
                      <w:color w:val="000000"/>
                      <w:sz w:val="18"/>
                      <w:szCs w:val="18"/>
                    </w:rPr>
                    <w:t> </w:t>
                  </w:r>
                </w:p>
              </w:tc>
              <w:tc>
                <w:tcPr>
                  <w:tcW w:w="838"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jc w:val="right"/>
                    <w:rPr>
                      <w:b/>
                      <w:bCs/>
                      <w:color w:val="000000"/>
                      <w:sz w:val="18"/>
                      <w:szCs w:val="18"/>
                    </w:rPr>
                  </w:pPr>
                  <w:r w:rsidRPr="000E6C45">
                    <w:rPr>
                      <w:b/>
                      <w:bCs/>
                      <w:color w:val="000000"/>
                      <w:sz w:val="18"/>
                      <w:szCs w:val="18"/>
                    </w:rPr>
                    <w:t>4 899</w:t>
                  </w:r>
                </w:p>
              </w:tc>
              <w:tc>
                <w:tcPr>
                  <w:tcW w:w="1181"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jc w:val="right"/>
                    <w:rPr>
                      <w:b/>
                      <w:bCs/>
                      <w:color w:val="000000"/>
                      <w:sz w:val="18"/>
                      <w:szCs w:val="18"/>
                    </w:rPr>
                  </w:pPr>
                  <w:r w:rsidRPr="000E6C45">
                    <w:rPr>
                      <w:b/>
                      <w:bCs/>
                      <w:color w:val="000000"/>
                      <w:sz w:val="18"/>
                      <w:szCs w:val="18"/>
                    </w:rPr>
                    <w:t>17 967</w:t>
                  </w:r>
                </w:p>
              </w:tc>
              <w:tc>
                <w:tcPr>
                  <w:tcW w:w="1181" w:type="dxa"/>
                  <w:tcBorders>
                    <w:top w:val="nil"/>
                    <w:left w:val="nil"/>
                    <w:bottom w:val="single" w:sz="4" w:space="0" w:color="auto"/>
                    <w:right w:val="single" w:sz="4" w:space="0" w:color="auto"/>
                  </w:tcBorders>
                  <w:shd w:val="clear" w:color="000000" w:fill="FDE9D9"/>
                  <w:noWrap/>
                  <w:vAlign w:val="bottom"/>
                  <w:hideMark/>
                </w:tcPr>
                <w:p w:rsidR="00291A4D" w:rsidRPr="000E6C45" w:rsidRDefault="00291A4D" w:rsidP="00CA41A5">
                  <w:pPr>
                    <w:framePr w:hSpace="180" w:wrap="around" w:vAnchor="text" w:hAnchor="margin" w:xAlign="center" w:y="151"/>
                    <w:jc w:val="right"/>
                    <w:rPr>
                      <w:b/>
                      <w:bCs/>
                      <w:color w:val="000000"/>
                      <w:sz w:val="18"/>
                      <w:szCs w:val="18"/>
                    </w:rPr>
                  </w:pPr>
                  <w:r w:rsidRPr="000E6C45">
                    <w:rPr>
                      <w:b/>
                      <w:bCs/>
                      <w:color w:val="000000"/>
                      <w:sz w:val="18"/>
                      <w:szCs w:val="18"/>
                    </w:rPr>
                    <w:t>1 000</w:t>
                  </w:r>
                </w:p>
              </w:tc>
            </w:tr>
            <w:tr w:rsidR="00291A4D" w:rsidRPr="00291A4D" w:rsidTr="00720739">
              <w:trPr>
                <w:trHeight w:val="94"/>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91A4D" w:rsidRPr="000E6C45" w:rsidRDefault="000E6C45" w:rsidP="00CA41A5">
                  <w:pPr>
                    <w:framePr w:hSpace="180" w:wrap="around" w:vAnchor="text" w:hAnchor="margin" w:xAlign="center" w:y="151"/>
                    <w:rPr>
                      <w:color w:val="000000"/>
                      <w:sz w:val="18"/>
                      <w:szCs w:val="18"/>
                    </w:rPr>
                  </w:pPr>
                  <w:r>
                    <w:rPr>
                      <w:color w:val="000000"/>
                      <w:sz w:val="18"/>
                      <w:szCs w:val="18"/>
                    </w:rPr>
                    <w:t xml:space="preserve">    </w:t>
                  </w:r>
                  <w:r w:rsidR="00291A4D" w:rsidRPr="000E6C45">
                    <w:rPr>
                      <w:color w:val="000000"/>
                      <w:sz w:val="18"/>
                      <w:szCs w:val="18"/>
                    </w:rPr>
                    <w:t>Darba vietas iekārtošana</w:t>
                  </w:r>
                </w:p>
              </w:tc>
              <w:tc>
                <w:tcPr>
                  <w:tcW w:w="722" w:type="dxa"/>
                  <w:tcBorders>
                    <w:top w:val="nil"/>
                    <w:left w:val="nil"/>
                    <w:bottom w:val="single" w:sz="4" w:space="0" w:color="auto"/>
                    <w:right w:val="single" w:sz="4" w:space="0" w:color="auto"/>
                  </w:tcBorders>
                  <w:shd w:val="clear" w:color="000000" w:fill="FFFFFF"/>
                  <w:noWrap/>
                  <w:vAlign w:val="bottom"/>
                  <w:hideMark/>
                </w:tcPr>
                <w:p w:rsidR="00291A4D" w:rsidRPr="000E6C45" w:rsidRDefault="003C31ED" w:rsidP="00CA41A5">
                  <w:pPr>
                    <w:framePr w:hSpace="180" w:wrap="around" w:vAnchor="text" w:hAnchor="margin" w:xAlign="center" w:y="151"/>
                    <w:jc w:val="right"/>
                    <w:rPr>
                      <w:color w:val="000000"/>
                      <w:sz w:val="18"/>
                      <w:szCs w:val="18"/>
                    </w:rPr>
                  </w:pPr>
                  <w:r w:rsidRPr="000E6C45">
                    <w:rPr>
                      <w:color w:val="000000"/>
                      <w:sz w:val="18"/>
                      <w:szCs w:val="18"/>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rPr>
                      <w:color w:val="000000"/>
                      <w:sz w:val="18"/>
                      <w:szCs w:val="18"/>
                    </w:rPr>
                  </w:pPr>
                  <w:r w:rsidRPr="000E6C45">
                    <w:rPr>
                      <w:color w:val="000000"/>
                      <w:sz w:val="18"/>
                      <w:szCs w:val="18"/>
                    </w:rPr>
                    <w:t> </w:t>
                  </w:r>
                </w:p>
              </w:tc>
              <w:tc>
                <w:tcPr>
                  <w:tcW w:w="838"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1 895</w:t>
                  </w:r>
                </w:p>
              </w:tc>
              <w:tc>
                <w:tcPr>
                  <w:tcW w:w="1181"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1 895</w:t>
                  </w:r>
                </w:p>
              </w:tc>
              <w:tc>
                <w:tcPr>
                  <w:tcW w:w="1181" w:type="dxa"/>
                  <w:tcBorders>
                    <w:top w:val="nil"/>
                    <w:left w:val="nil"/>
                    <w:bottom w:val="single" w:sz="4" w:space="0" w:color="auto"/>
                    <w:right w:val="single" w:sz="4" w:space="0" w:color="auto"/>
                  </w:tcBorders>
                  <w:shd w:val="clear" w:color="000000" w:fill="FFFFFF"/>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0</w:t>
                  </w:r>
                </w:p>
              </w:tc>
            </w:tr>
            <w:tr w:rsidR="00291A4D" w:rsidRPr="00291A4D" w:rsidTr="00720739">
              <w:trPr>
                <w:trHeight w:val="58"/>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291A4D" w:rsidRPr="000E6C45" w:rsidRDefault="000E6C45" w:rsidP="00CA41A5">
                  <w:pPr>
                    <w:framePr w:hSpace="180" w:wrap="around" w:vAnchor="text" w:hAnchor="margin" w:xAlign="center" w:y="151"/>
                    <w:rPr>
                      <w:color w:val="000000"/>
                      <w:sz w:val="18"/>
                      <w:szCs w:val="18"/>
                    </w:rPr>
                  </w:pPr>
                  <w:r>
                    <w:rPr>
                      <w:color w:val="000000"/>
                      <w:sz w:val="18"/>
                      <w:szCs w:val="18"/>
                    </w:rPr>
                    <w:t xml:space="preserve">    </w:t>
                  </w:r>
                  <w:r w:rsidR="00291A4D" w:rsidRPr="000E6C45">
                    <w:rPr>
                      <w:color w:val="000000"/>
                      <w:sz w:val="18"/>
                      <w:szCs w:val="18"/>
                    </w:rPr>
                    <w:t>Aprīkojums apspriežu telpai</w:t>
                  </w:r>
                </w:p>
              </w:tc>
              <w:tc>
                <w:tcPr>
                  <w:tcW w:w="722"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rPr>
                      <w:color w:val="000000"/>
                      <w:sz w:val="18"/>
                      <w:szCs w:val="18"/>
                    </w:rPr>
                  </w:pPr>
                  <w:r w:rsidRPr="000E6C45">
                    <w:rPr>
                      <w:color w:val="000000"/>
                      <w:sz w:val="18"/>
                      <w:szCs w:val="18"/>
                    </w:rPr>
                    <w:t> </w:t>
                  </w:r>
                </w:p>
              </w:tc>
              <w:tc>
                <w:tcPr>
                  <w:tcW w:w="838"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1 872</w:t>
                  </w:r>
                </w:p>
              </w:tc>
              <w:tc>
                <w:tcPr>
                  <w:tcW w:w="1181"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1 872</w:t>
                  </w:r>
                </w:p>
              </w:tc>
              <w:tc>
                <w:tcPr>
                  <w:tcW w:w="1181"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0</w:t>
                  </w:r>
                </w:p>
              </w:tc>
            </w:tr>
            <w:tr w:rsidR="00291A4D" w:rsidRPr="00291A4D" w:rsidTr="00720739">
              <w:trPr>
                <w:trHeight w:val="100"/>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291A4D" w:rsidRPr="000E6C45" w:rsidRDefault="000E6C45" w:rsidP="00CA41A5">
                  <w:pPr>
                    <w:framePr w:hSpace="180" w:wrap="around" w:vAnchor="text" w:hAnchor="margin" w:xAlign="center" w:y="151"/>
                    <w:rPr>
                      <w:color w:val="000000"/>
                      <w:sz w:val="18"/>
                      <w:szCs w:val="18"/>
                    </w:rPr>
                  </w:pPr>
                  <w:r>
                    <w:rPr>
                      <w:color w:val="000000"/>
                      <w:sz w:val="18"/>
                      <w:szCs w:val="18"/>
                    </w:rPr>
                    <w:t xml:space="preserve">    </w:t>
                  </w:r>
                  <w:r w:rsidR="00291A4D" w:rsidRPr="000E6C45">
                    <w:rPr>
                      <w:color w:val="000000"/>
                      <w:sz w:val="18"/>
                      <w:szCs w:val="18"/>
                    </w:rPr>
                    <w:t xml:space="preserve">Infrastruktūras izveide </w:t>
                  </w:r>
                </w:p>
              </w:tc>
              <w:tc>
                <w:tcPr>
                  <w:tcW w:w="722"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rPr>
                      <w:color w:val="000000"/>
                      <w:sz w:val="18"/>
                      <w:szCs w:val="18"/>
                    </w:rPr>
                  </w:pPr>
                  <w:r w:rsidRPr="000E6C45">
                    <w:rPr>
                      <w:color w:val="000000"/>
                      <w:sz w:val="18"/>
                      <w:szCs w:val="18"/>
                    </w:rPr>
                    <w:t> </w:t>
                  </w:r>
                </w:p>
              </w:tc>
              <w:tc>
                <w:tcPr>
                  <w:tcW w:w="838"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1 000</w:t>
                  </w:r>
                </w:p>
              </w:tc>
              <w:tc>
                <w:tcPr>
                  <w:tcW w:w="1181"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1 000</w:t>
                  </w:r>
                </w:p>
              </w:tc>
              <w:tc>
                <w:tcPr>
                  <w:tcW w:w="1181"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1 000</w:t>
                  </w:r>
                </w:p>
              </w:tc>
            </w:tr>
            <w:tr w:rsidR="00291A4D" w:rsidRPr="00291A4D" w:rsidTr="00720739">
              <w:trPr>
                <w:trHeight w:val="301"/>
              </w:trPr>
              <w:tc>
                <w:tcPr>
                  <w:tcW w:w="2972" w:type="dxa"/>
                  <w:tcBorders>
                    <w:top w:val="nil"/>
                    <w:left w:val="single" w:sz="4" w:space="0" w:color="auto"/>
                    <w:bottom w:val="single" w:sz="4" w:space="0" w:color="auto"/>
                    <w:right w:val="single" w:sz="4" w:space="0" w:color="auto"/>
                  </w:tcBorders>
                  <w:shd w:val="clear" w:color="auto" w:fill="auto"/>
                  <w:vAlign w:val="bottom"/>
                  <w:hideMark/>
                </w:tcPr>
                <w:p w:rsidR="00291A4D" w:rsidRPr="000E6C45" w:rsidRDefault="000E6C45" w:rsidP="00CA41A5">
                  <w:pPr>
                    <w:framePr w:hSpace="180" w:wrap="around" w:vAnchor="text" w:hAnchor="margin" w:xAlign="center" w:y="151"/>
                    <w:rPr>
                      <w:color w:val="000000"/>
                      <w:sz w:val="18"/>
                      <w:szCs w:val="18"/>
                    </w:rPr>
                  </w:pPr>
                  <w:r>
                    <w:rPr>
                      <w:color w:val="000000"/>
                      <w:sz w:val="18"/>
                      <w:szCs w:val="18"/>
                    </w:rPr>
                    <w:t xml:space="preserve">    </w:t>
                  </w:r>
                  <w:r w:rsidR="00291A4D" w:rsidRPr="000E6C45">
                    <w:rPr>
                      <w:color w:val="000000"/>
                      <w:sz w:val="18"/>
                      <w:szCs w:val="18"/>
                    </w:rPr>
                    <w:t xml:space="preserve">Telpu pielāgošanas izdevumi (132 </w:t>
                  </w:r>
                  <w:r w:rsidR="00291A4D" w:rsidRPr="000E6C45">
                    <w:rPr>
                      <w:i/>
                      <w:iCs/>
                      <w:color w:val="000000"/>
                      <w:sz w:val="18"/>
                      <w:szCs w:val="18"/>
                    </w:rPr>
                    <w:t>euro</w:t>
                  </w:r>
                  <w:r w:rsidR="00291A4D" w:rsidRPr="000E6C45">
                    <w:rPr>
                      <w:color w:val="000000"/>
                      <w:sz w:val="18"/>
                      <w:szCs w:val="18"/>
                    </w:rPr>
                    <w:t>/m</w:t>
                  </w:r>
                  <w:r w:rsidR="00291A4D" w:rsidRPr="000E6C45">
                    <w:rPr>
                      <w:color w:val="000000"/>
                      <w:sz w:val="18"/>
                      <w:szCs w:val="18"/>
                      <w:vertAlign w:val="superscript"/>
                    </w:rPr>
                    <w:t>2</w:t>
                  </w:r>
                  <w:r w:rsidR="00291A4D" w:rsidRPr="000E6C45">
                    <w:rPr>
                      <w:color w:val="000000"/>
                      <w:sz w:val="18"/>
                      <w:szCs w:val="18"/>
                    </w:rPr>
                    <w:t>)</w:t>
                  </w:r>
                </w:p>
              </w:tc>
              <w:tc>
                <w:tcPr>
                  <w:tcW w:w="722"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100</w:t>
                  </w:r>
                </w:p>
              </w:tc>
              <w:tc>
                <w:tcPr>
                  <w:tcW w:w="708"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w:t>
                  </w:r>
                </w:p>
              </w:tc>
              <w:tc>
                <w:tcPr>
                  <w:tcW w:w="838"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132</w:t>
                  </w:r>
                </w:p>
              </w:tc>
              <w:tc>
                <w:tcPr>
                  <w:tcW w:w="1181"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13 200</w:t>
                  </w:r>
                </w:p>
              </w:tc>
              <w:tc>
                <w:tcPr>
                  <w:tcW w:w="1181" w:type="dxa"/>
                  <w:tcBorders>
                    <w:top w:val="nil"/>
                    <w:left w:val="nil"/>
                    <w:bottom w:val="single" w:sz="4" w:space="0" w:color="auto"/>
                    <w:right w:val="single" w:sz="4" w:space="0" w:color="auto"/>
                  </w:tcBorders>
                  <w:shd w:val="clear" w:color="auto" w:fill="auto"/>
                  <w:noWrap/>
                  <w:vAlign w:val="bottom"/>
                  <w:hideMark/>
                </w:tcPr>
                <w:p w:rsidR="00291A4D" w:rsidRPr="000E6C45" w:rsidRDefault="00291A4D" w:rsidP="00CA41A5">
                  <w:pPr>
                    <w:framePr w:hSpace="180" w:wrap="around" w:vAnchor="text" w:hAnchor="margin" w:xAlign="center" w:y="151"/>
                    <w:jc w:val="right"/>
                    <w:rPr>
                      <w:color w:val="000000"/>
                      <w:sz w:val="18"/>
                      <w:szCs w:val="18"/>
                    </w:rPr>
                  </w:pPr>
                  <w:r w:rsidRPr="000E6C45">
                    <w:rPr>
                      <w:color w:val="000000"/>
                      <w:sz w:val="18"/>
                      <w:szCs w:val="18"/>
                    </w:rPr>
                    <w:t>0</w:t>
                  </w:r>
                </w:p>
              </w:tc>
            </w:tr>
            <w:tr w:rsidR="00291A4D" w:rsidRPr="00291A4D" w:rsidTr="00720739">
              <w:trPr>
                <w:trHeight w:val="166"/>
              </w:trPr>
              <w:tc>
                <w:tcPr>
                  <w:tcW w:w="2972" w:type="dxa"/>
                  <w:tcBorders>
                    <w:top w:val="nil"/>
                    <w:left w:val="single" w:sz="4" w:space="0" w:color="auto"/>
                    <w:bottom w:val="single" w:sz="4" w:space="0" w:color="auto"/>
                    <w:right w:val="single" w:sz="4" w:space="0" w:color="auto"/>
                  </w:tcBorders>
                  <w:shd w:val="clear" w:color="000000" w:fill="D7E4BC"/>
                  <w:noWrap/>
                  <w:vAlign w:val="bottom"/>
                  <w:hideMark/>
                </w:tcPr>
                <w:p w:rsidR="00291A4D" w:rsidRPr="000E6C45" w:rsidRDefault="00291A4D" w:rsidP="00CA41A5">
                  <w:pPr>
                    <w:framePr w:hSpace="180" w:wrap="around" w:vAnchor="text" w:hAnchor="margin" w:xAlign="center" w:y="151"/>
                    <w:jc w:val="right"/>
                    <w:rPr>
                      <w:b/>
                      <w:bCs/>
                      <w:color w:val="000000"/>
                      <w:sz w:val="22"/>
                      <w:szCs w:val="22"/>
                    </w:rPr>
                  </w:pPr>
                  <w:r w:rsidRPr="000E6C45">
                    <w:rPr>
                      <w:b/>
                      <w:bCs/>
                      <w:color w:val="000000"/>
                      <w:sz w:val="22"/>
                      <w:szCs w:val="22"/>
                    </w:rPr>
                    <w:t>PAVISAM</w:t>
                  </w:r>
                </w:p>
              </w:tc>
              <w:tc>
                <w:tcPr>
                  <w:tcW w:w="722" w:type="dxa"/>
                  <w:tcBorders>
                    <w:top w:val="nil"/>
                    <w:left w:val="nil"/>
                    <w:bottom w:val="single" w:sz="4" w:space="0" w:color="auto"/>
                    <w:right w:val="single" w:sz="4" w:space="0" w:color="auto"/>
                  </w:tcBorders>
                  <w:shd w:val="clear" w:color="000000" w:fill="D7E4BC"/>
                  <w:noWrap/>
                  <w:vAlign w:val="bottom"/>
                  <w:hideMark/>
                </w:tcPr>
                <w:p w:rsidR="00291A4D" w:rsidRPr="000E6C45" w:rsidRDefault="00291A4D" w:rsidP="00CA41A5">
                  <w:pPr>
                    <w:framePr w:hSpace="180" w:wrap="around" w:vAnchor="text" w:hAnchor="margin" w:xAlign="center" w:y="151"/>
                    <w:rPr>
                      <w:color w:val="000000"/>
                      <w:sz w:val="22"/>
                      <w:szCs w:val="22"/>
                    </w:rPr>
                  </w:pPr>
                  <w:r w:rsidRPr="000E6C45">
                    <w:rPr>
                      <w:color w:val="000000"/>
                      <w:sz w:val="22"/>
                      <w:szCs w:val="22"/>
                    </w:rPr>
                    <w:t> </w:t>
                  </w:r>
                </w:p>
              </w:tc>
              <w:tc>
                <w:tcPr>
                  <w:tcW w:w="708" w:type="dxa"/>
                  <w:tcBorders>
                    <w:top w:val="nil"/>
                    <w:left w:val="nil"/>
                    <w:bottom w:val="single" w:sz="4" w:space="0" w:color="auto"/>
                    <w:right w:val="single" w:sz="4" w:space="0" w:color="auto"/>
                  </w:tcBorders>
                  <w:shd w:val="clear" w:color="000000" w:fill="D7E4BC"/>
                  <w:noWrap/>
                  <w:vAlign w:val="bottom"/>
                  <w:hideMark/>
                </w:tcPr>
                <w:p w:rsidR="00291A4D" w:rsidRPr="000E6C45" w:rsidRDefault="00291A4D" w:rsidP="00CA41A5">
                  <w:pPr>
                    <w:framePr w:hSpace="180" w:wrap="around" w:vAnchor="text" w:hAnchor="margin" w:xAlign="center" w:y="151"/>
                    <w:rPr>
                      <w:color w:val="000000"/>
                      <w:sz w:val="22"/>
                      <w:szCs w:val="22"/>
                    </w:rPr>
                  </w:pPr>
                  <w:r w:rsidRPr="000E6C45">
                    <w:rPr>
                      <w:color w:val="000000"/>
                      <w:sz w:val="22"/>
                      <w:szCs w:val="22"/>
                    </w:rPr>
                    <w:t> </w:t>
                  </w:r>
                </w:p>
              </w:tc>
              <w:tc>
                <w:tcPr>
                  <w:tcW w:w="838" w:type="dxa"/>
                  <w:tcBorders>
                    <w:top w:val="nil"/>
                    <w:left w:val="nil"/>
                    <w:bottom w:val="single" w:sz="4" w:space="0" w:color="auto"/>
                    <w:right w:val="single" w:sz="4" w:space="0" w:color="auto"/>
                  </w:tcBorders>
                  <w:shd w:val="clear" w:color="000000" w:fill="D7E4BC"/>
                  <w:noWrap/>
                  <w:vAlign w:val="bottom"/>
                  <w:hideMark/>
                </w:tcPr>
                <w:p w:rsidR="00291A4D" w:rsidRPr="000E6C45" w:rsidRDefault="00291A4D" w:rsidP="00CA41A5">
                  <w:pPr>
                    <w:framePr w:hSpace="180" w:wrap="around" w:vAnchor="text" w:hAnchor="margin" w:xAlign="center" w:y="151"/>
                    <w:jc w:val="right"/>
                    <w:rPr>
                      <w:b/>
                      <w:bCs/>
                      <w:color w:val="000000"/>
                      <w:sz w:val="22"/>
                      <w:szCs w:val="22"/>
                    </w:rPr>
                  </w:pPr>
                  <w:r w:rsidRPr="000E6C45">
                    <w:rPr>
                      <w:b/>
                      <w:bCs/>
                      <w:color w:val="000000"/>
                      <w:sz w:val="22"/>
                      <w:szCs w:val="22"/>
                    </w:rPr>
                    <w:t>10 737</w:t>
                  </w:r>
                </w:p>
              </w:tc>
              <w:tc>
                <w:tcPr>
                  <w:tcW w:w="1181" w:type="dxa"/>
                  <w:tcBorders>
                    <w:top w:val="nil"/>
                    <w:left w:val="nil"/>
                    <w:bottom w:val="single" w:sz="4" w:space="0" w:color="auto"/>
                    <w:right w:val="single" w:sz="4" w:space="0" w:color="auto"/>
                  </w:tcBorders>
                  <w:shd w:val="clear" w:color="000000" w:fill="D7E4BC"/>
                  <w:noWrap/>
                  <w:vAlign w:val="bottom"/>
                  <w:hideMark/>
                </w:tcPr>
                <w:p w:rsidR="00291A4D" w:rsidRPr="000E6C45" w:rsidRDefault="00291A4D" w:rsidP="00CA41A5">
                  <w:pPr>
                    <w:framePr w:hSpace="180" w:wrap="around" w:vAnchor="text" w:hAnchor="margin" w:xAlign="center" w:y="151"/>
                    <w:jc w:val="right"/>
                    <w:rPr>
                      <w:b/>
                      <w:bCs/>
                      <w:color w:val="000000"/>
                      <w:sz w:val="22"/>
                      <w:szCs w:val="22"/>
                    </w:rPr>
                  </w:pPr>
                  <w:r w:rsidRPr="000E6C45">
                    <w:rPr>
                      <w:b/>
                      <w:bCs/>
                      <w:color w:val="000000"/>
                      <w:sz w:val="22"/>
                      <w:szCs w:val="22"/>
                    </w:rPr>
                    <w:t>74 506</w:t>
                  </w:r>
                </w:p>
              </w:tc>
              <w:tc>
                <w:tcPr>
                  <w:tcW w:w="1181" w:type="dxa"/>
                  <w:tcBorders>
                    <w:top w:val="nil"/>
                    <w:left w:val="nil"/>
                    <w:bottom w:val="single" w:sz="4" w:space="0" w:color="auto"/>
                    <w:right w:val="single" w:sz="4" w:space="0" w:color="auto"/>
                  </w:tcBorders>
                  <w:shd w:val="clear" w:color="000000" w:fill="D7E4BC"/>
                  <w:noWrap/>
                  <w:vAlign w:val="bottom"/>
                  <w:hideMark/>
                </w:tcPr>
                <w:p w:rsidR="00291A4D" w:rsidRPr="000E6C45" w:rsidRDefault="00291A4D" w:rsidP="00CA41A5">
                  <w:pPr>
                    <w:framePr w:hSpace="180" w:wrap="around" w:vAnchor="text" w:hAnchor="margin" w:xAlign="center" w:y="151"/>
                    <w:jc w:val="right"/>
                    <w:rPr>
                      <w:b/>
                      <w:bCs/>
                      <w:color w:val="000000"/>
                      <w:sz w:val="22"/>
                      <w:szCs w:val="22"/>
                    </w:rPr>
                  </w:pPr>
                  <w:r w:rsidRPr="000E6C45">
                    <w:rPr>
                      <w:b/>
                      <w:bCs/>
                      <w:color w:val="000000"/>
                      <w:sz w:val="22"/>
                      <w:szCs w:val="22"/>
                    </w:rPr>
                    <w:t>57 539</w:t>
                  </w:r>
                </w:p>
              </w:tc>
            </w:tr>
          </w:tbl>
          <w:p w:rsidR="00FE5949" w:rsidRPr="00FD0B6B" w:rsidRDefault="00FE5949" w:rsidP="00353DF9">
            <w:pPr>
              <w:jc w:val="both"/>
              <w:rPr>
                <w:sz w:val="28"/>
                <w:szCs w:val="28"/>
                <w:highlight w:val="yellow"/>
              </w:rPr>
            </w:pP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both"/>
              <w:rPr>
                <w:sz w:val="28"/>
                <w:szCs w:val="28"/>
              </w:rPr>
            </w:pPr>
            <w:r w:rsidRPr="00D27A5A">
              <w:rPr>
                <w:sz w:val="28"/>
                <w:szCs w:val="28"/>
              </w:rPr>
              <w:t>6.1. detalizēts ieņēmumu aprēķins</w:t>
            </w:r>
          </w:p>
        </w:tc>
        <w:tc>
          <w:tcPr>
            <w:tcW w:w="4068" w:type="pct"/>
            <w:gridSpan w:val="5"/>
            <w:vMerge/>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both"/>
              <w:rPr>
                <w:sz w:val="28"/>
                <w:szCs w:val="28"/>
              </w:rPr>
            </w:pP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D27A5A" w:rsidRDefault="00FE5949" w:rsidP="00C75FD9">
            <w:pPr>
              <w:jc w:val="both"/>
              <w:rPr>
                <w:sz w:val="28"/>
                <w:szCs w:val="28"/>
              </w:rPr>
            </w:pPr>
            <w:r w:rsidRPr="00291A4D">
              <w:rPr>
                <w:sz w:val="28"/>
                <w:szCs w:val="28"/>
              </w:rPr>
              <w:t xml:space="preserve">6.2. detalizēts </w:t>
            </w:r>
            <w:r w:rsidRPr="00291A4D">
              <w:rPr>
                <w:sz w:val="28"/>
                <w:szCs w:val="28"/>
              </w:rPr>
              <w:lastRenderedPageBreak/>
              <w:t>izdevumu aprēķins</w:t>
            </w:r>
          </w:p>
        </w:tc>
        <w:tc>
          <w:tcPr>
            <w:tcW w:w="4068" w:type="pct"/>
            <w:gridSpan w:val="5"/>
            <w:vMerge/>
            <w:tcBorders>
              <w:top w:val="outset" w:sz="6" w:space="0" w:color="000000"/>
              <w:left w:val="outset" w:sz="6" w:space="0" w:color="000000"/>
              <w:bottom w:val="outset" w:sz="6" w:space="0" w:color="000000"/>
              <w:right w:val="outset" w:sz="6" w:space="0" w:color="000000"/>
            </w:tcBorders>
            <w:vAlign w:val="center"/>
          </w:tcPr>
          <w:p w:rsidR="00FE5949" w:rsidRPr="00D27A5A" w:rsidRDefault="00FE5949" w:rsidP="00C75FD9">
            <w:pPr>
              <w:jc w:val="both"/>
              <w:rPr>
                <w:sz w:val="28"/>
                <w:szCs w:val="28"/>
              </w:rPr>
            </w:pPr>
          </w:p>
        </w:tc>
      </w:tr>
      <w:tr w:rsidR="00FE5949" w:rsidRPr="00D27A5A" w:rsidTr="009C4ED5">
        <w:tc>
          <w:tcPr>
            <w:tcW w:w="932" w:type="pct"/>
            <w:tcBorders>
              <w:top w:val="outset" w:sz="6" w:space="0" w:color="000000"/>
              <w:left w:val="outset" w:sz="6" w:space="0" w:color="000000"/>
              <w:bottom w:val="outset" w:sz="6" w:space="0" w:color="000000"/>
              <w:right w:val="outset" w:sz="6" w:space="0" w:color="000000"/>
            </w:tcBorders>
          </w:tcPr>
          <w:p w:rsidR="00FE5949" w:rsidRPr="000F1908" w:rsidRDefault="00FE5949" w:rsidP="00C75FD9">
            <w:pPr>
              <w:jc w:val="both"/>
              <w:rPr>
                <w:color w:val="000000" w:themeColor="text1"/>
                <w:sz w:val="28"/>
                <w:szCs w:val="28"/>
              </w:rPr>
            </w:pPr>
            <w:r w:rsidRPr="000F1908">
              <w:rPr>
                <w:color w:val="000000" w:themeColor="text1"/>
                <w:sz w:val="28"/>
                <w:szCs w:val="28"/>
              </w:rPr>
              <w:lastRenderedPageBreak/>
              <w:t>7. Cita informācija</w:t>
            </w:r>
          </w:p>
        </w:tc>
        <w:tc>
          <w:tcPr>
            <w:tcW w:w="4068" w:type="pct"/>
            <w:gridSpan w:val="5"/>
            <w:tcBorders>
              <w:top w:val="outset" w:sz="6" w:space="0" w:color="000000"/>
              <w:left w:val="outset" w:sz="6" w:space="0" w:color="000000"/>
              <w:bottom w:val="outset" w:sz="6" w:space="0" w:color="000000"/>
              <w:right w:val="outset" w:sz="6" w:space="0" w:color="000000"/>
            </w:tcBorders>
          </w:tcPr>
          <w:p w:rsidR="009C4ED5" w:rsidRPr="000F1908" w:rsidRDefault="00246C47" w:rsidP="00373259">
            <w:pPr>
              <w:jc w:val="both"/>
              <w:rPr>
                <w:color w:val="000000" w:themeColor="text1"/>
                <w:sz w:val="28"/>
                <w:szCs w:val="28"/>
              </w:rPr>
            </w:pPr>
            <w:r w:rsidRPr="000F1908">
              <w:rPr>
                <w:color w:val="000000" w:themeColor="text1"/>
                <w:sz w:val="28"/>
                <w:szCs w:val="28"/>
              </w:rPr>
              <w:t xml:space="preserve">Atbilstoši Ministru kabineta 2014.gada 22.aprīļa sēdes protokollēmuma (prot. Nr.24 42.§) </w:t>
            </w:r>
            <w:r w:rsidR="00B71DB3" w:rsidRPr="000F1908">
              <w:rPr>
                <w:color w:val="000000" w:themeColor="text1"/>
                <w:sz w:val="28"/>
                <w:szCs w:val="28"/>
              </w:rPr>
              <w:t xml:space="preserve">2. un 3.punktam atbalstīta mediju politikas nodaļas izveide </w:t>
            </w:r>
            <w:r w:rsidR="003A614A">
              <w:rPr>
                <w:color w:val="000000" w:themeColor="text1"/>
                <w:sz w:val="28"/>
                <w:szCs w:val="28"/>
              </w:rPr>
              <w:t>Kultūras ministrijā sākotnēji 3 </w:t>
            </w:r>
            <w:r w:rsidRPr="000F1908">
              <w:rPr>
                <w:color w:val="000000" w:themeColor="text1"/>
                <w:sz w:val="28"/>
                <w:szCs w:val="28"/>
              </w:rPr>
              <w:t xml:space="preserve">(trīs) </w:t>
            </w:r>
            <w:r w:rsidR="00B71DB3" w:rsidRPr="000F1908">
              <w:rPr>
                <w:color w:val="000000" w:themeColor="text1"/>
                <w:sz w:val="28"/>
                <w:szCs w:val="28"/>
              </w:rPr>
              <w:t xml:space="preserve">darbinieku sastāvā. </w:t>
            </w:r>
            <w:r w:rsidR="009C4ED5" w:rsidRPr="000F1908">
              <w:rPr>
                <w:color w:val="000000" w:themeColor="text1"/>
                <w:sz w:val="28"/>
                <w:szCs w:val="28"/>
              </w:rPr>
              <w:t xml:space="preserve">2014.gadā </w:t>
            </w:r>
            <w:r w:rsidR="00B71DB3" w:rsidRPr="000F1908">
              <w:rPr>
                <w:color w:val="000000" w:themeColor="text1"/>
                <w:sz w:val="28"/>
                <w:szCs w:val="28"/>
              </w:rPr>
              <w:t xml:space="preserve">Kultūras ministrija nodrošina </w:t>
            </w:r>
            <w:r w:rsidR="009C4ED5" w:rsidRPr="000F1908">
              <w:rPr>
                <w:color w:val="000000" w:themeColor="text1"/>
                <w:sz w:val="28"/>
                <w:szCs w:val="28"/>
              </w:rPr>
              <w:t xml:space="preserve">finansējumu visu trīs </w:t>
            </w:r>
            <w:r w:rsidR="00B71DB3" w:rsidRPr="000F1908">
              <w:rPr>
                <w:color w:val="000000" w:themeColor="text1"/>
                <w:sz w:val="28"/>
                <w:szCs w:val="28"/>
              </w:rPr>
              <w:t>amata viet</w:t>
            </w:r>
            <w:r w:rsidR="009C4ED5" w:rsidRPr="000F1908">
              <w:rPr>
                <w:color w:val="000000" w:themeColor="text1"/>
                <w:sz w:val="28"/>
                <w:szCs w:val="28"/>
              </w:rPr>
              <w:t xml:space="preserve">u </w:t>
            </w:r>
            <w:r w:rsidR="00B71DB3" w:rsidRPr="000F1908">
              <w:rPr>
                <w:color w:val="000000" w:themeColor="text1"/>
                <w:sz w:val="28"/>
                <w:szCs w:val="28"/>
              </w:rPr>
              <w:t>– struktūrvienības vadītāja</w:t>
            </w:r>
            <w:r w:rsidR="009C4ED5" w:rsidRPr="000F1908">
              <w:rPr>
                <w:color w:val="000000" w:themeColor="text1"/>
                <w:sz w:val="28"/>
                <w:szCs w:val="28"/>
              </w:rPr>
              <w:t>,</w:t>
            </w:r>
            <w:r w:rsidR="00B71DB3" w:rsidRPr="000F1908">
              <w:rPr>
                <w:color w:val="000000" w:themeColor="text1"/>
                <w:sz w:val="28"/>
                <w:szCs w:val="28"/>
              </w:rPr>
              <w:t xml:space="preserve"> eksperta </w:t>
            </w:r>
            <w:r w:rsidR="009C4ED5" w:rsidRPr="000F1908">
              <w:rPr>
                <w:color w:val="000000" w:themeColor="text1"/>
                <w:sz w:val="28"/>
                <w:szCs w:val="28"/>
              </w:rPr>
              <w:t xml:space="preserve">un juriskonsulta – darba samaksas nodrošināšanai. </w:t>
            </w:r>
          </w:p>
          <w:p w:rsidR="009C4ED5" w:rsidRPr="000F1908" w:rsidRDefault="00B83705" w:rsidP="00373259">
            <w:pPr>
              <w:jc w:val="both"/>
              <w:rPr>
                <w:color w:val="000000" w:themeColor="text1"/>
                <w:sz w:val="28"/>
                <w:szCs w:val="28"/>
              </w:rPr>
            </w:pPr>
            <w:r w:rsidRPr="000F1908">
              <w:rPr>
                <w:color w:val="000000" w:themeColor="text1"/>
                <w:sz w:val="28"/>
                <w:szCs w:val="28"/>
              </w:rPr>
              <w:t>Arī tu</w:t>
            </w:r>
            <w:r w:rsidR="009C4ED5" w:rsidRPr="000F1908">
              <w:rPr>
                <w:color w:val="000000" w:themeColor="text1"/>
                <w:sz w:val="28"/>
                <w:szCs w:val="28"/>
              </w:rPr>
              <w:t xml:space="preserve">rpmākajos gados Kultūras ministrija nodrošinās ar struktūrvienības vadītāja un eksperta amatu vietām </w:t>
            </w:r>
            <w:r w:rsidR="00B71DB3" w:rsidRPr="000F1908">
              <w:rPr>
                <w:color w:val="000000" w:themeColor="text1"/>
                <w:sz w:val="28"/>
                <w:szCs w:val="28"/>
              </w:rPr>
              <w:t>saistīto izdevumu segšanu</w:t>
            </w:r>
            <w:r w:rsidR="009C4ED5" w:rsidRPr="000F1908">
              <w:rPr>
                <w:color w:val="000000" w:themeColor="text1"/>
                <w:sz w:val="28"/>
                <w:szCs w:val="28"/>
              </w:rPr>
              <w:t xml:space="preserve">. </w:t>
            </w:r>
          </w:p>
          <w:p w:rsidR="00DA7164" w:rsidRPr="000F1908" w:rsidRDefault="000F1908" w:rsidP="00B83705">
            <w:pPr>
              <w:jc w:val="both"/>
              <w:rPr>
                <w:color w:val="000000" w:themeColor="text1"/>
                <w:sz w:val="28"/>
                <w:szCs w:val="28"/>
              </w:rPr>
            </w:pPr>
            <w:r>
              <w:rPr>
                <w:color w:val="000000" w:themeColor="text1"/>
                <w:sz w:val="28"/>
                <w:szCs w:val="28"/>
              </w:rPr>
              <w:t xml:space="preserve">Tomēr, tā </w:t>
            </w:r>
            <w:r w:rsidR="00B83705" w:rsidRPr="000F1908">
              <w:rPr>
                <w:color w:val="000000" w:themeColor="text1"/>
                <w:sz w:val="28"/>
                <w:szCs w:val="28"/>
              </w:rPr>
              <w:t>kā Kultūras ministrijai kopīgi ar Finanšu ministriju un Valsts kanceleju nav izdevies atrast citu atbilstīgu risinājumu, l</w:t>
            </w:r>
            <w:r w:rsidR="009C4ED5" w:rsidRPr="000F1908">
              <w:rPr>
                <w:color w:val="000000" w:themeColor="text1"/>
                <w:sz w:val="28"/>
                <w:szCs w:val="28"/>
              </w:rPr>
              <w:t>ai nodrošinā</w:t>
            </w:r>
            <w:r w:rsidR="00B83705" w:rsidRPr="000F1908">
              <w:rPr>
                <w:color w:val="000000" w:themeColor="text1"/>
                <w:sz w:val="28"/>
                <w:szCs w:val="28"/>
              </w:rPr>
              <w:t>t</w:t>
            </w:r>
            <w:r w:rsidR="009C4ED5" w:rsidRPr="000F1908">
              <w:rPr>
                <w:color w:val="000000" w:themeColor="text1"/>
                <w:sz w:val="28"/>
                <w:szCs w:val="28"/>
              </w:rPr>
              <w:t xml:space="preserve">u ar </w:t>
            </w:r>
            <w:r w:rsidR="00B71DB3" w:rsidRPr="000F1908">
              <w:rPr>
                <w:color w:val="000000" w:themeColor="text1"/>
                <w:sz w:val="28"/>
                <w:szCs w:val="28"/>
              </w:rPr>
              <w:t xml:space="preserve">juriskonsulta </w:t>
            </w:r>
            <w:r w:rsidR="009C4ED5" w:rsidRPr="000F1908">
              <w:rPr>
                <w:color w:val="000000" w:themeColor="text1"/>
                <w:sz w:val="28"/>
                <w:szCs w:val="28"/>
              </w:rPr>
              <w:t xml:space="preserve">amata vietas darbību saistītos izdevumus, </w:t>
            </w:r>
            <w:r w:rsidR="00B71DB3" w:rsidRPr="000F1908">
              <w:rPr>
                <w:color w:val="000000" w:themeColor="text1"/>
                <w:sz w:val="28"/>
                <w:szCs w:val="28"/>
              </w:rPr>
              <w:t>Kultūras ministrija</w:t>
            </w:r>
            <w:r w:rsidR="009C4ED5" w:rsidRPr="000F1908">
              <w:rPr>
                <w:color w:val="000000" w:themeColor="text1"/>
                <w:sz w:val="28"/>
                <w:szCs w:val="28"/>
              </w:rPr>
              <w:t xml:space="preserve"> gatavo pieteikumu jauno politikas</w:t>
            </w:r>
            <w:r>
              <w:rPr>
                <w:color w:val="000000" w:themeColor="text1"/>
                <w:sz w:val="28"/>
                <w:szCs w:val="28"/>
              </w:rPr>
              <w:t xml:space="preserve"> iniciatīvu finansēšanai, kas</w:t>
            </w:r>
            <w:r w:rsidR="009C4ED5" w:rsidRPr="000F1908">
              <w:rPr>
                <w:color w:val="000000" w:themeColor="text1"/>
                <w:sz w:val="28"/>
                <w:szCs w:val="28"/>
              </w:rPr>
              <w:t xml:space="preserve"> vispārējā kārtībā </w:t>
            </w:r>
            <w:r w:rsidR="00373259" w:rsidRPr="000F1908">
              <w:rPr>
                <w:color w:val="000000" w:themeColor="text1"/>
                <w:sz w:val="28"/>
                <w:szCs w:val="28"/>
              </w:rPr>
              <w:t xml:space="preserve">tiks </w:t>
            </w:r>
            <w:r w:rsidR="00B83705" w:rsidRPr="000F1908">
              <w:rPr>
                <w:color w:val="000000" w:themeColor="text1"/>
                <w:sz w:val="28"/>
                <w:szCs w:val="28"/>
              </w:rPr>
              <w:t xml:space="preserve">iesniegts </w:t>
            </w:r>
            <w:r w:rsidR="00373259" w:rsidRPr="000F1908">
              <w:rPr>
                <w:color w:val="000000" w:themeColor="text1"/>
                <w:sz w:val="28"/>
                <w:szCs w:val="28"/>
              </w:rPr>
              <w:t>izskatī</w:t>
            </w:r>
            <w:r w:rsidR="00B83705" w:rsidRPr="000F1908">
              <w:rPr>
                <w:color w:val="000000" w:themeColor="text1"/>
                <w:sz w:val="28"/>
                <w:szCs w:val="28"/>
              </w:rPr>
              <w:t>šanai</w:t>
            </w:r>
            <w:r w:rsidR="00373259" w:rsidRPr="000F1908">
              <w:rPr>
                <w:color w:val="000000" w:themeColor="text1"/>
                <w:sz w:val="28"/>
                <w:szCs w:val="28"/>
              </w:rPr>
              <w:t xml:space="preserve"> Ministru kabinetā, sagatavojot likumprojektu par vidēja termiņa budžeta ietvaru 2015., 2016. un 2017.gadam, kopā ar visu ministriju un citu centrālo valsts iestāžu jauno politikas iniciatīvu pieprasījumiem.</w:t>
            </w:r>
            <w:r w:rsidR="009C4ED5" w:rsidRPr="000F1908">
              <w:rPr>
                <w:color w:val="000000" w:themeColor="text1"/>
                <w:sz w:val="28"/>
                <w:szCs w:val="28"/>
              </w:rPr>
              <w:t xml:space="preserve"> </w:t>
            </w:r>
          </w:p>
        </w:tc>
      </w:tr>
    </w:tbl>
    <w:p w:rsidR="00FE5949" w:rsidRPr="00D27A5A" w:rsidRDefault="00FE5949" w:rsidP="00C75FD9">
      <w:pPr>
        <w:pStyle w:val="naisf"/>
        <w:spacing w:before="0" w:after="0"/>
        <w:ind w:firstLine="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86"/>
        <w:gridCol w:w="3441"/>
        <w:gridCol w:w="5158"/>
      </w:tblGrid>
      <w:tr w:rsidR="000A6181" w:rsidRPr="00D27A5A" w:rsidTr="00D27A5A">
        <w:trPr>
          <w:jc w:val="center"/>
        </w:trPr>
        <w:tc>
          <w:tcPr>
            <w:tcW w:w="5000" w:type="pct"/>
            <w:gridSpan w:val="3"/>
          </w:tcPr>
          <w:p w:rsidR="000A6181" w:rsidRPr="00D27A5A" w:rsidRDefault="000A6181" w:rsidP="00C75FD9">
            <w:pPr>
              <w:pStyle w:val="naisf"/>
              <w:spacing w:before="0" w:after="0"/>
              <w:jc w:val="center"/>
              <w:rPr>
                <w:b/>
                <w:bCs/>
                <w:sz w:val="28"/>
                <w:szCs w:val="28"/>
              </w:rPr>
            </w:pPr>
            <w:r w:rsidRPr="00D27A5A">
              <w:rPr>
                <w:b/>
                <w:bCs/>
                <w:sz w:val="28"/>
                <w:szCs w:val="28"/>
              </w:rPr>
              <w:t>IV. Tiesību akta projekta ietekme uz spēkā esošo tiesību normu sistēmu</w:t>
            </w:r>
          </w:p>
        </w:tc>
      </w:tr>
      <w:tr w:rsidR="000A6181" w:rsidRPr="00D27A5A" w:rsidTr="00D27A5A">
        <w:trPr>
          <w:jc w:val="center"/>
        </w:trPr>
        <w:tc>
          <w:tcPr>
            <w:tcW w:w="319" w:type="pct"/>
          </w:tcPr>
          <w:p w:rsidR="000A6181" w:rsidRPr="00D27A5A" w:rsidRDefault="000A6181" w:rsidP="00D27A5A">
            <w:pPr>
              <w:pStyle w:val="naisf"/>
              <w:spacing w:before="0" w:after="0"/>
              <w:ind w:firstLine="0"/>
              <w:jc w:val="center"/>
              <w:rPr>
                <w:iCs/>
                <w:sz w:val="28"/>
                <w:szCs w:val="28"/>
              </w:rPr>
            </w:pPr>
            <w:r w:rsidRPr="00D27A5A">
              <w:rPr>
                <w:iCs/>
                <w:sz w:val="28"/>
                <w:szCs w:val="28"/>
              </w:rPr>
              <w:t>1.</w:t>
            </w:r>
          </w:p>
        </w:tc>
        <w:tc>
          <w:tcPr>
            <w:tcW w:w="1873" w:type="pct"/>
          </w:tcPr>
          <w:p w:rsidR="000A6181" w:rsidRPr="00D27A5A" w:rsidRDefault="000A6181" w:rsidP="00C75FD9">
            <w:pPr>
              <w:pStyle w:val="naisf"/>
              <w:spacing w:before="0" w:after="0"/>
              <w:ind w:firstLine="0"/>
              <w:rPr>
                <w:iCs/>
                <w:sz w:val="28"/>
                <w:szCs w:val="28"/>
              </w:rPr>
            </w:pPr>
            <w:r w:rsidRPr="00D27A5A">
              <w:rPr>
                <w:sz w:val="28"/>
                <w:szCs w:val="28"/>
              </w:rPr>
              <w:t>Nepieciešamie saistītie tiesību aktu projekti</w:t>
            </w:r>
          </w:p>
        </w:tc>
        <w:tc>
          <w:tcPr>
            <w:tcW w:w="2808" w:type="pct"/>
          </w:tcPr>
          <w:p w:rsidR="004C071A" w:rsidRPr="00D27A5A" w:rsidRDefault="00D27A5A" w:rsidP="00D27A5A">
            <w:pPr>
              <w:pStyle w:val="naisf"/>
              <w:spacing w:before="0" w:after="0"/>
              <w:ind w:firstLine="0"/>
              <w:rPr>
                <w:iCs/>
                <w:sz w:val="28"/>
                <w:szCs w:val="28"/>
              </w:rPr>
            </w:pPr>
            <w:r w:rsidRPr="00A50F40">
              <w:rPr>
                <w:sz w:val="28"/>
                <w:szCs w:val="28"/>
              </w:rPr>
              <w:t>Atbilstoši Ministru kabineta 2014.</w:t>
            </w:r>
            <w:r>
              <w:rPr>
                <w:sz w:val="28"/>
                <w:szCs w:val="28"/>
              </w:rPr>
              <w:t xml:space="preserve">gada 22.aprīļa </w:t>
            </w:r>
            <w:r w:rsidRPr="00A50F40">
              <w:rPr>
                <w:sz w:val="28"/>
                <w:szCs w:val="28"/>
              </w:rPr>
              <w:t xml:space="preserve">sēdes protokollēmuma </w:t>
            </w:r>
            <w:r>
              <w:rPr>
                <w:sz w:val="28"/>
                <w:szCs w:val="28"/>
              </w:rPr>
              <w:t xml:space="preserve">(prot. </w:t>
            </w:r>
            <w:r w:rsidRPr="00A50F40">
              <w:rPr>
                <w:sz w:val="28"/>
                <w:szCs w:val="28"/>
              </w:rPr>
              <w:t>Nr.24 42.§</w:t>
            </w:r>
            <w:r>
              <w:rPr>
                <w:sz w:val="28"/>
                <w:szCs w:val="28"/>
              </w:rPr>
              <w:t>)</w:t>
            </w:r>
            <w:r w:rsidRPr="00A50F40">
              <w:rPr>
                <w:sz w:val="28"/>
                <w:szCs w:val="28"/>
              </w:rPr>
              <w:t xml:space="preserve"> </w:t>
            </w:r>
            <w:r>
              <w:rPr>
                <w:sz w:val="28"/>
                <w:szCs w:val="28"/>
              </w:rPr>
              <w:t>4.2.punktam</w:t>
            </w:r>
            <w:r w:rsidR="00B71DB3" w:rsidRPr="00D27A5A">
              <w:rPr>
                <w:sz w:val="28"/>
                <w:szCs w:val="28"/>
              </w:rPr>
              <w:t xml:space="preserve"> </w:t>
            </w:r>
            <w:r>
              <w:rPr>
                <w:sz w:val="28"/>
                <w:szCs w:val="28"/>
              </w:rPr>
              <w:t>P</w:t>
            </w:r>
            <w:r w:rsidR="00B71DB3" w:rsidRPr="00D27A5A">
              <w:rPr>
                <w:sz w:val="28"/>
                <w:szCs w:val="28"/>
              </w:rPr>
              <w:t xml:space="preserve">rojekts tiek virzīts </w:t>
            </w:r>
            <w:r w:rsidR="004C071A" w:rsidRPr="00D27A5A">
              <w:rPr>
                <w:sz w:val="28"/>
                <w:szCs w:val="28"/>
              </w:rPr>
              <w:t xml:space="preserve">vienlaikus ar </w:t>
            </w:r>
            <w:r>
              <w:rPr>
                <w:sz w:val="28"/>
                <w:szCs w:val="28"/>
              </w:rPr>
              <w:t xml:space="preserve">Ministru kabineta noteikumu projektu </w:t>
            </w:r>
            <w:r w:rsidR="004C071A" w:rsidRPr="00D27A5A">
              <w:rPr>
                <w:sz w:val="28"/>
                <w:szCs w:val="28"/>
              </w:rPr>
              <w:t>„Grozījums Ministru kabineta 2009.gada 7.aprīļa noteikumos Nr.300 „Ministru kabineta kārtības rullis”</w:t>
            </w:r>
            <w:r>
              <w:rPr>
                <w:sz w:val="28"/>
                <w:szCs w:val="28"/>
              </w:rPr>
              <w:t>”</w:t>
            </w:r>
            <w:r w:rsidR="004C071A" w:rsidRPr="00D27A5A">
              <w:rPr>
                <w:sz w:val="28"/>
                <w:szCs w:val="28"/>
              </w:rPr>
              <w:t xml:space="preserve">, papildinot 3.pielikumu ar politikas nozari </w:t>
            </w:r>
            <w:r w:rsidR="004C071A" w:rsidRPr="00D27A5A">
              <w:rPr>
                <w:sz w:val="28"/>
                <w:szCs w:val="28"/>
              </w:rPr>
              <w:lastRenderedPageBreak/>
              <w:t>„</w:t>
            </w:r>
            <w:r w:rsidR="00093389" w:rsidRPr="00D27A5A">
              <w:rPr>
                <w:sz w:val="28"/>
                <w:szCs w:val="28"/>
              </w:rPr>
              <w:t xml:space="preserve">Masu informācijas </w:t>
            </w:r>
            <w:r w:rsidR="002450BD" w:rsidRPr="00D27A5A">
              <w:rPr>
                <w:sz w:val="28"/>
                <w:szCs w:val="28"/>
              </w:rPr>
              <w:t xml:space="preserve">(plašsaziņas) </w:t>
            </w:r>
            <w:r w:rsidR="00093389" w:rsidRPr="00D27A5A">
              <w:rPr>
                <w:sz w:val="28"/>
                <w:szCs w:val="28"/>
              </w:rPr>
              <w:t xml:space="preserve">līdzekļu </w:t>
            </w:r>
            <w:r w:rsidR="004C071A" w:rsidRPr="00D27A5A">
              <w:rPr>
                <w:sz w:val="28"/>
                <w:szCs w:val="28"/>
              </w:rPr>
              <w:t>politika”.</w:t>
            </w:r>
          </w:p>
        </w:tc>
      </w:tr>
      <w:tr w:rsidR="000A6181" w:rsidRPr="00D27A5A" w:rsidTr="00D27A5A">
        <w:trPr>
          <w:jc w:val="center"/>
        </w:trPr>
        <w:tc>
          <w:tcPr>
            <w:tcW w:w="319" w:type="pct"/>
          </w:tcPr>
          <w:p w:rsidR="000A6181" w:rsidRPr="00D27A5A" w:rsidRDefault="000A6181" w:rsidP="00D27A5A">
            <w:pPr>
              <w:pStyle w:val="naisf"/>
              <w:spacing w:before="0" w:after="0"/>
              <w:ind w:firstLine="0"/>
              <w:jc w:val="center"/>
              <w:rPr>
                <w:iCs/>
                <w:sz w:val="28"/>
                <w:szCs w:val="28"/>
              </w:rPr>
            </w:pPr>
            <w:r w:rsidRPr="00D27A5A">
              <w:rPr>
                <w:iCs/>
                <w:sz w:val="28"/>
                <w:szCs w:val="28"/>
              </w:rPr>
              <w:lastRenderedPageBreak/>
              <w:t>2.</w:t>
            </w:r>
          </w:p>
        </w:tc>
        <w:tc>
          <w:tcPr>
            <w:tcW w:w="1873" w:type="pct"/>
          </w:tcPr>
          <w:p w:rsidR="000A6181" w:rsidRPr="00D27A5A" w:rsidRDefault="000A6181" w:rsidP="00C75FD9">
            <w:pPr>
              <w:pStyle w:val="naisf"/>
              <w:spacing w:before="0" w:after="0"/>
              <w:ind w:firstLine="0"/>
              <w:rPr>
                <w:sz w:val="28"/>
                <w:szCs w:val="28"/>
              </w:rPr>
            </w:pPr>
            <w:r w:rsidRPr="00D27A5A">
              <w:rPr>
                <w:sz w:val="28"/>
                <w:szCs w:val="28"/>
              </w:rPr>
              <w:t>Atbildīgā institūcija</w:t>
            </w:r>
          </w:p>
        </w:tc>
        <w:tc>
          <w:tcPr>
            <w:tcW w:w="2808" w:type="pct"/>
          </w:tcPr>
          <w:p w:rsidR="000A6181" w:rsidRPr="00D27A5A" w:rsidRDefault="00B71DB3" w:rsidP="00B71DB3">
            <w:pPr>
              <w:pStyle w:val="naisf"/>
              <w:spacing w:before="0" w:after="0"/>
              <w:ind w:firstLine="0"/>
              <w:rPr>
                <w:sz w:val="28"/>
                <w:szCs w:val="28"/>
              </w:rPr>
            </w:pPr>
            <w:r w:rsidRPr="00D27A5A">
              <w:rPr>
                <w:sz w:val="28"/>
                <w:szCs w:val="28"/>
              </w:rPr>
              <w:t>Kultūras ministrija</w:t>
            </w:r>
            <w:r w:rsidR="00D27A5A">
              <w:rPr>
                <w:sz w:val="28"/>
                <w:szCs w:val="28"/>
              </w:rPr>
              <w:t>.</w:t>
            </w:r>
          </w:p>
        </w:tc>
      </w:tr>
      <w:tr w:rsidR="000A6181" w:rsidRPr="00D27A5A" w:rsidTr="00D27A5A">
        <w:trPr>
          <w:jc w:val="center"/>
        </w:trPr>
        <w:tc>
          <w:tcPr>
            <w:tcW w:w="319" w:type="pct"/>
          </w:tcPr>
          <w:p w:rsidR="000A6181" w:rsidRPr="00D27A5A" w:rsidRDefault="000A6181" w:rsidP="00D27A5A">
            <w:pPr>
              <w:pStyle w:val="naisf"/>
              <w:spacing w:before="0" w:after="0"/>
              <w:ind w:firstLine="0"/>
              <w:jc w:val="center"/>
              <w:rPr>
                <w:iCs/>
                <w:sz w:val="28"/>
                <w:szCs w:val="28"/>
              </w:rPr>
            </w:pPr>
            <w:r w:rsidRPr="00D27A5A">
              <w:rPr>
                <w:iCs/>
                <w:sz w:val="28"/>
                <w:szCs w:val="28"/>
              </w:rPr>
              <w:t>3.</w:t>
            </w:r>
          </w:p>
        </w:tc>
        <w:tc>
          <w:tcPr>
            <w:tcW w:w="1873" w:type="pct"/>
          </w:tcPr>
          <w:p w:rsidR="000A6181" w:rsidRPr="00D27A5A" w:rsidRDefault="000A6181" w:rsidP="00C75FD9">
            <w:pPr>
              <w:pStyle w:val="naisf"/>
              <w:spacing w:before="0" w:after="0"/>
              <w:ind w:firstLine="0"/>
              <w:rPr>
                <w:sz w:val="28"/>
                <w:szCs w:val="28"/>
              </w:rPr>
            </w:pPr>
            <w:r w:rsidRPr="00D27A5A">
              <w:rPr>
                <w:sz w:val="28"/>
                <w:szCs w:val="28"/>
              </w:rPr>
              <w:t>Cita informācija</w:t>
            </w:r>
          </w:p>
        </w:tc>
        <w:tc>
          <w:tcPr>
            <w:tcW w:w="2808" w:type="pct"/>
          </w:tcPr>
          <w:p w:rsidR="000A6181" w:rsidRPr="00D27A5A" w:rsidRDefault="000A6181" w:rsidP="00C75FD9">
            <w:pPr>
              <w:pStyle w:val="naisf"/>
              <w:spacing w:before="0" w:after="0"/>
              <w:ind w:firstLine="0"/>
              <w:rPr>
                <w:sz w:val="28"/>
                <w:szCs w:val="28"/>
              </w:rPr>
            </w:pPr>
            <w:r w:rsidRPr="00D27A5A">
              <w:rPr>
                <w:sz w:val="28"/>
                <w:szCs w:val="28"/>
              </w:rPr>
              <w:t>Nav</w:t>
            </w:r>
          </w:p>
        </w:tc>
      </w:tr>
    </w:tbl>
    <w:p w:rsidR="00B55F3A" w:rsidRPr="00D27A5A" w:rsidRDefault="00B55F3A" w:rsidP="00C75FD9">
      <w:pPr>
        <w:pStyle w:val="naisf"/>
        <w:spacing w:before="0" w:after="0"/>
        <w:rPr>
          <w:sz w:val="28"/>
          <w:szCs w:val="28"/>
        </w:rPr>
      </w:pPr>
    </w:p>
    <w:p w:rsidR="000A6181" w:rsidRPr="00D27A5A" w:rsidRDefault="00923FF8" w:rsidP="00C75FD9">
      <w:pPr>
        <w:pStyle w:val="naisf"/>
        <w:spacing w:before="0" w:after="0"/>
        <w:rPr>
          <w:i/>
          <w:sz w:val="28"/>
          <w:szCs w:val="28"/>
        </w:rPr>
      </w:pPr>
      <w:r w:rsidRPr="00D27A5A">
        <w:rPr>
          <w:i/>
          <w:sz w:val="28"/>
          <w:szCs w:val="28"/>
        </w:rPr>
        <w:t xml:space="preserve">Anotācijas </w:t>
      </w:r>
      <w:r w:rsidR="00B55F3A" w:rsidRPr="00D27A5A">
        <w:rPr>
          <w:i/>
          <w:sz w:val="28"/>
          <w:szCs w:val="28"/>
        </w:rPr>
        <w:t>V sadaļa –</w:t>
      </w:r>
      <w:r w:rsidR="00694F09">
        <w:rPr>
          <w:i/>
          <w:sz w:val="28"/>
          <w:szCs w:val="28"/>
        </w:rPr>
        <w:t xml:space="preserve"> </w:t>
      </w:r>
      <w:r w:rsidR="00B55F3A" w:rsidRPr="00D27A5A">
        <w:rPr>
          <w:i/>
          <w:sz w:val="28"/>
          <w:szCs w:val="28"/>
        </w:rPr>
        <w:t>projekts šo jomu neskar.</w:t>
      </w:r>
    </w:p>
    <w:p w:rsidR="000A6181" w:rsidRPr="00D27A5A" w:rsidRDefault="000A6181" w:rsidP="00C75FD9">
      <w:pPr>
        <w:pStyle w:val="naisf"/>
        <w:spacing w:before="0" w:after="0"/>
        <w:ind w:firstLine="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52"/>
        <w:gridCol w:w="3375"/>
        <w:gridCol w:w="5158"/>
      </w:tblGrid>
      <w:tr w:rsidR="00A25311" w:rsidRPr="00D27A5A" w:rsidTr="00D27A5A">
        <w:trPr>
          <w:jc w:val="center"/>
        </w:trPr>
        <w:tc>
          <w:tcPr>
            <w:tcW w:w="5000" w:type="pct"/>
            <w:gridSpan w:val="3"/>
          </w:tcPr>
          <w:p w:rsidR="00A25311" w:rsidRPr="00D27A5A" w:rsidRDefault="00A25311" w:rsidP="00C75FD9">
            <w:pPr>
              <w:pStyle w:val="naisnod"/>
              <w:spacing w:before="0" w:after="0"/>
              <w:rPr>
                <w:sz w:val="28"/>
                <w:szCs w:val="28"/>
              </w:rPr>
            </w:pPr>
            <w:r w:rsidRPr="00D27A5A">
              <w:rPr>
                <w:sz w:val="28"/>
                <w:szCs w:val="28"/>
              </w:rPr>
              <w:t xml:space="preserve">VI. </w:t>
            </w:r>
            <w:r w:rsidRPr="00D27A5A">
              <w:rPr>
                <w:bCs w:val="0"/>
                <w:sz w:val="28"/>
                <w:szCs w:val="28"/>
              </w:rPr>
              <w:t>Sabiedrības līdzdalība un komunikācijas aktivitātes</w:t>
            </w:r>
          </w:p>
        </w:tc>
      </w:tr>
      <w:tr w:rsidR="00A25311" w:rsidRPr="00D27A5A" w:rsidTr="00D27A5A">
        <w:trPr>
          <w:jc w:val="center"/>
        </w:trPr>
        <w:tc>
          <w:tcPr>
            <w:tcW w:w="355" w:type="pct"/>
          </w:tcPr>
          <w:p w:rsidR="00A25311" w:rsidRPr="00D27A5A" w:rsidRDefault="00A25311" w:rsidP="00C75FD9">
            <w:pPr>
              <w:pStyle w:val="naiskr"/>
              <w:tabs>
                <w:tab w:val="left" w:pos="2628"/>
              </w:tabs>
              <w:spacing w:before="0" w:after="0"/>
              <w:jc w:val="center"/>
              <w:rPr>
                <w:iCs/>
                <w:sz w:val="28"/>
                <w:szCs w:val="28"/>
              </w:rPr>
            </w:pPr>
            <w:r w:rsidRPr="00D27A5A">
              <w:rPr>
                <w:iCs/>
                <w:sz w:val="28"/>
                <w:szCs w:val="28"/>
              </w:rPr>
              <w:t>1.</w:t>
            </w:r>
          </w:p>
        </w:tc>
        <w:tc>
          <w:tcPr>
            <w:tcW w:w="1837" w:type="pct"/>
          </w:tcPr>
          <w:p w:rsidR="00A25311" w:rsidRPr="00D27A5A" w:rsidRDefault="00A25311" w:rsidP="00C75FD9">
            <w:pPr>
              <w:pStyle w:val="naiskr"/>
              <w:tabs>
                <w:tab w:val="left" w:pos="2628"/>
              </w:tabs>
              <w:spacing w:before="0" w:after="0"/>
              <w:rPr>
                <w:iCs/>
                <w:sz w:val="28"/>
                <w:szCs w:val="28"/>
              </w:rPr>
            </w:pPr>
            <w:r w:rsidRPr="00D27A5A">
              <w:rPr>
                <w:sz w:val="28"/>
                <w:szCs w:val="28"/>
              </w:rPr>
              <w:t>Plānotās sabiedrības līdzdalības un komunikācijas aktivitātes saistībā ar projektu</w:t>
            </w:r>
          </w:p>
        </w:tc>
        <w:tc>
          <w:tcPr>
            <w:tcW w:w="2808" w:type="pct"/>
          </w:tcPr>
          <w:p w:rsidR="000C7EE8" w:rsidRPr="00D27A5A" w:rsidRDefault="000C7EE8" w:rsidP="000C7EE8">
            <w:pPr>
              <w:jc w:val="both"/>
              <w:rPr>
                <w:sz w:val="28"/>
                <w:szCs w:val="28"/>
              </w:rPr>
            </w:pPr>
            <w:r w:rsidRPr="00D27A5A">
              <w:rPr>
                <w:sz w:val="28"/>
                <w:szCs w:val="28"/>
              </w:rPr>
              <w:t xml:space="preserve">Jautājums par atbildīgās institūcijas noteikšanu izpildvaras ietvaros, paredzot tās kompetenci masu informācijas līdzekļu (mediju) politikas izstrādē un koordinēšanā iepriekš ir apspriests vairakkārt, tai skaitā: </w:t>
            </w:r>
          </w:p>
          <w:p w:rsidR="000C7EE8" w:rsidRPr="00D27A5A" w:rsidRDefault="000C7EE8" w:rsidP="000C7EE8">
            <w:pPr>
              <w:jc w:val="both"/>
              <w:rPr>
                <w:sz w:val="28"/>
                <w:szCs w:val="28"/>
              </w:rPr>
            </w:pPr>
            <w:r w:rsidRPr="00D27A5A">
              <w:rPr>
                <w:sz w:val="28"/>
                <w:szCs w:val="28"/>
              </w:rPr>
              <w:t>- </w:t>
            </w:r>
            <w:r w:rsidR="008B45A9" w:rsidRPr="00D27A5A">
              <w:rPr>
                <w:sz w:val="28"/>
                <w:szCs w:val="28"/>
              </w:rPr>
              <w:t>pēc Saeimas Cilvēktiesību un sabiedrisko lietu komisijas (turpmāk – Komisija) iniciatīvas, Kultūras ministrija 2013.gada vasarā sagatavoja ziņojumu par iespējamiem mediju politikas struktūrvienības izveides risinājumiem, t.sk. apkopojot citu ministriju un mediju nozares organizāciju viedokļus. Komisija ziņojumu izskatīja 2013.gada 16.oktobra sēdē, vēlāk, lai pieņemtu galīgo lēmumu par mediju politikas struktūrvienības izveidi, nolemjot virzīt jautājumu skatīšanai valdībā</w:t>
            </w:r>
            <w:r w:rsidRPr="00D27A5A">
              <w:rPr>
                <w:sz w:val="28"/>
                <w:szCs w:val="28"/>
              </w:rPr>
              <w:t xml:space="preserve">; </w:t>
            </w:r>
          </w:p>
          <w:p w:rsidR="008B45A9" w:rsidRPr="00D27A5A" w:rsidRDefault="000C7EE8" w:rsidP="000C7EE8">
            <w:pPr>
              <w:jc w:val="both"/>
              <w:rPr>
                <w:sz w:val="28"/>
                <w:szCs w:val="28"/>
              </w:rPr>
            </w:pPr>
            <w:r w:rsidRPr="00D27A5A">
              <w:rPr>
                <w:sz w:val="28"/>
                <w:szCs w:val="28"/>
              </w:rPr>
              <w:t>- j</w:t>
            </w:r>
            <w:r w:rsidR="008B45A9" w:rsidRPr="00D27A5A">
              <w:rPr>
                <w:sz w:val="28"/>
                <w:szCs w:val="28"/>
              </w:rPr>
              <w:t>autājuma izpētes gaitā, lai noskaidrotu un saprastu mediju nozares vajadzības, K</w:t>
            </w:r>
            <w:r w:rsidRPr="00D27A5A">
              <w:rPr>
                <w:sz w:val="28"/>
                <w:szCs w:val="28"/>
              </w:rPr>
              <w:t xml:space="preserve">ultūras ministrija </w:t>
            </w:r>
            <w:r w:rsidR="008B45A9" w:rsidRPr="00D27A5A">
              <w:rPr>
                <w:sz w:val="28"/>
                <w:szCs w:val="28"/>
              </w:rPr>
              <w:t xml:space="preserve">aicināja ministrijas un citas valsts pārvaldes iestādes, ekspertus, mediju nozares pārstāvjus un pilsonisko sabiedrību pārstāvošas organizācijas (kopā 28 personas) sniegt viedokli par struktūrvienības izveidošanas nepieciešamību, kā arī pēc Valsts kancelejas ierosinājuma 2013.gada 11.septembrī sarīkoja diskusiju. </w:t>
            </w:r>
          </w:p>
          <w:p w:rsidR="008B45A9" w:rsidRPr="00D27A5A" w:rsidRDefault="000C7EE8" w:rsidP="000C7EE8">
            <w:pPr>
              <w:jc w:val="both"/>
              <w:rPr>
                <w:sz w:val="28"/>
                <w:szCs w:val="28"/>
              </w:rPr>
            </w:pPr>
            <w:r w:rsidRPr="00D27A5A">
              <w:rPr>
                <w:sz w:val="28"/>
                <w:szCs w:val="28"/>
              </w:rPr>
              <w:t>- m</w:t>
            </w:r>
            <w:r w:rsidR="008B45A9" w:rsidRPr="00D27A5A">
              <w:rPr>
                <w:sz w:val="28"/>
                <w:szCs w:val="28"/>
              </w:rPr>
              <w:t xml:space="preserve">ediju politikas struktūrvienības izveides nepieciešamība ir tikusi diskutēta portāla politika.lv un Konrāda Adenauera fonda kopīgi rīkotā domu apmaiņā „Mediju struktūrvienība – atbalsts attīstībai vai cenzūras drauds?” (2013.gada 13.novembrī) un Latvijas Žurnālistu asociācijas rīkotajā </w:t>
            </w:r>
            <w:r w:rsidR="008B45A9" w:rsidRPr="00D27A5A">
              <w:rPr>
                <w:sz w:val="28"/>
                <w:szCs w:val="28"/>
              </w:rPr>
              <w:lastRenderedPageBreak/>
              <w:t xml:space="preserve">konferencē „Mediju saturs – bagātība vai lēts produkts?” (2013.gada 13. decembrī). Šo diskusiju organizatori, kā arī jautājumam veltītu rakstu iniciatori ir bijuši mediju un nozares profesionālo organizāciju pārstāvji. </w:t>
            </w:r>
          </w:p>
          <w:p w:rsidR="008B45A9" w:rsidRPr="00D27A5A" w:rsidRDefault="000C7EE8" w:rsidP="000C7EE8">
            <w:pPr>
              <w:contextualSpacing/>
              <w:jc w:val="both"/>
              <w:rPr>
                <w:sz w:val="28"/>
                <w:szCs w:val="28"/>
              </w:rPr>
            </w:pPr>
            <w:r w:rsidRPr="00D27A5A">
              <w:rPr>
                <w:sz w:val="28"/>
                <w:szCs w:val="28"/>
              </w:rPr>
              <w:t>Tādejādi</w:t>
            </w:r>
            <w:r w:rsidR="008B45A9" w:rsidRPr="00D27A5A">
              <w:rPr>
                <w:sz w:val="28"/>
                <w:szCs w:val="28"/>
              </w:rPr>
              <w:t>, strādājot pie jautājuma izpētes, tika apzināti citu ministriju, institūciju, nozares un profesionālo organizāciju viedokļi mediju politikas struktūrvienības izveides sakarā.</w:t>
            </w:r>
          </w:p>
          <w:p w:rsidR="008B45A9" w:rsidRPr="00D27A5A" w:rsidRDefault="008B45A9" w:rsidP="000C7EE8">
            <w:pPr>
              <w:contextualSpacing/>
              <w:jc w:val="both"/>
              <w:rPr>
                <w:sz w:val="28"/>
                <w:szCs w:val="28"/>
              </w:rPr>
            </w:pPr>
            <w:r w:rsidRPr="00D27A5A">
              <w:rPr>
                <w:sz w:val="28"/>
                <w:szCs w:val="28"/>
              </w:rPr>
              <w:t>Paustajos viedokļos tika formulētas problēmas un jautājumu loks:</w:t>
            </w:r>
          </w:p>
          <w:p w:rsidR="008B45A9" w:rsidRPr="006E5EE2" w:rsidRDefault="006E5EE2" w:rsidP="006E5EE2">
            <w:pPr>
              <w:contextualSpacing/>
              <w:jc w:val="both"/>
              <w:rPr>
                <w:sz w:val="28"/>
                <w:szCs w:val="28"/>
              </w:rPr>
            </w:pPr>
            <w:r>
              <w:rPr>
                <w:sz w:val="28"/>
                <w:szCs w:val="28"/>
              </w:rPr>
              <w:t>- </w:t>
            </w:r>
            <w:r w:rsidR="008B45A9" w:rsidRPr="006E5EE2">
              <w:rPr>
                <w:sz w:val="28"/>
                <w:szCs w:val="28"/>
              </w:rPr>
              <w:t>nepieciešama koordinēta pieeja, lai novērstu informatīvās telpas sašķeltības draudus, jo tas ir valsts drošības jautājums;</w:t>
            </w:r>
          </w:p>
          <w:p w:rsidR="008B45A9" w:rsidRPr="006E5EE2" w:rsidRDefault="006E5EE2" w:rsidP="006E5EE2">
            <w:pPr>
              <w:contextualSpacing/>
              <w:jc w:val="both"/>
              <w:rPr>
                <w:sz w:val="28"/>
                <w:szCs w:val="28"/>
              </w:rPr>
            </w:pPr>
            <w:r>
              <w:rPr>
                <w:sz w:val="28"/>
                <w:szCs w:val="28"/>
              </w:rPr>
              <w:t>- </w:t>
            </w:r>
            <w:r w:rsidR="008B45A9" w:rsidRPr="006E5EE2">
              <w:rPr>
                <w:sz w:val="28"/>
                <w:szCs w:val="28"/>
              </w:rPr>
              <w:t>nepieciešams sakārtot tiesisko regulējumu mediju politikas jomā un līdz ar to risināt no Latvijas starptautisko saistību viedokļa patlaban aktuālos jautājumus, piemēram, vārda brīvības aizsardzība un šīs brīvības pieļaujamie ierobežojumi, cīņa ar naida noziegumiem, žurnālistu atbildības robežas šajā kontekstā u.c.;</w:t>
            </w:r>
          </w:p>
          <w:p w:rsidR="008B45A9" w:rsidRPr="006E5EE2" w:rsidRDefault="006E5EE2" w:rsidP="006E5EE2">
            <w:pPr>
              <w:contextualSpacing/>
              <w:jc w:val="both"/>
              <w:rPr>
                <w:sz w:val="28"/>
                <w:szCs w:val="28"/>
              </w:rPr>
            </w:pPr>
            <w:r>
              <w:rPr>
                <w:sz w:val="28"/>
                <w:szCs w:val="28"/>
              </w:rPr>
              <w:t>- </w:t>
            </w:r>
            <w:r w:rsidR="008B45A9" w:rsidRPr="006E5EE2">
              <w:rPr>
                <w:sz w:val="28"/>
                <w:szCs w:val="28"/>
              </w:rPr>
              <w:t>elektronisko plašsaziņas līdzekļu tiesiskais regulējums, ieskaitot arī politikas plānoša</w:t>
            </w:r>
            <w:r w:rsidR="00246C47" w:rsidRPr="006E5EE2">
              <w:rPr>
                <w:sz w:val="28"/>
                <w:szCs w:val="28"/>
              </w:rPr>
              <w:t xml:space="preserve">nu, ir vērsts divos virzienos – saturiskajā un tehnoloģiskajā – </w:t>
            </w:r>
            <w:r w:rsidR="008B45A9" w:rsidRPr="006E5EE2">
              <w:rPr>
                <w:sz w:val="28"/>
                <w:szCs w:val="28"/>
              </w:rPr>
              <w:t>un tāpēc būtu rūpīgi jāizvērtē iespēja dalīt kompetences starp Satiksmes ministriju un Kultūras ministriju;</w:t>
            </w:r>
          </w:p>
          <w:p w:rsidR="008B45A9" w:rsidRPr="006E5EE2" w:rsidRDefault="006E5EE2" w:rsidP="006E5EE2">
            <w:pPr>
              <w:contextualSpacing/>
              <w:jc w:val="both"/>
              <w:rPr>
                <w:sz w:val="28"/>
                <w:szCs w:val="28"/>
              </w:rPr>
            </w:pPr>
            <w:r>
              <w:rPr>
                <w:sz w:val="28"/>
                <w:szCs w:val="28"/>
              </w:rPr>
              <w:t>- </w:t>
            </w:r>
            <w:r w:rsidR="008B45A9" w:rsidRPr="006E5EE2">
              <w:rPr>
                <w:sz w:val="28"/>
                <w:szCs w:val="28"/>
              </w:rPr>
              <w:t xml:space="preserve">mediju uzraudzības un mediju politikas vides sakārtošanas un attīstības nepieciešamība; </w:t>
            </w:r>
          </w:p>
          <w:p w:rsidR="008B45A9" w:rsidRPr="006E5EE2" w:rsidRDefault="006E5EE2" w:rsidP="006E5EE2">
            <w:pPr>
              <w:contextualSpacing/>
              <w:jc w:val="both"/>
              <w:rPr>
                <w:sz w:val="28"/>
                <w:szCs w:val="28"/>
              </w:rPr>
            </w:pPr>
            <w:r>
              <w:rPr>
                <w:sz w:val="28"/>
                <w:szCs w:val="28"/>
              </w:rPr>
              <w:t>- </w:t>
            </w:r>
            <w:r w:rsidR="008B45A9" w:rsidRPr="006E5EE2">
              <w:rPr>
                <w:sz w:val="28"/>
                <w:szCs w:val="28"/>
              </w:rPr>
              <w:t>veidot ilgtermiņa attīstības koncepcijas, kas balstītas uz patiesu informāciju un visu ieinteresēto pušu iesaistīšanu;</w:t>
            </w:r>
          </w:p>
          <w:p w:rsidR="008B45A9" w:rsidRPr="006E5EE2" w:rsidRDefault="006E5EE2" w:rsidP="006E5EE2">
            <w:pPr>
              <w:contextualSpacing/>
              <w:jc w:val="both"/>
              <w:rPr>
                <w:sz w:val="28"/>
                <w:szCs w:val="28"/>
              </w:rPr>
            </w:pPr>
            <w:r>
              <w:rPr>
                <w:sz w:val="28"/>
                <w:szCs w:val="28"/>
              </w:rPr>
              <w:t>- </w:t>
            </w:r>
            <w:r w:rsidR="008B45A9" w:rsidRPr="006E5EE2">
              <w:rPr>
                <w:sz w:val="28"/>
                <w:szCs w:val="28"/>
              </w:rPr>
              <w:t xml:space="preserve">nepieciešama institucionāla koncentrēšanās uz mediju politikas un informācijas vides attīstību – Latvijai nav savas mediju politikas, likumdošanas attīstība balansē starp vecmodīgiem normatīvajiem aktiem un ES direktīvām, informācijas tehnoloģiju attīstības projekti ir visai atrauti no satura attīstības jautājumiem, kā arī lietotāju </w:t>
            </w:r>
            <w:r w:rsidR="008B45A9" w:rsidRPr="006E5EE2">
              <w:rPr>
                <w:sz w:val="28"/>
                <w:szCs w:val="28"/>
              </w:rPr>
              <w:lastRenderedPageBreak/>
              <w:t>iespējām un vajadzībām;</w:t>
            </w:r>
          </w:p>
          <w:p w:rsidR="008B45A9" w:rsidRPr="006E5EE2" w:rsidRDefault="006E5EE2" w:rsidP="006E5EE2">
            <w:pPr>
              <w:contextualSpacing/>
              <w:jc w:val="both"/>
              <w:rPr>
                <w:sz w:val="28"/>
                <w:szCs w:val="28"/>
              </w:rPr>
            </w:pPr>
            <w:r>
              <w:rPr>
                <w:sz w:val="28"/>
                <w:szCs w:val="28"/>
              </w:rPr>
              <w:t>- </w:t>
            </w:r>
            <w:r w:rsidR="008B45A9" w:rsidRPr="006E5EE2">
              <w:rPr>
                <w:sz w:val="28"/>
                <w:szCs w:val="28"/>
              </w:rPr>
              <w:t>situācija, kad izpildvarai nav kāds (struktūrvienība vai persona), kas atbildētu par mediju politiku, nav pareiza;</w:t>
            </w:r>
          </w:p>
          <w:p w:rsidR="000C7EE8" w:rsidRPr="006E5EE2" w:rsidRDefault="006E5EE2" w:rsidP="006E5EE2">
            <w:pPr>
              <w:contextualSpacing/>
              <w:jc w:val="both"/>
              <w:rPr>
                <w:sz w:val="28"/>
                <w:szCs w:val="28"/>
              </w:rPr>
            </w:pPr>
            <w:r>
              <w:rPr>
                <w:sz w:val="28"/>
                <w:szCs w:val="28"/>
              </w:rPr>
              <w:t>- </w:t>
            </w:r>
            <w:r w:rsidR="008B45A9" w:rsidRPr="006E5EE2">
              <w:rPr>
                <w:sz w:val="28"/>
                <w:szCs w:val="28"/>
              </w:rPr>
              <w:t>būtu vēlams sagatavot Valsts informatīvās un publiskās telpas un mediju politikas koncepciju, kur precīzāk tiktu noteikta mērķtiecīga valsts mediju politika, kas būtu virzīta uz Latvijas informatīvās un publiskās telpas nostiprināšanu.</w:t>
            </w:r>
          </w:p>
          <w:p w:rsidR="008B45A9" w:rsidRPr="00D27A5A" w:rsidRDefault="008B45A9" w:rsidP="000C7EE8">
            <w:pPr>
              <w:contextualSpacing/>
              <w:jc w:val="both"/>
              <w:rPr>
                <w:sz w:val="28"/>
                <w:szCs w:val="28"/>
              </w:rPr>
            </w:pPr>
            <w:r w:rsidRPr="00D27A5A">
              <w:rPr>
                <w:sz w:val="28"/>
                <w:szCs w:val="28"/>
              </w:rPr>
              <w:t>Tika izteikti arī nosacījumi struktūrvienības izveidei:</w:t>
            </w:r>
          </w:p>
          <w:p w:rsidR="008B45A9" w:rsidRPr="006E5EE2" w:rsidRDefault="006E5EE2" w:rsidP="006E5EE2">
            <w:pPr>
              <w:contextualSpacing/>
              <w:jc w:val="both"/>
              <w:rPr>
                <w:sz w:val="28"/>
                <w:szCs w:val="28"/>
              </w:rPr>
            </w:pPr>
            <w:r>
              <w:rPr>
                <w:sz w:val="28"/>
                <w:szCs w:val="28"/>
              </w:rPr>
              <w:t>- </w:t>
            </w:r>
            <w:r w:rsidR="008B45A9" w:rsidRPr="006E5EE2">
              <w:rPr>
                <w:sz w:val="28"/>
                <w:szCs w:val="28"/>
              </w:rPr>
              <w:t>institūcijai, kas ir atbildīga par mediju politikas un stratēģijas izstrādi, jābūt neatkarīgai;</w:t>
            </w:r>
          </w:p>
          <w:p w:rsidR="008B45A9" w:rsidRPr="006E5EE2" w:rsidRDefault="006E5EE2" w:rsidP="006E5EE2">
            <w:pPr>
              <w:contextualSpacing/>
              <w:jc w:val="both"/>
              <w:rPr>
                <w:sz w:val="28"/>
                <w:szCs w:val="28"/>
              </w:rPr>
            </w:pPr>
            <w:r>
              <w:rPr>
                <w:sz w:val="28"/>
                <w:szCs w:val="28"/>
              </w:rPr>
              <w:t>- </w:t>
            </w:r>
            <w:r w:rsidR="008B45A9" w:rsidRPr="006E5EE2">
              <w:rPr>
                <w:sz w:val="28"/>
                <w:szCs w:val="28"/>
              </w:rPr>
              <w:t>ir nepieciešama institūcija mediju politikas jautājumu risināšanai, bet būtiski ir veikt esošās situācijas profesionālu un kritisku izvērtējumu, kā arī definēt mērķus, ko jaunizveidotā institūcija realizēs;</w:t>
            </w:r>
          </w:p>
          <w:p w:rsidR="008B45A9" w:rsidRPr="006E5EE2" w:rsidRDefault="006E5EE2" w:rsidP="006E5EE2">
            <w:pPr>
              <w:contextualSpacing/>
              <w:jc w:val="both"/>
              <w:rPr>
                <w:sz w:val="28"/>
                <w:szCs w:val="28"/>
              </w:rPr>
            </w:pPr>
            <w:r>
              <w:rPr>
                <w:sz w:val="28"/>
                <w:szCs w:val="28"/>
              </w:rPr>
              <w:t>- </w:t>
            </w:r>
            <w:r w:rsidR="008B45A9" w:rsidRPr="006E5EE2">
              <w:rPr>
                <w:sz w:val="28"/>
                <w:szCs w:val="28"/>
              </w:rPr>
              <w:t>organizēt diskusiju par mediju nozares attīstību, atbildīgas struktūrvienības izveidi, tās iespējamiem darbības virzieniem, galvenajiem uzdevumiem un funkcijām;</w:t>
            </w:r>
            <w:r w:rsidR="008B45A9" w:rsidRPr="006E5EE2">
              <w:rPr>
                <w:sz w:val="28"/>
                <w:szCs w:val="28"/>
                <w:highlight w:val="yellow"/>
              </w:rPr>
              <w:t xml:space="preserve"> </w:t>
            </w:r>
          </w:p>
          <w:p w:rsidR="000C7EE8" w:rsidRPr="006E5EE2" w:rsidRDefault="006E5EE2" w:rsidP="006E5EE2">
            <w:pPr>
              <w:contextualSpacing/>
              <w:jc w:val="both"/>
              <w:rPr>
                <w:sz w:val="28"/>
                <w:szCs w:val="28"/>
              </w:rPr>
            </w:pPr>
            <w:r>
              <w:rPr>
                <w:sz w:val="28"/>
                <w:szCs w:val="28"/>
              </w:rPr>
              <w:t>- </w:t>
            </w:r>
            <w:r w:rsidR="008B45A9" w:rsidRPr="006E5EE2">
              <w:rPr>
                <w:sz w:val="28"/>
                <w:szCs w:val="28"/>
              </w:rPr>
              <w:t>Kultūras ministrijai ir pieredze ar līdzīgām vai pat tieši ar mediju vidi saistītām jomām (audiovizuālā un autortiesību politika, filmas)</w:t>
            </w:r>
            <w:r w:rsidR="000C7EE8" w:rsidRPr="006E5EE2">
              <w:rPr>
                <w:sz w:val="28"/>
                <w:szCs w:val="28"/>
              </w:rPr>
              <w:t>;</w:t>
            </w:r>
          </w:p>
          <w:p w:rsidR="00A25311" w:rsidRPr="006E5EE2" w:rsidRDefault="006E5EE2" w:rsidP="006E5EE2">
            <w:pPr>
              <w:contextualSpacing/>
              <w:jc w:val="both"/>
              <w:rPr>
                <w:iCs/>
                <w:sz w:val="28"/>
                <w:szCs w:val="28"/>
              </w:rPr>
            </w:pPr>
            <w:r>
              <w:rPr>
                <w:sz w:val="28"/>
                <w:szCs w:val="28"/>
              </w:rPr>
              <w:t>- </w:t>
            </w:r>
            <w:r w:rsidR="000C7EE8" w:rsidRPr="006E5EE2">
              <w:rPr>
                <w:sz w:val="28"/>
                <w:szCs w:val="28"/>
              </w:rPr>
              <w:t>v</w:t>
            </w:r>
            <w:r w:rsidR="008B45A9" w:rsidRPr="006E5EE2">
              <w:rPr>
                <w:sz w:val="28"/>
                <w:szCs w:val="28"/>
              </w:rPr>
              <w:t xml:space="preserve">airākos gadījumos tika ierosināts, paplašinot un pilnveidojot funkcijas, par mediju politikas veidotāju noteikt NEPLP, t.sk. tai deleģējot likumdošanas iniciatīvas tiesības. Saskaņā ar Elektronisko plašsaziņas līdzekļu likumu NEPLP ir dota likuma īstenošanas un īstenošanas pārraudzības funkcija audiovizuālo elektronisko mediju jomā un tā veido Elektronisko plašsaziņas līdzekļu nozares attīstības nacionālo stratēģiju, bet tai iztrūkst kopainas, kas aptvertu visu mediju vidi. NEPLP kapacitāte, kas tai noteikta saskaņā ar </w:t>
            </w:r>
            <w:r w:rsidR="005B2589" w:rsidRPr="006E5EE2">
              <w:rPr>
                <w:sz w:val="28"/>
                <w:szCs w:val="28"/>
              </w:rPr>
              <w:t>Elektronisko plašsaziņas līdzekļu likumu</w:t>
            </w:r>
            <w:r w:rsidR="008B45A9" w:rsidRPr="006E5EE2">
              <w:rPr>
                <w:sz w:val="28"/>
                <w:szCs w:val="28"/>
              </w:rPr>
              <w:t xml:space="preserve">, jau šobrīd ir neatbilstoša, lai pilnā apjomā </w:t>
            </w:r>
            <w:r w:rsidR="008B45A9" w:rsidRPr="006E5EE2">
              <w:rPr>
                <w:sz w:val="28"/>
                <w:szCs w:val="28"/>
              </w:rPr>
              <w:lastRenderedPageBreak/>
              <w:t xml:space="preserve">nodrošinātu tai uzdoto darbu izpildi un institucionāli atbalstītu elektronisko mediju politiku, pārvaldību un mediju pētījumus, kā arī pilnvērtīgi pildītu citus </w:t>
            </w:r>
            <w:r w:rsidR="005B2589" w:rsidRPr="006E5EE2">
              <w:rPr>
                <w:sz w:val="28"/>
                <w:szCs w:val="28"/>
              </w:rPr>
              <w:t>Elektronisko plašsaziņas līdzekļu likumā</w:t>
            </w:r>
            <w:r w:rsidR="008B45A9" w:rsidRPr="006E5EE2">
              <w:rPr>
                <w:sz w:val="28"/>
                <w:szCs w:val="28"/>
              </w:rPr>
              <w:t xml:space="preserve"> un Elektronisko plašsaziņas līdzekļu nozares attīstīb</w:t>
            </w:r>
            <w:r w:rsidR="005B2589" w:rsidRPr="006E5EE2">
              <w:rPr>
                <w:sz w:val="28"/>
                <w:szCs w:val="28"/>
              </w:rPr>
              <w:t>as nacionālajā stratēģijā 2012.</w:t>
            </w:r>
            <w:r w:rsidR="00B946AE" w:rsidRPr="006E5EE2">
              <w:rPr>
                <w:sz w:val="28"/>
                <w:szCs w:val="28"/>
              </w:rPr>
              <w:t>-</w:t>
            </w:r>
            <w:r w:rsidR="008B45A9" w:rsidRPr="006E5EE2">
              <w:rPr>
                <w:sz w:val="28"/>
                <w:szCs w:val="28"/>
              </w:rPr>
              <w:t xml:space="preserve">2017.gadam noteiktos uzdevumus. </w:t>
            </w:r>
          </w:p>
        </w:tc>
      </w:tr>
      <w:tr w:rsidR="00A25311" w:rsidRPr="00D27A5A" w:rsidTr="00D27A5A">
        <w:trPr>
          <w:jc w:val="center"/>
        </w:trPr>
        <w:tc>
          <w:tcPr>
            <w:tcW w:w="355" w:type="pct"/>
          </w:tcPr>
          <w:p w:rsidR="00A25311" w:rsidRPr="00D27A5A" w:rsidRDefault="00A25311" w:rsidP="00C75FD9">
            <w:pPr>
              <w:pStyle w:val="naiskr"/>
              <w:tabs>
                <w:tab w:val="left" w:pos="2628"/>
              </w:tabs>
              <w:spacing w:before="0" w:after="0"/>
              <w:jc w:val="center"/>
              <w:rPr>
                <w:iCs/>
                <w:sz w:val="28"/>
                <w:szCs w:val="28"/>
              </w:rPr>
            </w:pPr>
            <w:r w:rsidRPr="00D27A5A">
              <w:rPr>
                <w:iCs/>
                <w:sz w:val="28"/>
                <w:szCs w:val="28"/>
              </w:rPr>
              <w:lastRenderedPageBreak/>
              <w:t>2.</w:t>
            </w:r>
          </w:p>
        </w:tc>
        <w:tc>
          <w:tcPr>
            <w:tcW w:w="1837" w:type="pct"/>
          </w:tcPr>
          <w:p w:rsidR="00A25311" w:rsidRPr="00D27A5A" w:rsidRDefault="00A25311" w:rsidP="00C75FD9">
            <w:pPr>
              <w:pStyle w:val="naiskr"/>
              <w:tabs>
                <w:tab w:val="left" w:pos="2628"/>
              </w:tabs>
              <w:spacing w:before="0" w:after="0"/>
              <w:rPr>
                <w:sz w:val="28"/>
                <w:szCs w:val="28"/>
              </w:rPr>
            </w:pPr>
            <w:r w:rsidRPr="00D27A5A">
              <w:rPr>
                <w:sz w:val="28"/>
                <w:szCs w:val="28"/>
              </w:rPr>
              <w:t>Sabiedrības līdzdalība projekta izstrādē</w:t>
            </w:r>
          </w:p>
        </w:tc>
        <w:tc>
          <w:tcPr>
            <w:tcW w:w="2808" w:type="pct"/>
          </w:tcPr>
          <w:p w:rsidR="00A25311" w:rsidRPr="00D27A5A" w:rsidRDefault="00246C47" w:rsidP="00246C47">
            <w:pPr>
              <w:jc w:val="both"/>
              <w:rPr>
                <w:sz w:val="28"/>
                <w:szCs w:val="28"/>
              </w:rPr>
            </w:pPr>
            <w:r>
              <w:rPr>
                <w:sz w:val="28"/>
                <w:szCs w:val="28"/>
              </w:rPr>
              <w:t>P</w:t>
            </w:r>
            <w:r w:rsidR="003260C1" w:rsidRPr="00D27A5A">
              <w:rPr>
                <w:sz w:val="28"/>
                <w:szCs w:val="28"/>
              </w:rPr>
              <w:t>rojekts</w:t>
            </w:r>
            <w:r w:rsidR="00A25311" w:rsidRPr="00D27A5A">
              <w:rPr>
                <w:sz w:val="28"/>
                <w:szCs w:val="28"/>
              </w:rPr>
              <w:t xml:space="preserve"> izsludināts Valsts sekretāru 2014.gada </w:t>
            </w:r>
            <w:r w:rsidR="003260C1" w:rsidRPr="00D27A5A">
              <w:rPr>
                <w:sz w:val="28"/>
                <w:szCs w:val="28"/>
              </w:rPr>
              <w:t>5</w:t>
            </w:r>
            <w:r w:rsidR="00A25311" w:rsidRPr="00D27A5A">
              <w:rPr>
                <w:sz w:val="28"/>
                <w:szCs w:val="28"/>
              </w:rPr>
              <w:t>.</w:t>
            </w:r>
            <w:r w:rsidR="003260C1" w:rsidRPr="00D27A5A">
              <w:rPr>
                <w:sz w:val="28"/>
                <w:szCs w:val="28"/>
              </w:rPr>
              <w:t>jūnija</w:t>
            </w:r>
            <w:r w:rsidR="00A25311" w:rsidRPr="00D27A5A">
              <w:rPr>
                <w:sz w:val="28"/>
                <w:szCs w:val="28"/>
              </w:rPr>
              <w:t xml:space="preserve"> sanāksmē.</w:t>
            </w:r>
            <w:r w:rsidR="003260C1" w:rsidRPr="00D27A5A">
              <w:rPr>
                <w:sz w:val="28"/>
                <w:szCs w:val="28"/>
              </w:rPr>
              <w:t xml:space="preserve"> </w:t>
            </w:r>
          </w:p>
        </w:tc>
      </w:tr>
      <w:tr w:rsidR="00A25311" w:rsidRPr="00D27A5A" w:rsidTr="00D27A5A">
        <w:trPr>
          <w:jc w:val="center"/>
        </w:trPr>
        <w:tc>
          <w:tcPr>
            <w:tcW w:w="355" w:type="pct"/>
          </w:tcPr>
          <w:p w:rsidR="00A25311" w:rsidRPr="00D27A5A" w:rsidRDefault="00A25311" w:rsidP="00C75FD9">
            <w:pPr>
              <w:pStyle w:val="naiskr"/>
              <w:tabs>
                <w:tab w:val="left" w:pos="2628"/>
              </w:tabs>
              <w:spacing w:before="0" w:after="0"/>
              <w:jc w:val="center"/>
              <w:rPr>
                <w:iCs/>
                <w:sz w:val="28"/>
                <w:szCs w:val="28"/>
              </w:rPr>
            </w:pPr>
            <w:r w:rsidRPr="00D27A5A">
              <w:rPr>
                <w:iCs/>
                <w:sz w:val="28"/>
                <w:szCs w:val="28"/>
              </w:rPr>
              <w:t>3.</w:t>
            </w:r>
          </w:p>
        </w:tc>
        <w:tc>
          <w:tcPr>
            <w:tcW w:w="1837" w:type="pct"/>
          </w:tcPr>
          <w:p w:rsidR="00A25311" w:rsidRPr="00D27A5A" w:rsidRDefault="00A25311" w:rsidP="00C75FD9">
            <w:pPr>
              <w:pStyle w:val="naiskr"/>
              <w:tabs>
                <w:tab w:val="left" w:pos="2628"/>
              </w:tabs>
              <w:spacing w:before="0" w:after="0"/>
              <w:rPr>
                <w:iCs/>
                <w:sz w:val="28"/>
                <w:szCs w:val="28"/>
              </w:rPr>
            </w:pPr>
            <w:r w:rsidRPr="00D27A5A">
              <w:rPr>
                <w:sz w:val="28"/>
                <w:szCs w:val="28"/>
              </w:rPr>
              <w:t>Sabiedrības līdzdalības rezultāti</w:t>
            </w:r>
          </w:p>
        </w:tc>
        <w:tc>
          <w:tcPr>
            <w:tcW w:w="2808" w:type="pct"/>
          </w:tcPr>
          <w:p w:rsidR="00A25311" w:rsidRPr="00D27A5A" w:rsidRDefault="00246C47" w:rsidP="00C75FD9">
            <w:pPr>
              <w:pStyle w:val="naiskr"/>
              <w:tabs>
                <w:tab w:val="left" w:pos="2628"/>
              </w:tabs>
              <w:spacing w:before="0" w:after="0"/>
              <w:jc w:val="both"/>
              <w:rPr>
                <w:iCs/>
                <w:sz w:val="28"/>
                <w:szCs w:val="28"/>
              </w:rPr>
            </w:pPr>
            <w:r w:rsidRPr="00A50F40">
              <w:rPr>
                <w:iCs/>
                <w:sz w:val="28"/>
                <w:szCs w:val="28"/>
              </w:rPr>
              <w:t>Priekšlikumi netika saņemti.</w:t>
            </w:r>
          </w:p>
        </w:tc>
      </w:tr>
      <w:tr w:rsidR="00A25311" w:rsidRPr="00D27A5A" w:rsidTr="00D27A5A">
        <w:trPr>
          <w:trHeight w:val="413"/>
          <w:jc w:val="center"/>
        </w:trPr>
        <w:tc>
          <w:tcPr>
            <w:tcW w:w="355" w:type="pct"/>
          </w:tcPr>
          <w:p w:rsidR="00A25311" w:rsidRPr="00D27A5A" w:rsidRDefault="00A25311" w:rsidP="00C75FD9">
            <w:pPr>
              <w:pStyle w:val="naiskr"/>
              <w:tabs>
                <w:tab w:val="left" w:pos="2628"/>
              </w:tabs>
              <w:spacing w:before="0" w:after="0"/>
              <w:jc w:val="center"/>
              <w:rPr>
                <w:iCs/>
                <w:sz w:val="28"/>
                <w:szCs w:val="28"/>
              </w:rPr>
            </w:pPr>
            <w:r w:rsidRPr="00D27A5A">
              <w:rPr>
                <w:iCs/>
                <w:sz w:val="28"/>
                <w:szCs w:val="28"/>
              </w:rPr>
              <w:t>4.</w:t>
            </w:r>
          </w:p>
        </w:tc>
        <w:tc>
          <w:tcPr>
            <w:tcW w:w="1837" w:type="pct"/>
          </w:tcPr>
          <w:p w:rsidR="00A25311" w:rsidRPr="00D27A5A" w:rsidRDefault="00A25311" w:rsidP="00C75FD9">
            <w:pPr>
              <w:pStyle w:val="naiskr"/>
              <w:tabs>
                <w:tab w:val="left" w:pos="2628"/>
              </w:tabs>
              <w:spacing w:before="0" w:after="0"/>
              <w:rPr>
                <w:sz w:val="28"/>
                <w:szCs w:val="28"/>
              </w:rPr>
            </w:pPr>
            <w:r w:rsidRPr="00D27A5A">
              <w:rPr>
                <w:sz w:val="28"/>
                <w:szCs w:val="28"/>
              </w:rPr>
              <w:t>Cita informācija</w:t>
            </w:r>
          </w:p>
        </w:tc>
        <w:tc>
          <w:tcPr>
            <w:tcW w:w="2808" w:type="pct"/>
          </w:tcPr>
          <w:p w:rsidR="00A25311" w:rsidRPr="00D27A5A" w:rsidRDefault="00A25311" w:rsidP="00C75FD9">
            <w:pPr>
              <w:pStyle w:val="naiskr"/>
              <w:tabs>
                <w:tab w:val="left" w:pos="2628"/>
              </w:tabs>
              <w:spacing w:before="0" w:after="0"/>
              <w:jc w:val="both"/>
              <w:rPr>
                <w:sz w:val="28"/>
                <w:szCs w:val="28"/>
              </w:rPr>
            </w:pPr>
            <w:r w:rsidRPr="00D27A5A">
              <w:rPr>
                <w:sz w:val="28"/>
                <w:szCs w:val="28"/>
              </w:rPr>
              <w:t>Nav</w:t>
            </w:r>
          </w:p>
        </w:tc>
      </w:tr>
    </w:tbl>
    <w:p w:rsidR="003C1635" w:rsidRPr="00D27A5A" w:rsidRDefault="003C1635" w:rsidP="00C75FD9">
      <w:pPr>
        <w:pStyle w:val="naisf"/>
        <w:spacing w:before="0" w:after="0"/>
        <w:ind w:firstLine="0"/>
        <w:rPr>
          <w:sz w:val="28"/>
          <w:szCs w:val="28"/>
        </w:rPr>
      </w:pPr>
    </w:p>
    <w:tbl>
      <w:tblPr>
        <w:tblpPr w:leftFromText="180" w:rightFromText="180" w:vertAnchor="text" w:horzAnchor="margin" w:tblpXSpec="center" w:tblpY="212"/>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97"/>
        <w:gridCol w:w="3402"/>
        <w:gridCol w:w="5132"/>
      </w:tblGrid>
      <w:tr w:rsidR="00081E26" w:rsidRPr="00D27A5A" w:rsidTr="00D27A5A">
        <w:tc>
          <w:tcPr>
            <w:tcW w:w="5000" w:type="pct"/>
            <w:gridSpan w:val="3"/>
            <w:tcBorders>
              <w:top w:val="outset" w:sz="6" w:space="0" w:color="000000"/>
              <w:left w:val="outset" w:sz="6" w:space="0" w:color="000000"/>
              <w:bottom w:val="outset" w:sz="6" w:space="0" w:color="000000"/>
              <w:right w:val="outset" w:sz="6" w:space="0" w:color="000000"/>
            </w:tcBorders>
          </w:tcPr>
          <w:p w:rsidR="00081E26" w:rsidRPr="00D27A5A" w:rsidRDefault="00081E26" w:rsidP="00C75FD9">
            <w:pPr>
              <w:jc w:val="center"/>
              <w:rPr>
                <w:b/>
                <w:bCs/>
                <w:sz w:val="28"/>
                <w:szCs w:val="28"/>
              </w:rPr>
            </w:pPr>
            <w:r w:rsidRPr="00D27A5A">
              <w:rPr>
                <w:b/>
                <w:bCs/>
                <w:sz w:val="28"/>
                <w:szCs w:val="28"/>
              </w:rPr>
              <w:t>VII. Tiesību akta projekta izpildes nodrošināšana un tās ietekme uz institūcijām</w:t>
            </w:r>
          </w:p>
        </w:tc>
      </w:tr>
      <w:tr w:rsidR="00037AB9" w:rsidRPr="00D27A5A" w:rsidTr="00D27A5A">
        <w:tc>
          <w:tcPr>
            <w:tcW w:w="327" w:type="pct"/>
            <w:tcBorders>
              <w:top w:val="outset" w:sz="6" w:space="0" w:color="000000"/>
              <w:left w:val="outset" w:sz="6" w:space="0" w:color="000000"/>
              <w:bottom w:val="outset" w:sz="6" w:space="0" w:color="000000"/>
              <w:right w:val="outset" w:sz="6" w:space="0" w:color="000000"/>
            </w:tcBorders>
          </w:tcPr>
          <w:p w:rsidR="00037AB9" w:rsidRPr="00D27A5A" w:rsidRDefault="00081E26" w:rsidP="00D27A5A">
            <w:pPr>
              <w:jc w:val="center"/>
              <w:rPr>
                <w:sz w:val="28"/>
                <w:szCs w:val="28"/>
              </w:rPr>
            </w:pPr>
            <w:r w:rsidRPr="00D27A5A">
              <w:rPr>
                <w:sz w:val="28"/>
                <w:szCs w:val="28"/>
              </w:rPr>
              <w:t>1.</w:t>
            </w:r>
          </w:p>
        </w:tc>
        <w:tc>
          <w:tcPr>
            <w:tcW w:w="1863" w:type="pct"/>
            <w:tcBorders>
              <w:top w:val="outset" w:sz="6" w:space="0" w:color="000000"/>
              <w:left w:val="outset" w:sz="6" w:space="0" w:color="000000"/>
              <w:bottom w:val="outset" w:sz="6" w:space="0" w:color="000000"/>
              <w:right w:val="outset" w:sz="6" w:space="0" w:color="000000"/>
            </w:tcBorders>
          </w:tcPr>
          <w:p w:rsidR="00037AB9" w:rsidRPr="00D27A5A" w:rsidRDefault="00037AB9" w:rsidP="00D27A5A">
            <w:pPr>
              <w:rPr>
                <w:sz w:val="28"/>
                <w:szCs w:val="28"/>
              </w:rPr>
            </w:pPr>
            <w:r w:rsidRPr="00D27A5A">
              <w:rPr>
                <w:sz w:val="28"/>
                <w:szCs w:val="28"/>
              </w:rPr>
              <w:t>Projekta izpildē iesaistītās institūcijas</w:t>
            </w:r>
          </w:p>
        </w:tc>
        <w:tc>
          <w:tcPr>
            <w:tcW w:w="2810" w:type="pct"/>
            <w:tcBorders>
              <w:top w:val="outset" w:sz="6" w:space="0" w:color="000000"/>
              <w:left w:val="outset" w:sz="6" w:space="0" w:color="000000"/>
              <w:bottom w:val="outset" w:sz="6" w:space="0" w:color="000000"/>
              <w:right w:val="outset" w:sz="6" w:space="0" w:color="000000"/>
            </w:tcBorders>
          </w:tcPr>
          <w:p w:rsidR="00037AB9" w:rsidRPr="00D27A5A" w:rsidRDefault="00A40D39" w:rsidP="00C75FD9">
            <w:pPr>
              <w:jc w:val="both"/>
              <w:rPr>
                <w:sz w:val="28"/>
                <w:szCs w:val="28"/>
              </w:rPr>
            </w:pPr>
            <w:r w:rsidRPr="00D27A5A">
              <w:rPr>
                <w:sz w:val="28"/>
                <w:szCs w:val="28"/>
              </w:rPr>
              <w:t>Kultūras ministrija</w:t>
            </w:r>
            <w:r w:rsidR="00D27A5A">
              <w:rPr>
                <w:sz w:val="28"/>
                <w:szCs w:val="28"/>
              </w:rPr>
              <w:t>.</w:t>
            </w:r>
          </w:p>
        </w:tc>
      </w:tr>
      <w:tr w:rsidR="00037AB9" w:rsidRPr="00D27A5A" w:rsidTr="00D27A5A">
        <w:tc>
          <w:tcPr>
            <w:tcW w:w="327" w:type="pct"/>
            <w:tcBorders>
              <w:top w:val="outset" w:sz="6" w:space="0" w:color="000000"/>
              <w:left w:val="outset" w:sz="6" w:space="0" w:color="000000"/>
              <w:bottom w:val="outset" w:sz="6" w:space="0" w:color="000000"/>
              <w:right w:val="outset" w:sz="6" w:space="0" w:color="000000"/>
            </w:tcBorders>
          </w:tcPr>
          <w:p w:rsidR="00037AB9" w:rsidRPr="00D27A5A" w:rsidRDefault="00081E26" w:rsidP="00D27A5A">
            <w:pPr>
              <w:jc w:val="center"/>
              <w:rPr>
                <w:sz w:val="28"/>
                <w:szCs w:val="28"/>
              </w:rPr>
            </w:pPr>
            <w:r w:rsidRPr="00D27A5A">
              <w:rPr>
                <w:sz w:val="28"/>
                <w:szCs w:val="28"/>
              </w:rPr>
              <w:t>2.</w:t>
            </w:r>
          </w:p>
        </w:tc>
        <w:tc>
          <w:tcPr>
            <w:tcW w:w="1863" w:type="pct"/>
            <w:tcBorders>
              <w:top w:val="outset" w:sz="6" w:space="0" w:color="000000"/>
              <w:left w:val="outset" w:sz="6" w:space="0" w:color="000000"/>
              <w:bottom w:val="outset" w:sz="6" w:space="0" w:color="000000"/>
              <w:right w:val="outset" w:sz="6" w:space="0" w:color="000000"/>
            </w:tcBorders>
          </w:tcPr>
          <w:p w:rsidR="00037AB9" w:rsidRPr="00D27A5A" w:rsidRDefault="00037AB9" w:rsidP="00D27A5A">
            <w:pPr>
              <w:rPr>
                <w:sz w:val="28"/>
                <w:szCs w:val="28"/>
              </w:rPr>
            </w:pPr>
            <w:r w:rsidRPr="00D27A5A">
              <w:rPr>
                <w:sz w:val="28"/>
                <w:szCs w:val="28"/>
              </w:rPr>
              <w:t>Projekta izpildes ietekme uz pārvaldes funkcijām un institucionālo struktūru</w:t>
            </w:r>
          </w:p>
          <w:p w:rsidR="00037AB9" w:rsidRPr="00D27A5A" w:rsidRDefault="00037AB9" w:rsidP="00D27A5A">
            <w:pPr>
              <w:rPr>
                <w:sz w:val="28"/>
                <w:szCs w:val="28"/>
              </w:rPr>
            </w:pPr>
            <w:r w:rsidRPr="00D27A5A">
              <w:rPr>
                <w:sz w:val="28"/>
                <w:szCs w:val="28"/>
              </w:rPr>
              <w:t>Jaunu institūciju izveide, esošu institūciju likvidācija vai reorganizācija, to ietekme uz institūcijas cilvēkresursiem</w:t>
            </w:r>
          </w:p>
        </w:tc>
        <w:tc>
          <w:tcPr>
            <w:tcW w:w="2810" w:type="pct"/>
            <w:tcBorders>
              <w:top w:val="outset" w:sz="6" w:space="0" w:color="000000"/>
              <w:left w:val="outset" w:sz="6" w:space="0" w:color="000000"/>
              <w:bottom w:val="outset" w:sz="6" w:space="0" w:color="000000"/>
              <w:right w:val="outset" w:sz="6" w:space="0" w:color="000000"/>
            </w:tcBorders>
          </w:tcPr>
          <w:p w:rsidR="008F444F" w:rsidRPr="00D27A5A" w:rsidRDefault="008F444F" w:rsidP="00C75FD9">
            <w:pPr>
              <w:jc w:val="both"/>
              <w:rPr>
                <w:sz w:val="28"/>
                <w:szCs w:val="28"/>
              </w:rPr>
            </w:pPr>
            <w:r w:rsidRPr="00D27A5A">
              <w:rPr>
                <w:sz w:val="28"/>
                <w:szCs w:val="28"/>
              </w:rPr>
              <w:t xml:space="preserve">Tiks paplašinātas </w:t>
            </w:r>
            <w:r w:rsidR="00A40D39" w:rsidRPr="00D27A5A">
              <w:rPr>
                <w:sz w:val="28"/>
                <w:szCs w:val="28"/>
              </w:rPr>
              <w:t xml:space="preserve">Kultūras ministrijas funkcijas. </w:t>
            </w:r>
          </w:p>
          <w:p w:rsidR="008F444F" w:rsidRPr="00D27A5A" w:rsidRDefault="008F444F" w:rsidP="00C75FD9">
            <w:pPr>
              <w:jc w:val="both"/>
              <w:rPr>
                <w:sz w:val="28"/>
                <w:szCs w:val="28"/>
              </w:rPr>
            </w:pPr>
          </w:p>
          <w:p w:rsidR="00037AB9" w:rsidRPr="00D27A5A" w:rsidRDefault="00A40D39" w:rsidP="00C75FD9">
            <w:pPr>
              <w:jc w:val="both"/>
              <w:rPr>
                <w:sz w:val="28"/>
                <w:szCs w:val="28"/>
              </w:rPr>
            </w:pPr>
            <w:r w:rsidRPr="00D27A5A">
              <w:rPr>
                <w:sz w:val="28"/>
                <w:szCs w:val="28"/>
              </w:rPr>
              <w:t>N</w:t>
            </w:r>
            <w:r w:rsidR="00037AB9" w:rsidRPr="00D27A5A">
              <w:rPr>
                <w:sz w:val="28"/>
                <w:szCs w:val="28"/>
              </w:rPr>
              <w:t xml:space="preserve">epieciešams </w:t>
            </w:r>
            <w:r w:rsidRPr="00D27A5A">
              <w:rPr>
                <w:sz w:val="28"/>
                <w:szCs w:val="28"/>
              </w:rPr>
              <w:t xml:space="preserve">Kultūras ministrijā izveidot jaunu struktūrvienību – Mediju politikas nodaļu </w:t>
            </w:r>
            <w:r w:rsidR="00D27A5A">
              <w:rPr>
                <w:sz w:val="28"/>
                <w:szCs w:val="28"/>
              </w:rPr>
              <w:t xml:space="preserve">– </w:t>
            </w:r>
            <w:r w:rsidRPr="00D27A5A">
              <w:rPr>
                <w:sz w:val="28"/>
                <w:szCs w:val="28"/>
              </w:rPr>
              <w:t xml:space="preserve">sākotnēji </w:t>
            </w:r>
            <w:r w:rsidR="00246C47">
              <w:rPr>
                <w:sz w:val="28"/>
                <w:szCs w:val="28"/>
              </w:rPr>
              <w:t>3 (</w:t>
            </w:r>
            <w:r w:rsidRPr="00D27A5A">
              <w:rPr>
                <w:sz w:val="28"/>
                <w:szCs w:val="28"/>
              </w:rPr>
              <w:t>trīs</w:t>
            </w:r>
            <w:r w:rsidR="00246C47">
              <w:rPr>
                <w:sz w:val="28"/>
                <w:szCs w:val="28"/>
              </w:rPr>
              <w:t>)</w:t>
            </w:r>
            <w:r w:rsidRPr="00D27A5A">
              <w:rPr>
                <w:sz w:val="28"/>
                <w:szCs w:val="28"/>
              </w:rPr>
              <w:t xml:space="preserve"> darbinieku sastāvā</w:t>
            </w:r>
            <w:r w:rsidR="00AC3A89">
              <w:rPr>
                <w:sz w:val="28"/>
                <w:szCs w:val="28"/>
              </w:rPr>
              <w:t> </w:t>
            </w:r>
            <w:r w:rsidRPr="00D27A5A">
              <w:rPr>
                <w:sz w:val="28"/>
                <w:szCs w:val="28"/>
              </w:rPr>
              <w:t xml:space="preserve">– struktūrvienības vadītājs, eksperts un juriskonsults. </w:t>
            </w:r>
          </w:p>
          <w:p w:rsidR="008F444F" w:rsidRPr="00D27A5A" w:rsidRDefault="008F444F" w:rsidP="00C75FD9">
            <w:pPr>
              <w:jc w:val="both"/>
              <w:rPr>
                <w:sz w:val="28"/>
                <w:szCs w:val="28"/>
              </w:rPr>
            </w:pPr>
          </w:p>
          <w:p w:rsidR="00081E26" w:rsidRPr="00D27A5A" w:rsidRDefault="00081E26" w:rsidP="00C75FD9">
            <w:pPr>
              <w:jc w:val="both"/>
              <w:rPr>
                <w:sz w:val="28"/>
                <w:szCs w:val="28"/>
              </w:rPr>
            </w:pPr>
            <w:r w:rsidRPr="00D27A5A">
              <w:rPr>
                <w:sz w:val="28"/>
                <w:szCs w:val="28"/>
              </w:rPr>
              <w:t>Nav nepieciešama esošu institūciju likvidācija vai reorganizācija.</w:t>
            </w:r>
          </w:p>
        </w:tc>
      </w:tr>
      <w:tr w:rsidR="00037AB9" w:rsidRPr="00D27A5A" w:rsidTr="00D27A5A">
        <w:tc>
          <w:tcPr>
            <w:tcW w:w="327" w:type="pct"/>
            <w:tcBorders>
              <w:top w:val="outset" w:sz="6" w:space="0" w:color="000000"/>
              <w:left w:val="outset" w:sz="6" w:space="0" w:color="000000"/>
              <w:bottom w:val="outset" w:sz="6" w:space="0" w:color="000000"/>
              <w:right w:val="outset" w:sz="6" w:space="0" w:color="000000"/>
            </w:tcBorders>
          </w:tcPr>
          <w:p w:rsidR="00037AB9" w:rsidRPr="00D27A5A" w:rsidRDefault="00081E26" w:rsidP="00D27A5A">
            <w:pPr>
              <w:jc w:val="center"/>
              <w:rPr>
                <w:sz w:val="28"/>
                <w:szCs w:val="28"/>
              </w:rPr>
            </w:pPr>
            <w:r w:rsidRPr="00D27A5A">
              <w:rPr>
                <w:sz w:val="28"/>
                <w:szCs w:val="28"/>
              </w:rPr>
              <w:t>3.</w:t>
            </w:r>
          </w:p>
        </w:tc>
        <w:tc>
          <w:tcPr>
            <w:tcW w:w="1863" w:type="pct"/>
            <w:tcBorders>
              <w:top w:val="outset" w:sz="6" w:space="0" w:color="000000"/>
              <w:left w:val="outset" w:sz="6" w:space="0" w:color="000000"/>
              <w:bottom w:val="outset" w:sz="6" w:space="0" w:color="000000"/>
              <w:right w:val="outset" w:sz="6" w:space="0" w:color="000000"/>
            </w:tcBorders>
          </w:tcPr>
          <w:p w:rsidR="00037AB9" w:rsidRPr="00D27A5A" w:rsidRDefault="00081E26" w:rsidP="00C75FD9">
            <w:pPr>
              <w:jc w:val="both"/>
              <w:rPr>
                <w:sz w:val="28"/>
                <w:szCs w:val="28"/>
              </w:rPr>
            </w:pPr>
            <w:r w:rsidRPr="00D27A5A">
              <w:rPr>
                <w:sz w:val="28"/>
                <w:szCs w:val="28"/>
              </w:rPr>
              <w:t>Cita informācija</w:t>
            </w:r>
          </w:p>
        </w:tc>
        <w:tc>
          <w:tcPr>
            <w:tcW w:w="2810" w:type="pct"/>
            <w:tcBorders>
              <w:top w:val="outset" w:sz="6" w:space="0" w:color="000000"/>
              <w:left w:val="outset" w:sz="6" w:space="0" w:color="000000"/>
              <w:bottom w:val="outset" w:sz="6" w:space="0" w:color="000000"/>
              <w:right w:val="outset" w:sz="6" w:space="0" w:color="000000"/>
            </w:tcBorders>
          </w:tcPr>
          <w:p w:rsidR="00037AB9" w:rsidRPr="00D27A5A" w:rsidRDefault="00081E26" w:rsidP="00C75FD9">
            <w:pPr>
              <w:jc w:val="both"/>
              <w:rPr>
                <w:sz w:val="28"/>
                <w:szCs w:val="28"/>
              </w:rPr>
            </w:pPr>
            <w:r w:rsidRPr="00D27A5A">
              <w:rPr>
                <w:sz w:val="28"/>
                <w:szCs w:val="28"/>
              </w:rPr>
              <w:t>Nav</w:t>
            </w:r>
          </w:p>
        </w:tc>
      </w:tr>
    </w:tbl>
    <w:p w:rsidR="00080AD1" w:rsidRDefault="00080AD1" w:rsidP="00C75FD9">
      <w:pPr>
        <w:pStyle w:val="naisf"/>
        <w:tabs>
          <w:tab w:val="left" w:pos="6804"/>
        </w:tabs>
        <w:spacing w:before="0" w:after="0"/>
        <w:ind w:firstLine="0"/>
        <w:rPr>
          <w:sz w:val="28"/>
          <w:szCs w:val="28"/>
        </w:rPr>
      </w:pPr>
    </w:p>
    <w:p w:rsidR="00D27A5A" w:rsidRPr="003463E7" w:rsidRDefault="00D27A5A" w:rsidP="00D27A5A">
      <w:pPr>
        <w:pStyle w:val="naisf"/>
        <w:spacing w:before="0" w:after="0"/>
        <w:ind w:left="142" w:firstLine="284"/>
        <w:rPr>
          <w:sz w:val="28"/>
          <w:szCs w:val="28"/>
        </w:rPr>
      </w:pPr>
      <w:r w:rsidRPr="003463E7">
        <w:rPr>
          <w:sz w:val="28"/>
          <w:szCs w:val="28"/>
        </w:rPr>
        <w:t>Kultūras ministre</w:t>
      </w:r>
      <w:r w:rsidRPr="003463E7">
        <w:rPr>
          <w:sz w:val="28"/>
          <w:szCs w:val="28"/>
        </w:rPr>
        <w:tab/>
      </w:r>
      <w:r w:rsidRPr="003463E7">
        <w:rPr>
          <w:sz w:val="28"/>
          <w:szCs w:val="28"/>
        </w:rPr>
        <w:tab/>
      </w:r>
      <w:r w:rsidRPr="003463E7">
        <w:rPr>
          <w:sz w:val="28"/>
          <w:szCs w:val="28"/>
        </w:rPr>
        <w:tab/>
      </w:r>
      <w:r w:rsidRPr="003463E7">
        <w:rPr>
          <w:sz w:val="28"/>
          <w:szCs w:val="28"/>
        </w:rPr>
        <w:tab/>
      </w:r>
      <w:r w:rsidRPr="003463E7">
        <w:rPr>
          <w:sz w:val="28"/>
          <w:szCs w:val="28"/>
        </w:rPr>
        <w:tab/>
      </w:r>
      <w:r w:rsidRPr="003463E7">
        <w:rPr>
          <w:sz w:val="28"/>
          <w:szCs w:val="28"/>
        </w:rPr>
        <w:tab/>
        <w:t>D.Melbārde</w:t>
      </w:r>
    </w:p>
    <w:p w:rsidR="00D27A5A" w:rsidRPr="003463E7" w:rsidRDefault="00D27A5A" w:rsidP="00D27A5A">
      <w:pPr>
        <w:ind w:left="142" w:firstLine="284"/>
        <w:jc w:val="both"/>
        <w:rPr>
          <w:sz w:val="28"/>
          <w:szCs w:val="28"/>
        </w:rPr>
      </w:pPr>
    </w:p>
    <w:p w:rsidR="00D27A5A" w:rsidRPr="003463E7" w:rsidRDefault="00D27A5A" w:rsidP="00D27A5A">
      <w:pPr>
        <w:ind w:left="142" w:firstLine="284"/>
        <w:jc w:val="both"/>
        <w:rPr>
          <w:sz w:val="28"/>
          <w:szCs w:val="28"/>
        </w:rPr>
      </w:pPr>
      <w:r w:rsidRPr="003463E7">
        <w:rPr>
          <w:sz w:val="28"/>
          <w:szCs w:val="28"/>
        </w:rPr>
        <w:t>Vīza: Valsts sekretāra p.i.</w:t>
      </w:r>
      <w:r w:rsidRPr="003463E7">
        <w:rPr>
          <w:sz w:val="28"/>
          <w:szCs w:val="28"/>
        </w:rPr>
        <w:tab/>
      </w:r>
      <w:r w:rsidRPr="003463E7">
        <w:rPr>
          <w:sz w:val="28"/>
          <w:szCs w:val="28"/>
        </w:rPr>
        <w:tab/>
      </w:r>
      <w:r w:rsidRPr="003463E7">
        <w:rPr>
          <w:sz w:val="28"/>
          <w:szCs w:val="28"/>
        </w:rPr>
        <w:tab/>
      </w:r>
      <w:r w:rsidRPr="003463E7">
        <w:rPr>
          <w:sz w:val="28"/>
          <w:szCs w:val="28"/>
        </w:rPr>
        <w:tab/>
      </w:r>
      <w:r w:rsidRPr="003463E7">
        <w:rPr>
          <w:sz w:val="28"/>
          <w:szCs w:val="28"/>
        </w:rPr>
        <w:tab/>
        <w:t>U.Lielpēters</w:t>
      </w:r>
    </w:p>
    <w:p w:rsidR="00CE0996" w:rsidRDefault="00CE0996" w:rsidP="00D27A5A">
      <w:pPr>
        <w:rPr>
          <w:sz w:val="22"/>
          <w:szCs w:val="22"/>
        </w:rPr>
      </w:pPr>
    </w:p>
    <w:p w:rsidR="00720739" w:rsidRDefault="00720739" w:rsidP="00D27A5A">
      <w:pPr>
        <w:rPr>
          <w:sz w:val="22"/>
          <w:szCs w:val="22"/>
        </w:rPr>
      </w:pPr>
    </w:p>
    <w:p w:rsidR="00720739" w:rsidRDefault="00720739" w:rsidP="00D27A5A">
      <w:pPr>
        <w:rPr>
          <w:sz w:val="22"/>
          <w:szCs w:val="22"/>
        </w:rPr>
      </w:pPr>
    </w:p>
    <w:p w:rsidR="00D27A5A" w:rsidRPr="00FC5344" w:rsidRDefault="00CA41A5" w:rsidP="00D27A5A">
      <w:pPr>
        <w:rPr>
          <w:sz w:val="22"/>
          <w:szCs w:val="22"/>
        </w:rPr>
      </w:pPr>
      <w:r>
        <w:rPr>
          <w:sz w:val="22"/>
          <w:szCs w:val="22"/>
        </w:rPr>
        <w:t>3</w:t>
      </w:r>
      <w:r w:rsidR="00507DBE">
        <w:rPr>
          <w:sz w:val="22"/>
          <w:szCs w:val="22"/>
        </w:rPr>
        <w:t>1</w:t>
      </w:r>
      <w:r w:rsidR="00D27A5A" w:rsidRPr="00FC5344">
        <w:rPr>
          <w:sz w:val="22"/>
          <w:szCs w:val="22"/>
        </w:rPr>
        <w:t>.0</w:t>
      </w:r>
      <w:r>
        <w:rPr>
          <w:sz w:val="22"/>
          <w:szCs w:val="22"/>
        </w:rPr>
        <w:t>7</w:t>
      </w:r>
      <w:r w:rsidR="00D27A5A" w:rsidRPr="00FC5344">
        <w:rPr>
          <w:sz w:val="22"/>
          <w:szCs w:val="22"/>
        </w:rPr>
        <w:t xml:space="preserve">.2014. </w:t>
      </w:r>
      <w:r w:rsidR="00D27A5A">
        <w:rPr>
          <w:sz w:val="22"/>
          <w:szCs w:val="22"/>
        </w:rPr>
        <w:t>1</w:t>
      </w:r>
      <w:r>
        <w:rPr>
          <w:sz w:val="22"/>
          <w:szCs w:val="22"/>
        </w:rPr>
        <w:t>5</w:t>
      </w:r>
      <w:r w:rsidR="00D27A5A" w:rsidRPr="00FC5344">
        <w:rPr>
          <w:sz w:val="22"/>
          <w:szCs w:val="22"/>
        </w:rPr>
        <w:t>:</w:t>
      </w:r>
      <w:r w:rsidR="007E466D">
        <w:rPr>
          <w:sz w:val="22"/>
          <w:szCs w:val="22"/>
        </w:rPr>
        <w:t>00</w:t>
      </w:r>
    </w:p>
    <w:p w:rsidR="00F96061" w:rsidRPr="00FC5344" w:rsidRDefault="00F96061" w:rsidP="007E466D">
      <w:pPr>
        <w:tabs>
          <w:tab w:val="left" w:pos="6615"/>
        </w:tabs>
        <w:rPr>
          <w:sz w:val="22"/>
          <w:szCs w:val="22"/>
        </w:rPr>
      </w:pPr>
      <w:r>
        <w:rPr>
          <w:sz w:val="22"/>
          <w:szCs w:val="22"/>
        </w:rPr>
        <w:t>3</w:t>
      </w:r>
      <w:r w:rsidR="00500DE7">
        <w:rPr>
          <w:sz w:val="22"/>
          <w:szCs w:val="22"/>
        </w:rPr>
        <w:t> 3</w:t>
      </w:r>
      <w:r w:rsidR="003A614A">
        <w:rPr>
          <w:sz w:val="22"/>
          <w:szCs w:val="22"/>
        </w:rPr>
        <w:t>31</w:t>
      </w:r>
      <w:r w:rsidR="007E466D">
        <w:rPr>
          <w:sz w:val="22"/>
          <w:szCs w:val="22"/>
        </w:rPr>
        <w:tab/>
      </w:r>
    </w:p>
    <w:p w:rsidR="00D27A5A" w:rsidRPr="00FC5344" w:rsidRDefault="00D27A5A" w:rsidP="00D27A5A">
      <w:pPr>
        <w:rPr>
          <w:sz w:val="22"/>
          <w:szCs w:val="22"/>
        </w:rPr>
      </w:pPr>
      <w:r w:rsidRPr="00FC5344">
        <w:rPr>
          <w:sz w:val="22"/>
          <w:szCs w:val="22"/>
        </w:rPr>
        <w:t>A.Mellakauls</w:t>
      </w:r>
    </w:p>
    <w:p w:rsidR="00D27A5A" w:rsidRPr="00FC5344" w:rsidRDefault="00D27A5A" w:rsidP="00D27A5A">
      <w:pPr>
        <w:rPr>
          <w:sz w:val="22"/>
          <w:szCs w:val="22"/>
        </w:rPr>
      </w:pPr>
      <w:r w:rsidRPr="00FC5344">
        <w:rPr>
          <w:sz w:val="22"/>
          <w:szCs w:val="22"/>
        </w:rPr>
        <w:t>Tālr.67330276, fakss 67330293</w:t>
      </w:r>
    </w:p>
    <w:p w:rsidR="00D27A5A" w:rsidRPr="00FC5344" w:rsidRDefault="003423E2" w:rsidP="00D27A5A">
      <w:pPr>
        <w:rPr>
          <w:sz w:val="22"/>
          <w:szCs w:val="22"/>
        </w:rPr>
      </w:pPr>
      <w:hyperlink r:id="rId12" w:history="1">
        <w:r w:rsidR="00500DE7" w:rsidRPr="0088458E">
          <w:rPr>
            <w:rStyle w:val="Hipersaite"/>
            <w:rFonts w:eastAsiaTheme="majorEastAsia"/>
            <w:sz w:val="22"/>
            <w:szCs w:val="22"/>
          </w:rPr>
          <w:t>Andris.Mellakauls@km.gov.lv</w:t>
        </w:r>
      </w:hyperlink>
    </w:p>
    <w:sectPr w:rsidR="00D27A5A" w:rsidRPr="00FC5344" w:rsidSect="00CE0996">
      <w:headerReference w:type="even" r:id="rId13"/>
      <w:headerReference w:type="default" r:id="rId14"/>
      <w:footerReference w:type="default" r:id="rId15"/>
      <w:footerReference w:type="first" r:id="rId16"/>
      <w:pgSz w:w="11906" w:h="16838" w:code="9"/>
      <w:pgMar w:top="1276"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908" w:rsidRDefault="000F1908">
      <w:r>
        <w:separator/>
      </w:r>
    </w:p>
  </w:endnote>
  <w:endnote w:type="continuationSeparator" w:id="0">
    <w:p w:rsidR="000F1908" w:rsidRDefault="000F19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908" w:rsidRPr="00D27A5A" w:rsidRDefault="000F1908" w:rsidP="00D27A5A">
    <w:pPr>
      <w:pStyle w:val="Kjene"/>
      <w:jc w:val="both"/>
      <w:rPr>
        <w:sz w:val="22"/>
        <w:szCs w:val="22"/>
      </w:rPr>
    </w:pPr>
    <w:bookmarkStart w:id="5" w:name="OLE_LINK6"/>
    <w:bookmarkStart w:id="6" w:name="OLE_LINK7"/>
    <w:r w:rsidRPr="00D27A5A">
      <w:rPr>
        <w:sz w:val="22"/>
        <w:szCs w:val="22"/>
      </w:rPr>
      <w:t>KMA</w:t>
    </w:r>
    <w:r w:rsidR="00CA41A5">
      <w:rPr>
        <w:sz w:val="22"/>
        <w:szCs w:val="22"/>
      </w:rPr>
      <w:t>not_3</w:t>
    </w:r>
    <w:r>
      <w:rPr>
        <w:sz w:val="22"/>
        <w:szCs w:val="22"/>
      </w:rPr>
      <w:t>1</w:t>
    </w:r>
    <w:r w:rsidRPr="00D27A5A">
      <w:rPr>
        <w:sz w:val="22"/>
        <w:szCs w:val="22"/>
      </w:rPr>
      <w:t>0</w:t>
    </w:r>
    <w:r w:rsidR="00CA41A5">
      <w:rPr>
        <w:sz w:val="22"/>
        <w:szCs w:val="22"/>
      </w:rPr>
      <w:t>7</w:t>
    </w:r>
    <w:r w:rsidRPr="00D27A5A">
      <w:rPr>
        <w:sz w:val="22"/>
        <w:szCs w:val="22"/>
      </w:rPr>
      <w:t>14_VSS-505</w:t>
    </w:r>
    <w:bookmarkEnd w:id="5"/>
    <w:bookmarkEnd w:id="6"/>
    <w:r w:rsidRPr="00D27A5A">
      <w:rPr>
        <w:sz w:val="22"/>
        <w:szCs w:val="22"/>
      </w:rPr>
      <w:t>; Ministru kabineta noteikumu projekta „Grozījumi Ministru kabineta 2003.gada 29.aprīļa noteikumos Nr.241 „Kultūras ministrijas nolikums””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908" w:rsidRPr="00D27A5A" w:rsidRDefault="000F1908" w:rsidP="00F961AE">
    <w:pPr>
      <w:pStyle w:val="Kjene"/>
      <w:jc w:val="both"/>
      <w:rPr>
        <w:sz w:val="22"/>
        <w:szCs w:val="22"/>
      </w:rPr>
    </w:pPr>
    <w:r w:rsidRPr="00D27A5A">
      <w:rPr>
        <w:sz w:val="22"/>
        <w:szCs w:val="22"/>
      </w:rPr>
      <w:t>KMAnot_</w:t>
    </w:r>
    <w:r w:rsidR="00CA41A5">
      <w:rPr>
        <w:sz w:val="22"/>
        <w:szCs w:val="22"/>
      </w:rPr>
      <w:t>3</w:t>
    </w:r>
    <w:r w:rsidRPr="00D27A5A">
      <w:rPr>
        <w:sz w:val="22"/>
        <w:szCs w:val="22"/>
      </w:rPr>
      <w:t>10</w:t>
    </w:r>
    <w:r w:rsidR="00CA41A5">
      <w:rPr>
        <w:sz w:val="22"/>
        <w:szCs w:val="22"/>
      </w:rPr>
      <w:t>7</w:t>
    </w:r>
    <w:r w:rsidRPr="00D27A5A">
      <w:rPr>
        <w:sz w:val="22"/>
        <w:szCs w:val="22"/>
      </w:rPr>
      <w:t>14_VSS-505; Ministru kabineta noteikumu projekta „Grozījumi Ministru kabineta 2003.gada 29.aprīļa noteikumos Nr.241 „Kultūras ministrijas nolikums””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908" w:rsidRDefault="000F1908">
      <w:r>
        <w:separator/>
      </w:r>
    </w:p>
  </w:footnote>
  <w:footnote w:type="continuationSeparator" w:id="0">
    <w:p w:rsidR="000F1908" w:rsidRDefault="000F1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908" w:rsidRDefault="003423E2" w:rsidP="003C449B">
    <w:pPr>
      <w:pStyle w:val="Galvene"/>
      <w:framePr w:wrap="around" w:vAnchor="text" w:hAnchor="margin" w:xAlign="center" w:y="1"/>
      <w:rPr>
        <w:rStyle w:val="Lappusesnumurs"/>
      </w:rPr>
    </w:pPr>
    <w:r>
      <w:rPr>
        <w:rStyle w:val="Lappusesnumurs"/>
      </w:rPr>
      <w:fldChar w:fldCharType="begin"/>
    </w:r>
    <w:r w:rsidR="000F1908">
      <w:rPr>
        <w:rStyle w:val="Lappusesnumurs"/>
      </w:rPr>
      <w:instrText xml:space="preserve">PAGE  </w:instrText>
    </w:r>
    <w:r>
      <w:rPr>
        <w:rStyle w:val="Lappusesnumurs"/>
      </w:rPr>
      <w:fldChar w:fldCharType="end"/>
    </w:r>
  </w:p>
  <w:p w:rsidR="000F1908" w:rsidRDefault="000F190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908" w:rsidRPr="00D27A5A" w:rsidRDefault="003423E2" w:rsidP="003C449B">
    <w:pPr>
      <w:pStyle w:val="Galvene"/>
      <w:framePr w:wrap="around" w:vAnchor="text" w:hAnchor="margin" w:xAlign="center" w:y="1"/>
      <w:rPr>
        <w:rStyle w:val="Lappusesnumurs"/>
        <w:sz w:val="22"/>
        <w:szCs w:val="22"/>
      </w:rPr>
    </w:pPr>
    <w:r w:rsidRPr="00D27A5A">
      <w:rPr>
        <w:rStyle w:val="Lappusesnumurs"/>
        <w:sz w:val="22"/>
        <w:szCs w:val="22"/>
      </w:rPr>
      <w:fldChar w:fldCharType="begin"/>
    </w:r>
    <w:r w:rsidR="000F1908" w:rsidRPr="00D27A5A">
      <w:rPr>
        <w:rStyle w:val="Lappusesnumurs"/>
        <w:sz w:val="22"/>
        <w:szCs w:val="22"/>
      </w:rPr>
      <w:instrText xml:space="preserve">PAGE  </w:instrText>
    </w:r>
    <w:r w:rsidRPr="00D27A5A">
      <w:rPr>
        <w:rStyle w:val="Lappusesnumurs"/>
        <w:sz w:val="22"/>
        <w:szCs w:val="22"/>
      </w:rPr>
      <w:fldChar w:fldCharType="separate"/>
    </w:r>
    <w:r w:rsidR="00CA41A5">
      <w:rPr>
        <w:rStyle w:val="Lappusesnumurs"/>
        <w:noProof/>
        <w:sz w:val="22"/>
        <w:szCs w:val="22"/>
      </w:rPr>
      <w:t>16</w:t>
    </w:r>
    <w:r w:rsidRPr="00D27A5A">
      <w:rPr>
        <w:rStyle w:val="Lappusesnumurs"/>
        <w:sz w:val="22"/>
        <w:szCs w:val="22"/>
      </w:rPr>
      <w:fldChar w:fldCharType="end"/>
    </w:r>
  </w:p>
  <w:p w:rsidR="000F1908" w:rsidRDefault="000F190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2249A4"/>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566807"/>
    <w:multiLevelType w:val="hybridMultilevel"/>
    <w:tmpl w:val="6834F6BE"/>
    <w:lvl w:ilvl="0" w:tplc="7BF60DE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9A42407"/>
    <w:multiLevelType w:val="hybridMultilevel"/>
    <w:tmpl w:val="774E8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3B611E2"/>
    <w:multiLevelType w:val="hybridMultilevel"/>
    <w:tmpl w:val="03B21740"/>
    <w:lvl w:ilvl="0" w:tplc="7BF60DE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3495654D"/>
    <w:multiLevelType w:val="hybridMultilevel"/>
    <w:tmpl w:val="304E8F9E"/>
    <w:lvl w:ilvl="0" w:tplc="7BF60DE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F990300"/>
    <w:multiLevelType w:val="hybridMultilevel"/>
    <w:tmpl w:val="F43A0D7A"/>
    <w:lvl w:ilvl="0" w:tplc="10CA78FC">
      <w:start w:val="3"/>
      <w:numFmt w:val="bullet"/>
      <w:lvlText w:val="-"/>
      <w:lvlJc w:val="left"/>
      <w:pPr>
        <w:ind w:left="1080" w:hanging="360"/>
      </w:pPr>
      <w:rPr>
        <w:rFonts w:ascii="Times New Roman" w:eastAsia="Courier New"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E636FB4"/>
    <w:multiLevelType w:val="hybridMultilevel"/>
    <w:tmpl w:val="63BEEAC8"/>
    <w:lvl w:ilvl="0" w:tplc="029468A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596C5DA9"/>
    <w:multiLevelType w:val="hybridMultilevel"/>
    <w:tmpl w:val="429A74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6811D2D"/>
    <w:multiLevelType w:val="hybridMultilevel"/>
    <w:tmpl w:val="5678C5E8"/>
    <w:lvl w:ilvl="0" w:tplc="FE98CD0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4FE0607"/>
    <w:multiLevelType w:val="hybridMultilevel"/>
    <w:tmpl w:val="E7D2E246"/>
    <w:lvl w:ilvl="0" w:tplc="7BF60DE8">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7"/>
  </w:num>
  <w:num w:numId="2">
    <w:abstractNumId w:val="23"/>
  </w:num>
  <w:num w:numId="3">
    <w:abstractNumId w:val="4"/>
  </w:num>
  <w:num w:numId="4">
    <w:abstractNumId w:val="2"/>
  </w:num>
  <w:num w:numId="5">
    <w:abstractNumId w:val="1"/>
  </w:num>
  <w:num w:numId="6">
    <w:abstractNumId w:val="18"/>
  </w:num>
  <w:num w:numId="7">
    <w:abstractNumId w:val="24"/>
  </w:num>
  <w:num w:numId="8">
    <w:abstractNumId w:val="14"/>
  </w:num>
  <w:num w:numId="9">
    <w:abstractNumId w:val="3"/>
  </w:num>
  <w:num w:numId="10">
    <w:abstractNumId w:val="15"/>
  </w:num>
  <w:num w:numId="11">
    <w:abstractNumId w:val="16"/>
  </w:num>
  <w:num w:numId="12">
    <w:abstractNumId w:val="19"/>
  </w:num>
  <w:num w:numId="13">
    <w:abstractNumId w:val="22"/>
  </w:num>
  <w:num w:numId="14">
    <w:abstractNumId w:val="0"/>
  </w:num>
  <w:num w:numId="15">
    <w:abstractNumId w:val="8"/>
  </w:num>
  <w:num w:numId="16">
    <w:abstractNumId w:val="10"/>
  </w:num>
  <w:num w:numId="17">
    <w:abstractNumId w:val="21"/>
  </w:num>
  <w:num w:numId="18">
    <w:abstractNumId w:val="6"/>
  </w:num>
  <w:num w:numId="19">
    <w:abstractNumId w:val="9"/>
  </w:num>
  <w:num w:numId="20">
    <w:abstractNumId w:val="17"/>
  </w:num>
  <w:num w:numId="21">
    <w:abstractNumId w:val="13"/>
  </w:num>
  <w:num w:numId="22">
    <w:abstractNumId w:val="11"/>
  </w:num>
  <w:num w:numId="23">
    <w:abstractNumId w:val="5"/>
  </w:num>
  <w:num w:numId="24">
    <w:abstractNumId w:val="26"/>
  </w:num>
  <w:num w:numId="25">
    <w:abstractNumId w:val="12"/>
  </w:num>
  <w:num w:numId="26">
    <w:abstractNumId w:val="20"/>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0537"/>
    <w:rsid w:val="0000308F"/>
    <w:rsid w:val="00003517"/>
    <w:rsid w:val="00005687"/>
    <w:rsid w:val="0000641C"/>
    <w:rsid w:val="00011C00"/>
    <w:rsid w:val="00011D24"/>
    <w:rsid w:val="00012BEC"/>
    <w:rsid w:val="00013FF4"/>
    <w:rsid w:val="00015213"/>
    <w:rsid w:val="00017EAF"/>
    <w:rsid w:val="00020FE1"/>
    <w:rsid w:val="00022E13"/>
    <w:rsid w:val="0002627A"/>
    <w:rsid w:val="00026323"/>
    <w:rsid w:val="00027394"/>
    <w:rsid w:val="00032388"/>
    <w:rsid w:val="000347CE"/>
    <w:rsid w:val="0003506F"/>
    <w:rsid w:val="00035CE2"/>
    <w:rsid w:val="00035DDF"/>
    <w:rsid w:val="00037AB9"/>
    <w:rsid w:val="00037DAC"/>
    <w:rsid w:val="00041E1E"/>
    <w:rsid w:val="00053EE5"/>
    <w:rsid w:val="0005553B"/>
    <w:rsid w:val="00057196"/>
    <w:rsid w:val="000604D2"/>
    <w:rsid w:val="00061587"/>
    <w:rsid w:val="00065241"/>
    <w:rsid w:val="00066324"/>
    <w:rsid w:val="000675A9"/>
    <w:rsid w:val="00070BB4"/>
    <w:rsid w:val="00070D7A"/>
    <w:rsid w:val="00074B12"/>
    <w:rsid w:val="00080AD1"/>
    <w:rsid w:val="00081E26"/>
    <w:rsid w:val="00086CA5"/>
    <w:rsid w:val="0009005E"/>
    <w:rsid w:val="00090657"/>
    <w:rsid w:val="00090BFB"/>
    <w:rsid w:val="00090DFB"/>
    <w:rsid w:val="00093122"/>
    <w:rsid w:val="00093389"/>
    <w:rsid w:val="000941C5"/>
    <w:rsid w:val="00095903"/>
    <w:rsid w:val="0009606B"/>
    <w:rsid w:val="000971F9"/>
    <w:rsid w:val="00097549"/>
    <w:rsid w:val="000A1511"/>
    <w:rsid w:val="000A2D5B"/>
    <w:rsid w:val="000A4BB8"/>
    <w:rsid w:val="000A6181"/>
    <w:rsid w:val="000A6451"/>
    <w:rsid w:val="000B064E"/>
    <w:rsid w:val="000B0C7C"/>
    <w:rsid w:val="000B69CF"/>
    <w:rsid w:val="000B7357"/>
    <w:rsid w:val="000C1E30"/>
    <w:rsid w:val="000C5398"/>
    <w:rsid w:val="000C6DD5"/>
    <w:rsid w:val="000C788D"/>
    <w:rsid w:val="000C790C"/>
    <w:rsid w:val="000C7EE8"/>
    <w:rsid w:val="000D1A1A"/>
    <w:rsid w:val="000D2286"/>
    <w:rsid w:val="000D3AED"/>
    <w:rsid w:val="000D452C"/>
    <w:rsid w:val="000D5A7F"/>
    <w:rsid w:val="000E0375"/>
    <w:rsid w:val="000E6A1E"/>
    <w:rsid w:val="000E6C45"/>
    <w:rsid w:val="000F061D"/>
    <w:rsid w:val="000F1908"/>
    <w:rsid w:val="000F1982"/>
    <w:rsid w:val="000F4794"/>
    <w:rsid w:val="00100EF9"/>
    <w:rsid w:val="001010FC"/>
    <w:rsid w:val="00102C2B"/>
    <w:rsid w:val="00103CCD"/>
    <w:rsid w:val="00105059"/>
    <w:rsid w:val="00115838"/>
    <w:rsid w:val="00117E30"/>
    <w:rsid w:val="00124F12"/>
    <w:rsid w:val="001347F7"/>
    <w:rsid w:val="001405CC"/>
    <w:rsid w:val="00141024"/>
    <w:rsid w:val="001417B4"/>
    <w:rsid w:val="00141D8A"/>
    <w:rsid w:val="0014222F"/>
    <w:rsid w:val="00142604"/>
    <w:rsid w:val="00144E3A"/>
    <w:rsid w:val="00146F25"/>
    <w:rsid w:val="0015060C"/>
    <w:rsid w:val="00151D26"/>
    <w:rsid w:val="00155FF1"/>
    <w:rsid w:val="0015704A"/>
    <w:rsid w:val="001573BF"/>
    <w:rsid w:val="0016018A"/>
    <w:rsid w:val="00161F0E"/>
    <w:rsid w:val="00164EA6"/>
    <w:rsid w:val="00165B11"/>
    <w:rsid w:val="0016694B"/>
    <w:rsid w:val="0016758D"/>
    <w:rsid w:val="001679AF"/>
    <w:rsid w:val="00170E2A"/>
    <w:rsid w:val="001713F3"/>
    <w:rsid w:val="001717AD"/>
    <w:rsid w:val="00177394"/>
    <w:rsid w:val="00182179"/>
    <w:rsid w:val="00182C18"/>
    <w:rsid w:val="00183CC2"/>
    <w:rsid w:val="001900E4"/>
    <w:rsid w:val="00190F88"/>
    <w:rsid w:val="001917DF"/>
    <w:rsid w:val="001926C8"/>
    <w:rsid w:val="00192DDB"/>
    <w:rsid w:val="00197064"/>
    <w:rsid w:val="001A2E25"/>
    <w:rsid w:val="001A4066"/>
    <w:rsid w:val="001A6AE4"/>
    <w:rsid w:val="001A769D"/>
    <w:rsid w:val="001B01FD"/>
    <w:rsid w:val="001B4A71"/>
    <w:rsid w:val="001B6D4E"/>
    <w:rsid w:val="001C612F"/>
    <w:rsid w:val="001D08EC"/>
    <w:rsid w:val="001D166B"/>
    <w:rsid w:val="001D1780"/>
    <w:rsid w:val="001D390F"/>
    <w:rsid w:val="001D5B54"/>
    <w:rsid w:val="001D6556"/>
    <w:rsid w:val="001D74DB"/>
    <w:rsid w:val="001D79C3"/>
    <w:rsid w:val="001E1DBF"/>
    <w:rsid w:val="001E3070"/>
    <w:rsid w:val="001E4639"/>
    <w:rsid w:val="001E4A7D"/>
    <w:rsid w:val="001F4209"/>
    <w:rsid w:val="001F43A8"/>
    <w:rsid w:val="001F5CD6"/>
    <w:rsid w:val="00200CC7"/>
    <w:rsid w:val="00202D9C"/>
    <w:rsid w:val="00204489"/>
    <w:rsid w:val="0020487F"/>
    <w:rsid w:val="00206600"/>
    <w:rsid w:val="0020681D"/>
    <w:rsid w:val="00210D0B"/>
    <w:rsid w:val="0021263D"/>
    <w:rsid w:val="00213F0C"/>
    <w:rsid w:val="00214094"/>
    <w:rsid w:val="0021592D"/>
    <w:rsid w:val="00215A98"/>
    <w:rsid w:val="00222D76"/>
    <w:rsid w:val="00223096"/>
    <w:rsid w:val="00223507"/>
    <w:rsid w:val="00223EB1"/>
    <w:rsid w:val="002257D7"/>
    <w:rsid w:val="002259E6"/>
    <w:rsid w:val="00231344"/>
    <w:rsid w:val="00233198"/>
    <w:rsid w:val="0023436E"/>
    <w:rsid w:val="002347C0"/>
    <w:rsid w:val="00241811"/>
    <w:rsid w:val="00241A6C"/>
    <w:rsid w:val="0024252D"/>
    <w:rsid w:val="00242D2B"/>
    <w:rsid w:val="002450BD"/>
    <w:rsid w:val="00246C47"/>
    <w:rsid w:val="00247D3C"/>
    <w:rsid w:val="00250B39"/>
    <w:rsid w:val="00251ADB"/>
    <w:rsid w:val="00252AAD"/>
    <w:rsid w:val="002542DA"/>
    <w:rsid w:val="00262E2B"/>
    <w:rsid w:val="002640EA"/>
    <w:rsid w:val="00270429"/>
    <w:rsid w:val="002723E9"/>
    <w:rsid w:val="00274C70"/>
    <w:rsid w:val="00277929"/>
    <w:rsid w:val="002818DF"/>
    <w:rsid w:val="002820A2"/>
    <w:rsid w:val="002824DE"/>
    <w:rsid w:val="00283255"/>
    <w:rsid w:val="00283B82"/>
    <w:rsid w:val="002846E9"/>
    <w:rsid w:val="00284C34"/>
    <w:rsid w:val="0029066C"/>
    <w:rsid w:val="00291A4D"/>
    <w:rsid w:val="00294B19"/>
    <w:rsid w:val="00297969"/>
    <w:rsid w:val="002A3592"/>
    <w:rsid w:val="002A3E3E"/>
    <w:rsid w:val="002A50A8"/>
    <w:rsid w:val="002B04AE"/>
    <w:rsid w:val="002B0982"/>
    <w:rsid w:val="002B10D4"/>
    <w:rsid w:val="002B16F3"/>
    <w:rsid w:val="002B50DB"/>
    <w:rsid w:val="002C10A7"/>
    <w:rsid w:val="002C12AB"/>
    <w:rsid w:val="002C279D"/>
    <w:rsid w:val="002C5C60"/>
    <w:rsid w:val="002C69D8"/>
    <w:rsid w:val="002C7CAC"/>
    <w:rsid w:val="002D3248"/>
    <w:rsid w:val="002D3306"/>
    <w:rsid w:val="002D3418"/>
    <w:rsid w:val="002D4244"/>
    <w:rsid w:val="002D48AA"/>
    <w:rsid w:val="002D7875"/>
    <w:rsid w:val="002D7BAA"/>
    <w:rsid w:val="002D7DC7"/>
    <w:rsid w:val="002D7F54"/>
    <w:rsid w:val="002E37E7"/>
    <w:rsid w:val="002E3FF4"/>
    <w:rsid w:val="002E4126"/>
    <w:rsid w:val="002F3569"/>
    <w:rsid w:val="002F5FDC"/>
    <w:rsid w:val="002F7078"/>
    <w:rsid w:val="002F759C"/>
    <w:rsid w:val="002F78C8"/>
    <w:rsid w:val="003006CA"/>
    <w:rsid w:val="0030175A"/>
    <w:rsid w:val="00301CF3"/>
    <w:rsid w:val="003032C1"/>
    <w:rsid w:val="00303AC1"/>
    <w:rsid w:val="00303F8C"/>
    <w:rsid w:val="003040EA"/>
    <w:rsid w:val="00306656"/>
    <w:rsid w:val="00307033"/>
    <w:rsid w:val="0031072D"/>
    <w:rsid w:val="0031794B"/>
    <w:rsid w:val="00321247"/>
    <w:rsid w:val="00325991"/>
    <w:rsid w:val="003260C1"/>
    <w:rsid w:val="003266BB"/>
    <w:rsid w:val="0032715C"/>
    <w:rsid w:val="00327714"/>
    <w:rsid w:val="0032783A"/>
    <w:rsid w:val="00334E28"/>
    <w:rsid w:val="003354C3"/>
    <w:rsid w:val="003359A9"/>
    <w:rsid w:val="003369B8"/>
    <w:rsid w:val="00336B3B"/>
    <w:rsid w:val="00337CA5"/>
    <w:rsid w:val="003423E2"/>
    <w:rsid w:val="0034270B"/>
    <w:rsid w:val="00351F16"/>
    <w:rsid w:val="00353DF9"/>
    <w:rsid w:val="00362478"/>
    <w:rsid w:val="00363EF3"/>
    <w:rsid w:val="003667AD"/>
    <w:rsid w:val="00373259"/>
    <w:rsid w:val="00374756"/>
    <w:rsid w:val="00375B25"/>
    <w:rsid w:val="00377007"/>
    <w:rsid w:val="003807FF"/>
    <w:rsid w:val="0038132C"/>
    <w:rsid w:val="003878A9"/>
    <w:rsid w:val="00390D8B"/>
    <w:rsid w:val="00391DC7"/>
    <w:rsid w:val="00396542"/>
    <w:rsid w:val="0039685B"/>
    <w:rsid w:val="003A31A6"/>
    <w:rsid w:val="003A3C61"/>
    <w:rsid w:val="003A614A"/>
    <w:rsid w:val="003A6A3C"/>
    <w:rsid w:val="003A7F0C"/>
    <w:rsid w:val="003A7F79"/>
    <w:rsid w:val="003B426E"/>
    <w:rsid w:val="003B6404"/>
    <w:rsid w:val="003B67A2"/>
    <w:rsid w:val="003B6BD1"/>
    <w:rsid w:val="003B787E"/>
    <w:rsid w:val="003C1635"/>
    <w:rsid w:val="003C31ED"/>
    <w:rsid w:val="003C35C6"/>
    <w:rsid w:val="003C449B"/>
    <w:rsid w:val="003C6409"/>
    <w:rsid w:val="003D21FF"/>
    <w:rsid w:val="003D357A"/>
    <w:rsid w:val="003D698A"/>
    <w:rsid w:val="003E6326"/>
    <w:rsid w:val="003F0112"/>
    <w:rsid w:val="003F071A"/>
    <w:rsid w:val="003F160B"/>
    <w:rsid w:val="003F1E50"/>
    <w:rsid w:val="003F43DA"/>
    <w:rsid w:val="003F4D77"/>
    <w:rsid w:val="003F7754"/>
    <w:rsid w:val="00400032"/>
    <w:rsid w:val="00400B5B"/>
    <w:rsid w:val="00405043"/>
    <w:rsid w:val="004056ED"/>
    <w:rsid w:val="00405A00"/>
    <w:rsid w:val="00410246"/>
    <w:rsid w:val="00413396"/>
    <w:rsid w:val="004179DE"/>
    <w:rsid w:val="00420870"/>
    <w:rsid w:val="004226C4"/>
    <w:rsid w:val="004268F6"/>
    <w:rsid w:val="00427C10"/>
    <w:rsid w:val="00432422"/>
    <w:rsid w:val="00432D0C"/>
    <w:rsid w:val="0043791B"/>
    <w:rsid w:val="00440FC7"/>
    <w:rsid w:val="00441187"/>
    <w:rsid w:val="00441483"/>
    <w:rsid w:val="00441BCB"/>
    <w:rsid w:val="0045176A"/>
    <w:rsid w:val="0045202F"/>
    <w:rsid w:val="0045296A"/>
    <w:rsid w:val="00456332"/>
    <w:rsid w:val="00456663"/>
    <w:rsid w:val="00456A48"/>
    <w:rsid w:val="004578BE"/>
    <w:rsid w:val="0046042D"/>
    <w:rsid w:val="00461826"/>
    <w:rsid w:val="00467DD9"/>
    <w:rsid w:val="004704CE"/>
    <w:rsid w:val="00471D96"/>
    <w:rsid w:val="0047358D"/>
    <w:rsid w:val="00475AF2"/>
    <w:rsid w:val="00475C55"/>
    <w:rsid w:val="00477709"/>
    <w:rsid w:val="00477962"/>
    <w:rsid w:val="004800F9"/>
    <w:rsid w:val="0048455B"/>
    <w:rsid w:val="00486FDD"/>
    <w:rsid w:val="0049134A"/>
    <w:rsid w:val="00491694"/>
    <w:rsid w:val="004918A5"/>
    <w:rsid w:val="004942C6"/>
    <w:rsid w:val="00497D80"/>
    <w:rsid w:val="004A58CB"/>
    <w:rsid w:val="004B1795"/>
    <w:rsid w:val="004B56DD"/>
    <w:rsid w:val="004B5B0C"/>
    <w:rsid w:val="004B73E9"/>
    <w:rsid w:val="004C020F"/>
    <w:rsid w:val="004C071A"/>
    <w:rsid w:val="004C1AFD"/>
    <w:rsid w:val="004C49D2"/>
    <w:rsid w:val="004C558B"/>
    <w:rsid w:val="004C7A0E"/>
    <w:rsid w:val="004D4459"/>
    <w:rsid w:val="004D492F"/>
    <w:rsid w:val="004D526B"/>
    <w:rsid w:val="004D564C"/>
    <w:rsid w:val="004D5C7F"/>
    <w:rsid w:val="004E2E8D"/>
    <w:rsid w:val="004E419B"/>
    <w:rsid w:val="004E6B86"/>
    <w:rsid w:val="004F1F88"/>
    <w:rsid w:val="004F304C"/>
    <w:rsid w:val="004F5F1B"/>
    <w:rsid w:val="00500DE7"/>
    <w:rsid w:val="00502374"/>
    <w:rsid w:val="005026E7"/>
    <w:rsid w:val="005037C5"/>
    <w:rsid w:val="005060A1"/>
    <w:rsid w:val="00506F1D"/>
    <w:rsid w:val="00507DBE"/>
    <w:rsid w:val="0051005B"/>
    <w:rsid w:val="005156F3"/>
    <w:rsid w:val="00516072"/>
    <w:rsid w:val="0052126B"/>
    <w:rsid w:val="00522B6A"/>
    <w:rsid w:val="005248F7"/>
    <w:rsid w:val="00527517"/>
    <w:rsid w:val="00530649"/>
    <w:rsid w:val="0053070D"/>
    <w:rsid w:val="00531247"/>
    <w:rsid w:val="00531404"/>
    <w:rsid w:val="005332EC"/>
    <w:rsid w:val="00534418"/>
    <w:rsid w:val="005353AB"/>
    <w:rsid w:val="00535E98"/>
    <w:rsid w:val="0054143A"/>
    <w:rsid w:val="00544B06"/>
    <w:rsid w:val="005542A6"/>
    <w:rsid w:val="00554F08"/>
    <w:rsid w:val="00555391"/>
    <w:rsid w:val="005560BC"/>
    <w:rsid w:val="005561EF"/>
    <w:rsid w:val="005573BE"/>
    <w:rsid w:val="00561D6A"/>
    <w:rsid w:val="00562633"/>
    <w:rsid w:val="00563BA4"/>
    <w:rsid w:val="00572700"/>
    <w:rsid w:val="005739B0"/>
    <w:rsid w:val="00580468"/>
    <w:rsid w:val="00582231"/>
    <w:rsid w:val="00583F9F"/>
    <w:rsid w:val="0058603B"/>
    <w:rsid w:val="00594229"/>
    <w:rsid w:val="0059431B"/>
    <w:rsid w:val="005A38C3"/>
    <w:rsid w:val="005A39CC"/>
    <w:rsid w:val="005A44ED"/>
    <w:rsid w:val="005A6055"/>
    <w:rsid w:val="005A792F"/>
    <w:rsid w:val="005B0D8F"/>
    <w:rsid w:val="005B2589"/>
    <w:rsid w:val="005B30D3"/>
    <w:rsid w:val="005B3F18"/>
    <w:rsid w:val="005B4730"/>
    <w:rsid w:val="005C0006"/>
    <w:rsid w:val="005C1119"/>
    <w:rsid w:val="005C6979"/>
    <w:rsid w:val="005D4C33"/>
    <w:rsid w:val="005D58E2"/>
    <w:rsid w:val="005E05D7"/>
    <w:rsid w:val="005E1B7C"/>
    <w:rsid w:val="005E41E7"/>
    <w:rsid w:val="005E450F"/>
    <w:rsid w:val="005F0C0D"/>
    <w:rsid w:val="005F126D"/>
    <w:rsid w:val="005F3D9B"/>
    <w:rsid w:val="005F43FE"/>
    <w:rsid w:val="005F5FD1"/>
    <w:rsid w:val="00606AD9"/>
    <w:rsid w:val="006135BC"/>
    <w:rsid w:val="006159DB"/>
    <w:rsid w:val="00615AFE"/>
    <w:rsid w:val="006161B7"/>
    <w:rsid w:val="00616C55"/>
    <w:rsid w:val="0062298A"/>
    <w:rsid w:val="00622BB8"/>
    <w:rsid w:val="00624C76"/>
    <w:rsid w:val="00625C4A"/>
    <w:rsid w:val="00626514"/>
    <w:rsid w:val="00626589"/>
    <w:rsid w:val="00627C9A"/>
    <w:rsid w:val="00630F37"/>
    <w:rsid w:val="00632064"/>
    <w:rsid w:val="006339A0"/>
    <w:rsid w:val="00634F7B"/>
    <w:rsid w:val="00637F83"/>
    <w:rsid w:val="00640460"/>
    <w:rsid w:val="006408AC"/>
    <w:rsid w:val="006413A8"/>
    <w:rsid w:val="00641ECC"/>
    <w:rsid w:val="00642E56"/>
    <w:rsid w:val="00644238"/>
    <w:rsid w:val="006447FA"/>
    <w:rsid w:val="00651E00"/>
    <w:rsid w:val="006538D4"/>
    <w:rsid w:val="00655110"/>
    <w:rsid w:val="0066093B"/>
    <w:rsid w:val="00661D25"/>
    <w:rsid w:val="00664480"/>
    <w:rsid w:val="00670E3D"/>
    <w:rsid w:val="00671C01"/>
    <w:rsid w:val="00674572"/>
    <w:rsid w:val="00680CF2"/>
    <w:rsid w:val="00687763"/>
    <w:rsid w:val="00692B0D"/>
    <w:rsid w:val="00692E1D"/>
    <w:rsid w:val="00692ECD"/>
    <w:rsid w:val="00693C78"/>
    <w:rsid w:val="00693E0E"/>
    <w:rsid w:val="00694F09"/>
    <w:rsid w:val="00695A1E"/>
    <w:rsid w:val="00695BB7"/>
    <w:rsid w:val="006A086C"/>
    <w:rsid w:val="006A1AE3"/>
    <w:rsid w:val="006A596D"/>
    <w:rsid w:val="006A73C1"/>
    <w:rsid w:val="006B042F"/>
    <w:rsid w:val="006B37E9"/>
    <w:rsid w:val="006B6062"/>
    <w:rsid w:val="006C30E1"/>
    <w:rsid w:val="006C3DE1"/>
    <w:rsid w:val="006C4607"/>
    <w:rsid w:val="006D0440"/>
    <w:rsid w:val="006D0922"/>
    <w:rsid w:val="006D2766"/>
    <w:rsid w:val="006D45B8"/>
    <w:rsid w:val="006D48F1"/>
    <w:rsid w:val="006D7E24"/>
    <w:rsid w:val="006E3211"/>
    <w:rsid w:val="006E5AF5"/>
    <w:rsid w:val="006E5EE2"/>
    <w:rsid w:val="006F0F87"/>
    <w:rsid w:val="006F45BE"/>
    <w:rsid w:val="006F465A"/>
    <w:rsid w:val="006F75D4"/>
    <w:rsid w:val="007004FC"/>
    <w:rsid w:val="00706670"/>
    <w:rsid w:val="00710D2A"/>
    <w:rsid w:val="00711F59"/>
    <w:rsid w:val="00716DD7"/>
    <w:rsid w:val="00720739"/>
    <w:rsid w:val="007229D3"/>
    <w:rsid w:val="0072417C"/>
    <w:rsid w:val="007319F1"/>
    <w:rsid w:val="00733F4C"/>
    <w:rsid w:val="00734450"/>
    <w:rsid w:val="00741006"/>
    <w:rsid w:val="00745F67"/>
    <w:rsid w:val="0075039E"/>
    <w:rsid w:val="00751242"/>
    <w:rsid w:val="00752D9D"/>
    <w:rsid w:val="00754784"/>
    <w:rsid w:val="00757C6E"/>
    <w:rsid w:val="00762BDA"/>
    <w:rsid w:val="00765346"/>
    <w:rsid w:val="007665CF"/>
    <w:rsid w:val="007676EC"/>
    <w:rsid w:val="007736F1"/>
    <w:rsid w:val="00774997"/>
    <w:rsid w:val="00774AE2"/>
    <w:rsid w:val="007805FD"/>
    <w:rsid w:val="00783474"/>
    <w:rsid w:val="007839BC"/>
    <w:rsid w:val="00784422"/>
    <w:rsid w:val="00785924"/>
    <w:rsid w:val="0079000A"/>
    <w:rsid w:val="007918B6"/>
    <w:rsid w:val="00793C37"/>
    <w:rsid w:val="007964D6"/>
    <w:rsid w:val="00796DA2"/>
    <w:rsid w:val="007A2008"/>
    <w:rsid w:val="007A28B9"/>
    <w:rsid w:val="007A3846"/>
    <w:rsid w:val="007A3BCF"/>
    <w:rsid w:val="007A4E59"/>
    <w:rsid w:val="007A5B7B"/>
    <w:rsid w:val="007A66D8"/>
    <w:rsid w:val="007B056C"/>
    <w:rsid w:val="007B3B54"/>
    <w:rsid w:val="007B3FA0"/>
    <w:rsid w:val="007B4BC6"/>
    <w:rsid w:val="007C0F2C"/>
    <w:rsid w:val="007C2BCC"/>
    <w:rsid w:val="007C3032"/>
    <w:rsid w:val="007C35B2"/>
    <w:rsid w:val="007C4EF0"/>
    <w:rsid w:val="007D099D"/>
    <w:rsid w:val="007D1FFE"/>
    <w:rsid w:val="007D6D42"/>
    <w:rsid w:val="007D7BA1"/>
    <w:rsid w:val="007E2664"/>
    <w:rsid w:val="007E3ABF"/>
    <w:rsid w:val="007E44C5"/>
    <w:rsid w:val="007E466D"/>
    <w:rsid w:val="007E5200"/>
    <w:rsid w:val="007E5BFA"/>
    <w:rsid w:val="007E6689"/>
    <w:rsid w:val="007E731C"/>
    <w:rsid w:val="007F0A03"/>
    <w:rsid w:val="007F204C"/>
    <w:rsid w:val="007F2F05"/>
    <w:rsid w:val="007F7EAD"/>
    <w:rsid w:val="00801BB4"/>
    <w:rsid w:val="00810040"/>
    <w:rsid w:val="008201D2"/>
    <w:rsid w:val="0082023A"/>
    <w:rsid w:val="00821A7A"/>
    <w:rsid w:val="00822977"/>
    <w:rsid w:val="008253F8"/>
    <w:rsid w:val="00826B74"/>
    <w:rsid w:val="00826C67"/>
    <w:rsid w:val="00826F98"/>
    <w:rsid w:val="008325E4"/>
    <w:rsid w:val="00832A2B"/>
    <w:rsid w:val="0083777F"/>
    <w:rsid w:val="00842B02"/>
    <w:rsid w:val="008433E8"/>
    <w:rsid w:val="00843A2D"/>
    <w:rsid w:val="00845811"/>
    <w:rsid w:val="00846994"/>
    <w:rsid w:val="00847023"/>
    <w:rsid w:val="00850451"/>
    <w:rsid w:val="00852042"/>
    <w:rsid w:val="008534C9"/>
    <w:rsid w:val="0085599D"/>
    <w:rsid w:val="00855FF4"/>
    <w:rsid w:val="00867F7A"/>
    <w:rsid w:val="0087510C"/>
    <w:rsid w:val="00877C10"/>
    <w:rsid w:val="00881B32"/>
    <w:rsid w:val="0088555A"/>
    <w:rsid w:val="00886A98"/>
    <w:rsid w:val="00890442"/>
    <w:rsid w:val="00890499"/>
    <w:rsid w:val="00891D5B"/>
    <w:rsid w:val="00893AF3"/>
    <w:rsid w:val="00893E73"/>
    <w:rsid w:val="008968D2"/>
    <w:rsid w:val="0089738E"/>
    <w:rsid w:val="008B4465"/>
    <w:rsid w:val="008B45A9"/>
    <w:rsid w:val="008B5FDB"/>
    <w:rsid w:val="008B6B16"/>
    <w:rsid w:val="008B76CF"/>
    <w:rsid w:val="008C2F07"/>
    <w:rsid w:val="008C50F4"/>
    <w:rsid w:val="008C5649"/>
    <w:rsid w:val="008D2EC0"/>
    <w:rsid w:val="008D3351"/>
    <w:rsid w:val="008E4384"/>
    <w:rsid w:val="008E44A2"/>
    <w:rsid w:val="008E697D"/>
    <w:rsid w:val="008F1A6E"/>
    <w:rsid w:val="008F444F"/>
    <w:rsid w:val="008F6857"/>
    <w:rsid w:val="00901859"/>
    <w:rsid w:val="0090267E"/>
    <w:rsid w:val="00903263"/>
    <w:rsid w:val="009032AB"/>
    <w:rsid w:val="00904019"/>
    <w:rsid w:val="00906A21"/>
    <w:rsid w:val="009079C3"/>
    <w:rsid w:val="00910462"/>
    <w:rsid w:val="009138FA"/>
    <w:rsid w:val="00915AB1"/>
    <w:rsid w:val="00917532"/>
    <w:rsid w:val="00917600"/>
    <w:rsid w:val="009202D1"/>
    <w:rsid w:val="00920E7B"/>
    <w:rsid w:val="009235BA"/>
    <w:rsid w:val="00923FF8"/>
    <w:rsid w:val="00924023"/>
    <w:rsid w:val="00924CE2"/>
    <w:rsid w:val="00925B9F"/>
    <w:rsid w:val="009309EB"/>
    <w:rsid w:val="00930ACA"/>
    <w:rsid w:val="00931AED"/>
    <w:rsid w:val="00931AEF"/>
    <w:rsid w:val="00941300"/>
    <w:rsid w:val="00945766"/>
    <w:rsid w:val="00946325"/>
    <w:rsid w:val="009476A3"/>
    <w:rsid w:val="0095334F"/>
    <w:rsid w:val="0095423D"/>
    <w:rsid w:val="00956C8B"/>
    <w:rsid w:val="009603C4"/>
    <w:rsid w:val="009656DE"/>
    <w:rsid w:val="00965897"/>
    <w:rsid w:val="0096765C"/>
    <w:rsid w:val="00967848"/>
    <w:rsid w:val="009714D2"/>
    <w:rsid w:val="009727E4"/>
    <w:rsid w:val="00981DA6"/>
    <w:rsid w:val="009864BB"/>
    <w:rsid w:val="0098773B"/>
    <w:rsid w:val="00987B16"/>
    <w:rsid w:val="0099258D"/>
    <w:rsid w:val="00992E99"/>
    <w:rsid w:val="009934C5"/>
    <w:rsid w:val="00994342"/>
    <w:rsid w:val="009945B8"/>
    <w:rsid w:val="00994C0F"/>
    <w:rsid w:val="009A0027"/>
    <w:rsid w:val="009A33ED"/>
    <w:rsid w:val="009B118C"/>
    <w:rsid w:val="009B22D7"/>
    <w:rsid w:val="009B23A7"/>
    <w:rsid w:val="009B2A92"/>
    <w:rsid w:val="009B4270"/>
    <w:rsid w:val="009B72ED"/>
    <w:rsid w:val="009C30E0"/>
    <w:rsid w:val="009C4ED5"/>
    <w:rsid w:val="009C5659"/>
    <w:rsid w:val="009C6DEB"/>
    <w:rsid w:val="009D27A6"/>
    <w:rsid w:val="009D4EF6"/>
    <w:rsid w:val="009D62BB"/>
    <w:rsid w:val="009D6504"/>
    <w:rsid w:val="009E12D7"/>
    <w:rsid w:val="009E159A"/>
    <w:rsid w:val="009E242E"/>
    <w:rsid w:val="009E4BD1"/>
    <w:rsid w:val="009E661A"/>
    <w:rsid w:val="009E6C0C"/>
    <w:rsid w:val="009F0513"/>
    <w:rsid w:val="009F1276"/>
    <w:rsid w:val="009F30B3"/>
    <w:rsid w:val="009F54A9"/>
    <w:rsid w:val="009F5710"/>
    <w:rsid w:val="009F7D7D"/>
    <w:rsid w:val="00A01B80"/>
    <w:rsid w:val="00A05E77"/>
    <w:rsid w:val="00A06077"/>
    <w:rsid w:val="00A06781"/>
    <w:rsid w:val="00A074C3"/>
    <w:rsid w:val="00A100ED"/>
    <w:rsid w:val="00A102CE"/>
    <w:rsid w:val="00A1367E"/>
    <w:rsid w:val="00A1509C"/>
    <w:rsid w:val="00A238AE"/>
    <w:rsid w:val="00A249B9"/>
    <w:rsid w:val="00A25311"/>
    <w:rsid w:val="00A26187"/>
    <w:rsid w:val="00A31F77"/>
    <w:rsid w:val="00A34260"/>
    <w:rsid w:val="00A40D39"/>
    <w:rsid w:val="00A41401"/>
    <w:rsid w:val="00A43390"/>
    <w:rsid w:val="00A513CA"/>
    <w:rsid w:val="00A51E31"/>
    <w:rsid w:val="00A523F9"/>
    <w:rsid w:val="00A6048E"/>
    <w:rsid w:val="00A646B1"/>
    <w:rsid w:val="00A648A4"/>
    <w:rsid w:val="00A65338"/>
    <w:rsid w:val="00A70CFD"/>
    <w:rsid w:val="00A72A0B"/>
    <w:rsid w:val="00A72CAB"/>
    <w:rsid w:val="00A73E94"/>
    <w:rsid w:val="00A73F73"/>
    <w:rsid w:val="00A77110"/>
    <w:rsid w:val="00A77DBB"/>
    <w:rsid w:val="00A77F80"/>
    <w:rsid w:val="00A81217"/>
    <w:rsid w:val="00A8123C"/>
    <w:rsid w:val="00A81E42"/>
    <w:rsid w:val="00A82F8D"/>
    <w:rsid w:val="00A864FE"/>
    <w:rsid w:val="00A86F41"/>
    <w:rsid w:val="00A8776B"/>
    <w:rsid w:val="00A87D04"/>
    <w:rsid w:val="00A950C5"/>
    <w:rsid w:val="00A95777"/>
    <w:rsid w:val="00AA16DE"/>
    <w:rsid w:val="00AA1BF0"/>
    <w:rsid w:val="00AA1D25"/>
    <w:rsid w:val="00AA2D6D"/>
    <w:rsid w:val="00AA2DBA"/>
    <w:rsid w:val="00AA3897"/>
    <w:rsid w:val="00AB2B1A"/>
    <w:rsid w:val="00AB397F"/>
    <w:rsid w:val="00AB5832"/>
    <w:rsid w:val="00AB62A6"/>
    <w:rsid w:val="00AC19C6"/>
    <w:rsid w:val="00AC38A1"/>
    <w:rsid w:val="00AC3A89"/>
    <w:rsid w:val="00AC4BDA"/>
    <w:rsid w:val="00AC51F2"/>
    <w:rsid w:val="00AD104F"/>
    <w:rsid w:val="00AD3269"/>
    <w:rsid w:val="00AD3936"/>
    <w:rsid w:val="00AD64BC"/>
    <w:rsid w:val="00AE0B4B"/>
    <w:rsid w:val="00AE5066"/>
    <w:rsid w:val="00AE5E24"/>
    <w:rsid w:val="00AE61B7"/>
    <w:rsid w:val="00AE6CBA"/>
    <w:rsid w:val="00AE79AD"/>
    <w:rsid w:val="00AF10B5"/>
    <w:rsid w:val="00AF2549"/>
    <w:rsid w:val="00AF35E4"/>
    <w:rsid w:val="00AF5CDE"/>
    <w:rsid w:val="00AF6A09"/>
    <w:rsid w:val="00B0163F"/>
    <w:rsid w:val="00B032F8"/>
    <w:rsid w:val="00B11A57"/>
    <w:rsid w:val="00B17191"/>
    <w:rsid w:val="00B20E60"/>
    <w:rsid w:val="00B211C3"/>
    <w:rsid w:val="00B25597"/>
    <w:rsid w:val="00B25658"/>
    <w:rsid w:val="00B267B9"/>
    <w:rsid w:val="00B336A7"/>
    <w:rsid w:val="00B33E09"/>
    <w:rsid w:val="00B40D37"/>
    <w:rsid w:val="00B4248B"/>
    <w:rsid w:val="00B45326"/>
    <w:rsid w:val="00B50708"/>
    <w:rsid w:val="00B50C68"/>
    <w:rsid w:val="00B51293"/>
    <w:rsid w:val="00B5179C"/>
    <w:rsid w:val="00B52488"/>
    <w:rsid w:val="00B52B1E"/>
    <w:rsid w:val="00B54828"/>
    <w:rsid w:val="00B55481"/>
    <w:rsid w:val="00B55F3A"/>
    <w:rsid w:val="00B56C32"/>
    <w:rsid w:val="00B56D61"/>
    <w:rsid w:val="00B57ACF"/>
    <w:rsid w:val="00B61E4D"/>
    <w:rsid w:val="00B629BB"/>
    <w:rsid w:val="00B64BB1"/>
    <w:rsid w:val="00B71DB3"/>
    <w:rsid w:val="00B7276F"/>
    <w:rsid w:val="00B73166"/>
    <w:rsid w:val="00B73D56"/>
    <w:rsid w:val="00B83705"/>
    <w:rsid w:val="00B8426C"/>
    <w:rsid w:val="00B84642"/>
    <w:rsid w:val="00B85104"/>
    <w:rsid w:val="00B86462"/>
    <w:rsid w:val="00B86A85"/>
    <w:rsid w:val="00B9193F"/>
    <w:rsid w:val="00B91B8D"/>
    <w:rsid w:val="00B946AE"/>
    <w:rsid w:val="00B94E90"/>
    <w:rsid w:val="00BA3918"/>
    <w:rsid w:val="00BA569A"/>
    <w:rsid w:val="00BA5C36"/>
    <w:rsid w:val="00BA64D3"/>
    <w:rsid w:val="00BA7CAD"/>
    <w:rsid w:val="00BB0A82"/>
    <w:rsid w:val="00BB4308"/>
    <w:rsid w:val="00BB7C94"/>
    <w:rsid w:val="00BC0A9D"/>
    <w:rsid w:val="00BC54D5"/>
    <w:rsid w:val="00BD02BB"/>
    <w:rsid w:val="00BD0F53"/>
    <w:rsid w:val="00BD3D8C"/>
    <w:rsid w:val="00BD494D"/>
    <w:rsid w:val="00BD4D26"/>
    <w:rsid w:val="00BD5A4C"/>
    <w:rsid w:val="00BD7A1F"/>
    <w:rsid w:val="00BE1763"/>
    <w:rsid w:val="00BE2DB3"/>
    <w:rsid w:val="00BE57AD"/>
    <w:rsid w:val="00BF028B"/>
    <w:rsid w:val="00BF40ED"/>
    <w:rsid w:val="00BF5BC2"/>
    <w:rsid w:val="00BF75BE"/>
    <w:rsid w:val="00C10939"/>
    <w:rsid w:val="00C109F4"/>
    <w:rsid w:val="00C10EA6"/>
    <w:rsid w:val="00C1133D"/>
    <w:rsid w:val="00C16414"/>
    <w:rsid w:val="00C1735C"/>
    <w:rsid w:val="00C27A08"/>
    <w:rsid w:val="00C27F40"/>
    <w:rsid w:val="00C30D77"/>
    <w:rsid w:val="00C31312"/>
    <w:rsid w:val="00C31693"/>
    <w:rsid w:val="00C31E36"/>
    <w:rsid w:val="00C326C6"/>
    <w:rsid w:val="00C32C2E"/>
    <w:rsid w:val="00C35295"/>
    <w:rsid w:val="00C368D6"/>
    <w:rsid w:val="00C36ADD"/>
    <w:rsid w:val="00C36E74"/>
    <w:rsid w:val="00C36F38"/>
    <w:rsid w:val="00C40595"/>
    <w:rsid w:val="00C41166"/>
    <w:rsid w:val="00C41621"/>
    <w:rsid w:val="00C41B7C"/>
    <w:rsid w:val="00C449FA"/>
    <w:rsid w:val="00C470C6"/>
    <w:rsid w:val="00C5384F"/>
    <w:rsid w:val="00C53D75"/>
    <w:rsid w:val="00C56964"/>
    <w:rsid w:val="00C656D5"/>
    <w:rsid w:val="00C67103"/>
    <w:rsid w:val="00C67E68"/>
    <w:rsid w:val="00C71BB9"/>
    <w:rsid w:val="00C736FB"/>
    <w:rsid w:val="00C7439D"/>
    <w:rsid w:val="00C74DEE"/>
    <w:rsid w:val="00C75FD9"/>
    <w:rsid w:val="00C82A12"/>
    <w:rsid w:val="00C83E7E"/>
    <w:rsid w:val="00C84F1C"/>
    <w:rsid w:val="00C87CE3"/>
    <w:rsid w:val="00C90D6E"/>
    <w:rsid w:val="00C931C5"/>
    <w:rsid w:val="00C945FA"/>
    <w:rsid w:val="00C9474A"/>
    <w:rsid w:val="00C94C28"/>
    <w:rsid w:val="00C94E97"/>
    <w:rsid w:val="00C95F30"/>
    <w:rsid w:val="00C9723F"/>
    <w:rsid w:val="00CA03AA"/>
    <w:rsid w:val="00CA15AA"/>
    <w:rsid w:val="00CA41A5"/>
    <w:rsid w:val="00CA6A2D"/>
    <w:rsid w:val="00CB0247"/>
    <w:rsid w:val="00CB0A64"/>
    <w:rsid w:val="00CB3440"/>
    <w:rsid w:val="00CB3FC2"/>
    <w:rsid w:val="00CB4084"/>
    <w:rsid w:val="00CB616A"/>
    <w:rsid w:val="00CB7EF9"/>
    <w:rsid w:val="00CC1692"/>
    <w:rsid w:val="00CC32E9"/>
    <w:rsid w:val="00CC7AC4"/>
    <w:rsid w:val="00CD138B"/>
    <w:rsid w:val="00CD2B21"/>
    <w:rsid w:val="00CD3E31"/>
    <w:rsid w:val="00CD52FC"/>
    <w:rsid w:val="00CD617D"/>
    <w:rsid w:val="00CD7117"/>
    <w:rsid w:val="00CD74A3"/>
    <w:rsid w:val="00CE0527"/>
    <w:rsid w:val="00CE0996"/>
    <w:rsid w:val="00CE1DEE"/>
    <w:rsid w:val="00CE27C5"/>
    <w:rsid w:val="00CE30D0"/>
    <w:rsid w:val="00CE5B23"/>
    <w:rsid w:val="00CE7F9D"/>
    <w:rsid w:val="00CF2486"/>
    <w:rsid w:val="00CF573B"/>
    <w:rsid w:val="00CF58A8"/>
    <w:rsid w:val="00CF70AD"/>
    <w:rsid w:val="00CF7729"/>
    <w:rsid w:val="00D00059"/>
    <w:rsid w:val="00D009CE"/>
    <w:rsid w:val="00D02F34"/>
    <w:rsid w:val="00D033E9"/>
    <w:rsid w:val="00D0487F"/>
    <w:rsid w:val="00D06BC9"/>
    <w:rsid w:val="00D07E96"/>
    <w:rsid w:val="00D107FA"/>
    <w:rsid w:val="00D11555"/>
    <w:rsid w:val="00D12275"/>
    <w:rsid w:val="00D12766"/>
    <w:rsid w:val="00D12AB6"/>
    <w:rsid w:val="00D13984"/>
    <w:rsid w:val="00D20E4E"/>
    <w:rsid w:val="00D20FF4"/>
    <w:rsid w:val="00D212D8"/>
    <w:rsid w:val="00D22B0E"/>
    <w:rsid w:val="00D24D2C"/>
    <w:rsid w:val="00D27A5A"/>
    <w:rsid w:val="00D32417"/>
    <w:rsid w:val="00D34B3F"/>
    <w:rsid w:val="00D35881"/>
    <w:rsid w:val="00D36916"/>
    <w:rsid w:val="00D426FB"/>
    <w:rsid w:val="00D42CF8"/>
    <w:rsid w:val="00D442BD"/>
    <w:rsid w:val="00D44A23"/>
    <w:rsid w:val="00D479AF"/>
    <w:rsid w:val="00D513D0"/>
    <w:rsid w:val="00D53C90"/>
    <w:rsid w:val="00D55399"/>
    <w:rsid w:val="00D55859"/>
    <w:rsid w:val="00D60A48"/>
    <w:rsid w:val="00D67002"/>
    <w:rsid w:val="00D71E21"/>
    <w:rsid w:val="00D73C93"/>
    <w:rsid w:val="00D77B6F"/>
    <w:rsid w:val="00D805F0"/>
    <w:rsid w:val="00D82F84"/>
    <w:rsid w:val="00D83214"/>
    <w:rsid w:val="00D83E21"/>
    <w:rsid w:val="00D901A0"/>
    <w:rsid w:val="00D920E7"/>
    <w:rsid w:val="00D95461"/>
    <w:rsid w:val="00DA664C"/>
    <w:rsid w:val="00DA7164"/>
    <w:rsid w:val="00DA78A7"/>
    <w:rsid w:val="00DA7DA5"/>
    <w:rsid w:val="00DB0440"/>
    <w:rsid w:val="00DB073B"/>
    <w:rsid w:val="00DB146E"/>
    <w:rsid w:val="00DB264F"/>
    <w:rsid w:val="00DB7308"/>
    <w:rsid w:val="00DB78F0"/>
    <w:rsid w:val="00DC0CEA"/>
    <w:rsid w:val="00DC12FD"/>
    <w:rsid w:val="00DC2E43"/>
    <w:rsid w:val="00DC34AC"/>
    <w:rsid w:val="00DC55A3"/>
    <w:rsid w:val="00DD095C"/>
    <w:rsid w:val="00DD0A7A"/>
    <w:rsid w:val="00DD1020"/>
    <w:rsid w:val="00DD1330"/>
    <w:rsid w:val="00DD1403"/>
    <w:rsid w:val="00DD28E0"/>
    <w:rsid w:val="00DD3231"/>
    <w:rsid w:val="00DE0B83"/>
    <w:rsid w:val="00DE0D0F"/>
    <w:rsid w:val="00DE1A81"/>
    <w:rsid w:val="00DE1C13"/>
    <w:rsid w:val="00DE2677"/>
    <w:rsid w:val="00DE4D02"/>
    <w:rsid w:val="00DE4E10"/>
    <w:rsid w:val="00DE7083"/>
    <w:rsid w:val="00DE7949"/>
    <w:rsid w:val="00DF4689"/>
    <w:rsid w:val="00DF6797"/>
    <w:rsid w:val="00DF6A1A"/>
    <w:rsid w:val="00DF7678"/>
    <w:rsid w:val="00E02ABF"/>
    <w:rsid w:val="00E0557E"/>
    <w:rsid w:val="00E14995"/>
    <w:rsid w:val="00E166B0"/>
    <w:rsid w:val="00E179CD"/>
    <w:rsid w:val="00E23250"/>
    <w:rsid w:val="00E232AD"/>
    <w:rsid w:val="00E23E8D"/>
    <w:rsid w:val="00E246E3"/>
    <w:rsid w:val="00E253EB"/>
    <w:rsid w:val="00E30E9F"/>
    <w:rsid w:val="00E311A3"/>
    <w:rsid w:val="00E37F98"/>
    <w:rsid w:val="00E45BBA"/>
    <w:rsid w:val="00E46559"/>
    <w:rsid w:val="00E55A41"/>
    <w:rsid w:val="00E62175"/>
    <w:rsid w:val="00E656CC"/>
    <w:rsid w:val="00E6670C"/>
    <w:rsid w:val="00E715C7"/>
    <w:rsid w:val="00E744B2"/>
    <w:rsid w:val="00E776E8"/>
    <w:rsid w:val="00E83AD7"/>
    <w:rsid w:val="00E84A18"/>
    <w:rsid w:val="00E8784F"/>
    <w:rsid w:val="00E92C1F"/>
    <w:rsid w:val="00E931D9"/>
    <w:rsid w:val="00E95D4B"/>
    <w:rsid w:val="00EA20DE"/>
    <w:rsid w:val="00EA3D3A"/>
    <w:rsid w:val="00EA5176"/>
    <w:rsid w:val="00EA6728"/>
    <w:rsid w:val="00EA76B8"/>
    <w:rsid w:val="00EB0D3C"/>
    <w:rsid w:val="00EB199F"/>
    <w:rsid w:val="00EB67BA"/>
    <w:rsid w:val="00EC0312"/>
    <w:rsid w:val="00EC23F7"/>
    <w:rsid w:val="00EC4BD8"/>
    <w:rsid w:val="00EC5908"/>
    <w:rsid w:val="00EC63EB"/>
    <w:rsid w:val="00ED1A34"/>
    <w:rsid w:val="00ED23A9"/>
    <w:rsid w:val="00ED3684"/>
    <w:rsid w:val="00ED412F"/>
    <w:rsid w:val="00EE14D9"/>
    <w:rsid w:val="00EE20B3"/>
    <w:rsid w:val="00EF0186"/>
    <w:rsid w:val="00EF0B43"/>
    <w:rsid w:val="00EF0E3C"/>
    <w:rsid w:val="00EF36B2"/>
    <w:rsid w:val="00EF5800"/>
    <w:rsid w:val="00EF6522"/>
    <w:rsid w:val="00EF77F9"/>
    <w:rsid w:val="00F00FA3"/>
    <w:rsid w:val="00F03667"/>
    <w:rsid w:val="00F05846"/>
    <w:rsid w:val="00F068C5"/>
    <w:rsid w:val="00F1231C"/>
    <w:rsid w:val="00F1246B"/>
    <w:rsid w:val="00F16CC4"/>
    <w:rsid w:val="00F17B35"/>
    <w:rsid w:val="00F201EC"/>
    <w:rsid w:val="00F208A9"/>
    <w:rsid w:val="00F2102F"/>
    <w:rsid w:val="00F22CAF"/>
    <w:rsid w:val="00F23DB4"/>
    <w:rsid w:val="00F314E8"/>
    <w:rsid w:val="00F37796"/>
    <w:rsid w:val="00F41D75"/>
    <w:rsid w:val="00F43A66"/>
    <w:rsid w:val="00F46422"/>
    <w:rsid w:val="00F47372"/>
    <w:rsid w:val="00F508C7"/>
    <w:rsid w:val="00F5134C"/>
    <w:rsid w:val="00F5139D"/>
    <w:rsid w:val="00F5423E"/>
    <w:rsid w:val="00F5498A"/>
    <w:rsid w:val="00F55314"/>
    <w:rsid w:val="00F55977"/>
    <w:rsid w:val="00F5770B"/>
    <w:rsid w:val="00F62F43"/>
    <w:rsid w:val="00F63DAC"/>
    <w:rsid w:val="00F64A42"/>
    <w:rsid w:val="00F66DA3"/>
    <w:rsid w:val="00F67CB2"/>
    <w:rsid w:val="00F71B07"/>
    <w:rsid w:val="00F72053"/>
    <w:rsid w:val="00F7454F"/>
    <w:rsid w:val="00F745ED"/>
    <w:rsid w:val="00F74C18"/>
    <w:rsid w:val="00F74CDE"/>
    <w:rsid w:val="00F77511"/>
    <w:rsid w:val="00F77988"/>
    <w:rsid w:val="00F77F48"/>
    <w:rsid w:val="00F81BFC"/>
    <w:rsid w:val="00F82FD3"/>
    <w:rsid w:val="00F846BB"/>
    <w:rsid w:val="00F849B8"/>
    <w:rsid w:val="00F86A26"/>
    <w:rsid w:val="00F9275A"/>
    <w:rsid w:val="00F95719"/>
    <w:rsid w:val="00F96061"/>
    <w:rsid w:val="00F961AE"/>
    <w:rsid w:val="00F96858"/>
    <w:rsid w:val="00FA0FD5"/>
    <w:rsid w:val="00FA6DD0"/>
    <w:rsid w:val="00FB2B33"/>
    <w:rsid w:val="00FB30F1"/>
    <w:rsid w:val="00FB331B"/>
    <w:rsid w:val="00FB33F1"/>
    <w:rsid w:val="00FB37FF"/>
    <w:rsid w:val="00FB3AD8"/>
    <w:rsid w:val="00FB53E7"/>
    <w:rsid w:val="00FB5BAF"/>
    <w:rsid w:val="00FB69DD"/>
    <w:rsid w:val="00FC2581"/>
    <w:rsid w:val="00FD0730"/>
    <w:rsid w:val="00FD0B6B"/>
    <w:rsid w:val="00FD2A8A"/>
    <w:rsid w:val="00FD5301"/>
    <w:rsid w:val="00FE2265"/>
    <w:rsid w:val="00FE4973"/>
    <w:rsid w:val="00FE4B5F"/>
    <w:rsid w:val="00FE5949"/>
    <w:rsid w:val="00FE5A2C"/>
    <w:rsid w:val="00FF5C6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2C10A7"/>
    <w:rPr>
      <w:sz w:val="24"/>
      <w:szCs w:val="24"/>
    </w:rPr>
  </w:style>
  <w:style w:type="paragraph" w:styleId="Virsraksts1">
    <w:name w:val="heading 1"/>
    <w:basedOn w:val="Parastais"/>
    <w:next w:val="Parastais"/>
    <w:link w:val="Virsraksts1Rakstz"/>
    <w:uiPriority w:val="9"/>
    <w:qFormat/>
    <w:rsid w:val="00522B6A"/>
    <w:pPr>
      <w:keepNext/>
      <w:keepLines/>
      <w:spacing w:before="480"/>
      <w:outlineLvl w:val="0"/>
    </w:pPr>
    <w:rPr>
      <w:rFonts w:asciiTheme="minorHAnsi" w:eastAsiaTheme="majorEastAsia" w:hAnsiTheme="minorHAnsi" w:cstheme="majorBidi"/>
      <w:b/>
      <w:bCs/>
      <w:color w:val="365F91" w:themeColor="accent1" w:themeShade="BF"/>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Sarakstaaizzme">
    <w:name w:val="List Bullet"/>
    <w:basedOn w:val="Parastais"/>
    <w:rsid w:val="00EA5176"/>
    <w:pPr>
      <w:numPr>
        <w:numId w:val="14"/>
      </w:numPr>
      <w:contextualSpacing/>
    </w:pPr>
  </w:style>
  <w:style w:type="paragraph" w:customStyle="1" w:styleId="naispant">
    <w:name w:val="naispant"/>
    <w:basedOn w:val="Parastais"/>
    <w:uiPriority w:val="99"/>
    <w:rsid w:val="00DF6A1A"/>
    <w:pPr>
      <w:spacing w:before="100" w:beforeAutospacing="1" w:after="100" w:afterAutospacing="1"/>
    </w:pPr>
  </w:style>
  <w:style w:type="paragraph" w:styleId="ParastaisWeb">
    <w:name w:val="Normal (Web)"/>
    <w:basedOn w:val="Parastais"/>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Parastais"/>
    <w:rsid w:val="00035DDF"/>
    <w:rPr>
      <w:szCs w:val="20"/>
      <w:lang w:val="en-US" w:eastAsia="en-US"/>
    </w:rPr>
  </w:style>
  <w:style w:type="paragraph" w:customStyle="1" w:styleId="tv2131">
    <w:name w:val="tv2131"/>
    <w:basedOn w:val="Parastais"/>
    <w:rsid w:val="00035DDF"/>
    <w:pPr>
      <w:spacing w:before="240" w:line="360" w:lineRule="auto"/>
      <w:ind w:firstLine="300"/>
      <w:jc w:val="both"/>
    </w:pPr>
    <w:rPr>
      <w:rFonts w:ascii="Verdana" w:hAnsi="Verdana"/>
      <w:sz w:val="18"/>
      <w:szCs w:val="18"/>
    </w:rPr>
  </w:style>
  <w:style w:type="paragraph" w:styleId="Sarakstarindkopa">
    <w:name w:val="List Paragraph"/>
    <w:basedOn w:val="Parastais"/>
    <w:uiPriority w:val="34"/>
    <w:qFormat/>
    <w:rsid w:val="00D36916"/>
    <w:pPr>
      <w:ind w:left="720"/>
    </w:pPr>
    <w:rPr>
      <w:lang w:val="ru-RU" w:eastAsia="ru-RU"/>
    </w:rPr>
  </w:style>
  <w:style w:type="character" w:styleId="Izteiksmgs">
    <w:name w:val="Strong"/>
    <w:uiPriority w:val="22"/>
    <w:qFormat/>
    <w:rsid w:val="00630F37"/>
    <w:rPr>
      <w:rFonts w:cs="Times New Roman"/>
      <w:b/>
    </w:rPr>
  </w:style>
  <w:style w:type="paragraph" w:customStyle="1" w:styleId="DefaultParagraphFont1">
    <w:name w:val="Default Paragraph Font1"/>
    <w:basedOn w:val="Parastais"/>
    <w:rsid w:val="00F314E8"/>
    <w:rPr>
      <w:rFonts w:ascii="CG Times (W1)" w:hAnsi="CG Times (W1)"/>
      <w:sz w:val="20"/>
      <w:szCs w:val="20"/>
      <w:lang w:eastAsia="en-US"/>
    </w:rPr>
  </w:style>
  <w:style w:type="character" w:styleId="Izclums">
    <w:name w:val="Emphasis"/>
    <w:uiPriority w:val="20"/>
    <w:qFormat/>
    <w:rsid w:val="00D513D0"/>
    <w:rPr>
      <w:b/>
      <w:bCs/>
      <w:i w:val="0"/>
      <w:iCs w:val="0"/>
    </w:rPr>
  </w:style>
  <w:style w:type="character" w:customStyle="1" w:styleId="st">
    <w:name w:val="st"/>
    <w:rsid w:val="00D513D0"/>
  </w:style>
  <w:style w:type="paragraph" w:styleId="Bezatstarpm">
    <w:name w:val="No Spacing"/>
    <w:uiPriority w:val="1"/>
    <w:qFormat/>
    <w:rsid w:val="00F43A66"/>
    <w:rPr>
      <w:rFonts w:ascii="Courier New" w:eastAsia="Courier New" w:hAnsi="Courier New" w:cs="Courier New"/>
      <w:color w:val="000000"/>
      <w:sz w:val="24"/>
      <w:szCs w:val="24"/>
    </w:rPr>
  </w:style>
  <w:style w:type="paragraph" w:customStyle="1" w:styleId="yiv0203084086msonormal">
    <w:name w:val="yiv0203084086msonormal"/>
    <w:basedOn w:val="Parastais"/>
    <w:rsid w:val="00F43A66"/>
    <w:pPr>
      <w:spacing w:before="100" w:beforeAutospacing="1" w:after="100" w:afterAutospacing="1"/>
    </w:pPr>
  </w:style>
  <w:style w:type="character" w:customStyle="1" w:styleId="Virsraksts1Rakstz">
    <w:name w:val="Virsraksts 1 Rakstz."/>
    <w:basedOn w:val="Noklusjumarindkopasfonts"/>
    <w:link w:val="Virsraksts1"/>
    <w:uiPriority w:val="9"/>
    <w:rsid w:val="00522B6A"/>
    <w:rPr>
      <w:rFonts w:asciiTheme="minorHAnsi" w:eastAsiaTheme="majorEastAsia" w:hAnsiTheme="minorHAnsi" w:cstheme="majorBidi"/>
      <w:b/>
      <w:bCs/>
      <w:color w:val="365F91" w:themeColor="accent1" w:themeShade="BF"/>
      <w:sz w:val="24"/>
      <w:szCs w:val="28"/>
    </w:rPr>
  </w:style>
</w:styles>
</file>

<file path=word/webSettings.xml><?xml version="1.0" encoding="utf-8"?>
<w:webSettings xmlns:r="http://schemas.openxmlformats.org/officeDocument/2006/relationships" xmlns:w="http://schemas.openxmlformats.org/wordprocessingml/2006/main">
  <w:divs>
    <w:div w:id="129903200">
      <w:bodyDiv w:val="1"/>
      <w:marLeft w:val="0"/>
      <w:marRight w:val="0"/>
      <w:marTop w:val="0"/>
      <w:marBottom w:val="0"/>
      <w:divBdr>
        <w:top w:val="none" w:sz="0" w:space="0" w:color="auto"/>
        <w:left w:val="none" w:sz="0" w:space="0" w:color="auto"/>
        <w:bottom w:val="none" w:sz="0" w:space="0" w:color="auto"/>
        <w:right w:val="none" w:sz="0" w:space="0" w:color="auto"/>
      </w:divBdr>
      <w:divsChild>
        <w:div w:id="310409641">
          <w:marLeft w:val="0"/>
          <w:marRight w:val="0"/>
          <w:marTop w:val="0"/>
          <w:marBottom w:val="0"/>
          <w:divBdr>
            <w:top w:val="none" w:sz="0" w:space="0" w:color="auto"/>
            <w:left w:val="none" w:sz="0" w:space="0" w:color="auto"/>
            <w:bottom w:val="none" w:sz="0" w:space="0" w:color="auto"/>
            <w:right w:val="none" w:sz="0" w:space="0" w:color="auto"/>
          </w:divBdr>
          <w:divsChild>
            <w:div w:id="1955096390">
              <w:marLeft w:val="0"/>
              <w:marRight w:val="0"/>
              <w:marTop w:val="0"/>
              <w:marBottom w:val="0"/>
              <w:divBdr>
                <w:top w:val="none" w:sz="0" w:space="0" w:color="auto"/>
                <w:left w:val="none" w:sz="0" w:space="0" w:color="auto"/>
                <w:bottom w:val="none" w:sz="0" w:space="0" w:color="auto"/>
                <w:right w:val="none" w:sz="0" w:space="0" w:color="auto"/>
              </w:divBdr>
              <w:divsChild>
                <w:div w:id="1075318197">
                  <w:marLeft w:val="0"/>
                  <w:marRight w:val="0"/>
                  <w:marTop w:val="0"/>
                  <w:marBottom w:val="0"/>
                  <w:divBdr>
                    <w:top w:val="none" w:sz="0" w:space="0" w:color="auto"/>
                    <w:left w:val="none" w:sz="0" w:space="0" w:color="auto"/>
                    <w:bottom w:val="none" w:sz="0" w:space="0" w:color="auto"/>
                    <w:right w:val="none" w:sz="0" w:space="0" w:color="auto"/>
                  </w:divBdr>
                  <w:divsChild>
                    <w:div w:id="1126586926">
                      <w:marLeft w:val="0"/>
                      <w:marRight w:val="0"/>
                      <w:marTop w:val="0"/>
                      <w:marBottom w:val="0"/>
                      <w:divBdr>
                        <w:top w:val="none" w:sz="0" w:space="0" w:color="auto"/>
                        <w:left w:val="none" w:sz="0" w:space="0" w:color="auto"/>
                        <w:bottom w:val="none" w:sz="0" w:space="0" w:color="auto"/>
                        <w:right w:val="none" w:sz="0" w:space="0" w:color="auto"/>
                      </w:divBdr>
                      <w:divsChild>
                        <w:div w:id="1914849313">
                          <w:marLeft w:val="0"/>
                          <w:marRight w:val="0"/>
                          <w:marTop w:val="0"/>
                          <w:marBottom w:val="0"/>
                          <w:divBdr>
                            <w:top w:val="none" w:sz="0" w:space="0" w:color="auto"/>
                            <w:left w:val="none" w:sz="0" w:space="0" w:color="auto"/>
                            <w:bottom w:val="none" w:sz="0" w:space="0" w:color="auto"/>
                            <w:right w:val="none" w:sz="0" w:space="0" w:color="auto"/>
                          </w:divBdr>
                          <w:divsChild>
                            <w:div w:id="6812033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8982">
      <w:bodyDiv w:val="1"/>
      <w:marLeft w:val="0"/>
      <w:marRight w:val="0"/>
      <w:marTop w:val="0"/>
      <w:marBottom w:val="0"/>
      <w:divBdr>
        <w:top w:val="none" w:sz="0" w:space="0" w:color="auto"/>
        <w:left w:val="none" w:sz="0" w:space="0" w:color="auto"/>
        <w:bottom w:val="none" w:sz="0" w:space="0" w:color="auto"/>
        <w:right w:val="none" w:sz="0" w:space="0" w:color="auto"/>
      </w:divBdr>
    </w:div>
    <w:div w:id="728917784">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8470">
      <w:bodyDiv w:val="1"/>
      <w:marLeft w:val="0"/>
      <w:marRight w:val="0"/>
      <w:marTop w:val="0"/>
      <w:marBottom w:val="0"/>
      <w:divBdr>
        <w:top w:val="none" w:sz="0" w:space="0" w:color="auto"/>
        <w:left w:val="none" w:sz="0" w:space="0" w:color="auto"/>
        <w:bottom w:val="none" w:sz="0" w:space="0" w:color="auto"/>
        <w:right w:val="none" w:sz="0" w:space="0" w:color="auto"/>
      </w:divBdr>
      <w:divsChild>
        <w:div w:id="1592007527">
          <w:marLeft w:val="0"/>
          <w:marRight w:val="0"/>
          <w:marTop w:val="0"/>
          <w:marBottom w:val="0"/>
          <w:divBdr>
            <w:top w:val="none" w:sz="0" w:space="0" w:color="auto"/>
            <w:left w:val="none" w:sz="0" w:space="0" w:color="auto"/>
            <w:bottom w:val="none" w:sz="0" w:space="0" w:color="auto"/>
            <w:right w:val="none" w:sz="0" w:space="0" w:color="auto"/>
          </w:divBdr>
          <w:divsChild>
            <w:div w:id="363101055">
              <w:marLeft w:val="0"/>
              <w:marRight w:val="0"/>
              <w:marTop w:val="0"/>
              <w:marBottom w:val="0"/>
              <w:divBdr>
                <w:top w:val="none" w:sz="0" w:space="0" w:color="auto"/>
                <w:left w:val="none" w:sz="0" w:space="0" w:color="auto"/>
                <w:bottom w:val="none" w:sz="0" w:space="0" w:color="auto"/>
                <w:right w:val="none" w:sz="0" w:space="0" w:color="auto"/>
              </w:divBdr>
              <w:divsChild>
                <w:div w:id="1118987472">
                  <w:marLeft w:val="0"/>
                  <w:marRight w:val="0"/>
                  <w:marTop w:val="0"/>
                  <w:marBottom w:val="0"/>
                  <w:divBdr>
                    <w:top w:val="none" w:sz="0" w:space="0" w:color="auto"/>
                    <w:left w:val="none" w:sz="0" w:space="0" w:color="auto"/>
                    <w:bottom w:val="none" w:sz="0" w:space="0" w:color="auto"/>
                    <w:right w:val="none" w:sz="0" w:space="0" w:color="auto"/>
                  </w:divBdr>
                  <w:divsChild>
                    <w:div w:id="1496723805">
                      <w:marLeft w:val="0"/>
                      <w:marRight w:val="0"/>
                      <w:marTop w:val="0"/>
                      <w:marBottom w:val="0"/>
                      <w:divBdr>
                        <w:top w:val="none" w:sz="0" w:space="0" w:color="auto"/>
                        <w:left w:val="none" w:sz="0" w:space="0" w:color="auto"/>
                        <w:bottom w:val="none" w:sz="0" w:space="0" w:color="auto"/>
                        <w:right w:val="none" w:sz="0" w:space="0" w:color="auto"/>
                      </w:divBdr>
                      <w:divsChild>
                        <w:div w:id="1834375787">
                          <w:marLeft w:val="0"/>
                          <w:marRight w:val="0"/>
                          <w:marTop w:val="0"/>
                          <w:marBottom w:val="0"/>
                          <w:divBdr>
                            <w:top w:val="none" w:sz="0" w:space="0" w:color="auto"/>
                            <w:left w:val="none" w:sz="0" w:space="0" w:color="auto"/>
                            <w:bottom w:val="none" w:sz="0" w:space="0" w:color="auto"/>
                            <w:right w:val="none" w:sz="0" w:space="0" w:color="auto"/>
                          </w:divBdr>
                          <w:divsChild>
                            <w:div w:id="20420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bodyDiv w:val="1"/>
      <w:marLeft w:val="0"/>
      <w:marRight w:val="0"/>
      <w:marTop w:val="0"/>
      <w:marBottom w:val="0"/>
      <w:divBdr>
        <w:top w:val="none" w:sz="0" w:space="0" w:color="auto"/>
        <w:left w:val="none" w:sz="0" w:space="0" w:color="auto"/>
        <w:bottom w:val="none" w:sz="0" w:space="0" w:color="auto"/>
        <w:right w:val="none" w:sz="0" w:space="0" w:color="auto"/>
      </w:divBdr>
    </w:div>
    <w:div w:id="1809587517">
      <w:bodyDiv w:val="1"/>
      <w:marLeft w:val="0"/>
      <w:marRight w:val="0"/>
      <w:marTop w:val="0"/>
      <w:marBottom w:val="0"/>
      <w:divBdr>
        <w:top w:val="none" w:sz="0" w:space="0" w:color="auto"/>
        <w:left w:val="none" w:sz="0" w:space="0" w:color="auto"/>
        <w:bottom w:val="none" w:sz="0" w:space="0" w:color="auto"/>
        <w:right w:val="none" w:sz="0" w:space="0" w:color="auto"/>
      </w:divBdr>
      <w:divsChild>
        <w:div w:id="2142310617">
          <w:marLeft w:val="0"/>
          <w:marRight w:val="0"/>
          <w:marTop w:val="0"/>
          <w:marBottom w:val="0"/>
          <w:divBdr>
            <w:top w:val="none" w:sz="0" w:space="0" w:color="auto"/>
            <w:left w:val="none" w:sz="0" w:space="0" w:color="auto"/>
            <w:bottom w:val="none" w:sz="0" w:space="0" w:color="auto"/>
            <w:right w:val="none" w:sz="0" w:space="0" w:color="auto"/>
          </w:divBdr>
          <w:divsChild>
            <w:div w:id="733621087">
              <w:marLeft w:val="0"/>
              <w:marRight w:val="0"/>
              <w:marTop w:val="0"/>
              <w:marBottom w:val="0"/>
              <w:divBdr>
                <w:top w:val="none" w:sz="0" w:space="0" w:color="auto"/>
                <w:left w:val="none" w:sz="0" w:space="0" w:color="auto"/>
                <w:bottom w:val="none" w:sz="0" w:space="0" w:color="auto"/>
                <w:right w:val="none" w:sz="0" w:space="0" w:color="auto"/>
              </w:divBdr>
              <w:divsChild>
                <w:div w:id="334037430">
                  <w:marLeft w:val="0"/>
                  <w:marRight w:val="0"/>
                  <w:marTop w:val="0"/>
                  <w:marBottom w:val="0"/>
                  <w:divBdr>
                    <w:top w:val="none" w:sz="0" w:space="0" w:color="auto"/>
                    <w:left w:val="none" w:sz="0" w:space="0" w:color="auto"/>
                    <w:bottom w:val="none" w:sz="0" w:space="0" w:color="auto"/>
                    <w:right w:val="none" w:sz="0" w:space="0" w:color="auto"/>
                  </w:divBdr>
                  <w:divsChild>
                    <w:div w:id="279847111">
                      <w:marLeft w:val="0"/>
                      <w:marRight w:val="0"/>
                      <w:marTop w:val="0"/>
                      <w:marBottom w:val="0"/>
                      <w:divBdr>
                        <w:top w:val="none" w:sz="0" w:space="0" w:color="auto"/>
                        <w:left w:val="none" w:sz="0" w:space="0" w:color="auto"/>
                        <w:bottom w:val="none" w:sz="0" w:space="0" w:color="auto"/>
                        <w:right w:val="none" w:sz="0" w:space="0" w:color="auto"/>
                      </w:divBdr>
                      <w:divsChild>
                        <w:div w:id="1975866121">
                          <w:marLeft w:val="0"/>
                          <w:marRight w:val="0"/>
                          <w:marTop w:val="0"/>
                          <w:marBottom w:val="0"/>
                          <w:divBdr>
                            <w:top w:val="none" w:sz="0" w:space="0" w:color="auto"/>
                            <w:left w:val="none" w:sz="0" w:space="0" w:color="auto"/>
                            <w:bottom w:val="none" w:sz="0" w:space="0" w:color="auto"/>
                            <w:right w:val="none" w:sz="0" w:space="0" w:color="auto"/>
                          </w:divBdr>
                          <w:divsChild>
                            <w:div w:id="1086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87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ris.Mellakauls@k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4.xml><?xml version="1.0" encoding="utf-8"?>
<ds:datastoreItem xmlns:ds="http://schemas.openxmlformats.org/officeDocument/2006/customXml" ds:itemID="{AD2E0195-DEB4-4C54-AEB7-2393156531A5}">
  <ds:schemaRefs>
    <ds:schemaRef ds:uri="http://schemas.microsoft.com/office/2006/metadata/properties"/>
    <ds:schemaRef ds:uri="2e5bb04e-596e-45bd-9003-43ca78b1ba16"/>
  </ds:schemaRefs>
</ds:datastoreItem>
</file>

<file path=customXml/itemProps5.xml><?xml version="1.0" encoding="utf-8"?>
<ds:datastoreItem xmlns:ds="http://schemas.openxmlformats.org/officeDocument/2006/customXml" ds:itemID="{869B13AD-2A49-43FA-9576-7E3A998F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3331</Words>
  <Characters>23558</Characters>
  <Application>Microsoft Office Word</Application>
  <DocSecurity>0</DocSecurity>
  <Lines>196</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KMAnot_140714_VSS-505</vt:lpstr>
      <vt:lpstr>VSS-334</vt:lpstr>
    </vt:vector>
  </TitlesOfParts>
  <Company>LR Kultūras Ministrija</Company>
  <LinksUpToDate>false</LinksUpToDate>
  <CharactersWithSpaces>26836</CharactersWithSpaces>
  <SharedDoc>false</SharedDoc>
  <HLinks>
    <vt:vector size="6" baseType="variant">
      <vt:variant>
        <vt:i4>3014693</vt:i4>
      </vt:variant>
      <vt:variant>
        <vt:i4>0</vt:i4>
      </vt:variant>
      <vt:variant>
        <vt:i4>0</vt:i4>
      </vt:variant>
      <vt:variant>
        <vt:i4>5</vt:i4>
      </vt:variant>
      <vt:variant>
        <vt:lpwstr>http://www.iaui.gov.lv/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KMAnot_140714_VSS-505</dc:title>
  <dc:subject>Anotācija</dc:subject>
  <dc:creator>A.Mellakauls</dc:creator>
  <dc:description>67330276; Andris.Mellakauls@km.gov.lv</dc:description>
  <cp:lastModifiedBy>Inga Pavloviča</cp:lastModifiedBy>
  <cp:revision>3</cp:revision>
  <cp:lastPrinted>2014-07-16T15:15:00Z</cp:lastPrinted>
  <dcterms:created xsi:type="dcterms:W3CDTF">2014-07-31T06:21:00Z</dcterms:created>
  <dcterms:modified xsi:type="dcterms:W3CDTF">2014-07-31T06:41:00Z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