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1C" w:rsidRDefault="00E37638">
      <w:pPr>
        <w:pStyle w:val="Bezatstarpm"/>
        <w:jc w:val="right"/>
        <w:rPr>
          <w:rFonts w:ascii="Times New Roman" w:hAnsi="Times New Roman"/>
        </w:rPr>
      </w:pPr>
      <w:bookmarkStart w:id="0" w:name="370267"/>
      <w:r w:rsidRPr="00E37638">
        <w:rPr>
          <w:rFonts w:ascii="Times New Roman" w:hAnsi="Times New Roman"/>
        </w:rPr>
        <w:t>9.pielikums</w:t>
      </w:r>
      <w:r w:rsidR="00BC0873" w:rsidRPr="00363159">
        <w:rPr>
          <w:rFonts w:ascii="Times New Roman" w:eastAsia="Times New Roman" w:hAnsi="Times New Roman"/>
          <w:lang w:eastAsia="lv-LV"/>
        </w:rPr>
        <w:t xml:space="preserve"> </w:t>
      </w:r>
      <w:r w:rsidR="00BC0873" w:rsidRPr="00363159">
        <w:rPr>
          <w:rFonts w:ascii="Times New Roman" w:eastAsia="Times New Roman" w:hAnsi="Times New Roman"/>
          <w:lang w:eastAsia="lv-LV"/>
        </w:rPr>
        <w:br/>
      </w:r>
      <w:r w:rsidRPr="00E37638">
        <w:rPr>
          <w:rFonts w:ascii="Times New Roman" w:hAnsi="Times New Roman"/>
        </w:rPr>
        <w:t xml:space="preserve">Ministru kabineta </w:t>
      </w:r>
      <w:r w:rsidR="00BC0873" w:rsidRPr="00363159">
        <w:rPr>
          <w:rFonts w:ascii="Times New Roman" w:eastAsia="Times New Roman" w:hAnsi="Times New Roman"/>
          <w:lang w:eastAsia="lv-LV"/>
        </w:rPr>
        <w:br/>
      </w:r>
      <w:r w:rsidRPr="00E37638">
        <w:rPr>
          <w:rFonts w:ascii="Times New Roman" w:hAnsi="Times New Roman"/>
        </w:rPr>
        <w:t xml:space="preserve">2014.gada </w:t>
      </w:r>
      <w:r w:rsidR="00BC0873" w:rsidRPr="00363159">
        <w:rPr>
          <w:rFonts w:ascii="Times New Roman" w:eastAsia="Times New Roman" w:hAnsi="Times New Roman"/>
          <w:lang w:eastAsia="lv-LV"/>
        </w:rPr>
        <w:t>___.</w:t>
      </w:r>
      <w:r w:rsidR="00BC0873">
        <w:rPr>
          <w:rFonts w:ascii="Times New Roman" w:eastAsia="Times New Roman" w:hAnsi="Times New Roman"/>
          <w:lang w:eastAsia="lv-LV"/>
        </w:rPr>
        <w:t>_______</w:t>
      </w:r>
    </w:p>
    <w:p w:rsidR="006E4F1C" w:rsidRDefault="00BC0873">
      <w:pPr>
        <w:pStyle w:val="Bezatstarpm"/>
        <w:jc w:val="right"/>
        <w:rPr>
          <w:rFonts w:ascii="Times New Roman" w:hAnsi="Times New Roman"/>
        </w:rPr>
      </w:pPr>
      <w:r>
        <w:rPr>
          <w:rFonts w:ascii="Times New Roman" w:eastAsia="Times New Roman" w:hAnsi="Times New Roman"/>
          <w:lang w:eastAsia="lv-LV"/>
        </w:rPr>
        <w:t xml:space="preserve"> </w:t>
      </w:r>
      <w:r w:rsidR="00E37638" w:rsidRPr="00E37638">
        <w:rPr>
          <w:rFonts w:ascii="Times New Roman" w:hAnsi="Times New Roman"/>
        </w:rPr>
        <w:t>noteikumiem Nr</w:t>
      </w:r>
      <w:r w:rsidRPr="00363159">
        <w:rPr>
          <w:rFonts w:ascii="Times New Roman" w:eastAsia="Times New Roman" w:hAnsi="Times New Roman"/>
          <w:lang w:eastAsia="lv-LV"/>
        </w:rPr>
        <w:t>.</w:t>
      </w:r>
      <w:bookmarkEnd w:id="0"/>
      <w:r w:rsidRPr="00363159">
        <w:rPr>
          <w:rFonts w:ascii="Times New Roman" w:eastAsia="Times New Roman" w:hAnsi="Times New Roman"/>
          <w:lang w:eastAsia="lv-LV"/>
        </w:rPr>
        <w:t>____</w:t>
      </w:r>
    </w:p>
    <w:p w:rsidR="003F6E04" w:rsidRPr="00BC0873" w:rsidRDefault="003F6E04" w:rsidP="003F6E04">
      <w:pPr>
        <w:spacing w:after="0" w:line="240" w:lineRule="auto"/>
        <w:jc w:val="right"/>
        <w:rPr>
          <w:rFonts w:ascii="Times New Roman" w:hAnsi="Times New Roman"/>
          <w:b/>
        </w:rPr>
      </w:pPr>
    </w:p>
    <w:p w:rsidR="003F6E04" w:rsidRPr="00BC0873" w:rsidRDefault="006E4F1C" w:rsidP="003F6E04">
      <w:pPr>
        <w:spacing w:after="0" w:line="240" w:lineRule="auto"/>
        <w:jc w:val="center"/>
        <w:rPr>
          <w:rFonts w:ascii="Times New Roman" w:hAnsi="Times New Roman" w:cs="Times New Roman"/>
          <w:b/>
          <w:bCs/>
        </w:rPr>
      </w:pPr>
      <w:r>
        <w:rPr>
          <w:rFonts w:ascii="Times New Roman" w:hAnsi="Times New Roman"/>
          <w:b/>
          <w:noProof/>
          <w:lang w:eastAsia="lv-LV"/>
        </w:rPr>
        <w:drawing>
          <wp:inline distT="0" distB="0" distL="0" distR="0">
            <wp:extent cx="4188923" cy="741001"/>
            <wp:effectExtent l="19050" t="0" r="2077"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srcRect/>
                    <a:stretch>
                      <a:fillRect/>
                    </a:stretch>
                  </pic:blipFill>
                  <pic:spPr bwMode="auto">
                    <a:xfrm>
                      <a:off x="0" y="0"/>
                      <a:ext cx="4202353" cy="743377"/>
                    </a:xfrm>
                    <a:prstGeom prst="rect">
                      <a:avLst/>
                    </a:prstGeom>
                    <a:noFill/>
                    <a:ln w="9525">
                      <a:noFill/>
                      <a:miter lim="800000"/>
                      <a:headEnd/>
                      <a:tailEnd/>
                    </a:ln>
                  </pic:spPr>
                </pic:pic>
              </a:graphicData>
            </a:graphic>
          </wp:inline>
        </w:drawing>
      </w:r>
    </w:p>
    <w:p w:rsidR="00BC0873" w:rsidRDefault="00BC0873" w:rsidP="00247F7E">
      <w:pPr>
        <w:spacing w:after="0" w:line="240" w:lineRule="auto"/>
        <w:jc w:val="center"/>
        <w:rPr>
          <w:rFonts w:ascii="Times New Roman" w:hAnsi="Times New Roman"/>
          <w:b/>
        </w:rPr>
      </w:pPr>
    </w:p>
    <w:p w:rsidR="00A34C6C" w:rsidRPr="00BC0873" w:rsidRDefault="00E37638" w:rsidP="00247F7E">
      <w:pPr>
        <w:spacing w:after="0" w:line="240" w:lineRule="auto"/>
        <w:jc w:val="center"/>
        <w:rPr>
          <w:rFonts w:ascii="Times New Roman" w:hAnsi="Times New Roman"/>
          <w:b/>
        </w:rPr>
      </w:pPr>
      <w:bookmarkStart w:id="1" w:name="OLE_LINK1"/>
      <w:bookmarkStart w:id="2" w:name="OLE_LINK2"/>
      <w:r w:rsidRPr="00E37638">
        <w:rPr>
          <w:rFonts w:ascii="Times New Roman" w:hAnsi="Times New Roman"/>
          <w:b/>
        </w:rPr>
        <w:t>Eiropas Trešo valstu valstspiederīgo integrācijas fonda 2013.gada programmas 3.aktivitātes „Izstrādāt un ieviest starpkultūru mācību sistēmu, palielinot iespējas un daudzveidības apziņu, valsts, privāto institūciju un sociālo partneru personāla apmācība, kuri nodrošina pakalpojumus, tostarp izglītības iestādes” projektu iesniegumu kvalitātes vērtēšanas kritēriji</w:t>
      </w:r>
    </w:p>
    <w:p w:rsidR="00A31C3C" w:rsidRPr="00BC0873" w:rsidRDefault="00E37638" w:rsidP="00247F7E">
      <w:pPr>
        <w:spacing w:after="0" w:line="240" w:lineRule="auto"/>
        <w:jc w:val="center"/>
        <w:rPr>
          <w:rFonts w:ascii="Times New Roman" w:hAnsi="Times New Roman"/>
          <w:b/>
        </w:rPr>
      </w:pPr>
      <w:r w:rsidRPr="00E37638">
        <w:rPr>
          <w:rFonts w:ascii="Times New Roman" w:hAnsi="Times New Roman"/>
          <w:b/>
        </w:rPr>
        <w:t>(atklāta projektu iesniegumu atlase)</w:t>
      </w:r>
    </w:p>
    <w:bookmarkEnd w:id="1"/>
    <w:bookmarkEnd w:id="2"/>
    <w:p w:rsidR="003F6E04" w:rsidRPr="00BC0873" w:rsidRDefault="003F6E04" w:rsidP="003F6E04">
      <w:pPr>
        <w:spacing w:after="0" w:line="240" w:lineRule="auto"/>
        <w:jc w:val="center"/>
        <w:rPr>
          <w:rFonts w:ascii="Times New Roman" w:hAnsi="Times New Roman"/>
          <w:b/>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6"/>
        <w:gridCol w:w="5135"/>
        <w:gridCol w:w="926"/>
        <w:gridCol w:w="2144"/>
      </w:tblGrid>
      <w:tr w:rsidR="00F54F4B" w:rsidRPr="00BC0873" w:rsidTr="00BC0873">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Nr.</w:t>
            </w:r>
          </w:p>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p.k.</w:t>
            </w:r>
          </w:p>
        </w:tc>
        <w:tc>
          <w:tcPr>
            <w:tcW w:w="2812"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Projekta iesnieguma vispārīgie kvalitātes vērtēšanas kritēriji</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Punkti</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Minimālais nepieciešamais punktu skaits un norāde, drīkst (P) vai nedrīkst (N) precizēt projekta iesniegumu</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b/>
              </w:rPr>
              <w:t>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iesniegumā vispārīgais un projekta specifiskais mērķis: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b/>
              </w:rPr>
              <w:t>2/N</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definēts vai neatbilst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definēts neskaidri, bet 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skaidri definēts un atbilst aktivitātes mērķim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b/>
              </w:rPr>
              <w:t>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iesnieguma īstenošana: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b/>
              </w:rPr>
              <w:t>1/N</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2.1.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nedod ieguldījumu aktivitātes uzraudzības rādītāja sasniegšanā </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2.2.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dod ieguldījumu vienas aktivitātes uzraudzības rādītāja sasniegšanā</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2.3.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dod ieguldījumu divu aktivitātes uzraudzības rādītāju sasniegšanā </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iesniegumā paredzētie pasākumi: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2/P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3.1.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neatbilst Ministru kabineta 2014.gada </w:t>
            </w:r>
            <w:r w:rsidR="00BC0873">
              <w:rPr>
                <w:rFonts w:ascii="Times New Roman" w:hAnsi="Times New Roman"/>
              </w:rPr>
              <w:t>__.______</w:t>
            </w:r>
            <w:r w:rsidRPr="00E37638">
              <w:rPr>
                <w:rFonts w:ascii="Times New Roman" w:hAnsi="Times New Roman"/>
              </w:rPr>
              <w:t xml:space="preserve"> noteikumos Nr</w:t>
            </w:r>
            <w:r w:rsidR="00BC0873">
              <w:rPr>
                <w:rFonts w:ascii="Times New Roman" w:hAnsi="Times New Roman"/>
              </w:rPr>
              <w:t>.____</w:t>
            </w:r>
            <w:r w:rsidRPr="00E37638">
              <w:rPr>
                <w:rFonts w:ascii="Times New Roman" w:hAnsi="Times New Roman"/>
              </w:rPr>
              <w:t xml:space="preserve"> „Noteikumi par Eiropas Trešo valstu valstspiederīgo integrācijas fonda 2013.gada programmas aktivitāšu īstenošanu” (turpmāk – noteikumi) paredzētajiem atļautajiem pasākumiem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3.2.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atbilst noteikumos paredzētajiem atļautajiem pasākumiem, bet nav skaidri un nepārprotami pamatota to nepieciešamība projekta mērķa un plānoto rezultātu sasniegšanai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3.3.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atbilst noteikumos paredzētajiem atļautajiem pasākumiem, un ir skaidri un nepārprotami pamatota to nepieciešamība projekta mērķa un plānoto rezultātu sasniegšanai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4.</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2/P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4.1.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nepamato izvēlētās mērķa grupas vajadzības, kā arī nav </w:t>
            </w:r>
            <w:r w:rsidRPr="00E37638">
              <w:rPr>
                <w:rFonts w:ascii="Times New Roman" w:hAnsi="Times New Roman"/>
              </w:rPr>
              <w:lastRenderedPageBreak/>
              <w:t>sniegts mērķa grupas raksturojums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lastRenderedPageBreak/>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lastRenderedPageBreak/>
              <w:t>4.2.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pamato izvēlētās mērķa grupas vajadzības, kā arī ir sniegts mērķa grupas raksturojums, tomēr pamatojums un raksturojums ir vispārīgs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4.3.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5.</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iesniegumā problēma: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2/P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5.1.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definēta un pamatota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5.2.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definēta nepilnīgi, kā arī ir sniegts tikai vispārīgs pamatojums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5.3.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definēta pilnīgi, taču ir sniegts tikai vispārīgs pamatojums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3</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5.4.</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definēta pilnīgi, kā arī ir sniegts izvērsts pamatojums ar skaidrām norādēm uz informācijas avotiem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6.</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iesniegumā savstarpēja sasaiste ar esošo situāciju, identificētajām problēmām, izvirzītajiem mērķiem un plānotajiem fonda projekta rezultātiem: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6.1.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norādīta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6.2.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norādīta, taču neskaidri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6.3.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skaidri norādīta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7.</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iesniegumā noteiktie projekta uzraudzības rādītāji: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jc w:val="center"/>
              <w:rPr>
                <w:rFonts w:ascii="Times New Roman" w:hAnsi="Times New Roman"/>
                <w:b/>
              </w:rPr>
            </w:pPr>
            <w:r w:rsidRPr="00E37638">
              <w:rPr>
                <w:rFonts w:ascii="Times New Roman" w:hAnsi="Times New Roman"/>
                <w:b/>
              </w:rPr>
              <w:t>2/P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7.1.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nesniedz priekšstatu (nav precīzi definēti un izmērāmi) par projekta rezultātu un sasniegto uzlabojumu (ieguvumu) attiecībā pret identificēto stāvokli un ilgtermiņa ietekmi (tai skaitā rezultātu multiplikatīvo efektu un ilgtspēju)</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7.2.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sniedz priekšstatu par projekta rezultātu un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7.3.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sniedz skaidru priekšstatu (ir precīzi definēti un izmērāmi) par projekta rezultātu un sasniegto uzlabojumu (ieguvumu) attiecībā pret identificēto stāvokli un ilgtermiņa ietekmi (tai skaitā rezultātiem ir multiplikatīvais efekts, ir parādīta to ilgtspēja)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8.</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Izvēlētais personāls (ja pievienots CV) un fonda projekta iesniegumā definētās prasības personāla kompetencei, pieredzei un profesionālajai kvalifikācijai: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1/P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8.1.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nav pietiekamas projekta īstenošanai, jo prasības nav saistītas ar norādītajiem pienākumiem vai prasības nav definētas, vai izvēlētā projekta personāla izglītība un </w:t>
            </w:r>
            <w:r w:rsidRPr="00E37638">
              <w:rPr>
                <w:rFonts w:ascii="Times New Roman" w:hAnsi="Times New Roman"/>
              </w:rPr>
              <w:lastRenderedPageBreak/>
              <w:t>pieredze neatbilst izvirzītajām prasībām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lastRenderedPageBreak/>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lastRenderedPageBreak/>
              <w:t>8.2.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daļēji pietiekamas projekta īstenošanai, tomēr prasības ir definētas vispārīgi vai izvēlētajam projekta personālam nav pieredzes vai atbilstošas izglītības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1</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8.3.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daļēji pietiekamas projekta īstenošanai, tomēr prasības ir definētas vispārīgi, bet izvēlētajam projekta personālam ir atbilstoša izglītība un neliela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8.4.</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daļēji pietiekamas projekta īstenošanai, prasības ir definētas skaidri un atbilst pienākumu aprakstam, izvēlētajam projekta personālam ir atbilstoša izglītība, bet neliela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3</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8.5.</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apliecina spēju sekmīgi ieviest projektu, prasības ir definētas skaidri un atbilst pienākumu aprakstam, kā arī izvēlētajam projekta personālam ir atbilstoša izglītība un ilgstoša pieredze attiecībā uz uzticētajiem pienākumiem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9.</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īstenošanai nepieciešamā materiāltehniskā bāze:</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b/>
              </w:rPr>
            </w:pPr>
            <w:r w:rsidRPr="00E37638">
              <w:rPr>
                <w:rFonts w:ascii="Times New Roman" w:hAnsi="Times New Roman"/>
                <w:b/>
              </w:rPr>
              <w:t>0</w:t>
            </w:r>
            <w:bookmarkStart w:id="3" w:name="_GoBack"/>
            <w:bookmarkEnd w:id="3"/>
            <w:r w:rsidRPr="00E37638">
              <w:rPr>
                <w:rFonts w:ascii="Times New Roman" w:hAnsi="Times New Roman"/>
                <w:b/>
              </w:rPr>
              <w:t>/P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9.1.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pietiekama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947A63" w:rsidRPr="00BC0873" w:rsidTr="00BC0873">
        <w:tc>
          <w:tcPr>
            <w:tcW w:w="507" w:type="pct"/>
            <w:tcBorders>
              <w:top w:val="outset" w:sz="6" w:space="0" w:color="auto"/>
              <w:left w:val="outset" w:sz="6" w:space="0" w:color="auto"/>
              <w:bottom w:val="outset" w:sz="6" w:space="0" w:color="auto"/>
              <w:right w:val="outset" w:sz="6" w:space="0" w:color="auto"/>
            </w:tcBorders>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9.2.</w:t>
            </w:r>
          </w:p>
        </w:tc>
        <w:tc>
          <w:tcPr>
            <w:tcW w:w="2812" w:type="pct"/>
            <w:tcBorders>
              <w:top w:val="outset" w:sz="6" w:space="0" w:color="auto"/>
              <w:left w:val="outset" w:sz="6" w:space="0" w:color="auto"/>
              <w:bottom w:val="outset" w:sz="6" w:space="0" w:color="auto"/>
              <w:right w:val="outset" w:sz="6" w:space="0" w:color="auto"/>
            </w:tcBorders>
          </w:tcPr>
          <w:p w:rsidR="006E4F1C" w:rsidRDefault="00E37638">
            <w:pPr>
              <w:spacing w:after="0" w:line="240" w:lineRule="auto"/>
              <w:jc w:val="both"/>
              <w:rPr>
                <w:rFonts w:ascii="Times New Roman" w:hAnsi="Times New Roman"/>
              </w:rPr>
            </w:pPr>
            <w:r w:rsidRPr="00E37638">
              <w:rPr>
                <w:rFonts w:ascii="Times New Roman" w:hAnsi="Times New Roman"/>
              </w:rPr>
              <w:t>ir nodrošināta daļēji</w:t>
            </w:r>
          </w:p>
        </w:tc>
        <w:tc>
          <w:tcPr>
            <w:tcW w:w="507" w:type="pct"/>
            <w:tcBorders>
              <w:top w:val="outset" w:sz="6" w:space="0" w:color="auto"/>
              <w:left w:val="outset" w:sz="6" w:space="0" w:color="auto"/>
              <w:bottom w:val="outset" w:sz="6" w:space="0" w:color="auto"/>
              <w:right w:val="outset" w:sz="6" w:space="0" w:color="auto"/>
            </w:tcBorders>
          </w:tcPr>
          <w:p w:rsidR="00947A63"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3</w:t>
            </w:r>
          </w:p>
        </w:tc>
        <w:tc>
          <w:tcPr>
            <w:tcW w:w="1174" w:type="pct"/>
            <w:tcBorders>
              <w:top w:val="outset" w:sz="6" w:space="0" w:color="auto"/>
              <w:left w:val="outset" w:sz="6" w:space="0" w:color="auto"/>
              <w:bottom w:val="outset" w:sz="6" w:space="0" w:color="auto"/>
              <w:right w:val="outset" w:sz="6" w:space="0" w:color="auto"/>
            </w:tcBorders>
          </w:tcPr>
          <w:p w:rsidR="00947A63" w:rsidRPr="00BC0873" w:rsidRDefault="00947A63" w:rsidP="00882CF8">
            <w:pPr>
              <w:spacing w:after="0" w:line="240" w:lineRule="auto"/>
              <w:rPr>
                <w:rFonts w:ascii="Times New Roman" w:hAnsi="Times New Roman"/>
              </w:rPr>
            </w:pP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9.3.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nodrošināta pilnībā</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10.</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iesniegumā plānotā projekta uzraudzība: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0–3</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1/P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10.1.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definēta</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10.2.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ir definēta, tomēr projekta uzraudzības apraksts nesniedz skaidru priekšstatu, kā finansējuma saņēmējs nodrošinās efektīvu projekta ieviešanas kontroli un fonda finansējuma saņēmēja kontroli pār veiktajiem pasākumiem un izdevumiem </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1</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10.3.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ir skaidri definēta un nodrošinās efektīvu projekta ieviešanas kontroli un fonda finansējuma saņēmēja kontroli pār veiktajiem pasākumiem un izdevumiem </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3</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11.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publicitātes pasākumi: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0–3</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11.1.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definēti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11.2.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definēti, tomēr sniegs tikai nelielu informāciju par fonda projektu vai arī sasniegs tikai šauru personu loku</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1</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11.3.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definēti, sniedz plašu informāciju par fonda projektu un sasniedz plašu personu loku</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3</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12.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iesnieguma budžetā:</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0–7</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2/P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12.1.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izmaksas ir nesamērīgas, neatbilstošas tirgus cenām un projekta mērķim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F54F4B" w:rsidP="00882CF8">
            <w:pPr>
              <w:spacing w:before="100" w:beforeAutospacing="1" w:after="100" w:afterAutospacing="1" w:line="240" w:lineRule="auto"/>
              <w:jc w:val="center"/>
              <w:rPr>
                <w:rFonts w:ascii="Times New Roman" w:hAnsi="Times New Roman"/>
              </w:rPr>
            </w:pP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12.2.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izmaksas ir samērīgas, atbilst fonda projekta specifikai un mērķim un ir atbilstošas tirgus cenām, tomēr četrās vai vairāk budžeta pozīcijās izmaksas pārsniedz tirgus cenas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12.3.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 xml:space="preserve">izmaksas ir samērīgas, atbilst fonda projekta specifikai un mērķim un ir atbilstošas tirgus cenām, tomēr ne vairāk </w:t>
            </w:r>
            <w:r w:rsidRPr="00E37638">
              <w:rPr>
                <w:rFonts w:ascii="Times New Roman" w:hAnsi="Times New Roman"/>
              </w:rPr>
              <w:lastRenderedPageBreak/>
              <w:t xml:space="preserve">kā trijās budžeta pozīcijās izmaksas pārsniedz tirgus cenas </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lastRenderedPageBreak/>
              <w:t>4</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F54F4B" w:rsidP="00882CF8">
            <w:pPr>
              <w:spacing w:after="0" w:line="240" w:lineRule="auto"/>
              <w:rPr>
                <w:rFonts w:ascii="Times New Roman" w:hAnsi="Times New Roman"/>
              </w:rPr>
            </w:pP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lastRenderedPageBreak/>
              <w:t>12.4.</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izmaksas ir samērīgas un atbilstošas tirgus cenām visās izmaksu pozīcijās, ir pamatotas un atbilst fonda projekta specifikai un mērķim</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7</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b/>
              </w:rPr>
              <w:t>13.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Projekta iesniegumā metodes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b/>
              </w:rPr>
              <w:t>3/P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13.1.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formulētas</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13.2.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formulētas, tomēr nerada pilnīgu skaidrību par izvēlēto metožu atbilstību plānotajiem projekta pasākumiem un efektivitāti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3</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13.3.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ir skaidri un nepārprotami formulētas un rada pilnīgu skaidrību par izvēlēto metožu atbilstību plānotajiem projekta pasākumiem un efektivitāti mērķa grupas sasniegšanai</w:t>
            </w:r>
          </w:p>
        </w:tc>
        <w:tc>
          <w:tcPr>
            <w:tcW w:w="507"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hideMark/>
          </w:tcPr>
          <w:p w:rsidR="00F54F4B" w:rsidRPr="00BC0873" w:rsidRDefault="00E37638" w:rsidP="00882CF8">
            <w:pPr>
              <w:spacing w:after="0" w:line="240" w:lineRule="auto"/>
              <w:rPr>
                <w:rFonts w:ascii="Times New Roman" w:hAnsi="Times New Roman"/>
              </w:rPr>
            </w:pPr>
            <w:r w:rsidRPr="00E37638">
              <w:rPr>
                <w:rFonts w:ascii="Times New Roman" w:hAnsi="Times New Roman"/>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b/>
              </w:rPr>
            </w:pPr>
            <w:r w:rsidRPr="00E37638">
              <w:rPr>
                <w:rFonts w:ascii="Times New Roman" w:hAnsi="Times New Roman"/>
                <w:b/>
              </w:rPr>
              <w:t>14.</w:t>
            </w:r>
          </w:p>
        </w:tc>
        <w:tc>
          <w:tcPr>
            <w:tcW w:w="2812" w:type="pct"/>
            <w:tcBorders>
              <w:top w:val="outset" w:sz="6" w:space="0" w:color="auto"/>
              <w:left w:val="outset" w:sz="6" w:space="0" w:color="auto"/>
              <w:bottom w:val="outset" w:sz="6" w:space="0" w:color="auto"/>
              <w:right w:val="outset" w:sz="6" w:space="0" w:color="auto"/>
            </w:tcBorders>
            <w:vAlign w:val="center"/>
            <w:hideMark/>
          </w:tcPr>
          <w:p w:rsidR="006E4F1C" w:rsidRDefault="00E37638">
            <w:pPr>
              <w:spacing w:after="0" w:line="240" w:lineRule="auto"/>
              <w:jc w:val="both"/>
              <w:rPr>
                <w:rFonts w:ascii="Times New Roman" w:hAnsi="Times New Roman"/>
                <w:b/>
              </w:rPr>
            </w:pPr>
            <w:r w:rsidRPr="00E37638">
              <w:rPr>
                <w:rFonts w:ascii="Times New Roman" w:hAnsi="Times New Roman"/>
                <w:b/>
              </w:rPr>
              <w:t>Projekta iesnieguma riski, kas saistīti ar projekta pasākumu īstenošanu:</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before="100" w:beforeAutospacing="1" w:after="100" w:afterAutospacing="1" w:line="240" w:lineRule="auto"/>
              <w:jc w:val="center"/>
              <w:rPr>
                <w:rFonts w:ascii="Times New Roman" w:hAnsi="Times New Roman"/>
                <w:b/>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before="100" w:beforeAutospacing="1" w:after="100" w:afterAutospacing="1" w:line="240" w:lineRule="auto"/>
              <w:jc w:val="center"/>
              <w:rPr>
                <w:rFonts w:ascii="Times New Roman" w:hAnsi="Times New Roman"/>
                <w:b/>
              </w:rPr>
            </w:pPr>
            <w:r w:rsidRPr="00E37638">
              <w:rPr>
                <w:rFonts w:ascii="Times New Roman" w:hAnsi="Times New Roman"/>
                <w:b/>
              </w:rPr>
              <w:t>2/P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14.1.</w:t>
            </w:r>
          </w:p>
        </w:tc>
        <w:tc>
          <w:tcPr>
            <w:tcW w:w="2812" w:type="pct"/>
            <w:tcBorders>
              <w:top w:val="outset" w:sz="6" w:space="0" w:color="auto"/>
              <w:left w:val="outset" w:sz="6" w:space="0" w:color="auto"/>
              <w:bottom w:val="outset" w:sz="6" w:space="0" w:color="auto"/>
              <w:right w:val="outset" w:sz="6" w:space="0" w:color="auto"/>
            </w:tcBorders>
            <w:vAlign w:val="center"/>
            <w:hideMark/>
          </w:tcPr>
          <w:p w:rsidR="006E4F1C" w:rsidRDefault="00E37638">
            <w:pPr>
              <w:spacing w:after="0" w:line="240" w:lineRule="auto"/>
              <w:jc w:val="both"/>
              <w:rPr>
                <w:rFonts w:ascii="Times New Roman" w:hAnsi="Times New Roman"/>
                <w:b/>
              </w:rPr>
            </w:pPr>
            <w:r w:rsidRPr="00E37638">
              <w:rPr>
                <w:rFonts w:ascii="Times New Roman" w:hAnsi="Times New Roman"/>
              </w:rPr>
              <w:t>nav aprakstīti riski, kas saistīti ar projekta pasākumu īstenošanu, un nav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F54F4B" w:rsidP="00882CF8">
            <w:pPr>
              <w:spacing w:before="100" w:beforeAutospacing="1" w:after="100" w:afterAutospacing="1" w:line="240" w:lineRule="auto"/>
              <w:jc w:val="center"/>
              <w:rPr>
                <w:rFonts w:ascii="Times New Roman" w:hAnsi="Times New Roman"/>
                <w:b/>
              </w:rPr>
            </w:pP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14.2.</w:t>
            </w:r>
          </w:p>
        </w:tc>
        <w:tc>
          <w:tcPr>
            <w:tcW w:w="2812" w:type="pct"/>
            <w:tcBorders>
              <w:top w:val="outset" w:sz="6" w:space="0" w:color="auto"/>
              <w:left w:val="outset" w:sz="6" w:space="0" w:color="auto"/>
              <w:bottom w:val="outset" w:sz="6" w:space="0" w:color="auto"/>
              <w:right w:val="outset" w:sz="6" w:space="0" w:color="auto"/>
            </w:tcBorders>
            <w:vAlign w:val="center"/>
            <w:hideMark/>
          </w:tcPr>
          <w:p w:rsidR="006E4F1C" w:rsidRDefault="00E37638">
            <w:pPr>
              <w:spacing w:after="0" w:line="240" w:lineRule="auto"/>
              <w:jc w:val="both"/>
              <w:rPr>
                <w:rFonts w:ascii="Times New Roman" w:hAnsi="Times New Roman"/>
              </w:rPr>
            </w:pPr>
            <w:r w:rsidRPr="00E37638">
              <w:rPr>
                <w:rFonts w:ascii="Times New Roman" w:hAnsi="Times New Roman"/>
              </w:rPr>
              <w:t>ir daļēji aprakstīti riski, kas saistīti ar projekta pasākumu īstenošanu, un daļēji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F54F4B" w:rsidP="00882CF8">
            <w:pPr>
              <w:spacing w:before="100" w:beforeAutospacing="1" w:after="100" w:afterAutospacing="1" w:line="240" w:lineRule="auto"/>
              <w:jc w:val="center"/>
              <w:rPr>
                <w:rFonts w:ascii="Times New Roman" w:hAnsi="Times New Roman"/>
                <w:b/>
              </w:rPr>
            </w:pP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before="100" w:beforeAutospacing="1" w:after="100" w:afterAutospacing="1" w:line="240" w:lineRule="auto"/>
              <w:jc w:val="center"/>
              <w:rPr>
                <w:rFonts w:ascii="Times New Roman" w:hAnsi="Times New Roman"/>
              </w:rPr>
            </w:pPr>
            <w:r w:rsidRPr="00E37638">
              <w:rPr>
                <w:rFonts w:ascii="Times New Roman" w:hAnsi="Times New Roman"/>
              </w:rPr>
              <w:t>14.3.</w:t>
            </w:r>
          </w:p>
        </w:tc>
        <w:tc>
          <w:tcPr>
            <w:tcW w:w="2812" w:type="pct"/>
            <w:tcBorders>
              <w:top w:val="outset" w:sz="6" w:space="0" w:color="auto"/>
              <w:left w:val="outset" w:sz="6" w:space="0" w:color="auto"/>
              <w:bottom w:val="outset" w:sz="6" w:space="0" w:color="auto"/>
              <w:right w:val="outset" w:sz="6" w:space="0" w:color="auto"/>
            </w:tcBorders>
            <w:vAlign w:val="center"/>
            <w:hideMark/>
          </w:tcPr>
          <w:p w:rsidR="006E4F1C" w:rsidRDefault="00E37638">
            <w:pPr>
              <w:spacing w:after="0" w:line="240" w:lineRule="auto"/>
              <w:jc w:val="both"/>
              <w:rPr>
                <w:rFonts w:ascii="Times New Roman" w:hAnsi="Times New Roman"/>
              </w:rPr>
            </w:pPr>
            <w:r w:rsidRPr="00E37638">
              <w:rPr>
                <w:rFonts w:ascii="Times New Roman" w:hAnsi="Times New Roman"/>
              </w:rPr>
              <w:t>ir aprakstīti visi riski, kas saistīti ar projekta pasākumu īstenošanu, un izstrādāts risku novēršanas vai mazināšanas plāns</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before="100" w:beforeAutospacing="1" w:after="100" w:afterAutospacing="1"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F54F4B" w:rsidP="00882CF8">
            <w:pPr>
              <w:spacing w:before="100" w:beforeAutospacing="1" w:after="100" w:afterAutospacing="1" w:line="240" w:lineRule="auto"/>
              <w:jc w:val="center"/>
              <w:rPr>
                <w:rFonts w:ascii="Times New Roman" w:hAnsi="Times New Roman"/>
                <w:b/>
              </w:rPr>
            </w:pP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b/>
              </w:rPr>
            </w:pPr>
            <w:r w:rsidRPr="00E37638">
              <w:rPr>
                <w:rFonts w:ascii="Times New Roman" w:hAnsi="Times New Roman"/>
                <w:b/>
              </w:rPr>
              <w:t>15.</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rsidP="00EE1D1C">
            <w:pPr>
              <w:spacing w:after="0" w:line="240" w:lineRule="auto"/>
              <w:jc w:val="both"/>
              <w:rPr>
                <w:rFonts w:ascii="Times New Roman" w:hAnsi="Times New Roman"/>
                <w:b/>
              </w:rPr>
            </w:pPr>
            <w:r w:rsidRPr="00E37638">
              <w:rPr>
                <w:rFonts w:ascii="Times New Roman" w:hAnsi="Times New Roman"/>
                <w:b/>
              </w:rPr>
              <w:t xml:space="preserve">Projekta iesnieguma ieguldījums aktivitāšu īstenošanā, kas nodrošina administratīvās kapacitātes stiprināšanu </w:t>
            </w:r>
            <w:r w:rsidR="00EE1D1C">
              <w:rPr>
                <w:rFonts w:ascii="Times New Roman" w:hAnsi="Times New Roman"/>
                <w:b/>
              </w:rPr>
              <w:t>jomas</w:t>
            </w:r>
            <w:r w:rsidR="00F76832">
              <w:rPr>
                <w:rFonts w:ascii="Times New Roman" w:hAnsi="Times New Roman"/>
                <w:b/>
              </w:rPr>
              <w:t xml:space="preserve"> speciālistiem, kas nodrošina pakalpojumus</w:t>
            </w:r>
            <w:r w:rsidR="00F172B0">
              <w:rPr>
                <w:rFonts w:ascii="Times New Roman" w:hAnsi="Times New Roman"/>
                <w:b/>
              </w:rPr>
              <w:t xml:space="preserve"> </w:t>
            </w:r>
            <w:r w:rsidR="00EE1D1C">
              <w:rPr>
                <w:rFonts w:ascii="Times New Roman" w:hAnsi="Times New Roman"/>
                <w:b/>
              </w:rPr>
              <w:t>trešo valstu pilsoņiem, īpaši</w:t>
            </w:r>
            <w:r w:rsidR="00F76832">
              <w:rPr>
                <w:rFonts w:ascii="Times New Roman" w:hAnsi="Times New Roman"/>
                <w:b/>
              </w:rPr>
              <w:t xml:space="preserve"> vietējā un reģionālā</w:t>
            </w:r>
            <w:r w:rsidR="00F172B0">
              <w:rPr>
                <w:rFonts w:ascii="Times New Roman" w:hAnsi="Times New Roman"/>
                <w:b/>
              </w:rPr>
              <w:t xml:space="preserve"> līmenī</w:t>
            </w:r>
            <w:r w:rsidRPr="00E37638">
              <w:rPr>
                <w:rFonts w:ascii="Times New Roman" w:hAnsi="Times New Roman"/>
                <w:b/>
              </w:rPr>
              <w:t>:</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b/>
              </w:rPr>
            </w:pPr>
            <w:r w:rsidRPr="00E37638">
              <w:rPr>
                <w:rFonts w:ascii="Times New Roman" w:hAnsi="Times New Roman"/>
                <w:b/>
              </w:rPr>
              <w:t>0–5</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b/>
              </w:rPr>
            </w:pPr>
            <w:r w:rsidRPr="00E37638">
              <w:rPr>
                <w:rFonts w:ascii="Times New Roman" w:hAnsi="Times New Roman"/>
                <w:b/>
              </w:rPr>
              <w:t>1/P</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15.1.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nav plānots īstenot ne vienu no šā pielikuma 15.4.apakšpunktā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F54F4B" w:rsidP="00882CF8">
            <w:pPr>
              <w:spacing w:after="0" w:line="240" w:lineRule="auto"/>
              <w:jc w:val="center"/>
              <w:rPr>
                <w:rFonts w:ascii="Times New Roman" w:hAnsi="Times New Roman"/>
                <w:b/>
              </w:rPr>
            </w:pP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15.2.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b/>
              </w:rPr>
            </w:pPr>
            <w:r w:rsidRPr="00E37638">
              <w:rPr>
                <w:rFonts w:ascii="Times New Roman" w:hAnsi="Times New Roman"/>
              </w:rPr>
              <w:t>plānots īstenot vienu no šā pielikuma 15.4.apakšpunktā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1</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b/>
              </w:rPr>
            </w:pPr>
            <w:r w:rsidRPr="00E37638">
              <w:rPr>
                <w:rFonts w:ascii="Times New Roman" w:hAnsi="Times New Roman"/>
                <w:b/>
              </w:rPr>
              <w:t> </w:t>
            </w:r>
          </w:p>
        </w:tc>
      </w:tr>
      <w:tr w:rsidR="00F54F4B" w:rsidRPr="00BC0873" w:rsidTr="00BC0873">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15.3.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plānots īstenot divas no šā pielikuma 15.4.apakšpunktā minētajām aktivitātēm</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2</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b/>
              </w:rPr>
            </w:pPr>
            <w:r w:rsidRPr="00E37638">
              <w:rPr>
                <w:rFonts w:ascii="Times New Roman" w:hAnsi="Times New Roman"/>
                <w:b/>
              </w:rPr>
              <w:t> </w:t>
            </w:r>
          </w:p>
        </w:tc>
      </w:tr>
      <w:tr w:rsidR="00F54F4B" w:rsidRPr="00BC0873" w:rsidTr="00BC0873">
        <w:trPr>
          <w:trHeight w:val="2669"/>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15.4.</w:t>
            </w:r>
          </w:p>
        </w:tc>
        <w:tc>
          <w:tcPr>
            <w:tcW w:w="2812" w:type="pct"/>
            <w:tcBorders>
              <w:top w:val="outset" w:sz="6" w:space="0" w:color="auto"/>
              <w:left w:val="outset" w:sz="6" w:space="0" w:color="auto"/>
              <w:bottom w:val="outset" w:sz="6" w:space="0" w:color="auto"/>
              <w:right w:val="outset" w:sz="6" w:space="0" w:color="auto"/>
            </w:tcBorders>
            <w:vAlign w:val="center"/>
            <w:hideMark/>
          </w:tcPr>
          <w:p w:rsidR="00BC0873" w:rsidRPr="00BC0873" w:rsidRDefault="00BC0873" w:rsidP="00BC0873">
            <w:pPr>
              <w:snapToGrid w:val="0"/>
              <w:spacing w:line="240" w:lineRule="auto"/>
              <w:jc w:val="both"/>
              <w:rPr>
                <w:rFonts w:cs="Calibri"/>
              </w:rPr>
            </w:pPr>
            <w:r>
              <w:rPr>
                <w:rFonts w:ascii="Times New Roman" w:hAnsi="Times New Roman"/>
              </w:rPr>
              <w:t>p</w:t>
            </w:r>
            <w:r w:rsidR="002A39BE" w:rsidRPr="00BC0873">
              <w:rPr>
                <w:rFonts w:ascii="Times New Roman" w:hAnsi="Times New Roman"/>
              </w:rPr>
              <w:t>lānots u</w:t>
            </w:r>
            <w:r>
              <w:rPr>
                <w:rFonts w:ascii="Times New Roman" w:hAnsi="Times New Roman"/>
              </w:rPr>
              <w:t>zlabot</w:t>
            </w:r>
            <w:r w:rsidR="00E37638" w:rsidRPr="00E37638">
              <w:rPr>
                <w:rFonts w:ascii="Times New Roman" w:hAnsi="Times New Roman"/>
              </w:rPr>
              <w:t xml:space="preserve"> dažādu speciālistu kompetenci starpkultūru komunikācijā un zināšanas par trešo valstu pilsoņu uzņemšanas un integrācijas jautājumiem, it īpaši Latvijas reģionos, vienlaicīgi nodrošinot starpdisciplināru komandu veidošanu</w:t>
            </w:r>
            <w:r>
              <w:rPr>
                <w:rFonts w:ascii="Times New Roman" w:hAnsi="Times New Roman"/>
              </w:rPr>
              <w:t>; p</w:t>
            </w:r>
            <w:r w:rsidR="00882CF8" w:rsidRPr="00BC0873">
              <w:rPr>
                <w:rFonts w:ascii="Times New Roman" w:hAnsi="Times New Roman"/>
              </w:rPr>
              <w:t>lānots</w:t>
            </w:r>
            <w:r w:rsidR="00E37638" w:rsidRPr="00E37638">
              <w:rPr>
                <w:rFonts w:ascii="Times New Roman" w:hAnsi="Times New Roman"/>
              </w:rPr>
              <w:t xml:space="preserve"> uzlabot pedagoģiskā personāla spējas strādāt starpkultūru vidē un sadarboties ar trešo valstu pilsoņu ģimenēm, tajā skaitā nodrošināta apmācība darbam ar metodiskajiem materiāliem dažādām vecuma grupām un nodrošināti metodisko materiālu komplekti</w:t>
            </w:r>
            <w:r w:rsidR="00EE1D1C">
              <w:rPr>
                <w:rFonts w:ascii="Times New Roman" w:hAnsi="Times New Roman"/>
              </w:rPr>
              <w:t>.</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b/>
              </w:rPr>
            </w:pPr>
            <w:r w:rsidRPr="00E37638">
              <w:rPr>
                <w:rFonts w:ascii="Times New Roman" w:hAnsi="Times New Roman"/>
                <w:b/>
              </w:rPr>
              <w:t> </w:t>
            </w:r>
          </w:p>
        </w:tc>
      </w:tr>
      <w:tr w:rsidR="00F54F4B"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b/>
              </w:rPr>
              <w:t>16.</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rPr>
              <w:t xml:space="preserve">Projekta iesniegumā plānotais tiešā labuma guvēju skaits visos fonda projektā </w:t>
            </w:r>
            <w:r w:rsidRPr="00E37638">
              <w:rPr>
                <w:rStyle w:val="c1"/>
                <w:rFonts w:ascii="Times New Roman" w:hAnsi="Times New Roman"/>
                <w:b/>
                <w:color w:val="000000"/>
              </w:rPr>
              <w:t>paredzētajos</w:t>
            </w:r>
            <w:r w:rsidRPr="00E37638">
              <w:rPr>
                <w:rFonts w:ascii="Times New Roman" w:hAnsi="Times New Roman"/>
                <w:b/>
              </w:rPr>
              <w:t xml:space="preserve"> pasākumos </w:t>
            </w:r>
            <w:r w:rsidRPr="00E37638">
              <w:rPr>
                <w:rFonts w:ascii="Times New Roman" w:hAnsi="Times New Roman"/>
                <w:b/>
              </w:rPr>
              <w:lastRenderedPageBreak/>
              <w:t>kopumā (atkarībā no projektā plānotajām kopējām izmaksām):</w:t>
            </w:r>
          </w:p>
        </w:tc>
        <w:tc>
          <w:tcPr>
            <w:tcW w:w="507"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rPr>
            </w:pPr>
            <w:r w:rsidRPr="00E37638">
              <w:rPr>
                <w:rFonts w:ascii="Times New Roman" w:hAnsi="Times New Roman"/>
                <w:b/>
              </w:rPr>
              <w:lastRenderedPageBreak/>
              <w:t>0–5</w:t>
            </w:r>
          </w:p>
        </w:tc>
        <w:tc>
          <w:tcPr>
            <w:tcW w:w="1174" w:type="pct"/>
            <w:tcBorders>
              <w:top w:val="outset" w:sz="6" w:space="0" w:color="auto"/>
              <w:left w:val="outset" w:sz="6" w:space="0" w:color="auto"/>
              <w:bottom w:val="outset" w:sz="6" w:space="0" w:color="auto"/>
              <w:right w:val="outset" w:sz="6" w:space="0" w:color="auto"/>
            </w:tcBorders>
            <w:vAlign w:val="center"/>
            <w:hideMark/>
          </w:tcPr>
          <w:p w:rsidR="00F54F4B" w:rsidRPr="00BC0873" w:rsidRDefault="00E37638" w:rsidP="00882CF8">
            <w:pPr>
              <w:spacing w:after="0" w:line="240" w:lineRule="auto"/>
              <w:jc w:val="center"/>
              <w:rPr>
                <w:rFonts w:ascii="Times New Roman" w:hAnsi="Times New Roman"/>
                <w:b/>
              </w:rPr>
            </w:pPr>
            <w:r w:rsidRPr="00E37638">
              <w:rPr>
                <w:rFonts w:ascii="Times New Roman" w:hAnsi="Times New Roman"/>
                <w:b/>
              </w:rPr>
              <w:t>2/P</w:t>
            </w: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b/>
              </w:rPr>
              <w:lastRenderedPageBreak/>
              <w:t>16.1.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rsidP="00EE1D1C">
            <w:pPr>
              <w:spacing w:after="0" w:line="240" w:lineRule="auto"/>
              <w:jc w:val="both"/>
              <w:rPr>
                <w:rFonts w:ascii="Times New Roman" w:hAnsi="Times New Roman"/>
              </w:rPr>
            </w:pPr>
            <w:r w:rsidRPr="00E37638">
              <w:rPr>
                <w:rFonts w:ascii="Times New Roman" w:hAnsi="Times New Roman"/>
                <w:b/>
                <w:spacing w:val="-2"/>
              </w:rPr>
              <w:t xml:space="preserve">Ja projekta kopējās izmaksas plānotas 23 549,03 – </w:t>
            </w:r>
            <w:r w:rsidR="00EE1D1C">
              <w:rPr>
                <w:rFonts w:ascii="Times New Roman" w:hAnsi="Times New Roman"/>
                <w:b/>
                <w:spacing w:val="-2"/>
              </w:rPr>
              <w:t>49 999</w:t>
            </w:r>
            <w:r w:rsidRPr="00E37638">
              <w:rPr>
                <w:rFonts w:ascii="Times New Roman" w:hAnsi="Times New Roman"/>
                <w:b/>
                <w:spacing w:val="-2"/>
              </w:rPr>
              <w:t xml:space="preserve">,00 </w:t>
            </w:r>
            <w:r w:rsidRPr="00E37638">
              <w:rPr>
                <w:rFonts w:ascii="Times New Roman" w:hAnsi="Times New Roman"/>
                <w:b/>
                <w:i/>
                <w:spacing w:val="-2"/>
              </w:rPr>
              <w:t>euro:</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rPr>
            </w:pP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16.1.1.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BC0873">
            <w:pPr>
              <w:spacing w:after="0" w:line="240" w:lineRule="auto"/>
              <w:jc w:val="both"/>
              <w:rPr>
                <w:rFonts w:ascii="Times New Roman" w:hAnsi="Times New Roman"/>
              </w:rPr>
            </w:pPr>
            <w:r>
              <w:rPr>
                <w:rFonts w:ascii="Times New Roman" w:hAnsi="Times New Roman"/>
                <w:spacing w:val="-2"/>
              </w:rPr>
              <w:t>l</w:t>
            </w:r>
            <w:r w:rsidR="00FC09C8" w:rsidRPr="00BC0873">
              <w:rPr>
                <w:rFonts w:ascii="Times New Roman" w:hAnsi="Times New Roman"/>
                <w:spacing w:val="-2"/>
              </w:rPr>
              <w:t>īdz</w:t>
            </w:r>
            <w:r w:rsidR="00E37638" w:rsidRPr="00E37638">
              <w:rPr>
                <w:rFonts w:ascii="Times New Roman" w:hAnsi="Times New Roman"/>
                <w:spacing w:val="-2"/>
              </w:rPr>
              <w:t xml:space="preserve"> 49 (ieskaitot) 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b/>
              </w:rPr>
              <w:t>0</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16.1.2.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spacing w:val="-2"/>
              </w:rPr>
              <w:t>50 – 99 (ieskaitot) 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b/>
              </w:rPr>
              <w:t>2</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16.1.3.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spacing w:val="-2"/>
              </w:rPr>
              <w:t>100 – 149 (ieskaitot)</w:t>
            </w:r>
            <w:r w:rsidR="00BC0873">
              <w:rPr>
                <w:rFonts w:ascii="Times New Roman" w:hAnsi="Times New Roman"/>
                <w:spacing w:val="-2"/>
              </w:rPr>
              <w:t xml:space="preserve"> </w:t>
            </w:r>
            <w:r w:rsidRPr="00E37638">
              <w:rPr>
                <w:rFonts w:ascii="Times New Roman" w:hAnsi="Times New Roman"/>
                <w:spacing w:val="-2"/>
              </w:rPr>
              <w:t>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b/>
              </w:rPr>
              <w:t>3</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16.1.4.</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spacing w:val="-2"/>
              </w:rPr>
              <w:t>150 – 200 (ieskaitot) 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b/>
              </w:rPr>
              <w:t>4</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16.1.5.</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spacing w:val="-2"/>
              </w:rPr>
              <w:t>vairāk par 201 cilvēku</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b/>
              </w:rPr>
              <w:t>5</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b/>
              </w:rPr>
            </w:pPr>
            <w:r w:rsidRPr="00E37638">
              <w:rPr>
                <w:rFonts w:ascii="Times New Roman" w:hAnsi="Times New Roman"/>
                <w:b/>
              </w:rPr>
              <w:t>16.2.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b/>
                <w:spacing w:val="-2"/>
              </w:rPr>
              <w:t xml:space="preserve">Ja projekta kopējās izmaksas plānotas 50 000,00 </w:t>
            </w:r>
            <w:r w:rsidR="00BC0873" w:rsidRPr="00BC0873">
              <w:rPr>
                <w:rFonts w:ascii="Times New Roman" w:hAnsi="Times New Roman"/>
                <w:b/>
                <w:spacing w:val="-2"/>
              </w:rPr>
              <w:t>–</w:t>
            </w:r>
            <w:r w:rsidRPr="00E37638">
              <w:rPr>
                <w:rFonts w:ascii="Times New Roman" w:hAnsi="Times New Roman"/>
                <w:b/>
                <w:i/>
                <w:spacing w:val="-2"/>
              </w:rPr>
              <w:t xml:space="preserve"> </w:t>
            </w:r>
            <w:r w:rsidRPr="00E37638">
              <w:rPr>
                <w:rFonts w:ascii="Times New Roman" w:hAnsi="Times New Roman"/>
                <w:b/>
                <w:spacing w:val="-2"/>
              </w:rPr>
              <w:t>88 259,20</w:t>
            </w:r>
            <w:r w:rsidRPr="00E37638">
              <w:rPr>
                <w:rFonts w:ascii="Times New Roman" w:hAnsi="Times New Roman"/>
                <w:b/>
                <w:i/>
                <w:spacing w:val="-2"/>
              </w:rPr>
              <w:t xml:space="preserve"> euro</w:t>
            </w:r>
            <w:r w:rsidRPr="00E37638">
              <w:rPr>
                <w:rFonts w:ascii="Times New Roman" w:hAnsi="Times New Roman"/>
                <w:b/>
                <w:spacing w:val="-2"/>
              </w:rPr>
              <w:t>:</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rPr>
            </w:pP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b/>
              </w:rPr>
            </w:pPr>
            <w:r w:rsidRPr="00E37638">
              <w:rPr>
                <w:rFonts w:ascii="Times New Roman" w:hAnsi="Times New Roman"/>
                <w:b/>
              </w:rPr>
              <w:t>2/P</w:t>
            </w: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16.2.1.</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līdz 99 (ieskaitot) cilvēku</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rPr>
              <w:t>0</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16.2.2.</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100</w:t>
            </w:r>
            <w:r w:rsidRPr="00E37638">
              <w:rPr>
                <w:rFonts w:ascii="Times New Roman" w:hAnsi="Times New Roman"/>
                <w:b/>
              </w:rPr>
              <w:t>–</w:t>
            </w:r>
            <w:r w:rsidRPr="00E37638">
              <w:rPr>
                <w:rFonts w:ascii="Times New Roman" w:hAnsi="Times New Roman"/>
              </w:rPr>
              <w:t>149 (ieskaitot) 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rPr>
              <w:t>1</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16.2.3.</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150</w:t>
            </w:r>
            <w:r w:rsidRPr="00E37638">
              <w:rPr>
                <w:rFonts w:ascii="Times New Roman" w:hAnsi="Times New Roman"/>
                <w:b/>
              </w:rPr>
              <w:t>–</w:t>
            </w:r>
            <w:r w:rsidRPr="00E37638">
              <w:rPr>
                <w:rFonts w:ascii="Times New Roman" w:hAnsi="Times New Roman"/>
              </w:rPr>
              <w:t>200 (ieskaitot) 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rPr>
              <w:t>3</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rPr>
          <w:trHeight w:val="320"/>
        </w:trPr>
        <w:tc>
          <w:tcPr>
            <w:tcW w:w="507"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center"/>
              <w:rPr>
                <w:rFonts w:ascii="Times New Roman" w:hAnsi="Times New Roman"/>
              </w:rPr>
            </w:pPr>
            <w:r w:rsidRPr="00E37638">
              <w:rPr>
                <w:rFonts w:ascii="Times New Roman" w:hAnsi="Times New Roman"/>
              </w:rPr>
              <w:t>16.2.4.</w:t>
            </w:r>
          </w:p>
        </w:tc>
        <w:tc>
          <w:tcPr>
            <w:tcW w:w="2812" w:type="pct"/>
            <w:tcBorders>
              <w:top w:val="outset" w:sz="6" w:space="0" w:color="auto"/>
              <w:left w:val="outset" w:sz="6" w:space="0" w:color="auto"/>
              <w:bottom w:val="outset" w:sz="6" w:space="0" w:color="auto"/>
              <w:right w:val="outset" w:sz="6" w:space="0" w:color="auto"/>
            </w:tcBorders>
            <w:hideMark/>
          </w:tcPr>
          <w:p w:rsidR="006E4F1C" w:rsidRDefault="00E37638">
            <w:pPr>
              <w:spacing w:after="0" w:line="240" w:lineRule="auto"/>
              <w:jc w:val="both"/>
              <w:rPr>
                <w:rFonts w:ascii="Times New Roman" w:hAnsi="Times New Roman"/>
              </w:rPr>
            </w:pPr>
            <w:r w:rsidRPr="00E37638">
              <w:rPr>
                <w:rFonts w:ascii="Times New Roman" w:hAnsi="Times New Roman"/>
              </w:rPr>
              <w:t>vairāk kā 200 cilvēki</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rPr>
            </w:pPr>
            <w:r w:rsidRPr="00E37638">
              <w:rPr>
                <w:rFonts w:ascii="Times New Roman" w:hAnsi="Times New Roman"/>
              </w:rPr>
              <w:t>5</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r w:rsidR="00FC09C8" w:rsidRPr="00BC0873" w:rsidTr="00BC0873">
        <w:tc>
          <w:tcPr>
            <w:tcW w:w="3319" w:type="pct"/>
            <w:gridSpan w:val="2"/>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right"/>
              <w:rPr>
                <w:rFonts w:ascii="Times New Roman" w:hAnsi="Times New Roman"/>
                <w:b/>
              </w:rPr>
            </w:pPr>
            <w:r w:rsidRPr="00E37638">
              <w:rPr>
                <w:rFonts w:ascii="Times New Roman" w:hAnsi="Times New Roman"/>
                <w:b/>
              </w:rPr>
              <w:t>Kopā</w:t>
            </w:r>
          </w:p>
        </w:tc>
        <w:tc>
          <w:tcPr>
            <w:tcW w:w="507"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E37638" w:rsidP="00882CF8">
            <w:pPr>
              <w:spacing w:after="0" w:line="240" w:lineRule="auto"/>
              <w:jc w:val="center"/>
              <w:rPr>
                <w:rFonts w:ascii="Times New Roman" w:hAnsi="Times New Roman"/>
                <w:b/>
              </w:rPr>
            </w:pPr>
            <w:r w:rsidRPr="00E37638">
              <w:rPr>
                <w:rFonts w:ascii="Times New Roman" w:hAnsi="Times New Roman"/>
                <w:b/>
              </w:rPr>
              <w:t>0–78</w:t>
            </w:r>
          </w:p>
        </w:tc>
        <w:tc>
          <w:tcPr>
            <w:tcW w:w="1174" w:type="pct"/>
            <w:tcBorders>
              <w:top w:val="outset" w:sz="6" w:space="0" w:color="auto"/>
              <w:left w:val="outset" w:sz="6" w:space="0" w:color="auto"/>
              <w:bottom w:val="outset" w:sz="6" w:space="0" w:color="auto"/>
              <w:right w:val="outset" w:sz="6" w:space="0" w:color="auto"/>
            </w:tcBorders>
            <w:vAlign w:val="center"/>
            <w:hideMark/>
          </w:tcPr>
          <w:p w:rsidR="00FC09C8" w:rsidRPr="00BC0873" w:rsidRDefault="00FC09C8" w:rsidP="00882CF8">
            <w:pPr>
              <w:spacing w:after="0" w:line="240" w:lineRule="auto"/>
              <w:jc w:val="center"/>
              <w:rPr>
                <w:rFonts w:ascii="Times New Roman" w:hAnsi="Times New Roman"/>
                <w:b/>
              </w:rPr>
            </w:pPr>
          </w:p>
        </w:tc>
      </w:tr>
    </w:tbl>
    <w:p w:rsidR="009A37F6" w:rsidRPr="00BC0873" w:rsidRDefault="009A37F6" w:rsidP="009A37F6">
      <w:pPr>
        <w:pStyle w:val="Bezatstarpm"/>
        <w:ind w:right="-199"/>
        <w:rPr>
          <w:rFonts w:ascii="Times New Roman" w:hAnsi="Times New Roman"/>
        </w:rPr>
      </w:pPr>
    </w:p>
    <w:p w:rsidR="009A37F6" w:rsidRPr="00BC0873" w:rsidRDefault="009A37F6" w:rsidP="009A37F6">
      <w:pPr>
        <w:pStyle w:val="Bezatstarpm"/>
        <w:ind w:right="-199"/>
        <w:rPr>
          <w:rFonts w:ascii="Times New Roman" w:hAnsi="Times New Roman"/>
        </w:rPr>
      </w:pPr>
    </w:p>
    <w:p w:rsidR="006E4F1C" w:rsidRDefault="00E37638">
      <w:pPr>
        <w:pStyle w:val="Bezatstarpm"/>
        <w:ind w:right="-199"/>
        <w:rPr>
          <w:rFonts w:ascii="Times New Roman" w:hAnsi="Times New Roman"/>
        </w:rPr>
      </w:pPr>
      <w:r w:rsidRPr="00E37638">
        <w:rPr>
          <w:rFonts w:ascii="Times New Roman" w:hAnsi="Times New Roman"/>
        </w:rPr>
        <w:t>Kultūras ministre</w:t>
      </w:r>
      <w:r w:rsidRPr="00E37638">
        <w:rPr>
          <w:rFonts w:ascii="Times New Roman" w:hAnsi="Times New Roman"/>
        </w:rPr>
        <w:tab/>
      </w:r>
      <w:r w:rsidRPr="00E37638">
        <w:rPr>
          <w:rFonts w:ascii="Times New Roman" w:hAnsi="Times New Roman"/>
        </w:rPr>
        <w:tab/>
      </w:r>
      <w:r w:rsidRPr="00E37638">
        <w:rPr>
          <w:rFonts w:ascii="Times New Roman" w:hAnsi="Times New Roman"/>
        </w:rPr>
        <w:tab/>
      </w:r>
      <w:r w:rsidRPr="00E37638">
        <w:rPr>
          <w:rFonts w:ascii="Times New Roman" w:hAnsi="Times New Roman"/>
        </w:rPr>
        <w:tab/>
      </w:r>
      <w:r w:rsidRPr="00E37638">
        <w:rPr>
          <w:rFonts w:ascii="Times New Roman" w:hAnsi="Times New Roman"/>
        </w:rPr>
        <w:tab/>
      </w:r>
      <w:r w:rsidRPr="00E37638">
        <w:rPr>
          <w:rFonts w:ascii="Times New Roman" w:hAnsi="Times New Roman"/>
        </w:rPr>
        <w:tab/>
      </w:r>
      <w:r w:rsidR="00BC0873">
        <w:rPr>
          <w:rFonts w:ascii="Times New Roman" w:hAnsi="Times New Roman"/>
          <w:szCs w:val="24"/>
        </w:rPr>
        <w:tab/>
      </w:r>
      <w:r w:rsidR="00BC0873">
        <w:rPr>
          <w:rFonts w:ascii="Times New Roman" w:hAnsi="Times New Roman"/>
          <w:szCs w:val="24"/>
        </w:rPr>
        <w:tab/>
      </w:r>
      <w:r w:rsidRPr="00E37638">
        <w:rPr>
          <w:rFonts w:ascii="Times New Roman" w:hAnsi="Times New Roman"/>
        </w:rPr>
        <w:t>D.Melbārde</w:t>
      </w:r>
    </w:p>
    <w:p w:rsidR="00BC0873" w:rsidRPr="00086D72" w:rsidRDefault="00BC0873" w:rsidP="00BC0873">
      <w:pPr>
        <w:pStyle w:val="Bezatstarpm"/>
        <w:ind w:right="-199"/>
        <w:rPr>
          <w:rFonts w:ascii="Times New Roman" w:hAnsi="Times New Roman"/>
        </w:rPr>
      </w:pPr>
    </w:p>
    <w:p w:rsidR="00BC0873" w:rsidRPr="00086D72" w:rsidRDefault="00BC0873" w:rsidP="00BC0873">
      <w:pPr>
        <w:pStyle w:val="Bezatstarpm"/>
        <w:ind w:right="-199"/>
        <w:rPr>
          <w:rFonts w:ascii="Times New Roman" w:hAnsi="Times New Roman"/>
          <w:szCs w:val="24"/>
        </w:rPr>
      </w:pPr>
      <w:r w:rsidRPr="00086D72">
        <w:rPr>
          <w:rFonts w:ascii="Times New Roman" w:hAnsi="Times New Roman"/>
          <w:szCs w:val="24"/>
        </w:rPr>
        <w:t>Vīza: Valsts sekretāra p.i.</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BC0873" w:rsidRPr="00086D72" w:rsidRDefault="00BC0873" w:rsidP="00BC0873">
      <w:pPr>
        <w:pStyle w:val="Bezatstarpm"/>
        <w:ind w:right="-199"/>
        <w:rPr>
          <w:rFonts w:ascii="Times New Roman" w:hAnsi="Times New Roman"/>
          <w:szCs w:val="24"/>
        </w:rPr>
      </w:pPr>
    </w:p>
    <w:p w:rsidR="00BC0873" w:rsidRDefault="00BC0873" w:rsidP="00BC0873">
      <w:pPr>
        <w:pStyle w:val="Bezatstarpm"/>
        <w:ind w:right="-199"/>
        <w:rPr>
          <w:rFonts w:ascii="Times New Roman" w:hAnsi="Times New Roman"/>
          <w:szCs w:val="24"/>
        </w:rPr>
      </w:pPr>
    </w:p>
    <w:p w:rsidR="00BC0873" w:rsidRDefault="00BC0873" w:rsidP="00BC0873">
      <w:pPr>
        <w:pStyle w:val="Bezatstarpm"/>
        <w:ind w:right="-199"/>
        <w:rPr>
          <w:rFonts w:ascii="Times New Roman" w:hAnsi="Times New Roman"/>
          <w:szCs w:val="24"/>
        </w:rPr>
      </w:pPr>
    </w:p>
    <w:p w:rsidR="00BC0873" w:rsidRDefault="00BC0873" w:rsidP="00BC0873">
      <w:pPr>
        <w:pStyle w:val="Bezatstarpm"/>
        <w:ind w:right="-199"/>
        <w:rPr>
          <w:rFonts w:ascii="Times New Roman" w:hAnsi="Times New Roman"/>
          <w:szCs w:val="24"/>
        </w:rPr>
      </w:pPr>
    </w:p>
    <w:p w:rsidR="00BC0873" w:rsidRDefault="00BC0873" w:rsidP="00BC0873">
      <w:pPr>
        <w:pStyle w:val="Bezatstarpm"/>
        <w:ind w:right="-199"/>
        <w:rPr>
          <w:rFonts w:ascii="Times New Roman" w:hAnsi="Times New Roman"/>
          <w:szCs w:val="24"/>
        </w:rPr>
      </w:pPr>
    </w:p>
    <w:p w:rsidR="00BC0873" w:rsidRPr="00086D72" w:rsidRDefault="00BC0873" w:rsidP="00BC0873">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B255E7A77D1542449C2375D935B5ED08"/>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BC0873" w:rsidRPr="00086D72" w:rsidRDefault="00662E3C" w:rsidP="00BC0873">
          <w:pPr>
            <w:pStyle w:val="Bezatstarpm"/>
            <w:ind w:right="-199"/>
            <w:rPr>
              <w:rFonts w:ascii="Times New Roman" w:hAnsi="Times New Roman"/>
              <w:szCs w:val="24"/>
            </w:rPr>
          </w:pPr>
          <w:r>
            <w:rPr>
              <w:rFonts w:ascii="Times New Roman" w:hAnsi="Times New Roman"/>
              <w:szCs w:val="24"/>
            </w:rPr>
            <w:t>2014.05.26.</w:t>
          </w:r>
        </w:p>
      </w:sdtContent>
    </w:sdt>
    <w:p w:rsidR="00BC0873" w:rsidRPr="00086D72" w:rsidRDefault="00EE1D1C" w:rsidP="00BC0873">
      <w:pPr>
        <w:pStyle w:val="Bezatstarpm"/>
        <w:ind w:right="-199"/>
        <w:rPr>
          <w:rFonts w:ascii="Times New Roman" w:hAnsi="Times New Roman"/>
          <w:szCs w:val="24"/>
        </w:rPr>
      </w:pPr>
      <w:r>
        <w:rPr>
          <w:rFonts w:ascii="Times New Roman" w:hAnsi="Times New Roman"/>
          <w:szCs w:val="24"/>
        </w:rPr>
        <w:t>1242</w:t>
      </w:r>
    </w:p>
    <w:p w:rsidR="00BC0873" w:rsidRPr="00086D72" w:rsidRDefault="00126D3D" w:rsidP="00BC0873">
      <w:pPr>
        <w:pStyle w:val="Bezatstarpm"/>
        <w:ind w:right="-199"/>
        <w:rPr>
          <w:rFonts w:ascii="Times New Roman" w:hAnsi="Times New Roman"/>
        </w:rPr>
      </w:pPr>
      <w:r>
        <w:rPr>
          <w:rFonts w:ascii="Times New Roman" w:hAnsi="Times New Roman"/>
          <w:szCs w:val="24"/>
        </w:rPr>
        <w:t>G.Preimanis</w:t>
      </w:r>
      <w:r w:rsidR="00BC0873" w:rsidRPr="00086D72">
        <w:rPr>
          <w:rFonts w:ascii="Times New Roman" w:hAnsi="Times New Roman"/>
          <w:szCs w:val="24"/>
        </w:rPr>
        <w:t>,</w:t>
      </w:r>
      <w:r w:rsidR="00EE1D1C">
        <w:rPr>
          <w:rFonts w:ascii="Times New Roman" w:hAnsi="Times New Roman"/>
        </w:rPr>
        <w:t xml:space="preserve"> 6733031</w:t>
      </w:r>
      <w:r>
        <w:rPr>
          <w:rFonts w:ascii="Times New Roman" w:hAnsi="Times New Roman"/>
        </w:rPr>
        <w:t>4</w:t>
      </w:r>
    </w:p>
    <w:p w:rsidR="00BC0873" w:rsidRPr="00086D72" w:rsidRDefault="000A5290" w:rsidP="00BC0873">
      <w:pPr>
        <w:pStyle w:val="Bezatstarpm"/>
        <w:ind w:right="-199"/>
        <w:rPr>
          <w:rFonts w:ascii="Times New Roman" w:hAnsi="Times New Roman"/>
          <w:color w:val="1F497D" w:themeColor="text2"/>
          <w:szCs w:val="24"/>
        </w:rPr>
      </w:pPr>
      <w:hyperlink r:id="rId8" w:history="1">
        <w:r w:rsidR="008E6256" w:rsidRPr="00B1266B">
          <w:rPr>
            <w:rStyle w:val="Hipersaite"/>
            <w:rFonts w:ascii="Times New Roman" w:hAnsi="Times New Roman"/>
            <w:szCs w:val="24"/>
          </w:rPr>
          <w:t>Gatis.Preimanis@km.gov.lv</w:t>
        </w:r>
      </w:hyperlink>
    </w:p>
    <w:p w:rsidR="006E4F1C" w:rsidRDefault="006E4F1C">
      <w:pPr>
        <w:spacing w:after="0" w:line="240" w:lineRule="auto"/>
        <w:ind w:firstLine="720"/>
        <w:rPr>
          <w:b/>
        </w:rPr>
      </w:pPr>
    </w:p>
    <w:sectPr w:rsidR="006E4F1C" w:rsidSect="00BC0873">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B0" w:rsidRDefault="00F172B0" w:rsidP="00F00E74">
      <w:pPr>
        <w:spacing w:after="0" w:line="240" w:lineRule="auto"/>
      </w:pPr>
      <w:r>
        <w:separator/>
      </w:r>
    </w:p>
  </w:endnote>
  <w:endnote w:type="continuationSeparator" w:id="0">
    <w:p w:rsidR="00F172B0" w:rsidRDefault="00F172B0" w:rsidP="00F00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B0" w:rsidRDefault="00F172B0">
    <w:pPr>
      <w:tabs>
        <w:tab w:val="left" w:pos="7560"/>
      </w:tabs>
      <w:spacing w:after="0" w:line="240" w:lineRule="auto"/>
      <w:jc w:val="both"/>
      <w:rPr>
        <w:rFonts w:ascii="Times New Roman" w:hAnsi="Times New Roman"/>
      </w:rPr>
    </w:pPr>
    <w:r w:rsidRPr="00E37638">
      <w:rPr>
        <w:rFonts w:ascii="Times New Roman" w:hAnsi="Times New Roman"/>
      </w:rPr>
      <w:t>KMNotp09_</w:t>
    </w:r>
    <w:r>
      <w:rPr>
        <w:rFonts w:ascii="Times New Roman" w:hAnsi="Times New Roman"/>
      </w:rPr>
      <w:t>2</w:t>
    </w:r>
    <w:r w:rsidR="00D06DD6">
      <w:rPr>
        <w:rFonts w:ascii="Times New Roman" w:hAnsi="Times New Roman"/>
      </w:rPr>
      <w:t>605</w:t>
    </w:r>
    <w:r w:rsidRPr="00086D72">
      <w:rPr>
        <w:rFonts w:ascii="Times New Roman" w:hAnsi="Times New Roman"/>
      </w:rPr>
      <w:t>2014</w:t>
    </w:r>
    <w:r w:rsidRPr="00E37638">
      <w:rPr>
        <w:rFonts w:ascii="Times New Roman" w:hAnsi="Times New Roman"/>
      </w:rPr>
      <w:t>_ETVVIF_2013; Ministru kabineta noteikumu projekta „Noteikumi par Eiropas Trešo valstu valstspiederīgo integrācijas fonda 2013.gada programmas aktivitāšu īstenošanu” 9.pielikums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B0" w:rsidRDefault="00F172B0">
    <w:pPr>
      <w:tabs>
        <w:tab w:val="left" w:pos="7560"/>
      </w:tabs>
      <w:spacing w:after="0" w:line="240" w:lineRule="auto"/>
      <w:jc w:val="both"/>
      <w:rPr>
        <w:rFonts w:ascii="Times New Roman" w:hAnsi="Times New Roman"/>
      </w:rPr>
    </w:pPr>
    <w:r>
      <w:rPr>
        <w:rFonts w:ascii="Times New Roman" w:hAnsi="Times New Roman"/>
      </w:rPr>
      <w:t>KMNotp09</w:t>
    </w:r>
    <w:r w:rsidRPr="00086D72">
      <w:rPr>
        <w:rFonts w:ascii="Times New Roman" w:hAnsi="Times New Roman"/>
      </w:rPr>
      <w:t>_</w:t>
    </w:r>
    <w:r>
      <w:rPr>
        <w:rFonts w:ascii="Times New Roman" w:hAnsi="Times New Roman"/>
      </w:rPr>
      <w:t>2</w:t>
    </w:r>
    <w:r w:rsidR="00D06DD6">
      <w:rPr>
        <w:rFonts w:ascii="Times New Roman" w:hAnsi="Times New Roman"/>
      </w:rPr>
      <w:t>605</w:t>
    </w:r>
    <w:r w:rsidRPr="00086D72">
      <w:rPr>
        <w:rFonts w:ascii="Times New Roman" w:hAnsi="Times New Roman"/>
      </w:rPr>
      <w:t>2014_ETVVIF_2013</w:t>
    </w:r>
    <w:r w:rsidRPr="00086D72">
      <w:rPr>
        <w:rFonts w:ascii="Times New Roman" w:hAnsi="Times New Roman"/>
        <w:bCs/>
      </w:rPr>
      <w:t>; Ministru kabineta noteikumu projekta „Noteikumi par Eiropas Trešo valstu valstspiederīgo integrācijas fonda 2013.gada programmas aktiv</w:t>
    </w:r>
    <w:r>
      <w:rPr>
        <w:rFonts w:ascii="Times New Roman" w:hAnsi="Times New Roman"/>
        <w:bCs/>
      </w:rPr>
      <w:t>itāšu īstenošanu” 9</w:t>
    </w:r>
    <w:r w:rsidRPr="00086D72">
      <w:rPr>
        <w:rFonts w:ascii="Times New Roman" w:hAnsi="Times New Roman"/>
        <w:bCs/>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B0" w:rsidRDefault="00F172B0" w:rsidP="00F00E74">
      <w:pPr>
        <w:spacing w:after="0" w:line="240" w:lineRule="auto"/>
      </w:pPr>
      <w:r>
        <w:separator/>
      </w:r>
    </w:p>
  </w:footnote>
  <w:footnote w:type="continuationSeparator" w:id="0">
    <w:p w:rsidR="00F172B0" w:rsidRDefault="00F172B0" w:rsidP="00F00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77916"/>
      <w:docPartObj>
        <w:docPartGallery w:val="Page Numbers (Top of Page)"/>
        <w:docPartUnique/>
      </w:docPartObj>
    </w:sdtPr>
    <w:sdtEndPr>
      <w:rPr>
        <w:rFonts w:ascii="Times New Roman" w:hAnsi="Times New Roman" w:cs="Times New Roman"/>
      </w:rPr>
    </w:sdtEndPr>
    <w:sdtContent>
      <w:p w:rsidR="00F172B0" w:rsidRPr="00BC0873" w:rsidRDefault="000A5290">
        <w:pPr>
          <w:pStyle w:val="Galvene"/>
          <w:jc w:val="center"/>
          <w:rPr>
            <w:rFonts w:ascii="Times New Roman" w:hAnsi="Times New Roman" w:cs="Times New Roman"/>
          </w:rPr>
        </w:pPr>
        <w:r w:rsidRPr="00BC0873">
          <w:rPr>
            <w:rFonts w:ascii="Times New Roman" w:hAnsi="Times New Roman" w:cs="Times New Roman"/>
          </w:rPr>
          <w:fldChar w:fldCharType="begin"/>
        </w:r>
        <w:r w:rsidR="00F172B0" w:rsidRPr="00BC0873">
          <w:rPr>
            <w:rFonts w:ascii="Times New Roman" w:hAnsi="Times New Roman" w:cs="Times New Roman"/>
          </w:rPr>
          <w:instrText xml:space="preserve"> PAGE   \* MERGEFORMAT </w:instrText>
        </w:r>
        <w:r w:rsidRPr="00BC0873">
          <w:rPr>
            <w:rFonts w:ascii="Times New Roman" w:hAnsi="Times New Roman" w:cs="Times New Roman"/>
          </w:rPr>
          <w:fldChar w:fldCharType="separate"/>
        </w:r>
        <w:r w:rsidR="00004295">
          <w:rPr>
            <w:rFonts w:ascii="Times New Roman" w:hAnsi="Times New Roman" w:cs="Times New Roman"/>
            <w:noProof/>
          </w:rPr>
          <w:t>5</w:t>
        </w:r>
        <w:r w:rsidRPr="00BC0873">
          <w:rPr>
            <w:rFonts w:ascii="Times New Roman" w:hAnsi="Times New Roman" w:cs="Times New Roman"/>
          </w:rPr>
          <w:fldChar w:fldCharType="end"/>
        </w:r>
      </w:p>
    </w:sdtContent>
  </w:sdt>
  <w:p w:rsidR="00F172B0" w:rsidRDefault="00F172B0">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3F6E04"/>
    <w:rsid w:val="00004295"/>
    <w:rsid w:val="000474D0"/>
    <w:rsid w:val="00080107"/>
    <w:rsid w:val="00091B2A"/>
    <w:rsid w:val="000A5290"/>
    <w:rsid w:val="000B2715"/>
    <w:rsid w:val="000F4E68"/>
    <w:rsid w:val="00126D3D"/>
    <w:rsid w:val="0015665B"/>
    <w:rsid w:val="00232250"/>
    <w:rsid w:val="00234E98"/>
    <w:rsid w:val="00247F7E"/>
    <w:rsid w:val="002A39BE"/>
    <w:rsid w:val="002D07B1"/>
    <w:rsid w:val="00321546"/>
    <w:rsid w:val="003233C2"/>
    <w:rsid w:val="00333D79"/>
    <w:rsid w:val="00336D44"/>
    <w:rsid w:val="00347FB8"/>
    <w:rsid w:val="003529D9"/>
    <w:rsid w:val="003B0265"/>
    <w:rsid w:val="003B3166"/>
    <w:rsid w:val="003C3702"/>
    <w:rsid w:val="003D314A"/>
    <w:rsid w:val="003D61C5"/>
    <w:rsid w:val="003E02ED"/>
    <w:rsid w:val="003F6E04"/>
    <w:rsid w:val="0040157C"/>
    <w:rsid w:val="00402B60"/>
    <w:rsid w:val="004E5B22"/>
    <w:rsid w:val="00535D0B"/>
    <w:rsid w:val="005B20DA"/>
    <w:rsid w:val="005B739C"/>
    <w:rsid w:val="00643C13"/>
    <w:rsid w:val="00651138"/>
    <w:rsid w:val="006536D4"/>
    <w:rsid w:val="00662E3C"/>
    <w:rsid w:val="00663D19"/>
    <w:rsid w:val="006E01C4"/>
    <w:rsid w:val="006E4F1C"/>
    <w:rsid w:val="007048CF"/>
    <w:rsid w:val="00714886"/>
    <w:rsid w:val="007204BF"/>
    <w:rsid w:val="00732E6A"/>
    <w:rsid w:val="0076552F"/>
    <w:rsid w:val="007E1E36"/>
    <w:rsid w:val="00882CF8"/>
    <w:rsid w:val="008B2D42"/>
    <w:rsid w:val="008B5585"/>
    <w:rsid w:val="008E551A"/>
    <w:rsid w:val="008E6256"/>
    <w:rsid w:val="009156B9"/>
    <w:rsid w:val="00947A63"/>
    <w:rsid w:val="009509A4"/>
    <w:rsid w:val="009758FE"/>
    <w:rsid w:val="00981FB9"/>
    <w:rsid w:val="009A37F6"/>
    <w:rsid w:val="009B2905"/>
    <w:rsid w:val="00A31C3C"/>
    <w:rsid w:val="00A34C6C"/>
    <w:rsid w:val="00A477AD"/>
    <w:rsid w:val="00A61731"/>
    <w:rsid w:val="00A9462F"/>
    <w:rsid w:val="00AA18FF"/>
    <w:rsid w:val="00B01F80"/>
    <w:rsid w:val="00BC0873"/>
    <w:rsid w:val="00C2237D"/>
    <w:rsid w:val="00C97990"/>
    <w:rsid w:val="00CA35E0"/>
    <w:rsid w:val="00D06DD6"/>
    <w:rsid w:val="00D10622"/>
    <w:rsid w:val="00D27912"/>
    <w:rsid w:val="00D3302F"/>
    <w:rsid w:val="00D85220"/>
    <w:rsid w:val="00E37638"/>
    <w:rsid w:val="00E401C1"/>
    <w:rsid w:val="00E429BE"/>
    <w:rsid w:val="00E855BF"/>
    <w:rsid w:val="00EB6311"/>
    <w:rsid w:val="00EE1D1C"/>
    <w:rsid w:val="00F00E74"/>
    <w:rsid w:val="00F172B0"/>
    <w:rsid w:val="00F54F4B"/>
    <w:rsid w:val="00F552DE"/>
    <w:rsid w:val="00F64BD6"/>
    <w:rsid w:val="00F76832"/>
    <w:rsid w:val="00F870B3"/>
    <w:rsid w:val="00FA6CD7"/>
    <w:rsid w:val="00FC09C8"/>
    <w:rsid w:val="00FF0A25"/>
    <w:rsid w:val="00FF3667"/>
    <w:rsid w:val="00FF6A7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31C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3F6E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6E04"/>
    <w:rPr>
      <w:rFonts w:ascii="Tahoma" w:hAnsi="Tahoma" w:cs="Tahoma"/>
      <w:sz w:val="16"/>
      <w:szCs w:val="16"/>
    </w:rPr>
  </w:style>
  <w:style w:type="character" w:customStyle="1" w:styleId="c1">
    <w:name w:val="c1"/>
    <w:basedOn w:val="Noklusjumarindkopasfonts"/>
    <w:rsid w:val="00336D44"/>
  </w:style>
  <w:style w:type="character" w:styleId="Komentraatsauce">
    <w:name w:val="annotation reference"/>
    <w:basedOn w:val="Noklusjumarindkopasfonts"/>
    <w:uiPriority w:val="99"/>
    <w:semiHidden/>
    <w:unhideWhenUsed/>
    <w:rsid w:val="00F552DE"/>
    <w:rPr>
      <w:sz w:val="16"/>
      <w:szCs w:val="16"/>
    </w:rPr>
  </w:style>
  <w:style w:type="paragraph" w:styleId="Komentrateksts">
    <w:name w:val="annotation text"/>
    <w:basedOn w:val="Parastais"/>
    <w:link w:val="KomentratekstsRakstz"/>
    <w:uiPriority w:val="99"/>
    <w:semiHidden/>
    <w:unhideWhenUsed/>
    <w:rsid w:val="00F552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52DE"/>
    <w:rPr>
      <w:sz w:val="20"/>
      <w:szCs w:val="20"/>
    </w:rPr>
  </w:style>
  <w:style w:type="paragraph" w:styleId="Komentratma">
    <w:name w:val="annotation subject"/>
    <w:basedOn w:val="Komentrateksts"/>
    <w:next w:val="Komentrateksts"/>
    <w:link w:val="KomentratmaRakstz"/>
    <w:uiPriority w:val="99"/>
    <w:semiHidden/>
    <w:unhideWhenUsed/>
    <w:rsid w:val="00F552DE"/>
    <w:rPr>
      <w:b/>
      <w:bCs/>
    </w:rPr>
  </w:style>
  <w:style w:type="character" w:customStyle="1" w:styleId="KomentratmaRakstz">
    <w:name w:val="Komentāra tēma Rakstz."/>
    <w:basedOn w:val="KomentratekstsRakstz"/>
    <w:link w:val="Komentratma"/>
    <w:uiPriority w:val="99"/>
    <w:semiHidden/>
    <w:rsid w:val="00F552DE"/>
    <w:rPr>
      <w:b/>
      <w:bCs/>
      <w:sz w:val="20"/>
      <w:szCs w:val="20"/>
    </w:rPr>
  </w:style>
  <w:style w:type="paragraph" w:styleId="Bezatstarpm">
    <w:name w:val="No Spacing"/>
    <w:uiPriority w:val="1"/>
    <w:qFormat/>
    <w:rsid w:val="009A37F6"/>
    <w:pPr>
      <w:spacing w:after="0" w:line="240" w:lineRule="auto"/>
    </w:pPr>
    <w:rPr>
      <w:rFonts w:ascii="Calibri" w:eastAsia="Calibri" w:hAnsi="Calibri" w:cs="Times New Roman"/>
    </w:rPr>
  </w:style>
  <w:style w:type="paragraph" w:customStyle="1" w:styleId="tv213">
    <w:name w:val="tv213"/>
    <w:basedOn w:val="Parastais"/>
    <w:uiPriority w:val="99"/>
    <w:rsid w:val="009A37F6"/>
    <w:pPr>
      <w:spacing w:before="240" w:after="0" w:line="360" w:lineRule="auto"/>
      <w:ind w:firstLine="212"/>
      <w:jc w:val="both"/>
    </w:pPr>
    <w:rPr>
      <w:rFonts w:ascii="Times New Roman" w:eastAsia="Times New Roman" w:hAnsi="Times New Roman" w:cs="Times New Roman"/>
      <w:color w:val="000000"/>
      <w:sz w:val="14"/>
      <w:szCs w:val="14"/>
      <w:lang w:eastAsia="lv-LV"/>
    </w:rPr>
  </w:style>
  <w:style w:type="paragraph" w:styleId="Galvene">
    <w:name w:val="header"/>
    <w:basedOn w:val="Parastais"/>
    <w:link w:val="GalveneRakstz"/>
    <w:uiPriority w:val="99"/>
    <w:unhideWhenUsed/>
    <w:rsid w:val="00F00E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0E74"/>
  </w:style>
  <w:style w:type="paragraph" w:styleId="Kjene">
    <w:name w:val="footer"/>
    <w:basedOn w:val="Parastais"/>
    <w:link w:val="KjeneRakstz"/>
    <w:uiPriority w:val="99"/>
    <w:unhideWhenUsed/>
    <w:rsid w:val="00F00E7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0E74"/>
  </w:style>
  <w:style w:type="character" w:styleId="Hipersaite">
    <w:name w:val="Hyperlink"/>
    <w:basedOn w:val="Noklusjumarindkopasfonts"/>
    <w:uiPriority w:val="99"/>
    <w:unhideWhenUsed/>
    <w:rsid w:val="00BC0873"/>
    <w:rPr>
      <w:strike w:val="0"/>
      <w:dstrike w:val="0"/>
      <w:color w:val="3399FF"/>
      <w:u w:val="none"/>
      <w:effect w:val="none"/>
    </w:rPr>
  </w:style>
  <w:style w:type="character" w:styleId="Vietturateksts">
    <w:name w:val="Placeholder Text"/>
    <w:basedOn w:val="Noklusjumarindkopasfonts"/>
    <w:uiPriority w:val="99"/>
    <w:semiHidden/>
    <w:rsid w:val="00BC08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atis.Preimanis@k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5E7A77D1542449C2375D935B5ED08"/>
        <w:category>
          <w:name w:val="Vispārīgi"/>
          <w:gallery w:val="placeholder"/>
        </w:category>
        <w:types>
          <w:type w:val="bbPlcHdr"/>
        </w:types>
        <w:behaviors>
          <w:behavior w:val="content"/>
        </w:behaviors>
        <w:guid w:val="{D287366D-2681-4346-BAA3-BDD3C8122C39}"/>
      </w:docPartPr>
      <w:docPartBody>
        <w:p w:rsidR="00FC0BBA" w:rsidRDefault="00200391" w:rsidP="00200391">
          <w:pPr>
            <w:pStyle w:val="B255E7A77D1542449C2375D935B5ED08"/>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0391"/>
    <w:rsid w:val="00200391"/>
    <w:rsid w:val="002F2768"/>
    <w:rsid w:val="00351700"/>
    <w:rsid w:val="00BD3540"/>
    <w:rsid w:val="00C16C41"/>
    <w:rsid w:val="00D07244"/>
    <w:rsid w:val="00FC0B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C0BB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00391"/>
    <w:rPr>
      <w:color w:val="808080"/>
    </w:rPr>
  </w:style>
  <w:style w:type="paragraph" w:customStyle="1" w:styleId="B255E7A77D1542449C2375D935B5ED08">
    <w:name w:val="B255E7A77D1542449C2375D935B5ED08"/>
    <w:rsid w:val="0020039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6112</Words>
  <Characters>3484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3.aktivitātes „Izstrādāt un ieviest starpkultūru mācību sistēmu, palielinot iespējas un daudzveidības apziņu, valsts, privāto institūciju un sociālo partneru personāla apmācība, kuri nodrošina pakalpojumus, tostarp izglītības iestādes” projektu iesniegumu kvalitātes vērtēšanas kritēriji(atklāta projektu iesniegumu atlase)</dc:title>
  <dc:subject>9.pielikums</dc:subject>
  <dc:creator>Gatis Preimanis</dc:creator>
  <dc:description>67330314
Gatis.Preimanis@km.gov.lv</dc:description>
  <cp:lastModifiedBy>Dzintra Rozīte</cp:lastModifiedBy>
  <cp:revision>7</cp:revision>
  <cp:lastPrinted>2013-10-16T15:24:00Z</cp:lastPrinted>
  <dcterms:created xsi:type="dcterms:W3CDTF">2014-02-18T12:58:00Z</dcterms:created>
  <dcterms:modified xsi:type="dcterms:W3CDTF">2014-05-30T10:28:00Z</dcterms:modified>
</cp:coreProperties>
</file>