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78" w:rsidRPr="006E5629" w:rsidRDefault="00F42C63" w:rsidP="00E15BE7">
      <w:pPr>
        <w:pStyle w:val="naisf"/>
        <w:spacing w:before="0" w:after="0"/>
        <w:ind w:firstLine="374"/>
        <w:jc w:val="center"/>
        <w:rPr>
          <w:sz w:val="26"/>
          <w:szCs w:val="26"/>
        </w:rPr>
      </w:pPr>
      <w:r w:rsidRPr="006E5629">
        <w:rPr>
          <w:b/>
          <w:sz w:val="26"/>
          <w:szCs w:val="26"/>
        </w:rPr>
        <w:t xml:space="preserve">Ministru kabineta rīkojuma </w:t>
      </w:r>
      <w:r w:rsidR="00435670" w:rsidRPr="006E5629">
        <w:rPr>
          <w:b/>
          <w:sz w:val="26"/>
          <w:szCs w:val="26"/>
        </w:rPr>
        <w:t>„</w:t>
      </w:r>
      <w:r w:rsidR="0071247E">
        <w:rPr>
          <w:b/>
          <w:sz w:val="26"/>
          <w:szCs w:val="26"/>
        </w:rPr>
        <w:t>Par finanšu līdzekļu piešķiršanu no valsts budžeta programmas „Līdzekļi neparedzētiem gadījumiem</w:t>
      </w:r>
      <w:r w:rsidR="00435670" w:rsidRPr="006E5629">
        <w:rPr>
          <w:b/>
          <w:sz w:val="26"/>
          <w:szCs w:val="26"/>
        </w:rPr>
        <w:t>”</w:t>
      </w:r>
      <w:r w:rsidR="0071247E">
        <w:rPr>
          <w:b/>
          <w:sz w:val="26"/>
          <w:szCs w:val="26"/>
        </w:rPr>
        <w:t>”</w:t>
      </w:r>
      <w:r w:rsidR="00E15BE7" w:rsidRPr="006E5629">
        <w:rPr>
          <w:b/>
          <w:sz w:val="26"/>
          <w:szCs w:val="26"/>
        </w:rPr>
        <w:t xml:space="preserve"> projekta sākotnējās ietekmes novērtējuma ziņojums</w:t>
      </w:r>
      <w:r w:rsidR="00B530F2">
        <w:rPr>
          <w:b/>
          <w:sz w:val="26"/>
          <w:szCs w:val="26"/>
        </w:rPr>
        <w:t xml:space="preserve"> </w:t>
      </w:r>
      <w:r w:rsidR="00816960" w:rsidRPr="006E5629">
        <w:rPr>
          <w:b/>
          <w:sz w:val="26"/>
          <w:szCs w:val="26"/>
        </w:rPr>
        <w:t>(anotācija)</w:t>
      </w: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40"/>
      </w:tblGrid>
      <w:tr w:rsidR="00453978" w:rsidRPr="006E5629">
        <w:tc>
          <w:tcPr>
            <w:tcW w:w="9485" w:type="dxa"/>
            <w:gridSpan w:val="3"/>
            <w:vAlign w:val="center"/>
          </w:tcPr>
          <w:p w:rsidR="00453978" w:rsidRPr="006E5629" w:rsidRDefault="00453978" w:rsidP="00954594">
            <w:pPr>
              <w:pStyle w:val="naisnod"/>
              <w:spacing w:before="0" w:after="0"/>
              <w:rPr>
                <w:sz w:val="23"/>
                <w:szCs w:val="23"/>
              </w:rPr>
            </w:pPr>
            <w:r w:rsidRPr="006E5629">
              <w:rPr>
                <w:sz w:val="23"/>
                <w:szCs w:val="23"/>
              </w:rPr>
              <w:t>I. Tiesību akta projekta izstrādes nepieciešamība</w:t>
            </w:r>
          </w:p>
        </w:tc>
      </w:tr>
      <w:tr w:rsidR="00453978" w:rsidRPr="006E5629">
        <w:trPr>
          <w:trHeight w:val="630"/>
        </w:trPr>
        <w:tc>
          <w:tcPr>
            <w:tcW w:w="550" w:type="dxa"/>
          </w:tcPr>
          <w:p w:rsidR="00453978" w:rsidRPr="006E5629" w:rsidRDefault="008B60AB" w:rsidP="00954594">
            <w:pPr>
              <w:pStyle w:val="naiskr"/>
              <w:spacing w:before="0" w:after="0"/>
              <w:rPr>
                <w:sz w:val="23"/>
                <w:szCs w:val="23"/>
              </w:rPr>
            </w:pPr>
            <w:r w:rsidRPr="006E5629">
              <w:rPr>
                <w:sz w:val="23"/>
                <w:szCs w:val="23"/>
              </w:rPr>
              <w:t xml:space="preserve"> </w:t>
            </w:r>
            <w:r w:rsidR="00453978" w:rsidRPr="006E5629">
              <w:rPr>
                <w:sz w:val="23"/>
                <w:szCs w:val="23"/>
              </w:rPr>
              <w:t>1.</w:t>
            </w:r>
          </w:p>
        </w:tc>
        <w:tc>
          <w:tcPr>
            <w:tcW w:w="3295" w:type="dxa"/>
          </w:tcPr>
          <w:p w:rsidR="00453978" w:rsidRPr="006E5629" w:rsidRDefault="00453978" w:rsidP="00954594">
            <w:pPr>
              <w:pStyle w:val="naiskr"/>
              <w:spacing w:before="0" w:after="0"/>
              <w:ind w:hanging="10"/>
              <w:rPr>
                <w:sz w:val="23"/>
                <w:szCs w:val="23"/>
              </w:rPr>
            </w:pPr>
            <w:r w:rsidRPr="006E5629">
              <w:rPr>
                <w:sz w:val="23"/>
                <w:szCs w:val="23"/>
              </w:rPr>
              <w:t>Pamatojums</w:t>
            </w:r>
          </w:p>
        </w:tc>
        <w:tc>
          <w:tcPr>
            <w:tcW w:w="5640" w:type="dxa"/>
          </w:tcPr>
          <w:p w:rsidR="0071247E" w:rsidRPr="003052A6" w:rsidRDefault="00816960" w:rsidP="0071247E">
            <w:pPr>
              <w:pStyle w:val="naisf"/>
              <w:tabs>
                <w:tab w:val="left" w:pos="1134"/>
              </w:tabs>
              <w:spacing w:before="0" w:after="0"/>
              <w:rPr>
                <w:sz w:val="28"/>
                <w:szCs w:val="28"/>
              </w:rPr>
            </w:pPr>
            <w:r w:rsidRPr="0071247E">
              <w:rPr>
                <w:sz w:val="23"/>
                <w:szCs w:val="23"/>
              </w:rPr>
              <w:t xml:space="preserve">Ministru kabineta rīkojuma </w:t>
            </w:r>
            <w:r w:rsidR="00E15BE7" w:rsidRPr="0071247E">
              <w:rPr>
                <w:sz w:val="23"/>
                <w:szCs w:val="23"/>
              </w:rPr>
              <w:t>„</w:t>
            </w:r>
            <w:r w:rsidR="0071247E" w:rsidRPr="0071247E">
              <w:rPr>
                <w:sz w:val="23"/>
                <w:szCs w:val="23"/>
              </w:rPr>
              <w:t>Par finanšu līdzekļu piešķiršanu no valsts budžeta programmas „Līdzekļi neparedzētiem gadījumiem</w:t>
            </w:r>
            <w:r w:rsidR="00E15BE7" w:rsidRPr="0071247E">
              <w:rPr>
                <w:sz w:val="23"/>
                <w:szCs w:val="23"/>
              </w:rPr>
              <w:t>”</w:t>
            </w:r>
            <w:r w:rsidR="0071247E">
              <w:rPr>
                <w:sz w:val="23"/>
                <w:szCs w:val="23"/>
              </w:rPr>
              <w:t>”</w:t>
            </w:r>
            <w:r w:rsidR="00E15BE7" w:rsidRPr="0071247E">
              <w:rPr>
                <w:sz w:val="23"/>
                <w:szCs w:val="23"/>
              </w:rPr>
              <w:t xml:space="preserve"> </w:t>
            </w:r>
            <w:r w:rsidRPr="0071247E">
              <w:rPr>
                <w:sz w:val="23"/>
                <w:szCs w:val="23"/>
              </w:rPr>
              <w:t xml:space="preserve">projekts (turpmāk - rīkojuma projekts) sagatavots, </w:t>
            </w:r>
            <w:r w:rsidR="0071247E" w:rsidRPr="0071247E">
              <w:rPr>
                <w:sz w:val="23"/>
                <w:szCs w:val="23"/>
                <w:shd w:val="clear" w:color="auto" w:fill="FFFFFF"/>
              </w:rPr>
              <w:t xml:space="preserve">lai 2014.gadā atbilstoši Ministru kabineta 2013.gada 11.decembra rīkojuma Nr.610 „Par vienreizēju kompensāciju piešķiršanu sakarā ar traģēdiju Priedaines ielā 20, Rīgā” </w:t>
            </w:r>
            <w:r w:rsidR="00737B47" w:rsidRPr="006E5629">
              <w:rPr>
                <w:sz w:val="23"/>
                <w:szCs w:val="23"/>
              </w:rPr>
              <w:t>(turpmāk – rīkojums</w:t>
            </w:r>
            <w:r w:rsidR="00737B47">
              <w:rPr>
                <w:sz w:val="23"/>
                <w:szCs w:val="23"/>
              </w:rPr>
              <w:t xml:space="preserve"> Nr.610</w:t>
            </w:r>
            <w:r w:rsidR="00737B47" w:rsidRPr="006E5629">
              <w:rPr>
                <w:sz w:val="23"/>
                <w:szCs w:val="23"/>
              </w:rPr>
              <w:t>)</w:t>
            </w:r>
            <w:r w:rsidR="00737B47">
              <w:rPr>
                <w:sz w:val="23"/>
                <w:szCs w:val="23"/>
              </w:rPr>
              <w:t xml:space="preserve"> </w:t>
            </w:r>
            <w:r w:rsidR="0071247E" w:rsidRPr="0071247E">
              <w:rPr>
                <w:sz w:val="23"/>
                <w:szCs w:val="23"/>
                <w:shd w:val="clear" w:color="auto" w:fill="FFFFFF"/>
              </w:rPr>
              <w:t>1.1. apakšpunkt</w:t>
            </w:r>
            <w:r w:rsidR="00EF0304">
              <w:rPr>
                <w:sz w:val="23"/>
                <w:szCs w:val="23"/>
                <w:shd w:val="clear" w:color="auto" w:fill="FFFFFF"/>
              </w:rPr>
              <w:t>am</w:t>
            </w:r>
            <w:r w:rsidR="0071247E" w:rsidRPr="0071247E">
              <w:rPr>
                <w:sz w:val="23"/>
                <w:szCs w:val="23"/>
                <w:shd w:val="clear" w:color="auto" w:fill="FFFFFF"/>
              </w:rPr>
              <w:t xml:space="preserve"> nodrošinātu vienreizēj</w:t>
            </w:r>
            <w:r w:rsidR="00EF0304">
              <w:rPr>
                <w:sz w:val="23"/>
                <w:szCs w:val="23"/>
                <w:shd w:val="clear" w:color="auto" w:fill="FFFFFF"/>
              </w:rPr>
              <w:t>u</w:t>
            </w:r>
            <w:r w:rsidR="0071247E" w:rsidRPr="0071247E">
              <w:rPr>
                <w:sz w:val="23"/>
                <w:szCs w:val="23"/>
                <w:shd w:val="clear" w:color="auto" w:fill="FFFFFF"/>
              </w:rPr>
              <w:t xml:space="preserve"> kompensāciju izmaks</w:t>
            </w:r>
            <w:r w:rsidR="00EF0304">
              <w:rPr>
                <w:sz w:val="23"/>
                <w:szCs w:val="23"/>
                <w:shd w:val="clear" w:color="auto" w:fill="FFFFFF"/>
              </w:rPr>
              <w:t>u traģēdijā cietušajām personām</w:t>
            </w:r>
            <w:r w:rsidR="0071247E" w:rsidRPr="0071247E">
              <w:rPr>
                <w:sz w:val="23"/>
                <w:szCs w:val="23"/>
                <w:shd w:val="clear" w:color="auto" w:fill="FFFFFF"/>
              </w:rPr>
              <w:t>.</w:t>
            </w:r>
          </w:p>
          <w:p w:rsidR="00453978" w:rsidRPr="0071247E" w:rsidRDefault="00453978" w:rsidP="0071247E">
            <w:pPr>
              <w:pStyle w:val="naiskr"/>
              <w:spacing w:before="0" w:after="0"/>
              <w:jc w:val="both"/>
              <w:rPr>
                <w:sz w:val="23"/>
                <w:szCs w:val="23"/>
              </w:rPr>
            </w:pPr>
          </w:p>
        </w:tc>
      </w:tr>
      <w:tr w:rsidR="00453978" w:rsidRPr="006E5629">
        <w:trPr>
          <w:trHeight w:val="472"/>
        </w:trPr>
        <w:tc>
          <w:tcPr>
            <w:tcW w:w="550" w:type="dxa"/>
          </w:tcPr>
          <w:p w:rsidR="00453978" w:rsidRPr="006E5629" w:rsidRDefault="008B60AB" w:rsidP="00954594">
            <w:pPr>
              <w:pStyle w:val="naiskr"/>
              <w:spacing w:before="0" w:after="0"/>
              <w:rPr>
                <w:sz w:val="23"/>
                <w:szCs w:val="23"/>
              </w:rPr>
            </w:pPr>
            <w:r w:rsidRPr="006E5629">
              <w:rPr>
                <w:sz w:val="23"/>
                <w:szCs w:val="23"/>
              </w:rPr>
              <w:t xml:space="preserve"> </w:t>
            </w:r>
            <w:r w:rsidR="00453978" w:rsidRPr="006E5629">
              <w:rPr>
                <w:sz w:val="23"/>
                <w:szCs w:val="23"/>
              </w:rPr>
              <w:t>2.</w:t>
            </w:r>
          </w:p>
        </w:tc>
        <w:tc>
          <w:tcPr>
            <w:tcW w:w="3295" w:type="dxa"/>
          </w:tcPr>
          <w:p w:rsidR="00453978" w:rsidRPr="006E5629" w:rsidRDefault="00453978" w:rsidP="00954594">
            <w:pPr>
              <w:pStyle w:val="naiskr"/>
              <w:tabs>
                <w:tab w:val="left" w:pos="170"/>
              </w:tabs>
              <w:spacing w:before="0" w:after="0"/>
              <w:rPr>
                <w:sz w:val="23"/>
                <w:szCs w:val="23"/>
              </w:rPr>
            </w:pPr>
            <w:r w:rsidRPr="006E5629">
              <w:rPr>
                <w:sz w:val="23"/>
                <w:szCs w:val="23"/>
              </w:rPr>
              <w:t>Pašreizējā situācija un problēmas</w:t>
            </w:r>
            <w:r w:rsidR="00EB707A" w:rsidRPr="006E5629">
              <w:rPr>
                <w:sz w:val="23"/>
                <w:szCs w:val="23"/>
              </w:rPr>
              <w:t>, kuru risināšanai tiesību akta projekts izstrādāts, tiesiskā regulējuma mērķis un būtība</w:t>
            </w:r>
          </w:p>
        </w:tc>
        <w:tc>
          <w:tcPr>
            <w:tcW w:w="5640" w:type="dxa"/>
          </w:tcPr>
          <w:p w:rsidR="00613D24" w:rsidRPr="006E5629" w:rsidRDefault="00F56018" w:rsidP="00F56018">
            <w:pPr>
              <w:jc w:val="both"/>
              <w:rPr>
                <w:sz w:val="23"/>
                <w:szCs w:val="23"/>
              </w:rPr>
            </w:pPr>
            <w:r w:rsidRPr="006E5629">
              <w:rPr>
                <w:sz w:val="23"/>
                <w:szCs w:val="23"/>
              </w:rPr>
              <w:t>Lai nodrošinātu atbalstu traģēdijā Pried</w:t>
            </w:r>
            <w:r w:rsidR="00613D24" w:rsidRPr="006E5629">
              <w:rPr>
                <w:sz w:val="23"/>
                <w:szCs w:val="23"/>
              </w:rPr>
              <w:t xml:space="preserve">aines ielā 20, Rīgā, cietušajām </w:t>
            </w:r>
            <w:r w:rsidRPr="006E5629">
              <w:rPr>
                <w:sz w:val="23"/>
                <w:szCs w:val="23"/>
              </w:rPr>
              <w:t>personām</w:t>
            </w:r>
            <w:r w:rsidR="00613D24" w:rsidRPr="006E5629">
              <w:rPr>
                <w:sz w:val="23"/>
                <w:szCs w:val="23"/>
              </w:rPr>
              <w:t xml:space="preserve"> un bojā gājušo tuviniekiem, Ministru kabinets 2013.gada 11.decembrī izdeva rīkojumu Nr.610.</w:t>
            </w:r>
          </w:p>
          <w:p w:rsidR="00613D24" w:rsidRPr="006E5629" w:rsidRDefault="00613D24" w:rsidP="00F56018">
            <w:pPr>
              <w:jc w:val="both"/>
              <w:rPr>
                <w:sz w:val="23"/>
                <w:szCs w:val="23"/>
              </w:rPr>
            </w:pPr>
            <w:r w:rsidRPr="006E5629">
              <w:rPr>
                <w:sz w:val="23"/>
                <w:szCs w:val="23"/>
              </w:rPr>
              <w:t>A</w:t>
            </w:r>
            <w:r w:rsidR="00F56018" w:rsidRPr="006E5629">
              <w:rPr>
                <w:sz w:val="23"/>
                <w:szCs w:val="23"/>
              </w:rPr>
              <w:t xml:space="preserve">tbilstoši </w:t>
            </w:r>
            <w:r w:rsidRPr="006E5629">
              <w:rPr>
                <w:sz w:val="23"/>
                <w:szCs w:val="23"/>
              </w:rPr>
              <w:t xml:space="preserve">rīkojuma </w:t>
            </w:r>
            <w:r w:rsidR="00737B47">
              <w:rPr>
                <w:sz w:val="23"/>
                <w:szCs w:val="23"/>
              </w:rPr>
              <w:t xml:space="preserve">Nr.610 </w:t>
            </w:r>
            <w:r w:rsidRPr="006E5629">
              <w:rPr>
                <w:sz w:val="23"/>
                <w:szCs w:val="23"/>
              </w:rPr>
              <w:t xml:space="preserve">1.1.apakšpunktam, cietušai personai, kura ir saņēmusi neatliekamo </w:t>
            </w:r>
            <w:r w:rsidR="007364A9" w:rsidRPr="006E5629">
              <w:rPr>
                <w:sz w:val="23"/>
                <w:szCs w:val="23"/>
              </w:rPr>
              <w:t xml:space="preserve">medicīnisko palīdzību vai ievietota stacionārā, tiek piešķirta vienreizēja kompensācija 5 000 latu (7 115 </w:t>
            </w:r>
            <w:proofErr w:type="spellStart"/>
            <w:r w:rsidR="007364A9" w:rsidRPr="006E5629">
              <w:rPr>
                <w:sz w:val="23"/>
                <w:szCs w:val="23"/>
              </w:rPr>
              <w:t>euro</w:t>
            </w:r>
            <w:proofErr w:type="spellEnd"/>
            <w:r w:rsidR="007364A9" w:rsidRPr="006E5629">
              <w:rPr>
                <w:sz w:val="23"/>
                <w:szCs w:val="23"/>
              </w:rPr>
              <w:t>) apmērā. Savukārt, atbilstoši rīkojuma</w:t>
            </w:r>
            <w:r w:rsidR="00737B47">
              <w:rPr>
                <w:sz w:val="23"/>
                <w:szCs w:val="23"/>
              </w:rPr>
              <w:t xml:space="preserve"> Nr.610 </w:t>
            </w:r>
            <w:r w:rsidR="007364A9" w:rsidRPr="006E5629">
              <w:rPr>
                <w:sz w:val="23"/>
                <w:szCs w:val="23"/>
              </w:rPr>
              <w:t xml:space="preserve">1.2. apakšpunktam, bojā gājušās personas laulātajam un lejupējiem radiniekiem (bērniem vai mazbērniem, ja bērnu nav), bet, ja lejupējo nav, tad tuvākās pakāpes augšupējiem radiniekiem (vecākiem vai vecvecākiem, ja vecāku nav) tiek piešķirta vienreizēja kompensācija 10 000 latu (14 230 </w:t>
            </w:r>
            <w:proofErr w:type="spellStart"/>
            <w:r w:rsidR="007364A9" w:rsidRPr="006E5629">
              <w:rPr>
                <w:sz w:val="23"/>
                <w:szCs w:val="23"/>
              </w:rPr>
              <w:t>euro</w:t>
            </w:r>
            <w:proofErr w:type="spellEnd"/>
            <w:r w:rsidR="007364A9" w:rsidRPr="006E5629">
              <w:rPr>
                <w:sz w:val="23"/>
                <w:szCs w:val="23"/>
              </w:rPr>
              <w:t>) apmērā par katru bojā gājušo personu.</w:t>
            </w:r>
          </w:p>
          <w:p w:rsidR="00EF0304" w:rsidRDefault="007364A9" w:rsidP="00374AAF">
            <w:pPr>
              <w:jc w:val="both"/>
              <w:rPr>
                <w:sz w:val="23"/>
                <w:szCs w:val="23"/>
              </w:rPr>
            </w:pPr>
            <w:r w:rsidRPr="006E5629">
              <w:rPr>
                <w:sz w:val="23"/>
                <w:szCs w:val="23"/>
              </w:rPr>
              <w:t>Izstrādājot rīkojumu</w:t>
            </w:r>
            <w:r w:rsidR="00737B47">
              <w:rPr>
                <w:sz w:val="23"/>
                <w:szCs w:val="23"/>
              </w:rPr>
              <w:t xml:space="preserve"> Nr.610</w:t>
            </w:r>
            <w:r w:rsidRPr="006E5629">
              <w:rPr>
                <w:sz w:val="23"/>
                <w:szCs w:val="23"/>
              </w:rPr>
              <w:t>, tika apzināts, ka traģēdijas sek</w:t>
            </w:r>
            <w:r w:rsidR="00EA68CD" w:rsidRPr="006E5629">
              <w:rPr>
                <w:sz w:val="23"/>
                <w:szCs w:val="23"/>
              </w:rPr>
              <w:t>u rezultātā nepieciešami līdzekļi 51 bojā gājuš</w:t>
            </w:r>
            <w:r w:rsidR="00EF0304">
              <w:rPr>
                <w:sz w:val="23"/>
                <w:szCs w:val="23"/>
              </w:rPr>
              <w:t>as</w:t>
            </w:r>
            <w:r w:rsidR="00EA68CD" w:rsidRPr="006E5629">
              <w:rPr>
                <w:sz w:val="23"/>
                <w:szCs w:val="23"/>
              </w:rPr>
              <w:t xml:space="preserve"> person</w:t>
            </w:r>
            <w:r w:rsidR="00EF0304">
              <w:rPr>
                <w:sz w:val="23"/>
                <w:szCs w:val="23"/>
              </w:rPr>
              <w:t>as</w:t>
            </w:r>
            <w:r w:rsidR="00EA68CD" w:rsidRPr="006E5629">
              <w:rPr>
                <w:sz w:val="23"/>
                <w:szCs w:val="23"/>
              </w:rPr>
              <w:t xml:space="preserve"> tuviniekiem un </w:t>
            </w:r>
            <w:r w:rsidR="00DE04C5" w:rsidRPr="006E5629">
              <w:rPr>
                <w:sz w:val="23"/>
                <w:szCs w:val="23"/>
              </w:rPr>
              <w:t>40</w:t>
            </w:r>
            <w:r w:rsidR="00EA68CD" w:rsidRPr="006E5629">
              <w:rPr>
                <w:sz w:val="23"/>
                <w:szCs w:val="23"/>
              </w:rPr>
              <w:t xml:space="preserve"> traģēdijā cietušām personām</w:t>
            </w:r>
            <w:r w:rsidR="00812031" w:rsidRPr="006E5629">
              <w:rPr>
                <w:sz w:val="23"/>
                <w:szCs w:val="23"/>
              </w:rPr>
              <w:t xml:space="preserve">. </w:t>
            </w:r>
            <w:r w:rsidR="00374AAF" w:rsidRPr="006E5629">
              <w:rPr>
                <w:sz w:val="23"/>
                <w:szCs w:val="23"/>
              </w:rPr>
              <w:t>Kopumā</w:t>
            </w:r>
            <w:r w:rsidR="00E00691" w:rsidRPr="006E5629">
              <w:rPr>
                <w:sz w:val="23"/>
                <w:szCs w:val="23"/>
              </w:rPr>
              <w:t xml:space="preserve"> (2013. un 2014.gadā)</w:t>
            </w:r>
            <w:r w:rsidR="00374AAF" w:rsidRPr="006E5629">
              <w:rPr>
                <w:sz w:val="23"/>
                <w:szCs w:val="23"/>
              </w:rPr>
              <w:t xml:space="preserve"> uz 2014.gada 31.jūliju kompensācijas ir piešķirtas 51 bojā gāju</w:t>
            </w:r>
            <w:r w:rsidR="00E97501">
              <w:rPr>
                <w:sz w:val="23"/>
                <w:szCs w:val="23"/>
              </w:rPr>
              <w:t>š</w:t>
            </w:r>
            <w:r w:rsidR="00EF0304">
              <w:rPr>
                <w:sz w:val="23"/>
                <w:szCs w:val="23"/>
              </w:rPr>
              <w:t>as</w:t>
            </w:r>
            <w:r w:rsidR="00E97501">
              <w:rPr>
                <w:sz w:val="23"/>
                <w:szCs w:val="23"/>
              </w:rPr>
              <w:t xml:space="preserve"> person</w:t>
            </w:r>
            <w:r w:rsidR="00EF0304">
              <w:rPr>
                <w:sz w:val="23"/>
                <w:szCs w:val="23"/>
              </w:rPr>
              <w:t>as</w:t>
            </w:r>
            <w:r w:rsidR="00E97501">
              <w:rPr>
                <w:sz w:val="23"/>
                <w:szCs w:val="23"/>
              </w:rPr>
              <w:t xml:space="preserve"> tuviniek</w:t>
            </w:r>
            <w:r w:rsidR="00EF0304">
              <w:rPr>
                <w:sz w:val="23"/>
                <w:szCs w:val="23"/>
              </w:rPr>
              <w:t>ie</w:t>
            </w:r>
            <w:r w:rsidR="00374AAF" w:rsidRPr="006E5629">
              <w:rPr>
                <w:sz w:val="23"/>
                <w:szCs w:val="23"/>
              </w:rPr>
              <w:t xml:space="preserve">m un 38 cietušām personām. </w:t>
            </w:r>
            <w:r w:rsidR="00BC7C2C" w:rsidRPr="006E5629">
              <w:rPr>
                <w:sz w:val="23"/>
                <w:szCs w:val="23"/>
              </w:rPr>
              <w:t xml:space="preserve">Rīkojuma </w:t>
            </w:r>
            <w:r w:rsidR="00737B47">
              <w:rPr>
                <w:sz w:val="23"/>
                <w:szCs w:val="23"/>
              </w:rPr>
              <w:t xml:space="preserve">Nr.610 </w:t>
            </w:r>
            <w:r w:rsidR="00BC7C2C" w:rsidRPr="006E5629">
              <w:rPr>
                <w:sz w:val="23"/>
                <w:szCs w:val="23"/>
              </w:rPr>
              <w:t>5.punkts nosaka, ka</w:t>
            </w:r>
            <w:r w:rsidR="00412B1A" w:rsidRPr="006E5629">
              <w:rPr>
                <w:sz w:val="23"/>
                <w:szCs w:val="23"/>
              </w:rPr>
              <w:t xml:space="preserve"> vienreizējo kompensāciju izmaksai no valsts budžeta programmas 02.00.00 „Līdzekļi neparedzētiem gadījumiem”</w:t>
            </w:r>
            <w:r w:rsidR="00320620" w:rsidRPr="006E5629">
              <w:rPr>
                <w:sz w:val="23"/>
                <w:szCs w:val="23"/>
              </w:rPr>
              <w:t xml:space="preserve"> </w:t>
            </w:r>
            <w:r w:rsidR="00814A1D" w:rsidRPr="006E5629">
              <w:rPr>
                <w:sz w:val="23"/>
                <w:szCs w:val="23"/>
              </w:rPr>
              <w:t xml:space="preserve">Labklājības ministrijai (Valsts sociālās apdrošināšanas aģentūrai) </w:t>
            </w:r>
            <w:r w:rsidR="00BC7C2C" w:rsidRPr="006E5629">
              <w:rPr>
                <w:sz w:val="23"/>
                <w:szCs w:val="23"/>
              </w:rPr>
              <w:t xml:space="preserve">2013.gadā </w:t>
            </w:r>
            <w:r w:rsidR="00320620" w:rsidRPr="006E5629">
              <w:rPr>
                <w:sz w:val="23"/>
                <w:szCs w:val="23"/>
              </w:rPr>
              <w:t xml:space="preserve">tika piešķirti līdzekļi </w:t>
            </w:r>
            <w:r w:rsidR="003A3F53" w:rsidRPr="006E5629">
              <w:rPr>
                <w:sz w:val="23"/>
                <w:szCs w:val="23"/>
              </w:rPr>
              <w:t>200 000 latu</w:t>
            </w:r>
            <w:r w:rsidR="00814A1D" w:rsidRPr="006E5629">
              <w:rPr>
                <w:sz w:val="23"/>
                <w:szCs w:val="23"/>
              </w:rPr>
              <w:t xml:space="preserve">, savukārt </w:t>
            </w:r>
            <w:r w:rsidR="003A3F53" w:rsidRPr="006E5629">
              <w:rPr>
                <w:sz w:val="23"/>
                <w:szCs w:val="23"/>
              </w:rPr>
              <w:t xml:space="preserve">2014.gadā 725 730 </w:t>
            </w:r>
            <w:proofErr w:type="spellStart"/>
            <w:r w:rsidR="003A3F53" w:rsidRPr="006E5629">
              <w:rPr>
                <w:sz w:val="23"/>
                <w:szCs w:val="23"/>
              </w:rPr>
              <w:t>euro</w:t>
            </w:r>
            <w:proofErr w:type="spellEnd"/>
            <w:r w:rsidR="003A3F53" w:rsidRPr="006E5629">
              <w:rPr>
                <w:sz w:val="23"/>
                <w:szCs w:val="23"/>
              </w:rPr>
              <w:t xml:space="preserve">. </w:t>
            </w:r>
          </w:p>
          <w:p w:rsidR="00374AAF" w:rsidRPr="006E5629" w:rsidRDefault="00EF0304" w:rsidP="00374AAF">
            <w:pPr>
              <w:jc w:val="both"/>
              <w:rPr>
                <w:sz w:val="23"/>
                <w:szCs w:val="23"/>
              </w:rPr>
            </w:pPr>
            <w:r>
              <w:rPr>
                <w:sz w:val="23"/>
                <w:szCs w:val="23"/>
              </w:rPr>
              <w:t xml:space="preserve">Kompensācijas cietušajām personām un bojā gājušo personu tuviniekiem tiek piešķirtas, pamatojoties uz Iekšlietu ministrijas </w:t>
            </w:r>
            <w:r w:rsidR="00D92D04">
              <w:rPr>
                <w:sz w:val="23"/>
                <w:szCs w:val="23"/>
              </w:rPr>
              <w:t>informāciju</w:t>
            </w:r>
            <w:r>
              <w:rPr>
                <w:sz w:val="23"/>
                <w:szCs w:val="23"/>
              </w:rPr>
              <w:t xml:space="preserve"> par cietušām un bojā gājušām personām.</w:t>
            </w:r>
          </w:p>
          <w:p w:rsidR="003A3F53" w:rsidRPr="006E5629" w:rsidRDefault="003A3F53" w:rsidP="00F56018">
            <w:pPr>
              <w:jc w:val="both"/>
              <w:rPr>
                <w:sz w:val="23"/>
                <w:szCs w:val="23"/>
              </w:rPr>
            </w:pPr>
            <w:r w:rsidRPr="006E5629">
              <w:rPr>
                <w:sz w:val="23"/>
                <w:szCs w:val="23"/>
              </w:rPr>
              <w:t>2013.gadā Valsts sociālās apdrošināšanas aģentūra vienreizējās kompensācijās izmaksāja – 80 000 latu 16 traģēdijā cietušajām personām un 120 000 latu 12 bojā gājušo tuviniekiem (kopsummā 200 000 latu</w:t>
            </w:r>
            <w:r w:rsidR="00374AAF" w:rsidRPr="006E5629">
              <w:rPr>
                <w:sz w:val="23"/>
                <w:szCs w:val="23"/>
              </w:rPr>
              <w:t xml:space="preserve">, t.i., 2013.gadā </w:t>
            </w:r>
            <w:r w:rsidR="00C36BB5">
              <w:rPr>
                <w:sz w:val="23"/>
                <w:szCs w:val="23"/>
              </w:rPr>
              <w:t>piešķirtā finansējuma</w:t>
            </w:r>
            <w:r w:rsidR="00374AAF" w:rsidRPr="006E5629">
              <w:rPr>
                <w:sz w:val="23"/>
                <w:szCs w:val="23"/>
              </w:rPr>
              <w:t xml:space="preserve"> apmērā</w:t>
            </w:r>
            <w:r w:rsidRPr="006E5629">
              <w:rPr>
                <w:sz w:val="23"/>
                <w:szCs w:val="23"/>
              </w:rPr>
              <w:t xml:space="preserve">). Savukārt </w:t>
            </w:r>
            <w:r w:rsidR="00E97501">
              <w:rPr>
                <w:sz w:val="23"/>
                <w:szCs w:val="23"/>
              </w:rPr>
              <w:t xml:space="preserve">2014.gadā </w:t>
            </w:r>
            <w:r w:rsidRPr="006E5629">
              <w:rPr>
                <w:sz w:val="23"/>
                <w:szCs w:val="23"/>
              </w:rPr>
              <w:t xml:space="preserve">līdz 31.jūlijam kompensācijās faktiski ir izmaksāti 711 500 </w:t>
            </w:r>
            <w:proofErr w:type="spellStart"/>
            <w:r w:rsidRPr="006E5629">
              <w:rPr>
                <w:sz w:val="23"/>
                <w:szCs w:val="23"/>
              </w:rPr>
              <w:t>euro</w:t>
            </w:r>
            <w:proofErr w:type="spellEnd"/>
            <w:r w:rsidRPr="006E5629">
              <w:rPr>
                <w:sz w:val="23"/>
                <w:szCs w:val="23"/>
              </w:rPr>
              <w:t xml:space="preserve">, tajā skaitā 156 530 </w:t>
            </w:r>
            <w:proofErr w:type="spellStart"/>
            <w:r w:rsidRPr="006E5629">
              <w:rPr>
                <w:sz w:val="23"/>
                <w:szCs w:val="23"/>
              </w:rPr>
              <w:t>euro</w:t>
            </w:r>
            <w:proofErr w:type="spellEnd"/>
            <w:r w:rsidRPr="006E5629">
              <w:rPr>
                <w:sz w:val="23"/>
                <w:szCs w:val="23"/>
              </w:rPr>
              <w:t xml:space="preserve"> 22 cietušajām personām un 554 970 </w:t>
            </w:r>
            <w:proofErr w:type="spellStart"/>
            <w:r w:rsidRPr="006E5629">
              <w:rPr>
                <w:sz w:val="23"/>
                <w:szCs w:val="23"/>
              </w:rPr>
              <w:t>euro</w:t>
            </w:r>
            <w:proofErr w:type="spellEnd"/>
            <w:r w:rsidRPr="006E5629">
              <w:rPr>
                <w:sz w:val="23"/>
                <w:szCs w:val="23"/>
              </w:rPr>
              <w:t xml:space="preserve"> 39 bojā gājušo tuviniekiem.</w:t>
            </w:r>
            <w:r w:rsidR="002F28BB" w:rsidRPr="006E5629">
              <w:rPr>
                <w:sz w:val="23"/>
                <w:szCs w:val="23"/>
              </w:rPr>
              <w:t xml:space="preserve"> Līdzekļu atlikums uz 2014.gada 31.jūliju ir 14 230 </w:t>
            </w:r>
            <w:proofErr w:type="spellStart"/>
            <w:r w:rsidR="002F28BB" w:rsidRPr="006E5629">
              <w:rPr>
                <w:sz w:val="23"/>
                <w:szCs w:val="23"/>
              </w:rPr>
              <w:t>euro</w:t>
            </w:r>
            <w:proofErr w:type="spellEnd"/>
            <w:r w:rsidR="00EF0304">
              <w:rPr>
                <w:sz w:val="23"/>
                <w:szCs w:val="23"/>
              </w:rPr>
              <w:t xml:space="preserve">, kuru var izmantot </w:t>
            </w:r>
            <w:r w:rsidR="00EF0304">
              <w:rPr>
                <w:sz w:val="23"/>
                <w:szCs w:val="23"/>
              </w:rPr>
              <w:lastRenderedPageBreak/>
              <w:t>kompensāciju piešķiršanai divām cietušām personām</w:t>
            </w:r>
            <w:r w:rsidR="002F28BB" w:rsidRPr="006E5629">
              <w:rPr>
                <w:sz w:val="23"/>
                <w:szCs w:val="23"/>
              </w:rPr>
              <w:t>.</w:t>
            </w:r>
            <w:r w:rsidR="00A926A7" w:rsidRPr="006E5629">
              <w:rPr>
                <w:sz w:val="23"/>
                <w:szCs w:val="23"/>
              </w:rPr>
              <w:t xml:space="preserve"> </w:t>
            </w:r>
            <w:r w:rsidR="002F28BB" w:rsidRPr="006E5629">
              <w:rPr>
                <w:sz w:val="23"/>
                <w:szCs w:val="23"/>
              </w:rPr>
              <w:t xml:space="preserve">Valsts sociālās apdrošināšanas aģentūra šobrīd ir saņēmusi Iekšlietu ministrijas apstiprinājumu, ka papildus par cietušām ir atzīstamas </w:t>
            </w:r>
            <w:r w:rsidR="00EF0304">
              <w:rPr>
                <w:sz w:val="23"/>
                <w:szCs w:val="23"/>
              </w:rPr>
              <w:t xml:space="preserve">vēl </w:t>
            </w:r>
            <w:r w:rsidR="002F28BB" w:rsidRPr="006E5629">
              <w:rPr>
                <w:sz w:val="23"/>
                <w:szCs w:val="23"/>
              </w:rPr>
              <w:t xml:space="preserve">4 personas, t.i., nepieciešamais finansējums vienreizējo kompensāciju izmaksai </w:t>
            </w:r>
            <w:r w:rsidR="007E2148" w:rsidRPr="006E5629">
              <w:rPr>
                <w:sz w:val="23"/>
                <w:szCs w:val="23"/>
              </w:rPr>
              <w:t xml:space="preserve">ir 28 460 </w:t>
            </w:r>
            <w:proofErr w:type="spellStart"/>
            <w:r w:rsidR="007E2148" w:rsidRPr="006E5629">
              <w:rPr>
                <w:sz w:val="23"/>
                <w:szCs w:val="23"/>
              </w:rPr>
              <w:t>euro</w:t>
            </w:r>
            <w:proofErr w:type="spellEnd"/>
            <w:r w:rsidR="007E2148" w:rsidRPr="006E5629">
              <w:rPr>
                <w:sz w:val="23"/>
                <w:szCs w:val="23"/>
              </w:rPr>
              <w:t xml:space="preserve">, t.i., par 14 230 </w:t>
            </w:r>
            <w:proofErr w:type="spellStart"/>
            <w:r w:rsidR="007E2148" w:rsidRPr="006E5629">
              <w:rPr>
                <w:sz w:val="23"/>
                <w:szCs w:val="23"/>
              </w:rPr>
              <w:t>euro</w:t>
            </w:r>
            <w:proofErr w:type="spellEnd"/>
            <w:r w:rsidR="007E2148" w:rsidRPr="006E5629">
              <w:rPr>
                <w:sz w:val="23"/>
                <w:szCs w:val="23"/>
              </w:rPr>
              <w:t xml:space="preserve"> vairāk nekā piešķirts ar rīkojumu</w:t>
            </w:r>
            <w:r w:rsidR="00583CCB">
              <w:rPr>
                <w:sz w:val="23"/>
                <w:szCs w:val="23"/>
              </w:rPr>
              <w:t xml:space="preserve"> Nr.610</w:t>
            </w:r>
            <w:r w:rsidR="002F28BB" w:rsidRPr="006E5629">
              <w:rPr>
                <w:sz w:val="23"/>
                <w:szCs w:val="23"/>
              </w:rPr>
              <w:t>.</w:t>
            </w:r>
            <w:r w:rsidR="00E92AFF">
              <w:rPr>
                <w:sz w:val="23"/>
                <w:szCs w:val="23"/>
              </w:rPr>
              <w:t xml:space="preserve"> </w:t>
            </w:r>
            <w:r w:rsidR="007E2148" w:rsidRPr="006E5629">
              <w:rPr>
                <w:sz w:val="23"/>
                <w:szCs w:val="23"/>
              </w:rPr>
              <w:t xml:space="preserve">Labklājības ministrijas budžetā </w:t>
            </w:r>
            <w:r w:rsidR="00E97501" w:rsidRPr="006E5629">
              <w:rPr>
                <w:sz w:val="23"/>
                <w:szCs w:val="23"/>
              </w:rPr>
              <w:t>minētā</w:t>
            </w:r>
            <w:r w:rsidR="00E97501">
              <w:rPr>
                <w:sz w:val="23"/>
                <w:szCs w:val="23"/>
              </w:rPr>
              <w:t>s</w:t>
            </w:r>
            <w:r w:rsidR="00E97501" w:rsidRPr="006E5629">
              <w:rPr>
                <w:sz w:val="23"/>
                <w:szCs w:val="23"/>
              </w:rPr>
              <w:t xml:space="preserve"> </w:t>
            </w:r>
            <w:r w:rsidR="00E97501">
              <w:rPr>
                <w:sz w:val="23"/>
                <w:szCs w:val="23"/>
              </w:rPr>
              <w:t>kompensācijas</w:t>
            </w:r>
            <w:r w:rsidR="00E97501" w:rsidRPr="006E5629">
              <w:rPr>
                <w:sz w:val="23"/>
                <w:szCs w:val="23"/>
              </w:rPr>
              <w:t xml:space="preserve"> nodrošināšanai </w:t>
            </w:r>
            <w:r w:rsidR="007E2148" w:rsidRPr="006E5629">
              <w:rPr>
                <w:sz w:val="23"/>
                <w:szCs w:val="23"/>
              </w:rPr>
              <w:t>līdzekļi</w:t>
            </w:r>
            <w:r w:rsidR="00E97501" w:rsidRPr="006E5629">
              <w:rPr>
                <w:sz w:val="23"/>
                <w:szCs w:val="23"/>
              </w:rPr>
              <w:t xml:space="preserve"> nav plānoti</w:t>
            </w:r>
            <w:r w:rsidR="007E2148" w:rsidRPr="006E5629">
              <w:rPr>
                <w:sz w:val="23"/>
                <w:szCs w:val="23"/>
              </w:rPr>
              <w:t>.</w:t>
            </w:r>
          </w:p>
          <w:p w:rsidR="00D04E34" w:rsidRDefault="007E2148" w:rsidP="00943F6C">
            <w:pPr>
              <w:jc w:val="both"/>
              <w:rPr>
                <w:sz w:val="23"/>
                <w:szCs w:val="23"/>
              </w:rPr>
            </w:pPr>
            <w:r w:rsidRPr="006E5629">
              <w:rPr>
                <w:sz w:val="23"/>
                <w:szCs w:val="23"/>
              </w:rPr>
              <w:t>Līdz ar to</w:t>
            </w:r>
            <w:r w:rsidR="00E06A9F" w:rsidRPr="006E5629">
              <w:rPr>
                <w:sz w:val="23"/>
                <w:szCs w:val="23"/>
              </w:rPr>
              <w:t xml:space="preserve"> Labklājības ministrija ir izstrādājusi r</w:t>
            </w:r>
            <w:r w:rsidR="00F56018" w:rsidRPr="006E5629">
              <w:rPr>
                <w:sz w:val="23"/>
                <w:szCs w:val="23"/>
              </w:rPr>
              <w:t>īkojuma projekt</w:t>
            </w:r>
            <w:r w:rsidR="00E06A9F" w:rsidRPr="006E5629">
              <w:rPr>
                <w:sz w:val="23"/>
                <w:szCs w:val="23"/>
              </w:rPr>
              <w:t>u, kas</w:t>
            </w:r>
            <w:r w:rsidR="00F56018" w:rsidRPr="006E5629">
              <w:rPr>
                <w:sz w:val="23"/>
                <w:szCs w:val="23"/>
              </w:rPr>
              <w:t xml:space="preserve"> paredz </w:t>
            </w:r>
            <w:r w:rsidR="00AF1E84" w:rsidRPr="006E5629">
              <w:rPr>
                <w:sz w:val="23"/>
                <w:szCs w:val="23"/>
              </w:rPr>
              <w:t>f</w:t>
            </w:r>
            <w:r w:rsidR="00F56018" w:rsidRPr="006E5629">
              <w:rPr>
                <w:sz w:val="23"/>
                <w:szCs w:val="23"/>
              </w:rPr>
              <w:t>inanšu ministr</w:t>
            </w:r>
            <w:r w:rsidR="00AF1E84" w:rsidRPr="006E5629">
              <w:rPr>
                <w:sz w:val="23"/>
                <w:szCs w:val="23"/>
              </w:rPr>
              <w:t>am</w:t>
            </w:r>
            <w:r w:rsidR="00F56018" w:rsidRPr="006E5629">
              <w:rPr>
                <w:sz w:val="23"/>
                <w:szCs w:val="23"/>
              </w:rPr>
              <w:t xml:space="preserve"> no valsts budžeta programmas 02.00.00 "Līdzekļi neparedzētiem gadījumiem" Labklājības ministrijai (</w:t>
            </w:r>
            <w:r w:rsidRPr="006E5629">
              <w:rPr>
                <w:sz w:val="23"/>
                <w:szCs w:val="23"/>
              </w:rPr>
              <w:t>Valsts sociālās apdrošināšanas aģentūrai</w:t>
            </w:r>
            <w:r w:rsidR="00F56018" w:rsidRPr="006E5629">
              <w:rPr>
                <w:sz w:val="23"/>
                <w:szCs w:val="23"/>
              </w:rPr>
              <w:t xml:space="preserve">) </w:t>
            </w:r>
            <w:r w:rsidR="00943F6C" w:rsidRPr="006E5629">
              <w:rPr>
                <w:sz w:val="23"/>
                <w:szCs w:val="23"/>
              </w:rPr>
              <w:t xml:space="preserve">piešķirt </w:t>
            </w:r>
            <w:r w:rsidR="00AF1E84" w:rsidRPr="006E5629">
              <w:rPr>
                <w:sz w:val="23"/>
                <w:szCs w:val="23"/>
              </w:rPr>
              <w:t xml:space="preserve">papildus </w:t>
            </w:r>
            <w:r w:rsidRPr="006E5629">
              <w:rPr>
                <w:sz w:val="23"/>
                <w:szCs w:val="23"/>
              </w:rPr>
              <w:t>14 230</w:t>
            </w:r>
            <w:r w:rsidR="00F56018" w:rsidRPr="006E5629">
              <w:rPr>
                <w:sz w:val="23"/>
                <w:szCs w:val="23"/>
              </w:rPr>
              <w:t xml:space="preserve"> </w:t>
            </w:r>
            <w:proofErr w:type="spellStart"/>
            <w:r w:rsidR="00F56018" w:rsidRPr="006E5629">
              <w:rPr>
                <w:i/>
                <w:sz w:val="23"/>
                <w:szCs w:val="23"/>
              </w:rPr>
              <w:t>euro</w:t>
            </w:r>
            <w:proofErr w:type="spellEnd"/>
            <w:r w:rsidR="00F56018" w:rsidRPr="006E5629">
              <w:rPr>
                <w:sz w:val="23"/>
                <w:szCs w:val="23"/>
              </w:rPr>
              <w:t xml:space="preserve">, lai </w:t>
            </w:r>
            <w:r w:rsidR="00DE04C5" w:rsidRPr="006E5629">
              <w:rPr>
                <w:sz w:val="23"/>
                <w:szCs w:val="23"/>
              </w:rPr>
              <w:t>nodrošinātu</w:t>
            </w:r>
            <w:r w:rsidRPr="006E5629">
              <w:rPr>
                <w:sz w:val="23"/>
                <w:szCs w:val="23"/>
              </w:rPr>
              <w:t xml:space="preserve"> vienreizēju pabalstu </w:t>
            </w:r>
            <w:r w:rsidR="00DE04C5" w:rsidRPr="006E5629">
              <w:rPr>
                <w:sz w:val="23"/>
                <w:szCs w:val="23"/>
              </w:rPr>
              <w:t xml:space="preserve">izmaksu </w:t>
            </w:r>
            <w:r w:rsidR="00AF1E84" w:rsidRPr="006E5629">
              <w:rPr>
                <w:sz w:val="23"/>
                <w:szCs w:val="23"/>
              </w:rPr>
              <w:t xml:space="preserve">papildus </w:t>
            </w:r>
            <w:r w:rsidR="00EF0304">
              <w:rPr>
                <w:sz w:val="23"/>
                <w:szCs w:val="23"/>
              </w:rPr>
              <w:t>divām</w:t>
            </w:r>
            <w:r w:rsidR="00AF1E84" w:rsidRPr="006E5629">
              <w:rPr>
                <w:sz w:val="23"/>
                <w:szCs w:val="23"/>
              </w:rPr>
              <w:t xml:space="preserve"> traģēdijā Priedaines ielā 20, Rīgā, cietušām personām</w:t>
            </w:r>
            <w:r w:rsidR="00317C9C" w:rsidRPr="006E5629">
              <w:rPr>
                <w:sz w:val="23"/>
                <w:szCs w:val="23"/>
              </w:rPr>
              <w:t>.</w:t>
            </w:r>
          </w:p>
          <w:p w:rsidR="00DA4756" w:rsidRDefault="00DA4756" w:rsidP="0071247E">
            <w:pPr>
              <w:jc w:val="both"/>
              <w:rPr>
                <w:sz w:val="23"/>
                <w:szCs w:val="23"/>
              </w:rPr>
            </w:pPr>
            <w:r>
              <w:rPr>
                <w:sz w:val="23"/>
                <w:szCs w:val="23"/>
              </w:rPr>
              <w:t xml:space="preserve">Iekšlietu ministrija šobrīd izskata jautājumu par vēl vienas personas atzīšanu par cietušu </w:t>
            </w:r>
            <w:r w:rsidRPr="006E5629">
              <w:rPr>
                <w:sz w:val="23"/>
                <w:szCs w:val="23"/>
              </w:rPr>
              <w:t>sakarā ar traģēdiju Priedaines ielā 20, Rīgā</w:t>
            </w:r>
            <w:r>
              <w:rPr>
                <w:sz w:val="23"/>
                <w:szCs w:val="23"/>
              </w:rPr>
              <w:t>. Līdz ar to, ja arī šī persona tiks atzīta par cietušu, būs nepieciešami vēl papildus līdzekļi no</w:t>
            </w:r>
            <w:r w:rsidR="0071247E">
              <w:rPr>
                <w:sz w:val="23"/>
                <w:szCs w:val="23"/>
              </w:rPr>
              <w:t xml:space="preserve"> </w:t>
            </w:r>
            <w:r w:rsidRPr="006E5629">
              <w:rPr>
                <w:sz w:val="23"/>
                <w:szCs w:val="23"/>
              </w:rPr>
              <w:t>valsts budžeta programmas 02.00.00 "Līdzekļi neparedzētiem gadījumiem"</w:t>
            </w:r>
            <w:r>
              <w:rPr>
                <w:sz w:val="23"/>
                <w:szCs w:val="23"/>
              </w:rPr>
              <w:t xml:space="preserve"> 7 115 </w:t>
            </w:r>
            <w:proofErr w:type="spellStart"/>
            <w:r>
              <w:rPr>
                <w:sz w:val="23"/>
                <w:szCs w:val="23"/>
              </w:rPr>
              <w:t>euro</w:t>
            </w:r>
            <w:proofErr w:type="spellEnd"/>
            <w:r>
              <w:rPr>
                <w:sz w:val="23"/>
                <w:szCs w:val="23"/>
              </w:rPr>
              <w:t xml:space="preserve"> apmērā</w:t>
            </w:r>
            <w:r w:rsidRPr="006E5629">
              <w:rPr>
                <w:sz w:val="23"/>
                <w:szCs w:val="23"/>
              </w:rPr>
              <w:t>.</w:t>
            </w:r>
            <w:r w:rsidR="0075368D">
              <w:rPr>
                <w:sz w:val="23"/>
                <w:szCs w:val="23"/>
              </w:rPr>
              <w:t xml:space="preserve"> </w:t>
            </w:r>
            <w:r>
              <w:rPr>
                <w:sz w:val="23"/>
                <w:szCs w:val="23"/>
              </w:rPr>
              <w:t>Šobrīd šie papildu līdzekļi rīkojuma projektā nav iekļauti.</w:t>
            </w:r>
          </w:p>
          <w:p w:rsidR="0071247E" w:rsidRPr="006E5629" w:rsidRDefault="00737B47" w:rsidP="00737B47">
            <w:pPr>
              <w:jc w:val="both"/>
              <w:rPr>
                <w:sz w:val="23"/>
                <w:szCs w:val="23"/>
              </w:rPr>
            </w:pPr>
            <w:r>
              <w:rPr>
                <w:sz w:val="23"/>
                <w:szCs w:val="23"/>
              </w:rPr>
              <w:t>Atbilstoši rīkojuma Nr.610 2.punktam, traģēdijā cietušajām personām iesniegums par vienreizējās kompensācijas saņemšanu Valsts sociālās apdrošināšanas aģentūrai bija jāiesniedz līdz 2014.gada 1.jūnijam. Labklājības ministrija apliecina, ka iepriekš minētās personas, kuru atzīšanu par</w:t>
            </w:r>
            <w:proofErr w:type="gramStart"/>
            <w:r>
              <w:rPr>
                <w:sz w:val="23"/>
                <w:szCs w:val="23"/>
              </w:rPr>
              <w:t xml:space="preserve">  </w:t>
            </w:r>
            <w:proofErr w:type="gramEnd"/>
            <w:r>
              <w:rPr>
                <w:sz w:val="23"/>
                <w:szCs w:val="23"/>
              </w:rPr>
              <w:t>traģēdijā cietušajām personām izskatīja Iekšlietu ministrija, kā arī papildus viena persona, kuras gadījumu joprojām izvērtē Iekšlietu ministrija, iesniegumus Valsts sociālās apdrošināšanas aģentūrai ir iesniegušas līdz 2014.gada 1.jūnijam (pēdējais iesniegums ir saņemts 2014.gada 29.aprīlī), līdz ar to šīs personas ir ievērojušas rīkojumā Nr.610 noteiktos termi</w:t>
            </w:r>
            <w:r w:rsidR="00D36DCB">
              <w:rPr>
                <w:sz w:val="23"/>
                <w:szCs w:val="23"/>
              </w:rPr>
              <w:t>ņus.</w:t>
            </w:r>
            <w:r>
              <w:rPr>
                <w:sz w:val="23"/>
                <w:szCs w:val="23"/>
              </w:rPr>
              <w:t xml:space="preserve"> </w:t>
            </w:r>
          </w:p>
        </w:tc>
      </w:tr>
      <w:tr w:rsidR="00816960" w:rsidRPr="006E5629">
        <w:trPr>
          <w:trHeight w:val="472"/>
        </w:trPr>
        <w:tc>
          <w:tcPr>
            <w:tcW w:w="550" w:type="dxa"/>
          </w:tcPr>
          <w:p w:rsidR="00816960" w:rsidRPr="006E5629" w:rsidRDefault="00816960" w:rsidP="00816960">
            <w:pPr>
              <w:pStyle w:val="naiskr"/>
              <w:spacing w:before="0" w:after="0"/>
              <w:rPr>
                <w:sz w:val="23"/>
                <w:szCs w:val="23"/>
              </w:rPr>
            </w:pPr>
            <w:r w:rsidRPr="006E5629">
              <w:rPr>
                <w:sz w:val="23"/>
                <w:szCs w:val="23"/>
              </w:rPr>
              <w:lastRenderedPageBreak/>
              <w:t>3.</w:t>
            </w:r>
          </w:p>
        </w:tc>
        <w:tc>
          <w:tcPr>
            <w:tcW w:w="3295" w:type="dxa"/>
          </w:tcPr>
          <w:p w:rsidR="00816960" w:rsidRPr="006E5629" w:rsidRDefault="00816960" w:rsidP="00816960">
            <w:pPr>
              <w:pStyle w:val="naiskr"/>
              <w:spacing w:before="0" w:after="0"/>
              <w:rPr>
                <w:sz w:val="23"/>
                <w:szCs w:val="23"/>
              </w:rPr>
            </w:pPr>
            <w:r w:rsidRPr="006E5629">
              <w:rPr>
                <w:sz w:val="23"/>
                <w:szCs w:val="23"/>
              </w:rPr>
              <w:t>Projekta izstrādē iesaistītās institūcijas</w:t>
            </w:r>
          </w:p>
        </w:tc>
        <w:tc>
          <w:tcPr>
            <w:tcW w:w="5640" w:type="dxa"/>
          </w:tcPr>
          <w:p w:rsidR="00816960" w:rsidRPr="006E5629" w:rsidRDefault="00AF1E84" w:rsidP="00BB129A">
            <w:pPr>
              <w:jc w:val="both"/>
              <w:rPr>
                <w:sz w:val="23"/>
                <w:szCs w:val="23"/>
              </w:rPr>
            </w:pPr>
            <w:r w:rsidRPr="006E5629">
              <w:rPr>
                <w:sz w:val="23"/>
                <w:szCs w:val="23"/>
              </w:rPr>
              <w:t>Valsts sociālās apdrošināšanas aģentūra.</w:t>
            </w:r>
          </w:p>
        </w:tc>
      </w:tr>
      <w:tr w:rsidR="00816960" w:rsidRPr="006E5629">
        <w:trPr>
          <w:trHeight w:val="472"/>
        </w:trPr>
        <w:tc>
          <w:tcPr>
            <w:tcW w:w="550" w:type="dxa"/>
          </w:tcPr>
          <w:p w:rsidR="00816960" w:rsidRPr="006E5629" w:rsidRDefault="00816960" w:rsidP="00816960">
            <w:pPr>
              <w:pStyle w:val="naiskr"/>
              <w:spacing w:before="0" w:after="0"/>
              <w:rPr>
                <w:sz w:val="23"/>
                <w:szCs w:val="23"/>
              </w:rPr>
            </w:pPr>
            <w:r w:rsidRPr="006E5629">
              <w:rPr>
                <w:sz w:val="23"/>
                <w:szCs w:val="23"/>
              </w:rPr>
              <w:t xml:space="preserve"> 4.</w:t>
            </w:r>
          </w:p>
        </w:tc>
        <w:tc>
          <w:tcPr>
            <w:tcW w:w="3295" w:type="dxa"/>
          </w:tcPr>
          <w:p w:rsidR="00816960" w:rsidRPr="006E5629" w:rsidRDefault="00816960" w:rsidP="00816960">
            <w:pPr>
              <w:pStyle w:val="naiskr"/>
              <w:spacing w:before="0" w:after="0"/>
              <w:rPr>
                <w:sz w:val="23"/>
                <w:szCs w:val="23"/>
              </w:rPr>
            </w:pPr>
            <w:r w:rsidRPr="006E5629">
              <w:rPr>
                <w:sz w:val="23"/>
                <w:szCs w:val="23"/>
              </w:rPr>
              <w:t>Cita informācija</w:t>
            </w:r>
          </w:p>
        </w:tc>
        <w:tc>
          <w:tcPr>
            <w:tcW w:w="5640" w:type="dxa"/>
          </w:tcPr>
          <w:p w:rsidR="00816960" w:rsidRPr="006E5629" w:rsidRDefault="00D36DCB" w:rsidP="00F17AE5">
            <w:pPr>
              <w:jc w:val="both"/>
              <w:rPr>
                <w:sz w:val="23"/>
                <w:szCs w:val="23"/>
              </w:rPr>
            </w:pPr>
            <w:r>
              <w:rPr>
                <w:sz w:val="23"/>
                <w:szCs w:val="23"/>
              </w:rPr>
              <w:t>Nav.</w:t>
            </w:r>
          </w:p>
        </w:tc>
      </w:tr>
    </w:tbl>
    <w:p w:rsidR="003D205D" w:rsidRPr="006E5629" w:rsidRDefault="003D205D" w:rsidP="00BB129A">
      <w:pPr>
        <w:pStyle w:val="naisf"/>
        <w:spacing w:before="0" w:after="0"/>
        <w:ind w:firstLine="0"/>
        <w:rPr>
          <w:sz w:val="23"/>
          <w:szCs w:val="23"/>
        </w:rPr>
      </w:pPr>
    </w:p>
    <w:tbl>
      <w:tblPr>
        <w:tblW w:w="9600" w:type="dxa"/>
        <w:tblInd w:w="-212"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430"/>
        <w:gridCol w:w="1649"/>
        <w:gridCol w:w="1919"/>
        <w:gridCol w:w="1188"/>
        <w:gridCol w:w="1215"/>
        <w:gridCol w:w="11"/>
        <w:gridCol w:w="1188"/>
      </w:tblGrid>
      <w:tr w:rsidR="00AC704C" w:rsidRPr="006E5629" w:rsidTr="00AC704C">
        <w:trPr>
          <w:trHeight w:val="261"/>
        </w:trPr>
        <w:tc>
          <w:tcPr>
            <w:tcW w:w="9600" w:type="dxa"/>
            <w:gridSpan w:val="7"/>
            <w:tcBorders>
              <w:top w:val="outset" w:sz="6" w:space="0" w:color="auto"/>
              <w:left w:val="outset" w:sz="6" w:space="0" w:color="auto"/>
              <w:right w:val="outset" w:sz="6" w:space="0" w:color="auto"/>
            </w:tcBorders>
            <w:shd w:val="clear" w:color="auto" w:fill="auto"/>
            <w:vAlign w:val="center"/>
          </w:tcPr>
          <w:p w:rsidR="00AC704C" w:rsidRPr="006E5629" w:rsidRDefault="00AC704C" w:rsidP="00AC704C">
            <w:pPr>
              <w:jc w:val="center"/>
              <w:rPr>
                <w:b/>
                <w:sz w:val="23"/>
                <w:szCs w:val="23"/>
              </w:rPr>
            </w:pPr>
            <w:r w:rsidRPr="006E5629">
              <w:rPr>
                <w:b/>
                <w:sz w:val="23"/>
                <w:szCs w:val="23"/>
              </w:rPr>
              <w:br w:type="page"/>
              <w:t>III Tiesību akta projekta ietekme uz valsts budžetu un pašvaldību budžetiem</w:t>
            </w:r>
          </w:p>
        </w:tc>
      </w:tr>
      <w:tr w:rsidR="0079561D" w:rsidRPr="006E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val="restart"/>
            <w:shd w:val="clear" w:color="auto" w:fill="auto"/>
            <w:vAlign w:val="center"/>
          </w:tcPr>
          <w:p w:rsidR="0079561D" w:rsidRPr="006E5629" w:rsidRDefault="0079561D" w:rsidP="007C7975">
            <w:pPr>
              <w:jc w:val="center"/>
              <w:rPr>
                <w:sz w:val="23"/>
                <w:szCs w:val="23"/>
              </w:rPr>
            </w:pPr>
            <w:r w:rsidRPr="006E5629">
              <w:rPr>
                <w:b/>
                <w:sz w:val="23"/>
                <w:szCs w:val="23"/>
              </w:rPr>
              <w:t>Rādītāji</w:t>
            </w:r>
          </w:p>
        </w:tc>
        <w:tc>
          <w:tcPr>
            <w:tcW w:w="3568" w:type="dxa"/>
            <w:gridSpan w:val="2"/>
            <w:vMerge w:val="restart"/>
            <w:shd w:val="clear" w:color="auto" w:fill="auto"/>
            <w:vAlign w:val="center"/>
          </w:tcPr>
          <w:p w:rsidR="0079561D" w:rsidRPr="006E5629" w:rsidRDefault="0079561D" w:rsidP="007C7975">
            <w:pPr>
              <w:jc w:val="center"/>
              <w:rPr>
                <w:sz w:val="23"/>
                <w:szCs w:val="23"/>
              </w:rPr>
            </w:pPr>
            <w:r w:rsidRPr="006E5629">
              <w:rPr>
                <w:b/>
                <w:sz w:val="23"/>
                <w:szCs w:val="23"/>
              </w:rPr>
              <w:t>201</w:t>
            </w:r>
            <w:r w:rsidR="00D62A7E" w:rsidRPr="006E5629">
              <w:rPr>
                <w:b/>
                <w:sz w:val="23"/>
                <w:szCs w:val="23"/>
              </w:rPr>
              <w:t>4</w:t>
            </w:r>
          </w:p>
        </w:tc>
        <w:tc>
          <w:tcPr>
            <w:tcW w:w="3602" w:type="dxa"/>
            <w:gridSpan w:val="4"/>
            <w:shd w:val="clear" w:color="auto" w:fill="auto"/>
            <w:vAlign w:val="center"/>
          </w:tcPr>
          <w:p w:rsidR="0079561D" w:rsidRPr="006E5629" w:rsidRDefault="0079561D" w:rsidP="007C7975">
            <w:pPr>
              <w:jc w:val="center"/>
              <w:rPr>
                <w:sz w:val="23"/>
                <w:szCs w:val="23"/>
              </w:rPr>
            </w:pPr>
            <w:r w:rsidRPr="006E5629">
              <w:rPr>
                <w:sz w:val="23"/>
                <w:szCs w:val="23"/>
              </w:rPr>
              <w:t>Turpmākie trīs gadi</w:t>
            </w:r>
            <w:r w:rsidR="00AC704C" w:rsidRPr="006E5629">
              <w:rPr>
                <w:sz w:val="23"/>
                <w:szCs w:val="23"/>
              </w:rPr>
              <w:t xml:space="preserve"> (</w:t>
            </w:r>
            <w:proofErr w:type="spellStart"/>
            <w:r w:rsidR="00AC704C" w:rsidRPr="006E5629">
              <w:rPr>
                <w:i/>
                <w:sz w:val="23"/>
                <w:szCs w:val="23"/>
              </w:rPr>
              <w:t>euro</w:t>
            </w:r>
            <w:proofErr w:type="spellEnd"/>
            <w:r w:rsidR="00AC704C" w:rsidRPr="006E5629">
              <w:rPr>
                <w:sz w:val="23"/>
                <w:szCs w:val="23"/>
              </w:rPr>
              <w:t>)</w:t>
            </w:r>
          </w:p>
        </w:tc>
      </w:tr>
      <w:tr w:rsidR="0079561D"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tcPr>
          <w:p w:rsidR="0079561D" w:rsidRPr="006E5629" w:rsidRDefault="0079561D" w:rsidP="007C7975">
            <w:pPr>
              <w:jc w:val="center"/>
              <w:rPr>
                <w:sz w:val="23"/>
                <w:szCs w:val="23"/>
              </w:rPr>
            </w:pPr>
          </w:p>
        </w:tc>
        <w:tc>
          <w:tcPr>
            <w:tcW w:w="3568" w:type="dxa"/>
            <w:gridSpan w:val="2"/>
            <w:vMerge/>
            <w:shd w:val="clear" w:color="auto" w:fill="auto"/>
          </w:tcPr>
          <w:p w:rsidR="0079561D" w:rsidRPr="006E5629" w:rsidRDefault="0079561D" w:rsidP="007C7975">
            <w:pPr>
              <w:jc w:val="center"/>
              <w:rPr>
                <w:b/>
                <w:sz w:val="23"/>
                <w:szCs w:val="23"/>
              </w:rPr>
            </w:pPr>
          </w:p>
        </w:tc>
        <w:tc>
          <w:tcPr>
            <w:tcW w:w="1188" w:type="dxa"/>
            <w:shd w:val="clear" w:color="auto" w:fill="auto"/>
            <w:vAlign w:val="bottom"/>
          </w:tcPr>
          <w:p w:rsidR="0079561D" w:rsidRPr="006E5629" w:rsidRDefault="0079561D" w:rsidP="007C7975">
            <w:pPr>
              <w:pStyle w:val="naisf"/>
              <w:spacing w:before="0" w:after="0"/>
              <w:ind w:firstLine="0"/>
              <w:jc w:val="center"/>
              <w:rPr>
                <w:b/>
                <w:i/>
                <w:sz w:val="23"/>
                <w:szCs w:val="23"/>
              </w:rPr>
            </w:pPr>
            <w:r w:rsidRPr="006E5629">
              <w:rPr>
                <w:b/>
                <w:bCs/>
                <w:sz w:val="23"/>
                <w:szCs w:val="23"/>
              </w:rPr>
              <w:t>201</w:t>
            </w:r>
            <w:r w:rsidR="00D62A7E" w:rsidRPr="006E5629">
              <w:rPr>
                <w:b/>
                <w:bCs/>
                <w:sz w:val="23"/>
                <w:szCs w:val="23"/>
              </w:rPr>
              <w:t>5</w:t>
            </w:r>
          </w:p>
        </w:tc>
        <w:tc>
          <w:tcPr>
            <w:tcW w:w="1226" w:type="dxa"/>
            <w:gridSpan w:val="2"/>
            <w:shd w:val="clear" w:color="auto" w:fill="auto"/>
            <w:vAlign w:val="bottom"/>
          </w:tcPr>
          <w:p w:rsidR="0079561D" w:rsidRPr="006E5629" w:rsidRDefault="0079561D" w:rsidP="007C7975">
            <w:pPr>
              <w:pStyle w:val="naisf"/>
              <w:spacing w:before="0" w:after="0"/>
              <w:ind w:firstLine="0"/>
              <w:jc w:val="center"/>
              <w:rPr>
                <w:b/>
                <w:i/>
                <w:sz w:val="23"/>
                <w:szCs w:val="23"/>
              </w:rPr>
            </w:pPr>
            <w:r w:rsidRPr="006E5629">
              <w:rPr>
                <w:b/>
                <w:bCs/>
                <w:sz w:val="23"/>
                <w:szCs w:val="23"/>
              </w:rPr>
              <w:t>201</w:t>
            </w:r>
            <w:r w:rsidR="00D62A7E" w:rsidRPr="006E5629">
              <w:rPr>
                <w:b/>
                <w:bCs/>
                <w:sz w:val="23"/>
                <w:szCs w:val="23"/>
              </w:rPr>
              <w:t>6</w:t>
            </w:r>
          </w:p>
        </w:tc>
        <w:tc>
          <w:tcPr>
            <w:tcW w:w="1188" w:type="dxa"/>
            <w:shd w:val="clear" w:color="auto" w:fill="auto"/>
            <w:vAlign w:val="bottom"/>
          </w:tcPr>
          <w:p w:rsidR="0079561D" w:rsidRPr="006E5629" w:rsidRDefault="0079561D" w:rsidP="007C7975">
            <w:pPr>
              <w:pStyle w:val="naisf"/>
              <w:spacing w:before="0" w:after="0"/>
              <w:ind w:firstLine="0"/>
              <w:jc w:val="center"/>
              <w:rPr>
                <w:b/>
                <w:i/>
                <w:sz w:val="23"/>
                <w:szCs w:val="23"/>
              </w:rPr>
            </w:pPr>
            <w:r w:rsidRPr="006E5629">
              <w:rPr>
                <w:b/>
                <w:bCs/>
                <w:sz w:val="23"/>
                <w:szCs w:val="23"/>
              </w:rPr>
              <w:t>201</w:t>
            </w:r>
            <w:r w:rsidR="00D62A7E" w:rsidRPr="006E5629">
              <w:rPr>
                <w:b/>
                <w:bCs/>
                <w:sz w:val="23"/>
                <w:szCs w:val="23"/>
              </w:rPr>
              <w:t>7</w:t>
            </w:r>
          </w:p>
        </w:tc>
      </w:tr>
      <w:tr w:rsidR="00775A9F"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vAlign w:val="bottom"/>
          </w:tcPr>
          <w:p w:rsidR="0079561D" w:rsidRPr="006E5629" w:rsidRDefault="0079561D" w:rsidP="007C7975">
            <w:pPr>
              <w:jc w:val="center"/>
              <w:rPr>
                <w:sz w:val="23"/>
                <w:szCs w:val="23"/>
              </w:rPr>
            </w:pPr>
          </w:p>
        </w:tc>
        <w:tc>
          <w:tcPr>
            <w:tcW w:w="1649" w:type="dxa"/>
            <w:shd w:val="clear" w:color="auto" w:fill="auto"/>
            <w:vAlign w:val="bottom"/>
          </w:tcPr>
          <w:p w:rsidR="0079561D" w:rsidRPr="006E5629" w:rsidRDefault="00AC704C" w:rsidP="007C7975">
            <w:pPr>
              <w:jc w:val="center"/>
              <w:rPr>
                <w:sz w:val="23"/>
                <w:szCs w:val="23"/>
              </w:rPr>
            </w:pPr>
            <w:r w:rsidRPr="006E5629">
              <w:rPr>
                <w:sz w:val="23"/>
                <w:szCs w:val="23"/>
              </w:rPr>
              <w:t>s</w:t>
            </w:r>
            <w:r w:rsidR="0079561D" w:rsidRPr="006E5629">
              <w:rPr>
                <w:sz w:val="23"/>
                <w:szCs w:val="23"/>
              </w:rPr>
              <w:t>askaņā ar valsts budžetu kārtējam gadam</w:t>
            </w:r>
          </w:p>
        </w:tc>
        <w:tc>
          <w:tcPr>
            <w:tcW w:w="1919" w:type="dxa"/>
            <w:shd w:val="clear" w:color="auto" w:fill="auto"/>
            <w:vAlign w:val="bottom"/>
          </w:tcPr>
          <w:p w:rsidR="0079561D" w:rsidRPr="006E5629" w:rsidRDefault="00AC704C" w:rsidP="007C7975">
            <w:pPr>
              <w:jc w:val="center"/>
              <w:rPr>
                <w:sz w:val="23"/>
                <w:szCs w:val="23"/>
              </w:rPr>
            </w:pPr>
            <w:r w:rsidRPr="006E5629">
              <w:rPr>
                <w:sz w:val="23"/>
                <w:szCs w:val="23"/>
              </w:rPr>
              <w:t>i</w:t>
            </w:r>
            <w:r w:rsidR="0079561D" w:rsidRPr="006E5629">
              <w:rPr>
                <w:sz w:val="23"/>
                <w:szCs w:val="23"/>
              </w:rPr>
              <w:t>zmaiņas kārtējā gadā salīdzinot ar budžetu kārtējam gadam</w:t>
            </w:r>
          </w:p>
        </w:tc>
        <w:tc>
          <w:tcPr>
            <w:tcW w:w="1188" w:type="dxa"/>
            <w:shd w:val="clear" w:color="auto" w:fill="auto"/>
            <w:vAlign w:val="bottom"/>
          </w:tcPr>
          <w:p w:rsidR="0079561D" w:rsidRPr="006E5629" w:rsidRDefault="00AC704C" w:rsidP="007C7975">
            <w:pPr>
              <w:jc w:val="center"/>
              <w:rPr>
                <w:sz w:val="23"/>
                <w:szCs w:val="23"/>
              </w:rPr>
            </w:pPr>
            <w:r w:rsidRPr="006E5629">
              <w:rPr>
                <w:sz w:val="23"/>
                <w:szCs w:val="23"/>
              </w:rPr>
              <w:t>i</w:t>
            </w:r>
            <w:r w:rsidR="0079561D" w:rsidRPr="006E5629">
              <w:rPr>
                <w:sz w:val="23"/>
                <w:szCs w:val="23"/>
              </w:rPr>
              <w:t>zmaiņas salīdzinot ar kārtējo (n) gadu</w:t>
            </w:r>
          </w:p>
        </w:tc>
        <w:tc>
          <w:tcPr>
            <w:tcW w:w="1226" w:type="dxa"/>
            <w:gridSpan w:val="2"/>
            <w:shd w:val="clear" w:color="auto" w:fill="auto"/>
            <w:vAlign w:val="bottom"/>
          </w:tcPr>
          <w:p w:rsidR="0079561D" w:rsidRPr="006E5629" w:rsidRDefault="00AC704C" w:rsidP="007C7975">
            <w:pPr>
              <w:jc w:val="center"/>
              <w:rPr>
                <w:sz w:val="23"/>
                <w:szCs w:val="23"/>
              </w:rPr>
            </w:pPr>
            <w:r w:rsidRPr="006E5629">
              <w:rPr>
                <w:sz w:val="23"/>
                <w:szCs w:val="23"/>
              </w:rPr>
              <w:t>i</w:t>
            </w:r>
            <w:r w:rsidR="0079561D" w:rsidRPr="006E5629">
              <w:rPr>
                <w:sz w:val="23"/>
                <w:szCs w:val="23"/>
              </w:rPr>
              <w:t>zmaiņas salīdzinot ar kārtējo (n) gadu</w:t>
            </w:r>
          </w:p>
        </w:tc>
        <w:tc>
          <w:tcPr>
            <w:tcW w:w="1188" w:type="dxa"/>
            <w:shd w:val="clear" w:color="auto" w:fill="auto"/>
            <w:vAlign w:val="bottom"/>
          </w:tcPr>
          <w:p w:rsidR="0079561D" w:rsidRPr="006E5629" w:rsidRDefault="00AC704C" w:rsidP="007C7975">
            <w:pPr>
              <w:jc w:val="center"/>
              <w:rPr>
                <w:sz w:val="23"/>
                <w:szCs w:val="23"/>
              </w:rPr>
            </w:pPr>
            <w:r w:rsidRPr="006E5629">
              <w:rPr>
                <w:sz w:val="23"/>
                <w:szCs w:val="23"/>
              </w:rPr>
              <w:t>i</w:t>
            </w:r>
            <w:r w:rsidR="0079561D" w:rsidRPr="006E5629">
              <w:rPr>
                <w:sz w:val="23"/>
                <w:szCs w:val="23"/>
              </w:rPr>
              <w:t>zmaiņas salīdzinot ar kārtējo (n) gadu</w:t>
            </w:r>
          </w:p>
        </w:tc>
      </w:tr>
      <w:tr w:rsidR="00775A9F"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79561D" w:rsidRPr="006E5629" w:rsidRDefault="0079561D" w:rsidP="007C7975">
            <w:pPr>
              <w:pStyle w:val="naisf"/>
              <w:spacing w:before="0" w:after="0"/>
              <w:ind w:firstLine="0"/>
              <w:jc w:val="center"/>
              <w:rPr>
                <w:sz w:val="23"/>
                <w:szCs w:val="23"/>
              </w:rPr>
            </w:pPr>
            <w:r w:rsidRPr="006E5629">
              <w:rPr>
                <w:sz w:val="23"/>
                <w:szCs w:val="23"/>
              </w:rPr>
              <w:t>1</w:t>
            </w:r>
          </w:p>
        </w:tc>
        <w:tc>
          <w:tcPr>
            <w:tcW w:w="1649" w:type="dxa"/>
            <w:shd w:val="clear" w:color="auto" w:fill="auto"/>
          </w:tcPr>
          <w:p w:rsidR="0079561D" w:rsidRPr="006E5629" w:rsidRDefault="0079561D" w:rsidP="007C7975">
            <w:pPr>
              <w:pStyle w:val="naisf"/>
              <w:spacing w:before="0" w:after="0"/>
              <w:ind w:firstLine="0"/>
              <w:jc w:val="center"/>
              <w:rPr>
                <w:sz w:val="23"/>
                <w:szCs w:val="23"/>
              </w:rPr>
            </w:pPr>
            <w:r w:rsidRPr="006E5629">
              <w:rPr>
                <w:sz w:val="23"/>
                <w:szCs w:val="23"/>
              </w:rPr>
              <w:t>2</w:t>
            </w:r>
          </w:p>
        </w:tc>
        <w:tc>
          <w:tcPr>
            <w:tcW w:w="1919" w:type="dxa"/>
            <w:shd w:val="clear" w:color="auto" w:fill="auto"/>
          </w:tcPr>
          <w:p w:rsidR="0079561D" w:rsidRPr="006E5629" w:rsidRDefault="0079561D" w:rsidP="007C7975">
            <w:pPr>
              <w:pStyle w:val="naisf"/>
              <w:spacing w:before="0" w:after="0"/>
              <w:ind w:firstLine="0"/>
              <w:jc w:val="center"/>
              <w:rPr>
                <w:sz w:val="23"/>
                <w:szCs w:val="23"/>
              </w:rPr>
            </w:pPr>
            <w:r w:rsidRPr="006E5629">
              <w:rPr>
                <w:sz w:val="23"/>
                <w:szCs w:val="23"/>
              </w:rPr>
              <w:t>3</w:t>
            </w:r>
          </w:p>
        </w:tc>
        <w:tc>
          <w:tcPr>
            <w:tcW w:w="1188" w:type="dxa"/>
            <w:shd w:val="clear" w:color="auto" w:fill="auto"/>
          </w:tcPr>
          <w:p w:rsidR="0079561D" w:rsidRPr="006E5629" w:rsidRDefault="0079561D" w:rsidP="007C7975">
            <w:pPr>
              <w:pStyle w:val="naisf"/>
              <w:spacing w:before="0" w:after="0"/>
              <w:ind w:firstLine="0"/>
              <w:jc w:val="center"/>
              <w:rPr>
                <w:sz w:val="23"/>
                <w:szCs w:val="23"/>
              </w:rPr>
            </w:pPr>
            <w:r w:rsidRPr="006E5629">
              <w:rPr>
                <w:sz w:val="23"/>
                <w:szCs w:val="23"/>
              </w:rPr>
              <w:t>4</w:t>
            </w:r>
          </w:p>
        </w:tc>
        <w:tc>
          <w:tcPr>
            <w:tcW w:w="1226" w:type="dxa"/>
            <w:gridSpan w:val="2"/>
            <w:shd w:val="clear" w:color="auto" w:fill="auto"/>
          </w:tcPr>
          <w:p w:rsidR="0079561D" w:rsidRPr="006E5629" w:rsidRDefault="0079561D" w:rsidP="007C7975">
            <w:pPr>
              <w:pStyle w:val="naisf"/>
              <w:spacing w:before="0" w:after="0"/>
              <w:ind w:firstLine="0"/>
              <w:jc w:val="center"/>
              <w:rPr>
                <w:sz w:val="23"/>
                <w:szCs w:val="23"/>
              </w:rPr>
            </w:pPr>
            <w:r w:rsidRPr="006E5629">
              <w:rPr>
                <w:sz w:val="23"/>
                <w:szCs w:val="23"/>
              </w:rPr>
              <w:t>5</w:t>
            </w:r>
          </w:p>
        </w:tc>
        <w:tc>
          <w:tcPr>
            <w:tcW w:w="1188" w:type="dxa"/>
            <w:shd w:val="clear" w:color="auto" w:fill="auto"/>
          </w:tcPr>
          <w:p w:rsidR="0079561D" w:rsidRPr="006E5629" w:rsidRDefault="0079561D" w:rsidP="007C7975">
            <w:pPr>
              <w:pStyle w:val="naisf"/>
              <w:spacing w:before="0" w:after="0"/>
              <w:ind w:firstLine="0"/>
              <w:jc w:val="center"/>
              <w:rPr>
                <w:sz w:val="23"/>
                <w:szCs w:val="23"/>
              </w:rPr>
            </w:pPr>
            <w:r w:rsidRPr="006E5629">
              <w:rPr>
                <w:sz w:val="23"/>
                <w:szCs w:val="23"/>
              </w:rPr>
              <w:t>6</w:t>
            </w:r>
          </w:p>
        </w:tc>
      </w:tr>
      <w:tr w:rsidR="00BA1120"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BA1120" w:rsidRPr="006E5629" w:rsidRDefault="00BA1120" w:rsidP="00A021E3">
            <w:pPr>
              <w:pStyle w:val="naisf"/>
              <w:spacing w:before="0" w:after="0"/>
              <w:ind w:firstLine="0"/>
              <w:rPr>
                <w:b/>
                <w:sz w:val="23"/>
                <w:szCs w:val="23"/>
              </w:rPr>
            </w:pPr>
            <w:r w:rsidRPr="006E5629">
              <w:rPr>
                <w:sz w:val="23"/>
                <w:szCs w:val="23"/>
              </w:rPr>
              <w:t>1. Budžeta ieņēmumi:</w:t>
            </w:r>
          </w:p>
        </w:tc>
        <w:tc>
          <w:tcPr>
            <w:tcW w:w="1649" w:type="dxa"/>
            <w:shd w:val="clear" w:color="auto" w:fill="auto"/>
          </w:tcPr>
          <w:p w:rsidR="00BA1120" w:rsidRPr="006E5629" w:rsidRDefault="00BA1120" w:rsidP="00140619">
            <w:pPr>
              <w:spacing w:before="100" w:beforeAutospacing="1" w:after="100" w:afterAutospacing="1"/>
              <w:jc w:val="right"/>
              <w:rPr>
                <w:sz w:val="23"/>
                <w:szCs w:val="23"/>
              </w:rPr>
            </w:pPr>
            <w:r w:rsidRPr="006E5629">
              <w:rPr>
                <w:sz w:val="23"/>
                <w:szCs w:val="23"/>
              </w:rPr>
              <w:t>  </w:t>
            </w:r>
            <w:r w:rsidR="00140619">
              <w:rPr>
                <w:sz w:val="23"/>
                <w:szCs w:val="23"/>
              </w:rPr>
              <w:t>1 022 402</w:t>
            </w:r>
          </w:p>
        </w:tc>
        <w:tc>
          <w:tcPr>
            <w:tcW w:w="1919" w:type="dxa"/>
            <w:shd w:val="clear" w:color="auto" w:fill="auto"/>
          </w:tcPr>
          <w:p w:rsidR="00BA1120" w:rsidRPr="006E5629" w:rsidRDefault="00BA1120" w:rsidP="00EB5562">
            <w:pPr>
              <w:jc w:val="right"/>
              <w:rPr>
                <w:sz w:val="23"/>
                <w:szCs w:val="23"/>
              </w:rPr>
            </w:pPr>
            <w:r w:rsidRPr="006E5629">
              <w:rPr>
                <w:sz w:val="23"/>
                <w:szCs w:val="23"/>
              </w:rPr>
              <w:t>0</w:t>
            </w:r>
          </w:p>
        </w:tc>
        <w:tc>
          <w:tcPr>
            <w:tcW w:w="1188" w:type="dxa"/>
            <w:shd w:val="clear" w:color="auto" w:fill="auto"/>
          </w:tcPr>
          <w:p w:rsidR="00BA1120" w:rsidRPr="006E5629" w:rsidRDefault="00BA1120" w:rsidP="00EB5562">
            <w:pPr>
              <w:jc w:val="right"/>
              <w:rPr>
                <w:sz w:val="23"/>
                <w:szCs w:val="23"/>
              </w:rPr>
            </w:pPr>
            <w:r w:rsidRPr="006E5629">
              <w:rPr>
                <w:sz w:val="23"/>
                <w:szCs w:val="23"/>
              </w:rPr>
              <w:t>0</w:t>
            </w:r>
          </w:p>
        </w:tc>
        <w:tc>
          <w:tcPr>
            <w:tcW w:w="1226" w:type="dxa"/>
            <w:gridSpan w:val="2"/>
            <w:shd w:val="clear" w:color="auto" w:fill="auto"/>
          </w:tcPr>
          <w:p w:rsidR="00BA1120" w:rsidRPr="006E5629" w:rsidRDefault="00BA1120" w:rsidP="00EB5562">
            <w:pPr>
              <w:jc w:val="right"/>
              <w:rPr>
                <w:sz w:val="23"/>
                <w:szCs w:val="23"/>
              </w:rPr>
            </w:pPr>
            <w:r w:rsidRPr="006E5629">
              <w:rPr>
                <w:sz w:val="23"/>
                <w:szCs w:val="23"/>
              </w:rPr>
              <w:t>0</w:t>
            </w:r>
          </w:p>
        </w:tc>
        <w:tc>
          <w:tcPr>
            <w:tcW w:w="1188" w:type="dxa"/>
            <w:shd w:val="clear" w:color="auto" w:fill="auto"/>
          </w:tcPr>
          <w:p w:rsidR="00BA1120" w:rsidRPr="006E5629" w:rsidRDefault="00BA1120" w:rsidP="00EB5562">
            <w:pPr>
              <w:jc w:val="right"/>
              <w:rPr>
                <w:sz w:val="23"/>
                <w:szCs w:val="23"/>
              </w:rPr>
            </w:pPr>
            <w:r w:rsidRPr="006E5629">
              <w:rPr>
                <w:sz w:val="23"/>
                <w:szCs w:val="23"/>
              </w:rPr>
              <w:t>0</w:t>
            </w:r>
          </w:p>
        </w:tc>
      </w:tr>
      <w:tr w:rsidR="00A926A7" w:rsidRPr="006E5629" w:rsidTr="00FB1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A926A7" w:rsidRPr="006E5629" w:rsidRDefault="00A926A7" w:rsidP="007C7975">
            <w:pPr>
              <w:rPr>
                <w:sz w:val="23"/>
                <w:szCs w:val="23"/>
              </w:rPr>
            </w:pPr>
            <w:r w:rsidRPr="006E5629">
              <w:rPr>
                <w:sz w:val="23"/>
                <w:szCs w:val="23"/>
              </w:rPr>
              <w:t>1.1. valsts pamatbudžets, tai skaitā ieņēmumi no maksas pakalpojumiem un citi pašu ieņēmumi</w:t>
            </w:r>
          </w:p>
        </w:tc>
        <w:tc>
          <w:tcPr>
            <w:tcW w:w="1649" w:type="dxa"/>
            <w:shd w:val="clear" w:color="auto" w:fill="auto"/>
            <w:vAlign w:val="center"/>
          </w:tcPr>
          <w:p w:rsidR="00A926A7" w:rsidRPr="006E5629" w:rsidRDefault="00A926A7" w:rsidP="00F56018">
            <w:pPr>
              <w:jc w:val="center"/>
              <w:rPr>
                <w:sz w:val="23"/>
                <w:szCs w:val="23"/>
              </w:rPr>
            </w:pPr>
            <w:r w:rsidRPr="006E5629">
              <w:rPr>
                <w:sz w:val="23"/>
                <w:szCs w:val="23"/>
              </w:rPr>
              <w:t xml:space="preserve">Saskaņā ar likumu „Par valsts budžetu 2014.gadam”, Labklājības </w:t>
            </w:r>
            <w:r w:rsidRPr="006E5629">
              <w:rPr>
                <w:sz w:val="23"/>
                <w:szCs w:val="23"/>
              </w:rPr>
              <w:lastRenderedPageBreak/>
              <w:t>ministrijas budžeta 99.00.00 programmā „Līdzekļu neparedzētiem gadījumiem izlietojums” plānots finansējums</w:t>
            </w:r>
            <w:r w:rsidR="00971A0C" w:rsidRPr="006E5629">
              <w:rPr>
                <w:sz w:val="23"/>
                <w:szCs w:val="23"/>
              </w:rPr>
              <w:t xml:space="preserve"> </w:t>
            </w:r>
            <w:r w:rsidR="00140619">
              <w:rPr>
                <w:sz w:val="23"/>
                <w:szCs w:val="23"/>
              </w:rPr>
              <w:t>1 022</w:t>
            </w:r>
            <w:r w:rsidR="00140619">
              <w:rPr>
                <w:sz w:val="23"/>
                <w:szCs w:val="23"/>
              </w:rPr>
              <w:t> </w:t>
            </w:r>
            <w:r w:rsidR="00140619">
              <w:rPr>
                <w:sz w:val="23"/>
                <w:szCs w:val="23"/>
              </w:rPr>
              <w:t>402</w:t>
            </w:r>
            <w:r w:rsidR="00140619">
              <w:rPr>
                <w:sz w:val="23"/>
                <w:szCs w:val="23"/>
              </w:rPr>
              <w:t xml:space="preserve"> </w:t>
            </w:r>
            <w:r w:rsidRPr="006E5629">
              <w:rPr>
                <w:sz w:val="23"/>
                <w:szCs w:val="23"/>
              </w:rPr>
              <w:t>EUR apmērā.*</w:t>
            </w:r>
          </w:p>
        </w:tc>
        <w:tc>
          <w:tcPr>
            <w:tcW w:w="1919" w:type="dxa"/>
            <w:shd w:val="clear" w:color="auto" w:fill="auto"/>
          </w:tcPr>
          <w:p w:rsidR="00A926A7" w:rsidRPr="006E5629" w:rsidRDefault="00A926A7" w:rsidP="00EB5562">
            <w:pPr>
              <w:jc w:val="right"/>
              <w:rPr>
                <w:sz w:val="23"/>
                <w:szCs w:val="23"/>
              </w:rPr>
            </w:pPr>
            <w:r w:rsidRPr="006E5629">
              <w:rPr>
                <w:sz w:val="23"/>
                <w:szCs w:val="23"/>
              </w:rPr>
              <w:lastRenderedPageBreak/>
              <w:t>0</w:t>
            </w:r>
          </w:p>
        </w:tc>
        <w:tc>
          <w:tcPr>
            <w:tcW w:w="1188" w:type="dxa"/>
            <w:shd w:val="clear" w:color="auto" w:fill="auto"/>
          </w:tcPr>
          <w:p w:rsidR="00A926A7" w:rsidRPr="006E5629" w:rsidRDefault="00A926A7" w:rsidP="00EB5562">
            <w:pPr>
              <w:jc w:val="right"/>
              <w:rPr>
                <w:sz w:val="23"/>
                <w:szCs w:val="23"/>
              </w:rPr>
            </w:pPr>
            <w:r w:rsidRPr="006E5629">
              <w:rPr>
                <w:sz w:val="23"/>
                <w:szCs w:val="23"/>
              </w:rPr>
              <w:t>0</w:t>
            </w:r>
          </w:p>
        </w:tc>
        <w:tc>
          <w:tcPr>
            <w:tcW w:w="1226" w:type="dxa"/>
            <w:gridSpan w:val="2"/>
            <w:shd w:val="clear" w:color="auto" w:fill="auto"/>
          </w:tcPr>
          <w:p w:rsidR="00A926A7" w:rsidRPr="006E5629" w:rsidRDefault="00A926A7" w:rsidP="00EB5562">
            <w:pPr>
              <w:jc w:val="right"/>
              <w:rPr>
                <w:sz w:val="23"/>
                <w:szCs w:val="23"/>
              </w:rPr>
            </w:pPr>
            <w:r w:rsidRPr="006E5629">
              <w:rPr>
                <w:sz w:val="23"/>
                <w:szCs w:val="23"/>
              </w:rPr>
              <w:t>0</w:t>
            </w:r>
          </w:p>
        </w:tc>
        <w:tc>
          <w:tcPr>
            <w:tcW w:w="1188" w:type="dxa"/>
            <w:shd w:val="clear" w:color="auto" w:fill="auto"/>
          </w:tcPr>
          <w:p w:rsidR="00A926A7" w:rsidRPr="006E5629" w:rsidRDefault="00A926A7" w:rsidP="00EB5562">
            <w:pPr>
              <w:jc w:val="right"/>
              <w:rPr>
                <w:sz w:val="23"/>
                <w:szCs w:val="23"/>
              </w:rPr>
            </w:pPr>
            <w:r w:rsidRPr="006E5629">
              <w:rPr>
                <w:sz w:val="23"/>
                <w:szCs w:val="23"/>
              </w:rPr>
              <w:t>0</w:t>
            </w:r>
          </w:p>
        </w:tc>
      </w:tr>
      <w:tr w:rsidR="006E5629" w:rsidRPr="006E5629" w:rsidTr="00E21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6E5629" w:rsidRPr="006E5629" w:rsidRDefault="006E5629" w:rsidP="007C7975">
            <w:pPr>
              <w:pStyle w:val="naisf"/>
              <w:spacing w:before="0" w:after="0"/>
              <w:ind w:firstLine="0"/>
              <w:jc w:val="left"/>
              <w:rPr>
                <w:i/>
                <w:sz w:val="23"/>
                <w:szCs w:val="23"/>
              </w:rPr>
            </w:pPr>
            <w:r w:rsidRPr="006E5629">
              <w:rPr>
                <w:sz w:val="23"/>
                <w:szCs w:val="23"/>
              </w:rPr>
              <w:lastRenderedPageBreak/>
              <w:t>1.2. valsts speciālais budžets</w:t>
            </w:r>
          </w:p>
        </w:tc>
        <w:tc>
          <w:tcPr>
            <w:tcW w:w="1649" w:type="dxa"/>
            <w:shd w:val="clear" w:color="auto" w:fill="auto"/>
            <w:vAlign w:val="center"/>
          </w:tcPr>
          <w:p w:rsidR="006E5629" w:rsidRPr="006E5629" w:rsidRDefault="006E5629" w:rsidP="007C7975">
            <w:pPr>
              <w:pStyle w:val="naisf"/>
              <w:spacing w:before="0" w:after="0"/>
              <w:ind w:firstLine="0"/>
              <w:jc w:val="center"/>
              <w:rPr>
                <w:sz w:val="23"/>
                <w:szCs w:val="23"/>
              </w:rPr>
            </w:pPr>
          </w:p>
        </w:tc>
        <w:tc>
          <w:tcPr>
            <w:tcW w:w="1919" w:type="dxa"/>
            <w:shd w:val="clear" w:color="auto" w:fill="auto"/>
          </w:tcPr>
          <w:p w:rsidR="006E5629" w:rsidRPr="006E5629" w:rsidRDefault="006E5629" w:rsidP="00EB5562">
            <w:pPr>
              <w:jc w:val="right"/>
              <w:rPr>
                <w:sz w:val="23"/>
                <w:szCs w:val="23"/>
              </w:rPr>
            </w:pPr>
            <w:r w:rsidRPr="006E5629">
              <w:rPr>
                <w:sz w:val="23"/>
                <w:szCs w:val="23"/>
              </w:rPr>
              <w:t>0</w:t>
            </w:r>
          </w:p>
        </w:tc>
        <w:tc>
          <w:tcPr>
            <w:tcW w:w="1188" w:type="dxa"/>
            <w:shd w:val="clear" w:color="auto" w:fill="auto"/>
          </w:tcPr>
          <w:p w:rsidR="006E5629" w:rsidRPr="006E5629" w:rsidRDefault="006E5629" w:rsidP="00EB5562">
            <w:pPr>
              <w:jc w:val="right"/>
              <w:rPr>
                <w:sz w:val="23"/>
                <w:szCs w:val="23"/>
              </w:rPr>
            </w:pPr>
            <w:r w:rsidRPr="006E5629">
              <w:rPr>
                <w:sz w:val="23"/>
                <w:szCs w:val="23"/>
              </w:rPr>
              <w:t>0</w:t>
            </w:r>
          </w:p>
        </w:tc>
        <w:tc>
          <w:tcPr>
            <w:tcW w:w="1226" w:type="dxa"/>
            <w:gridSpan w:val="2"/>
            <w:shd w:val="clear" w:color="auto" w:fill="auto"/>
          </w:tcPr>
          <w:p w:rsidR="006E5629" w:rsidRPr="006E5629" w:rsidRDefault="006E5629" w:rsidP="00EB5562">
            <w:pPr>
              <w:jc w:val="right"/>
              <w:rPr>
                <w:sz w:val="23"/>
                <w:szCs w:val="23"/>
              </w:rPr>
            </w:pPr>
            <w:r w:rsidRPr="006E5629">
              <w:rPr>
                <w:sz w:val="23"/>
                <w:szCs w:val="23"/>
              </w:rPr>
              <w:t>0</w:t>
            </w:r>
          </w:p>
        </w:tc>
        <w:tc>
          <w:tcPr>
            <w:tcW w:w="1188" w:type="dxa"/>
            <w:shd w:val="clear" w:color="auto" w:fill="auto"/>
          </w:tcPr>
          <w:p w:rsidR="006E5629" w:rsidRPr="006E5629" w:rsidRDefault="006E5629" w:rsidP="00EB5562">
            <w:pPr>
              <w:jc w:val="right"/>
              <w:rPr>
                <w:sz w:val="23"/>
                <w:szCs w:val="23"/>
              </w:rPr>
            </w:pPr>
            <w:r w:rsidRPr="006E5629">
              <w:rPr>
                <w:sz w:val="23"/>
                <w:szCs w:val="23"/>
              </w:rPr>
              <w:t>0</w:t>
            </w:r>
          </w:p>
        </w:tc>
      </w:tr>
      <w:tr w:rsidR="006E5629" w:rsidRPr="006E5629" w:rsidTr="00E21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6E5629" w:rsidRPr="006E5629" w:rsidRDefault="006E5629" w:rsidP="007C7975">
            <w:pPr>
              <w:rPr>
                <w:sz w:val="23"/>
                <w:szCs w:val="23"/>
              </w:rPr>
            </w:pPr>
            <w:r w:rsidRPr="006E5629">
              <w:rPr>
                <w:sz w:val="23"/>
                <w:szCs w:val="23"/>
              </w:rPr>
              <w:t>1.3. pašvaldību budžets</w:t>
            </w:r>
          </w:p>
        </w:tc>
        <w:tc>
          <w:tcPr>
            <w:tcW w:w="1649" w:type="dxa"/>
            <w:shd w:val="clear" w:color="auto" w:fill="auto"/>
            <w:vAlign w:val="center"/>
          </w:tcPr>
          <w:p w:rsidR="006E5629" w:rsidRPr="006E5629" w:rsidRDefault="006E5629" w:rsidP="007C7975">
            <w:pPr>
              <w:jc w:val="center"/>
              <w:rPr>
                <w:sz w:val="23"/>
                <w:szCs w:val="23"/>
              </w:rPr>
            </w:pPr>
          </w:p>
        </w:tc>
        <w:tc>
          <w:tcPr>
            <w:tcW w:w="1919" w:type="dxa"/>
            <w:shd w:val="clear" w:color="auto" w:fill="auto"/>
          </w:tcPr>
          <w:p w:rsidR="006E5629" w:rsidRPr="006E5629" w:rsidRDefault="006E5629" w:rsidP="00EB5562">
            <w:pPr>
              <w:jc w:val="right"/>
              <w:rPr>
                <w:sz w:val="23"/>
                <w:szCs w:val="23"/>
              </w:rPr>
            </w:pPr>
            <w:r w:rsidRPr="006E5629">
              <w:rPr>
                <w:sz w:val="23"/>
                <w:szCs w:val="23"/>
              </w:rPr>
              <w:t>0</w:t>
            </w:r>
          </w:p>
        </w:tc>
        <w:tc>
          <w:tcPr>
            <w:tcW w:w="1188" w:type="dxa"/>
            <w:shd w:val="clear" w:color="auto" w:fill="auto"/>
          </w:tcPr>
          <w:p w:rsidR="006E5629" w:rsidRPr="006E5629" w:rsidRDefault="006E5629" w:rsidP="00EB5562">
            <w:pPr>
              <w:jc w:val="right"/>
              <w:rPr>
                <w:sz w:val="23"/>
                <w:szCs w:val="23"/>
              </w:rPr>
            </w:pPr>
            <w:r w:rsidRPr="006E5629">
              <w:rPr>
                <w:sz w:val="23"/>
                <w:szCs w:val="23"/>
              </w:rPr>
              <w:t>0</w:t>
            </w:r>
          </w:p>
        </w:tc>
        <w:tc>
          <w:tcPr>
            <w:tcW w:w="1226" w:type="dxa"/>
            <w:gridSpan w:val="2"/>
            <w:shd w:val="clear" w:color="auto" w:fill="auto"/>
          </w:tcPr>
          <w:p w:rsidR="006E5629" w:rsidRPr="006E5629" w:rsidRDefault="006E5629" w:rsidP="00EB5562">
            <w:pPr>
              <w:jc w:val="right"/>
              <w:rPr>
                <w:sz w:val="23"/>
                <w:szCs w:val="23"/>
              </w:rPr>
            </w:pPr>
            <w:r w:rsidRPr="006E5629">
              <w:rPr>
                <w:sz w:val="23"/>
                <w:szCs w:val="23"/>
              </w:rPr>
              <w:t>0</w:t>
            </w:r>
          </w:p>
        </w:tc>
        <w:tc>
          <w:tcPr>
            <w:tcW w:w="1188" w:type="dxa"/>
            <w:shd w:val="clear" w:color="auto" w:fill="auto"/>
          </w:tcPr>
          <w:p w:rsidR="006E5629" w:rsidRPr="006E5629" w:rsidRDefault="006E5629" w:rsidP="00EB5562">
            <w:pPr>
              <w:jc w:val="right"/>
              <w:rPr>
                <w:sz w:val="23"/>
                <w:szCs w:val="23"/>
              </w:rPr>
            </w:pPr>
            <w:r w:rsidRPr="006E5629">
              <w:rPr>
                <w:sz w:val="23"/>
                <w:szCs w:val="23"/>
              </w:rPr>
              <w:t>0</w:t>
            </w:r>
          </w:p>
        </w:tc>
      </w:tr>
      <w:tr w:rsidR="00084DF8"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084DF8" w:rsidRPr="006E5629" w:rsidRDefault="00084DF8" w:rsidP="007C7975">
            <w:pPr>
              <w:rPr>
                <w:sz w:val="23"/>
                <w:szCs w:val="23"/>
              </w:rPr>
            </w:pPr>
            <w:r w:rsidRPr="006E5629">
              <w:rPr>
                <w:sz w:val="23"/>
                <w:szCs w:val="23"/>
              </w:rPr>
              <w:t>2. Budžeta izdevumi:</w:t>
            </w:r>
          </w:p>
        </w:tc>
        <w:tc>
          <w:tcPr>
            <w:tcW w:w="1649" w:type="dxa"/>
            <w:shd w:val="clear" w:color="auto" w:fill="auto"/>
            <w:vAlign w:val="center"/>
          </w:tcPr>
          <w:p w:rsidR="00084DF8" w:rsidRPr="006E5629" w:rsidRDefault="00140619" w:rsidP="00EB5562">
            <w:pPr>
              <w:jc w:val="right"/>
              <w:rPr>
                <w:sz w:val="23"/>
                <w:szCs w:val="23"/>
              </w:rPr>
            </w:pPr>
            <w:r>
              <w:rPr>
                <w:sz w:val="23"/>
                <w:szCs w:val="23"/>
              </w:rPr>
              <w:t>1 022 402</w:t>
            </w:r>
          </w:p>
        </w:tc>
        <w:tc>
          <w:tcPr>
            <w:tcW w:w="1919" w:type="dxa"/>
            <w:shd w:val="clear" w:color="auto" w:fill="auto"/>
          </w:tcPr>
          <w:p w:rsidR="00084DF8" w:rsidRPr="006E5629" w:rsidRDefault="00A926A7" w:rsidP="00EB5562">
            <w:pPr>
              <w:jc w:val="right"/>
              <w:rPr>
                <w:sz w:val="23"/>
                <w:szCs w:val="23"/>
              </w:rPr>
            </w:pPr>
            <w:r w:rsidRPr="006E5629">
              <w:rPr>
                <w:sz w:val="23"/>
                <w:szCs w:val="23"/>
              </w:rPr>
              <w:t>14 230</w:t>
            </w:r>
          </w:p>
        </w:tc>
        <w:tc>
          <w:tcPr>
            <w:tcW w:w="1188" w:type="dxa"/>
            <w:shd w:val="clear" w:color="auto" w:fill="auto"/>
          </w:tcPr>
          <w:p w:rsidR="00084DF8" w:rsidRPr="006E5629" w:rsidRDefault="00084DF8" w:rsidP="00EB5562">
            <w:pPr>
              <w:jc w:val="right"/>
              <w:rPr>
                <w:sz w:val="23"/>
                <w:szCs w:val="23"/>
              </w:rPr>
            </w:pPr>
            <w:r w:rsidRPr="006E5629">
              <w:rPr>
                <w:sz w:val="23"/>
                <w:szCs w:val="23"/>
              </w:rPr>
              <w:t>0</w:t>
            </w:r>
          </w:p>
        </w:tc>
        <w:tc>
          <w:tcPr>
            <w:tcW w:w="1226" w:type="dxa"/>
            <w:gridSpan w:val="2"/>
            <w:shd w:val="clear" w:color="auto" w:fill="auto"/>
          </w:tcPr>
          <w:p w:rsidR="00084DF8" w:rsidRPr="006E5629" w:rsidRDefault="00084DF8" w:rsidP="00EB5562">
            <w:pPr>
              <w:jc w:val="right"/>
              <w:rPr>
                <w:sz w:val="23"/>
                <w:szCs w:val="23"/>
              </w:rPr>
            </w:pPr>
            <w:r w:rsidRPr="006E5629">
              <w:rPr>
                <w:sz w:val="23"/>
                <w:szCs w:val="23"/>
              </w:rPr>
              <w:t>0</w:t>
            </w:r>
          </w:p>
        </w:tc>
        <w:tc>
          <w:tcPr>
            <w:tcW w:w="1188" w:type="dxa"/>
            <w:shd w:val="clear" w:color="auto" w:fill="auto"/>
          </w:tcPr>
          <w:p w:rsidR="00084DF8" w:rsidRPr="006E5629" w:rsidRDefault="00084DF8" w:rsidP="00EB5562">
            <w:pPr>
              <w:jc w:val="right"/>
              <w:rPr>
                <w:sz w:val="23"/>
                <w:szCs w:val="23"/>
              </w:rPr>
            </w:pPr>
            <w:r w:rsidRPr="006E5629">
              <w:rPr>
                <w:sz w:val="23"/>
                <w:szCs w:val="23"/>
              </w:rPr>
              <w:t>0</w:t>
            </w:r>
          </w:p>
        </w:tc>
      </w:tr>
      <w:tr w:rsidR="00084DF8"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084DF8" w:rsidRPr="006E5629" w:rsidRDefault="00084DF8" w:rsidP="007C7975">
            <w:pPr>
              <w:rPr>
                <w:sz w:val="23"/>
                <w:szCs w:val="23"/>
              </w:rPr>
            </w:pPr>
            <w:r w:rsidRPr="006E5629">
              <w:rPr>
                <w:sz w:val="23"/>
                <w:szCs w:val="23"/>
              </w:rPr>
              <w:t>2.1. valsts pamatbudžets</w:t>
            </w:r>
          </w:p>
        </w:tc>
        <w:tc>
          <w:tcPr>
            <w:tcW w:w="1649" w:type="dxa"/>
            <w:shd w:val="clear" w:color="auto" w:fill="auto"/>
            <w:vAlign w:val="center"/>
          </w:tcPr>
          <w:p w:rsidR="00084DF8" w:rsidRPr="006E5629" w:rsidRDefault="00084DF8" w:rsidP="007A0C7F">
            <w:pPr>
              <w:jc w:val="center"/>
              <w:rPr>
                <w:sz w:val="23"/>
                <w:szCs w:val="23"/>
              </w:rPr>
            </w:pPr>
            <w:r w:rsidRPr="006E5629">
              <w:rPr>
                <w:sz w:val="23"/>
                <w:szCs w:val="23"/>
              </w:rPr>
              <w:t>Saskaņā ar likumu „Par valsts budžetu 2014.gadam” Labklājības ministrijas budžeta 99.00.00 programmā</w:t>
            </w:r>
            <w:r w:rsidR="00BC7C2C" w:rsidRPr="006E5629">
              <w:rPr>
                <w:sz w:val="23"/>
                <w:szCs w:val="23"/>
              </w:rPr>
              <w:t xml:space="preserve"> </w:t>
            </w:r>
            <w:r w:rsidRPr="006E5629">
              <w:rPr>
                <w:sz w:val="23"/>
                <w:szCs w:val="23"/>
              </w:rPr>
              <w:t>„Līdzekļu neparedzētiem gadījumiem izlietojums” plānoti izdevumi</w:t>
            </w:r>
            <w:r w:rsidR="00BC7C2C" w:rsidRPr="006E5629">
              <w:rPr>
                <w:sz w:val="23"/>
                <w:szCs w:val="23"/>
              </w:rPr>
              <w:br/>
              <w:t xml:space="preserve"> </w:t>
            </w:r>
            <w:r w:rsidR="00140619">
              <w:rPr>
                <w:sz w:val="23"/>
                <w:szCs w:val="23"/>
              </w:rPr>
              <w:t>1 022</w:t>
            </w:r>
            <w:r w:rsidR="00140619">
              <w:rPr>
                <w:sz w:val="23"/>
                <w:szCs w:val="23"/>
              </w:rPr>
              <w:t> </w:t>
            </w:r>
            <w:r w:rsidR="00140619">
              <w:rPr>
                <w:sz w:val="23"/>
                <w:szCs w:val="23"/>
              </w:rPr>
              <w:t>402</w:t>
            </w:r>
            <w:r w:rsidR="00140619">
              <w:rPr>
                <w:sz w:val="23"/>
                <w:szCs w:val="23"/>
              </w:rPr>
              <w:t xml:space="preserve"> </w:t>
            </w:r>
            <w:r w:rsidRPr="006E5629">
              <w:rPr>
                <w:sz w:val="23"/>
                <w:szCs w:val="23"/>
              </w:rPr>
              <w:t>EUR apmērā.*</w:t>
            </w:r>
          </w:p>
        </w:tc>
        <w:tc>
          <w:tcPr>
            <w:tcW w:w="1919" w:type="dxa"/>
            <w:shd w:val="clear" w:color="auto" w:fill="auto"/>
          </w:tcPr>
          <w:p w:rsidR="00084DF8" w:rsidRPr="006E5629" w:rsidRDefault="00A926A7" w:rsidP="00EB5562">
            <w:pPr>
              <w:jc w:val="right"/>
              <w:rPr>
                <w:sz w:val="23"/>
                <w:szCs w:val="23"/>
              </w:rPr>
            </w:pPr>
            <w:r w:rsidRPr="006E5629">
              <w:rPr>
                <w:sz w:val="23"/>
                <w:szCs w:val="23"/>
              </w:rPr>
              <w:t>14 230</w:t>
            </w:r>
          </w:p>
        </w:tc>
        <w:tc>
          <w:tcPr>
            <w:tcW w:w="1188" w:type="dxa"/>
            <w:shd w:val="clear" w:color="auto" w:fill="auto"/>
          </w:tcPr>
          <w:p w:rsidR="00084DF8" w:rsidRPr="006E5629" w:rsidRDefault="00084DF8" w:rsidP="00EB5562">
            <w:pPr>
              <w:jc w:val="right"/>
              <w:rPr>
                <w:sz w:val="23"/>
                <w:szCs w:val="23"/>
              </w:rPr>
            </w:pPr>
            <w:r w:rsidRPr="006E5629">
              <w:rPr>
                <w:sz w:val="23"/>
                <w:szCs w:val="23"/>
              </w:rPr>
              <w:t>0</w:t>
            </w:r>
          </w:p>
        </w:tc>
        <w:tc>
          <w:tcPr>
            <w:tcW w:w="1226" w:type="dxa"/>
            <w:gridSpan w:val="2"/>
            <w:shd w:val="clear" w:color="auto" w:fill="auto"/>
          </w:tcPr>
          <w:p w:rsidR="00084DF8" w:rsidRPr="006E5629" w:rsidRDefault="00084DF8" w:rsidP="00EB5562">
            <w:pPr>
              <w:jc w:val="right"/>
              <w:rPr>
                <w:sz w:val="23"/>
                <w:szCs w:val="23"/>
              </w:rPr>
            </w:pPr>
            <w:r w:rsidRPr="006E5629">
              <w:rPr>
                <w:sz w:val="23"/>
                <w:szCs w:val="23"/>
              </w:rPr>
              <w:t>0</w:t>
            </w:r>
          </w:p>
        </w:tc>
        <w:tc>
          <w:tcPr>
            <w:tcW w:w="1188" w:type="dxa"/>
            <w:shd w:val="clear" w:color="auto" w:fill="auto"/>
          </w:tcPr>
          <w:p w:rsidR="00084DF8" w:rsidRPr="006E5629" w:rsidRDefault="00084DF8" w:rsidP="00EB5562">
            <w:pPr>
              <w:jc w:val="right"/>
              <w:rPr>
                <w:sz w:val="23"/>
                <w:szCs w:val="23"/>
              </w:rPr>
            </w:pPr>
            <w:r w:rsidRPr="006E5629">
              <w:rPr>
                <w:sz w:val="23"/>
                <w:szCs w:val="23"/>
              </w:rPr>
              <w:t>0</w:t>
            </w:r>
          </w:p>
        </w:tc>
      </w:tr>
      <w:tr w:rsidR="00EB5562" w:rsidRPr="006E5629" w:rsidTr="000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t>2.2. valsts speciālais budžets</w:t>
            </w:r>
          </w:p>
        </w:tc>
        <w:tc>
          <w:tcPr>
            <w:tcW w:w="1649" w:type="dxa"/>
            <w:shd w:val="clear" w:color="auto" w:fill="auto"/>
          </w:tcPr>
          <w:p w:rsidR="00EB5562" w:rsidRPr="006E5629" w:rsidRDefault="00EB5562" w:rsidP="00CC7AB2">
            <w:pPr>
              <w:jc w:val="right"/>
              <w:rPr>
                <w:sz w:val="23"/>
                <w:szCs w:val="23"/>
              </w:rPr>
            </w:pPr>
            <w:r w:rsidRPr="006E5629">
              <w:rPr>
                <w:sz w:val="23"/>
                <w:szCs w:val="23"/>
              </w:rPr>
              <w:t>0</w:t>
            </w: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903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t xml:space="preserve">2.3. pašvaldību budžets </w:t>
            </w:r>
          </w:p>
        </w:tc>
        <w:tc>
          <w:tcPr>
            <w:tcW w:w="1649" w:type="dxa"/>
            <w:shd w:val="clear" w:color="auto" w:fill="auto"/>
          </w:tcPr>
          <w:p w:rsidR="00EB5562" w:rsidRPr="006E5629" w:rsidRDefault="00EB5562" w:rsidP="00CC7AB2">
            <w:pPr>
              <w:jc w:val="right"/>
              <w:rPr>
                <w:sz w:val="23"/>
                <w:szCs w:val="23"/>
              </w:rPr>
            </w:pPr>
            <w:r w:rsidRPr="006E5629">
              <w:rPr>
                <w:sz w:val="23"/>
                <w:szCs w:val="23"/>
              </w:rPr>
              <w:t>0</w:t>
            </w: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t>3. Finansiālā ietekme:</w:t>
            </w:r>
          </w:p>
        </w:tc>
        <w:tc>
          <w:tcPr>
            <w:tcW w:w="1649" w:type="dxa"/>
            <w:shd w:val="clear" w:color="auto" w:fill="auto"/>
          </w:tcPr>
          <w:p w:rsidR="00EB5562" w:rsidRPr="006E5629" w:rsidRDefault="00EB5562" w:rsidP="00CC7AB2">
            <w:pPr>
              <w:jc w:val="right"/>
              <w:rPr>
                <w:sz w:val="23"/>
                <w:szCs w:val="23"/>
              </w:rPr>
            </w:pPr>
            <w:r w:rsidRPr="006E5629">
              <w:rPr>
                <w:sz w:val="23"/>
                <w:szCs w:val="23"/>
              </w:rPr>
              <w:t>0</w:t>
            </w:r>
          </w:p>
        </w:tc>
        <w:tc>
          <w:tcPr>
            <w:tcW w:w="1919" w:type="dxa"/>
            <w:shd w:val="clear" w:color="auto" w:fill="auto"/>
          </w:tcPr>
          <w:p w:rsidR="00EB5562" w:rsidRPr="006E5629" w:rsidRDefault="00EB5562" w:rsidP="00EB5562">
            <w:pPr>
              <w:jc w:val="right"/>
              <w:rPr>
                <w:sz w:val="23"/>
                <w:szCs w:val="23"/>
              </w:rPr>
            </w:pPr>
            <w:r w:rsidRPr="006E5629">
              <w:rPr>
                <w:sz w:val="23"/>
                <w:szCs w:val="23"/>
              </w:rPr>
              <w:t>-14 230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3.1. valsts pamatbudžets</w:t>
            </w:r>
          </w:p>
        </w:tc>
        <w:tc>
          <w:tcPr>
            <w:tcW w:w="1649" w:type="dxa"/>
            <w:shd w:val="clear" w:color="auto" w:fill="auto"/>
          </w:tcPr>
          <w:p w:rsidR="00EB5562" w:rsidRPr="006E5629" w:rsidRDefault="00EB5562" w:rsidP="00CC7AB2">
            <w:pPr>
              <w:spacing w:before="100" w:beforeAutospacing="1" w:after="100" w:afterAutospacing="1"/>
              <w:jc w:val="right"/>
              <w:rPr>
                <w:sz w:val="23"/>
                <w:szCs w:val="23"/>
              </w:rPr>
            </w:pPr>
            <w:r w:rsidRPr="006E5629">
              <w:rPr>
                <w:sz w:val="23"/>
                <w:szCs w:val="23"/>
              </w:rPr>
              <w:t>0</w:t>
            </w:r>
          </w:p>
        </w:tc>
        <w:tc>
          <w:tcPr>
            <w:tcW w:w="1919" w:type="dxa"/>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-14 230</w:t>
            </w:r>
          </w:p>
        </w:tc>
        <w:tc>
          <w:tcPr>
            <w:tcW w:w="1188" w:type="dxa"/>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0</w:t>
            </w:r>
          </w:p>
        </w:tc>
        <w:tc>
          <w:tcPr>
            <w:tcW w:w="1188" w:type="dxa"/>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0</w:t>
            </w:r>
          </w:p>
        </w:tc>
      </w:tr>
      <w:tr w:rsidR="00EB5562" w:rsidRPr="006E5629" w:rsidTr="001A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3.2. speciālais budžets</w:t>
            </w:r>
          </w:p>
        </w:tc>
        <w:tc>
          <w:tcPr>
            <w:tcW w:w="1649" w:type="dxa"/>
            <w:shd w:val="clear" w:color="auto" w:fill="auto"/>
          </w:tcPr>
          <w:p w:rsidR="00EB5562" w:rsidRPr="006E5629" w:rsidRDefault="00EB5562" w:rsidP="00CC7AB2">
            <w:pPr>
              <w:jc w:val="right"/>
              <w:rPr>
                <w:sz w:val="23"/>
                <w:szCs w:val="23"/>
              </w:rPr>
            </w:pPr>
            <w:r w:rsidRPr="006E5629">
              <w:rPr>
                <w:sz w:val="23"/>
                <w:szCs w:val="23"/>
              </w:rPr>
              <w:t>0</w:t>
            </w: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C71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 xml:space="preserve">3.3. pašvaldību budžets </w:t>
            </w:r>
          </w:p>
        </w:tc>
        <w:tc>
          <w:tcPr>
            <w:tcW w:w="1649" w:type="dxa"/>
            <w:shd w:val="clear" w:color="auto" w:fill="auto"/>
          </w:tcPr>
          <w:p w:rsidR="00EB5562" w:rsidRPr="006E5629" w:rsidRDefault="00EB5562" w:rsidP="00CC7AB2">
            <w:pPr>
              <w:jc w:val="right"/>
              <w:rPr>
                <w:sz w:val="23"/>
                <w:szCs w:val="23"/>
              </w:rPr>
            </w:pPr>
            <w:r w:rsidRPr="006E5629">
              <w:rPr>
                <w:sz w:val="23"/>
                <w:szCs w:val="23"/>
              </w:rPr>
              <w:t>0</w:t>
            </w: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t>4. Finanšu līdzekļi papildu izdevumu finansēšanai (kompensējošu izdevumu samazinājumu norāda ar "+" zīmi)</w:t>
            </w:r>
          </w:p>
        </w:tc>
        <w:tc>
          <w:tcPr>
            <w:tcW w:w="1649" w:type="dxa"/>
            <w:shd w:val="clear" w:color="auto" w:fill="auto"/>
            <w:vAlign w:val="center"/>
          </w:tcPr>
          <w:p w:rsidR="00EB5562" w:rsidRPr="006E5629" w:rsidRDefault="00EB5562" w:rsidP="007C7975">
            <w:pPr>
              <w:jc w:val="center"/>
              <w:rPr>
                <w:b/>
                <w:sz w:val="23"/>
                <w:szCs w:val="23"/>
              </w:rPr>
            </w:pPr>
            <w:r w:rsidRPr="006E5629">
              <w:rPr>
                <w:sz w:val="23"/>
                <w:szCs w:val="23"/>
              </w:rPr>
              <w:t xml:space="preserve">Līdzekļi papildu izdevumu segšanai tiks pārdalīti no 74.resora „Gadskārtējā valsts budžeta izpildes procesā pārdalāmais finansējums” </w:t>
            </w:r>
            <w:r w:rsidRPr="006E5629">
              <w:rPr>
                <w:sz w:val="23"/>
                <w:szCs w:val="23"/>
              </w:rPr>
              <w:lastRenderedPageBreak/>
              <w:t>programmas 02.00.00 „Līdzekļi neparedzētiem gadījumiem”</w:t>
            </w:r>
          </w:p>
        </w:tc>
        <w:tc>
          <w:tcPr>
            <w:tcW w:w="1919" w:type="dxa"/>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lastRenderedPageBreak/>
              <w:t>  +14 230</w:t>
            </w:r>
          </w:p>
        </w:tc>
        <w:tc>
          <w:tcPr>
            <w:tcW w:w="1188" w:type="dxa"/>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  0</w:t>
            </w:r>
          </w:p>
        </w:tc>
        <w:tc>
          <w:tcPr>
            <w:tcW w:w="1226" w:type="dxa"/>
            <w:gridSpan w:val="2"/>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  0</w:t>
            </w:r>
          </w:p>
        </w:tc>
        <w:tc>
          <w:tcPr>
            <w:tcW w:w="1188" w:type="dxa"/>
            <w:shd w:val="clear" w:color="auto" w:fill="auto"/>
          </w:tcPr>
          <w:p w:rsidR="00EB5562" w:rsidRPr="006E5629" w:rsidRDefault="00EB5562" w:rsidP="00EB5562">
            <w:pPr>
              <w:spacing w:before="100" w:beforeAutospacing="1" w:after="100" w:afterAutospacing="1"/>
              <w:jc w:val="right"/>
              <w:rPr>
                <w:sz w:val="23"/>
                <w:szCs w:val="23"/>
              </w:rPr>
            </w:pPr>
            <w:r w:rsidRPr="006E5629">
              <w:rPr>
                <w:sz w:val="23"/>
                <w:szCs w:val="23"/>
              </w:rPr>
              <w:t>  0</w:t>
            </w:r>
          </w:p>
        </w:tc>
      </w:tr>
      <w:tr w:rsidR="00EB5562" w:rsidRPr="006E5629" w:rsidTr="00D24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lastRenderedPageBreak/>
              <w:t>5. Precizēta finansiālā ietekme:</w:t>
            </w:r>
          </w:p>
        </w:tc>
        <w:tc>
          <w:tcPr>
            <w:tcW w:w="1649" w:type="dxa"/>
            <w:vMerge w:val="restart"/>
            <w:shd w:val="clear" w:color="auto" w:fill="auto"/>
            <w:vAlign w:val="center"/>
          </w:tcPr>
          <w:p w:rsidR="00EB5562" w:rsidRPr="003B3612" w:rsidRDefault="00EB5562" w:rsidP="007C7975">
            <w:pPr>
              <w:jc w:val="center"/>
              <w:rPr>
                <w:sz w:val="23"/>
                <w:szCs w:val="23"/>
              </w:rPr>
            </w:pPr>
            <w:r w:rsidRPr="003B3612">
              <w:rPr>
                <w:sz w:val="23"/>
                <w:szCs w:val="23"/>
              </w:rPr>
              <w:t>x</w:t>
            </w:r>
          </w:p>
        </w:tc>
        <w:tc>
          <w:tcPr>
            <w:tcW w:w="1919" w:type="dxa"/>
            <w:shd w:val="clear" w:color="auto" w:fill="auto"/>
            <w:vAlign w:val="center"/>
          </w:tcPr>
          <w:p w:rsidR="00EB5562" w:rsidRPr="006E5629" w:rsidRDefault="00EB5562" w:rsidP="00EB5562">
            <w:pPr>
              <w:jc w:val="right"/>
              <w:rPr>
                <w:sz w:val="23"/>
                <w:szCs w:val="23"/>
              </w:rPr>
            </w:pPr>
            <w:r w:rsidRPr="006E5629">
              <w:rPr>
                <w:sz w:val="23"/>
                <w:szCs w:val="23"/>
              </w:rPr>
              <w:t>0</w:t>
            </w:r>
          </w:p>
        </w:tc>
        <w:tc>
          <w:tcPr>
            <w:tcW w:w="1188" w:type="dxa"/>
            <w:shd w:val="clear" w:color="auto" w:fill="auto"/>
            <w:vAlign w:val="center"/>
          </w:tcPr>
          <w:p w:rsidR="00EB5562" w:rsidRPr="006E5629" w:rsidRDefault="00EB5562" w:rsidP="00EB5562">
            <w:pPr>
              <w:jc w:val="right"/>
              <w:rPr>
                <w:sz w:val="23"/>
                <w:szCs w:val="23"/>
              </w:rPr>
            </w:pPr>
            <w:r w:rsidRPr="006E5629">
              <w:rPr>
                <w:sz w:val="23"/>
                <w:szCs w:val="23"/>
              </w:rPr>
              <w:t>0</w:t>
            </w:r>
          </w:p>
        </w:tc>
        <w:tc>
          <w:tcPr>
            <w:tcW w:w="1215" w:type="dxa"/>
            <w:shd w:val="clear" w:color="auto" w:fill="auto"/>
            <w:vAlign w:val="center"/>
          </w:tcPr>
          <w:p w:rsidR="00EB5562" w:rsidRPr="006E5629" w:rsidRDefault="00EB5562" w:rsidP="00EB5562">
            <w:pPr>
              <w:jc w:val="right"/>
              <w:rPr>
                <w:sz w:val="23"/>
                <w:szCs w:val="23"/>
              </w:rPr>
            </w:pPr>
            <w:r w:rsidRPr="006E5629">
              <w:rPr>
                <w:sz w:val="23"/>
                <w:szCs w:val="23"/>
              </w:rPr>
              <w:t>0</w:t>
            </w:r>
          </w:p>
        </w:tc>
        <w:tc>
          <w:tcPr>
            <w:tcW w:w="1199" w:type="dxa"/>
            <w:gridSpan w:val="2"/>
            <w:shd w:val="clear" w:color="auto" w:fill="auto"/>
            <w:vAlign w:val="center"/>
          </w:tcPr>
          <w:p w:rsidR="00EB5562" w:rsidRPr="006E5629" w:rsidRDefault="00EB5562" w:rsidP="00EB5562">
            <w:pPr>
              <w:jc w:val="right"/>
              <w:rPr>
                <w:sz w:val="23"/>
                <w:szCs w:val="23"/>
              </w:rPr>
            </w:pPr>
            <w:r w:rsidRPr="006E5629">
              <w:rPr>
                <w:sz w:val="23"/>
                <w:szCs w:val="23"/>
              </w:rPr>
              <w:t>0</w:t>
            </w:r>
          </w:p>
        </w:tc>
      </w:tr>
      <w:tr w:rsidR="00EB5562" w:rsidRPr="006E5629" w:rsidTr="00782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5.1. valsts pamatbudžets</w:t>
            </w:r>
          </w:p>
        </w:tc>
        <w:tc>
          <w:tcPr>
            <w:tcW w:w="1649" w:type="dxa"/>
            <w:vMerge/>
            <w:shd w:val="clear" w:color="auto" w:fill="auto"/>
          </w:tcPr>
          <w:p w:rsidR="00EB5562" w:rsidRPr="006E5629" w:rsidRDefault="00EB5562" w:rsidP="007C7975">
            <w:pPr>
              <w:jc w:val="center"/>
              <w:rPr>
                <w:sz w:val="23"/>
                <w:szCs w:val="23"/>
              </w:rPr>
            </w:pP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782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5.2. speciālais budžets</w:t>
            </w:r>
          </w:p>
        </w:tc>
        <w:tc>
          <w:tcPr>
            <w:tcW w:w="1649" w:type="dxa"/>
            <w:vMerge/>
            <w:shd w:val="clear" w:color="auto" w:fill="auto"/>
          </w:tcPr>
          <w:p w:rsidR="00EB5562" w:rsidRPr="006E5629" w:rsidRDefault="00EB5562" w:rsidP="007C7975">
            <w:pPr>
              <w:jc w:val="center"/>
              <w:rPr>
                <w:sz w:val="23"/>
                <w:szCs w:val="23"/>
              </w:rPr>
            </w:pP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rsidTr="00782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 xml:space="preserve">5.3. pašvaldību budžets </w:t>
            </w:r>
          </w:p>
        </w:tc>
        <w:tc>
          <w:tcPr>
            <w:tcW w:w="1649" w:type="dxa"/>
            <w:vMerge/>
            <w:shd w:val="clear" w:color="auto" w:fill="auto"/>
          </w:tcPr>
          <w:p w:rsidR="00EB5562" w:rsidRPr="006E5629" w:rsidRDefault="00EB5562" w:rsidP="007C7975">
            <w:pPr>
              <w:jc w:val="center"/>
              <w:rPr>
                <w:sz w:val="23"/>
                <w:szCs w:val="23"/>
              </w:rPr>
            </w:pPr>
          </w:p>
        </w:tc>
        <w:tc>
          <w:tcPr>
            <w:tcW w:w="1919" w:type="dxa"/>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c>
          <w:tcPr>
            <w:tcW w:w="1226" w:type="dxa"/>
            <w:gridSpan w:val="2"/>
            <w:shd w:val="clear" w:color="auto" w:fill="auto"/>
          </w:tcPr>
          <w:p w:rsidR="00EB5562" w:rsidRPr="006E5629" w:rsidRDefault="00EB5562" w:rsidP="00EB5562">
            <w:pPr>
              <w:jc w:val="right"/>
              <w:rPr>
                <w:sz w:val="23"/>
                <w:szCs w:val="23"/>
              </w:rPr>
            </w:pPr>
            <w:r w:rsidRPr="006E5629">
              <w:rPr>
                <w:sz w:val="23"/>
                <w:szCs w:val="23"/>
              </w:rPr>
              <w:t>0</w:t>
            </w:r>
          </w:p>
        </w:tc>
        <w:tc>
          <w:tcPr>
            <w:tcW w:w="1188" w:type="dxa"/>
            <w:shd w:val="clear" w:color="auto" w:fill="auto"/>
          </w:tcPr>
          <w:p w:rsidR="00EB5562" w:rsidRPr="006E5629" w:rsidRDefault="00EB5562" w:rsidP="00EB5562">
            <w:pPr>
              <w:jc w:val="right"/>
              <w:rPr>
                <w:sz w:val="23"/>
                <w:szCs w:val="23"/>
              </w:rPr>
            </w:pPr>
            <w:r w:rsidRPr="006E5629">
              <w:rPr>
                <w:sz w:val="23"/>
                <w:szCs w:val="23"/>
              </w:rPr>
              <w:t>0</w:t>
            </w:r>
          </w:p>
        </w:tc>
      </w:tr>
      <w:tr w:rsidR="00EB5562" w:rsidRPr="006E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jc w:val="both"/>
              <w:rPr>
                <w:sz w:val="23"/>
                <w:szCs w:val="23"/>
              </w:rPr>
            </w:pPr>
            <w:r w:rsidRPr="006E5629">
              <w:rPr>
                <w:sz w:val="23"/>
                <w:szCs w:val="23"/>
              </w:rPr>
              <w:t>6. Detalizēts ieņēmumu un izdevumu aprēķins (ja nepieciešams, detalizētu ieņēmumu un izdevumu aprēķinu var pievienot anotācijas pielikumā):</w:t>
            </w:r>
          </w:p>
        </w:tc>
        <w:tc>
          <w:tcPr>
            <w:tcW w:w="7170" w:type="dxa"/>
            <w:gridSpan w:val="6"/>
            <w:vMerge w:val="restart"/>
            <w:shd w:val="clear" w:color="auto" w:fill="auto"/>
          </w:tcPr>
          <w:p w:rsidR="00EB5562" w:rsidRPr="006E5629" w:rsidRDefault="00EB5562" w:rsidP="005243F3">
            <w:pPr>
              <w:jc w:val="both"/>
              <w:rPr>
                <w:i/>
                <w:sz w:val="23"/>
                <w:szCs w:val="23"/>
              </w:rPr>
            </w:pPr>
            <w:r w:rsidRPr="006E5629">
              <w:rPr>
                <w:sz w:val="23"/>
                <w:szCs w:val="23"/>
              </w:rPr>
              <w:t xml:space="preserve">Rīkojuma projekts paredz piešķirt Labklājības ministrijai (Valsts sociālās apdrošināšanas aģentūrai) 2014.gadā no 74.resora „Gadskārtēja valsts budžeta izpildes procesā pārdalāmais finansējums” programmas 02.00.00 „Līdzekļi neparedzētiem gadījumiem” papildus finansējumu 14 230 </w:t>
            </w:r>
            <w:proofErr w:type="spellStart"/>
            <w:r w:rsidRPr="006E5629">
              <w:rPr>
                <w:sz w:val="23"/>
                <w:szCs w:val="23"/>
              </w:rPr>
              <w:t>euro</w:t>
            </w:r>
            <w:proofErr w:type="spellEnd"/>
            <w:r w:rsidRPr="006E5629">
              <w:rPr>
                <w:sz w:val="23"/>
                <w:szCs w:val="23"/>
              </w:rPr>
              <w:t xml:space="preserve"> apmērā</w:t>
            </w:r>
            <w:r w:rsidR="00F02AD9">
              <w:rPr>
                <w:sz w:val="23"/>
                <w:szCs w:val="23"/>
              </w:rPr>
              <w:t xml:space="preserve"> vienreizējās kompensācijas izmaksai divām</w:t>
            </w:r>
            <w:r w:rsidR="009B144C">
              <w:rPr>
                <w:sz w:val="23"/>
                <w:szCs w:val="23"/>
              </w:rPr>
              <w:t xml:space="preserve"> </w:t>
            </w:r>
            <w:r w:rsidR="009B144C" w:rsidRPr="0071247E">
              <w:rPr>
                <w:sz w:val="23"/>
                <w:szCs w:val="23"/>
                <w:shd w:val="clear" w:color="auto" w:fill="FFFFFF"/>
              </w:rPr>
              <w:t>traģē</w:t>
            </w:r>
            <w:r w:rsidR="009B144C">
              <w:rPr>
                <w:sz w:val="23"/>
                <w:szCs w:val="23"/>
                <w:shd w:val="clear" w:color="auto" w:fill="FFFFFF"/>
              </w:rPr>
              <w:t>dijā</w:t>
            </w:r>
            <w:r w:rsidR="009B144C" w:rsidRPr="0071247E">
              <w:rPr>
                <w:sz w:val="23"/>
                <w:szCs w:val="23"/>
                <w:shd w:val="clear" w:color="auto" w:fill="FFFFFF"/>
              </w:rPr>
              <w:t xml:space="preserve"> Priedaines ielā 20, Rīgā</w:t>
            </w:r>
            <w:r w:rsidR="009B144C">
              <w:rPr>
                <w:sz w:val="23"/>
                <w:szCs w:val="23"/>
                <w:shd w:val="clear" w:color="auto" w:fill="FFFFFF"/>
              </w:rPr>
              <w:t>,</w:t>
            </w:r>
            <w:r w:rsidR="00F02AD9">
              <w:rPr>
                <w:sz w:val="23"/>
                <w:szCs w:val="23"/>
              </w:rPr>
              <w:t xml:space="preserve"> cietušajām personām</w:t>
            </w:r>
            <w:r w:rsidRPr="006E5629">
              <w:rPr>
                <w:sz w:val="23"/>
                <w:szCs w:val="23"/>
              </w:rPr>
              <w:t>.</w:t>
            </w:r>
          </w:p>
          <w:p w:rsidR="00EB5562" w:rsidRPr="006E5629" w:rsidRDefault="00EB5562" w:rsidP="004601E2">
            <w:pPr>
              <w:jc w:val="both"/>
              <w:rPr>
                <w:sz w:val="23"/>
                <w:szCs w:val="23"/>
              </w:rPr>
            </w:pPr>
            <w:r w:rsidRPr="006E5629">
              <w:rPr>
                <w:sz w:val="23"/>
                <w:szCs w:val="23"/>
              </w:rPr>
              <w:t xml:space="preserve">Saskaņā ar rīkojuma </w:t>
            </w:r>
            <w:r w:rsidR="009B144C">
              <w:rPr>
                <w:sz w:val="23"/>
                <w:szCs w:val="23"/>
              </w:rPr>
              <w:t xml:space="preserve">Nr.610 </w:t>
            </w:r>
            <w:r w:rsidRPr="006E5629">
              <w:rPr>
                <w:sz w:val="23"/>
                <w:szCs w:val="23"/>
              </w:rPr>
              <w:t xml:space="preserve">5.punktu vienreizējo kompensāciju izmaksai no valsts budžeta programmas 02.00.00 „Līdzekļi neparedzētiem gadījumiem” Labklājības ministrijai (Valsts sociālās apdrošināšanas aģentūrai) 2014.gadā tika piešķirti līdzekļi 725 730 </w:t>
            </w:r>
            <w:proofErr w:type="spellStart"/>
            <w:r w:rsidRPr="006E5629">
              <w:rPr>
                <w:sz w:val="23"/>
                <w:szCs w:val="23"/>
              </w:rPr>
              <w:t>euro</w:t>
            </w:r>
            <w:proofErr w:type="spellEnd"/>
            <w:r w:rsidRPr="006E5629">
              <w:rPr>
                <w:sz w:val="23"/>
                <w:szCs w:val="23"/>
              </w:rPr>
              <w:t>.</w:t>
            </w:r>
          </w:p>
          <w:p w:rsidR="00EB5562" w:rsidRPr="006E5629" w:rsidRDefault="00EB5562" w:rsidP="004601E2">
            <w:pPr>
              <w:jc w:val="both"/>
              <w:rPr>
                <w:sz w:val="23"/>
                <w:szCs w:val="23"/>
              </w:rPr>
            </w:pPr>
            <w:r w:rsidRPr="006E5629">
              <w:rPr>
                <w:sz w:val="23"/>
                <w:szCs w:val="23"/>
              </w:rPr>
              <w:t xml:space="preserve">Uz 2014.gada 31.jūliju vienreizējās kompensācijās ir izmaksāti 711 500 </w:t>
            </w:r>
            <w:proofErr w:type="spellStart"/>
            <w:r w:rsidRPr="006E5629">
              <w:rPr>
                <w:sz w:val="23"/>
                <w:szCs w:val="23"/>
              </w:rPr>
              <w:t>euro</w:t>
            </w:r>
            <w:proofErr w:type="spellEnd"/>
            <w:r w:rsidRPr="006E5629">
              <w:rPr>
                <w:sz w:val="23"/>
                <w:szCs w:val="23"/>
              </w:rPr>
              <w:t xml:space="preserve">, tajā skaitā 22 cietušajām personām 156 530 </w:t>
            </w:r>
            <w:proofErr w:type="spellStart"/>
            <w:r w:rsidRPr="006E5629">
              <w:rPr>
                <w:sz w:val="23"/>
                <w:szCs w:val="23"/>
              </w:rPr>
              <w:t>euro</w:t>
            </w:r>
            <w:proofErr w:type="spellEnd"/>
            <w:r w:rsidRPr="006E5629">
              <w:rPr>
                <w:sz w:val="23"/>
                <w:szCs w:val="23"/>
              </w:rPr>
              <w:t xml:space="preserve"> apmērā (22 x 7 115=156 530 </w:t>
            </w:r>
            <w:proofErr w:type="spellStart"/>
            <w:r w:rsidRPr="006E5629">
              <w:rPr>
                <w:sz w:val="23"/>
                <w:szCs w:val="23"/>
              </w:rPr>
              <w:t>euro</w:t>
            </w:r>
            <w:proofErr w:type="spellEnd"/>
            <w:r w:rsidRPr="006E5629">
              <w:rPr>
                <w:sz w:val="23"/>
                <w:szCs w:val="23"/>
              </w:rPr>
              <w:t xml:space="preserve">) un 39 bojā gājušo tuviniekiem 554 970 </w:t>
            </w:r>
            <w:proofErr w:type="spellStart"/>
            <w:r w:rsidRPr="006E5629">
              <w:rPr>
                <w:sz w:val="23"/>
                <w:szCs w:val="23"/>
              </w:rPr>
              <w:t>euro</w:t>
            </w:r>
            <w:proofErr w:type="spellEnd"/>
            <w:r w:rsidRPr="006E5629">
              <w:rPr>
                <w:sz w:val="23"/>
                <w:szCs w:val="23"/>
              </w:rPr>
              <w:t xml:space="preserve"> apmērā (39 x 14 230 = 554 970 </w:t>
            </w:r>
            <w:proofErr w:type="spellStart"/>
            <w:r w:rsidRPr="006E5629">
              <w:rPr>
                <w:sz w:val="23"/>
                <w:szCs w:val="23"/>
              </w:rPr>
              <w:t>euro</w:t>
            </w:r>
            <w:proofErr w:type="spellEnd"/>
            <w:r w:rsidRPr="006E5629">
              <w:rPr>
                <w:sz w:val="23"/>
                <w:szCs w:val="23"/>
              </w:rPr>
              <w:t xml:space="preserve">). Līdzekļu atlikums uz 2014.gada 31.jūliju ir 14 230 </w:t>
            </w:r>
            <w:proofErr w:type="spellStart"/>
            <w:r w:rsidRPr="006E5629">
              <w:rPr>
                <w:sz w:val="23"/>
                <w:szCs w:val="23"/>
              </w:rPr>
              <w:t>euro</w:t>
            </w:r>
            <w:proofErr w:type="spellEnd"/>
            <w:r w:rsidRPr="006E5629">
              <w:rPr>
                <w:sz w:val="23"/>
                <w:szCs w:val="23"/>
              </w:rPr>
              <w:t>.</w:t>
            </w:r>
          </w:p>
          <w:p w:rsidR="00EB5562" w:rsidRPr="006E5629" w:rsidRDefault="00EB5562" w:rsidP="004601E2">
            <w:pPr>
              <w:jc w:val="both"/>
              <w:rPr>
                <w:sz w:val="23"/>
                <w:szCs w:val="23"/>
              </w:rPr>
            </w:pPr>
            <w:r w:rsidRPr="006E5629">
              <w:rPr>
                <w:sz w:val="23"/>
                <w:szCs w:val="23"/>
              </w:rPr>
              <w:t xml:space="preserve">Iekšlietu ministrija ir apstiprinājusi, ka papildus par cietušām ir atzīstamas 4 personas, t.i., nepieciešamais finansējums vienreizējo kompensāciju izmaksai ir 28 460 </w:t>
            </w:r>
            <w:proofErr w:type="spellStart"/>
            <w:r w:rsidRPr="006E5629">
              <w:rPr>
                <w:sz w:val="23"/>
                <w:szCs w:val="23"/>
              </w:rPr>
              <w:t>euro</w:t>
            </w:r>
            <w:proofErr w:type="spellEnd"/>
            <w:r w:rsidRPr="006E5629">
              <w:rPr>
                <w:sz w:val="23"/>
                <w:szCs w:val="23"/>
              </w:rPr>
              <w:t xml:space="preserve"> (4 x 7 115 = 28 460 </w:t>
            </w:r>
            <w:proofErr w:type="spellStart"/>
            <w:r w:rsidRPr="006E5629">
              <w:rPr>
                <w:sz w:val="23"/>
                <w:szCs w:val="23"/>
              </w:rPr>
              <w:t>euro</w:t>
            </w:r>
            <w:proofErr w:type="spellEnd"/>
            <w:r w:rsidRPr="006E5629">
              <w:rPr>
                <w:sz w:val="23"/>
                <w:szCs w:val="23"/>
              </w:rPr>
              <w:t xml:space="preserve">). </w:t>
            </w:r>
          </w:p>
          <w:p w:rsidR="00EB5562" w:rsidRPr="006E5629" w:rsidRDefault="00EB5562" w:rsidP="00E00691">
            <w:pPr>
              <w:jc w:val="both"/>
              <w:rPr>
                <w:sz w:val="23"/>
                <w:szCs w:val="23"/>
              </w:rPr>
            </w:pPr>
            <w:r w:rsidRPr="006E5629">
              <w:rPr>
                <w:sz w:val="23"/>
                <w:szCs w:val="23"/>
              </w:rPr>
              <w:t xml:space="preserve">Papildu nepieciešamais finansējums 2014.gadā Labklājības ministrijai (Valsts sociālās apdrošināšanas aģentūrai) no 74.resora „Gadskārtēja valsts budžeta izpildes procesā pārdalāmais finansējums” programmas 02.00.00 „Līdzekļi neparedzētiem gadījumiem” ir 14 230 </w:t>
            </w:r>
            <w:proofErr w:type="spellStart"/>
            <w:r w:rsidRPr="006E5629">
              <w:rPr>
                <w:sz w:val="23"/>
                <w:szCs w:val="23"/>
              </w:rPr>
              <w:t>euro</w:t>
            </w:r>
            <w:proofErr w:type="spellEnd"/>
            <w:r w:rsidRPr="006E5629">
              <w:rPr>
                <w:sz w:val="23"/>
                <w:szCs w:val="23"/>
              </w:rPr>
              <w:t xml:space="preserve"> (28 460 – 14 230 = 14 230 </w:t>
            </w:r>
            <w:proofErr w:type="spellStart"/>
            <w:r w:rsidRPr="006E5629">
              <w:rPr>
                <w:sz w:val="23"/>
                <w:szCs w:val="23"/>
              </w:rPr>
              <w:t>euro</w:t>
            </w:r>
            <w:proofErr w:type="spellEnd"/>
            <w:r w:rsidRPr="006E5629">
              <w:rPr>
                <w:sz w:val="23"/>
                <w:szCs w:val="23"/>
              </w:rPr>
              <w:t>).</w:t>
            </w:r>
          </w:p>
        </w:tc>
      </w:tr>
      <w:tr w:rsidR="00EB5562" w:rsidRPr="006E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t>6.1. Detalizēts ieņēmumu aprēķins</w:t>
            </w:r>
          </w:p>
        </w:tc>
        <w:tc>
          <w:tcPr>
            <w:tcW w:w="7170" w:type="dxa"/>
            <w:gridSpan w:val="6"/>
            <w:vMerge/>
            <w:shd w:val="clear" w:color="auto" w:fill="auto"/>
            <w:vAlign w:val="center"/>
          </w:tcPr>
          <w:p w:rsidR="00EB5562" w:rsidRPr="006E5629" w:rsidRDefault="00EB5562" w:rsidP="007C7975">
            <w:pPr>
              <w:jc w:val="both"/>
              <w:rPr>
                <w:sz w:val="23"/>
                <w:szCs w:val="23"/>
              </w:rPr>
            </w:pPr>
          </w:p>
        </w:tc>
      </w:tr>
      <w:tr w:rsidR="00EB5562" w:rsidRPr="006E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rsidR="00EB5562" w:rsidRPr="006E5629" w:rsidRDefault="00EB5562" w:rsidP="007C7975">
            <w:pPr>
              <w:rPr>
                <w:sz w:val="23"/>
                <w:szCs w:val="23"/>
              </w:rPr>
            </w:pPr>
            <w:r w:rsidRPr="006E5629">
              <w:rPr>
                <w:sz w:val="23"/>
                <w:szCs w:val="23"/>
              </w:rPr>
              <w:t>6.2. Detalizēts izdevumu aprēķins</w:t>
            </w:r>
          </w:p>
        </w:tc>
        <w:tc>
          <w:tcPr>
            <w:tcW w:w="7170" w:type="dxa"/>
            <w:gridSpan w:val="6"/>
            <w:vMerge/>
            <w:shd w:val="clear" w:color="auto" w:fill="auto"/>
          </w:tcPr>
          <w:p w:rsidR="00EB5562" w:rsidRPr="006E5629" w:rsidRDefault="00EB5562" w:rsidP="007C7975">
            <w:pPr>
              <w:pStyle w:val="NormalWeb"/>
              <w:spacing w:before="0" w:beforeAutospacing="0" w:after="0" w:afterAutospacing="0"/>
              <w:jc w:val="both"/>
              <w:rPr>
                <w:color w:val="FF0000"/>
                <w:sz w:val="23"/>
                <w:szCs w:val="23"/>
              </w:rPr>
            </w:pPr>
          </w:p>
        </w:tc>
      </w:tr>
      <w:tr w:rsidR="00EB5562" w:rsidRPr="006E5629" w:rsidTr="00993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tcBorders>
              <w:bottom w:val="outset" w:sz="6" w:space="0" w:color="auto"/>
            </w:tcBorders>
            <w:shd w:val="clear" w:color="auto" w:fill="auto"/>
          </w:tcPr>
          <w:p w:rsidR="00EB5562" w:rsidRPr="006E5629" w:rsidRDefault="00EB5562" w:rsidP="007C7975">
            <w:pPr>
              <w:jc w:val="both"/>
              <w:rPr>
                <w:sz w:val="23"/>
                <w:szCs w:val="23"/>
              </w:rPr>
            </w:pPr>
            <w:r w:rsidRPr="006E5629">
              <w:rPr>
                <w:sz w:val="23"/>
                <w:szCs w:val="23"/>
              </w:rPr>
              <w:t>7. Cita informācija</w:t>
            </w:r>
          </w:p>
        </w:tc>
        <w:tc>
          <w:tcPr>
            <w:tcW w:w="7170" w:type="dxa"/>
            <w:gridSpan w:val="6"/>
            <w:tcBorders>
              <w:bottom w:val="outset" w:sz="6" w:space="0" w:color="auto"/>
            </w:tcBorders>
            <w:shd w:val="clear" w:color="auto" w:fill="auto"/>
          </w:tcPr>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Finansējums tiek pārdalīts no valsts budžeta programmas 02.00.00 „Līdzekļi neparedzē</w:t>
            </w:r>
            <w:r w:rsidRPr="006E5629">
              <w:rPr>
                <w:sz w:val="23"/>
                <w:szCs w:val="23"/>
                <w:lang w:eastAsia="ar-SA"/>
              </w:rPr>
              <w:softHyphen/>
              <w:t>tiem gadīju</w:t>
            </w:r>
            <w:r w:rsidRPr="006E5629">
              <w:rPr>
                <w:sz w:val="23"/>
                <w:szCs w:val="23"/>
                <w:lang w:eastAsia="ar-SA"/>
              </w:rPr>
              <w:softHyphen/>
              <w:t xml:space="preserve">miem” uz Labklājības ministrijas programmu 99.00.00 „Līdzekļu neparedzētiem gadījumiem izlietojums”. </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*Labklājības ministrijas pamatbudžeta programmā 99.00.00 „Līdzekļu neparedzētiem gadījumiem izlietojums” iekļauts finansējums, pamatojoties uz šādiem Ministru kabineta rīkojumiem: </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1) Ministru kabineta 11.12.2013. rīkojums Nr.610 (prot. Nr.64 40.§) „Par vienreizēju kompensāciju piešķiršanu sakarā ar traģēdiju Priedaines ielā 20, Rīgā” par summu 725 730 </w:t>
            </w:r>
            <w:proofErr w:type="spellStart"/>
            <w:r w:rsidRPr="006E5629">
              <w:rPr>
                <w:i/>
                <w:sz w:val="23"/>
                <w:szCs w:val="23"/>
                <w:lang w:eastAsia="ar-SA"/>
              </w:rPr>
              <w:t>euro</w:t>
            </w:r>
            <w:proofErr w:type="spellEnd"/>
            <w:r w:rsidRPr="006E5629">
              <w:rPr>
                <w:sz w:val="23"/>
                <w:szCs w:val="23"/>
                <w:lang w:eastAsia="ar-SA"/>
              </w:rPr>
              <w:t xml:space="preserve"> apmērā;</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2) Ministru kabineta 19.12.2013. rīkojums Nr.671 (prot. Nr.67 84.§) „Grozījumi Ministru kabineta 2013.gada 4.decembra rīkojumā Nr.590 „Par atbalsta pasākumiem traģēdijā Priedaines ielā 20, Rīgā, cietušajām un seku novēršanā iesaistītajām personām”” par summu 66 646 </w:t>
            </w:r>
            <w:proofErr w:type="spellStart"/>
            <w:r w:rsidRPr="006E5629">
              <w:rPr>
                <w:i/>
                <w:sz w:val="23"/>
                <w:szCs w:val="23"/>
                <w:lang w:eastAsia="ar-SA"/>
              </w:rPr>
              <w:t>euro</w:t>
            </w:r>
            <w:proofErr w:type="spellEnd"/>
            <w:r w:rsidRPr="006E5629">
              <w:rPr>
                <w:sz w:val="23"/>
                <w:szCs w:val="23"/>
                <w:lang w:eastAsia="ar-SA"/>
              </w:rPr>
              <w:t xml:space="preserve"> apmērā;</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3) Ministru kabineta 21.01.2014. rīkojums Nr.42 (prot. Nr.3 48.§) „Par vienreizēja sociālā pabalsta piešķiršanu” par summu 11 235 </w:t>
            </w:r>
            <w:proofErr w:type="spellStart"/>
            <w:r w:rsidRPr="006E5629">
              <w:rPr>
                <w:i/>
                <w:sz w:val="23"/>
                <w:szCs w:val="23"/>
                <w:lang w:eastAsia="ar-SA"/>
              </w:rPr>
              <w:t>euro</w:t>
            </w:r>
            <w:proofErr w:type="spellEnd"/>
            <w:r w:rsidRPr="006E5629">
              <w:rPr>
                <w:sz w:val="23"/>
                <w:szCs w:val="23"/>
                <w:lang w:eastAsia="ar-SA"/>
              </w:rPr>
              <w:t xml:space="preserve"> apmērā.</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4) Ministru kabineta 05.03.2014. rīkojumu Nr.94 (prot Nr.14, 8.§) „Par finanšu līdzekļu piešķiršanu no valsts budžeta programmas „Līdzekļi </w:t>
            </w:r>
            <w:r w:rsidRPr="006E5629">
              <w:rPr>
                <w:sz w:val="23"/>
                <w:szCs w:val="23"/>
                <w:lang w:eastAsia="ar-SA"/>
              </w:rPr>
              <w:lastRenderedPageBreak/>
              <w:t xml:space="preserve">neparedzētiem gadījumiem”” par summu 7 681 </w:t>
            </w:r>
            <w:proofErr w:type="spellStart"/>
            <w:r w:rsidRPr="006E5629">
              <w:rPr>
                <w:i/>
                <w:sz w:val="23"/>
                <w:szCs w:val="23"/>
                <w:lang w:eastAsia="ar-SA"/>
              </w:rPr>
              <w:t>euro</w:t>
            </w:r>
            <w:proofErr w:type="spellEnd"/>
            <w:r w:rsidRPr="006E5629">
              <w:rPr>
                <w:sz w:val="23"/>
                <w:szCs w:val="23"/>
                <w:lang w:eastAsia="ar-SA"/>
              </w:rPr>
              <w:t xml:space="preserve"> apmērā.</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5) Ministru kabineta 13.05.2014. rīkojums Nr.204 (prot Nr.25, 41.§) „Par Latvijas Republikas delegāciju dalībai Starptautiskās darba konferences 103.sesijā Ženēvā” par summu 10 988 </w:t>
            </w:r>
            <w:proofErr w:type="spellStart"/>
            <w:r w:rsidRPr="006E5629">
              <w:rPr>
                <w:i/>
                <w:sz w:val="23"/>
                <w:szCs w:val="23"/>
                <w:lang w:eastAsia="ar-SA"/>
              </w:rPr>
              <w:t>euro</w:t>
            </w:r>
            <w:proofErr w:type="spellEnd"/>
            <w:r w:rsidRPr="006E5629">
              <w:rPr>
                <w:sz w:val="23"/>
                <w:szCs w:val="23"/>
                <w:lang w:eastAsia="ar-SA"/>
              </w:rPr>
              <w:t xml:space="preserve"> apmērā.</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6) Ministru kabineta 14.05.2014. rīkojumu Nr.209 (prot Nr.28, 5.§) ‘Par finanšu līdzekļu piešķiršanu no valsts budžeta programmas „Līdzekļi neparedzētiem gadījumiem”” par summu 65 580 </w:t>
            </w:r>
            <w:proofErr w:type="spellStart"/>
            <w:r w:rsidRPr="006E5629">
              <w:rPr>
                <w:i/>
                <w:sz w:val="23"/>
                <w:szCs w:val="23"/>
                <w:lang w:eastAsia="ar-SA"/>
              </w:rPr>
              <w:t>euro</w:t>
            </w:r>
            <w:proofErr w:type="spellEnd"/>
            <w:r w:rsidRPr="006E5629">
              <w:rPr>
                <w:sz w:val="23"/>
                <w:szCs w:val="23"/>
                <w:lang w:eastAsia="ar-SA"/>
              </w:rPr>
              <w:t xml:space="preserve"> apmērā.</w:t>
            </w:r>
          </w:p>
          <w:p w:rsidR="00EB5562" w:rsidRPr="006E5629" w:rsidRDefault="00EB5562" w:rsidP="00F56018">
            <w:pPr>
              <w:tabs>
                <w:tab w:val="left" w:pos="397"/>
              </w:tabs>
              <w:suppressAutoHyphens/>
              <w:snapToGrid w:val="0"/>
              <w:ind w:left="52" w:right="186"/>
              <w:jc w:val="both"/>
              <w:rPr>
                <w:sz w:val="23"/>
                <w:szCs w:val="23"/>
                <w:lang w:eastAsia="ar-SA"/>
              </w:rPr>
            </w:pPr>
            <w:r w:rsidRPr="006E5629">
              <w:rPr>
                <w:sz w:val="23"/>
                <w:szCs w:val="23"/>
                <w:lang w:eastAsia="ar-SA"/>
              </w:rPr>
              <w:t xml:space="preserve">7) Ministru kabineta 14.05.2014. rīkojums Nr.218 (prot. Nr.28 24.§) „Par vienreizējā sociālā pabalsta piešķiršanu Elīnai Mednei sakarā ar trīnīšu piedzimšanu” par summu 11 235 </w:t>
            </w:r>
            <w:proofErr w:type="spellStart"/>
            <w:r w:rsidRPr="006E5629">
              <w:rPr>
                <w:i/>
                <w:sz w:val="23"/>
                <w:szCs w:val="23"/>
                <w:lang w:eastAsia="ar-SA"/>
              </w:rPr>
              <w:t>euro</w:t>
            </w:r>
            <w:proofErr w:type="spellEnd"/>
            <w:r w:rsidRPr="006E5629">
              <w:rPr>
                <w:sz w:val="23"/>
                <w:szCs w:val="23"/>
                <w:lang w:eastAsia="ar-SA"/>
              </w:rPr>
              <w:t xml:space="preserve">, tai skaitā 8 538 </w:t>
            </w:r>
            <w:proofErr w:type="spellStart"/>
            <w:r w:rsidRPr="006E5629">
              <w:rPr>
                <w:i/>
                <w:sz w:val="23"/>
                <w:szCs w:val="23"/>
                <w:lang w:eastAsia="ar-SA"/>
              </w:rPr>
              <w:t>euro</w:t>
            </w:r>
            <w:proofErr w:type="spellEnd"/>
            <w:r w:rsidRPr="006E5629">
              <w:rPr>
                <w:sz w:val="23"/>
                <w:szCs w:val="23"/>
                <w:lang w:eastAsia="ar-SA"/>
              </w:rPr>
              <w:t xml:space="preserve"> apmērā vienreizējā sociālā pabalsta izmaksai un 2 697 </w:t>
            </w:r>
            <w:proofErr w:type="spellStart"/>
            <w:r w:rsidRPr="006E5629">
              <w:rPr>
                <w:i/>
                <w:sz w:val="23"/>
                <w:szCs w:val="23"/>
                <w:lang w:eastAsia="ar-SA"/>
              </w:rPr>
              <w:t>euro</w:t>
            </w:r>
            <w:proofErr w:type="spellEnd"/>
            <w:r w:rsidRPr="006E5629">
              <w:rPr>
                <w:sz w:val="23"/>
                <w:szCs w:val="23"/>
                <w:lang w:eastAsia="ar-SA"/>
              </w:rPr>
              <w:t xml:space="preserve"> apmērā iedzīvotāju ienākuma nodokļa samaksai.</w:t>
            </w:r>
          </w:p>
          <w:p w:rsidR="00EB5562" w:rsidRPr="006E5629" w:rsidRDefault="00EB5562" w:rsidP="00F94DB8">
            <w:pPr>
              <w:tabs>
                <w:tab w:val="left" w:pos="397"/>
              </w:tabs>
              <w:suppressAutoHyphens/>
              <w:snapToGrid w:val="0"/>
              <w:ind w:left="52" w:right="186"/>
              <w:jc w:val="both"/>
              <w:rPr>
                <w:sz w:val="23"/>
                <w:szCs w:val="23"/>
                <w:lang w:eastAsia="ar-SA"/>
              </w:rPr>
            </w:pPr>
            <w:r w:rsidRPr="006E5629">
              <w:rPr>
                <w:sz w:val="23"/>
                <w:szCs w:val="23"/>
                <w:lang w:eastAsia="ar-SA"/>
              </w:rPr>
              <w:t xml:space="preserve">8) Ministru kabineta 21.05.2014. rīkojums Nr.232 (prot. Nr.29 26.§) „Par vienreizējā sociālā pabalsta piešķiršanu Ingai Gulbei sakarā ar trīnīšu piedzimšanu” par summu 11 235 </w:t>
            </w:r>
            <w:proofErr w:type="spellStart"/>
            <w:r w:rsidRPr="006E5629">
              <w:rPr>
                <w:i/>
                <w:sz w:val="23"/>
                <w:szCs w:val="23"/>
                <w:lang w:eastAsia="ar-SA"/>
              </w:rPr>
              <w:t>euro</w:t>
            </w:r>
            <w:proofErr w:type="spellEnd"/>
            <w:r w:rsidRPr="006E5629">
              <w:rPr>
                <w:sz w:val="23"/>
                <w:szCs w:val="23"/>
                <w:lang w:eastAsia="ar-SA"/>
              </w:rPr>
              <w:t xml:space="preserve">, tai skaitā 8 538 </w:t>
            </w:r>
            <w:proofErr w:type="spellStart"/>
            <w:r w:rsidRPr="006E5629">
              <w:rPr>
                <w:i/>
                <w:sz w:val="23"/>
                <w:szCs w:val="23"/>
                <w:lang w:eastAsia="ar-SA"/>
              </w:rPr>
              <w:t>euro</w:t>
            </w:r>
            <w:proofErr w:type="spellEnd"/>
            <w:r w:rsidRPr="006E5629">
              <w:rPr>
                <w:sz w:val="23"/>
                <w:szCs w:val="23"/>
                <w:lang w:eastAsia="ar-SA"/>
              </w:rPr>
              <w:t xml:space="preserve"> apmērā vienreizējā sociālā pabalsta izmaksai un 2 697 </w:t>
            </w:r>
            <w:proofErr w:type="spellStart"/>
            <w:r w:rsidRPr="006E5629">
              <w:rPr>
                <w:i/>
                <w:sz w:val="23"/>
                <w:szCs w:val="23"/>
                <w:lang w:eastAsia="ar-SA"/>
              </w:rPr>
              <w:t>euro</w:t>
            </w:r>
            <w:proofErr w:type="spellEnd"/>
            <w:r w:rsidRPr="006E5629">
              <w:rPr>
                <w:sz w:val="23"/>
                <w:szCs w:val="23"/>
                <w:lang w:eastAsia="ar-SA"/>
              </w:rPr>
              <w:t xml:space="preserve"> apmērā iedzīvotāju ienākuma nodokļa samaksai.</w:t>
            </w:r>
          </w:p>
          <w:p w:rsidR="00EB5562" w:rsidRDefault="00EB5562" w:rsidP="00F94DB8">
            <w:pPr>
              <w:tabs>
                <w:tab w:val="left" w:pos="397"/>
              </w:tabs>
              <w:suppressAutoHyphens/>
              <w:snapToGrid w:val="0"/>
              <w:ind w:left="52" w:right="186"/>
              <w:jc w:val="both"/>
              <w:rPr>
                <w:sz w:val="23"/>
                <w:szCs w:val="23"/>
                <w:lang w:eastAsia="ar-SA"/>
              </w:rPr>
            </w:pPr>
            <w:r w:rsidRPr="006E5629">
              <w:rPr>
                <w:sz w:val="23"/>
                <w:szCs w:val="23"/>
                <w:lang w:eastAsia="ar-SA"/>
              </w:rPr>
              <w:t>9) Ministru kabineta 04.06.2014. rīkojums Nr.261 (prot. Nr.31, 38.§) „Par vienreizējā sociālā pabalsta piešķiršanu Karinai Adamaitei-</w:t>
            </w:r>
            <w:proofErr w:type="spellStart"/>
            <w:r w:rsidRPr="006E5629">
              <w:rPr>
                <w:sz w:val="23"/>
                <w:szCs w:val="23"/>
                <w:lang w:eastAsia="ar-SA"/>
              </w:rPr>
              <w:t>Jākabsonei</w:t>
            </w:r>
            <w:proofErr w:type="spellEnd"/>
            <w:r w:rsidRPr="006E5629">
              <w:rPr>
                <w:sz w:val="23"/>
                <w:szCs w:val="23"/>
                <w:lang w:eastAsia="ar-SA"/>
              </w:rPr>
              <w:t xml:space="preserve"> sakarā ar trīnīšu piedzimšanu” par summu 11 235</w:t>
            </w:r>
            <w:r w:rsidRPr="006E5629">
              <w:rPr>
                <w:i/>
                <w:sz w:val="23"/>
                <w:szCs w:val="23"/>
                <w:lang w:eastAsia="ar-SA"/>
              </w:rPr>
              <w:t xml:space="preserve"> </w:t>
            </w:r>
            <w:proofErr w:type="spellStart"/>
            <w:r w:rsidRPr="006E5629">
              <w:rPr>
                <w:i/>
                <w:sz w:val="23"/>
                <w:szCs w:val="23"/>
                <w:lang w:eastAsia="ar-SA"/>
              </w:rPr>
              <w:t>euro</w:t>
            </w:r>
            <w:proofErr w:type="spellEnd"/>
            <w:r w:rsidRPr="006E5629">
              <w:rPr>
                <w:sz w:val="23"/>
                <w:szCs w:val="23"/>
                <w:lang w:eastAsia="ar-SA"/>
              </w:rPr>
              <w:t xml:space="preserve">, tai skaitā 8 538 </w:t>
            </w:r>
            <w:proofErr w:type="spellStart"/>
            <w:r w:rsidRPr="006E5629">
              <w:rPr>
                <w:i/>
                <w:sz w:val="23"/>
                <w:szCs w:val="23"/>
                <w:lang w:eastAsia="ar-SA"/>
              </w:rPr>
              <w:t>euro</w:t>
            </w:r>
            <w:proofErr w:type="spellEnd"/>
            <w:r w:rsidRPr="006E5629">
              <w:rPr>
                <w:sz w:val="23"/>
                <w:szCs w:val="23"/>
                <w:lang w:eastAsia="ar-SA"/>
              </w:rPr>
              <w:t xml:space="preserve"> apmērā vienreizējā sociālā pabalsta izmaksai un 2 697 </w:t>
            </w:r>
            <w:proofErr w:type="spellStart"/>
            <w:r w:rsidRPr="006E5629">
              <w:rPr>
                <w:i/>
                <w:sz w:val="23"/>
                <w:szCs w:val="23"/>
                <w:lang w:eastAsia="ar-SA"/>
              </w:rPr>
              <w:t>euro</w:t>
            </w:r>
            <w:proofErr w:type="spellEnd"/>
            <w:r w:rsidRPr="006E5629">
              <w:rPr>
                <w:sz w:val="23"/>
                <w:szCs w:val="23"/>
                <w:lang w:eastAsia="ar-SA"/>
              </w:rPr>
              <w:t xml:space="preserve"> apmērā iedzīvotāju ienākuma nodokļa samaksai.</w:t>
            </w:r>
          </w:p>
          <w:p w:rsidR="00F2405D" w:rsidRDefault="00F2405D" w:rsidP="00F94DB8">
            <w:pPr>
              <w:tabs>
                <w:tab w:val="left" w:pos="397"/>
              </w:tabs>
              <w:suppressAutoHyphens/>
              <w:snapToGrid w:val="0"/>
              <w:ind w:left="52" w:right="186"/>
              <w:jc w:val="both"/>
              <w:rPr>
                <w:sz w:val="23"/>
                <w:szCs w:val="23"/>
                <w:lang w:eastAsia="ar-SA"/>
              </w:rPr>
            </w:pPr>
            <w:r>
              <w:rPr>
                <w:sz w:val="23"/>
                <w:szCs w:val="23"/>
                <w:lang w:eastAsia="ar-SA"/>
              </w:rPr>
              <w:t xml:space="preserve">10) </w:t>
            </w:r>
            <w:r w:rsidR="007A0C7F">
              <w:rPr>
                <w:sz w:val="23"/>
                <w:szCs w:val="23"/>
                <w:lang w:eastAsia="ar-SA"/>
              </w:rPr>
              <w:t>Ministru kabineta 29.07.2014. rīkojums Nr.400 (prot. Nr.41 18.</w:t>
            </w:r>
            <w:r w:rsidR="007A0C7F" w:rsidRPr="006E5629">
              <w:rPr>
                <w:sz w:val="23"/>
                <w:szCs w:val="23"/>
                <w:lang w:eastAsia="ar-SA"/>
              </w:rPr>
              <w:t>§</w:t>
            </w:r>
            <w:r w:rsidR="007A0C7F">
              <w:rPr>
                <w:sz w:val="23"/>
                <w:szCs w:val="23"/>
                <w:lang w:eastAsia="ar-SA"/>
              </w:rPr>
              <w:t xml:space="preserve">) „Par finanšu līdzekļu piešķiršanu no valsts budžeta programmas „Līdzekļi neparedzētiem gadījumiem”” par summu 16 694 </w:t>
            </w:r>
            <w:proofErr w:type="spellStart"/>
            <w:r w:rsidR="007A0C7F">
              <w:rPr>
                <w:sz w:val="23"/>
                <w:szCs w:val="23"/>
                <w:lang w:eastAsia="ar-SA"/>
              </w:rPr>
              <w:t>euro</w:t>
            </w:r>
            <w:proofErr w:type="spellEnd"/>
            <w:r w:rsidR="007A0C7F">
              <w:rPr>
                <w:sz w:val="23"/>
                <w:szCs w:val="23"/>
                <w:lang w:eastAsia="ar-SA"/>
              </w:rPr>
              <w:t>.</w:t>
            </w:r>
          </w:p>
          <w:p w:rsidR="00140619" w:rsidRPr="006E5629" w:rsidRDefault="00140619" w:rsidP="00140619">
            <w:pPr>
              <w:tabs>
                <w:tab w:val="left" w:pos="397"/>
              </w:tabs>
              <w:suppressAutoHyphens/>
              <w:snapToGrid w:val="0"/>
              <w:ind w:left="52" w:right="186"/>
              <w:jc w:val="both"/>
              <w:rPr>
                <w:sz w:val="23"/>
                <w:szCs w:val="23"/>
                <w:lang w:eastAsia="ar-SA"/>
              </w:rPr>
            </w:pPr>
            <w:r>
              <w:rPr>
                <w:sz w:val="23"/>
                <w:szCs w:val="23"/>
                <w:lang w:eastAsia="ar-SA"/>
              </w:rPr>
              <w:t xml:space="preserve">11) </w:t>
            </w:r>
            <w:r>
              <w:rPr>
                <w:sz w:val="23"/>
                <w:szCs w:val="23"/>
                <w:lang w:eastAsia="ar-SA"/>
              </w:rPr>
              <w:t xml:space="preserve">Ministru kabineta </w:t>
            </w:r>
            <w:r>
              <w:rPr>
                <w:sz w:val="23"/>
                <w:szCs w:val="23"/>
                <w:lang w:eastAsia="ar-SA"/>
              </w:rPr>
              <w:t>13</w:t>
            </w:r>
            <w:r>
              <w:rPr>
                <w:sz w:val="23"/>
                <w:szCs w:val="23"/>
                <w:lang w:eastAsia="ar-SA"/>
              </w:rPr>
              <w:t>.0</w:t>
            </w:r>
            <w:r>
              <w:rPr>
                <w:sz w:val="23"/>
                <w:szCs w:val="23"/>
                <w:lang w:eastAsia="ar-SA"/>
              </w:rPr>
              <w:t>8</w:t>
            </w:r>
            <w:r>
              <w:rPr>
                <w:sz w:val="23"/>
                <w:szCs w:val="23"/>
                <w:lang w:eastAsia="ar-SA"/>
              </w:rPr>
              <w:t>.2014. rīkojums Nr.4</w:t>
            </w:r>
            <w:r>
              <w:rPr>
                <w:sz w:val="23"/>
                <w:szCs w:val="23"/>
                <w:lang w:eastAsia="ar-SA"/>
              </w:rPr>
              <w:t>26</w:t>
            </w:r>
            <w:r>
              <w:rPr>
                <w:sz w:val="23"/>
                <w:szCs w:val="23"/>
                <w:lang w:eastAsia="ar-SA"/>
              </w:rPr>
              <w:t xml:space="preserve"> (prot. Nr.4</w:t>
            </w:r>
            <w:r>
              <w:rPr>
                <w:sz w:val="23"/>
                <w:szCs w:val="23"/>
                <w:lang w:eastAsia="ar-SA"/>
              </w:rPr>
              <w:t>3 35</w:t>
            </w:r>
            <w:r>
              <w:rPr>
                <w:sz w:val="23"/>
                <w:szCs w:val="23"/>
                <w:lang w:eastAsia="ar-SA"/>
              </w:rPr>
              <w:t>.</w:t>
            </w:r>
            <w:r w:rsidRPr="006E5629">
              <w:rPr>
                <w:sz w:val="23"/>
                <w:szCs w:val="23"/>
                <w:lang w:eastAsia="ar-SA"/>
              </w:rPr>
              <w:t>§</w:t>
            </w:r>
            <w:r>
              <w:rPr>
                <w:sz w:val="23"/>
                <w:szCs w:val="23"/>
                <w:lang w:eastAsia="ar-SA"/>
              </w:rPr>
              <w:t xml:space="preserve">) „Par finanšu līdzekļu piešķiršanu no valsts budžeta programmas „Līdzekļi neparedzētiem gadījumiem”” par summu </w:t>
            </w:r>
            <w:r>
              <w:rPr>
                <w:sz w:val="23"/>
                <w:szCs w:val="23"/>
                <w:lang w:eastAsia="ar-SA"/>
              </w:rPr>
              <w:t>84 143</w:t>
            </w:r>
            <w:r>
              <w:rPr>
                <w:sz w:val="23"/>
                <w:szCs w:val="23"/>
                <w:lang w:eastAsia="ar-SA"/>
              </w:rPr>
              <w:t xml:space="preserve"> </w:t>
            </w:r>
            <w:proofErr w:type="spellStart"/>
            <w:r>
              <w:rPr>
                <w:sz w:val="23"/>
                <w:szCs w:val="23"/>
                <w:lang w:eastAsia="ar-SA"/>
              </w:rPr>
              <w:t>euro</w:t>
            </w:r>
            <w:proofErr w:type="spellEnd"/>
            <w:r>
              <w:rPr>
                <w:sz w:val="23"/>
                <w:szCs w:val="23"/>
                <w:lang w:eastAsia="ar-SA"/>
              </w:rPr>
              <w:t>.</w:t>
            </w:r>
          </w:p>
        </w:tc>
      </w:tr>
    </w:tbl>
    <w:p w:rsidR="00C31E36" w:rsidRPr="006E5629" w:rsidRDefault="00C31E36" w:rsidP="00C31E36">
      <w:pPr>
        <w:rPr>
          <w:sz w:val="23"/>
          <w:szCs w:val="23"/>
        </w:rPr>
      </w:pPr>
    </w:p>
    <w:p w:rsidR="0068384F" w:rsidRPr="006E5629" w:rsidRDefault="0068384F" w:rsidP="00EC1157">
      <w:pPr>
        <w:pStyle w:val="naisf"/>
        <w:spacing w:before="0" w:after="0"/>
        <w:ind w:firstLine="0"/>
        <w:rPr>
          <w:sz w:val="23"/>
          <w:szCs w:val="23"/>
        </w:rPr>
      </w:pPr>
    </w:p>
    <w:tbl>
      <w:tblPr>
        <w:tblW w:w="962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4468"/>
        <w:gridCol w:w="4810"/>
      </w:tblGrid>
      <w:tr w:rsidR="0023436E" w:rsidRPr="006E5629">
        <w:tc>
          <w:tcPr>
            <w:tcW w:w="9629" w:type="dxa"/>
            <w:gridSpan w:val="3"/>
            <w:tcBorders>
              <w:top w:val="single" w:sz="4" w:space="0" w:color="auto"/>
            </w:tcBorders>
          </w:tcPr>
          <w:p w:rsidR="0023436E" w:rsidRPr="006E5629" w:rsidRDefault="0023436E" w:rsidP="007D099D">
            <w:pPr>
              <w:pStyle w:val="naisnod"/>
              <w:spacing w:before="0" w:after="0"/>
              <w:ind w:left="57" w:right="57"/>
              <w:rPr>
                <w:sz w:val="23"/>
                <w:szCs w:val="23"/>
              </w:rPr>
            </w:pPr>
            <w:r w:rsidRPr="006E5629">
              <w:rPr>
                <w:sz w:val="23"/>
                <w:szCs w:val="23"/>
              </w:rPr>
              <w:t>VII</w:t>
            </w:r>
            <w:r w:rsidR="000941C5" w:rsidRPr="006E5629">
              <w:rPr>
                <w:sz w:val="23"/>
                <w:szCs w:val="23"/>
              </w:rPr>
              <w:t>.</w:t>
            </w:r>
            <w:r w:rsidRPr="006E5629">
              <w:rPr>
                <w:sz w:val="23"/>
                <w:szCs w:val="23"/>
              </w:rPr>
              <w:t xml:space="preserve"> Tiesību akta projekta izpildes nodrošināšana un tās ietekme uz institūcijām</w:t>
            </w:r>
          </w:p>
        </w:tc>
      </w:tr>
      <w:tr w:rsidR="0023436E" w:rsidRPr="006E5629">
        <w:trPr>
          <w:trHeight w:val="427"/>
        </w:trPr>
        <w:tc>
          <w:tcPr>
            <w:tcW w:w="351" w:type="dxa"/>
          </w:tcPr>
          <w:p w:rsidR="0023436E" w:rsidRPr="006E5629" w:rsidRDefault="0023436E" w:rsidP="007D099D">
            <w:pPr>
              <w:pStyle w:val="naisnod"/>
              <w:spacing w:before="0" w:after="0"/>
              <w:ind w:left="57" w:right="57"/>
              <w:jc w:val="left"/>
              <w:rPr>
                <w:b w:val="0"/>
                <w:sz w:val="23"/>
                <w:szCs w:val="23"/>
              </w:rPr>
            </w:pPr>
            <w:r w:rsidRPr="006E5629">
              <w:rPr>
                <w:b w:val="0"/>
                <w:sz w:val="23"/>
                <w:szCs w:val="23"/>
              </w:rPr>
              <w:t>1.</w:t>
            </w:r>
          </w:p>
        </w:tc>
        <w:tc>
          <w:tcPr>
            <w:tcW w:w="4468" w:type="dxa"/>
          </w:tcPr>
          <w:p w:rsidR="0023436E" w:rsidRPr="006E5629" w:rsidRDefault="001A4066" w:rsidP="007D099D">
            <w:pPr>
              <w:pStyle w:val="naisf"/>
              <w:spacing w:before="0" w:after="0"/>
              <w:ind w:left="57" w:right="57" w:firstLine="0"/>
              <w:jc w:val="left"/>
              <w:rPr>
                <w:sz w:val="23"/>
                <w:szCs w:val="23"/>
              </w:rPr>
            </w:pPr>
            <w:r w:rsidRPr="006E5629">
              <w:rPr>
                <w:sz w:val="23"/>
                <w:szCs w:val="23"/>
              </w:rPr>
              <w:t>P</w:t>
            </w:r>
            <w:r w:rsidR="0023436E" w:rsidRPr="006E5629">
              <w:rPr>
                <w:sz w:val="23"/>
                <w:szCs w:val="23"/>
              </w:rPr>
              <w:t xml:space="preserve">rojekta izpildē iesaistītās institūcijas </w:t>
            </w:r>
          </w:p>
        </w:tc>
        <w:tc>
          <w:tcPr>
            <w:tcW w:w="4810" w:type="dxa"/>
          </w:tcPr>
          <w:p w:rsidR="0023436E" w:rsidRPr="006E5629" w:rsidRDefault="007E01AB" w:rsidP="00374AAF">
            <w:pPr>
              <w:pStyle w:val="naisnod"/>
              <w:spacing w:before="0" w:after="0"/>
              <w:ind w:left="57" w:right="57"/>
              <w:jc w:val="both"/>
              <w:rPr>
                <w:b w:val="0"/>
                <w:sz w:val="23"/>
                <w:szCs w:val="23"/>
              </w:rPr>
            </w:pPr>
            <w:r w:rsidRPr="006E5629">
              <w:rPr>
                <w:b w:val="0"/>
                <w:iCs/>
                <w:sz w:val="23"/>
                <w:szCs w:val="23"/>
              </w:rPr>
              <w:t xml:space="preserve">Projekta izpildi nodrošinās </w:t>
            </w:r>
            <w:r w:rsidR="006C5B91" w:rsidRPr="006E5629">
              <w:rPr>
                <w:b w:val="0"/>
                <w:iCs/>
                <w:sz w:val="23"/>
                <w:szCs w:val="23"/>
              </w:rPr>
              <w:t>Valsts sociālās apdrošināšanas aģentūra.</w:t>
            </w:r>
          </w:p>
        </w:tc>
      </w:tr>
      <w:tr w:rsidR="0023436E" w:rsidRPr="006E5629">
        <w:trPr>
          <w:trHeight w:val="463"/>
        </w:trPr>
        <w:tc>
          <w:tcPr>
            <w:tcW w:w="351" w:type="dxa"/>
          </w:tcPr>
          <w:p w:rsidR="0023436E" w:rsidRPr="006E5629" w:rsidRDefault="0023436E" w:rsidP="007D099D">
            <w:pPr>
              <w:pStyle w:val="naisnod"/>
              <w:spacing w:before="0" w:after="0"/>
              <w:ind w:left="57" w:right="57"/>
              <w:jc w:val="left"/>
              <w:rPr>
                <w:b w:val="0"/>
                <w:sz w:val="23"/>
                <w:szCs w:val="23"/>
              </w:rPr>
            </w:pPr>
            <w:r w:rsidRPr="006E5629">
              <w:rPr>
                <w:b w:val="0"/>
                <w:sz w:val="23"/>
                <w:szCs w:val="23"/>
              </w:rPr>
              <w:t>2.</w:t>
            </w:r>
          </w:p>
        </w:tc>
        <w:tc>
          <w:tcPr>
            <w:tcW w:w="4468" w:type="dxa"/>
          </w:tcPr>
          <w:p w:rsidR="0023436E" w:rsidRPr="006E5629" w:rsidRDefault="00524B21" w:rsidP="00524B21">
            <w:pPr>
              <w:pStyle w:val="naisf"/>
              <w:spacing w:before="0" w:after="0"/>
              <w:ind w:left="57" w:right="57" w:firstLine="0"/>
              <w:jc w:val="left"/>
              <w:rPr>
                <w:sz w:val="23"/>
                <w:szCs w:val="23"/>
              </w:rPr>
            </w:pPr>
            <w:r w:rsidRPr="006E5629">
              <w:rPr>
                <w:sz w:val="23"/>
                <w:szCs w:val="23"/>
              </w:rPr>
              <w:t>Projekta izpildes ietekme uz pārvaldes funkcijām un institucionālo struktūru.</w:t>
            </w:r>
          </w:p>
          <w:p w:rsidR="00524B21" w:rsidRPr="006E5629" w:rsidRDefault="00524B21" w:rsidP="00524B21">
            <w:pPr>
              <w:rPr>
                <w:sz w:val="23"/>
                <w:szCs w:val="23"/>
              </w:rPr>
            </w:pPr>
          </w:p>
          <w:p w:rsidR="00374AAF" w:rsidRPr="006E5629" w:rsidRDefault="00374AAF" w:rsidP="00524B21">
            <w:pPr>
              <w:rPr>
                <w:sz w:val="23"/>
                <w:szCs w:val="23"/>
              </w:rPr>
            </w:pPr>
          </w:p>
          <w:p w:rsidR="00524B21" w:rsidRPr="006E5629" w:rsidRDefault="00524B21" w:rsidP="00524B21">
            <w:pPr>
              <w:rPr>
                <w:sz w:val="23"/>
                <w:szCs w:val="23"/>
              </w:rPr>
            </w:pPr>
            <w:r w:rsidRPr="006E5629">
              <w:rPr>
                <w:sz w:val="23"/>
                <w:szCs w:val="23"/>
              </w:rPr>
              <w:t>Jaunu institūciju izveide, esošu institūciju likvidācija vai reorganizācija, to ietekme uz institūcijas cilvēkresursiem</w:t>
            </w:r>
          </w:p>
          <w:p w:rsidR="00524B21" w:rsidRPr="006E5629" w:rsidRDefault="00524B21" w:rsidP="007D099D">
            <w:pPr>
              <w:pStyle w:val="naisf"/>
              <w:spacing w:before="0" w:after="0"/>
              <w:ind w:left="57" w:right="57" w:firstLine="0"/>
              <w:jc w:val="left"/>
              <w:rPr>
                <w:sz w:val="23"/>
                <w:szCs w:val="23"/>
              </w:rPr>
            </w:pPr>
          </w:p>
        </w:tc>
        <w:tc>
          <w:tcPr>
            <w:tcW w:w="4810" w:type="dxa"/>
          </w:tcPr>
          <w:p w:rsidR="0023436E" w:rsidRPr="006E5629" w:rsidRDefault="00374AAF" w:rsidP="00DE4190">
            <w:pPr>
              <w:pStyle w:val="naisnod"/>
              <w:spacing w:before="0" w:after="0"/>
              <w:ind w:left="57" w:right="57"/>
              <w:jc w:val="both"/>
              <w:rPr>
                <w:b w:val="0"/>
                <w:iCs/>
                <w:sz w:val="23"/>
                <w:szCs w:val="23"/>
              </w:rPr>
            </w:pPr>
            <w:r w:rsidRPr="006E5629">
              <w:rPr>
                <w:b w:val="0"/>
                <w:iCs/>
                <w:sz w:val="23"/>
                <w:szCs w:val="23"/>
              </w:rPr>
              <w:t xml:space="preserve">Valsts sociālās apdrošināšanas aģentūra </w:t>
            </w:r>
            <w:r w:rsidR="007E01AB" w:rsidRPr="006E5629">
              <w:rPr>
                <w:b w:val="0"/>
                <w:iCs/>
                <w:sz w:val="23"/>
                <w:szCs w:val="23"/>
              </w:rPr>
              <w:t>projekta īstenošanu nodrošinās deleģētā uzdevuma ietvaros.</w:t>
            </w:r>
          </w:p>
          <w:p w:rsidR="007E01AB" w:rsidRPr="006E5629" w:rsidRDefault="007E01AB" w:rsidP="00DE4190">
            <w:pPr>
              <w:pStyle w:val="naisnod"/>
              <w:spacing w:before="0" w:after="0"/>
              <w:ind w:left="57" w:right="57"/>
              <w:jc w:val="both"/>
              <w:rPr>
                <w:b w:val="0"/>
                <w:iCs/>
                <w:sz w:val="23"/>
                <w:szCs w:val="23"/>
              </w:rPr>
            </w:pPr>
          </w:p>
          <w:p w:rsidR="007E01AB" w:rsidRPr="006E5629" w:rsidRDefault="007E01AB" w:rsidP="00DE4190">
            <w:pPr>
              <w:pStyle w:val="naisnod"/>
              <w:spacing w:before="0" w:after="0"/>
              <w:ind w:left="57" w:right="57"/>
              <w:jc w:val="both"/>
              <w:rPr>
                <w:b w:val="0"/>
                <w:sz w:val="23"/>
                <w:szCs w:val="23"/>
              </w:rPr>
            </w:pPr>
            <w:r w:rsidRPr="006E5629">
              <w:rPr>
                <w:b w:val="0"/>
                <w:sz w:val="23"/>
                <w:szCs w:val="23"/>
              </w:rPr>
              <w:t>Jaunas institūcijas nav nepieciešams izveidot.</w:t>
            </w:r>
          </w:p>
          <w:p w:rsidR="007E01AB" w:rsidRPr="006E5629" w:rsidRDefault="007E01AB" w:rsidP="00DE4190">
            <w:pPr>
              <w:pStyle w:val="naisnod"/>
              <w:spacing w:before="0" w:after="0"/>
              <w:ind w:left="57" w:right="57"/>
              <w:jc w:val="both"/>
              <w:rPr>
                <w:b w:val="0"/>
                <w:sz w:val="23"/>
                <w:szCs w:val="23"/>
              </w:rPr>
            </w:pPr>
            <w:r w:rsidRPr="006E5629">
              <w:rPr>
                <w:b w:val="0"/>
                <w:sz w:val="23"/>
                <w:szCs w:val="23"/>
              </w:rPr>
              <w:t>Pārvaldes institucionālajā struktūrā izmaiņas nav paredzētas, un reorganizācija netiek plānota.</w:t>
            </w:r>
          </w:p>
        </w:tc>
      </w:tr>
      <w:tr w:rsidR="0023436E" w:rsidRPr="006E5629">
        <w:trPr>
          <w:trHeight w:val="476"/>
        </w:trPr>
        <w:tc>
          <w:tcPr>
            <w:tcW w:w="351" w:type="dxa"/>
          </w:tcPr>
          <w:p w:rsidR="0023436E" w:rsidRPr="006E5629" w:rsidRDefault="00AB108E" w:rsidP="007D099D">
            <w:pPr>
              <w:pStyle w:val="naiskr"/>
              <w:spacing w:before="0" w:after="0"/>
              <w:ind w:left="57" w:right="57"/>
              <w:rPr>
                <w:sz w:val="23"/>
                <w:szCs w:val="23"/>
              </w:rPr>
            </w:pPr>
            <w:r w:rsidRPr="006E5629">
              <w:rPr>
                <w:sz w:val="23"/>
                <w:szCs w:val="23"/>
              </w:rPr>
              <w:t>3</w:t>
            </w:r>
            <w:r w:rsidR="0023436E" w:rsidRPr="006E5629">
              <w:rPr>
                <w:sz w:val="23"/>
                <w:szCs w:val="23"/>
              </w:rPr>
              <w:t>.</w:t>
            </w:r>
          </w:p>
        </w:tc>
        <w:tc>
          <w:tcPr>
            <w:tcW w:w="4468" w:type="dxa"/>
          </w:tcPr>
          <w:p w:rsidR="0023436E" w:rsidRPr="006E5629" w:rsidRDefault="006C4607" w:rsidP="007D099D">
            <w:pPr>
              <w:pStyle w:val="naiskr"/>
              <w:spacing w:before="0" w:after="0"/>
              <w:ind w:left="57" w:right="57"/>
              <w:rPr>
                <w:sz w:val="23"/>
                <w:szCs w:val="23"/>
              </w:rPr>
            </w:pPr>
            <w:r w:rsidRPr="006E5629">
              <w:rPr>
                <w:sz w:val="23"/>
                <w:szCs w:val="23"/>
              </w:rPr>
              <w:t>Cita informācija</w:t>
            </w:r>
          </w:p>
        </w:tc>
        <w:tc>
          <w:tcPr>
            <w:tcW w:w="4810" w:type="dxa"/>
          </w:tcPr>
          <w:p w:rsidR="0023436E" w:rsidRPr="006E5629" w:rsidRDefault="0023436E" w:rsidP="00DE4190">
            <w:pPr>
              <w:pStyle w:val="naiskr"/>
              <w:spacing w:before="0" w:after="0"/>
              <w:ind w:left="57" w:right="57"/>
              <w:jc w:val="both"/>
              <w:rPr>
                <w:sz w:val="23"/>
                <w:szCs w:val="23"/>
              </w:rPr>
            </w:pPr>
            <w:r w:rsidRPr="006E5629">
              <w:rPr>
                <w:sz w:val="23"/>
                <w:szCs w:val="23"/>
              </w:rPr>
              <w:t>Nav</w:t>
            </w:r>
          </w:p>
        </w:tc>
      </w:tr>
    </w:tbl>
    <w:p w:rsidR="00214094" w:rsidRPr="006E5629" w:rsidRDefault="00214094" w:rsidP="006C4607">
      <w:pPr>
        <w:pStyle w:val="naisf"/>
        <w:tabs>
          <w:tab w:val="left" w:pos="5760"/>
        </w:tabs>
        <w:spacing w:before="0" w:after="0"/>
        <w:ind w:firstLine="720"/>
        <w:rPr>
          <w:sz w:val="23"/>
          <w:szCs w:val="23"/>
        </w:rPr>
      </w:pPr>
    </w:p>
    <w:p w:rsidR="007E01AB" w:rsidRPr="006E5629" w:rsidRDefault="007E01AB" w:rsidP="007E01AB">
      <w:pPr>
        <w:rPr>
          <w:i/>
          <w:sz w:val="23"/>
          <w:szCs w:val="23"/>
        </w:rPr>
      </w:pPr>
      <w:r w:rsidRPr="006E5629">
        <w:rPr>
          <w:i/>
          <w:sz w:val="23"/>
          <w:szCs w:val="23"/>
        </w:rPr>
        <w:t>Anotācijas II, IV, V un VI sadaļā minētos jautājumus rīkojuma projekts neskar.</w:t>
      </w:r>
    </w:p>
    <w:p w:rsidR="00DE4190" w:rsidRPr="006E5629" w:rsidRDefault="00DE4190" w:rsidP="007E01AB">
      <w:pPr>
        <w:pStyle w:val="naisf"/>
        <w:tabs>
          <w:tab w:val="left" w:pos="6804"/>
        </w:tabs>
        <w:ind w:firstLine="720"/>
        <w:rPr>
          <w:sz w:val="23"/>
          <w:szCs w:val="23"/>
        </w:rPr>
      </w:pPr>
    </w:p>
    <w:p w:rsidR="007E01AB" w:rsidRPr="00783BA8" w:rsidRDefault="007E01AB" w:rsidP="007E01AB">
      <w:pPr>
        <w:pStyle w:val="naisf"/>
        <w:tabs>
          <w:tab w:val="left" w:pos="6804"/>
        </w:tabs>
        <w:ind w:firstLine="720"/>
        <w:rPr>
          <w:sz w:val="26"/>
          <w:szCs w:val="26"/>
        </w:rPr>
      </w:pPr>
      <w:r w:rsidRPr="00783BA8">
        <w:rPr>
          <w:sz w:val="26"/>
          <w:szCs w:val="26"/>
        </w:rPr>
        <w:t>Labklājības ministrs</w:t>
      </w:r>
      <w:r w:rsidRPr="00783BA8">
        <w:rPr>
          <w:sz w:val="26"/>
          <w:szCs w:val="26"/>
        </w:rPr>
        <w:tab/>
      </w:r>
      <w:r w:rsidRPr="00783BA8">
        <w:rPr>
          <w:sz w:val="26"/>
          <w:szCs w:val="26"/>
        </w:rPr>
        <w:tab/>
        <w:t>U.Augulis</w:t>
      </w:r>
    </w:p>
    <w:p w:rsidR="00783BA8" w:rsidRPr="006E5629" w:rsidRDefault="00783BA8" w:rsidP="00845811">
      <w:pPr>
        <w:pStyle w:val="naisf"/>
        <w:tabs>
          <w:tab w:val="left" w:pos="6804"/>
        </w:tabs>
        <w:spacing w:before="0" w:after="0"/>
        <w:ind w:firstLine="720"/>
        <w:rPr>
          <w:sz w:val="23"/>
          <w:szCs w:val="23"/>
        </w:rPr>
      </w:pPr>
    </w:p>
    <w:p w:rsidR="00DF60C4" w:rsidRPr="00CB49DF" w:rsidRDefault="00DF60C4" w:rsidP="00DF60C4">
      <w:pPr>
        <w:tabs>
          <w:tab w:val="left" w:pos="2964"/>
        </w:tabs>
        <w:ind w:right="99"/>
        <w:jc w:val="both"/>
        <w:rPr>
          <w:sz w:val="20"/>
          <w:szCs w:val="20"/>
        </w:rPr>
      </w:pPr>
      <w:r>
        <w:rPr>
          <w:sz w:val="20"/>
          <w:szCs w:val="20"/>
        </w:rPr>
        <w:fldChar w:fldCharType="begin"/>
      </w:r>
      <w:r>
        <w:rPr>
          <w:sz w:val="20"/>
          <w:szCs w:val="20"/>
        </w:rPr>
        <w:instrText xml:space="preserve"> TIME  \@ "dd.MM.yyyy. H:mm"  \* MERGEFORMAT </w:instrText>
      </w:r>
      <w:r>
        <w:rPr>
          <w:sz w:val="20"/>
          <w:szCs w:val="20"/>
        </w:rPr>
        <w:fldChar w:fldCharType="separate"/>
      </w:r>
      <w:r w:rsidR="00D92D04">
        <w:rPr>
          <w:noProof/>
          <w:sz w:val="20"/>
          <w:szCs w:val="20"/>
        </w:rPr>
        <w:t>14.08.2014. 10:46</w:t>
      </w:r>
      <w:r>
        <w:rPr>
          <w:sz w:val="20"/>
          <w:szCs w:val="20"/>
        </w:rPr>
        <w:fldChar w:fldCharType="end"/>
      </w:r>
      <w:r w:rsidRPr="00CB49DF">
        <w:rPr>
          <w:noProof/>
          <w:sz w:val="20"/>
          <w:szCs w:val="20"/>
        </w:rPr>
        <w:tab/>
      </w:r>
    </w:p>
    <w:p w:rsidR="00DF60C4" w:rsidRPr="00CB49DF" w:rsidRDefault="00D04661" w:rsidP="00DF60C4">
      <w:pPr>
        <w:tabs>
          <w:tab w:val="left" w:pos="2964"/>
        </w:tabs>
        <w:ind w:right="99"/>
        <w:jc w:val="both"/>
        <w:rPr>
          <w:sz w:val="20"/>
          <w:szCs w:val="20"/>
        </w:rPr>
      </w:pPr>
      <w:r>
        <w:fldChar w:fldCharType="begin"/>
      </w:r>
      <w:r>
        <w:instrText xml:space="preserve"> NUMWORDS   \* MERGEFORMAT </w:instrText>
      </w:r>
      <w:r>
        <w:fldChar w:fldCharType="separate"/>
      </w:r>
      <w:r w:rsidR="00401CDD" w:rsidRPr="00401CDD">
        <w:rPr>
          <w:noProof/>
          <w:sz w:val="20"/>
          <w:szCs w:val="20"/>
        </w:rPr>
        <w:t>1577</w:t>
      </w:r>
      <w:r>
        <w:rPr>
          <w:noProof/>
          <w:sz w:val="20"/>
          <w:szCs w:val="20"/>
        </w:rPr>
        <w:fldChar w:fldCharType="end"/>
      </w:r>
      <w:r w:rsidR="00DF60C4" w:rsidRPr="00CB49DF">
        <w:rPr>
          <w:noProof/>
          <w:sz w:val="20"/>
          <w:szCs w:val="20"/>
        </w:rPr>
        <w:tab/>
      </w:r>
      <w:bookmarkStart w:id="0" w:name="_GoBack"/>
      <w:bookmarkEnd w:id="0"/>
    </w:p>
    <w:p w:rsidR="00DF60C4" w:rsidRPr="00CB49DF" w:rsidRDefault="00DF60C4" w:rsidP="00DF60C4">
      <w:pPr>
        <w:rPr>
          <w:sz w:val="20"/>
          <w:szCs w:val="20"/>
        </w:rPr>
      </w:pPr>
      <w:r w:rsidRPr="00CB49DF">
        <w:rPr>
          <w:sz w:val="20"/>
          <w:szCs w:val="20"/>
        </w:rPr>
        <w:t>I. Štrausa, 67021636</w:t>
      </w:r>
    </w:p>
    <w:p w:rsidR="00DF60C4" w:rsidRPr="00CB49DF" w:rsidRDefault="00D04661" w:rsidP="00D92D04">
      <w:pPr>
        <w:rPr>
          <w:sz w:val="20"/>
          <w:szCs w:val="20"/>
        </w:rPr>
      </w:pPr>
      <w:hyperlink r:id="rId9" w:history="1">
        <w:r w:rsidR="00DF60C4" w:rsidRPr="00CB49DF">
          <w:rPr>
            <w:rStyle w:val="Hyperlink"/>
            <w:sz w:val="20"/>
            <w:szCs w:val="20"/>
          </w:rPr>
          <w:t>Ilze.Strausa@lm.gov.lv</w:t>
        </w:r>
      </w:hyperlink>
    </w:p>
    <w:sectPr w:rsidR="00DF60C4" w:rsidRPr="00CB49DF" w:rsidSect="00D04E34">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61" w:rsidRDefault="00D04661">
      <w:r>
        <w:separator/>
      </w:r>
    </w:p>
  </w:endnote>
  <w:endnote w:type="continuationSeparator" w:id="0">
    <w:p w:rsidR="00D04661" w:rsidRDefault="00D0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F" w:rsidRPr="008D694F" w:rsidRDefault="008D694F" w:rsidP="008D694F">
    <w:pPr>
      <w:pStyle w:val="naisf"/>
      <w:spacing w:before="0" w:after="0"/>
      <w:ind w:firstLine="0"/>
      <w:rPr>
        <w:sz w:val="20"/>
        <w:szCs w:val="20"/>
      </w:rPr>
    </w:pPr>
    <w:r w:rsidRPr="008D694F">
      <w:rPr>
        <w:sz w:val="20"/>
        <w:szCs w:val="20"/>
      </w:rPr>
      <w:fldChar w:fldCharType="begin"/>
    </w:r>
    <w:r w:rsidRPr="008D694F">
      <w:rPr>
        <w:sz w:val="20"/>
        <w:szCs w:val="20"/>
      </w:rPr>
      <w:instrText xml:space="preserve"> FILENAME   \* MERGEFORMAT </w:instrText>
    </w:r>
    <w:r w:rsidRPr="008D694F">
      <w:rPr>
        <w:sz w:val="20"/>
        <w:szCs w:val="20"/>
      </w:rPr>
      <w:fldChar w:fldCharType="separate"/>
    </w:r>
    <w:r w:rsidR="00E84D5C">
      <w:rPr>
        <w:noProof/>
        <w:sz w:val="20"/>
        <w:szCs w:val="20"/>
      </w:rPr>
      <w:t>LMAnot_140814_LNG</w:t>
    </w:r>
    <w:r w:rsidRPr="008D694F">
      <w:rPr>
        <w:noProof/>
        <w:sz w:val="20"/>
        <w:szCs w:val="20"/>
      </w:rPr>
      <w:fldChar w:fldCharType="end"/>
    </w:r>
    <w:r w:rsidRPr="008D694F">
      <w:rPr>
        <w:sz w:val="20"/>
        <w:szCs w:val="20"/>
      </w:rPr>
      <w:t>; Ministru kabineta rīkojuma „Par finanšu līdzekļu piešķiršanu no valsts budžeta programmas „Līdzekļi neparedzētiem gadījumiem””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F" w:rsidRPr="008D694F" w:rsidRDefault="00B530F2" w:rsidP="008D694F">
    <w:pPr>
      <w:pStyle w:val="naisf"/>
      <w:spacing w:before="0" w:after="0"/>
      <w:ind w:firstLine="0"/>
      <w:rPr>
        <w:sz w:val="20"/>
        <w:szCs w:val="20"/>
      </w:rPr>
    </w:pPr>
    <w:r w:rsidRPr="008D694F">
      <w:rPr>
        <w:sz w:val="20"/>
        <w:szCs w:val="20"/>
      </w:rPr>
      <w:fldChar w:fldCharType="begin"/>
    </w:r>
    <w:r w:rsidRPr="008D694F">
      <w:rPr>
        <w:sz w:val="20"/>
        <w:szCs w:val="20"/>
      </w:rPr>
      <w:instrText xml:space="preserve"> FILENAME   \* MERGEFORMAT </w:instrText>
    </w:r>
    <w:r w:rsidRPr="008D694F">
      <w:rPr>
        <w:sz w:val="20"/>
        <w:szCs w:val="20"/>
      </w:rPr>
      <w:fldChar w:fldCharType="separate"/>
    </w:r>
    <w:r w:rsidR="00E84D5C">
      <w:rPr>
        <w:noProof/>
        <w:sz w:val="20"/>
        <w:szCs w:val="20"/>
      </w:rPr>
      <w:t>LMAnot_140814_LNG</w:t>
    </w:r>
    <w:r w:rsidRPr="008D694F">
      <w:rPr>
        <w:noProof/>
        <w:sz w:val="20"/>
        <w:szCs w:val="20"/>
      </w:rPr>
      <w:fldChar w:fldCharType="end"/>
    </w:r>
    <w:r w:rsidRPr="008D694F">
      <w:rPr>
        <w:sz w:val="20"/>
        <w:szCs w:val="20"/>
      </w:rPr>
      <w:t xml:space="preserve">; </w:t>
    </w:r>
    <w:r w:rsidR="008D694F" w:rsidRPr="008D694F">
      <w:rPr>
        <w:sz w:val="20"/>
        <w:szCs w:val="20"/>
      </w:rPr>
      <w:t>Ministru kabineta rīkojuma „Par finanšu līdzekļu piešķiršanu no valsts budžeta programmas „Līdzekļi neparedzētiem gadījumiem””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61" w:rsidRDefault="00D04661">
      <w:r>
        <w:separator/>
      </w:r>
    </w:p>
  </w:footnote>
  <w:footnote w:type="continuationSeparator" w:id="0">
    <w:p w:rsidR="00D04661" w:rsidRDefault="00D0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F" w:rsidRDefault="007914B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BF" w:rsidRDefault="00791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F" w:rsidRDefault="007914B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CDD">
      <w:rPr>
        <w:rStyle w:val="PageNumber"/>
        <w:noProof/>
      </w:rPr>
      <w:t>5</w:t>
    </w:r>
    <w:r>
      <w:rPr>
        <w:rStyle w:val="PageNumber"/>
      </w:rPr>
      <w:fldChar w:fldCharType="end"/>
    </w:r>
  </w:p>
  <w:p w:rsidR="007914BF" w:rsidRDefault="00791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A63A19"/>
    <w:multiLevelType w:val="multilevel"/>
    <w:tmpl w:val="151AF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05F3E"/>
    <w:multiLevelType w:val="multilevel"/>
    <w:tmpl w:val="3D708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1314B4"/>
    <w:multiLevelType w:val="multilevel"/>
    <w:tmpl w:val="0418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5"/>
  </w:num>
  <w:num w:numId="4">
    <w:abstractNumId w:val="3"/>
  </w:num>
  <w:num w:numId="5">
    <w:abstractNumId w:val="0"/>
  </w:num>
  <w:num w:numId="6">
    <w:abstractNumId w:val="10"/>
  </w:num>
  <w:num w:numId="7">
    <w:abstractNumId w:val="14"/>
  </w:num>
  <w:num w:numId="8">
    <w:abstractNumId w:val="7"/>
  </w:num>
  <w:num w:numId="9">
    <w:abstractNumId w:val="4"/>
  </w:num>
  <w:num w:numId="10">
    <w:abstractNumId w:val="8"/>
  </w:num>
  <w:num w:numId="11">
    <w:abstractNumId w:val="9"/>
  </w:num>
  <w:num w:numId="12">
    <w:abstractNumId w:val="11"/>
  </w:num>
  <w:num w:numId="13">
    <w:abstractNumId w:val="12"/>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D12"/>
    <w:rsid w:val="00011D24"/>
    <w:rsid w:val="00013FF4"/>
    <w:rsid w:val="00014243"/>
    <w:rsid w:val="00015DAD"/>
    <w:rsid w:val="00017491"/>
    <w:rsid w:val="00020FE1"/>
    <w:rsid w:val="00022E13"/>
    <w:rsid w:val="00024E99"/>
    <w:rsid w:val="0002592E"/>
    <w:rsid w:val="0002737D"/>
    <w:rsid w:val="00027D55"/>
    <w:rsid w:val="00032388"/>
    <w:rsid w:val="00035CE2"/>
    <w:rsid w:val="0004756B"/>
    <w:rsid w:val="00054FAB"/>
    <w:rsid w:val="0005553B"/>
    <w:rsid w:val="000604D2"/>
    <w:rsid w:val="0006230A"/>
    <w:rsid w:val="000673D0"/>
    <w:rsid w:val="0007480F"/>
    <w:rsid w:val="00076673"/>
    <w:rsid w:val="000827B3"/>
    <w:rsid w:val="000830A5"/>
    <w:rsid w:val="00084DF8"/>
    <w:rsid w:val="0009005E"/>
    <w:rsid w:val="000941C5"/>
    <w:rsid w:val="000A6451"/>
    <w:rsid w:val="000B064E"/>
    <w:rsid w:val="000B0DB2"/>
    <w:rsid w:val="000B69CF"/>
    <w:rsid w:val="000C55AE"/>
    <w:rsid w:val="000C790C"/>
    <w:rsid w:val="000D0F86"/>
    <w:rsid w:val="000F061D"/>
    <w:rsid w:val="000F4794"/>
    <w:rsid w:val="00100A83"/>
    <w:rsid w:val="00100D5D"/>
    <w:rsid w:val="00105DA2"/>
    <w:rsid w:val="00124F12"/>
    <w:rsid w:val="001379DB"/>
    <w:rsid w:val="00140619"/>
    <w:rsid w:val="001436B8"/>
    <w:rsid w:val="00144E3A"/>
    <w:rsid w:val="00145A8D"/>
    <w:rsid w:val="00147C6C"/>
    <w:rsid w:val="0015060C"/>
    <w:rsid w:val="0016018A"/>
    <w:rsid w:val="00161987"/>
    <w:rsid w:val="00161F0E"/>
    <w:rsid w:val="00170E2A"/>
    <w:rsid w:val="0017114F"/>
    <w:rsid w:val="00175330"/>
    <w:rsid w:val="00177394"/>
    <w:rsid w:val="00180F69"/>
    <w:rsid w:val="00182C18"/>
    <w:rsid w:val="00183CC2"/>
    <w:rsid w:val="001900E4"/>
    <w:rsid w:val="00190F88"/>
    <w:rsid w:val="001955F0"/>
    <w:rsid w:val="001A14ED"/>
    <w:rsid w:val="001A1F9A"/>
    <w:rsid w:val="001A3E03"/>
    <w:rsid w:val="001A4066"/>
    <w:rsid w:val="001A6AE4"/>
    <w:rsid w:val="001B01FD"/>
    <w:rsid w:val="001B4A71"/>
    <w:rsid w:val="001B4DCE"/>
    <w:rsid w:val="001C297E"/>
    <w:rsid w:val="001D5B54"/>
    <w:rsid w:val="001E1DBF"/>
    <w:rsid w:val="001E4639"/>
    <w:rsid w:val="001E4A7D"/>
    <w:rsid w:val="001E79D5"/>
    <w:rsid w:val="001F0A5C"/>
    <w:rsid w:val="001F4209"/>
    <w:rsid w:val="001F43A8"/>
    <w:rsid w:val="001F5CD6"/>
    <w:rsid w:val="0021263D"/>
    <w:rsid w:val="00213F0C"/>
    <w:rsid w:val="00214094"/>
    <w:rsid w:val="0021592D"/>
    <w:rsid w:val="00222D76"/>
    <w:rsid w:val="00222D99"/>
    <w:rsid w:val="00223EB1"/>
    <w:rsid w:val="00227A40"/>
    <w:rsid w:val="00231344"/>
    <w:rsid w:val="0023436E"/>
    <w:rsid w:val="002347C0"/>
    <w:rsid w:val="00235180"/>
    <w:rsid w:val="00241A6C"/>
    <w:rsid w:val="00242D2B"/>
    <w:rsid w:val="00251189"/>
    <w:rsid w:val="00254A78"/>
    <w:rsid w:val="00262E2B"/>
    <w:rsid w:val="00270167"/>
    <w:rsid w:val="00270429"/>
    <w:rsid w:val="002723E9"/>
    <w:rsid w:val="00277929"/>
    <w:rsid w:val="00283B82"/>
    <w:rsid w:val="002842B0"/>
    <w:rsid w:val="002846E9"/>
    <w:rsid w:val="00284C34"/>
    <w:rsid w:val="0029066C"/>
    <w:rsid w:val="002938C9"/>
    <w:rsid w:val="002954F7"/>
    <w:rsid w:val="00295D73"/>
    <w:rsid w:val="0029724E"/>
    <w:rsid w:val="002A34DC"/>
    <w:rsid w:val="002B50DB"/>
    <w:rsid w:val="002C12AB"/>
    <w:rsid w:val="002C2374"/>
    <w:rsid w:val="002C3B5C"/>
    <w:rsid w:val="002C7CAC"/>
    <w:rsid w:val="002D3306"/>
    <w:rsid w:val="002D33E2"/>
    <w:rsid w:val="002D41DB"/>
    <w:rsid w:val="002D48AA"/>
    <w:rsid w:val="002D5E26"/>
    <w:rsid w:val="002D7BAA"/>
    <w:rsid w:val="002D7F54"/>
    <w:rsid w:val="002E3FF4"/>
    <w:rsid w:val="002E49C2"/>
    <w:rsid w:val="002F1BC6"/>
    <w:rsid w:val="002F28BB"/>
    <w:rsid w:val="002F5074"/>
    <w:rsid w:val="002F78C8"/>
    <w:rsid w:val="00301CF3"/>
    <w:rsid w:val="00301EC8"/>
    <w:rsid w:val="00303BBA"/>
    <w:rsid w:val="00303C8D"/>
    <w:rsid w:val="00313056"/>
    <w:rsid w:val="00317C9C"/>
    <w:rsid w:val="00320620"/>
    <w:rsid w:val="0032715C"/>
    <w:rsid w:val="00331E11"/>
    <w:rsid w:val="00337AAD"/>
    <w:rsid w:val="00337CA5"/>
    <w:rsid w:val="00347AD6"/>
    <w:rsid w:val="00347BFF"/>
    <w:rsid w:val="0035615B"/>
    <w:rsid w:val="00362478"/>
    <w:rsid w:val="00374AAF"/>
    <w:rsid w:val="00375B25"/>
    <w:rsid w:val="0037657B"/>
    <w:rsid w:val="0038132C"/>
    <w:rsid w:val="003821DC"/>
    <w:rsid w:val="00382BA6"/>
    <w:rsid w:val="0039593C"/>
    <w:rsid w:val="00396542"/>
    <w:rsid w:val="0039685B"/>
    <w:rsid w:val="003A0313"/>
    <w:rsid w:val="003A08C9"/>
    <w:rsid w:val="003A31A6"/>
    <w:rsid w:val="003A3F53"/>
    <w:rsid w:val="003A7F0C"/>
    <w:rsid w:val="003A7F79"/>
    <w:rsid w:val="003B3612"/>
    <w:rsid w:val="003B6404"/>
    <w:rsid w:val="003C449B"/>
    <w:rsid w:val="003D205D"/>
    <w:rsid w:val="003D21FF"/>
    <w:rsid w:val="003E088B"/>
    <w:rsid w:val="003F0112"/>
    <w:rsid w:val="003F071A"/>
    <w:rsid w:val="003F160B"/>
    <w:rsid w:val="003F6B94"/>
    <w:rsid w:val="003F7281"/>
    <w:rsid w:val="00400032"/>
    <w:rsid w:val="00400B5B"/>
    <w:rsid w:val="00401CDD"/>
    <w:rsid w:val="00405A00"/>
    <w:rsid w:val="00412B1A"/>
    <w:rsid w:val="00420870"/>
    <w:rsid w:val="0042588F"/>
    <w:rsid w:val="00432D0C"/>
    <w:rsid w:val="00435670"/>
    <w:rsid w:val="0043791B"/>
    <w:rsid w:val="00441483"/>
    <w:rsid w:val="00441BCB"/>
    <w:rsid w:val="004438C4"/>
    <w:rsid w:val="00450569"/>
    <w:rsid w:val="0045176A"/>
    <w:rsid w:val="00453480"/>
    <w:rsid w:val="00453978"/>
    <w:rsid w:val="0045509E"/>
    <w:rsid w:val="00456332"/>
    <w:rsid w:val="004601E2"/>
    <w:rsid w:val="004609EF"/>
    <w:rsid w:val="00461826"/>
    <w:rsid w:val="00477234"/>
    <w:rsid w:val="004800F9"/>
    <w:rsid w:val="0049134A"/>
    <w:rsid w:val="00496652"/>
    <w:rsid w:val="004A58CB"/>
    <w:rsid w:val="004A7193"/>
    <w:rsid w:val="004B1795"/>
    <w:rsid w:val="004B1BA7"/>
    <w:rsid w:val="004B3D87"/>
    <w:rsid w:val="004B56DD"/>
    <w:rsid w:val="004C020F"/>
    <w:rsid w:val="004C0E24"/>
    <w:rsid w:val="004C1AFD"/>
    <w:rsid w:val="004C558B"/>
    <w:rsid w:val="004E1788"/>
    <w:rsid w:val="004F1F88"/>
    <w:rsid w:val="004F5F1B"/>
    <w:rsid w:val="00502374"/>
    <w:rsid w:val="00502D91"/>
    <w:rsid w:val="00505651"/>
    <w:rsid w:val="005060A1"/>
    <w:rsid w:val="0050709A"/>
    <w:rsid w:val="00516072"/>
    <w:rsid w:val="00517BC4"/>
    <w:rsid w:val="00521E51"/>
    <w:rsid w:val="005243F3"/>
    <w:rsid w:val="00524B21"/>
    <w:rsid w:val="005332EC"/>
    <w:rsid w:val="00534418"/>
    <w:rsid w:val="005353AB"/>
    <w:rsid w:val="005425EF"/>
    <w:rsid w:val="005467D9"/>
    <w:rsid w:val="005505F0"/>
    <w:rsid w:val="005560BC"/>
    <w:rsid w:val="005573BE"/>
    <w:rsid w:val="00572700"/>
    <w:rsid w:val="00577601"/>
    <w:rsid w:val="00580468"/>
    <w:rsid w:val="00582231"/>
    <w:rsid w:val="00583CCB"/>
    <w:rsid w:val="0058603B"/>
    <w:rsid w:val="0059431B"/>
    <w:rsid w:val="005A39CC"/>
    <w:rsid w:val="005A3A0A"/>
    <w:rsid w:val="005A3AA3"/>
    <w:rsid w:val="005B4730"/>
    <w:rsid w:val="005C07B7"/>
    <w:rsid w:val="005C1C28"/>
    <w:rsid w:val="005C5D85"/>
    <w:rsid w:val="005D6F72"/>
    <w:rsid w:val="005E05D7"/>
    <w:rsid w:val="005E41E7"/>
    <w:rsid w:val="005E450F"/>
    <w:rsid w:val="005F5D49"/>
    <w:rsid w:val="005F74A9"/>
    <w:rsid w:val="00602325"/>
    <w:rsid w:val="00613D24"/>
    <w:rsid w:val="006144FB"/>
    <w:rsid w:val="006178DA"/>
    <w:rsid w:val="0062298A"/>
    <w:rsid w:val="00626514"/>
    <w:rsid w:val="00626589"/>
    <w:rsid w:val="006339A0"/>
    <w:rsid w:val="006363ED"/>
    <w:rsid w:val="00640363"/>
    <w:rsid w:val="006413A8"/>
    <w:rsid w:val="00642E56"/>
    <w:rsid w:val="0064792B"/>
    <w:rsid w:val="00651E00"/>
    <w:rsid w:val="00662E69"/>
    <w:rsid w:val="00670665"/>
    <w:rsid w:val="00670793"/>
    <w:rsid w:val="00674572"/>
    <w:rsid w:val="00674A5F"/>
    <w:rsid w:val="006816CD"/>
    <w:rsid w:val="0068384F"/>
    <w:rsid w:val="00685948"/>
    <w:rsid w:val="00687763"/>
    <w:rsid w:val="0069088B"/>
    <w:rsid w:val="00692B0D"/>
    <w:rsid w:val="00692B4C"/>
    <w:rsid w:val="00693E0E"/>
    <w:rsid w:val="006A1AE3"/>
    <w:rsid w:val="006A34D0"/>
    <w:rsid w:val="006B2BBC"/>
    <w:rsid w:val="006B7F0D"/>
    <w:rsid w:val="006C1B52"/>
    <w:rsid w:val="006C30E1"/>
    <w:rsid w:val="006C4607"/>
    <w:rsid w:val="006C4751"/>
    <w:rsid w:val="006C5B91"/>
    <w:rsid w:val="006D48F1"/>
    <w:rsid w:val="006E5629"/>
    <w:rsid w:val="006E6470"/>
    <w:rsid w:val="006F45BE"/>
    <w:rsid w:val="006F6959"/>
    <w:rsid w:val="007004FC"/>
    <w:rsid w:val="00706670"/>
    <w:rsid w:val="00711F59"/>
    <w:rsid w:val="0071247E"/>
    <w:rsid w:val="00714E55"/>
    <w:rsid w:val="00722249"/>
    <w:rsid w:val="0072417C"/>
    <w:rsid w:val="00731304"/>
    <w:rsid w:val="00734450"/>
    <w:rsid w:val="007364A9"/>
    <w:rsid w:val="00737B47"/>
    <w:rsid w:val="00745B2D"/>
    <w:rsid w:val="00745F67"/>
    <w:rsid w:val="0075039E"/>
    <w:rsid w:val="0075169A"/>
    <w:rsid w:val="0075264A"/>
    <w:rsid w:val="00752D9D"/>
    <w:rsid w:val="0075368D"/>
    <w:rsid w:val="00754784"/>
    <w:rsid w:val="00757C6E"/>
    <w:rsid w:val="00762BDA"/>
    <w:rsid w:val="00775A9F"/>
    <w:rsid w:val="00776A58"/>
    <w:rsid w:val="00776B52"/>
    <w:rsid w:val="007805FD"/>
    <w:rsid w:val="00782C25"/>
    <w:rsid w:val="00783BA8"/>
    <w:rsid w:val="00784422"/>
    <w:rsid w:val="007914BF"/>
    <w:rsid w:val="00794B0A"/>
    <w:rsid w:val="0079561D"/>
    <w:rsid w:val="007A0C7F"/>
    <w:rsid w:val="007A22F2"/>
    <w:rsid w:val="007A4702"/>
    <w:rsid w:val="007A4D78"/>
    <w:rsid w:val="007A654C"/>
    <w:rsid w:val="007B0FFD"/>
    <w:rsid w:val="007B11D2"/>
    <w:rsid w:val="007B3B54"/>
    <w:rsid w:val="007B3FA0"/>
    <w:rsid w:val="007B6D53"/>
    <w:rsid w:val="007C0F2C"/>
    <w:rsid w:val="007C2BCC"/>
    <w:rsid w:val="007C4EF0"/>
    <w:rsid w:val="007C57A1"/>
    <w:rsid w:val="007C7975"/>
    <w:rsid w:val="007D099D"/>
    <w:rsid w:val="007E01AB"/>
    <w:rsid w:val="007E2148"/>
    <w:rsid w:val="007E2664"/>
    <w:rsid w:val="007E3ABF"/>
    <w:rsid w:val="007E5BFA"/>
    <w:rsid w:val="007E6689"/>
    <w:rsid w:val="007E731C"/>
    <w:rsid w:val="007F0A03"/>
    <w:rsid w:val="007F0A1B"/>
    <w:rsid w:val="007F657E"/>
    <w:rsid w:val="00810040"/>
    <w:rsid w:val="00812031"/>
    <w:rsid w:val="00814A1D"/>
    <w:rsid w:val="00816960"/>
    <w:rsid w:val="008171B9"/>
    <w:rsid w:val="0082023A"/>
    <w:rsid w:val="00820C44"/>
    <w:rsid w:val="00821A7A"/>
    <w:rsid w:val="008253F8"/>
    <w:rsid w:val="008325E4"/>
    <w:rsid w:val="00832A2B"/>
    <w:rsid w:val="00845811"/>
    <w:rsid w:val="00846994"/>
    <w:rsid w:val="00846ACA"/>
    <w:rsid w:val="00850451"/>
    <w:rsid w:val="0085143C"/>
    <w:rsid w:val="00852042"/>
    <w:rsid w:val="008534C9"/>
    <w:rsid w:val="0085599D"/>
    <w:rsid w:val="0086492E"/>
    <w:rsid w:val="0087510C"/>
    <w:rsid w:val="00877192"/>
    <w:rsid w:val="00881A2A"/>
    <w:rsid w:val="00884BBD"/>
    <w:rsid w:val="00894B08"/>
    <w:rsid w:val="00895E87"/>
    <w:rsid w:val="008968D2"/>
    <w:rsid w:val="0089738E"/>
    <w:rsid w:val="008A48F8"/>
    <w:rsid w:val="008B0D0A"/>
    <w:rsid w:val="008B1599"/>
    <w:rsid w:val="008B5FDB"/>
    <w:rsid w:val="008B60AB"/>
    <w:rsid w:val="008C0E28"/>
    <w:rsid w:val="008C328B"/>
    <w:rsid w:val="008C50F4"/>
    <w:rsid w:val="008C5649"/>
    <w:rsid w:val="008D052E"/>
    <w:rsid w:val="008D694F"/>
    <w:rsid w:val="008D7974"/>
    <w:rsid w:val="008E20C1"/>
    <w:rsid w:val="008E44A2"/>
    <w:rsid w:val="008E697D"/>
    <w:rsid w:val="008E70C3"/>
    <w:rsid w:val="008F065F"/>
    <w:rsid w:val="008F24A7"/>
    <w:rsid w:val="00903263"/>
    <w:rsid w:val="009068B1"/>
    <w:rsid w:val="00906A21"/>
    <w:rsid w:val="009079C3"/>
    <w:rsid w:val="00910462"/>
    <w:rsid w:val="00915AB1"/>
    <w:rsid w:val="00917532"/>
    <w:rsid w:val="00917AD8"/>
    <w:rsid w:val="009235BA"/>
    <w:rsid w:val="00924023"/>
    <w:rsid w:val="00924B9A"/>
    <w:rsid w:val="00924CE2"/>
    <w:rsid w:val="00925B9F"/>
    <w:rsid w:val="00931AED"/>
    <w:rsid w:val="00932978"/>
    <w:rsid w:val="00943F6C"/>
    <w:rsid w:val="009470C8"/>
    <w:rsid w:val="009476A3"/>
    <w:rsid w:val="0095334F"/>
    <w:rsid w:val="00954594"/>
    <w:rsid w:val="009641CD"/>
    <w:rsid w:val="00964C17"/>
    <w:rsid w:val="00965897"/>
    <w:rsid w:val="0096765C"/>
    <w:rsid w:val="00971A0C"/>
    <w:rsid w:val="009727E4"/>
    <w:rsid w:val="00973E0D"/>
    <w:rsid w:val="00976139"/>
    <w:rsid w:val="0098194D"/>
    <w:rsid w:val="0098224F"/>
    <w:rsid w:val="00985624"/>
    <w:rsid w:val="009934C5"/>
    <w:rsid w:val="00993FEB"/>
    <w:rsid w:val="009949B3"/>
    <w:rsid w:val="00994C0F"/>
    <w:rsid w:val="009A2A37"/>
    <w:rsid w:val="009B0FA8"/>
    <w:rsid w:val="009B144C"/>
    <w:rsid w:val="009B22D7"/>
    <w:rsid w:val="009B6725"/>
    <w:rsid w:val="009B72ED"/>
    <w:rsid w:val="009C4EEC"/>
    <w:rsid w:val="009C6C48"/>
    <w:rsid w:val="009C6DEB"/>
    <w:rsid w:val="009D6504"/>
    <w:rsid w:val="009E0394"/>
    <w:rsid w:val="009E12D7"/>
    <w:rsid w:val="009E194F"/>
    <w:rsid w:val="009E2AB1"/>
    <w:rsid w:val="009E63E5"/>
    <w:rsid w:val="009E661A"/>
    <w:rsid w:val="009F4E68"/>
    <w:rsid w:val="009F7675"/>
    <w:rsid w:val="00A021E3"/>
    <w:rsid w:val="00A027E4"/>
    <w:rsid w:val="00A06781"/>
    <w:rsid w:val="00A074C3"/>
    <w:rsid w:val="00A113E4"/>
    <w:rsid w:val="00A14C66"/>
    <w:rsid w:val="00A1509C"/>
    <w:rsid w:val="00A1636A"/>
    <w:rsid w:val="00A1682C"/>
    <w:rsid w:val="00A249B9"/>
    <w:rsid w:val="00A34260"/>
    <w:rsid w:val="00A348EA"/>
    <w:rsid w:val="00A42329"/>
    <w:rsid w:val="00A6351C"/>
    <w:rsid w:val="00A70CFD"/>
    <w:rsid w:val="00A72A0B"/>
    <w:rsid w:val="00A72CC6"/>
    <w:rsid w:val="00A747F3"/>
    <w:rsid w:val="00A81E42"/>
    <w:rsid w:val="00A8412F"/>
    <w:rsid w:val="00A864FE"/>
    <w:rsid w:val="00A86F41"/>
    <w:rsid w:val="00A87D04"/>
    <w:rsid w:val="00A926A7"/>
    <w:rsid w:val="00A950C5"/>
    <w:rsid w:val="00AA1D25"/>
    <w:rsid w:val="00AA330C"/>
    <w:rsid w:val="00AA397C"/>
    <w:rsid w:val="00AB108E"/>
    <w:rsid w:val="00AB2B1A"/>
    <w:rsid w:val="00AB397F"/>
    <w:rsid w:val="00AB5832"/>
    <w:rsid w:val="00AC06A8"/>
    <w:rsid w:val="00AC51F2"/>
    <w:rsid w:val="00AC704C"/>
    <w:rsid w:val="00AD3269"/>
    <w:rsid w:val="00AE2B9E"/>
    <w:rsid w:val="00AE3030"/>
    <w:rsid w:val="00AE5066"/>
    <w:rsid w:val="00AE5E24"/>
    <w:rsid w:val="00AE61B7"/>
    <w:rsid w:val="00AE6CBA"/>
    <w:rsid w:val="00AE79AD"/>
    <w:rsid w:val="00AF1E84"/>
    <w:rsid w:val="00AF35E4"/>
    <w:rsid w:val="00AF48ED"/>
    <w:rsid w:val="00AF5CDE"/>
    <w:rsid w:val="00AF634B"/>
    <w:rsid w:val="00B04C92"/>
    <w:rsid w:val="00B11A57"/>
    <w:rsid w:val="00B14C45"/>
    <w:rsid w:val="00B211C3"/>
    <w:rsid w:val="00B25597"/>
    <w:rsid w:val="00B267B9"/>
    <w:rsid w:val="00B26CAF"/>
    <w:rsid w:val="00B33E09"/>
    <w:rsid w:val="00B45D71"/>
    <w:rsid w:val="00B50708"/>
    <w:rsid w:val="00B50C68"/>
    <w:rsid w:val="00B51293"/>
    <w:rsid w:val="00B52B1E"/>
    <w:rsid w:val="00B530F2"/>
    <w:rsid w:val="00B53E25"/>
    <w:rsid w:val="00B55481"/>
    <w:rsid w:val="00B56C32"/>
    <w:rsid w:val="00B57ACF"/>
    <w:rsid w:val="00B6423A"/>
    <w:rsid w:val="00B647C7"/>
    <w:rsid w:val="00B64BB1"/>
    <w:rsid w:val="00B72EFD"/>
    <w:rsid w:val="00B73166"/>
    <w:rsid w:val="00B76623"/>
    <w:rsid w:val="00B8426C"/>
    <w:rsid w:val="00B9092F"/>
    <w:rsid w:val="00B91B8D"/>
    <w:rsid w:val="00B94E90"/>
    <w:rsid w:val="00B95969"/>
    <w:rsid w:val="00B9758F"/>
    <w:rsid w:val="00BA06A0"/>
    <w:rsid w:val="00BA1120"/>
    <w:rsid w:val="00BA2F36"/>
    <w:rsid w:val="00BA7FA6"/>
    <w:rsid w:val="00BB0A82"/>
    <w:rsid w:val="00BB129A"/>
    <w:rsid w:val="00BB5510"/>
    <w:rsid w:val="00BB7C94"/>
    <w:rsid w:val="00BC0A9D"/>
    <w:rsid w:val="00BC7C2C"/>
    <w:rsid w:val="00BD22A4"/>
    <w:rsid w:val="00BD5B4C"/>
    <w:rsid w:val="00BE1FD3"/>
    <w:rsid w:val="00BE268F"/>
    <w:rsid w:val="00BF40ED"/>
    <w:rsid w:val="00BF5BC2"/>
    <w:rsid w:val="00C03E5E"/>
    <w:rsid w:val="00C1133D"/>
    <w:rsid w:val="00C140D8"/>
    <w:rsid w:val="00C15418"/>
    <w:rsid w:val="00C15FF3"/>
    <w:rsid w:val="00C23369"/>
    <w:rsid w:val="00C27A08"/>
    <w:rsid w:val="00C31312"/>
    <w:rsid w:val="00C31E36"/>
    <w:rsid w:val="00C326C6"/>
    <w:rsid w:val="00C33272"/>
    <w:rsid w:val="00C35295"/>
    <w:rsid w:val="00C35B2F"/>
    <w:rsid w:val="00C36231"/>
    <w:rsid w:val="00C36ADD"/>
    <w:rsid w:val="00C36BB5"/>
    <w:rsid w:val="00C36E74"/>
    <w:rsid w:val="00C40595"/>
    <w:rsid w:val="00C41621"/>
    <w:rsid w:val="00C449FA"/>
    <w:rsid w:val="00C45CAC"/>
    <w:rsid w:val="00C45D38"/>
    <w:rsid w:val="00C5384F"/>
    <w:rsid w:val="00C56964"/>
    <w:rsid w:val="00C6001A"/>
    <w:rsid w:val="00C656D5"/>
    <w:rsid w:val="00C66EF8"/>
    <w:rsid w:val="00C67103"/>
    <w:rsid w:val="00C71BB9"/>
    <w:rsid w:val="00C801AB"/>
    <w:rsid w:val="00C94C28"/>
    <w:rsid w:val="00CA3D9E"/>
    <w:rsid w:val="00CA7FD3"/>
    <w:rsid w:val="00CB0247"/>
    <w:rsid w:val="00CB1901"/>
    <w:rsid w:val="00CB2748"/>
    <w:rsid w:val="00CB3440"/>
    <w:rsid w:val="00CB5EA9"/>
    <w:rsid w:val="00CC1692"/>
    <w:rsid w:val="00CC7AB2"/>
    <w:rsid w:val="00CD138B"/>
    <w:rsid w:val="00CD2B5F"/>
    <w:rsid w:val="00CD3E31"/>
    <w:rsid w:val="00CD74A3"/>
    <w:rsid w:val="00CE0527"/>
    <w:rsid w:val="00CE5B23"/>
    <w:rsid w:val="00CE733D"/>
    <w:rsid w:val="00CF5EED"/>
    <w:rsid w:val="00CF70AD"/>
    <w:rsid w:val="00CF7729"/>
    <w:rsid w:val="00D00059"/>
    <w:rsid w:val="00D00E01"/>
    <w:rsid w:val="00D04661"/>
    <w:rsid w:val="00D04E34"/>
    <w:rsid w:val="00D05E59"/>
    <w:rsid w:val="00D10331"/>
    <w:rsid w:val="00D107FA"/>
    <w:rsid w:val="00D12275"/>
    <w:rsid w:val="00D12766"/>
    <w:rsid w:val="00D20FF4"/>
    <w:rsid w:val="00D24A69"/>
    <w:rsid w:val="00D24D2C"/>
    <w:rsid w:val="00D3475B"/>
    <w:rsid w:val="00D35881"/>
    <w:rsid w:val="00D36A05"/>
    <w:rsid w:val="00D36DCB"/>
    <w:rsid w:val="00D41DC9"/>
    <w:rsid w:val="00D43B35"/>
    <w:rsid w:val="00D558F7"/>
    <w:rsid w:val="00D5655B"/>
    <w:rsid w:val="00D62A7E"/>
    <w:rsid w:val="00D87F00"/>
    <w:rsid w:val="00D92D04"/>
    <w:rsid w:val="00D97C30"/>
    <w:rsid w:val="00DA0C74"/>
    <w:rsid w:val="00DA2CF0"/>
    <w:rsid w:val="00DA4756"/>
    <w:rsid w:val="00DA7DA5"/>
    <w:rsid w:val="00DB073B"/>
    <w:rsid w:val="00DB78F0"/>
    <w:rsid w:val="00DC090D"/>
    <w:rsid w:val="00DC0CEA"/>
    <w:rsid w:val="00DC189F"/>
    <w:rsid w:val="00DC2E43"/>
    <w:rsid w:val="00DD095C"/>
    <w:rsid w:val="00DD1020"/>
    <w:rsid w:val="00DD1330"/>
    <w:rsid w:val="00DD7423"/>
    <w:rsid w:val="00DE04C5"/>
    <w:rsid w:val="00DE0B83"/>
    <w:rsid w:val="00DE1A81"/>
    <w:rsid w:val="00DE1C13"/>
    <w:rsid w:val="00DE4190"/>
    <w:rsid w:val="00DE4E10"/>
    <w:rsid w:val="00DF37A2"/>
    <w:rsid w:val="00DF60C4"/>
    <w:rsid w:val="00E00691"/>
    <w:rsid w:val="00E02ABF"/>
    <w:rsid w:val="00E06A9F"/>
    <w:rsid w:val="00E13D72"/>
    <w:rsid w:val="00E14568"/>
    <w:rsid w:val="00E14995"/>
    <w:rsid w:val="00E15BE7"/>
    <w:rsid w:val="00E16BF4"/>
    <w:rsid w:val="00E179CD"/>
    <w:rsid w:val="00E201F9"/>
    <w:rsid w:val="00E20DB5"/>
    <w:rsid w:val="00E23E8D"/>
    <w:rsid w:val="00E314BC"/>
    <w:rsid w:val="00E37F98"/>
    <w:rsid w:val="00E46559"/>
    <w:rsid w:val="00E57D9B"/>
    <w:rsid w:val="00E66111"/>
    <w:rsid w:val="00E6670C"/>
    <w:rsid w:val="00E76759"/>
    <w:rsid w:val="00E776E8"/>
    <w:rsid w:val="00E828FE"/>
    <w:rsid w:val="00E84D5C"/>
    <w:rsid w:val="00E92AFF"/>
    <w:rsid w:val="00E92C1F"/>
    <w:rsid w:val="00E92EB4"/>
    <w:rsid w:val="00E95D4B"/>
    <w:rsid w:val="00E97501"/>
    <w:rsid w:val="00EA2670"/>
    <w:rsid w:val="00EA68CD"/>
    <w:rsid w:val="00EB10C9"/>
    <w:rsid w:val="00EB199F"/>
    <w:rsid w:val="00EB1BA3"/>
    <w:rsid w:val="00EB425F"/>
    <w:rsid w:val="00EB5562"/>
    <w:rsid w:val="00EB6692"/>
    <w:rsid w:val="00EB707A"/>
    <w:rsid w:val="00EC1157"/>
    <w:rsid w:val="00EC23F7"/>
    <w:rsid w:val="00EC4BD8"/>
    <w:rsid w:val="00EC63EB"/>
    <w:rsid w:val="00ED412F"/>
    <w:rsid w:val="00ED4F1A"/>
    <w:rsid w:val="00ED77E3"/>
    <w:rsid w:val="00EE5F38"/>
    <w:rsid w:val="00EE7D40"/>
    <w:rsid w:val="00EF0304"/>
    <w:rsid w:val="00EF1E21"/>
    <w:rsid w:val="00EF36B2"/>
    <w:rsid w:val="00EF7D5B"/>
    <w:rsid w:val="00F02AD9"/>
    <w:rsid w:val="00F1246B"/>
    <w:rsid w:val="00F17A2D"/>
    <w:rsid w:val="00F17AE5"/>
    <w:rsid w:val="00F201EC"/>
    <w:rsid w:val="00F208A9"/>
    <w:rsid w:val="00F2405D"/>
    <w:rsid w:val="00F2601A"/>
    <w:rsid w:val="00F32AEB"/>
    <w:rsid w:val="00F41D75"/>
    <w:rsid w:val="00F4212F"/>
    <w:rsid w:val="00F42C63"/>
    <w:rsid w:val="00F5139D"/>
    <w:rsid w:val="00F53512"/>
    <w:rsid w:val="00F55133"/>
    <w:rsid w:val="00F55D74"/>
    <w:rsid w:val="00F56018"/>
    <w:rsid w:val="00F56888"/>
    <w:rsid w:val="00F622E1"/>
    <w:rsid w:val="00F63DAC"/>
    <w:rsid w:val="00F730E9"/>
    <w:rsid w:val="00F7454F"/>
    <w:rsid w:val="00F77988"/>
    <w:rsid w:val="00F77F48"/>
    <w:rsid w:val="00F94DB8"/>
    <w:rsid w:val="00F95C15"/>
    <w:rsid w:val="00FB30F1"/>
    <w:rsid w:val="00FB53E7"/>
    <w:rsid w:val="00FC6D78"/>
    <w:rsid w:val="00FD209F"/>
    <w:rsid w:val="00FD2501"/>
    <w:rsid w:val="00FD29AC"/>
    <w:rsid w:val="00FD2A8A"/>
    <w:rsid w:val="00FD378F"/>
    <w:rsid w:val="00FE0275"/>
    <w:rsid w:val="00FE5CD9"/>
    <w:rsid w:val="00FF1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link w:val="naisfChar"/>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semiHidden/>
    <w:locked/>
    <w:rsid w:val="0079561D"/>
    <w:rPr>
      <w:sz w:val="24"/>
      <w:szCs w:val="24"/>
      <w:lang w:val="lv-LV" w:eastAsia="lv-LV" w:bidi="ar-SA"/>
    </w:rPr>
  </w:style>
  <w:style w:type="paragraph" w:styleId="NormalWeb">
    <w:name w:val="Normal (Web)"/>
    <w:basedOn w:val="Normal"/>
    <w:rsid w:val="0079561D"/>
    <w:pPr>
      <w:spacing w:before="100" w:beforeAutospacing="1" w:after="100" w:afterAutospacing="1"/>
    </w:pPr>
  </w:style>
  <w:style w:type="character" w:customStyle="1" w:styleId="naisfChar">
    <w:name w:val="naisf Char"/>
    <w:link w:val="naisf"/>
    <w:locked/>
    <w:rsid w:val="0079561D"/>
    <w:rPr>
      <w:sz w:val="24"/>
      <w:szCs w:val="24"/>
      <w:lang w:val="lv-LV" w:eastAsia="lv-LV" w:bidi="ar-SA"/>
    </w:rPr>
  </w:style>
  <w:style w:type="character" w:customStyle="1" w:styleId="StyleStrong12ptNotBold">
    <w:name w:val="Style Strong + 12 pt Not Bold"/>
    <w:rsid w:val="002C2374"/>
    <w:rPr>
      <w:rFonts w:ascii="Times New Roman" w:hAnsi="Times New Roman"/>
      <w:sz w:val="24"/>
    </w:rPr>
  </w:style>
  <w:style w:type="paragraph" w:customStyle="1" w:styleId="zvabri">
    <w:name w:val="zvabri"/>
    <w:basedOn w:val="Normal"/>
    <w:rsid w:val="005425EF"/>
    <w:pPr>
      <w:spacing w:before="100" w:beforeAutospacing="1" w:after="100" w:afterAutospacing="1"/>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link w:val="naisfChar"/>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semiHidden/>
    <w:locked/>
    <w:rsid w:val="0079561D"/>
    <w:rPr>
      <w:sz w:val="24"/>
      <w:szCs w:val="24"/>
      <w:lang w:val="lv-LV" w:eastAsia="lv-LV" w:bidi="ar-SA"/>
    </w:rPr>
  </w:style>
  <w:style w:type="paragraph" w:styleId="NormalWeb">
    <w:name w:val="Normal (Web)"/>
    <w:basedOn w:val="Normal"/>
    <w:rsid w:val="0079561D"/>
    <w:pPr>
      <w:spacing w:before="100" w:beforeAutospacing="1" w:after="100" w:afterAutospacing="1"/>
    </w:pPr>
  </w:style>
  <w:style w:type="character" w:customStyle="1" w:styleId="naisfChar">
    <w:name w:val="naisf Char"/>
    <w:link w:val="naisf"/>
    <w:locked/>
    <w:rsid w:val="0079561D"/>
    <w:rPr>
      <w:sz w:val="24"/>
      <w:szCs w:val="24"/>
      <w:lang w:val="lv-LV" w:eastAsia="lv-LV" w:bidi="ar-SA"/>
    </w:rPr>
  </w:style>
  <w:style w:type="character" w:customStyle="1" w:styleId="StyleStrong12ptNotBold">
    <w:name w:val="Style Strong + 12 pt Not Bold"/>
    <w:rsid w:val="002C2374"/>
    <w:rPr>
      <w:rFonts w:ascii="Times New Roman" w:hAnsi="Times New Roman"/>
      <w:sz w:val="24"/>
    </w:rPr>
  </w:style>
  <w:style w:type="paragraph" w:customStyle="1" w:styleId="zvabri">
    <w:name w:val="zvabri"/>
    <w:basedOn w:val="Normal"/>
    <w:rsid w:val="005425EF"/>
    <w:pPr>
      <w:spacing w:before="100" w:beforeAutospacing="1" w:after="100" w:afterAutospacing="1"/>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52">
      <w:bodyDiv w:val="1"/>
      <w:marLeft w:val="0"/>
      <w:marRight w:val="0"/>
      <w:marTop w:val="0"/>
      <w:marBottom w:val="0"/>
      <w:divBdr>
        <w:top w:val="none" w:sz="0" w:space="0" w:color="auto"/>
        <w:left w:val="none" w:sz="0" w:space="0" w:color="auto"/>
        <w:bottom w:val="none" w:sz="0" w:space="0" w:color="auto"/>
        <w:right w:val="none" w:sz="0" w:space="0" w:color="auto"/>
      </w:divBdr>
      <w:divsChild>
        <w:div w:id="1326665750">
          <w:marLeft w:val="0"/>
          <w:marRight w:val="0"/>
          <w:marTop w:val="0"/>
          <w:marBottom w:val="0"/>
          <w:divBdr>
            <w:top w:val="none" w:sz="0" w:space="0" w:color="auto"/>
            <w:left w:val="none" w:sz="0" w:space="0" w:color="auto"/>
            <w:bottom w:val="none" w:sz="0" w:space="0" w:color="auto"/>
            <w:right w:val="none" w:sz="0" w:space="0" w:color="auto"/>
          </w:divBdr>
          <w:divsChild>
            <w:div w:id="2064910555">
              <w:marLeft w:val="0"/>
              <w:marRight w:val="0"/>
              <w:marTop w:val="0"/>
              <w:marBottom w:val="0"/>
              <w:divBdr>
                <w:top w:val="none" w:sz="0" w:space="0" w:color="auto"/>
                <w:left w:val="none" w:sz="0" w:space="0" w:color="auto"/>
                <w:bottom w:val="none" w:sz="0" w:space="0" w:color="auto"/>
                <w:right w:val="none" w:sz="0" w:space="0" w:color="auto"/>
              </w:divBdr>
              <w:divsChild>
                <w:div w:id="1525250146">
                  <w:marLeft w:val="0"/>
                  <w:marRight w:val="0"/>
                  <w:marTop w:val="0"/>
                  <w:marBottom w:val="0"/>
                  <w:divBdr>
                    <w:top w:val="none" w:sz="0" w:space="0" w:color="auto"/>
                    <w:left w:val="none" w:sz="0" w:space="0" w:color="auto"/>
                    <w:bottom w:val="none" w:sz="0" w:space="0" w:color="auto"/>
                    <w:right w:val="none" w:sz="0" w:space="0" w:color="auto"/>
                  </w:divBdr>
                  <w:divsChild>
                    <w:div w:id="1980065341">
                      <w:marLeft w:val="0"/>
                      <w:marRight w:val="0"/>
                      <w:marTop w:val="0"/>
                      <w:marBottom w:val="0"/>
                      <w:divBdr>
                        <w:top w:val="none" w:sz="0" w:space="0" w:color="auto"/>
                        <w:left w:val="none" w:sz="0" w:space="0" w:color="auto"/>
                        <w:bottom w:val="none" w:sz="0" w:space="0" w:color="auto"/>
                        <w:right w:val="none" w:sz="0" w:space="0" w:color="auto"/>
                      </w:divBdr>
                      <w:divsChild>
                        <w:div w:id="1154876713">
                          <w:marLeft w:val="0"/>
                          <w:marRight w:val="0"/>
                          <w:marTop w:val="300"/>
                          <w:marBottom w:val="0"/>
                          <w:divBdr>
                            <w:top w:val="none" w:sz="0" w:space="0" w:color="auto"/>
                            <w:left w:val="none" w:sz="0" w:space="0" w:color="auto"/>
                            <w:bottom w:val="none" w:sz="0" w:space="0" w:color="auto"/>
                            <w:right w:val="none" w:sz="0" w:space="0" w:color="auto"/>
                          </w:divBdr>
                          <w:divsChild>
                            <w:div w:id="3249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7106">
      <w:bodyDiv w:val="1"/>
      <w:marLeft w:val="0"/>
      <w:marRight w:val="0"/>
      <w:marTop w:val="0"/>
      <w:marBottom w:val="0"/>
      <w:divBdr>
        <w:top w:val="none" w:sz="0" w:space="0" w:color="auto"/>
        <w:left w:val="none" w:sz="0" w:space="0" w:color="auto"/>
        <w:bottom w:val="none" w:sz="0" w:space="0" w:color="auto"/>
        <w:right w:val="none" w:sz="0" w:space="0" w:color="auto"/>
      </w:divBdr>
      <w:divsChild>
        <w:div w:id="129059215">
          <w:marLeft w:val="0"/>
          <w:marRight w:val="0"/>
          <w:marTop w:val="45"/>
          <w:marBottom w:val="45"/>
          <w:divBdr>
            <w:top w:val="none" w:sz="0" w:space="0" w:color="auto"/>
            <w:left w:val="none" w:sz="0" w:space="0" w:color="auto"/>
            <w:bottom w:val="none" w:sz="0" w:space="0" w:color="auto"/>
            <w:right w:val="none" w:sz="0" w:space="0" w:color="auto"/>
          </w:divBdr>
          <w:divsChild>
            <w:div w:id="609050691">
              <w:marLeft w:val="0"/>
              <w:marRight w:val="0"/>
              <w:marTop w:val="0"/>
              <w:marBottom w:val="0"/>
              <w:divBdr>
                <w:top w:val="none" w:sz="0" w:space="0" w:color="auto"/>
                <w:left w:val="none" w:sz="0" w:space="0" w:color="auto"/>
                <w:bottom w:val="none" w:sz="0" w:space="0" w:color="auto"/>
                <w:right w:val="none" w:sz="0" w:space="0" w:color="auto"/>
              </w:divBdr>
              <w:divsChild>
                <w:div w:id="535050078">
                  <w:marLeft w:val="0"/>
                  <w:marRight w:val="0"/>
                  <w:marTop w:val="0"/>
                  <w:marBottom w:val="0"/>
                  <w:divBdr>
                    <w:top w:val="none" w:sz="0" w:space="0" w:color="auto"/>
                    <w:left w:val="none" w:sz="0" w:space="0" w:color="auto"/>
                    <w:bottom w:val="none" w:sz="0" w:space="0" w:color="auto"/>
                    <w:right w:val="none" w:sz="0" w:space="0" w:color="auto"/>
                  </w:divBdr>
                  <w:divsChild>
                    <w:div w:id="1303584784">
                      <w:marLeft w:val="0"/>
                      <w:marRight w:val="0"/>
                      <w:marTop w:val="0"/>
                      <w:marBottom w:val="0"/>
                      <w:divBdr>
                        <w:top w:val="none" w:sz="0" w:space="0" w:color="auto"/>
                        <w:left w:val="none" w:sz="0" w:space="0" w:color="auto"/>
                        <w:bottom w:val="none" w:sz="0" w:space="0" w:color="auto"/>
                        <w:right w:val="none" w:sz="0" w:space="0" w:color="auto"/>
                      </w:divBdr>
                      <w:divsChild>
                        <w:div w:id="192420584">
                          <w:marLeft w:val="0"/>
                          <w:marRight w:val="0"/>
                          <w:marTop w:val="0"/>
                          <w:marBottom w:val="0"/>
                          <w:divBdr>
                            <w:top w:val="none" w:sz="0" w:space="0" w:color="auto"/>
                            <w:left w:val="none" w:sz="0" w:space="0" w:color="auto"/>
                            <w:bottom w:val="none" w:sz="0" w:space="0" w:color="auto"/>
                            <w:right w:val="none" w:sz="0" w:space="0" w:color="auto"/>
                          </w:divBdr>
                          <w:divsChild>
                            <w:div w:id="438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29789">
      <w:bodyDiv w:val="1"/>
      <w:marLeft w:val="0"/>
      <w:marRight w:val="0"/>
      <w:marTop w:val="0"/>
      <w:marBottom w:val="0"/>
      <w:divBdr>
        <w:top w:val="none" w:sz="0" w:space="0" w:color="auto"/>
        <w:left w:val="none" w:sz="0" w:space="0" w:color="auto"/>
        <w:bottom w:val="none" w:sz="0" w:space="0" w:color="auto"/>
        <w:right w:val="none" w:sz="0" w:space="0" w:color="auto"/>
      </w:divBdr>
    </w:div>
    <w:div w:id="680163354">
      <w:bodyDiv w:val="1"/>
      <w:marLeft w:val="0"/>
      <w:marRight w:val="0"/>
      <w:marTop w:val="0"/>
      <w:marBottom w:val="0"/>
      <w:divBdr>
        <w:top w:val="none" w:sz="0" w:space="0" w:color="auto"/>
        <w:left w:val="none" w:sz="0" w:space="0" w:color="auto"/>
        <w:bottom w:val="none" w:sz="0" w:space="0" w:color="auto"/>
        <w:right w:val="none" w:sz="0" w:space="0" w:color="auto"/>
      </w:divBdr>
      <w:divsChild>
        <w:div w:id="1555123290">
          <w:marLeft w:val="0"/>
          <w:marRight w:val="0"/>
          <w:marTop w:val="45"/>
          <w:marBottom w:val="45"/>
          <w:divBdr>
            <w:top w:val="none" w:sz="0" w:space="0" w:color="auto"/>
            <w:left w:val="none" w:sz="0" w:space="0" w:color="auto"/>
            <w:bottom w:val="none" w:sz="0" w:space="0" w:color="auto"/>
            <w:right w:val="none" w:sz="0" w:space="0" w:color="auto"/>
          </w:divBdr>
          <w:divsChild>
            <w:div w:id="905726840">
              <w:marLeft w:val="0"/>
              <w:marRight w:val="0"/>
              <w:marTop w:val="0"/>
              <w:marBottom w:val="0"/>
              <w:divBdr>
                <w:top w:val="none" w:sz="0" w:space="0" w:color="auto"/>
                <w:left w:val="none" w:sz="0" w:space="0" w:color="auto"/>
                <w:bottom w:val="none" w:sz="0" w:space="0" w:color="auto"/>
                <w:right w:val="none" w:sz="0" w:space="0" w:color="auto"/>
              </w:divBdr>
              <w:divsChild>
                <w:div w:id="823619910">
                  <w:marLeft w:val="0"/>
                  <w:marRight w:val="0"/>
                  <w:marTop w:val="0"/>
                  <w:marBottom w:val="0"/>
                  <w:divBdr>
                    <w:top w:val="none" w:sz="0" w:space="0" w:color="auto"/>
                    <w:left w:val="none" w:sz="0" w:space="0" w:color="auto"/>
                    <w:bottom w:val="none" w:sz="0" w:space="0" w:color="auto"/>
                    <w:right w:val="none" w:sz="0" w:space="0" w:color="auto"/>
                  </w:divBdr>
                  <w:divsChild>
                    <w:div w:id="72510072">
                      <w:marLeft w:val="0"/>
                      <w:marRight w:val="0"/>
                      <w:marTop w:val="0"/>
                      <w:marBottom w:val="0"/>
                      <w:divBdr>
                        <w:top w:val="none" w:sz="0" w:space="0" w:color="auto"/>
                        <w:left w:val="none" w:sz="0" w:space="0" w:color="auto"/>
                        <w:bottom w:val="none" w:sz="0" w:space="0" w:color="auto"/>
                        <w:right w:val="none" w:sz="0" w:space="0" w:color="auto"/>
                      </w:divBdr>
                      <w:divsChild>
                        <w:div w:id="440272209">
                          <w:marLeft w:val="0"/>
                          <w:marRight w:val="0"/>
                          <w:marTop w:val="0"/>
                          <w:marBottom w:val="0"/>
                          <w:divBdr>
                            <w:top w:val="none" w:sz="0" w:space="0" w:color="auto"/>
                            <w:left w:val="none" w:sz="0" w:space="0" w:color="auto"/>
                            <w:bottom w:val="none" w:sz="0" w:space="0" w:color="auto"/>
                            <w:right w:val="none" w:sz="0" w:space="0" w:color="auto"/>
                          </w:divBdr>
                          <w:divsChild>
                            <w:div w:id="661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Straus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7655-B2C9-49E1-ABA3-CE2A2FC0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1606</Words>
  <Characters>10572</Characters>
  <Application>Microsoft Office Word</Application>
  <DocSecurity>0</DocSecurity>
  <Lines>440</Lines>
  <Paragraphs>206</Paragraphs>
  <ScaleCrop>false</ScaleCrop>
  <HeadingPairs>
    <vt:vector size="2" baseType="variant">
      <vt:variant>
        <vt:lpstr>Title</vt:lpstr>
      </vt:variant>
      <vt:variant>
        <vt:i4>1</vt:i4>
      </vt:variant>
    </vt:vector>
  </HeadingPairs>
  <TitlesOfParts>
    <vt:vector size="1" baseType="lpstr">
      <vt:lpstr>Ministru kabineta rīkojuma „Par grozījumu Ministru kabineta 2013.gada 11.decembra rīkojumā Nr.610 „Par vienreizēju kompensāciju piešķiršanu sakarā ar traģēdiju Priedaines ielā 20, Rīgā” projekta sākotnējās ietekmes novērtējuma ziņojums (anotācija)</vt:lpstr>
    </vt:vector>
  </TitlesOfParts>
  <Company>LM</Company>
  <LinksUpToDate>false</LinksUpToDate>
  <CharactersWithSpaces>11972</CharactersWithSpaces>
  <SharedDoc>false</SharedDoc>
  <HLinks>
    <vt:vector size="6" baseType="variant">
      <vt:variant>
        <vt:i4>3997722</vt:i4>
      </vt:variant>
      <vt:variant>
        <vt:i4>0</vt:i4>
      </vt:variant>
      <vt:variant>
        <vt:i4>0</vt:i4>
      </vt:variant>
      <vt:variant>
        <vt:i4>5</vt:i4>
      </vt:variant>
      <vt:variant>
        <vt:lpwstr>mailto:Mara.Krumpane@lm.gov.lv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sākotnējās ietekmes novērtējuma ziņojums (anotācija)</dc:title>
  <dc:subject>Anotācija</dc:subject>
  <dc:creator>Ilze Štrausa</dc:creator>
  <cp:keywords>LMAnot_140814_LNG</cp:keywords>
  <dc:description>Ilze Štrausa
Labklājības ministrijas 
Finanšu vadības departamenta
Vadošā finansiste
tālr.67021636
Ilze.Strausa@lm.gov.lv</dc:description>
  <cp:lastModifiedBy>Ilze Štrausa</cp:lastModifiedBy>
  <cp:revision>7</cp:revision>
  <cp:lastPrinted>2014-07-10T09:00:00Z</cp:lastPrinted>
  <dcterms:created xsi:type="dcterms:W3CDTF">2014-08-14T05:07:00Z</dcterms:created>
  <dcterms:modified xsi:type="dcterms:W3CDTF">2014-08-14T07:48:00Z</dcterms:modified>
</cp:coreProperties>
</file>