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83C" w:rsidRPr="008D5A46" w:rsidRDefault="00A9683C" w:rsidP="00A9683C">
      <w:pPr>
        <w:spacing w:after="0" w:line="240" w:lineRule="auto"/>
        <w:ind w:right="-625"/>
        <w:jc w:val="center"/>
        <w:rPr>
          <w:rFonts w:ascii="Times New Roman" w:hAnsi="Times New Roman" w:cs="Times New Roman"/>
          <w:b/>
          <w:sz w:val="24"/>
          <w:szCs w:val="24"/>
        </w:rPr>
      </w:pPr>
      <w:bookmarkStart w:id="0" w:name="_GoBack"/>
      <w:bookmarkEnd w:id="0"/>
      <w:r w:rsidRPr="008D5A46">
        <w:rPr>
          <w:rFonts w:ascii="Times New Roman" w:hAnsi="Times New Roman" w:cs="Times New Roman"/>
          <w:b/>
          <w:sz w:val="24"/>
          <w:szCs w:val="24"/>
        </w:rPr>
        <w:t xml:space="preserve">Ministru kabineta rīkojuma „Par apropriācijas pārdali Valsts sociālās apdrošināšanas aģentūras </w:t>
      </w:r>
      <w:r w:rsidR="00F16092">
        <w:rPr>
          <w:rFonts w:ascii="Times New Roman" w:hAnsi="Times New Roman" w:cs="Times New Roman"/>
          <w:b/>
          <w:sz w:val="24"/>
          <w:szCs w:val="24"/>
        </w:rPr>
        <w:t>funkcijas</w:t>
      </w:r>
      <w:r w:rsidRPr="008D5A46">
        <w:rPr>
          <w:rFonts w:ascii="Times New Roman" w:hAnsi="Times New Roman" w:cs="Times New Roman"/>
          <w:b/>
          <w:sz w:val="24"/>
          <w:szCs w:val="24"/>
        </w:rPr>
        <w:t xml:space="preserve"> nodrošināšanai” projekta sākotnējās ietekmes novērtējuma ziņojums (anotācija)</w:t>
      </w:r>
    </w:p>
    <w:p w:rsidR="00FE2CEF" w:rsidRPr="009031B9" w:rsidRDefault="00FE2CEF" w:rsidP="00FE2CEF">
      <w:pPr>
        <w:shd w:val="clear" w:color="auto" w:fill="FFFFFF"/>
        <w:spacing w:before="45" w:after="0" w:line="248" w:lineRule="atLeast"/>
        <w:ind w:firstLine="300"/>
        <w:jc w:val="center"/>
        <w:rPr>
          <w:rFonts w:ascii="Arial" w:eastAsia="Times New Roman" w:hAnsi="Arial" w:cs="Arial"/>
          <w:i/>
          <w:iCs/>
          <w:sz w:val="20"/>
          <w:szCs w:val="20"/>
          <w:lang w:eastAsia="lv-LV"/>
        </w:rPr>
      </w:pPr>
    </w:p>
    <w:tbl>
      <w:tblPr>
        <w:tblW w:w="6586" w:type="pct"/>
        <w:jc w:val="center"/>
        <w:tblInd w:w="-14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3"/>
        <w:gridCol w:w="1595"/>
        <w:gridCol w:w="9293"/>
      </w:tblGrid>
      <w:tr w:rsidR="009031B9" w:rsidRPr="009031B9" w:rsidTr="0087153D">
        <w:trPr>
          <w:trHeight w:val="783"/>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E2CEF" w:rsidRPr="009031B9" w:rsidRDefault="00FE2CEF" w:rsidP="00AF6A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9031B9">
              <w:rPr>
                <w:rFonts w:ascii="Times New Roman" w:eastAsia="Times New Roman" w:hAnsi="Times New Roman" w:cs="Times New Roman"/>
                <w:b/>
                <w:bCs/>
                <w:sz w:val="24"/>
                <w:szCs w:val="24"/>
                <w:lang w:eastAsia="lv-LV"/>
              </w:rPr>
              <w:t>I. Tiesību akta projekta izstrādes nepieciešamība</w:t>
            </w:r>
          </w:p>
        </w:tc>
      </w:tr>
      <w:tr w:rsidR="0087153D" w:rsidRPr="009031B9" w:rsidTr="0087153D">
        <w:trPr>
          <w:trHeight w:val="405"/>
          <w:jc w:val="center"/>
        </w:trPr>
        <w:tc>
          <w:tcPr>
            <w:tcW w:w="174" w:type="pct"/>
            <w:tcBorders>
              <w:top w:val="outset" w:sz="6" w:space="0" w:color="414142"/>
              <w:left w:val="outset" w:sz="6" w:space="0" w:color="414142"/>
              <w:bottom w:val="outset" w:sz="6" w:space="0" w:color="414142"/>
              <w:right w:val="outset" w:sz="6" w:space="0" w:color="414142"/>
            </w:tcBorders>
            <w:hideMark/>
          </w:tcPr>
          <w:p w:rsidR="00FE2CEF" w:rsidRPr="009031B9"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031B9">
              <w:rPr>
                <w:rFonts w:ascii="Times New Roman" w:eastAsia="Times New Roman" w:hAnsi="Times New Roman" w:cs="Times New Roman"/>
                <w:sz w:val="24"/>
                <w:szCs w:val="24"/>
                <w:lang w:eastAsia="lv-LV"/>
              </w:rPr>
              <w:t>1.</w:t>
            </w:r>
          </w:p>
        </w:tc>
        <w:tc>
          <w:tcPr>
            <w:tcW w:w="707" w:type="pct"/>
            <w:tcBorders>
              <w:top w:val="outset" w:sz="6" w:space="0" w:color="414142"/>
              <w:left w:val="outset" w:sz="6" w:space="0" w:color="414142"/>
              <w:bottom w:val="outset" w:sz="6" w:space="0" w:color="414142"/>
              <w:right w:val="outset" w:sz="6" w:space="0" w:color="414142"/>
            </w:tcBorders>
            <w:hideMark/>
          </w:tcPr>
          <w:p w:rsidR="00FE2CEF" w:rsidRPr="009031B9" w:rsidRDefault="00FE2CEF" w:rsidP="00AF6A8F">
            <w:pPr>
              <w:spacing w:after="0" w:line="240" w:lineRule="auto"/>
              <w:rPr>
                <w:rFonts w:ascii="Times New Roman" w:eastAsia="Times New Roman" w:hAnsi="Times New Roman" w:cs="Times New Roman"/>
                <w:sz w:val="24"/>
                <w:szCs w:val="24"/>
                <w:lang w:eastAsia="lv-LV"/>
              </w:rPr>
            </w:pPr>
            <w:r w:rsidRPr="009031B9">
              <w:rPr>
                <w:rFonts w:ascii="Times New Roman" w:eastAsia="Times New Roman" w:hAnsi="Times New Roman" w:cs="Times New Roman"/>
                <w:sz w:val="24"/>
                <w:szCs w:val="24"/>
                <w:lang w:eastAsia="lv-LV"/>
              </w:rPr>
              <w:t>Pamatojums</w:t>
            </w:r>
          </w:p>
        </w:tc>
        <w:tc>
          <w:tcPr>
            <w:tcW w:w="4119" w:type="pct"/>
            <w:tcBorders>
              <w:top w:val="outset" w:sz="6" w:space="0" w:color="414142"/>
              <w:left w:val="outset" w:sz="6" w:space="0" w:color="414142"/>
              <w:bottom w:val="outset" w:sz="6" w:space="0" w:color="414142"/>
              <w:right w:val="outset" w:sz="6" w:space="0" w:color="414142"/>
            </w:tcBorders>
            <w:hideMark/>
          </w:tcPr>
          <w:p w:rsidR="00A9683C" w:rsidRPr="009031B9" w:rsidRDefault="00A9683C" w:rsidP="00A9683C">
            <w:pPr>
              <w:pStyle w:val="naiskr"/>
              <w:spacing w:before="0" w:after="0"/>
              <w:jc w:val="both"/>
            </w:pPr>
            <w:r w:rsidRPr="009031B9">
              <w:t xml:space="preserve">Ministru kabineta rīkojuma projekts „Par apropriācijas pārdali Valsts sociālās apdrošināšanas aģentūras </w:t>
            </w:r>
            <w:r w:rsidR="00917AF6">
              <w:t>funkcijas</w:t>
            </w:r>
            <w:r w:rsidRPr="009031B9">
              <w:t xml:space="preserve"> nodrošināšanai” (turpmāk – </w:t>
            </w:r>
            <w:r w:rsidR="00C82A95">
              <w:t>Ministru kabineta</w:t>
            </w:r>
            <w:r w:rsidR="00732506">
              <w:t xml:space="preserve"> </w:t>
            </w:r>
            <w:r w:rsidRPr="009031B9">
              <w:t>rīkojuma projekts) sagatavots, pamatojoties uz:</w:t>
            </w:r>
          </w:p>
          <w:p w:rsidR="00A9683C" w:rsidRPr="009031B9" w:rsidRDefault="00A9683C" w:rsidP="00A9683C">
            <w:pPr>
              <w:pStyle w:val="naiskr"/>
              <w:numPr>
                <w:ilvl w:val="0"/>
                <w:numId w:val="11"/>
              </w:numPr>
              <w:spacing w:before="0" w:after="0"/>
              <w:jc w:val="both"/>
            </w:pPr>
            <w:r w:rsidRPr="009031B9">
              <w:t>2013.gada 23.maija grozījumiem Civilprocesa likuma 551.panta pirmajā daļā;</w:t>
            </w:r>
          </w:p>
          <w:p w:rsidR="00A9683C" w:rsidRPr="009031B9" w:rsidRDefault="00E33B73" w:rsidP="00A9683C">
            <w:pPr>
              <w:pStyle w:val="naiskr"/>
              <w:numPr>
                <w:ilvl w:val="0"/>
                <w:numId w:val="11"/>
              </w:numPr>
              <w:spacing w:before="0" w:after="0"/>
              <w:jc w:val="both"/>
            </w:pPr>
            <w:r>
              <w:t>L</w:t>
            </w:r>
            <w:r w:rsidR="00A9683C" w:rsidRPr="009031B9">
              <w:t xml:space="preserve">ikuma </w:t>
            </w:r>
            <w:r>
              <w:t>p</w:t>
            </w:r>
            <w:r w:rsidR="00A9683C" w:rsidRPr="009031B9">
              <w:t>ar budžetu un finanšu vadību” 9.panta trīspadsmitās daļas 1.punktu;</w:t>
            </w:r>
          </w:p>
          <w:p w:rsidR="00A9683C" w:rsidRPr="009031B9" w:rsidRDefault="00E33B73" w:rsidP="00A9683C">
            <w:pPr>
              <w:pStyle w:val="naiskr"/>
              <w:numPr>
                <w:ilvl w:val="0"/>
                <w:numId w:val="11"/>
              </w:numPr>
              <w:spacing w:before="0" w:after="0"/>
              <w:jc w:val="both"/>
            </w:pPr>
            <w:r>
              <w:t>L</w:t>
            </w:r>
            <w:r w:rsidRPr="009031B9">
              <w:t xml:space="preserve">ikuma </w:t>
            </w:r>
            <w:r>
              <w:t>p</w:t>
            </w:r>
            <w:r w:rsidRPr="009031B9">
              <w:t xml:space="preserve">ar </w:t>
            </w:r>
            <w:r w:rsidR="00A9683C" w:rsidRPr="009031B9">
              <w:t xml:space="preserve">budžetu un finanšu vadību” 9.panta trīspadsmit </w:t>
            </w:r>
            <w:proofErr w:type="spellStart"/>
            <w:r w:rsidR="00A9683C" w:rsidRPr="009031B9">
              <w:t>prim</w:t>
            </w:r>
            <w:proofErr w:type="spellEnd"/>
            <w:r w:rsidR="00A9683C" w:rsidRPr="009031B9">
              <w:t xml:space="preserve"> daļas 1.punktu;</w:t>
            </w:r>
          </w:p>
          <w:p w:rsidR="00A9683C" w:rsidRPr="009031B9" w:rsidRDefault="00C11E04" w:rsidP="00A9683C">
            <w:pPr>
              <w:pStyle w:val="naiskr"/>
              <w:numPr>
                <w:ilvl w:val="0"/>
                <w:numId w:val="11"/>
              </w:numPr>
              <w:spacing w:before="0" w:after="0"/>
              <w:jc w:val="both"/>
            </w:pPr>
            <w:r>
              <w:t>l</w:t>
            </w:r>
            <w:r w:rsidR="00E33B73" w:rsidRPr="009031B9">
              <w:t xml:space="preserve">ikuma </w:t>
            </w:r>
            <w:r>
              <w:t>„P</w:t>
            </w:r>
            <w:r w:rsidR="00E33B73" w:rsidRPr="009031B9">
              <w:t xml:space="preserve">ar </w:t>
            </w:r>
            <w:r w:rsidR="00A9683C" w:rsidRPr="009031B9">
              <w:t>valsts budžetu 2014.gadam” 33.panta 3.punktu;</w:t>
            </w:r>
          </w:p>
          <w:p w:rsidR="00A9683C" w:rsidRPr="009031B9" w:rsidRDefault="00A9683C" w:rsidP="00A9683C">
            <w:pPr>
              <w:pStyle w:val="naiskr"/>
              <w:numPr>
                <w:ilvl w:val="0"/>
                <w:numId w:val="11"/>
              </w:numPr>
              <w:spacing w:before="0" w:after="0"/>
              <w:jc w:val="both"/>
            </w:pPr>
            <w:r w:rsidRPr="009031B9">
              <w:t xml:space="preserve">Ministru kabineta 2010.gada 16.marta noteikumu Nr.256 „Noteikumi par kārtību, kādā ministrijām un citām centrālajām valsts iestādēm tiek veikta apropriācijas pārdale starp programmām, apakšprogrammām un izdevumu ekonomiskās klasifikācijas kodiem” 3.punktu. </w:t>
            </w:r>
          </w:p>
          <w:p w:rsidR="00FE2CEF" w:rsidRPr="009031B9" w:rsidRDefault="00A9683C" w:rsidP="00836175">
            <w:pPr>
              <w:pStyle w:val="naiskr"/>
              <w:spacing w:before="0" w:after="0"/>
              <w:jc w:val="both"/>
            </w:pPr>
            <w:r w:rsidRPr="009031B9">
              <w:t xml:space="preserve">Ņemot vērā, ka </w:t>
            </w:r>
            <w:r w:rsidR="00BA1E7B">
              <w:t>finansējuma</w:t>
            </w:r>
            <w:r w:rsidR="00732506">
              <w:t xml:space="preserve"> </w:t>
            </w:r>
            <w:r w:rsidRPr="009031B9">
              <w:t xml:space="preserve">pārdale paredz pārdali </w:t>
            </w:r>
            <w:r w:rsidR="00836175">
              <w:t xml:space="preserve">Labklājības ministrijas </w:t>
            </w:r>
            <w:r w:rsidRPr="009031B9">
              <w:t xml:space="preserve">valsts sociālās apdrošināšanas speciālā budžeta apakšprogrammas 04.01.00 „Valsts pensiju speciālais budžets” ietvaros </w:t>
            </w:r>
            <w:r w:rsidR="00B73CEC">
              <w:t>starp izdevumu kodiem atbilstoši ekonomiskajām kategorijām, samazinot izdevumus</w:t>
            </w:r>
            <w:r w:rsidRPr="009031B9">
              <w:t xml:space="preserve"> sociālajiem pabalstiem </w:t>
            </w:r>
            <w:r w:rsidR="00B73CEC">
              <w:t xml:space="preserve">41 387 </w:t>
            </w:r>
            <w:proofErr w:type="spellStart"/>
            <w:r w:rsidR="00B73CEC" w:rsidRPr="00836175">
              <w:rPr>
                <w:i/>
              </w:rPr>
              <w:t>euro</w:t>
            </w:r>
            <w:proofErr w:type="spellEnd"/>
            <w:r w:rsidR="00B73CEC">
              <w:t xml:space="preserve"> apmērā un attiecīgi palielinot </w:t>
            </w:r>
            <w:r w:rsidR="00B73CEC" w:rsidRPr="009031B9">
              <w:t>izdevum</w:t>
            </w:r>
            <w:r w:rsidR="00B73CEC">
              <w:t>us</w:t>
            </w:r>
            <w:r w:rsidR="00732506">
              <w:t xml:space="preserve"> </w:t>
            </w:r>
            <w:r w:rsidRPr="009031B9">
              <w:t>valsts budžeta uzturēšanas izdevumu transfertiem no valsts speciālā budžeta uz valsts speciālo budžetu</w:t>
            </w:r>
            <w:r w:rsidR="00B73CEC">
              <w:t xml:space="preserve"> 41 387 </w:t>
            </w:r>
            <w:proofErr w:type="spellStart"/>
            <w:r w:rsidR="00B73CEC" w:rsidRPr="00836175">
              <w:rPr>
                <w:i/>
              </w:rPr>
              <w:t>euro</w:t>
            </w:r>
            <w:proofErr w:type="spellEnd"/>
            <w:r w:rsidR="00B73CEC">
              <w:t xml:space="preserve"> apmērā</w:t>
            </w:r>
            <w:r w:rsidRPr="009031B9">
              <w:t xml:space="preserve">, </w:t>
            </w:r>
            <w:r w:rsidR="00B73CEC">
              <w:t>vienlaikus</w:t>
            </w:r>
            <w:r w:rsidR="00732506">
              <w:t xml:space="preserve"> </w:t>
            </w:r>
            <w:r w:rsidRPr="009031B9">
              <w:t xml:space="preserve">valsts sociālās apdrošināšanas speciālā budžeta </w:t>
            </w:r>
            <w:r w:rsidR="00B73CEC" w:rsidRPr="009031B9">
              <w:t>apakšprogramm</w:t>
            </w:r>
            <w:r w:rsidR="00B73CEC">
              <w:t>ā</w:t>
            </w:r>
            <w:r w:rsidR="00617DFD">
              <w:t xml:space="preserve"> </w:t>
            </w:r>
            <w:r w:rsidRPr="009031B9">
              <w:t xml:space="preserve">04.05.00 „Valsts sociālās apdrošināšanas </w:t>
            </w:r>
            <w:r w:rsidR="00617DFD">
              <w:t xml:space="preserve">aģentūras </w:t>
            </w:r>
            <w:r w:rsidRPr="009031B9">
              <w:t xml:space="preserve">speciālais budžets” </w:t>
            </w:r>
            <w:r w:rsidR="00B73CEC">
              <w:t>palielinot</w:t>
            </w:r>
            <w:r w:rsidR="00732506">
              <w:t xml:space="preserve"> </w:t>
            </w:r>
            <w:r w:rsidRPr="009031B9">
              <w:t>ieņēmumu</w:t>
            </w:r>
            <w:r w:rsidR="00B73CEC">
              <w:t>s no</w:t>
            </w:r>
            <w:r w:rsidR="00732506">
              <w:t xml:space="preserve"> </w:t>
            </w:r>
            <w:r w:rsidR="00B73CEC">
              <w:t>valsts speciālā budžeta savstarpējiem transfertiem no</w:t>
            </w:r>
            <w:r w:rsidRPr="009031B9">
              <w:t xml:space="preserve"> valsts pensiju speciālā budžeta</w:t>
            </w:r>
            <w:r w:rsidR="00B73CEC">
              <w:t xml:space="preserve"> 41 387 </w:t>
            </w:r>
            <w:proofErr w:type="spellStart"/>
            <w:r w:rsidR="00B73CEC" w:rsidRPr="00836175">
              <w:rPr>
                <w:i/>
              </w:rPr>
              <w:t>euro</w:t>
            </w:r>
            <w:proofErr w:type="spellEnd"/>
            <w:r w:rsidR="00B73CEC">
              <w:t xml:space="preserve"> apmērā</w:t>
            </w:r>
            <w:r w:rsidRPr="009031B9">
              <w:t xml:space="preserve">, atbilstoši likuma „Par valsts budžetu 2014.gadam” 33.panta 3.punktam, par </w:t>
            </w:r>
            <w:r w:rsidR="009436B4">
              <w:t>finansējuma</w:t>
            </w:r>
            <w:r w:rsidR="00732506">
              <w:t xml:space="preserve"> </w:t>
            </w:r>
            <w:r w:rsidRPr="009031B9">
              <w:t xml:space="preserve">pārdali lemj </w:t>
            </w:r>
            <w:r w:rsidR="006C2766">
              <w:t>M</w:t>
            </w:r>
            <w:r w:rsidR="00347987">
              <w:t>inistru kabinets</w:t>
            </w:r>
            <w:r w:rsidRPr="009031B9">
              <w:t>.</w:t>
            </w:r>
          </w:p>
        </w:tc>
      </w:tr>
      <w:tr w:rsidR="0087153D" w:rsidRPr="009031B9" w:rsidTr="0087153D">
        <w:trPr>
          <w:trHeight w:val="465"/>
          <w:jc w:val="center"/>
        </w:trPr>
        <w:tc>
          <w:tcPr>
            <w:tcW w:w="174" w:type="pct"/>
            <w:tcBorders>
              <w:top w:val="outset" w:sz="6" w:space="0" w:color="414142"/>
              <w:left w:val="outset" w:sz="6" w:space="0" w:color="414142"/>
              <w:bottom w:val="outset" w:sz="6" w:space="0" w:color="414142"/>
              <w:right w:val="outset" w:sz="6" w:space="0" w:color="414142"/>
            </w:tcBorders>
            <w:hideMark/>
          </w:tcPr>
          <w:p w:rsidR="00FE2CEF" w:rsidRPr="009031B9"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031B9">
              <w:rPr>
                <w:rFonts w:ascii="Times New Roman" w:eastAsia="Times New Roman" w:hAnsi="Times New Roman" w:cs="Times New Roman"/>
                <w:sz w:val="24"/>
                <w:szCs w:val="24"/>
                <w:lang w:eastAsia="lv-LV"/>
              </w:rPr>
              <w:t>2.</w:t>
            </w:r>
          </w:p>
        </w:tc>
        <w:tc>
          <w:tcPr>
            <w:tcW w:w="707" w:type="pct"/>
            <w:tcBorders>
              <w:top w:val="outset" w:sz="6" w:space="0" w:color="414142"/>
              <w:left w:val="outset" w:sz="6" w:space="0" w:color="414142"/>
              <w:bottom w:val="outset" w:sz="6" w:space="0" w:color="414142"/>
              <w:right w:val="outset" w:sz="6" w:space="0" w:color="414142"/>
            </w:tcBorders>
            <w:hideMark/>
          </w:tcPr>
          <w:p w:rsidR="00FE2CEF" w:rsidRPr="009031B9" w:rsidRDefault="00FE2CEF" w:rsidP="00AF6A8F">
            <w:pPr>
              <w:spacing w:after="0" w:line="240" w:lineRule="auto"/>
              <w:rPr>
                <w:rFonts w:ascii="Times New Roman" w:eastAsia="Times New Roman" w:hAnsi="Times New Roman" w:cs="Times New Roman"/>
                <w:sz w:val="24"/>
                <w:szCs w:val="24"/>
                <w:lang w:eastAsia="lv-LV"/>
              </w:rPr>
            </w:pPr>
            <w:r w:rsidRPr="009031B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4119" w:type="pct"/>
            <w:tcBorders>
              <w:top w:val="outset" w:sz="6" w:space="0" w:color="414142"/>
              <w:left w:val="outset" w:sz="6" w:space="0" w:color="414142"/>
              <w:bottom w:val="outset" w:sz="6" w:space="0" w:color="414142"/>
              <w:right w:val="outset" w:sz="6" w:space="0" w:color="414142"/>
            </w:tcBorders>
            <w:hideMark/>
          </w:tcPr>
          <w:p w:rsidR="00A9683C" w:rsidRPr="009031B9" w:rsidRDefault="00A9683C" w:rsidP="00A9683C">
            <w:pPr>
              <w:pStyle w:val="naisf"/>
              <w:spacing w:before="0" w:beforeAutospacing="0" w:after="0" w:afterAutospacing="0"/>
              <w:jc w:val="both"/>
            </w:pPr>
            <w:r w:rsidRPr="009031B9">
              <w:t>2014.gada 1.janvārī stājās spēkā grozījumi Civilprocesa likuma 551.panta pirmajā daļā, no kuriem izriet, ka zvērinātiem</w:t>
            </w:r>
            <w:r w:rsidR="0089167D">
              <w:t xml:space="preserve"> tiesu izpildītājiem informācija</w:t>
            </w:r>
            <w:r w:rsidRPr="009031B9">
              <w:t xml:space="preserve"> par sociāli apdrošināto personu iemaksām un izmaksātajiem pakalpojumiem</w:t>
            </w:r>
            <w:r w:rsidR="00732506">
              <w:t xml:space="preserve"> </w:t>
            </w:r>
            <w:r w:rsidR="00966199">
              <w:t xml:space="preserve">Valsts sociālās apdrošināšanas aģentūrai (turpmāk – </w:t>
            </w:r>
            <w:r w:rsidR="000E464F">
              <w:t>VSAA</w:t>
            </w:r>
            <w:r w:rsidR="00966199">
              <w:t>)</w:t>
            </w:r>
            <w:r w:rsidRPr="009031B9">
              <w:t xml:space="preserve"> jānodrošina bez maksas. </w:t>
            </w:r>
            <w:r w:rsidR="00852ABC">
              <w:t xml:space="preserve">VSAA tiesības iekasēt maksu par VSAA sniegtajiem maksas pakalpojumiem nosaka Ministru kabineta 2012.gada 18.decembra noteikumu Nr.911 „Valsts sociālās apdrošināšanas aģentūras nolikums” 5.10.apakšpunkts. </w:t>
            </w:r>
            <w:r w:rsidR="00357C99">
              <w:t>Savukārt, atbilstoši Ministru kabineta 2013.gada 10.septembra noteikumu Nr. 797 „Valsts sociālās apdrošināšanas aģentūras</w:t>
            </w:r>
            <w:r w:rsidR="003B0750">
              <w:t xml:space="preserve"> maksas pakalpojumu</w:t>
            </w:r>
            <w:r w:rsidR="0062196D">
              <w:t xml:space="preserve"> </w:t>
            </w:r>
            <w:r w:rsidR="00357C99">
              <w:t>cenrādis”</w:t>
            </w:r>
            <w:r w:rsidR="00732506">
              <w:t xml:space="preserve"> </w:t>
            </w:r>
            <w:r w:rsidR="00357C99">
              <w:t>pielikumam VSAA paredzēts iekasēt maks</w:t>
            </w:r>
            <w:r w:rsidR="00AF6A8F">
              <w:t>u</w:t>
            </w:r>
            <w:r w:rsidR="00357C99">
              <w:t xml:space="preserve"> par izziņu sagatavošanu par sociāli apdrošināto personu un nosūtīšanu pa pastu vai elektroniski gan</w:t>
            </w:r>
            <w:r w:rsidR="00AF6A8F">
              <w:t xml:space="preserve"> pēc</w:t>
            </w:r>
            <w:r w:rsidR="00357C99">
              <w:t xml:space="preserve"> zvērināta advokāta, gan zvērināta tiesu izpildītāja pieprasījuma. </w:t>
            </w:r>
            <w:r w:rsidR="00AF6A8F">
              <w:t xml:space="preserve">Tā kā </w:t>
            </w:r>
            <w:r w:rsidR="00357C99">
              <w:t>grozījum</w:t>
            </w:r>
            <w:r w:rsidR="00AF6A8F">
              <w:t>iem</w:t>
            </w:r>
            <w:r w:rsidR="00732506">
              <w:t xml:space="preserve"> </w:t>
            </w:r>
            <w:r w:rsidR="00156B94">
              <w:t>Civilprocesa</w:t>
            </w:r>
            <w:r w:rsidR="00357C99">
              <w:t xml:space="preserve"> likuma 551.panta pirmajā daļā</w:t>
            </w:r>
            <w:r w:rsidR="00AF6A8F">
              <w:t xml:space="preserve"> ir augstāks juridisks spēks nekā Ministru kabineta noteikumiem</w:t>
            </w:r>
            <w:r w:rsidR="00357C99">
              <w:t xml:space="preserve">, </w:t>
            </w:r>
            <w:r w:rsidR="00156B94">
              <w:t xml:space="preserve">VSAA </w:t>
            </w:r>
            <w:r w:rsidR="00AF6A8F">
              <w:t xml:space="preserve">vairs </w:t>
            </w:r>
            <w:r w:rsidR="00156B94">
              <w:t>nav tiesību iekasēt maks</w:t>
            </w:r>
            <w:r w:rsidR="00AF6A8F">
              <w:t>u par izziņu izsniegšanu</w:t>
            </w:r>
            <w:r w:rsidR="00156B94">
              <w:t xml:space="preserve"> no zvērinātiem tiesu izpildītājiem, s</w:t>
            </w:r>
            <w:r w:rsidRPr="009031B9">
              <w:t>avukārt no zvērinātiem advokātiem maksa par pakalpojumiem joprojām tiek ie</w:t>
            </w:r>
            <w:r w:rsidR="00AF6A8F">
              <w:t>kas</w:t>
            </w:r>
            <w:r w:rsidRPr="009031B9">
              <w:t>ēta.</w:t>
            </w:r>
          </w:p>
          <w:p w:rsidR="00A9683C" w:rsidRPr="009031B9" w:rsidRDefault="00AF6A8F" w:rsidP="00A9683C">
            <w:pPr>
              <w:pStyle w:val="naislab"/>
              <w:spacing w:before="0" w:after="0"/>
              <w:jc w:val="both"/>
              <w:outlineLvl w:val="0"/>
            </w:pPr>
            <w:r>
              <w:t>Jāatzīmē, ka l</w:t>
            </w:r>
            <w:r w:rsidR="00A9683C" w:rsidRPr="009031B9">
              <w:t>ikumprojekts „Grozījumi Civilprocesa likumā” tika izsludināts 2012.gada 26.aprīļa Valsts sekretāru sanāksmē (</w:t>
            </w:r>
            <w:proofErr w:type="spellStart"/>
            <w:r w:rsidR="00A9683C" w:rsidRPr="009031B9">
              <w:t>protokollēmums</w:t>
            </w:r>
            <w:proofErr w:type="spellEnd"/>
            <w:r w:rsidR="00A9683C" w:rsidRPr="009031B9">
              <w:t xml:space="preserve"> Nr.17 19.§) un sākotnēji neparedzēja grozījumu veikšanu Civilprocesa likuma 551.panta pirmajā daļā. Minētais likumprojekts bija jāsaskaņo tikai ar Finanšu </w:t>
            </w:r>
            <w:r w:rsidR="00484F8B">
              <w:t xml:space="preserve">ministriju </w:t>
            </w:r>
            <w:r w:rsidR="00A9683C" w:rsidRPr="009031B9">
              <w:t xml:space="preserve">un Vides aizsardzības un reģionālās attīstības ministriju. Tāpat </w:t>
            </w:r>
            <w:r w:rsidR="00347987">
              <w:t>Ministru kabineta</w:t>
            </w:r>
            <w:r w:rsidR="00A9683C" w:rsidRPr="009031B9">
              <w:t xml:space="preserve"> 2012.gada 31.jūlijā </w:t>
            </w:r>
            <w:r w:rsidR="00DB01C9">
              <w:t>atbalstītie</w:t>
            </w:r>
            <w:r w:rsidR="00732506">
              <w:t xml:space="preserve"> </w:t>
            </w:r>
            <w:r w:rsidR="00A9683C" w:rsidRPr="009031B9">
              <w:t>grozījumi Civilprocesa likumā neparedzēja grozījumus likuma 551.panta pirmajā daļā</w:t>
            </w:r>
            <w:r>
              <w:t>,</w:t>
            </w:r>
            <w:r w:rsidR="00A9683C" w:rsidRPr="009031B9">
              <w:t xml:space="preserve"> un līdz ar to likumprojektam pievienotais sākotnējās ietekmes novērtējuma ziņojums (anotācija) neparedzēja finansiālu </w:t>
            </w:r>
            <w:r w:rsidR="00A9683C" w:rsidRPr="009031B9">
              <w:lastRenderedPageBreak/>
              <w:t>ietekmi uz valsts budžetu.  Atbilstoši Saeimas Juridiskās komisijas 2013.gada 14.maija sēdes protokola Nr.175 4.punktam, priekšlikumi grozījumiem likuma 551.panta pirmajā daļā tika iesniegti Juridiskajā komisijā trešajam (galīgajam) lasījumam pirms komisijas sēdes. Iesniedzējs – Tieslietu ministrija. Labklājības ministrijas vai VSAA pārstāvji uz minēto sēdi netika pieaicināti</w:t>
            </w:r>
            <w:r w:rsidR="00836175">
              <w:t>,</w:t>
            </w:r>
            <w:r w:rsidR="00A9683C" w:rsidRPr="009031B9">
              <w:t xml:space="preserve"> un minēto grozījumu finansiālā ietekme uz valsts budžetu netika vērtēta.</w:t>
            </w:r>
          </w:p>
          <w:p w:rsidR="00A9683C" w:rsidRPr="009031B9" w:rsidRDefault="00A9683C" w:rsidP="00B21DD5">
            <w:pPr>
              <w:pStyle w:val="naisf"/>
              <w:spacing w:before="240" w:beforeAutospacing="0" w:after="0" w:afterAutospacing="0"/>
              <w:jc w:val="both"/>
            </w:pPr>
            <w:r w:rsidRPr="009031B9">
              <w:t>No VSAA sniedzam</w:t>
            </w:r>
            <w:r w:rsidR="003F0304">
              <w:t>ām</w:t>
            </w:r>
            <w:r w:rsidRPr="009031B9">
              <w:t xml:space="preserve"> izziņ</w:t>
            </w:r>
            <w:r w:rsidR="003F0304">
              <w:t>ām</w:t>
            </w:r>
            <w:r w:rsidRPr="009031B9">
              <w:t xml:space="preserve"> par sociāli apdrošināt</w:t>
            </w:r>
            <w:r w:rsidR="003F0304">
              <w:t>ām</w:t>
            </w:r>
            <w:r w:rsidRPr="009031B9">
              <w:t xml:space="preserve"> person</w:t>
            </w:r>
            <w:r w:rsidR="003F0304">
              <w:t>ām</w:t>
            </w:r>
            <w:r w:rsidR="00732506">
              <w:t xml:space="preserve"> </w:t>
            </w:r>
            <w:r w:rsidR="003F0304">
              <w:t xml:space="preserve">izziņas </w:t>
            </w:r>
            <w:r w:rsidR="003F0304" w:rsidRPr="009031B9">
              <w:t xml:space="preserve">zvērinātiem tiesu izpildītājiem </w:t>
            </w:r>
            <w:r w:rsidRPr="009031B9">
              <w:t>veido 99,8% no kopēj</w:t>
            </w:r>
            <w:r w:rsidR="003F0304">
              <w:t>ā</w:t>
            </w:r>
            <w:r w:rsidRPr="009031B9">
              <w:t xml:space="preserve"> izziņu skaita. Izmaksas, kas rodas VSAA</w:t>
            </w:r>
            <w:r w:rsidR="00C11E04">
              <w:t>,</w:t>
            </w:r>
            <w:r w:rsidRPr="009031B9">
              <w:t xml:space="preserve"> kopš 2014.gada 1.janvāra sagatavojot un nosūtot izziņas tiesu izpildītājiem bez maksas, VSAA sedz uz citu pamatfunkciju nodrošināšanai paredzēto izdevumu rēķina. Turklāt iespēja ar 2014.gada 1.janvāri saņemt bezmaksas pakalpojumu radīja zvērināta tiesu izpildītāju izziņu pieprasījumu strauju pieaugumu 2014.gada sākumā</w:t>
            </w:r>
            <w:r w:rsidR="003F0304">
              <w:t xml:space="preserve"> (pieprasījumu skaits palielinājās par </w:t>
            </w:r>
            <w:r w:rsidRPr="009031B9">
              <w:t>25%</w:t>
            </w:r>
            <w:r w:rsidR="003F0304">
              <w:t>)</w:t>
            </w:r>
            <w:r w:rsidRPr="009031B9">
              <w:t xml:space="preserve">. Minētā situācija veido risku VSAA darbībai nepieciešamo izdevumu finansēšanā, jo ieņēmumi no maksas pakalpojumiem nesedz izdevumus, kas radušies VSAA maksas pakalpojumu sniegšanas procesā. </w:t>
            </w:r>
          </w:p>
          <w:p w:rsidR="00A9683C" w:rsidRPr="009031B9" w:rsidRDefault="003F0304" w:rsidP="00A9683C">
            <w:pPr>
              <w:pStyle w:val="naisf"/>
              <w:spacing w:before="0" w:beforeAutospacing="0" w:after="0" w:afterAutospacing="0"/>
              <w:jc w:val="both"/>
            </w:pPr>
            <w:r>
              <w:t>Tāpat s</w:t>
            </w:r>
            <w:r w:rsidR="00A9683C" w:rsidRPr="009031B9">
              <w:t xml:space="preserve">aistībā ar grozījumiem Civilprocesa likuma 551.panta pirmajā daļā, kā arī saistībā ar </w:t>
            </w:r>
            <w:proofErr w:type="spellStart"/>
            <w:r w:rsidR="00A9683C" w:rsidRPr="009031B9">
              <w:rPr>
                <w:i/>
              </w:rPr>
              <w:t>euro</w:t>
            </w:r>
            <w:proofErr w:type="spellEnd"/>
            <w:r w:rsidR="00A9683C" w:rsidRPr="009031B9">
              <w:t xml:space="preserve"> ieviešanu no 2014.gada 1.janvāra, ir palielinājušās izziņu par sociāli apdrošināto personu sagatavošanas procesā veicamās darbības un to izpildē iesaistīto resursu izlietojums.</w:t>
            </w:r>
          </w:p>
          <w:p w:rsidR="00A9683C" w:rsidRPr="009031B9" w:rsidRDefault="00A9683C" w:rsidP="00A9683C">
            <w:pPr>
              <w:spacing w:after="0" w:line="240" w:lineRule="auto"/>
              <w:jc w:val="center"/>
              <w:rPr>
                <w:rFonts w:ascii="Times New Roman" w:hAnsi="Times New Roman" w:cs="Times New Roman"/>
                <w:b/>
                <w:szCs w:val="24"/>
              </w:rPr>
            </w:pPr>
          </w:p>
          <w:p w:rsidR="00A9683C" w:rsidRPr="001C7430" w:rsidRDefault="00A9683C" w:rsidP="00A9683C">
            <w:pPr>
              <w:spacing w:after="0" w:line="240" w:lineRule="auto"/>
              <w:jc w:val="center"/>
              <w:rPr>
                <w:rFonts w:ascii="Times New Roman" w:hAnsi="Times New Roman" w:cs="Times New Roman"/>
                <w:b/>
                <w:sz w:val="24"/>
                <w:szCs w:val="24"/>
              </w:rPr>
            </w:pPr>
            <w:r w:rsidRPr="001C7430">
              <w:rPr>
                <w:rFonts w:ascii="Times New Roman" w:hAnsi="Times New Roman" w:cs="Times New Roman"/>
                <w:b/>
                <w:sz w:val="24"/>
                <w:szCs w:val="24"/>
              </w:rPr>
              <w:t>VSAA maksas pakalpojumu administrēšanas procesa darbības</w:t>
            </w:r>
          </w:p>
          <w:p w:rsidR="00A9683C" w:rsidRPr="001C7430" w:rsidRDefault="00A9683C" w:rsidP="00A9683C">
            <w:pPr>
              <w:spacing w:after="0" w:line="240" w:lineRule="auto"/>
              <w:jc w:val="right"/>
              <w:rPr>
                <w:rFonts w:ascii="Times New Roman" w:hAnsi="Times New Roman" w:cs="Times New Roman"/>
                <w:i/>
                <w:sz w:val="24"/>
                <w:szCs w:val="24"/>
              </w:rPr>
            </w:pPr>
            <w:r w:rsidRPr="001C7430">
              <w:rPr>
                <w:rFonts w:ascii="Times New Roman" w:hAnsi="Times New Roman" w:cs="Times New Roman"/>
                <w:i/>
                <w:sz w:val="24"/>
                <w:szCs w:val="24"/>
              </w:rPr>
              <w:t>1.tabula</w:t>
            </w:r>
          </w:p>
          <w:tbl>
            <w:tblPr>
              <w:tblStyle w:val="TableGrid"/>
              <w:tblW w:w="0" w:type="auto"/>
              <w:jc w:val="center"/>
              <w:tblLook w:val="04A0" w:firstRow="1" w:lastRow="0" w:firstColumn="1" w:lastColumn="0" w:noHBand="0" w:noVBand="1"/>
            </w:tblPr>
            <w:tblGrid>
              <w:gridCol w:w="1067"/>
              <w:gridCol w:w="3780"/>
              <w:gridCol w:w="3505"/>
            </w:tblGrid>
            <w:tr w:rsidR="009031B9" w:rsidRPr="009031B9" w:rsidTr="008D5A46">
              <w:trPr>
                <w:tblHeader/>
                <w:jc w:val="center"/>
              </w:trPr>
              <w:tc>
                <w:tcPr>
                  <w:tcW w:w="1067" w:type="dxa"/>
                </w:tcPr>
                <w:p w:rsidR="00A9683C" w:rsidRPr="009031B9" w:rsidRDefault="00A9683C" w:rsidP="00AF6A8F">
                  <w:pPr>
                    <w:jc w:val="center"/>
                    <w:rPr>
                      <w:rFonts w:cs="Times New Roman"/>
                      <w:szCs w:val="24"/>
                    </w:rPr>
                  </w:pPr>
                </w:p>
              </w:tc>
              <w:tc>
                <w:tcPr>
                  <w:tcW w:w="3780" w:type="dxa"/>
                </w:tcPr>
                <w:p w:rsidR="00A9683C" w:rsidRPr="009031B9" w:rsidRDefault="00A9683C" w:rsidP="00AF6A8F">
                  <w:pPr>
                    <w:jc w:val="center"/>
                    <w:rPr>
                      <w:rFonts w:cs="Times New Roman"/>
                      <w:szCs w:val="24"/>
                    </w:rPr>
                  </w:pPr>
                  <w:r w:rsidRPr="009031B9">
                    <w:rPr>
                      <w:rFonts w:cs="Times New Roman"/>
                      <w:szCs w:val="24"/>
                    </w:rPr>
                    <w:t>Līdz 2014.gada 1.janvārim</w:t>
                  </w:r>
                </w:p>
              </w:tc>
              <w:tc>
                <w:tcPr>
                  <w:tcW w:w="3505" w:type="dxa"/>
                </w:tcPr>
                <w:p w:rsidR="00A9683C" w:rsidRPr="009031B9" w:rsidRDefault="00A9683C" w:rsidP="00AF6A8F">
                  <w:pPr>
                    <w:jc w:val="center"/>
                    <w:rPr>
                      <w:rFonts w:cs="Times New Roman"/>
                      <w:szCs w:val="24"/>
                    </w:rPr>
                  </w:pPr>
                  <w:r w:rsidRPr="009031B9">
                    <w:rPr>
                      <w:rFonts w:cs="Times New Roman"/>
                      <w:szCs w:val="24"/>
                    </w:rPr>
                    <w:t>No 2014.gada 1.janvāra</w:t>
                  </w:r>
                </w:p>
              </w:tc>
            </w:tr>
            <w:tr w:rsidR="009031B9" w:rsidRPr="009031B9" w:rsidTr="008D5A46">
              <w:trPr>
                <w:jc w:val="center"/>
              </w:trPr>
              <w:tc>
                <w:tcPr>
                  <w:tcW w:w="1067" w:type="dxa"/>
                </w:tcPr>
                <w:p w:rsidR="00A9683C" w:rsidRPr="009031B9" w:rsidRDefault="00A9683C" w:rsidP="00AF6A8F">
                  <w:pPr>
                    <w:jc w:val="both"/>
                    <w:rPr>
                      <w:rFonts w:cs="Times New Roman"/>
                      <w:szCs w:val="24"/>
                    </w:rPr>
                  </w:pPr>
                  <w:r w:rsidRPr="009031B9">
                    <w:rPr>
                      <w:rFonts w:cs="Times New Roman"/>
                      <w:szCs w:val="24"/>
                    </w:rPr>
                    <w:t>1.solis</w:t>
                  </w:r>
                </w:p>
              </w:tc>
              <w:tc>
                <w:tcPr>
                  <w:tcW w:w="7285" w:type="dxa"/>
                  <w:gridSpan w:val="2"/>
                </w:tcPr>
                <w:p w:rsidR="00A9683C" w:rsidRPr="009031B9" w:rsidRDefault="00A9683C" w:rsidP="00AF6A8F">
                  <w:pPr>
                    <w:jc w:val="both"/>
                    <w:rPr>
                      <w:rFonts w:cs="Times New Roman"/>
                      <w:szCs w:val="24"/>
                    </w:rPr>
                  </w:pPr>
                  <w:r w:rsidRPr="009031B9">
                    <w:t xml:space="preserve">Pieprasījumu apstrāde – saņemšana, reģistrēšana un nodošana izpildei (pārbaude, vai </w:t>
                  </w:r>
                  <w:r w:rsidR="00DB01C9">
                    <w:t xml:space="preserve">normatīvie </w:t>
                  </w:r>
                  <w:r w:rsidRPr="009031B9">
                    <w:t>akti paredz tiesības saņemt pieprasīto informāciju)</w:t>
                  </w:r>
                  <w:r w:rsidRPr="009031B9">
                    <w:rPr>
                      <w:rFonts w:cs="Times New Roman"/>
                      <w:szCs w:val="24"/>
                    </w:rPr>
                    <w:t>.</w:t>
                  </w:r>
                </w:p>
              </w:tc>
            </w:tr>
            <w:tr w:rsidR="009031B9" w:rsidRPr="009031B9" w:rsidTr="008D5A46">
              <w:trPr>
                <w:jc w:val="center"/>
              </w:trPr>
              <w:tc>
                <w:tcPr>
                  <w:tcW w:w="1067" w:type="dxa"/>
                </w:tcPr>
                <w:p w:rsidR="00A9683C" w:rsidRPr="009031B9" w:rsidRDefault="00A9683C" w:rsidP="00AF6A8F">
                  <w:pPr>
                    <w:jc w:val="both"/>
                    <w:rPr>
                      <w:rFonts w:cs="Times New Roman"/>
                      <w:szCs w:val="24"/>
                    </w:rPr>
                  </w:pPr>
                  <w:r w:rsidRPr="009031B9">
                    <w:rPr>
                      <w:rFonts w:cs="Times New Roman"/>
                      <w:szCs w:val="24"/>
                    </w:rPr>
                    <w:t>2.solis</w:t>
                  </w:r>
                </w:p>
              </w:tc>
              <w:tc>
                <w:tcPr>
                  <w:tcW w:w="7285" w:type="dxa"/>
                  <w:gridSpan w:val="2"/>
                </w:tcPr>
                <w:p w:rsidR="00A9683C" w:rsidRPr="009031B9" w:rsidRDefault="00A9683C" w:rsidP="00AF6A8F">
                  <w:pPr>
                    <w:jc w:val="both"/>
                    <w:rPr>
                      <w:rFonts w:cs="Times New Roman"/>
                      <w:szCs w:val="24"/>
                    </w:rPr>
                  </w:pPr>
                  <w:r w:rsidRPr="009031B9">
                    <w:t>Atteikuma sagatavošana (ja normatīvie akti neparedz tiesības saņemt pieprasīto informāciju).</w:t>
                  </w:r>
                </w:p>
              </w:tc>
            </w:tr>
            <w:tr w:rsidR="009031B9" w:rsidRPr="009031B9" w:rsidTr="008D5A46">
              <w:trPr>
                <w:jc w:val="center"/>
              </w:trPr>
              <w:tc>
                <w:tcPr>
                  <w:tcW w:w="1067" w:type="dxa"/>
                </w:tcPr>
                <w:p w:rsidR="00A9683C" w:rsidRPr="009031B9" w:rsidRDefault="00A9683C" w:rsidP="00AF6A8F">
                  <w:pPr>
                    <w:jc w:val="both"/>
                    <w:rPr>
                      <w:rFonts w:cs="Times New Roman"/>
                      <w:szCs w:val="24"/>
                    </w:rPr>
                  </w:pPr>
                  <w:r w:rsidRPr="009031B9">
                    <w:rPr>
                      <w:rFonts w:cs="Times New Roman"/>
                      <w:szCs w:val="24"/>
                    </w:rPr>
                    <w:t>3.solis</w:t>
                  </w:r>
                </w:p>
              </w:tc>
              <w:tc>
                <w:tcPr>
                  <w:tcW w:w="3780" w:type="dxa"/>
                </w:tcPr>
                <w:p w:rsidR="00A9683C" w:rsidRPr="009031B9" w:rsidRDefault="00A9683C" w:rsidP="00AF6A8F">
                  <w:pPr>
                    <w:jc w:val="both"/>
                    <w:rPr>
                      <w:rFonts w:cs="Times New Roman"/>
                      <w:szCs w:val="24"/>
                    </w:rPr>
                  </w:pPr>
                  <w:r w:rsidRPr="009031B9">
                    <w:t>Pakalpojuma apmaksas pārbaude (ja pakalpojums nav apmaksāts, atbildes uz informācijas pieprasījuma sagatavošana, norādot, ka informācijas sniegšana ir maksas pakalpojums).</w:t>
                  </w:r>
                </w:p>
              </w:tc>
              <w:tc>
                <w:tcPr>
                  <w:tcW w:w="3505" w:type="dxa"/>
                </w:tcPr>
                <w:p w:rsidR="00A9683C" w:rsidRPr="009031B9" w:rsidRDefault="00A9683C" w:rsidP="00AF6A8F">
                  <w:pPr>
                    <w:pStyle w:val="naisf"/>
                    <w:spacing w:before="0" w:beforeAutospacing="0" w:after="0" w:afterAutospacing="0"/>
                    <w:jc w:val="both"/>
                  </w:pPr>
                  <w:r w:rsidRPr="009031B9">
                    <w:t xml:space="preserve">Pakalpojuma apmaksas pārbaude </w:t>
                  </w:r>
                  <w:proofErr w:type="gramStart"/>
                  <w:r w:rsidRPr="009031B9">
                    <w:t>(</w:t>
                  </w:r>
                  <w:proofErr w:type="gramEnd"/>
                  <w:r w:rsidRPr="009031B9">
                    <w:t>tiek veikta pārbaude, vai zvērināta advokāta pieprasījuma gadījumā pakalpojums ir apmaksāts, ja nav, – attiecīgi tiek gatavota atbilde uz informācijas pieprasījumu, norādot, ka informācijas sniegšana ir maksas pakalpojums. Savukārt, ja tiek konstatēts, ka zvērināta tiesu izpildītāja pieprasījuma gadījumā pakalpojums ir apmaksāts, tad tiek veikta maksājuma atmaksa.</w:t>
                  </w:r>
                </w:p>
              </w:tc>
            </w:tr>
            <w:tr w:rsidR="009031B9" w:rsidRPr="009031B9" w:rsidTr="008D5A46">
              <w:trPr>
                <w:jc w:val="center"/>
              </w:trPr>
              <w:tc>
                <w:tcPr>
                  <w:tcW w:w="1067" w:type="dxa"/>
                </w:tcPr>
                <w:p w:rsidR="00A9683C" w:rsidRPr="009031B9" w:rsidRDefault="00A9683C" w:rsidP="00AF6A8F">
                  <w:pPr>
                    <w:jc w:val="both"/>
                    <w:rPr>
                      <w:rFonts w:cs="Times New Roman"/>
                      <w:szCs w:val="24"/>
                    </w:rPr>
                  </w:pPr>
                  <w:r w:rsidRPr="009031B9">
                    <w:rPr>
                      <w:rFonts w:cs="Times New Roman"/>
                      <w:szCs w:val="24"/>
                    </w:rPr>
                    <w:t>4.solis</w:t>
                  </w:r>
                </w:p>
              </w:tc>
              <w:tc>
                <w:tcPr>
                  <w:tcW w:w="3780" w:type="dxa"/>
                </w:tcPr>
                <w:p w:rsidR="00A9683C" w:rsidRPr="009031B9" w:rsidRDefault="00A9683C" w:rsidP="00AF6A8F">
                  <w:pPr>
                    <w:jc w:val="both"/>
                    <w:rPr>
                      <w:rFonts w:cs="Times New Roman"/>
                      <w:szCs w:val="24"/>
                    </w:rPr>
                  </w:pPr>
                  <w:r w:rsidRPr="009031B9">
                    <w:t>Izziņas sagatavošana (informācijas atlase, izziņas sagatavošana, parakstīšana).</w:t>
                  </w:r>
                </w:p>
              </w:tc>
              <w:tc>
                <w:tcPr>
                  <w:tcW w:w="3505" w:type="dxa"/>
                </w:tcPr>
                <w:p w:rsidR="00A9683C" w:rsidRPr="009031B9" w:rsidRDefault="00A9683C" w:rsidP="00AF6A8F">
                  <w:pPr>
                    <w:jc w:val="both"/>
                    <w:rPr>
                      <w:rFonts w:cs="Times New Roman"/>
                      <w:szCs w:val="24"/>
                    </w:rPr>
                  </w:pPr>
                  <w:r w:rsidRPr="009031B9">
                    <w:t xml:space="preserve">Izziņas sagatavošana – sakarā ar </w:t>
                  </w:r>
                  <w:proofErr w:type="spellStart"/>
                  <w:r w:rsidRPr="009031B9">
                    <w:rPr>
                      <w:i/>
                    </w:rPr>
                    <w:t>euro</w:t>
                  </w:r>
                  <w:proofErr w:type="spellEnd"/>
                  <w:r w:rsidRPr="009031B9">
                    <w:t xml:space="preserve"> ieviešanu Latvijā, palielinās laiks pieprasījumu sagatavošanai, jo par periodu līdz 2013.gada beigām ir jāsagatavo informācija latos, bet par periodu sākot ar 2014.gadu – </w:t>
                  </w:r>
                  <w:proofErr w:type="spellStart"/>
                  <w:r w:rsidRPr="009031B9">
                    <w:rPr>
                      <w:i/>
                    </w:rPr>
                    <w:t>euro</w:t>
                  </w:r>
                  <w:proofErr w:type="spellEnd"/>
                  <w:r w:rsidRPr="009031B9">
                    <w:t>.</w:t>
                  </w:r>
                </w:p>
              </w:tc>
            </w:tr>
            <w:tr w:rsidR="009031B9" w:rsidRPr="009031B9" w:rsidTr="008D5A46">
              <w:trPr>
                <w:jc w:val="center"/>
              </w:trPr>
              <w:tc>
                <w:tcPr>
                  <w:tcW w:w="1067" w:type="dxa"/>
                </w:tcPr>
                <w:p w:rsidR="00A9683C" w:rsidRPr="009031B9" w:rsidRDefault="00A9683C" w:rsidP="00AF6A8F">
                  <w:pPr>
                    <w:jc w:val="both"/>
                    <w:rPr>
                      <w:rFonts w:cs="Times New Roman"/>
                      <w:szCs w:val="24"/>
                    </w:rPr>
                  </w:pPr>
                  <w:r w:rsidRPr="009031B9">
                    <w:rPr>
                      <w:rFonts w:cs="Times New Roman"/>
                      <w:szCs w:val="24"/>
                    </w:rPr>
                    <w:t>5.solis</w:t>
                  </w:r>
                </w:p>
              </w:tc>
              <w:tc>
                <w:tcPr>
                  <w:tcW w:w="7285" w:type="dxa"/>
                  <w:gridSpan w:val="2"/>
                </w:tcPr>
                <w:p w:rsidR="00A9683C" w:rsidRPr="009031B9" w:rsidRDefault="00A9683C" w:rsidP="00AF6A8F">
                  <w:pPr>
                    <w:jc w:val="both"/>
                    <w:rPr>
                      <w:rFonts w:cs="Times New Roman"/>
                      <w:szCs w:val="24"/>
                    </w:rPr>
                  </w:pPr>
                  <w:r w:rsidRPr="009031B9">
                    <w:t>Izziņas nosūtīšana (reģistrēšana, izziņas nosūtīšana uz pieprasītāja norādīto e-pasta adresi vai sagatavošana nodošanai VAS „Latvijas Pasts”).</w:t>
                  </w:r>
                </w:p>
              </w:tc>
            </w:tr>
            <w:tr w:rsidR="009031B9" w:rsidRPr="009031B9" w:rsidTr="008D5A46">
              <w:trPr>
                <w:jc w:val="center"/>
              </w:trPr>
              <w:tc>
                <w:tcPr>
                  <w:tcW w:w="1067" w:type="dxa"/>
                </w:tcPr>
                <w:p w:rsidR="00A9683C" w:rsidRPr="009031B9" w:rsidRDefault="00A9683C" w:rsidP="00AF6A8F">
                  <w:pPr>
                    <w:jc w:val="both"/>
                    <w:rPr>
                      <w:rFonts w:cs="Times New Roman"/>
                      <w:szCs w:val="24"/>
                    </w:rPr>
                  </w:pPr>
                  <w:r w:rsidRPr="009031B9">
                    <w:rPr>
                      <w:rFonts w:cs="Times New Roman"/>
                      <w:szCs w:val="24"/>
                    </w:rPr>
                    <w:lastRenderedPageBreak/>
                    <w:t>6.solis</w:t>
                  </w:r>
                </w:p>
              </w:tc>
              <w:tc>
                <w:tcPr>
                  <w:tcW w:w="7285" w:type="dxa"/>
                  <w:gridSpan w:val="2"/>
                </w:tcPr>
                <w:p w:rsidR="00A9683C" w:rsidRPr="009031B9" w:rsidRDefault="00A9683C" w:rsidP="00AF6A8F">
                  <w:pPr>
                    <w:jc w:val="both"/>
                    <w:rPr>
                      <w:rFonts w:cs="Times New Roman"/>
                      <w:szCs w:val="24"/>
                    </w:rPr>
                  </w:pPr>
                  <w:r w:rsidRPr="009031B9">
                    <w:t>Uzskaite (atskaites par pārskata mēnesī sniegtajiem maksas pakalpojumiem sagatavošana un pārbaude).</w:t>
                  </w:r>
                </w:p>
              </w:tc>
            </w:tr>
            <w:tr w:rsidR="009031B9" w:rsidRPr="009031B9" w:rsidTr="008D5A46">
              <w:trPr>
                <w:jc w:val="center"/>
              </w:trPr>
              <w:tc>
                <w:tcPr>
                  <w:tcW w:w="1067" w:type="dxa"/>
                </w:tcPr>
                <w:p w:rsidR="00A9683C" w:rsidRPr="009031B9" w:rsidRDefault="00A9683C" w:rsidP="00AF6A8F">
                  <w:pPr>
                    <w:jc w:val="both"/>
                    <w:rPr>
                      <w:rFonts w:cs="Times New Roman"/>
                      <w:szCs w:val="24"/>
                    </w:rPr>
                  </w:pPr>
                  <w:r w:rsidRPr="009031B9">
                    <w:rPr>
                      <w:rFonts w:cs="Times New Roman"/>
                      <w:szCs w:val="24"/>
                    </w:rPr>
                    <w:t>7.solis</w:t>
                  </w:r>
                </w:p>
              </w:tc>
              <w:tc>
                <w:tcPr>
                  <w:tcW w:w="7285" w:type="dxa"/>
                  <w:gridSpan w:val="2"/>
                </w:tcPr>
                <w:p w:rsidR="00A9683C" w:rsidRPr="009031B9" w:rsidRDefault="00A9683C" w:rsidP="00AF6A8F">
                  <w:pPr>
                    <w:pStyle w:val="naisf"/>
                    <w:spacing w:before="0" w:beforeAutospacing="0" w:after="0" w:afterAutospacing="0"/>
                    <w:jc w:val="both"/>
                  </w:pPr>
                  <w:r w:rsidRPr="009031B9">
                    <w:t>Ieņēmumu no pakalpojumiem kontrole un plānošana (atskaites datu salīdzināšana ar VSAA kontu izrakstiem, saņemto ieņēmumu reģistrēšana grāmatvedības uzskaitē; statistiskās un finanšu informācijas analizēšana, budžeta plānošana un izpildes kontrole).</w:t>
                  </w:r>
                </w:p>
              </w:tc>
            </w:tr>
          </w:tbl>
          <w:p w:rsidR="00A9683C" w:rsidRPr="009031B9" w:rsidRDefault="00A9683C" w:rsidP="00A9683C">
            <w:pPr>
              <w:pStyle w:val="naisf"/>
              <w:spacing w:before="0" w:beforeAutospacing="0" w:after="0" w:afterAutospacing="0"/>
              <w:jc w:val="both"/>
            </w:pPr>
            <w:r w:rsidRPr="009031B9">
              <w:t>Kā redzams no 1.tabulā uzrādītās informācijas, izziņu par sociāli apdrošināto personu sagatavošanas procesā veicam</w:t>
            </w:r>
            <w:r w:rsidR="00712DFC" w:rsidRPr="009031B9">
              <w:t>aj</w:t>
            </w:r>
            <w:r w:rsidRPr="009031B9">
              <w:t>ā</w:t>
            </w:r>
            <w:r w:rsidR="00712DFC" w:rsidRPr="009031B9">
              <w:t>m darbībām</w:t>
            </w:r>
            <w:r w:rsidRPr="009031B9">
              <w:t xml:space="preserve"> un to izpildē iesaistīto resursu izlietojums pēc 2014.gada ir palielinājies (procesa darbības 3. un 4.solis).</w:t>
            </w:r>
          </w:p>
          <w:p w:rsidR="00A9683C" w:rsidRPr="009031B9" w:rsidRDefault="00A9683C" w:rsidP="00A9683C">
            <w:pPr>
              <w:pStyle w:val="naisf"/>
              <w:spacing w:before="120" w:beforeAutospacing="0" w:after="0" w:afterAutospacing="0"/>
              <w:jc w:val="both"/>
            </w:pPr>
            <w:r w:rsidRPr="009031B9">
              <w:t xml:space="preserve">Papildus finanšu izmaiņas ietekmē arī izziņu sagatavošanas un nosūtīšanas pašizmaksas izmaiņas. </w:t>
            </w:r>
            <w:r w:rsidR="006B4CD8">
              <w:t>2006.gadā pieņemtais</w:t>
            </w:r>
            <w:r w:rsidRPr="009031B9">
              <w:t xml:space="preserve"> VSAA maksas pakalpojumu cenrādis</w:t>
            </w:r>
            <w:r w:rsidR="006B4CD8">
              <w:t xml:space="preserve"> (</w:t>
            </w:r>
            <w:r w:rsidR="006B4CD8" w:rsidRPr="006B4CD8">
              <w:t>Ministru kabineta 2006.gada 28.februāra noteikum</w:t>
            </w:r>
            <w:r w:rsidR="006B4CD8">
              <w:t>i</w:t>
            </w:r>
            <w:r w:rsidR="006B4CD8" w:rsidRPr="006B4CD8">
              <w:t xml:space="preserve"> Nr.177 „Noteikumi par Valsts sociālās apdrošināšanas aģentūras sniegto publisko maksas pakalpojumu cenrādi</w:t>
            </w:r>
            <w:r w:rsidR="006B4CD8">
              <w:t>”), aktualizējot cenas,</w:t>
            </w:r>
            <w:r w:rsidR="00732506">
              <w:t xml:space="preserve"> </w:t>
            </w:r>
            <w:r w:rsidRPr="009031B9">
              <w:t xml:space="preserve">tika </w:t>
            </w:r>
            <w:r w:rsidR="006B4CD8">
              <w:t>grozīts</w:t>
            </w:r>
            <w:r w:rsidRPr="009031B9">
              <w:t xml:space="preserve"> 2011.gadā, </w:t>
            </w:r>
            <w:r w:rsidR="00E04AE1">
              <w:t>pieņemot</w:t>
            </w:r>
            <w:r w:rsidR="00732506">
              <w:t xml:space="preserve"> </w:t>
            </w:r>
            <w:r w:rsidR="00347987">
              <w:t>Ministru kabineta</w:t>
            </w:r>
            <w:r w:rsidRPr="009031B9">
              <w:t xml:space="preserve"> 2011.gada 22.februāra noteikumus Nr.154 „Grozījums Ministru kabineta 2006.gada 28.februāra noteikumos Nr.177 „Noteikumi par Valsts sociālās apdrošināšanas aģentūras sniegto publisko maksas pakalpojumu cenrādi””.</w:t>
            </w:r>
          </w:p>
          <w:p w:rsidR="00A9683C" w:rsidRPr="009031B9" w:rsidRDefault="00E52B51" w:rsidP="00A9683C">
            <w:pPr>
              <w:pStyle w:val="naisf"/>
              <w:spacing w:before="0" w:beforeAutospacing="0" w:after="0" w:afterAutospacing="0"/>
              <w:jc w:val="both"/>
            </w:pPr>
            <w:r>
              <w:t>N</w:t>
            </w:r>
            <w:r w:rsidR="00A9683C" w:rsidRPr="009031B9">
              <w:t>o 2014.gada 1.janvāra</w:t>
            </w:r>
            <w:r>
              <w:t xml:space="preserve"> VSAA</w:t>
            </w:r>
            <w:r w:rsidR="00A9683C" w:rsidRPr="009031B9">
              <w:t xml:space="preserve"> iekasē maksu par šiem pakalpojumiem saskaņā ar </w:t>
            </w:r>
            <w:r w:rsidR="00347987">
              <w:t>Ministru kabineta</w:t>
            </w:r>
            <w:r w:rsidR="00A9683C" w:rsidRPr="009031B9">
              <w:t xml:space="preserve"> 2013.gada 10.septembra noteikumos Nr.797 „Valsts sociālās apdrošināšanas aģentūras maksas pakalpojumu cenrādis” noteikto cenrādi</w:t>
            </w:r>
            <w:r w:rsidR="006B4CD8">
              <w:t xml:space="preserve">, kurā </w:t>
            </w:r>
            <w:r w:rsidR="006B4CD8" w:rsidRPr="009031B9">
              <w:t xml:space="preserve">tika veikta tikai lata konvertācija uz </w:t>
            </w:r>
            <w:proofErr w:type="spellStart"/>
            <w:r w:rsidR="006B4CD8" w:rsidRPr="009031B9">
              <w:rPr>
                <w:i/>
              </w:rPr>
              <w:t>euro</w:t>
            </w:r>
            <w:proofErr w:type="spellEnd"/>
            <w:r w:rsidR="006B4CD8" w:rsidRPr="009031B9">
              <w:t xml:space="preserve">, </w:t>
            </w:r>
            <w:r w:rsidR="006B4CD8" w:rsidRPr="009031B9">
              <w:rPr>
                <w:i/>
              </w:rPr>
              <w:t>neveicot citas izmaiņas</w:t>
            </w:r>
            <w:r w:rsidR="006B4CD8" w:rsidRPr="009031B9">
              <w:t>.</w:t>
            </w:r>
            <w:r w:rsidR="00A9683C" w:rsidRPr="009031B9">
              <w:t>:</w:t>
            </w:r>
          </w:p>
          <w:p w:rsidR="00A9683C" w:rsidRPr="009031B9" w:rsidRDefault="00A9683C" w:rsidP="00A9683C">
            <w:pPr>
              <w:pStyle w:val="naisf"/>
              <w:numPr>
                <w:ilvl w:val="0"/>
                <w:numId w:val="12"/>
              </w:numPr>
              <w:spacing w:before="0" w:beforeAutospacing="0" w:after="0" w:afterAutospacing="0"/>
              <w:jc w:val="both"/>
            </w:pPr>
            <w:r w:rsidRPr="009031B9">
              <w:t xml:space="preserve">izziņas sagatavošanas par sociāli apdrošināto personu un nosūtīšanas </w:t>
            </w:r>
            <w:r w:rsidRPr="009031B9">
              <w:rPr>
                <w:i/>
              </w:rPr>
              <w:t>pa pastu</w:t>
            </w:r>
            <w:r w:rsidRPr="009031B9">
              <w:t xml:space="preserve"> pēc zvērināta advokāta, zvērināta tiesu izpildītāja pieprasījuma (turpmāk </w:t>
            </w:r>
            <w:r w:rsidR="00B21DD5">
              <w:t>–</w:t>
            </w:r>
            <w:r w:rsidRPr="009031B9">
              <w:t xml:space="preserve"> pasta</w:t>
            </w:r>
            <w:r w:rsidR="00732506">
              <w:t xml:space="preserve"> </w:t>
            </w:r>
            <w:r w:rsidRPr="009031B9">
              <w:t xml:space="preserve">izziņas) cena par vienu </w:t>
            </w:r>
            <w:proofErr w:type="spellStart"/>
            <w:r w:rsidRPr="009031B9">
              <w:t>personuir</w:t>
            </w:r>
            <w:proofErr w:type="spellEnd"/>
            <w:r w:rsidRPr="009031B9">
              <w:t xml:space="preserve"> 1,54 </w:t>
            </w:r>
            <w:proofErr w:type="spellStart"/>
            <w:r w:rsidRPr="009031B9">
              <w:rPr>
                <w:i/>
              </w:rPr>
              <w:t>euro</w:t>
            </w:r>
            <w:proofErr w:type="spellEnd"/>
            <w:r w:rsidRPr="009031B9">
              <w:t>;</w:t>
            </w:r>
          </w:p>
          <w:p w:rsidR="00A9683C" w:rsidRPr="009031B9" w:rsidRDefault="00A9683C" w:rsidP="00A9683C">
            <w:pPr>
              <w:pStyle w:val="naisf"/>
              <w:numPr>
                <w:ilvl w:val="0"/>
                <w:numId w:val="12"/>
              </w:numPr>
              <w:spacing w:before="0" w:beforeAutospacing="0" w:after="0" w:afterAutospacing="0"/>
              <w:jc w:val="both"/>
            </w:pPr>
            <w:r w:rsidRPr="009031B9">
              <w:t xml:space="preserve">izziņas sagatavošanas par sociāli apdrošināto personu un nosūtīšanas </w:t>
            </w:r>
            <w:r w:rsidRPr="009031B9">
              <w:rPr>
                <w:i/>
              </w:rPr>
              <w:t>elektroniski</w:t>
            </w:r>
            <w:r w:rsidRPr="009031B9">
              <w:t xml:space="preserve"> pēc zvērināta advokāta, zvērināta tiesu izpildītāja pieprasījuma (turpmāk </w:t>
            </w:r>
            <w:r w:rsidR="00B21DD5">
              <w:t>–</w:t>
            </w:r>
            <w:r w:rsidRPr="009031B9">
              <w:t xml:space="preserve"> elektroniskās</w:t>
            </w:r>
            <w:r w:rsidR="00732506">
              <w:t xml:space="preserve"> </w:t>
            </w:r>
            <w:r w:rsidRPr="009031B9">
              <w:t>izziņas) cena par vienu personu</w:t>
            </w:r>
            <w:r w:rsidR="00732506">
              <w:t xml:space="preserve"> </w:t>
            </w:r>
            <w:r w:rsidRPr="009031B9">
              <w:t xml:space="preserve">ir 0,63 </w:t>
            </w:r>
            <w:proofErr w:type="spellStart"/>
            <w:r w:rsidRPr="009031B9">
              <w:rPr>
                <w:i/>
              </w:rPr>
              <w:t>euro</w:t>
            </w:r>
            <w:proofErr w:type="spellEnd"/>
            <w:r w:rsidRPr="009031B9">
              <w:t>.</w:t>
            </w:r>
          </w:p>
          <w:p w:rsidR="00A9683C" w:rsidRPr="009031B9" w:rsidRDefault="00A9683C" w:rsidP="00A9683C">
            <w:pPr>
              <w:pStyle w:val="naisf"/>
              <w:spacing w:before="0" w:beforeAutospacing="0" w:after="0" w:afterAutospacing="0"/>
              <w:jc w:val="both"/>
            </w:pPr>
            <w:r w:rsidRPr="009031B9">
              <w:t xml:space="preserve">Veicot VSAA maksas pakalpojumu pašizmaksu aprēķinu 2014.gada cenās, ņemot vērā piešķirto budžetu un iesaistīto speciālistu 2014.gada amata algas un noslodzi sakarā ar informācijas par sociāli apdrošināto personu pieprasījumiem, pasta izziņu sagatavošanas un nosūtīšanas pašizmaksa 2014.gadā ir palielinājusies par 6,4% un veido 1,64 </w:t>
            </w:r>
            <w:proofErr w:type="spellStart"/>
            <w:r w:rsidRPr="009031B9">
              <w:rPr>
                <w:i/>
              </w:rPr>
              <w:t>euro</w:t>
            </w:r>
            <w:proofErr w:type="spellEnd"/>
            <w:r w:rsidRPr="009031B9">
              <w:t xml:space="preserve">, savukārt elektronisko izziņu pašizmaksa ir samazinājusies par 27,2% un veido 0,46 </w:t>
            </w:r>
            <w:proofErr w:type="spellStart"/>
            <w:r w:rsidRPr="009031B9">
              <w:rPr>
                <w:i/>
              </w:rPr>
              <w:t>euro</w:t>
            </w:r>
            <w:proofErr w:type="spellEnd"/>
            <w:r w:rsidRPr="009031B9">
              <w:t xml:space="preserve">. </w:t>
            </w:r>
          </w:p>
          <w:p w:rsidR="00F77836" w:rsidRPr="009031B9" w:rsidRDefault="00F77836" w:rsidP="00A9683C">
            <w:pPr>
              <w:pStyle w:val="naisf"/>
              <w:spacing w:before="0" w:beforeAutospacing="0" w:after="0" w:afterAutospacing="0"/>
              <w:jc w:val="both"/>
            </w:pPr>
          </w:p>
          <w:p w:rsidR="00A9683C" w:rsidRPr="009031B9" w:rsidRDefault="00A9683C" w:rsidP="00A9683C">
            <w:pPr>
              <w:pStyle w:val="naisf"/>
              <w:spacing w:before="0" w:beforeAutospacing="0" w:after="0" w:afterAutospacing="0"/>
              <w:jc w:val="both"/>
            </w:pPr>
            <w:r w:rsidRPr="009031B9">
              <w:t>Vienlaicīgi tiek prognozētas izmaiņas izsniedzamo izziņu apjomā. Tiek prognozēts, ka 2014.gadā pa pastu tiks nosūtītas 25 izziņas iepriekš plānoto 5 000 izziņu vietā, savukārt elektroniski tiks sagatavotas un nosūtītas 90 000 izziņas iepriekš plānoto 55 000 izziņu vietā.</w:t>
            </w:r>
          </w:p>
          <w:p w:rsidR="00A9683C" w:rsidRPr="009031B9" w:rsidRDefault="00A9683C" w:rsidP="00A9683C">
            <w:pPr>
              <w:pStyle w:val="naisf"/>
              <w:spacing w:before="0" w:beforeAutospacing="0" w:after="0" w:afterAutospacing="0"/>
              <w:jc w:val="both"/>
            </w:pPr>
            <w:r w:rsidRPr="009031B9">
              <w:t>Detalizēts pašizmaksu izmaiņ</w:t>
            </w:r>
            <w:r w:rsidR="006B3BCC" w:rsidRPr="009031B9">
              <w:t>u aprēķins iekļauts anotācijas</w:t>
            </w:r>
            <w:r w:rsidR="00732506">
              <w:t xml:space="preserve"> </w:t>
            </w:r>
            <w:r w:rsidRPr="009031B9">
              <w:t>pielikumā.</w:t>
            </w:r>
          </w:p>
          <w:p w:rsidR="00F77836" w:rsidRPr="009031B9" w:rsidRDefault="00F77836" w:rsidP="00A9683C">
            <w:pPr>
              <w:pStyle w:val="naisf"/>
              <w:spacing w:before="0" w:beforeAutospacing="0" w:after="0" w:afterAutospacing="0"/>
              <w:jc w:val="both"/>
            </w:pPr>
          </w:p>
          <w:p w:rsidR="00A9683C" w:rsidRPr="009031B9" w:rsidRDefault="00A9683C" w:rsidP="00A9683C">
            <w:pPr>
              <w:pStyle w:val="naisf"/>
              <w:spacing w:before="0" w:beforeAutospacing="0" w:after="0" w:afterAutospacing="0"/>
              <w:jc w:val="both"/>
            </w:pPr>
            <w:r w:rsidRPr="009031B9">
              <w:t>Pamatojoties uz iepriekš minētajiem riskiem:</w:t>
            </w:r>
          </w:p>
          <w:p w:rsidR="00A9683C" w:rsidRPr="009031B9" w:rsidRDefault="006B4CD8" w:rsidP="00A9683C">
            <w:pPr>
              <w:pStyle w:val="naisf"/>
              <w:numPr>
                <w:ilvl w:val="1"/>
                <w:numId w:val="13"/>
              </w:numPr>
              <w:spacing w:before="0" w:beforeAutospacing="0" w:after="0" w:afterAutospacing="0"/>
              <w:jc w:val="both"/>
            </w:pPr>
            <w:r>
              <w:t>bezmaksas izziņu izsniegšana zvērinātiem tiesu izpildītājiem atbilstoši</w:t>
            </w:r>
            <w:r w:rsidR="00A9683C" w:rsidRPr="009031B9">
              <w:t xml:space="preserve"> Civilprocesa likuma 551.panta pirmaj</w:t>
            </w:r>
            <w:r>
              <w:t>ai</w:t>
            </w:r>
            <w:r w:rsidR="00A9683C" w:rsidRPr="009031B9">
              <w:t xml:space="preserve"> daļ</w:t>
            </w:r>
            <w:r>
              <w:t>ai</w:t>
            </w:r>
            <w:r w:rsidR="00A9683C" w:rsidRPr="009031B9">
              <w:t>;</w:t>
            </w:r>
          </w:p>
          <w:p w:rsidR="00A9683C" w:rsidRPr="009031B9" w:rsidRDefault="00A9683C" w:rsidP="00A9683C">
            <w:pPr>
              <w:pStyle w:val="naisf"/>
              <w:numPr>
                <w:ilvl w:val="1"/>
                <w:numId w:val="13"/>
              </w:numPr>
              <w:spacing w:before="0" w:beforeAutospacing="0" w:after="0" w:afterAutospacing="0"/>
              <w:jc w:val="both"/>
            </w:pPr>
            <w:r w:rsidRPr="009031B9">
              <w:t>izziņu sagatavošanas procesā veicamo darbību palielināšanās;</w:t>
            </w:r>
          </w:p>
          <w:p w:rsidR="00A9683C" w:rsidRPr="009031B9" w:rsidRDefault="00A9683C" w:rsidP="00A9683C">
            <w:pPr>
              <w:pStyle w:val="naisf"/>
              <w:numPr>
                <w:ilvl w:val="1"/>
                <w:numId w:val="13"/>
              </w:numPr>
              <w:spacing w:before="0" w:beforeAutospacing="0" w:after="0" w:afterAutospacing="0"/>
              <w:jc w:val="both"/>
            </w:pPr>
            <w:r w:rsidRPr="009031B9">
              <w:t>izziņu sagatavošanas un nosūtīšanas pašizmaksas palielināšanās,</w:t>
            </w:r>
          </w:p>
          <w:p w:rsidR="00A9683C" w:rsidRPr="009031B9" w:rsidRDefault="00A9683C" w:rsidP="00A9683C">
            <w:pPr>
              <w:pStyle w:val="naisf"/>
              <w:spacing w:before="0" w:beforeAutospacing="0" w:after="0" w:afterAutospacing="0"/>
              <w:jc w:val="both"/>
            </w:pPr>
            <w:r w:rsidRPr="009031B9">
              <w:t xml:space="preserve">2014.gadā rezultātā sagaidāms naudas līdzekļu deficīts VSAA administratīvo izmaksu finansēšanai 41 387 </w:t>
            </w:r>
            <w:proofErr w:type="spellStart"/>
            <w:r w:rsidRPr="009031B9">
              <w:rPr>
                <w:i/>
              </w:rPr>
              <w:t>euro</w:t>
            </w:r>
            <w:proofErr w:type="spellEnd"/>
            <w:r w:rsidR="00982188">
              <w:rPr>
                <w:i/>
              </w:rPr>
              <w:t xml:space="preserve"> </w:t>
            </w:r>
            <w:r w:rsidRPr="009031B9">
              <w:t>apmērā.</w:t>
            </w:r>
          </w:p>
          <w:p w:rsidR="00F77836" w:rsidRPr="009031B9" w:rsidRDefault="00F77836" w:rsidP="00A9683C">
            <w:pPr>
              <w:spacing w:after="0" w:line="240" w:lineRule="auto"/>
              <w:ind w:left="-1" w:right="67"/>
              <w:jc w:val="both"/>
              <w:rPr>
                <w:rFonts w:ascii="Times New Roman" w:eastAsia="Times New Roman" w:hAnsi="Times New Roman" w:cs="Times New Roman"/>
                <w:iCs/>
                <w:sz w:val="24"/>
                <w:szCs w:val="24"/>
                <w:lang w:eastAsia="lv-LV"/>
              </w:rPr>
            </w:pPr>
          </w:p>
          <w:p w:rsidR="00F77836" w:rsidRPr="009031B9" w:rsidRDefault="00A9683C" w:rsidP="00F77836">
            <w:pPr>
              <w:spacing w:after="0" w:line="240" w:lineRule="auto"/>
              <w:ind w:left="-1" w:right="67"/>
              <w:jc w:val="both"/>
              <w:rPr>
                <w:rFonts w:ascii="Times New Roman" w:eastAsia="Times New Roman" w:hAnsi="Times New Roman" w:cs="Times New Roman"/>
                <w:sz w:val="24"/>
                <w:szCs w:val="24"/>
              </w:rPr>
            </w:pPr>
            <w:r w:rsidRPr="009031B9">
              <w:rPr>
                <w:rFonts w:ascii="Times New Roman" w:eastAsia="Times New Roman" w:hAnsi="Times New Roman" w:cs="Times New Roman"/>
                <w:iCs/>
                <w:sz w:val="24"/>
                <w:szCs w:val="24"/>
                <w:lang w:eastAsia="lv-LV"/>
              </w:rPr>
              <w:t xml:space="preserve">VSAA </w:t>
            </w:r>
            <w:r w:rsidRPr="009031B9">
              <w:rPr>
                <w:rFonts w:ascii="Times New Roman" w:hAnsi="Times New Roman" w:cs="Times New Roman"/>
                <w:sz w:val="24"/>
                <w:szCs w:val="24"/>
              </w:rPr>
              <w:t>naudas līdzekļu deficītu pamato arī VSAA</w:t>
            </w:r>
            <w:r w:rsidRPr="009031B9">
              <w:rPr>
                <w:rFonts w:ascii="Times New Roman" w:eastAsia="Times New Roman" w:hAnsi="Times New Roman" w:cs="Times New Roman"/>
                <w:iCs/>
                <w:sz w:val="24"/>
                <w:szCs w:val="24"/>
                <w:lang w:eastAsia="lv-LV"/>
              </w:rPr>
              <w:t xml:space="preserve"> speciālā budžeta ieņēmumu no maksas pakalpojumiem un citiem pašu ieņēmumiem </w:t>
            </w:r>
            <w:r w:rsidR="00F77836" w:rsidRPr="009031B9">
              <w:rPr>
                <w:rFonts w:ascii="Times New Roman" w:eastAsia="Times New Roman" w:hAnsi="Times New Roman" w:cs="Times New Roman"/>
                <w:iCs/>
                <w:sz w:val="24"/>
                <w:szCs w:val="24"/>
                <w:lang w:eastAsia="lv-LV"/>
              </w:rPr>
              <w:t xml:space="preserve">(turpmāk – ieņēmumi no maksas pakalpojumiem) </w:t>
            </w:r>
            <w:r w:rsidRPr="009031B9">
              <w:rPr>
                <w:rFonts w:ascii="Times New Roman" w:eastAsia="Times New Roman" w:hAnsi="Times New Roman" w:cs="Times New Roman"/>
                <w:sz w:val="24"/>
                <w:szCs w:val="24"/>
              </w:rPr>
              <w:t>par izziņu sagatavošanu pēc zvērinātu advokātu un zvērinātu tiesu izpildītāju pieprasījuma</w:t>
            </w:r>
            <w:r w:rsidRPr="009031B9">
              <w:rPr>
                <w:rFonts w:ascii="Times New Roman" w:eastAsia="Times New Roman" w:hAnsi="Times New Roman" w:cs="Times New Roman"/>
                <w:iCs/>
                <w:sz w:val="24"/>
                <w:szCs w:val="24"/>
                <w:lang w:eastAsia="lv-LV"/>
              </w:rPr>
              <w:t xml:space="preserve"> 2014.gada plāna izpildes dati, kas liecina, ka</w:t>
            </w:r>
            <w:r w:rsidRPr="009031B9">
              <w:rPr>
                <w:rFonts w:ascii="Times New Roman" w:eastAsia="Times New Roman" w:hAnsi="Times New Roman" w:cs="Times New Roman"/>
                <w:sz w:val="24"/>
                <w:szCs w:val="24"/>
              </w:rPr>
              <w:t xml:space="preserve"> 2014.gada piecos mēnešos tie ir iekasēti par 99,7% jeb 7 053 </w:t>
            </w:r>
            <w:proofErr w:type="spellStart"/>
            <w:r w:rsidRPr="009031B9">
              <w:rPr>
                <w:rFonts w:ascii="Times New Roman" w:eastAsia="Times New Roman" w:hAnsi="Times New Roman" w:cs="Times New Roman"/>
                <w:i/>
                <w:sz w:val="24"/>
                <w:szCs w:val="24"/>
              </w:rPr>
              <w:t>euro</w:t>
            </w:r>
            <w:proofErr w:type="spellEnd"/>
            <w:r w:rsidRPr="009031B9">
              <w:rPr>
                <w:rFonts w:ascii="Times New Roman" w:eastAsia="Times New Roman" w:hAnsi="Times New Roman" w:cs="Times New Roman"/>
                <w:sz w:val="24"/>
                <w:szCs w:val="24"/>
              </w:rPr>
              <w:t xml:space="preserve"> mazāk nekā plānots, bet 2014.gadā kopumā tiek prognozēta šo </w:t>
            </w:r>
            <w:r w:rsidRPr="009031B9">
              <w:rPr>
                <w:rFonts w:ascii="Times New Roman" w:eastAsia="Times New Roman" w:hAnsi="Times New Roman" w:cs="Times New Roman"/>
                <w:sz w:val="24"/>
                <w:szCs w:val="24"/>
              </w:rPr>
              <w:lastRenderedPageBreak/>
              <w:t>ieņēmumu neizpilde 97,5% apmērā.</w:t>
            </w:r>
          </w:p>
          <w:p w:rsidR="00736C55" w:rsidRPr="009031B9" w:rsidRDefault="00D011CB" w:rsidP="00D011CB">
            <w:pPr>
              <w:spacing w:after="0" w:line="240" w:lineRule="auto"/>
              <w:ind w:right="68"/>
              <w:jc w:val="both"/>
              <w:rPr>
                <w:rFonts w:ascii="Times New Roman" w:hAnsi="Times New Roman" w:cs="Times New Roman"/>
                <w:sz w:val="24"/>
                <w:szCs w:val="24"/>
              </w:rPr>
            </w:pPr>
            <w:r w:rsidRPr="009031B9">
              <w:rPr>
                <w:rFonts w:ascii="Times New Roman" w:eastAsia="Times New Roman" w:hAnsi="Times New Roman" w:cs="Times New Roman"/>
                <w:sz w:val="24"/>
                <w:szCs w:val="24"/>
              </w:rPr>
              <w:t xml:space="preserve">Ņemot vērā, ka VSAA ieņēmumi no maksas pakalpojumiem par izziņu sagatavošanu 2014.gadā kopumā ir plānoti 74,9% no kopējiem VSAA ieņēmumiem no maksas pakalpojumiem, iepriekš minēto ieņēmumu ievērojamā neizpilde var radīt būtisku risku </w:t>
            </w:r>
            <w:r w:rsidRPr="009031B9">
              <w:rPr>
                <w:rFonts w:ascii="Times New Roman" w:hAnsi="Times New Roman" w:cs="Times New Roman"/>
                <w:sz w:val="24"/>
                <w:szCs w:val="24"/>
              </w:rPr>
              <w:t>VSAA darbībai nepieciešamo izdevumu finansēšanā, jo ieņēmumi no maksas pakalpojumiem nesedz izdevumus, kas radušies VSAA pakalpojumu sniegšanas procesā.</w:t>
            </w:r>
          </w:p>
          <w:p w:rsidR="00736C55" w:rsidRPr="009031B9" w:rsidRDefault="00736C55" w:rsidP="00D011CB">
            <w:pPr>
              <w:spacing w:after="0" w:line="240" w:lineRule="auto"/>
              <w:ind w:right="68"/>
              <w:jc w:val="both"/>
              <w:rPr>
                <w:rFonts w:ascii="Times New Roman" w:hAnsi="Times New Roman" w:cs="Times New Roman"/>
                <w:sz w:val="24"/>
                <w:szCs w:val="24"/>
              </w:rPr>
            </w:pPr>
          </w:p>
          <w:p w:rsidR="00D011CB" w:rsidRPr="009031B9" w:rsidRDefault="00A9683C" w:rsidP="00D011CB">
            <w:pPr>
              <w:spacing w:after="0" w:line="240" w:lineRule="auto"/>
              <w:ind w:left="-1" w:right="67"/>
              <w:jc w:val="both"/>
              <w:rPr>
                <w:rFonts w:ascii="Times New Roman" w:hAnsi="Times New Roman" w:cs="Times New Roman"/>
                <w:sz w:val="24"/>
                <w:szCs w:val="24"/>
              </w:rPr>
            </w:pPr>
            <w:r w:rsidRPr="009031B9">
              <w:rPr>
                <w:rFonts w:ascii="Times New Roman" w:hAnsi="Times New Roman" w:cs="Times New Roman"/>
                <w:sz w:val="24"/>
                <w:szCs w:val="24"/>
              </w:rPr>
              <w:t>Spēkā esoš</w:t>
            </w:r>
            <w:r w:rsidR="006B4CD8">
              <w:rPr>
                <w:rFonts w:ascii="Times New Roman" w:hAnsi="Times New Roman" w:cs="Times New Roman"/>
                <w:sz w:val="24"/>
                <w:szCs w:val="24"/>
              </w:rPr>
              <w:t>ie normatīvie</w:t>
            </w:r>
            <w:r w:rsidRPr="009031B9">
              <w:rPr>
                <w:rFonts w:ascii="Times New Roman" w:hAnsi="Times New Roman" w:cs="Times New Roman"/>
                <w:sz w:val="24"/>
                <w:szCs w:val="24"/>
              </w:rPr>
              <w:t xml:space="preserve"> akt</w:t>
            </w:r>
            <w:r w:rsidR="006B4CD8">
              <w:rPr>
                <w:rFonts w:ascii="Times New Roman" w:hAnsi="Times New Roman" w:cs="Times New Roman"/>
                <w:sz w:val="24"/>
                <w:szCs w:val="24"/>
              </w:rPr>
              <w:t>i</w:t>
            </w:r>
            <w:r w:rsidRPr="009031B9">
              <w:rPr>
                <w:rFonts w:ascii="Times New Roman" w:hAnsi="Times New Roman" w:cs="Times New Roman"/>
                <w:sz w:val="24"/>
                <w:szCs w:val="24"/>
              </w:rPr>
              <w:t xml:space="preserve"> neparedz tiesības samazināt gadskārtējā valsts budžeta likumā noteikto apropriāciju</w:t>
            </w:r>
            <w:r w:rsidR="00412B84">
              <w:rPr>
                <w:rFonts w:ascii="Times New Roman" w:hAnsi="Times New Roman" w:cs="Times New Roman"/>
                <w:sz w:val="24"/>
                <w:szCs w:val="24"/>
              </w:rPr>
              <w:t xml:space="preserve"> valsts budžeta iestāžu ieņēmumiem</w:t>
            </w:r>
            <w:r w:rsidRPr="009031B9">
              <w:rPr>
                <w:rFonts w:ascii="Times New Roman" w:hAnsi="Times New Roman" w:cs="Times New Roman"/>
                <w:sz w:val="24"/>
                <w:szCs w:val="24"/>
              </w:rPr>
              <w:t xml:space="preserve"> par sniegtaj</w:t>
            </w:r>
            <w:r w:rsidR="00412B84">
              <w:rPr>
                <w:rFonts w:ascii="Times New Roman" w:hAnsi="Times New Roman" w:cs="Times New Roman"/>
                <w:sz w:val="24"/>
                <w:szCs w:val="24"/>
              </w:rPr>
              <w:t>iem maksas pakalpojumiem un citiem pašu ieņēmumiem</w:t>
            </w:r>
            <w:r w:rsidR="00806C12">
              <w:rPr>
                <w:rFonts w:ascii="Times New Roman" w:hAnsi="Times New Roman" w:cs="Times New Roman"/>
                <w:sz w:val="24"/>
                <w:szCs w:val="24"/>
              </w:rPr>
              <w:t>. L</w:t>
            </w:r>
            <w:r w:rsidRPr="009031B9">
              <w:rPr>
                <w:rFonts w:ascii="Times New Roman" w:hAnsi="Times New Roman" w:cs="Times New Roman"/>
                <w:sz w:val="24"/>
                <w:szCs w:val="24"/>
              </w:rPr>
              <w:t xml:space="preserve">īdz ar to </w:t>
            </w:r>
            <w:r w:rsidR="006B4CD8">
              <w:rPr>
                <w:rFonts w:ascii="Times New Roman" w:hAnsi="Times New Roman" w:cs="Times New Roman"/>
                <w:sz w:val="24"/>
                <w:szCs w:val="24"/>
              </w:rPr>
              <w:t>nav pamata</w:t>
            </w:r>
            <w:r w:rsidR="00982188">
              <w:rPr>
                <w:rFonts w:ascii="Times New Roman" w:hAnsi="Times New Roman" w:cs="Times New Roman"/>
                <w:sz w:val="24"/>
                <w:szCs w:val="24"/>
              </w:rPr>
              <w:t xml:space="preserve"> </w:t>
            </w:r>
            <w:r w:rsidR="00B26744">
              <w:rPr>
                <w:rFonts w:ascii="Times New Roman" w:hAnsi="Times New Roman" w:cs="Times New Roman"/>
                <w:sz w:val="24"/>
                <w:szCs w:val="24"/>
              </w:rPr>
              <w:t xml:space="preserve">Labklājības ministrijai pieprasīt 2014.gadā </w:t>
            </w:r>
            <w:r w:rsidRPr="009031B9">
              <w:rPr>
                <w:rFonts w:ascii="Times New Roman" w:hAnsi="Times New Roman" w:cs="Times New Roman"/>
                <w:sz w:val="24"/>
                <w:szCs w:val="24"/>
              </w:rPr>
              <w:t>samazināt VSAA speciālā budžetā plānotos ieņēmumus no maksas pakalpojumiem un citiem pašu ieņēmumiem.</w:t>
            </w:r>
          </w:p>
          <w:p w:rsidR="00D011CB" w:rsidRPr="009031B9" w:rsidRDefault="00D011CB" w:rsidP="00D011CB">
            <w:pPr>
              <w:spacing w:after="0" w:line="240" w:lineRule="auto"/>
              <w:ind w:left="-1" w:right="67"/>
              <w:jc w:val="both"/>
              <w:rPr>
                <w:rFonts w:ascii="Times New Roman" w:hAnsi="Times New Roman" w:cs="Times New Roman"/>
                <w:sz w:val="24"/>
                <w:szCs w:val="24"/>
              </w:rPr>
            </w:pPr>
          </w:p>
          <w:p w:rsidR="00F773BD" w:rsidRPr="00BF54AA" w:rsidRDefault="00A9683C" w:rsidP="00836175">
            <w:pPr>
              <w:pStyle w:val="naisf"/>
              <w:tabs>
                <w:tab w:val="left" w:pos="851"/>
              </w:tabs>
              <w:spacing w:before="0" w:beforeAutospacing="0" w:after="0" w:afterAutospacing="0"/>
              <w:jc w:val="both"/>
              <w:rPr>
                <w:sz w:val="26"/>
                <w:szCs w:val="26"/>
              </w:rPr>
            </w:pPr>
            <w:r w:rsidRPr="009031B9">
              <w:t>Lai novērstu ietekmi uz VSAA saistību izpildi un mazinātu kreditoru parādus</w:t>
            </w:r>
            <w:r w:rsidR="008E13F8">
              <w:t xml:space="preserve"> 2014.gadā</w:t>
            </w:r>
            <w:r w:rsidRPr="009031B9">
              <w:t xml:space="preserve">, Labklājības ministrija ierosina Ministru kabinetam </w:t>
            </w:r>
            <w:r w:rsidR="00D011CB" w:rsidRPr="009031B9">
              <w:t xml:space="preserve">pārdalīt </w:t>
            </w:r>
            <w:r w:rsidR="007618F2" w:rsidRPr="00836175">
              <w:t xml:space="preserve">finansējumu Labklājības ministrijas valsts sociālās apdrošināšanas speciālā budžeta apakšprogrammas 04.01.00 „Valsts pensiju speciālais budžets” ietvaros starp izdevumu kodiem atbilstoši ekonomiskajām kategorijām, samazinot izdevumus sociālajiem pabalstiem 41 387 </w:t>
            </w:r>
            <w:proofErr w:type="spellStart"/>
            <w:r w:rsidR="007618F2" w:rsidRPr="00836175">
              <w:rPr>
                <w:i/>
              </w:rPr>
              <w:t>euro</w:t>
            </w:r>
            <w:proofErr w:type="spellEnd"/>
            <w:r w:rsidR="00982188">
              <w:rPr>
                <w:i/>
              </w:rPr>
              <w:t xml:space="preserve"> </w:t>
            </w:r>
            <w:r w:rsidR="007618F2" w:rsidRPr="00836175">
              <w:t xml:space="preserve">apmērā un attiecīgi palielinot izdevumus valsts budžeta uzturēšanas izdevumu transfertiem no valsts speciālā budžeta uz valsts speciālo budžetu 41 387 </w:t>
            </w:r>
            <w:proofErr w:type="spellStart"/>
            <w:r w:rsidR="007618F2" w:rsidRPr="00836175">
              <w:rPr>
                <w:i/>
              </w:rPr>
              <w:t>euro</w:t>
            </w:r>
            <w:proofErr w:type="spellEnd"/>
            <w:r w:rsidR="007618F2" w:rsidRPr="00836175">
              <w:t xml:space="preserve"> apmērā. </w:t>
            </w:r>
            <w:r w:rsidR="00F773BD" w:rsidRPr="009031B9">
              <w:t>Vienlai</w:t>
            </w:r>
            <w:r w:rsidR="00F773BD">
              <w:t>kus</w:t>
            </w:r>
            <w:r w:rsidR="00D011CB" w:rsidRPr="009031B9">
              <w:t xml:space="preserve">, lai </w:t>
            </w:r>
            <w:r w:rsidR="00D011CB" w:rsidRPr="00F773BD">
              <w:t xml:space="preserve">segtu izdevumus, kas rada </w:t>
            </w:r>
            <w:r w:rsidR="00D011CB" w:rsidRPr="00F773BD">
              <w:rPr>
                <w:bCs/>
                <w:iCs/>
              </w:rPr>
              <w:t xml:space="preserve">VSAA speciālā budžeta finanšu nepietiekamību tās </w:t>
            </w:r>
            <w:r w:rsidR="006F5D28">
              <w:rPr>
                <w:bCs/>
                <w:iCs/>
              </w:rPr>
              <w:t>funkcijas</w:t>
            </w:r>
            <w:r w:rsidR="00D011CB" w:rsidRPr="00F773BD">
              <w:rPr>
                <w:bCs/>
                <w:iCs/>
              </w:rPr>
              <w:t xml:space="preserve"> nodrošināšanai, </w:t>
            </w:r>
            <w:r w:rsidR="00F773BD" w:rsidRPr="00836175">
              <w:t>valsts sociālās apdrošināšanas speciālā budžeta apakšprogrammā 04.05.00 „Valsts sociālās</w:t>
            </w:r>
            <w:r w:rsidR="00DE2A1C">
              <w:t xml:space="preserve"> apdrošināšanas</w:t>
            </w:r>
            <w:proofErr w:type="gramStart"/>
            <w:r w:rsidR="00DE2A1C">
              <w:t xml:space="preserve"> </w:t>
            </w:r>
            <w:r w:rsidR="00F773BD" w:rsidRPr="00836175">
              <w:t xml:space="preserve"> </w:t>
            </w:r>
            <w:proofErr w:type="gramEnd"/>
            <w:r w:rsidR="00F773BD" w:rsidRPr="00836175">
              <w:t xml:space="preserve">aģentūras speciālais budžets” palielināt ieņēmumus no valsts speciālā budžeta savstarpējiem transfertiem no valsts pensiju speciālā budžeta 41 387 </w:t>
            </w:r>
            <w:proofErr w:type="spellStart"/>
            <w:r w:rsidR="00F773BD" w:rsidRPr="00836175">
              <w:rPr>
                <w:i/>
              </w:rPr>
              <w:t>euro</w:t>
            </w:r>
            <w:proofErr w:type="spellEnd"/>
            <w:r w:rsidR="00F773BD" w:rsidRPr="00836175">
              <w:t xml:space="preserve"> apmērā. </w:t>
            </w:r>
          </w:p>
          <w:p w:rsidR="00D011CB" w:rsidRPr="009031B9" w:rsidRDefault="00D011CB" w:rsidP="00D011CB">
            <w:pPr>
              <w:spacing w:after="0" w:line="240" w:lineRule="auto"/>
              <w:ind w:left="-1" w:right="67"/>
              <w:jc w:val="both"/>
              <w:rPr>
                <w:rFonts w:ascii="Times New Roman" w:hAnsi="Times New Roman" w:cs="Times New Roman"/>
                <w:sz w:val="24"/>
                <w:szCs w:val="24"/>
              </w:rPr>
            </w:pPr>
          </w:p>
          <w:p w:rsidR="00FE2CEF" w:rsidRPr="009031B9" w:rsidRDefault="00677066" w:rsidP="008E13F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2014.gada valsts budžeta sagatavošanas procesā, vecuma pensiju saņēmēju skaits vidēji mēnesī tika plānots 471 933 cilvēki, </w:t>
            </w:r>
            <w:proofErr w:type="gramStart"/>
            <w:r w:rsidR="002E2AED">
              <w:rPr>
                <w:rFonts w:ascii="Times New Roman" w:hAnsi="Times New Roman" w:cs="Times New Roman"/>
                <w:sz w:val="24"/>
                <w:szCs w:val="24"/>
              </w:rPr>
              <w:t>savukārt,</w:t>
            </w:r>
            <w:proofErr w:type="gramEnd"/>
            <w:r>
              <w:rPr>
                <w:rFonts w:ascii="Times New Roman" w:hAnsi="Times New Roman" w:cs="Times New Roman"/>
                <w:sz w:val="24"/>
                <w:szCs w:val="24"/>
              </w:rPr>
              <w:t xml:space="preserve"> atbilstoši VSAA sniegtajai informācijai, 2014.gada I</w:t>
            </w:r>
            <w:r w:rsidR="00AD42F1">
              <w:rPr>
                <w:rFonts w:ascii="Times New Roman" w:hAnsi="Times New Roman" w:cs="Times New Roman"/>
                <w:sz w:val="24"/>
                <w:szCs w:val="24"/>
              </w:rPr>
              <w:t> </w:t>
            </w:r>
            <w:r>
              <w:rPr>
                <w:rFonts w:ascii="Times New Roman" w:hAnsi="Times New Roman" w:cs="Times New Roman"/>
                <w:sz w:val="24"/>
                <w:szCs w:val="24"/>
              </w:rPr>
              <w:t xml:space="preserve">ceturksnī vecuma pensiju saņēmēju skaits vidēji mēnesī bija 470 324 cilvēki. </w:t>
            </w:r>
            <w:r w:rsidR="005A5739">
              <w:rPr>
                <w:rFonts w:ascii="Times New Roman" w:eastAsia="Times New Roman" w:hAnsi="Times New Roman" w:cs="Times New Roman"/>
                <w:sz w:val="24"/>
                <w:szCs w:val="24"/>
                <w:lang w:eastAsia="lv-LV"/>
              </w:rPr>
              <w:t xml:space="preserve">2014.gada piecos mēnešos kopējo izdevumu izpilde </w:t>
            </w:r>
            <w:r w:rsidR="005A5739" w:rsidRPr="009031B9">
              <w:rPr>
                <w:rFonts w:ascii="Times New Roman" w:hAnsi="Times New Roman" w:cs="Times New Roman"/>
                <w:sz w:val="24"/>
                <w:szCs w:val="24"/>
              </w:rPr>
              <w:t>valsts sociālās apdrošināšanas</w:t>
            </w:r>
            <w:r w:rsidR="005A5739">
              <w:rPr>
                <w:rFonts w:ascii="Times New Roman" w:hAnsi="Times New Roman" w:cs="Times New Roman"/>
                <w:sz w:val="24"/>
                <w:szCs w:val="24"/>
              </w:rPr>
              <w:t xml:space="preserve"> speciālā budžeta apakšprogrammā</w:t>
            </w:r>
            <w:r w:rsidR="005A5739" w:rsidRPr="009031B9">
              <w:rPr>
                <w:rFonts w:ascii="Times New Roman" w:hAnsi="Times New Roman" w:cs="Times New Roman"/>
                <w:sz w:val="24"/>
                <w:szCs w:val="24"/>
              </w:rPr>
              <w:t xml:space="preserve"> 04.0</w:t>
            </w:r>
            <w:r w:rsidR="005A5739">
              <w:rPr>
                <w:rFonts w:ascii="Times New Roman" w:hAnsi="Times New Roman" w:cs="Times New Roman"/>
                <w:sz w:val="24"/>
                <w:szCs w:val="24"/>
              </w:rPr>
              <w:t>1</w:t>
            </w:r>
            <w:r w:rsidR="005A5739" w:rsidRPr="009031B9">
              <w:rPr>
                <w:rFonts w:ascii="Times New Roman" w:hAnsi="Times New Roman" w:cs="Times New Roman"/>
                <w:sz w:val="24"/>
                <w:szCs w:val="24"/>
              </w:rPr>
              <w:t>.00</w:t>
            </w:r>
            <w:r w:rsidR="005A5739">
              <w:rPr>
                <w:rFonts w:ascii="Times New Roman" w:hAnsi="Times New Roman" w:cs="Times New Roman"/>
                <w:sz w:val="24"/>
                <w:szCs w:val="24"/>
              </w:rPr>
              <w:t xml:space="preserve"> „Valsts pensiju</w:t>
            </w:r>
            <w:r w:rsidR="005A5739" w:rsidRPr="009031B9">
              <w:rPr>
                <w:rFonts w:ascii="Times New Roman" w:hAnsi="Times New Roman" w:cs="Times New Roman"/>
                <w:sz w:val="24"/>
                <w:szCs w:val="24"/>
              </w:rPr>
              <w:t xml:space="preserve"> speciālais budžets”</w:t>
            </w:r>
            <w:r w:rsidR="005A5739">
              <w:rPr>
                <w:rFonts w:ascii="Times New Roman" w:hAnsi="Times New Roman" w:cs="Times New Roman"/>
                <w:sz w:val="24"/>
                <w:szCs w:val="24"/>
              </w:rPr>
              <w:t xml:space="preserve"> bija 3</w:t>
            </w:r>
            <w:r w:rsidR="00033EEF">
              <w:rPr>
                <w:rFonts w:ascii="Times New Roman" w:hAnsi="Times New Roman" w:cs="Times New Roman"/>
                <w:sz w:val="24"/>
                <w:szCs w:val="24"/>
              </w:rPr>
              <w:t xml:space="preserve">9,6% plānoto 39,8% vietā. </w:t>
            </w:r>
            <w:r w:rsidR="00AD42F1">
              <w:rPr>
                <w:rFonts w:ascii="Times New Roman" w:hAnsi="Times New Roman" w:cs="Times New Roman"/>
                <w:sz w:val="24"/>
                <w:szCs w:val="24"/>
              </w:rPr>
              <w:t>Savukārt, s</w:t>
            </w:r>
            <w:r w:rsidR="00033EEF">
              <w:rPr>
                <w:rFonts w:ascii="Times New Roman" w:hAnsi="Times New Roman" w:cs="Times New Roman"/>
                <w:sz w:val="24"/>
                <w:szCs w:val="24"/>
              </w:rPr>
              <w:t>alīdzinot ar 2014.gada piecos mēnešos plānotajiem izdevumiem, valsts pensiju speciāl</w:t>
            </w:r>
            <w:r>
              <w:rPr>
                <w:rFonts w:ascii="Times New Roman" w:hAnsi="Times New Roman" w:cs="Times New Roman"/>
                <w:sz w:val="24"/>
                <w:szCs w:val="24"/>
              </w:rPr>
              <w:t>ajā</w:t>
            </w:r>
            <w:r w:rsidR="00033EEF">
              <w:rPr>
                <w:rFonts w:ascii="Times New Roman" w:hAnsi="Times New Roman" w:cs="Times New Roman"/>
                <w:sz w:val="24"/>
                <w:szCs w:val="24"/>
              </w:rPr>
              <w:t xml:space="preserve"> budžetā izveidojās līdzekļu ekonomija 3,3 milj. </w:t>
            </w:r>
            <w:proofErr w:type="spellStart"/>
            <w:r w:rsidR="00033EEF" w:rsidRPr="00033EEF">
              <w:rPr>
                <w:rFonts w:ascii="Times New Roman" w:hAnsi="Times New Roman" w:cs="Times New Roman"/>
                <w:i/>
                <w:sz w:val="24"/>
                <w:szCs w:val="24"/>
              </w:rPr>
              <w:t>euro</w:t>
            </w:r>
            <w:proofErr w:type="spellEnd"/>
            <w:r w:rsidR="00033EEF">
              <w:rPr>
                <w:rFonts w:ascii="Times New Roman" w:hAnsi="Times New Roman" w:cs="Times New Roman"/>
                <w:sz w:val="24"/>
                <w:szCs w:val="24"/>
              </w:rPr>
              <w:t xml:space="preserve"> apmērā.</w:t>
            </w:r>
            <w:r w:rsidR="00982188">
              <w:rPr>
                <w:rFonts w:ascii="Times New Roman" w:hAnsi="Times New Roman" w:cs="Times New Roman"/>
                <w:sz w:val="24"/>
                <w:szCs w:val="24"/>
              </w:rPr>
              <w:t xml:space="preserve"> </w:t>
            </w:r>
            <w:r>
              <w:rPr>
                <w:rFonts w:ascii="Times New Roman" w:hAnsi="Times New Roman" w:cs="Times New Roman"/>
                <w:sz w:val="24"/>
                <w:szCs w:val="24"/>
              </w:rPr>
              <w:t>Līdz ar to Labklājības ministrija prognozē, ka 2014.gadā kopā valsts pensiju speciālajā budžetā izdevumos veidosies līdzekļu ekonomija un iepriekš m</w:t>
            </w:r>
            <w:r w:rsidRPr="009031B9">
              <w:rPr>
                <w:rFonts w:ascii="Times New Roman" w:eastAsia="Times New Roman" w:hAnsi="Times New Roman" w:cs="Times New Roman"/>
                <w:sz w:val="24"/>
                <w:szCs w:val="24"/>
                <w:lang w:eastAsia="lv-LV"/>
              </w:rPr>
              <w:t xml:space="preserve">inētā </w:t>
            </w:r>
            <w:r>
              <w:rPr>
                <w:rFonts w:ascii="Times New Roman" w:eastAsia="Times New Roman" w:hAnsi="Times New Roman" w:cs="Times New Roman"/>
                <w:sz w:val="24"/>
                <w:szCs w:val="24"/>
                <w:lang w:eastAsia="lv-LV"/>
              </w:rPr>
              <w:t xml:space="preserve">apropriācijas pārdale </w:t>
            </w:r>
            <w:r w:rsidRPr="009031B9">
              <w:rPr>
                <w:rFonts w:ascii="Times New Roman" w:hAnsi="Times New Roman" w:cs="Times New Roman"/>
                <w:sz w:val="24"/>
                <w:szCs w:val="24"/>
              </w:rPr>
              <w:t xml:space="preserve">valsts sociālās apdrošināšanas speciālā budžeta apakšprogrammas 04.01.00 „Valsts pensiju speciālais budžets” ietvaros </w:t>
            </w:r>
            <w:r>
              <w:rPr>
                <w:rFonts w:ascii="Times New Roman" w:hAnsi="Times New Roman" w:cs="Times New Roman"/>
                <w:sz w:val="24"/>
                <w:szCs w:val="24"/>
              </w:rPr>
              <w:t>un</w:t>
            </w:r>
            <w:r w:rsidR="00982188">
              <w:rPr>
                <w:rFonts w:ascii="Times New Roman" w:hAnsi="Times New Roman" w:cs="Times New Roman"/>
                <w:sz w:val="24"/>
                <w:szCs w:val="24"/>
              </w:rPr>
              <w:t xml:space="preserve"> </w:t>
            </w:r>
            <w:r w:rsidRPr="009031B9">
              <w:rPr>
                <w:rFonts w:ascii="Times New Roman" w:eastAsia="Times New Roman" w:hAnsi="Times New Roman" w:cs="Times New Roman"/>
                <w:sz w:val="24"/>
                <w:szCs w:val="24"/>
                <w:lang w:eastAsia="lv-LV"/>
              </w:rPr>
              <w:t xml:space="preserve">finansējuma novirzīšana no valsts pensiju speciālā budžeta uz VSAA speciālo budžetu neradīs </w:t>
            </w:r>
            <w:r>
              <w:rPr>
                <w:rFonts w:ascii="Times New Roman" w:eastAsia="Times New Roman" w:hAnsi="Times New Roman" w:cs="Times New Roman"/>
                <w:sz w:val="24"/>
                <w:szCs w:val="24"/>
                <w:lang w:eastAsia="lv-LV"/>
              </w:rPr>
              <w:t>finansējuma nepietiekamību</w:t>
            </w:r>
            <w:r w:rsidRPr="009031B9">
              <w:rPr>
                <w:rFonts w:ascii="Times New Roman" w:eastAsia="Times New Roman" w:hAnsi="Times New Roman" w:cs="Times New Roman"/>
                <w:sz w:val="24"/>
                <w:szCs w:val="24"/>
                <w:lang w:eastAsia="lv-LV"/>
              </w:rPr>
              <w:t xml:space="preserve"> valsts pensiju speciālā budžeta pakalpojumu izmaksai 2014.gadā.</w:t>
            </w:r>
          </w:p>
        </w:tc>
      </w:tr>
      <w:tr w:rsidR="0087153D" w:rsidRPr="009031B9" w:rsidTr="0087153D">
        <w:trPr>
          <w:trHeight w:val="465"/>
          <w:jc w:val="center"/>
        </w:trPr>
        <w:tc>
          <w:tcPr>
            <w:tcW w:w="174" w:type="pct"/>
            <w:tcBorders>
              <w:top w:val="outset" w:sz="6" w:space="0" w:color="414142"/>
              <w:left w:val="outset" w:sz="6" w:space="0" w:color="414142"/>
              <w:bottom w:val="outset" w:sz="6" w:space="0" w:color="414142"/>
              <w:right w:val="outset" w:sz="6" w:space="0" w:color="414142"/>
            </w:tcBorders>
            <w:hideMark/>
          </w:tcPr>
          <w:p w:rsidR="00FE2CEF" w:rsidRPr="009031B9"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031B9">
              <w:rPr>
                <w:rFonts w:ascii="Times New Roman" w:eastAsia="Times New Roman" w:hAnsi="Times New Roman" w:cs="Times New Roman"/>
                <w:sz w:val="24"/>
                <w:szCs w:val="24"/>
                <w:lang w:eastAsia="lv-LV"/>
              </w:rPr>
              <w:lastRenderedPageBreak/>
              <w:t>3.</w:t>
            </w:r>
          </w:p>
        </w:tc>
        <w:tc>
          <w:tcPr>
            <w:tcW w:w="707" w:type="pct"/>
            <w:tcBorders>
              <w:top w:val="outset" w:sz="6" w:space="0" w:color="414142"/>
              <w:left w:val="outset" w:sz="6" w:space="0" w:color="414142"/>
              <w:bottom w:val="outset" w:sz="6" w:space="0" w:color="414142"/>
              <w:right w:val="outset" w:sz="6" w:space="0" w:color="414142"/>
            </w:tcBorders>
            <w:hideMark/>
          </w:tcPr>
          <w:p w:rsidR="00FE2CEF" w:rsidRPr="009031B9" w:rsidRDefault="00FE2CEF" w:rsidP="00AF6A8F">
            <w:pPr>
              <w:spacing w:after="0" w:line="240" w:lineRule="auto"/>
              <w:rPr>
                <w:rFonts w:ascii="Times New Roman" w:eastAsia="Times New Roman" w:hAnsi="Times New Roman" w:cs="Times New Roman"/>
                <w:sz w:val="24"/>
                <w:szCs w:val="24"/>
                <w:lang w:eastAsia="lv-LV"/>
              </w:rPr>
            </w:pPr>
            <w:r w:rsidRPr="009031B9">
              <w:rPr>
                <w:rFonts w:ascii="Times New Roman" w:eastAsia="Times New Roman" w:hAnsi="Times New Roman" w:cs="Times New Roman"/>
                <w:sz w:val="24"/>
                <w:szCs w:val="24"/>
                <w:lang w:eastAsia="lv-LV"/>
              </w:rPr>
              <w:t>Projekta izstrādē iesaistītās institūcijas</w:t>
            </w:r>
          </w:p>
        </w:tc>
        <w:tc>
          <w:tcPr>
            <w:tcW w:w="4119" w:type="pct"/>
            <w:tcBorders>
              <w:top w:val="outset" w:sz="6" w:space="0" w:color="414142"/>
              <w:left w:val="outset" w:sz="6" w:space="0" w:color="414142"/>
              <w:bottom w:val="outset" w:sz="6" w:space="0" w:color="414142"/>
              <w:right w:val="outset" w:sz="6" w:space="0" w:color="414142"/>
            </w:tcBorders>
            <w:hideMark/>
          </w:tcPr>
          <w:p w:rsidR="00FE2CEF" w:rsidRPr="009031B9" w:rsidRDefault="009F787A" w:rsidP="009F787A">
            <w:pPr>
              <w:spacing w:after="0" w:line="240" w:lineRule="auto"/>
              <w:rPr>
                <w:rFonts w:ascii="Times New Roman" w:eastAsia="Times New Roman" w:hAnsi="Times New Roman" w:cs="Times New Roman"/>
                <w:sz w:val="24"/>
                <w:szCs w:val="24"/>
                <w:lang w:eastAsia="lv-LV"/>
              </w:rPr>
            </w:pPr>
            <w:r w:rsidRPr="009031B9">
              <w:rPr>
                <w:rFonts w:ascii="Times New Roman" w:eastAsia="Calibri" w:hAnsi="Times New Roman" w:cs="Times New Roman"/>
                <w:sz w:val="24"/>
                <w:szCs w:val="24"/>
              </w:rPr>
              <w:t>VSAA</w:t>
            </w:r>
            <w:r w:rsidR="00FE2CEF" w:rsidRPr="009031B9">
              <w:rPr>
                <w:rFonts w:ascii="Times New Roman" w:eastAsia="Calibri" w:hAnsi="Times New Roman" w:cs="Times New Roman"/>
                <w:sz w:val="24"/>
                <w:szCs w:val="24"/>
              </w:rPr>
              <w:t>.</w:t>
            </w:r>
          </w:p>
        </w:tc>
      </w:tr>
      <w:tr w:rsidR="0087153D" w:rsidRPr="009031B9" w:rsidTr="0087153D">
        <w:trPr>
          <w:jc w:val="center"/>
        </w:trPr>
        <w:tc>
          <w:tcPr>
            <w:tcW w:w="174" w:type="pct"/>
            <w:tcBorders>
              <w:top w:val="outset" w:sz="6" w:space="0" w:color="414142"/>
              <w:left w:val="outset" w:sz="6" w:space="0" w:color="414142"/>
              <w:bottom w:val="outset" w:sz="6" w:space="0" w:color="414142"/>
              <w:right w:val="outset" w:sz="6" w:space="0" w:color="414142"/>
            </w:tcBorders>
            <w:hideMark/>
          </w:tcPr>
          <w:p w:rsidR="00FE2CEF" w:rsidRPr="009031B9"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9031B9">
              <w:rPr>
                <w:rFonts w:ascii="Times New Roman" w:eastAsia="Times New Roman" w:hAnsi="Times New Roman" w:cs="Times New Roman"/>
                <w:sz w:val="24"/>
                <w:szCs w:val="24"/>
                <w:lang w:eastAsia="lv-LV"/>
              </w:rPr>
              <w:t>4.</w:t>
            </w:r>
          </w:p>
        </w:tc>
        <w:tc>
          <w:tcPr>
            <w:tcW w:w="707" w:type="pct"/>
            <w:tcBorders>
              <w:top w:val="outset" w:sz="6" w:space="0" w:color="414142"/>
              <w:left w:val="outset" w:sz="6" w:space="0" w:color="414142"/>
              <w:bottom w:val="outset" w:sz="6" w:space="0" w:color="414142"/>
              <w:right w:val="outset" w:sz="6" w:space="0" w:color="414142"/>
            </w:tcBorders>
            <w:hideMark/>
          </w:tcPr>
          <w:p w:rsidR="00FE2CEF" w:rsidRPr="009031B9" w:rsidRDefault="00FE2CEF" w:rsidP="00AF6A8F">
            <w:pPr>
              <w:spacing w:after="0" w:line="240" w:lineRule="auto"/>
              <w:rPr>
                <w:rFonts w:ascii="Times New Roman" w:eastAsia="Times New Roman" w:hAnsi="Times New Roman" w:cs="Times New Roman"/>
                <w:sz w:val="24"/>
                <w:szCs w:val="24"/>
                <w:lang w:eastAsia="lv-LV"/>
              </w:rPr>
            </w:pPr>
            <w:r w:rsidRPr="009031B9">
              <w:rPr>
                <w:rFonts w:ascii="Times New Roman" w:eastAsia="Times New Roman" w:hAnsi="Times New Roman" w:cs="Times New Roman"/>
                <w:sz w:val="24"/>
                <w:szCs w:val="24"/>
                <w:lang w:eastAsia="lv-LV"/>
              </w:rPr>
              <w:t>Cita informācija</w:t>
            </w:r>
          </w:p>
        </w:tc>
        <w:tc>
          <w:tcPr>
            <w:tcW w:w="4119" w:type="pct"/>
            <w:tcBorders>
              <w:top w:val="outset" w:sz="6" w:space="0" w:color="414142"/>
              <w:left w:val="outset" w:sz="6" w:space="0" w:color="414142"/>
              <w:bottom w:val="outset" w:sz="6" w:space="0" w:color="414142"/>
              <w:right w:val="outset" w:sz="6" w:space="0" w:color="414142"/>
            </w:tcBorders>
            <w:hideMark/>
          </w:tcPr>
          <w:p w:rsidR="005F5E23" w:rsidRPr="00D22CE8" w:rsidRDefault="008F179D" w:rsidP="008F179D">
            <w:pPr>
              <w:spacing w:after="0" w:line="240" w:lineRule="auto"/>
              <w:ind w:right="99"/>
              <w:jc w:val="both"/>
              <w:rPr>
                <w:rFonts w:ascii="Times New Roman" w:eastAsia="Times New Roman" w:hAnsi="Times New Roman" w:cs="Times New Roman"/>
                <w:sz w:val="24"/>
                <w:szCs w:val="24"/>
              </w:rPr>
            </w:pPr>
            <w:r w:rsidRPr="00D22CE8">
              <w:rPr>
                <w:rFonts w:ascii="Times New Roman" w:eastAsia="Times New Roman" w:hAnsi="Times New Roman" w:cs="Times New Roman"/>
                <w:sz w:val="24"/>
                <w:szCs w:val="24"/>
              </w:rPr>
              <w:t xml:space="preserve">Lai atrisinātu anotācijas šīs sadaļas 2.punktā minēto problēmu turpmākajiem gadiem, nepieciešams pieņemt lēmumu par tās risinājumu, sākot no 2015. gada. </w:t>
            </w:r>
          </w:p>
          <w:p w:rsidR="00836175" w:rsidRDefault="00587D90" w:rsidP="008F179D">
            <w:pPr>
              <w:spacing w:after="0" w:line="240" w:lineRule="auto"/>
              <w:ind w:right="99"/>
              <w:jc w:val="both"/>
              <w:rPr>
                <w:rFonts w:ascii="Times New Roman" w:hAnsi="Times New Roman" w:cs="Times New Roman"/>
                <w:sz w:val="24"/>
                <w:szCs w:val="24"/>
              </w:rPr>
            </w:pPr>
            <w:r>
              <w:rPr>
                <w:rFonts w:ascii="Times New Roman" w:eastAsia="Times New Roman" w:hAnsi="Times New Roman" w:cs="Times New Roman"/>
                <w:sz w:val="24"/>
                <w:szCs w:val="24"/>
              </w:rPr>
              <w:t>Ministru kabineta</w:t>
            </w:r>
            <w:r w:rsidR="008F179D" w:rsidRPr="00D22CE8">
              <w:rPr>
                <w:rFonts w:ascii="Times New Roman" w:eastAsia="Times New Roman" w:hAnsi="Times New Roman" w:cs="Times New Roman"/>
                <w:sz w:val="24"/>
                <w:szCs w:val="24"/>
              </w:rPr>
              <w:t xml:space="preserve"> r</w:t>
            </w:r>
            <w:r w:rsidR="005F5E23" w:rsidRPr="00D22CE8">
              <w:rPr>
                <w:rFonts w:ascii="Times New Roman" w:eastAsia="Times New Roman" w:hAnsi="Times New Roman" w:cs="Times New Roman"/>
                <w:sz w:val="24"/>
                <w:szCs w:val="24"/>
              </w:rPr>
              <w:t>īkojuma projektam pievienotais</w:t>
            </w:r>
            <w:r w:rsidR="00982188">
              <w:rPr>
                <w:rFonts w:ascii="Times New Roman" w:eastAsia="Times New Roman" w:hAnsi="Times New Roman" w:cs="Times New Roman"/>
                <w:sz w:val="24"/>
                <w:szCs w:val="24"/>
              </w:rPr>
              <w:t xml:space="preserve"> </w:t>
            </w:r>
            <w:r w:rsidR="005F5E23" w:rsidRPr="00D22CE8">
              <w:rPr>
                <w:rFonts w:ascii="Times New Roman" w:eastAsia="Times New Roman" w:hAnsi="Times New Roman" w:cs="Times New Roman"/>
                <w:sz w:val="24"/>
                <w:szCs w:val="24"/>
              </w:rPr>
              <w:t>M</w:t>
            </w:r>
            <w:r>
              <w:rPr>
                <w:rFonts w:ascii="Times New Roman" w:eastAsia="Times New Roman" w:hAnsi="Times New Roman" w:cs="Times New Roman"/>
                <w:sz w:val="24"/>
                <w:szCs w:val="24"/>
              </w:rPr>
              <w:t>inistru kabineta</w:t>
            </w:r>
            <w:r w:rsidR="00982188">
              <w:rPr>
                <w:rFonts w:ascii="Times New Roman" w:eastAsia="Times New Roman" w:hAnsi="Times New Roman" w:cs="Times New Roman"/>
                <w:sz w:val="24"/>
                <w:szCs w:val="24"/>
              </w:rPr>
              <w:t xml:space="preserve"> </w:t>
            </w:r>
            <w:proofErr w:type="spellStart"/>
            <w:r w:rsidR="005F5E23" w:rsidRPr="00D22CE8">
              <w:rPr>
                <w:rFonts w:ascii="Times New Roman" w:eastAsia="Times New Roman" w:hAnsi="Times New Roman" w:cs="Times New Roman"/>
                <w:sz w:val="24"/>
                <w:szCs w:val="24"/>
              </w:rPr>
              <w:t>protokollēmuma</w:t>
            </w:r>
            <w:proofErr w:type="spellEnd"/>
            <w:r w:rsidR="005F5E23" w:rsidRPr="00D22CE8">
              <w:rPr>
                <w:rFonts w:ascii="Times New Roman" w:eastAsia="Times New Roman" w:hAnsi="Times New Roman" w:cs="Times New Roman"/>
                <w:sz w:val="24"/>
                <w:szCs w:val="24"/>
              </w:rPr>
              <w:t xml:space="preserve"> 2.punkts paredz </w:t>
            </w:r>
            <w:r w:rsidR="001E24BF">
              <w:rPr>
                <w:rFonts w:ascii="Times New Roman" w:eastAsia="Times New Roman" w:hAnsi="Times New Roman" w:cs="Times New Roman"/>
                <w:sz w:val="24"/>
                <w:szCs w:val="24"/>
              </w:rPr>
              <w:t>uzdevumu</w:t>
            </w:r>
            <w:r w:rsidR="00982188">
              <w:rPr>
                <w:rFonts w:ascii="Times New Roman" w:eastAsia="Times New Roman" w:hAnsi="Times New Roman" w:cs="Times New Roman"/>
                <w:sz w:val="24"/>
                <w:szCs w:val="24"/>
              </w:rPr>
              <w:t xml:space="preserve"> </w:t>
            </w:r>
            <w:r w:rsidR="00451E10" w:rsidRPr="00D22CE8">
              <w:rPr>
                <w:rFonts w:ascii="Times New Roman" w:hAnsi="Times New Roman" w:cs="Times New Roman"/>
                <w:sz w:val="24"/>
                <w:szCs w:val="24"/>
              </w:rPr>
              <w:t xml:space="preserve">Labklājības ministrijai, </w:t>
            </w:r>
            <w:r w:rsidR="00836175" w:rsidRPr="00836175">
              <w:rPr>
                <w:rFonts w:ascii="Times New Roman" w:hAnsi="Times New Roman" w:cs="Times New Roman"/>
                <w:sz w:val="24"/>
                <w:szCs w:val="24"/>
              </w:rPr>
              <w:t>sagatavojot valsts sociālās apdrošināšanas speciālā budžeta bāzes aprēķinu 2015.gadam un turpmākajiem gadiem, iekļaut priekšlikumu par ieņēmumu no maksas pakalpojumiem un cit</w:t>
            </w:r>
            <w:r w:rsidR="00C11E04">
              <w:rPr>
                <w:rFonts w:ascii="Times New Roman" w:hAnsi="Times New Roman" w:cs="Times New Roman"/>
                <w:sz w:val="24"/>
                <w:szCs w:val="24"/>
              </w:rPr>
              <w:t>iem</w:t>
            </w:r>
            <w:r w:rsidR="00836175" w:rsidRPr="00836175">
              <w:rPr>
                <w:rFonts w:ascii="Times New Roman" w:hAnsi="Times New Roman" w:cs="Times New Roman"/>
                <w:sz w:val="24"/>
                <w:szCs w:val="24"/>
              </w:rPr>
              <w:t xml:space="preserve"> pašu ieņēmum</w:t>
            </w:r>
            <w:r w:rsidR="00C11E04">
              <w:rPr>
                <w:rFonts w:ascii="Times New Roman" w:hAnsi="Times New Roman" w:cs="Times New Roman"/>
                <w:sz w:val="24"/>
                <w:szCs w:val="24"/>
              </w:rPr>
              <w:t>iem</w:t>
            </w:r>
            <w:r w:rsidR="00836175" w:rsidRPr="00836175">
              <w:rPr>
                <w:rFonts w:ascii="Times New Roman" w:hAnsi="Times New Roman" w:cs="Times New Roman"/>
                <w:sz w:val="24"/>
                <w:szCs w:val="24"/>
              </w:rPr>
              <w:t xml:space="preserve"> samazināšanu 41 387 </w:t>
            </w:r>
            <w:proofErr w:type="spellStart"/>
            <w:r w:rsidR="00836175" w:rsidRPr="00836175">
              <w:rPr>
                <w:rStyle w:val="Emphasis"/>
                <w:rFonts w:ascii="Times New Roman" w:hAnsi="Times New Roman" w:cs="Times New Roman"/>
                <w:sz w:val="24"/>
                <w:szCs w:val="24"/>
              </w:rPr>
              <w:t>euro</w:t>
            </w:r>
            <w:proofErr w:type="spellEnd"/>
            <w:r w:rsidR="00836175" w:rsidRPr="00836175">
              <w:rPr>
                <w:rFonts w:ascii="Times New Roman" w:hAnsi="Times New Roman" w:cs="Times New Roman"/>
                <w:sz w:val="24"/>
                <w:szCs w:val="24"/>
              </w:rPr>
              <w:t xml:space="preserve"> apmērā un ieņēmumu no valsts speciālā budžeta savstarpējiem transfertiem no valsts speciālajiem budžetiem palielināšanu 41 387 </w:t>
            </w:r>
            <w:proofErr w:type="spellStart"/>
            <w:r w:rsidR="00836175" w:rsidRPr="00836175">
              <w:rPr>
                <w:rStyle w:val="Emphasis"/>
                <w:rFonts w:ascii="Times New Roman" w:hAnsi="Times New Roman" w:cs="Times New Roman"/>
                <w:sz w:val="24"/>
                <w:szCs w:val="24"/>
              </w:rPr>
              <w:t>euro</w:t>
            </w:r>
            <w:proofErr w:type="spellEnd"/>
            <w:r w:rsidR="00836175" w:rsidRPr="00836175">
              <w:rPr>
                <w:rFonts w:ascii="Times New Roman" w:hAnsi="Times New Roman" w:cs="Times New Roman"/>
                <w:sz w:val="24"/>
                <w:szCs w:val="24"/>
              </w:rPr>
              <w:t xml:space="preserve"> apmērā valsts sociālās apdrošināšanas speciālā budžeta apakšprogrammā 04.05.00 „Valsts sociālās </w:t>
            </w:r>
            <w:r w:rsidR="00617DFD">
              <w:rPr>
                <w:rFonts w:ascii="Times New Roman" w:hAnsi="Times New Roman" w:cs="Times New Roman"/>
                <w:sz w:val="24"/>
                <w:szCs w:val="24"/>
              </w:rPr>
              <w:t xml:space="preserve">apdrošināšanas </w:t>
            </w:r>
            <w:r w:rsidR="00836175" w:rsidRPr="00836175">
              <w:rPr>
                <w:rFonts w:ascii="Times New Roman" w:hAnsi="Times New Roman" w:cs="Times New Roman"/>
                <w:sz w:val="24"/>
                <w:szCs w:val="24"/>
              </w:rPr>
              <w:t xml:space="preserve">aģentūras </w:t>
            </w:r>
            <w:r w:rsidR="00836175" w:rsidRPr="00836175">
              <w:rPr>
                <w:rFonts w:ascii="Times New Roman" w:hAnsi="Times New Roman" w:cs="Times New Roman"/>
                <w:sz w:val="24"/>
                <w:szCs w:val="24"/>
              </w:rPr>
              <w:lastRenderedPageBreak/>
              <w:t xml:space="preserve">speciālais budžets”, attiecīgi palielinot izdevumus valsts budžeta uzturēšanas izdevumu transfertiem no valsts speciālajiem budžetiem uz </w:t>
            </w:r>
            <w:r w:rsidR="00836175">
              <w:rPr>
                <w:rFonts w:ascii="Times New Roman" w:hAnsi="Times New Roman" w:cs="Times New Roman"/>
                <w:sz w:val="24"/>
                <w:szCs w:val="24"/>
              </w:rPr>
              <w:t>VSAA</w:t>
            </w:r>
            <w:r w:rsidR="00836175" w:rsidRPr="00836175">
              <w:rPr>
                <w:rFonts w:ascii="Times New Roman" w:hAnsi="Times New Roman" w:cs="Times New Roman"/>
                <w:sz w:val="24"/>
                <w:szCs w:val="24"/>
              </w:rPr>
              <w:t xml:space="preserve"> speciālo budžetu pārējos valsts sociālās apdrošināšanas speciālajos budžetos</w:t>
            </w:r>
            <w:r w:rsidR="00836175">
              <w:rPr>
                <w:rFonts w:ascii="Times New Roman" w:hAnsi="Times New Roman" w:cs="Times New Roman"/>
                <w:sz w:val="24"/>
                <w:szCs w:val="24"/>
              </w:rPr>
              <w:t>.</w:t>
            </w:r>
          </w:p>
          <w:p w:rsidR="008F179D" w:rsidRPr="00D22CE8" w:rsidRDefault="008F179D" w:rsidP="008F179D">
            <w:pPr>
              <w:spacing w:after="0" w:line="240" w:lineRule="auto"/>
              <w:ind w:right="99"/>
              <w:jc w:val="both"/>
              <w:rPr>
                <w:rFonts w:ascii="Times New Roman" w:eastAsia="Times New Roman" w:hAnsi="Times New Roman" w:cs="Times New Roman"/>
                <w:sz w:val="24"/>
                <w:szCs w:val="24"/>
              </w:rPr>
            </w:pPr>
            <w:r w:rsidRPr="00D22CE8">
              <w:rPr>
                <w:rFonts w:ascii="Times New Roman" w:eastAsia="Times New Roman" w:hAnsi="Times New Roman" w:cs="Times New Roman"/>
                <w:sz w:val="24"/>
                <w:szCs w:val="24"/>
              </w:rPr>
              <w:t xml:space="preserve">Saskaņā ar </w:t>
            </w:r>
            <w:r w:rsidR="00587D90">
              <w:rPr>
                <w:rFonts w:ascii="Times New Roman" w:eastAsia="Times New Roman" w:hAnsi="Times New Roman" w:cs="Times New Roman"/>
                <w:sz w:val="24"/>
                <w:szCs w:val="24"/>
              </w:rPr>
              <w:t>Ministru kabineta</w:t>
            </w:r>
            <w:r w:rsidRPr="00D22CE8">
              <w:rPr>
                <w:rFonts w:ascii="Times New Roman" w:eastAsia="Times New Roman" w:hAnsi="Times New Roman" w:cs="Times New Roman"/>
                <w:sz w:val="24"/>
                <w:szCs w:val="24"/>
              </w:rPr>
              <w:t xml:space="preserve"> 2014.gada 12.marta rīkojumu Nr.113 „Par likumprojekta „Par vidēja termiņa budžeta ietvaru 2015., 2016. un 2017. gadam” un likumprojekta „Par valsts budžetu 2015.gadam” sagatavošanas grafiku” apstiprināto pielikumu </w:t>
            </w:r>
            <w:r w:rsidR="00587D90">
              <w:rPr>
                <w:rFonts w:ascii="Times New Roman" w:eastAsia="Times New Roman" w:hAnsi="Times New Roman" w:cs="Times New Roman"/>
                <w:sz w:val="24"/>
                <w:szCs w:val="24"/>
              </w:rPr>
              <w:t>Ministru kabinetam</w:t>
            </w:r>
            <w:r w:rsidRPr="00D22CE8">
              <w:rPr>
                <w:rFonts w:ascii="Times New Roman" w:eastAsia="Times New Roman" w:hAnsi="Times New Roman" w:cs="Times New Roman"/>
                <w:sz w:val="24"/>
                <w:szCs w:val="24"/>
              </w:rPr>
              <w:t xml:space="preserve"> līdz 2014.gada 18.martam bija jāizskata un jāapstiprina valsts pamatbudžeta un valsts speciālā budžeta bāzes 2015., 2016. un 2017.gadam. </w:t>
            </w:r>
          </w:p>
          <w:p w:rsidR="008F179D" w:rsidRPr="00D22CE8" w:rsidRDefault="008F179D" w:rsidP="008F179D">
            <w:pPr>
              <w:tabs>
                <w:tab w:val="left" w:pos="7655"/>
              </w:tabs>
              <w:spacing w:after="0" w:line="240" w:lineRule="auto"/>
              <w:jc w:val="both"/>
              <w:outlineLvl w:val="4"/>
              <w:rPr>
                <w:rFonts w:ascii="Times New Roman" w:hAnsi="Times New Roman" w:cs="Times New Roman"/>
                <w:sz w:val="24"/>
                <w:szCs w:val="24"/>
              </w:rPr>
            </w:pPr>
            <w:r w:rsidRPr="00D22CE8">
              <w:rPr>
                <w:rFonts w:ascii="Times New Roman" w:eastAsia="Times New Roman" w:hAnsi="Times New Roman" w:cs="Times New Roman"/>
                <w:bCs/>
                <w:iCs/>
                <w:sz w:val="24"/>
                <w:szCs w:val="24"/>
              </w:rPr>
              <w:t xml:space="preserve">Pamatojoties uz </w:t>
            </w:r>
            <w:r w:rsidR="001B46A8" w:rsidRPr="00D22CE8">
              <w:rPr>
                <w:rFonts w:ascii="Times New Roman" w:eastAsia="Times New Roman" w:hAnsi="Times New Roman" w:cs="Times New Roman"/>
                <w:bCs/>
                <w:iCs/>
                <w:sz w:val="24"/>
                <w:szCs w:val="24"/>
              </w:rPr>
              <w:t>M</w:t>
            </w:r>
            <w:r w:rsidR="00587D90">
              <w:rPr>
                <w:rFonts w:ascii="Times New Roman" w:eastAsia="Times New Roman" w:hAnsi="Times New Roman" w:cs="Times New Roman"/>
                <w:bCs/>
                <w:iCs/>
                <w:sz w:val="24"/>
                <w:szCs w:val="24"/>
              </w:rPr>
              <w:t>inistru kabineta</w:t>
            </w:r>
            <w:r w:rsidRPr="00D22CE8">
              <w:rPr>
                <w:rFonts w:ascii="Times New Roman" w:eastAsia="Times New Roman" w:hAnsi="Times New Roman" w:cs="Times New Roman"/>
                <w:bCs/>
                <w:iCs/>
                <w:sz w:val="24"/>
                <w:szCs w:val="24"/>
              </w:rPr>
              <w:t xml:space="preserve"> 2014.gada 18.marta sēdes protokola Nr.17 44.§ „Informatīvais ziņojums „Par valsts pamatbudžeta un valsts speciālā budžeta bāzi 2015., 2016. un 2017.gadam un bāzes izdevumos neiekļauto ministriju un citu centrālo valsts iestāžu iesniegto pasākumu sarakstu”” 2.punktu, valsts speciālā budžeta bāze 2015. un 2016.gadam šobrīd ir </w:t>
            </w:r>
            <w:r w:rsidRPr="00D22CE8">
              <w:rPr>
                <w:rFonts w:ascii="Times New Roman" w:hAnsi="Times New Roman" w:cs="Times New Roman"/>
                <w:sz w:val="24"/>
                <w:szCs w:val="24"/>
              </w:rPr>
              <w:t xml:space="preserve">apstiprināta atbilstoši likumam „Par vidēja termiņa budžeta ietvaru 2014., 2015. un 2016.gadam” un 2017.gadam atbilstoši likumā „Par vidēja termiņa budžeta ietvaru 2014., 2015. un 2016.gadam” 2016.gadam plānotajiem apmēriem. Savukārt Labklājības ministrijai ir uzdots precizēto valsts speciālā budžeta bāzes aprēķinu 2015., 2016. un 2017.gadam sagatavot un iesniegt Finanšu ministrijā atbilstoši Finanšu ministrijas aktualizētajām makroekonomisko rādītāju prognozēm. </w:t>
            </w:r>
          </w:p>
          <w:p w:rsidR="00FE2CEF" w:rsidRPr="009031B9" w:rsidRDefault="008F179D" w:rsidP="00C11E04">
            <w:pPr>
              <w:spacing w:after="0" w:line="240" w:lineRule="auto"/>
              <w:jc w:val="both"/>
              <w:rPr>
                <w:rFonts w:ascii="Times New Roman" w:eastAsia="Times New Roman" w:hAnsi="Times New Roman" w:cs="Times New Roman"/>
                <w:sz w:val="24"/>
                <w:szCs w:val="24"/>
                <w:lang w:eastAsia="lv-LV"/>
              </w:rPr>
            </w:pPr>
            <w:r w:rsidRPr="00D22CE8">
              <w:rPr>
                <w:rFonts w:ascii="Times New Roman" w:hAnsi="Times New Roman" w:cs="Times New Roman"/>
                <w:sz w:val="24"/>
                <w:szCs w:val="24"/>
              </w:rPr>
              <w:t>Līdz ar to</w:t>
            </w:r>
            <w:r w:rsidR="00406ABC">
              <w:rPr>
                <w:rFonts w:ascii="Times New Roman" w:hAnsi="Times New Roman" w:cs="Times New Roman"/>
                <w:sz w:val="24"/>
                <w:szCs w:val="24"/>
              </w:rPr>
              <w:t xml:space="preserve"> Ministru kabineta</w:t>
            </w:r>
            <w:r w:rsidR="00C11E04">
              <w:rPr>
                <w:rFonts w:ascii="Times New Roman" w:hAnsi="Times New Roman" w:cs="Times New Roman"/>
                <w:sz w:val="24"/>
                <w:szCs w:val="24"/>
              </w:rPr>
              <w:t xml:space="preserve"> </w:t>
            </w:r>
            <w:proofErr w:type="spellStart"/>
            <w:r w:rsidR="001B46A8" w:rsidRPr="00D22CE8">
              <w:rPr>
                <w:rFonts w:ascii="Times New Roman" w:hAnsi="Times New Roman" w:cs="Times New Roman"/>
                <w:sz w:val="24"/>
                <w:szCs w:val="24"/>
              </w:rPr>
              <w:t>protokoll</w:t>
            </w:r>
            <w:r w:rsidR="00145364" w:rsidRPr="00D22CE8">
              <w:rPr>
                <w:rFonts w:ascii="Times New Roman" w:hAnsi="Times New Roman" w:cs="Times New Roman"/>
                <w:sz w:val="24"/>
                <w:szCs w:val="24"/>
              </w:rPr>
              <w:t>ēmuma</w:t>
            </w:r>
            <w:proofErr w:type="spellEnd"/>
            <w:r w:rsidR="00C11E04">
              <w:rPr>
                <w:rFonts w:ascii="Times New Roman" w:hAnsi="Times New Roman" w:cs="Times New Roman"/>
                <w:sz w:val="24"/>
                <w:szCs w:val="24"/>
              </w:rPr>
              <w:t xml:space="preserve"> </w:t>
            </w:r>
            <w:r w:rsidR="00AD42F1">
              <w:rPr>
                <w:rFonts w:ascii="Times New Roman" w:hAnsi="Times New Roman" w:cs="Times New Roman"/>
                <w:sz w:val="24"/>
                <w:szCs w:val="24"/>
              </w:rPr>
              <w:t xml:space="preserve">2.punktā noteiktais </w:t>
            </w:r>
            <w:r w:rsidR="000C0C55" w:rsidRPr="00D22CE8">
              <w:rPr>
                <w:rFonts w:ascii="Times New Roman" w:hAnsi="Times New Roman" w:cs="Times New Roman"/>
                <w:sz w:val="24"/>
                <w:szCs w:val="24"/>
              </w:rPr>
              <w:t>no</w:t>
            </w:r>
            <w:r w:rsidR="00C11E04">
              <w:rPr>
                <w:rFonts w:ascii="Times New Roman" w:hAnsi="Times New Roman" w:cs="Times New Roman"/>
                <w:sz w:val="24"/>
                <w:szCs w:val="24"/>
              </w:rPr>
              <w:t>drošinās</w:t>
            </w:r>
            <w:r w:rsidR="000C0C55" w:rsidRPr="00D22CE8">
              <w:rPr>
                <w:rFonts w:ascii="Times New Roman" w:hAnsi="Times New Roman" w:cs="Times New Roman"/>
                <w:sz w:val="24"/>
                <w:szCs w:val="24"/>
              </w:rPr>
              <w:t xml:space="preserve"> šīs anotācijas I</w:t>
            </w:r>
            <w:r w:rsidR="00AD42F1">
              <w:rPr>
                <w:rFonts w:ascii="Times New Roman" w:hAnsi="Times New Roman" w:cs="Times New Roman"/>
                <w:sz w:val="24"/>
                <w:szCs w:val="24"/>
              </w:rPr>
              <w:t> </w:t>
            </w:r>
            <w:r w:rsidR="000C0C55" w:rsidRPr="00D22CE8">
              <w:rPr>
                <w:rFonts w:ascii="Times New Roman" w:hAnsi="Times New Roman" w:cs="Times New Roman"/>
                <w:sz w:val="24"/>
                <w:szCs w:val="24"/>
              </w:rPr>
              <w:t>sadaļas 2.punktā minēt</w:t>
            </w:r>
            <w:r w:rsidR="008A3BF5">
              <w:rPr>
                <w:rFonts w:ascii="Times New Roman" w:hAnsi="Times New Roman" w:cs="Times New Roman"/>
                <w:sz w:val="24"/>
                <w:szCs w:val="24"/>
              </w:rPr>
              <w:t>ās problēmas risinājumu gan 2015</w:t>
            </w:r>
            <w:r w:rsidR="000C0C55" w:rsidRPr="00D22CE8">
              <w:rPr>
                <w:rFonts w:ascii="Times New Roman" w:hAnsi="Times New Roman" w:cs="Times New Roman"/>
                <w:sz w:val="24"/>
                <w:szCs w:val="24"/>
              </w:rPr>
              <w:t>.gadam, gan turpmākajiem gadiem</w:t>
            </w:r>
            <w:r w:rsidR="00B26744">
              <w:rPr>
                <w:rFonts w:ascii="Times New Roman" w:hAnsi="Times New Roman" w:cs="Times New Roman"/>
                <w:sz w:val="24"/>
                <w:szCs w:val="24"/>
              </w:rPr>
              <w:t xml:space="preserve"> attiecībā uz </w:t>
            </w:r>
            <w:r w:rsidR="001B46A8" w:rsidRPr="00D22CE8">
              <w:rPr>
                <w:rFonts w:ascii="Times New Roman" w:hAnsi="Times New Roman" w:cs="Times New Roman"/>
                <w:sz w:val="24"/>
                <w:szCs w:val="24"/>
              </w:rPr>
              <w:t xml:space="preserve">VSAA </w:t>
            </w:r>
            <w:r w:rsidR="003A7F54" w:rsidRPr="00D22CE8">
              <w:rPr>
                <w:rFonts w:ascii="Times New Roman" w:hAnsi="Times New Roman" w:cs="Times New Roman"/>
                <w:sz w:val="24"/>
                <w:szCs w:val="24"/>
              </w:rPr>
              <w:t xml:space="preserve">speciālā budžeta </w:t>
            </w:r>
            <w:r w:rsidR="00B26744">
              <w:rPr>
                <w:rFonts w:ascii="Times New Roman" w:hAnsi="Times New Roman" w:cs="Times New Roman"/>
                <w:sz w:val="24"/>
                <w:szCs w:val="24"/>
              </w:rPr>
              <w:t>funkciju</w:t>
            </w:r>
            <w:r w:rsidR="006F5D28">
              <w:rPr>
                <w:rFonts w:ascii="Times New Roman" w:hAnsi="Times New Roman" w:cs="Times New Roman"/>
                <w:sz w:val="24"/>
                <w:szCs w:val="24"/>
              </w:rPr>
              <w:t xml:space="preserve"> </w:t>
            </w:r>
            <w:r w:rsidR="00B26744">
              <w:rPr>
                <w:rFonts w:ascii="Times New Roman" w:hAnsi="Times New Roman" w:cs="Times New Roman"/>
                <w:sz w:val="24"/>
                <w:szCs w:val="24"/>
              </w:rPr>
              <w:t>nodrošināšanu</w:t>
            </w:r>
            <w:r w:rsidR="00D33D4B">
              <w:rPr>
                <w:rFonts w:ascii="Times New Roman" w:hAnsi="Times New Roman" w:cs="Times New Roman"/>
                <w:sz w:val="24"/>
                <w:szCs w:val="24"/>
              </w:rPr>
              <w:t xml:space="preserve">. </w:t>
            </w:r>
            <w:r w:rsidR="000C0C55" w:rsidRPr="00D22CE8">
              <w:rPr>
                <w:rFonts w:ascii="Times New Roman" w:hAnsi="Times New Roman" w:cs="Times New Roman"/>
                <w:sz w:val="24"/>
                <w:szCs w:val="24"/>
              </w:rPr>
              <w:t>Labklājības ministrija</w:t>
            </w:r>
            <w:r w:rsidR="003A7F54" w:rsidRPr="00D22CE8">
              <w:rPr>
                <w:rFonts w:ascii="Times New Roman" w:hAnsi="Times New Roman" w:cs="Times New Roman"/>
                <w:sz w:val="24"/>
                <w:szCs w:val="24"/>
              </w:rPr>
              <w:t xml:space="preserve"> pēc Finanšu ministrijas aktualizēto makroekonomisko rādītāju prognožu saņemšanas </w:t>
            </w:r>
            <w:r w:rsidR="00406ABC">
              <w:rPr>
                <w:rFonts w:ascii="Times New Roman" w:hAnsi="Times New Roman" w:cs="Times New Roman"/>
                <w:sz w:val="24"/>
                <w:szCs w:val="24"/>
              </w:rPr>
              <w:t>Ministru kabineta</w:t>
            </w:r>
            <w:r w:rsidR="00982188">
              <w:rPr>
                <w:rFonts w:ascii="Times New Roman" w:hAnsi="Times New Roman" w:cs="Times New Roman"/>
                <w:sz w:val="24"/>
                <w:szCs w:val="24"/>
              </w:rPr>
              <w:t xml:space="preserve"> </w:t>
            </w:r>
            <w:proofErr w:type="spellStart"/>
            <w:r w:rsidR="000C0C55" w:rsidRPr="00D22CE8">
              <w:rPr>
                <w:rFonts w:ascii="Times New Roman" w:hAnsi="Times New Roman" w:cs="Times New Roman"/>
                <w:sz w:val="24"/>
                <w:szCs w:val="24"/>
              </w:rPr>
              <w:t>protokollēmuma</w:t>
            </w:r>
            <w:proofErr w:type="spellEnd"/>
            <w:r w:rsidR="000C0C55" w:rsidRPr="00D22CE8">
              <w:rPr>
                <w:rFonts w:ascii="Times New Roman" w:hAnsi="Times New Roman" w:cs="Times New Roman"/>
                <w:sz w:val="24"/>
                <w:szCs w:val="24"/>
              </w:rPr>
              <w:t xml:space="preserve"> 2.punktā </w:t>
            </w:r>
            <w:r w:rsidR="00145364" w:rsidRPr="00D22CE8">
              <w:rPr>
                <w:rFonts w:ascii="Times New Roman" w:hAnsi="Times New Roman" w:cs="Times New Roman"/>
                <w:sz w:val="24"/>
                <w:szCs w:val="24"/>
              </w:rPr>
              <w:t>minēto finansējuma pārdali ņems vēr</w:t>
            </w:r>
            <w:r w:rsidR="000C0C55" w:rsidRPr="00D22CE8">
              <w:rPr>
                <w:rFonts w:ascii="Times New Roman" w:hAnsi="Times New Roman" w:cs="Times New Roman"/>
                <w:sz w:val="24"/>
                <w:szCs w:val="24"/>
              </w:rPr>
              <w:t xml:space="preserve">ā, sagatavojot </w:t>
            </w:r>
            <w:r w:rsidR="00507178">
              <w:rPr>
                <w:rFonts w:ascii="Times New Roman" w:hAnsi="Times New Roman" w:cs="Times New Roman"/>
                <w:sz w:val="24"/>
                <w:szCs w:val="24"/>
              </w:rPr>
              <w:t xml:space="preserve">priekšlikumus </w:t>
            </w:r>
            <w:r w:rsidR="000C0C55" w:rsidRPr="00D22CE8">
              <w:rPr>
                <w:rFonts w:ascii="Times New Roman" w:hAnsi="Times New Roman" w:cs="Times New Roman"/>
                <w:sz w:val="24"/>
                <w:szCs w:val="24"/>
              </w:rPr>
              <w:t>valsts sociālās apdrošināšanas speciālā budžeta bāz</w:t>
            </w:r>
            <w:r w:rsidR="00507178">
              <w:rPr>
                <w:rFonts w:ascii="Times New Roman" w:hAnsi="Times New Roman" w:cs="Times New Roman"/>
                <w:sz w:val="24"/>
                <w:szCs w:val="24"/>
              </w:rPr>
              <w:t>e</w:t>
            </w:r>
            <w:r w:rsidR="000C0C55" w:rsidRPr="00D22CE8">
              <w:rPr>
                <w:rFonts w:ascii="Times New Roman" w:hAnsi="Times New Roman" w:cs="Times New Roman"/>
                <w:sz w:val="24"/>
                <w:szCs w:val="24"/>
              </w:rPr>
              <w:t>i 2015., 2016. un 2017.gadam.</w:t>
            </w:r>
          </w:p>
        </w:tc>
      </w:tr>
    </w:tbl>
    <w:p w:rsidR="0087153D" w:rsidRDefault="0087153D"/>
    <w:tbl>
      <w:tblPr>
        <w:tblW w:w="6586" w:type="pct"/>
        <w:jc w:val="center"/>
        <w:tblInd w:w="-14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48"/>
        <w:gridCol w:w="1829"/>
        <w:gridCol w:w="2160"/>
        <w:gridCol w:w="2007"/>
        <w:gridCol w:w="1822"/>
        <w:gridCol w:w="1615"/>
      </w:tblGrid>
      <w:tr w:rsidR="0011363D" w:rsidRPr="0011363D" w:rsidTr="0087153D">
        <w:trPr>
          <w:trHeight w:val="831"/>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AF6A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1363D">
              <w:rPr>
                <w:rFonts w:ascii="Arial" w:eastAsia="Times New Roman" w:hAnsi="Arial" w:cs="Arial"/>
                <w:b/>
                <w:sz w:val="24"/>
                <w:szCs w:val="24"/>
                <w:lang w:eastAsia="lv-LV"/>
              </w:rPr>
              <w:t> </w:t>
            </w:r>
            <w:r w:rsidRPr="0011363D">
              <w:rPr>
                <w:rFonts w:ascii="Times New Roman" w:eastAsia="Times New Roman" w:hAnsi="Times New Roman" w:cs="Times New Roman"/>
                <w:b/>
                <w:bCs/>
                <w:sz w:val="24"/>
                <w:szCs w:val="24"/>
                <w:lang w:eastAsia="lv-LV"/>
              </w:rPr>
              <w:t>III. Tiesību akta projekta ietekme uz valsts budžetu un pašvaldību budžetiem</w:t>
            </w:r>
          </w:p>
        </w:tc>
      </w:tr>
      <w:tr w:rsidR="0011363D" w:rsidRPr="0011363D" w:rsidTr="00607B2E">
        <w:trPr>
          <w:jc w:val="center"/>
        </w:trPr>
        <w:tc>
          <w:tcPr>
            <w:tcW w:w="930" w:type="pct"/>
            <w:vMerge w:val="restart"/>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AF6A8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1363D">
              <w:rPr>
                <w:rFonts w:ascii="Times New Roman" w:eastAsia="Times New Roman" w:hAnsi="Times New Roman" w:cs="Times New Roman"/>
                <w:bCs/>
                <w:sz w:val="24"/>
                <w:szCs w:val="24"/>
                <w:lang w:eastAsia="lv-LV"/>
              </w:rPr>
              <w:t>Rādītāji</w:t>
            </w:r>
          </w:p>
        </w:tc>
        <w:tc>
          <w:tcPr>
            <w:tcW w:w="172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AF6A8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1363D">
              <w:rPr>
                <w:rFonts w:ascii="Times New Roman" w:eastAsia="Times New Roman" w:hAnsi="Times New Roman" w:cs="Times New Roman"/>
                <w:bCs/>
                <w:sz w:val="24"/>
                <w:szCs w:val="24"/>
                <w:lang w:eastAsia="lv-LV"/>
              </w:rPr>
              <w:t>2014.gads</w:t>
            </w:r>
          </w:p>
        </w:tc>
        <w:tc>
          <w:tcPr>
            <w:tcW w:w="2349" w:type="pct"/>
            <w:gridSpan w:val="3"/>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Turpmākie trīs gadi (</w:t>
            </w:r>
            <w:proofErr w:type="spellStart"/>
            <w:r w:rsidRPr="0011363D">
              <w:rPr>
                <w:rFonts w:ascii="Times New Roman" w:eastAsia="Times New Roman" w:hAnsi="Times New Roman" w:cs="Times New Roman"/>
                <w:i/>
                <w:iCs/>
                <w:sz w:val="24"/>
                <w:szCs w:val="24"/>
                <w:lang w:eastAsia="lv-LV"/>
              </w:rPr>
              <w:t>euro</w:t>
            </w:r>
            <w:proofErr w:type="spellEnd"/>
            <w:r w:rsidRPr="0011363D">
              <w:rPr>
                <w:rFonts w:ascii="Times New Roman" w:eastAsia="Times New Roman" w:hAnsi="Times New Roman" w:cs="Times New Roman"/>
                <w:sz w:val="24"/>
                <w:szCs w:val="24"/>
                <w:lang w:eastAsia="lv-LV"/>
              </w:rPr>
              <w:t>)</w:t>
            </w:r>
          </w:p>
        </w:tc>
      </w:tr>
      <w:tr w:rsidR="0011363D" w:rsidRPr="0011363D" w:rsidTr="00607B2E">
        <w:trPr>
          <w:jc w:val="center"/>
        </w:trPr>
        <w:tc>
          <w:tcPr>
            <w:tcW w:w="930" w:type="pct"/>
            <w:vMerge/>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AF6A8F">
            <w:pPr>
              <w:spacing w:after="0" w:line="240" w:lineRule="auto"/>
              <w:rPr>
                <w:rFonts w:ascii="Times New Roman" w:eastAsia="Times New Roman" w:hAnsi="Times New Roman" w:cs="Times New Roman"/>
                <w:bCs/>
                <w:sz w:val="24"/>
                <w:szCs w:val="24"/>
                <w:lang w:eastAsia="lv-LV"/>
              </w:rPr>
            </w:pPr>
          </w:p>
        </w:tc>
        <w:tc>
          <w:tcPr>
            <w:tcW w:w="1721" w:type="pct"/>
            <w:gridSpan w:val="2"/>
            <w:vMerge/>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AF6A8F">
            <w:pPr>
              <w:spacing w:after="0" w:line="240" w:lineRule="auto"/>
              <w:rPr>
                <w:rFonts w:ascii="Times New Roman" w:eastAsia="Times New Roman" w:hAnsi="Times New Roman" w:cs="Times New Roman"/>
                <w:bCs/>
                <w:sz w:val="24"/>
                <w:szCs w:val="24"/>
                <w:lang w:eastAsia="lv-LV"/>
              </w:rPr>
            </w:pPr>
          </w:p>
        </w:tc>
        <w:tc>
          <w:tcPr>
            <w:tcW w:w="866" w:type="pct"/>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AF6A8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1363D">
              <w:rPr>
                <w:rFonts w:ascii="Times New Roman" w:eastAsia="Times New Roman" w:hAnsi="Times New Roman" w:cs="Times New Roman"/>
                <w:bCs/>
                <w:sz w:val="24"/>
                <w:szCs w:val="24"/>
                <w:lang w:eastAsia="lv-LV"/>
              </w:rPr>
              <w:t>2015</w:t>
            </w:r>
          </w:p>
        </w:tc>
        <w:tc>
          <w:tcPr>
            <w:tcW w:w="786" w:type="pct"/>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AF6A8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1363D">
              <w:rPr>
                <w:rFonts w:ascii="Times New Roman" w:eastAsia="Times New Roman" w:hAnsi="Times New Roman" w:cs="Times New Roman"/>
                <w:bCs/>
                <w:sz w:val="24"/>
                <w:szCs w:val="24"/>
                <w:lang w:eastAsia="lv-LV"/>
              </w:rPr>
              <w:t>2016</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AF6A8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11363D">
              <w:rPr>
                <w:rFonts w:ascii="Times New Roman" w:eastAsia="Times New Roman" w:hAnsi="Times New Roman" w:cs="Times New Roman"/>
                <w:bCs/>
                <w:sz w:val="24"/>
                <w:szCs w:val="24"/>
                <w:lang w:eastAsia="lv-LV"/>
              </w:rPr>
              <w:t>2017</w:t>
            </w:r>
          </w:p>
        </w:tc>
      </w:tr>
      <w:tr w:rsidR="0011363D" w:rsidRPr="0011363D" w:rsidTr="00607B2E">
        <w:trPr>
          <w:jc w:val="center"/>
        </w:trPr>
        <w:tc>
          <w:tcPr>
            <w:tcW w:w="930" w:type="pct"/>
            <w:vMerge/>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AF6A8F">
            <w:pPr>
              <w:spacing w:after="0" w:line="240" w:lineRule="auto"/>
              <w:rPr>
                <w:rFonts w:ascii="Times New Roman" w:eastAsia="Times New Roman" w:hAnsi="Times New Roman" w:cs="Times New Roman"/>
                <w:bCs/>
                <w:sz w:val="24"/>
                <w:szCs w:val="24"/>
                <w:lang w:eastAsia="lv-LV"/>
              </w:rPr>
            </w:pPr>
          </w:p>
        </w:tc>
        <w:tc>
          <w:tcPr>
            <w:tcW w:w="789" w:type="pct"/>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saskaņā ar valsts budžetu kārtējam gadam</w:t>
            </w:r>
            <w:r w:rsidR="00893EDD" w:rsidRPr="0011363D">
              <w:rPr>
                <w:rFonts w:ascii="Times New Roman" w:eastAsia="Times New Roman" w:hAnsi="Times New Roman" w:cs="Times New Roman"/>
                <w:sz w:val="24"/>
                <w:szCs w:val="24"/>
                <w:lang w:eastAsia="lv-LV"/>
              </w:rPr>
              <w:t>*</w:t>
            </w:r>
          </w:p>
        </w:tc>
        <w:tc>
          <w:tcPr>
            <w:tcW w:w="932" w:type="pct"/>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izmaiņas kārtējā gadā, salīdzinot ar valsts budžetu kārtējam gadam</w:t>
            </w:r>
          </w:p>
        </w:tc>
        <w:tc>
          <w:tcPr>
            <w:tcW w:w="866" w:type="pct"/>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195C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 xml:space="preserve">izmaiņas, salīdzinot ar </w:t>
            </w:r>
            <w:r w:rsidR="00195C77" w:rsidRPr="0011363D">
              <w:rPr>
                <w:rFonts w:ascii="Times New Roman" w:eastAsia="Times New Roman" w:hAnsi="Times New Roman" w:cs="Times New Roman"/>
                <w:sz w:val="24"/>
                <w:szCs w:val="24"/>
                <w:lang w:eastAsia="lv-LV"/>
              </w:rPr>
              <w:t>2014. </w:t>
            </w:r>
            <w:r w:rsidRPr="0011363D">
              <w:rPr>
                <w:rFonts w:ascii="Times New Roman" w:eastAsia="Times New Roman" w:hAnsi="Times New Roman" w:cs="Times New Roman"/>
                <w:sz w:val="24"/>
                <w:szCs w:val="24"/>
                <w:lang w:eastAsia="lv-LV"/>
              </w:rPr>
              <w:t>gadu</w:t>
            </w:r>
          </w:p>
        </w:tc>
        <w:tc>
          <w:tcPr>
            <w:tcW w:w="786" w:type="pct"/>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195C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 xml:space="preserve">izmaiņas, salīdzinot ar </w:t>
            </w:r>
            <w:r w:rsidR="00195C77" w:rsidRPr="0011363D">
              <w:rPr>
                <w:rFonts w:ascii="Times New Roman" w:eastAsia="Times New Roman" w:hAnsi="Times New Roman" w:cs="Times New Roman"/>
                <w:sz w:val="24"/>
                <w:szCs w:val="24"/>
                <w:lang w:eastAsia="lv-LV"/>
              </w:rPr>
              <w:t>2014. </w:t>
            </w:r>
            <w:r w:rsidRPr="0011363D">
              <w:rPr>
                <w:rFonts w:ascii="Times New Roman" w:eastAsia="Times New Roman" w:hAnsi="Times New Roman" w:cs="Times New Roman"/>
                <w:sz w:val="24"/>
                <w:szCs w:val="24"/>
                <w:lang w:eastAsia="lv-LV"/>
              </w:rPr>
              <w:t>gadu</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B6421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 xml:space="preserve">izmaiņas, salīdzinot ar </w:t>
            </w:r>
            <w:r w:rsidR="009031B9" w:rsidRPr="0011363D">
              <w:rPr>
                <w:rFonts w:ascii="Times New Roman" w:eastAsia="Times New Roman" w:hAnsi="Times New Roman" w:cs="Times New Roman"/>
                <w:sz w:val="24"/>
                <w:szCs w:val="24"/>
                <w:lang w:eastAsia="lv-LV"/>
              </w:rPr>
              <w:t>2014. </w:t>
            </w:r>
            <w:r w:rsidRPr="0011363D">
              <w:rPr>
                <w:rFonts w:ascii="Times New Roman" w:eastAsia="Times New Roman" w:hAnsi="Times New Roman" w:cs="Times New Roman"/>
                <w:sz w:val="24"/>
                <w:szCs w:val="24"/>
                <w:lang w:eastAsia="lv-LV"/>
              </w:rPr>
              <w:t>gadu</w:t>
            </w:r>
          </w:p>
        </w:tc>
      </w:tr>
      <w:tr w:rsidR="0011363D"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1</w:t>
            </w:r>
          </w:p>
        </w:tc>
        <w:tc>
          <w:tcPr>
            <w:tcW w:w="789" w:type="pct"/>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2</w:t>
            </w:r>
          </w:p>
        </w:tc>
        <w:tc>
          <w:tcPr>
            <w:tcW w:w="932" w:type="pct"/>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3</w:t>
            </w:r>
          </w:p>
        </w:tc>
        <w:tc>
          <w:tcPr>
            <w:tcW w:w="866" w:type="pct"/>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4</w:t>
            </w:r>
          </w:p>
        </w:tc>
        <w:tc>
          <w:tcPr>
            <w:tcW w:w="786" w:type="pct"/>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5</w:t>
            </w:r>
          </w:p>
        </w:tc>
        <w:tc>
          <w:tcPr>
            <w:tcW w:w="697" w:type="pct"/>
            <w:tcBorders>
              <w:top w:val="outset" w:sz="6" w:space="0" w:color="414142"/>
              <w:left w:val="outset" w:sz="6" w:space="0" w:color="414142"/>
              <w:bottom w:val="outset" w:sz="6" w:space="0" w:color="414142"/>
              <w:right w:val="outset" w:sz="6" w:space="0" w:color="414142"/>
            </w:tcBorders>
            <w:vAlign w:val="center"/>
            <w:hideMark/>
          </w:tcPr>
          <w:p w:rsidR="00FE2CEF" w:rsidRPr="0011363D" w:rsidRDefault="00FE2CEF" w:rsidP="00AF6A8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6</w:t>
            </w:r>
          </w:p>
        </w:tc>
      </w:tr>
      <w:tr w:rsidR="0011363D"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11363D" w:rsidRPr="0011363D" w:rsidRDefault="0011363D"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1. Budžeta ieņēmumi:</w:t>
            </w:r>
          </w:p>
        </w:tc>
        <w:tc>
          <w:tcPr>
            <w:tcW w:w="789" w:type="pct"/>
            <w:tcBorders>
              <w:top w:val="outset" w:sz="6" w:space="0" w:color="414142"/>
              <w:left w:val="outset" w:sz="6" w:space="0" w:color="414142"/>
              <w:bottom w:val="outset" w:sz="6" w:space="0" w:color="414142"/>
              <w:right w:val="outset" w:sz="6" w:space="0" w:color="414142"/>
            </w:tcBorders>
            <w:hideMark/>
          </w:tcPr>
          <w:p w:rsidR="0011363D" w:rsidRPr="0011363D" w:rsidRDefault="0011363D" w:rsidP="00A37DBD">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2 207 006 984</w:t>
            </w:r>
          </w:p>
        </w:tc>
        <w:tc>
          <w:tcPr>
            <w:tcW w:w="932" w:type="pct"/>
            <w:tcBorders>
              <w:top w:val="outset" w:sz="6" w:space="0" w:color="414142"/>
              <w:left w:val="outset" w:sz="6" w:space="0" w:color="414142"/>
              <w:bottom w:val="outset" w:sz="6" w:space="0" w:color="414142"/>
              <w:right w:val="outset" w:sz="6" w:space="0" w:color="414142"/>
            </w:tcBorders>
            <w:hideMark/>
          </w:tcPr>
          <w:p w:rsidR="0011363D" w:rsidRPr="0011363D" w:rsidRDefault="0011363D"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866" w:type="pct"/>
            <w:tcBorders>
              <w:top w:val="outset" w:sz="6" w:space="0" w:color="414142"/>
              <w:left w:val="outset" w:sz="6" w:space="0" w:color="414142"/>
              <w:bottom w:val="outset" w:sz="6" w:space="0" w:color="414142"/>
              <w:right w:val="outset" w:sz="6" w:space="0" w:color="414142"/>
            </w:tcBorders>
            <w:hideMark/>
          </w:tcPr>
          <w:p w:rsidR="0011363D" w:rsidRPr="0011363D" w:rsidRDefault="0011363D" w:rsidP="0011363D">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- 41 387</w:t>
            </w:r>
          </w:p>
        </w:tc>
        <w:tc>
          <w:tcPr>
            <w:tcW w:w="786" w:type="pct"/>
            <w:tcBorders>
              <w:top w:val="outset" w:sz="6" w:space="0" w:color="414142"/>
              <w:left w:val="outset" w:sz="6" w:space="0" w:color="414142"/>
              <w:bottom w:val="outset" w:sz="6" w:space="0" w:color="414142"/>
              <w:right w:val="outset" w:sz="6" w:space="0" w:color="414142"/>
            </w:tcBorders>
            <w:hideMark/>
          </w:tcPr>
          <w:p w:rsidR="0011363D" w:rsidRPr="0011363D" w:rsidRDefault="0011363D" w:rsidP="00AA7950">
            <w:pPr>
              <w:spacing w:after="0" w:line="240" w:lineRule="auto"/>
              <w:jc w:val="right"/>
              <w:rPr>
                <w:rFonts w:ascii="Times New Roman" w:eastAsia="Times New Roman" w:hAnsi="Times New Roman" w:cs="Times New Roman"/>
                <w:i/>
                <w:sz w:val="24"/>
                <w:szCs w:val="24"/>
                <w:lang w:eastAsia="lv-LV"/>
              </w:rPr>
            </w:pPr>
            <w:r w:rsidRPr="006E25DE">
              <w:rPr>
                <w:rFonts w:ascii="Times New Roman" w:eastAsia="Times New Roman" w:hAnsi="Times New Roman" w:cs="Times New Roman"/>
                <w:i/>
                <w:sz w:val="24"/>
                <w:szCs w:val="24"/>
                <w:lang w:eastAsia="lv-LV"/>
              </w:rPr>
              <w:t>- 41 387</w:t>
            </w:r>
          </w:p>
        </w:tc>
        <w:tc>
          <w:tcPr>
            <w:tcW w:w="697" w:type="pct"/>
            <w:tcBorders>
              <w:top w:val="outset" w:sz="6" w:space="0" w:color="414142"/>
              <w:left w:val="outset" w:sz="6" w:space="0" w:color="414142"/>
              <w:bottom w:val="outset" w:sz="6" w:space="0" w:color="414142"/>
              <w:right w:val="outset" w:sz="6" w:space="0" w:color="414142"/>
            </w:tcBorders>
            <w:hideMark/>
          </w:tcPr>
          <w:p w:rsidR="0011363D" w:rsidRPr="0011363D" w:rsidRDefault="0011363D" w:rsidP="00AA7950">
            <w:pPr>
              <w:spacing w:after="0" w:line="240" w:lineRule="auto"/>
              <w:jc w:val="right"/>
              <w:rPr>
                <w:rFonts w:ascii="Times New Roman" w:eastAsia="Times New Roman" w:hAnsi="Times New Roman" w:cs="Times New Roman"/>
                <w:i/>
                <w:sz w:val="24"/>
                <w:szCs w:val="24"/>
                <w:lang w:eastAsia="lv-LV"/>
              </w:rPr>
            </w:pPr>
            <w:r w:rsidRPr="006E25DE">
              <w:rPr>
                <w:rFonts w:ascii="Times New Roman" w:eastAsia="Times New Roman" w:hAnsi="Times New Roman" w:cs="Times New Roman"/>
                <w:i/>
                <w:sz w:val="24"/>
                <w:szCs w:val="24"/>
                <w:lang w:eastAsia="lv-LV"/>
              </w:rPr>
              <w:t>- 41 387</w:t>
            </w:r>
          </w:p>
        </w:tc>
      </w:tr>
      <w:tr w:rsidR="0011363D"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D22CE8" w:rsidRPr="0011363D" w:rsidRDefault="00D22CE8"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1.1. valsts pamatbudžets, tai skaitā ieņēmumi no maksas pakalpojumiem un citi pašu ieņēmumi</w:t>
            </w:r>
          </w:p>
        </w:tc>
        <w:tc>
          <w:tcPr>
            <w:tcW w:w="789" w:type="pct"/>
            <w:tcBorders>
              <w:top w:val="outset" w:sz="6" w:space="0" w:color="414142"/>
              <w:left w:val="outset" w:sz="6" w:space="0" w:color="414142"/>
              <w:bottom w:val="outset" w:sz="6" w:space="0" w:color="414142"/>
              <w:right w:val="outset" w:sz="6" w:space="0" w:color="414142"/>
            </w:tcBorders>
            <w:hideMark/>
          </w:tcPr>
          <w:p w:rsidR="00D22CE8" w:rsidRPr="0011363D" w:rsidRDefault="00B75774"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D22CE8" w:rsidRPr="0011363D" w:rsidRDefault="00D22CE8"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866" w:type="pct"/>
            <w:tcBorders>
              <w:top w:val="outset" w:sz="6" w:space="0" w:color="414142"/>
              <w:left w:val="outset" w:sz="6" w:space="0" w:color="414142"/>
              <w:bottom w:val="outset" w:sz="6" w:space="0" w:color="414142"/>
              <w:right w:val="outset" w:sz="6" w:space="0" w:color="414142"/>
            </w:tcBorders>
            <w:hideMark/>
          </w:tcPr>
          <w:p w:rsidR="00D22CE8" w:rsidRPr="0011363D" w:rsidRDefault="00D22CE8"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D22CE8" w:rsidRPr="0011363D" w:rsidRDefault="00D22CE8"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D22CE8" w:rsidRPr="0011363D" w:rsidRDefault="00D22CE8"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r>
      <w:tr w:rsidR="00D37B9B"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D37B9B" w:rsidRPr="0011363D" w:rsidRDefault="00D37B9B"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1.2. valsts speciālais budžets</w:t>
            </w:r>
          </w:p>
        </w:tc>
        <w:tc>
          <w:tcPr>
            <w:tcW w:w="789" w:type="pct"/>
            <w:tcBorders>
              <w:top w:val="outset" w:sz="6" w:space="0" w:color="414142"/>
              <w:left w:val="outset" w:sz="6" w:space="0" w:color="414142"/>
              <w:bottom w:val="outset" w:sz="6" w:space="0" w:color="414142"/>
              <w:right w:val="outset" w:sz="6" w:space="0" w:color="414142"/>
            </w:tcBorders>
            <w:hideMark/>
          </w:tcPr>
          <w:p w:rsidR="00D37B9B" w:rsidRPr="0011363D" w:rsidRDefault="00D37B9B">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2 207 006 984</w:t>
            </w:r>
          </w:p>
        </w:tc>
        <w:tc>
          <w:tcPr>
            <w:tcW w:w="932" w:type="pct"/>
            <w:tcBorders>
              <w:top w:val="outset" w:sz="6" w:space="0" w:color="414142"/>
              <w:left w:val="outset" w:sz="6" w:space="0" w:color="414142"/>
              <w:bottom w:val="outset" w:sz="6" w:space="0" w:color="414142"/>
              <w:right w:val="outset" w:sz="6" w:space="0" w:color="414142"/>
            </w:tcBorders>
            <w:hideMark/>
          </w:tcPr>
          <w:p w:rsidR="00D37B9B" w:rsidRPr="0011363D" w:rsidRDefault="00D37B9B"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866" w:type="pct"/>
            <w:tcBorders>
              <w:top w:val="outset" w:sz="6" w:space="0" w:color="414142"/>
              <w:left w:val="outset" w:sz="6" w:space="0" w:color="414142"/>
              <w:bottom w:val="outset" w:sz="6" w:space="0" w:color="414142"/>
              <w:right w:val="outset" w:sz="6" w:space="0" w:color="414142"/>
            </w:tcBorders>
            <w:hideMark/>
          </w:tcPr>
          <w:p w:rsidR="00D37B9B" w:rsidRPr="0011363D" w:rsidRDefault="00D37B9B"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- 41 387</w:t>
            </w:r>
          </w:p>
        </w:tc>
        <w:tc>
          <w:tcPr>
            <w:tcW w:w="786" w:type="pct"/>
            <w:tcBorders>
              <w:top w:val="outset" w:sz="6" w:space="0" w:color="414142"/>
              <w:left w:val="outset" w:sz="6" w:space="0" w:color="414142"/>
              <w:bottom w:val="outset" w:sz="6" w:space="0" w:color="414142"/>
              <w:right w:val="outset" w:sz="6" w:space="0" w:color="414142"/>
            </w:tcBorders>
            <w:hideMark/>
          </w:tcPr>
          <w:p w:rsidR="00D37B9B" w:rsidRPr="0011363D" w:rsidRDefault="00D37B9B" w:rsidP="00AA7950">
            <w:pPr>
              <w:spacing w:after="0" w:line="240" w:lineRule="auto"/>
              <w:jc w:val="right"/>
              <w:rPr>
                <w:rFonts w:ascii="Times New Roman" w:eastAsia="Times New Roman" w:hAnsi="Times New Roman" w:cs="Times New Roman"/>
                <w:i/>
                <w:sz w:val="24"/>
                <w:szCs w:val="24"/>
                <w:lang w:eastAsia="lv-LV"/>
              </w:rPr>
            </w:pPr>
            <w:r w:rsidRPr="006E25DE">
              <w:rPr>
                <w:rFonts w:ascii="Times New Roman" w:eastAsia="Times New Roman" w:hAnsi="Times New Roman" w:cs="Times New Roman"/>
                <w:i/>
                <w:sz w:val="24"/>
                <w:szCs w:val="24"/>
                <w:lang w:eastAsia="lv-LV"/>
              </w:rPr>
              <w:t>- 41 387</w:t>
            </w:r>
          </w:p>
        </w:tc>
        <w:tc>
          <w:tcPr>
            <w:tcW w:w="697" w:type="pct"/>
            <w:tcBorders>
              <w:top w:val="outset" w:sz="6" w:space="0" w:color="414142"/>
              <w:left w:val="outset" w:sz="6" w:space="0" w:color="414142"/>
              <w:bottom w:val="outset" w:sz="6" w:space="0" w:color="414142"/>
              <w:right w:val="outset" w:sz="6" w:space="0" w:color="414142"/>
            </w:tcBorders>
            <w:hideMark/>
          </w:tcPr>
          <w:p w:rsidR="00D37B9B" w:rsidRPr="0011363D" w:rsidRDefault="00D37B9B" w:rsidP="00AA7950">
            <w:pPr>
              <w:spacing w:after="0" w:line="240" w:lineRule="auto"/>
              <w:jc w:val="right"/>
              <w:rPr>
                <w:rFonts w:ascii="Times New Roman" w:eastAsia="Times New Roman" w:hAnsi="Times New Roman" w:cs="Times New Roman"/>
                <w:i/>
                <w:sz w:val="24"/>
                <w:szCs w:val="24"/>
                <w:lang w:eastAsia="lv-LV"/>
              </w:rPr>
            </w:pPr>
            <w:r w:rsidRPr="006E25DE">
              <w:rPr>
                <w:rFonts w:ascii="Times New Roman" w:eastAsia="Times New Roman" w:hAnsi="Times New Roman" w:cs="Times New Roman"/>
                <w:i/>
                <w:sz w:val="24"/>
                <w:szCs w:val="24"/>
                <w:lang w:eastAsia="lv-LV"/>
              </w:rPr>
              <w:t>- 41 387</w:t>
            </w:r>
          </w:p>
        </w:tc>
      </w:tr>
      <w:tr w:rsidR="0011363D"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lastRenderedPageBreak/>
              <w:t>1.3. pašvaldību budžets</w:t>
            </w:r>
          </w:p>
        </w:tc>
        <w:tc>
          <w:tcPr>
            <w:tcW w:w="789"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86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r>
      <w:tr w:rsidR="0011363D"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2. Budžeta izdevumi:</w:t>
            </w:r>
          </w:p>
        </w:tc>
        <w:tc>
          <w:tcPr>
            <w:tcW w:w="789" w:type="pct"/>
            <w:tcBorders>
              <w:top w:val="outset" w:sz="6" w:space="0" w:color="414142"/>
              <w:left w:val="outset" w:sz="6" w:space="0" w:color="414142"/>
              <w:bottom w:val="outset" w:sz="6" w:space="0" w:color="414142"/>
              <w:right w:val="outset" w:sz="6" w:space="0" w:color="414142"/>
            </w:tcBorders>
            <w:hideMark/>
          </w:tcPr>
          <w:p w:rsidR="00E05C15" w:rsidRPr="0011363D" w:rsidRDefault="00A37DBD" w:rsidP="00785412">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2 074</w:t>
            </w:r>
            <w:r w:rsidR="00785412" w:rsidRPr="0011363D">
              <w:rPr>
                <w:rFonts w:ascii="Times New Roman" w:eastAsia="Times New Roman" w:hAnsi="Times New Roman" w:cs="Times New Roman"/>
                <w:i/>
                <w:sz w:val="24"/>
                <w:szCs w:val="24"/>
                <w:lang w:eastAsia="lv-LV"/>
              </w:rPr>
              <w:t> </w:t>
            </w:r>
            <w:r w:rsidRPr="0011363D">
              <w:rPr>
                <w:rFonts w:ascii="Times New Roman" w:eastAsia="Times New Roman" w:hAnsi="Times New Roman" w:cs="Times New Roman"/>
                <w:i/>
                <w:sz w:val="24"/>
                <w:szCs w:val="24"/>
                <w:lang w:eastAsia="lv-LV"/>
              </w:rPr>
              <w:t>3</w:t>
            </w:r>
            <w:r w:rsidR="00785412" w:rsidRPr="0011363D">
              <w:rPr>
                <w:rFonts w:ascii="Times New Roman" w:eastAsia="Times New Roman" w:hAnsi="Times New Roman" w:cs="Times New Roman"/>
                <w:i/>
                <w:sz w:val="24"/>
                <w:szCs w:val="24"/>
                <w:lang w:eastAsia="lv-LV"/>
              </w:rPr>
              <w:t>43 814</w:t>
            </w:r>
          </w:p>
        </w:tc>
        <w:tc>
          <w:tcPr>
            <w:tcW w:w="932" w:type="pct"/>
            <w:tcBorders>
              <w:top w:val="outset" w:sz="6" w:space="0" w:color="414142"/>
              <w:left w:val="outset" w:sz="6" w:space="0" w:color="414142"/>
              <w:bottom w:val="outset" w:sz="6" w:space="0" w:color="414142"/>
              <w:right w:val="outset" w:sz="6" w:space="0" w:color="414142"/>
            </w:tcBorders>
            <w:hideMark/>
          </w:tcPr>
          <w:p w:rsidR="00E05C15" w:rsidRPr="0011363D" w:rsidRDefault="00EB0CBC"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- 41 387</w:t>
            </w:r>
          </w:p>
        </w:tc>
        <w:tc>
          <w:tcPr>
            <w:tcW w:w="86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r>
      <w:tr w:rsidR="0011363D"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2.1. valsts pamatbudžets</w:t>
            </w:r>
          </w:p>
        </w:tc>
        <w:tc>
          <w:tcPr>
            <w:tcW w:w="789"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86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r>
      <w:tr w:rsidR="0011363D"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2.2. valsts speciālais budžets</w:t>
            </w:r>
          </w:p>
        </w:tc>
        <w:tc>
          <w:tcPr>
            <w:tcW w:w="789" w:type="pct"/>
            <w:tcBorders>
              <w:top w:val="outset" w:sz="6" w:space="0" w:color="414142"/>
              <w:left w:val="outset" w:sz="6" w:space="0" w:color="414142"/>
              <w:bottom w:val="outset" w:sz="6" w:space="0" w:color="414142"/>
              <w:right w:val="outset" w:sz="6" w:space="0" w:color="414142"/>
            </w:tcBorders>
            <w:hideMark/>
          </w:tcPr>
          <w:p w:rsidR="00E05C15" w:rsidRPr="0011363D" w:rsidRDefault="00785412" w:rsidP="0045223A">
            <w:pPr>
              <w:spacing w:after="0" w:line="240" w:lineRule="auto"/>
              <w:ind w:left="720"/>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2 074 343 814</w:t>
            </w:r>
          </w:p>
        </w:tc>
        <w:tc>
          <w:tcPr>
            <w:tcW w:w="932"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pStyle w:val="ListParagraph"/>
              <w:spacing w:after="0" w:line="240" w:lineRule="auto"/>
              <w:ind w:left="360"/>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- 41 387</w:t>
            </w:r>
          </w:p>
        </w:tc>
        <w:tc>
          <w:tcPr>
            <w:tcW w:w="86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r>
      <w:tr w:rsidR="0011363D"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2.3. pašvaldību budžets</w:t>
            </w:r>
          </w:p>
        </w:tc>
        <w:tc>
          <w:tcPr>
            <w:tcW w:w="789"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86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r>
      <w:tr w:rsidR="00D37B9B"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D37B9B" w:rsidRPr="0011363D" w:rsidRDefault="00D37B9B"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3. Finansiālā ietekme:</w:t>
            </w:r>
          </w:p>
        </w:tc>
        <w:tc>
          <w:tcPr>
            <w:tcW w:w="789" w:type="pct"/>
            <w:tcBorders>
              <w:top w:val="outset" w:sz="6" w:space="0" w:color="414142"/>
              <w:left w:val="outset" w:sz="6" w:space="0" w:color="414142"/>
              <w:bottom w:val="outset" w:sz="6" w:space="0" w:color="414142"/>
              <w:right w:val="outset" w:sz="6" w:space="0" w:color="414142"/>
            </w:tcBorders>
            <w:vAlign w:val="center"/>
            <w:hideMark/>
          </w:tcPr>
          <w:p w:rsidR="00D37B9B" w:rsidRPr="0011363D" w:rsidRDefault="00D37B9B" w:rsidP="00785412">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132 663 170</w:t>
            </w:r>
          </w:p>
        </w:tc>
        <w:tc>
          <w:tcPr>
            <w:tcW w:w="932" w:type="pct"/>
            <w:tcBorders>
              <w:top w:val="outset" w:sz="6" w:space="0" w:color="414142"/>
              <w:left w:val="outset" w:sz="6" w:space="0" w:color="414142"/>
              <w:bottom w:val="outset" w:sz="6" w:space="0" w:color="414142"/>
              <w:right w:val="outset" w:sz="6" w:space="0" w:color="414142"/>
            </w:tcBorders>
            <w:vAlign w:val="center"/>
            <w:hideMark/>
          </w:tcPr>
          <w:p w:rsidR="00D37B9B" w:rsidRPr="0011363D" w:rsidRDefault="00D37B9B"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41 387</w:t>
            </w:r>
          </w:p>
        </w:tc>
        <w:tc>
          <w:tcPr>
            <w:tcW w:w="866" w:type="pct"/>
            <w:tcBorders>
              <w:top w:val="outset" w:sz="6" w:space="0" w:color="414142"/>
              <w:left w:val="outset" w:sz="6" w:space="0" w:color="414142"/>
              <w:bottom w:val="outset" w:sz="6" w:space="0" w:color="414142"/>
              <w:right w:val="outset" w:sz="6" w:space="0" w:color="414142"/>
            </w:tcBorders>
            <w:hideMark/>
          </w:tcPr>
          <w:p w:rsidR="00D37B9B" w:rsidRPr="0011363D" w:rsidRDefault="00D37B9B"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- 41 387</w:t>
            </w:r>
          </w:p>
        </w:tc>
        <w:tc>
          <w:tcPr>
            <w:tcW w:w="786" w:type="pct"/>
            <w:tcBorders>
              <w:top w:val="outset" w:sz="6" w:space="0" w:color="414142"/>
              <w:left w:val="outset" w:sz="6" w:space="0" w:color="414142"/>
              <w:bottom w:val="outset" w:sz="6" w:space="0" w:color="414142"/>
              <w:right w:val="outset" w:sz="6" w:space="0" w:color="414142"/>
            </w:tcBorders>
            <w:hideMark/>
          </w:tcPr>
          <w:p w:rsidR="00D37B9B" w:rsidRPr="0011363D" w:rsidRDefault="00D37B9B" w:rsidP="00AA7950">
            <w:pPr>
              <w:spacing w:after="0" w:line="240" w:lineRule="auto"/>
              <w:jc w:val="right"/>
              <w:rPr>
                <w:rFonts w:ascii="Times New Roman" w:eastAsia="Times New Roman" w:hAnsi="Times New Roman" w:cs="Times New Roman"/>
                <w:i/>
                <w:sz w:val="24"/>
                <w:szCs w:val="24"/>
                <w:lang w:eastAsia="lv-LV"/>
              </w:rPr>
            </w:pPr>
            <w:r w:rsidRPr="006E25DE">
              <w:rPr>
                <w:rFonts w:ascii="Times New Roman" w:eastAsia="Times New Roman" w:hAnsi="Times New Roman" w:cs="Times New Roman"/>
                <w:i/>
                <w:sz w:val="24"/>
                <w:szCs w:val="24"/>
                <w:lang w:eastAsia="lv-LV"/>
              </w:rPr>
              <w:t>- 41 387</w:t>
            </w:r>
          </w:p>
        </w:tc>
        <w:tc>
          <w:tcPr>
            <w:tcW w:w="697" w:type="pct"/>
            <w:tcBorders>
              <w:top w:val="outset" w:sz="6" w:space="0" w:color="414142"/>
              <w:left w:val="outset" w:sz="6" w:space="0" w:color="414142"/>
              <w:bottom w:val="outset" w:sz="6" w:space="0" w:color="414142"/>
              <w:right w:val="outset" w:sz="6" w:space="0" w:color="414142"/>
            </w:tcBorders>
            <w:hideMark/>
          </w:tcPr>
          <w:p w:rsidR="00D37B9B" w:rsidRPr="0011363D" w:rsidRDefault="00D37B9B" w:rsidP="00AA7950">
            <w:pPr>
              <w:spacing w:after="0" w:line="240" w:lineRule="auto"/>
              <w:jc w:val="right"/>
              <w:rPr>
                <w:rFonts w:ascii="Times New Roman" w:eastAsia="Times New Roman" w:hAnsi="Times New Roman" w:cs="Times New Roman"/>
                <w:i/>
                <w:sz w:val="24"/>
                <w:szCs w:val="24"/>
                <w:lang w:eastAsia="lv-LV"/>
              </w:rPr>
            </w:pPr>
            <w:r w:rsidRPr="006E25DE">
              <w:rPr>
                <w:rFonts w:ascii="Times New Roman" w:eastAsia="Times New Roman" w:hAnsi="Times New Roman" w:cs="Times New Roman"/>
                <w:i/>
                <w:sz w:val="24"/>
                <w:szCs w:val="24"/>
                <w:lang w:eastAsia="lv-LV"/>
              </w:rPr>
              <w:t>- 41 387</w:t>
            </w:r>
          </w:p>
        </w:tc>
      </w:tr>
      <w:tr w:rsidR="0011363D"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3.1. valsts pamatbudžets</w:t>
            </w:r>
          </w:p>
        </w:tc>
        <w:tc>
          <w:tcPr>
            <w:tcW w:w="789"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86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r>
      <w:tr w:rsidR="00D37B9B"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D37B9B" w:rsidRPr="0011363D" w:rsidRDefault="00D37B9B"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3.2. speciālais budžets</w:t>
            </w:r>
          </w:p>
        </w:tc>
        <w:tc>
          <w:tcPr>
            <w:tcW w:w="789" w:type="pct"/>
            <w:tcBorders>
              <w:top w:val="outset" w:sz="6" w:space="0" w:color="414142"/>
              <w:left w:val="outset" w:sz="6" w:space="0" w:color="414142"/>
              <w:bottom w:val="outset" w:sz="6" w:space="0" w:color="414142"/>
              <w:right w:val="outset" w:sz="6" w:space="0" w:color="414142"/>
            </w:tcBorders>
            <w:hideMark/>
          </w:tcPr>
          <w:p w:rsidR="00D37B9B" w:rsidRPr="0011363D" w:rsidRDefault="00D37B9B" w:rsidP="00785412">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132 663 170</w:t>
            </w:r>
          </w:p>
        </w:tc>
        <w:tc>
          <w:tcPr>
            <w:tcW w:w="932" w:type="pct"/>
            <w:tcBorders>
              <w:top w:val="outset" w:sz="6" w:space="0" w:color="414142"/>
              <w:left w:val="outset" w:sz="6" w:space="0" w:color="414142"/>
              <w:bottom w:val="outset" w:sz="6" w:space="0" w:color="414142"/>
              <w:right w:val="outset" w:sz="6" w:space="0" w:color="414142"/>
            </w:tcBorders>
            <w:hideMark/>
          </w:tcPr>
          <w:p w:rsidR="00D37B9B" w:rsidRPr="0011363D" w:rsidRDefault="00D37B9B"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41 387</w:t>
            </w:r>
          </w:p>
        </w:tc>
        <w:tc>
          <w:tcPr>
            <w:tcW w:w="866" w:type="pct"/>
            <w:tcBorders>
              <w:top w:val="outset" w:sz="6" w:space="0" w:color="414142"/>
              <w:left w:val="outset" w:sz="6" w:space="0" w:color="414142"/>
              <w:bottom w:val="outset" w:sz="6" w:space="0" w:color="414142"/>
              <w:right w:val="outset" w:sz="6" w:space="0" w:color="414142"/>
            </w:tcBorders>
            <w:hideMark/>
          </w:tcPr>
          <w:p w:rsidR="00D37B9B" w:rsidRPr="0011363D" w:rsidRDefault="00D37B9B"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- 41 387</w:t>
            </w:r>
          </w:p>
        </w:tc>
        <w:tc>
          <w:tcPr>
            <w:tcW w:w="786" w:type="pct"/>
            <w:tcBorders>
              <w:top w:val="outset" w:sz="6" w:space="0" w:color="414142"/>
              <w:left w:val="outset" w:sz="6" w:space="0" w:color="414142"/>
              <w:bottom w:val="outset" w:sz="6" w:space="0" w:color="414142"/>
              <w:right w:val="outset" w:sz="6" w:space="0" w:color="414142"/>
            </w:tcBorders>
            <w:hideMark/>
          </w:tcPr>
          <w:p w:rsidR="00D37B9B" w:rsidRPr="0011363D" w:rsidRDefault="00D37B9B" w:rsidP="00AA7950">
            <w:pPr>
              <w:spacing w:after="0" w:line="240" w:lineRule="auto"/>
              <w:jc w:val="right"/>
              <w:rPr>
                <w:rFonts w:ascii="Times New Roman" w:eastAsia="Times New Roman" w:hAnsi="Times New Roman" w:cs="Times New Roman"/>
                <w:i/>
                <w:sz w:val="24"/>
                <w:szCs w:val="24"/>
                <w:lang w:eastAsia="lv-LV"/>
              </w:rPr>
            </w:pPr>
            <w:r w:rsidRPr="006E25DE">
              <w:rPr>
                <w:rFonts w:ascii="Times New Roman" w:eastAsia="Times New Roman" w:hAnsi="Times New Roman" w:cs="Times New Roman"/>
                <w:i/>
                <w:sz w:val="24"/>
                <w:szCs w:val="24"/>
                <w:lang w:eastAsia="lv-LV"/>
              </w:rPr>
              <w:t>- 41 387</w:t>
            </w:r>
          </w:p>
        </w:tc>
        <w:tc>
          <w:tcPr>
            <w:tcW w:w="697" w:type="pct"/>
            <w:tcBorders>
              <w:top w:val="outset" w:sz="6" w:space="0" w:color="414142"/>
              <w:left w:val="outset" w:sz="6" w:space="0" w:color="414142"/>
              <w:bottom w:val="outset" w:sz="6" w:space="0" w:color="414142"/>
              <w:right w:val="outset" w:sz="6" w:space="0" w:color="414142"/>
            </w:tcBorders>
            <w:hideMark/>
          </w:tcPr>
          <w:p w:rsidR="00D37B9B" w:rsidRPr="0011363D" w:rsidRDefault="00D37B9B" w:rsidP="00AA7950">
            <w:pPr>
              <w:spacing w:after="0" w:line="240" w:lineRule="auto"/>
              <w:jc w:val="right"/>
              <w:rPr>
                <w:rFonts w:ascii="Times New Roman" w:eastAsia="Times New Roman" w:hAnsi="Times New Roman" w:cs="Times New Roman"/>
                <w:i/>
                <w:sz w:val="24"/>
                <w:szCs w:val="24"/>
                <w:lang w:eastAsia="lv-LV"/>
              </w:rPr>
            </w:pPr>
            <w:r w:rsidRPr="006E25DE">
              <w:rPr>
                <w:rFonts w:ascii="Times New Roman" w:eastAsia="Times New Roman" w:hAnsi="Times New Roman" w:cs="Times New Roman"/>
                <w:i/>
                <w:sz w:val="24"/>
                <w:szCs w:val="24"/>
                <w:lang w:eastAsia="lv-LV"/>
              </w:rPr>
              <w:t>- 41 387</w:t>
            </w:r>
          </w:p>
        </w:tc>
      </w:tr>
      <w:tr w:rsidR="0011363D"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3.3. pašvaldību budžets</w:t>
            </w:r>
          </w:p>
        </w:tc>
        <w:tc>
          <w:tcPr>
            <w:tcW w:w="789"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932"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86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r>
      <w:tr w:rsidR="0011363D" w:rsidRPr="0011363D" w:rsidTr="00607B2E">
        <w:trPr>
          <w:jc w:val="center"/>
        </w:trPr>
        <w:tc>
          <w:tcPr>
            <w:tcW w:w="930" w:type="pct"/>
            <w:vMerge w:val="restar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89" w:type="pct"/>
            <w:vMerge w:val="restart"/>
            <w:tcBorders>
              <w:top w:val="outset" w:sz="6" w:space="0" w:color="414142"/>
              <w:left w:val="outset" w:sz="6" w:space="0" w:color="414142"/>
              <w:bottom w:val="outset" w:sz="6" w:space="0" w:color="414142"/>
              <w:right w:val="outset" w:sz="6" w:space="0" w:color="414142"/>
            </w:tcBorders>
            <w:vAlign w:val="center"/>
            <w:hideMark/>
          </w:tcPr>
          <w:p w:rsidR="00E05C15" w:rsidRPr="0011363D" w:rsidRDefault="00E05C15" w:rsidP="00AA7950">
            <w:pPr>
              <w:spacing w:before="100" w:beforeAutospacing="1" w:after="100" w:afterAutospacing="1" w:line="293" w:lineRule="atLeast"/>
              <w:jc w:val="center"/>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X</w:t>
            </w:r>
          </w:p>
        </w:tc>
        <w:tc>
          <w:tcPr>
            <w:tcW w:w="932"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86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r>
      <w:tr w:rsidR="00D37B9B" w:rsidRPr="0011363D" w:rsidTr="00607B2E">
        <w:trPr>
          <w:jc w:val="center"/>
        </w:trPr>
        <w:tc>
          <w:tcPr>
            <w:tcW w:w="930" w:type="pct"/>
            <w:vMerge/>
            <w:tcBorders>
              <w:top w:val="outset" w:sz="6" w:space="0" w:color="414142"/>
              <w:left w:val="outset" w:sz="6" w:space="0" w:color="414142"/>
              <w:bottom w:val="outset" w:sz="6" w:space="0" w:color="414142"/>
              <w:right w:val="outset" w:sz="6" w:space="0" w:color="414142"/>
            </w:tcBorders>
            <w:vAlign w:val="center"/>
            <w:hideMark/>
          </w:tcPr>
          <w:p w:rsidR="00D37B9B" w:rsidRPr="0011363D" w:rsidRDefault="00D37B9B" w:rsidP="00AF6A8F">
            <w:pPr>
              <w:spacing w:after="0" w:line="240" w:lineRule="auto"/>
              <w:rPr>
                <w:rFonts w:ascii="Times New Roman" w:eastAsia="Times New Roman" w:hAnsi="Times New Roman" w:cs="Times New Roman"/>
                <w:sz w:val="24"/>
                <w:szCs w:val="24"/>
                <w:lang w:eastAsia="lv-LV"/>
              </w:rPr>
            </w:pPr>
          </w:p>
        </w:tc>
        <w:tc>
          <w:tcPr>
            <w:tcW w:w="789" w:type="pct"/>
            <w:vMerge/>
            <w:tcBorders>
              <w:top w:val="outset" w:sz="6" w:space="0" w:color="414142"/>
              <w:left w:val="outset" w:sz="6" w:space="0" w:color="414142"/>
              <w:bottom w:val="outset" w:sz="6" w:space="0" w:color="414142"/>
              <w:right w:val="outset" w:sz="6" w:space="0" w:color="414142"/>
            </w:tcBorders>
            <w:vAlign w:val="center"/>
            <w:hideMark/>
          </w:tcPr>
          <w:p w:rsidR="00D37B9B" w:rsidRPr="0011363D" w:rsidRDefault="00D37B9B" w:rsidP="00AA7950">
            <w:pPr>
              <w:spacing w:after="0" w:line="240" w:lineRule="auto"/>
              <w:jc w:val="right"/>
              <w:rPr>
                <w:rFonts w:ascii="Times New Roman" w:eastAsia="Times New Roman" w:hAnsi="Times New Roman" w:cs="Times New Roman"/>
                <w:i/>
                <w:sz w:val="24"/>
                <w:szCs w:val="24"/>
                <w:lang w:eastAsia="lv-LV"/>
              </w:rPr>
            </w:pPr>
          </w:p>
        </w:tc>
        <w:tc>
          <w:tcPr>
            <w:tcW w:w="932" w:type="pct"/>
            <w:tcBorders>
              <w:top w:val="outset" w:sz="6" w:space="0" w:color="414142"/>
              <w:left w:val="outset" w:sz="6" w:space="0" w:color="414142"/>
              <w:bottom w:val="outset" w:sz="6" w:space="0" w:color="414142"/>
              <w:right w:val="outset" w:sz="6" w:space="0" w:color="414142"/>
            </w:tcBorders>
            <w:hideMark/>
          </w:tcPr>
          <w:p w:rsidR="00D37B9B" w:rsidRPr="0011363D" w:rsidRDefault="00D37B9B"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866" w:type="pct"/>
            <w:tcBorders>
              <w:top w:val="outset" w:sz="6" w:space="0" w:color="414142"/>
              <w:left w:val="outset" w:sz="6" w:space="0" w:color="414142"/>
              <w:bottom w:val="outset" w:sz="6" w:space="0" w:color="414142"/>
              <w:right w:val="outset" w:sz="6" w:space="0" w:color="414142"/>
            </w:tcBorders>
          </w:tcPr>
          <w:p w:rsidR="00D37B9B" w:rsidRPr="0011363D" w:rsidRDefault="00D454D6" w:rsidP="00AA795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tcPr>
          <w:p w:rsidR="00D37B9B" w:rsidRPr="0011363D" w:rsidRDefault="00D454D6" w:rsidP="00AA795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tcPr>
          <w:p w:rsidR="00D37B9B" w:rsidRPr="0011363D" w:rsidRDefault="00D454D6" w:rsidP="00AA795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0</w:t>
            </w:r>
          </w:p>
        </w:tc>
      </w:tr>
      <w:tr w:rsidR="0011363D" w:rsidRPr="0011363D" w:rsidTr="00607B2E">
        <w:trPr>
          <w:jc w:val="center"/>
        </w:trPr>
        <w:tc>
          <w:tcPr>
            <w:tcW w:w="930" w:type="pct"/>
            <w:vMerge/>
            <w:tcBorders>
              <w:top w:val="outset" w:sz="6" w:space="0" w:color="414142"/>
              <w:left w:val="outset" w:sz="6" w:space="0" w:color="414142"/>
              <w:bottom w:val="outset" w:sz="6" w:space="0" w:color="414142"/>
              <w:right w:val="outset" w:sz="6" w:space="0" w:color="414142"/>
            </w:tcBorders>
            <w:vAlign w:val="center"/>
            <w:hideMark/>
          </w:tcPr>
          <w:p w:rsidR="00E05C15" w:rsidRPr="0011363D" w:rsidRDefault="00E05C15" w:rsidP="00AF6A8F">
            <w:pPr>
              <w:spacing w:after="0" w:line="240" w:lineRule="auto"/>
              <w:rPr>
                <w:rFonts w:ascii="Times New Roman" w:eastAsia="Times New Roman" w:hAnsi="Times New Roman" w:cs="Times New Roman"/>
                <w:sz w:val="24"/>
                <w:szCs w:val="24"/>
                <w:lang w:eastAsia="lv-LV"/>
              </w:rPr>
            </w:pPr>
          </w:p>
        </w:tc>
        <w:tc>
          <w:tcPr>
            <w:tcW w:w="789" w:type="pct"/>
            <w:vMerge/>
            <w:tcBorders>
              <w:top w:val="outset" w:sz="6" w:space="0" w:color="414142"/>
              <w:left w:val="outset" w:sz="6" w:space="0" w:color="414142"/>
              <w:bottom w:val="outset" w:sz="6" w:space="0" w:color="414142"/>
              <w:right w:val="outset" w:sz="6" w:space="0" w:color="414142"/>
            </w:tcBorders>
            <w:vAlign w:val="center"/>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p>
        </w:tc>
        <w:tc>
          <w:tcPr>
            <w:tcW w:w="932"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86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r>
      <w:tr w:rsidR="0011363D"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5. Precizēta finansiālā ietekme:</w:t>
            </w:r>
          </w:p>
        </w:tc>
        <w:tc>
          <w:tcPr>
            <w:tcW w:w="789" w:type="pct"/>
            <w:vMerge w:val="restart"/>
            <w:tcBorders>
              <w:top w:val="outset" w:sz="6" w:space="0" w:color="414142"/>
              <w:left w:val="outset" w:sz="6" w:space="0" w:color="414142"/>
              <w:bottom w:val="outset" w:sz="6" w:space="0" w:color="414142"/>
              <w:right w:val="outset" w:sz="6" w:space="0" w:color="414142"/>
            </w:tcBorders>
            <w:vAlign w:val="center"/>
            <w:hideMark/>
          </w:tcPr>
          <w:p w:rsidR="00E05C15" w:rsidRPr="0011363D" w:rsidRDefault="00E05C15" w:rsidP="00AA7950">
            <w:pPr>
              <w:spacing w:before="100" w:beforeAutospacing="1" w:after="100" w:afterAutospacing="1" w:line="293" w:lineRule="atLeast"/>
              <w:jc w:val="center"/>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X</w:t>
            </w:r>
          </w:p>
        </w:tc>
        <w:tc>
          <w:tcPr>
            <w:tcW w:w="932" w:type="pct"/>
            <w:tcBorders>
              <w:top w:val="outset" w:sz="6" w:space="0" w:color="414142"/>
              <w:left w:val="outset" w:sz="6" w:space="0" w:color="414142"/>
              <w:bottom w:val="outset" w:sz="6" w:space="0" w:color="414142"/>
              <w:right w:val="outset" w:sz="6" w:space="0" w:color="414142"/>
            </w:tcBorders>
            <w:hideMark/>
          </w:tcPr>
          <w:p w:rsidR="00E05C15" w:rsidRPr="0011363D" w:rsidRDefault="00D454D6" w:rsidP="00AA795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0</w:t>
            </w:r>
          </w:p>
        </w:tc>
        <w:tc>
          <w:tcPr>
            <w:tcW w:w="86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r>
      <w:tr w:rsidR="0011363D"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5.1. valsts pamatbudžets</w:t>
            </w:r>
          </w:p>
        </w:tc>
        <w:tc>
          <w:tcPr>
            <w:tcW w:w="789" w:type="pct"/>
            <w:vMerge/>
            <w:tcBorders>
              <w:top w:val="outset" w:sz="6" w:space="0" w:color="414142"/>
              <w:left w:val="outset" w:sz="6" w:space="0" w:color="414142"/>
              <w:bottom w:val="outset" w:sz="6" w:space="0" w:color="414142"/>
              <w:right w:val="outset" w:sz="6" w:space="0" w:color="414142"/>
            </w:tcBorders>
            <w:vAlign w:val="center"/>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p>
        </w:tc>
        <w:tc>
          <w:tcPr>
            <w:tcW w:w="932"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86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r>
      <w:tr w:rsidR="0011363D"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5.2. speciālais budžets</w:t>
            </w:r>
          </w:p>
        </w:tc>
        <w:tc>
          <w:tcPr>
            <w:tcW w:w="789" w:type="pct"/>
            <w:vMerge/>
            <w:tcBorders>
              <w:top w:val="outset" w:sz="6" w:space="0" w:color="414142"/>
              <w:left w:val="outset" w:sz="6" w:space="0" w:color="414142"/>
              <w:bottom w:val="outset" w:sz="6" w:space="0" w:color="414142"/>
              <w:right w:val="outset" w:sz="6" w:space="0" w:color="414142"/>
            </w:tcBorders>
            <w:vAlign w:val="center"/>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p>
        </w:tc>
        <w:tc>
          <w:tcPr>
            <w:tcW w:w="932" w:type="pct"/>
            <w:tcBorders>
              <w:top w:val="outset" w:sz="6" w:space="0" w:color="414142"/>
              <w:left w:val="outset" w:sz="6" w:space="0" w:color="414142"/>
              <w:bottom w:val="outset" w:sz="6" w:space="0" w:color="414142"/>
              <w:right w:val="outset" w:sz="6" w:space="0" w:color="414142"/>
            </w:tcBorders>
            <w:hideMark/>
          </w:tcPr>
          <w:p w:rsidR="00E05C15" w:rsidRPr="0011363D" w:rsidRDefault="00D454D6" w:rsidP="00AA7950">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0</w:t>
            </w:r>
          </w:p>
        </w:tc>
        <w:tc>
          <w:tcPr>
            <w:tcW w:w="86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r>
      <w:tr w:rsidR="0011363D"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5.3. pašvaldību budžets</w:t>
            </w:r>
          </w:p>
        </w:tc>
        <w:tc>
          <w:tcPr>
            <w:tcW w:w="789" w:type="pct"/>
            <w:vMerge/>
            <w:tcBorders>
              <w:top w:val="outset" w:sz="6" w:space="0" w:color="414142"/>
              <w:left w:val="outset" w:sz="6" w:space="0" w:color="414142"/>
              <w:bottom w:val="outset" w:sz="6" w:space="0" w:color="414142"/>
              <w:right w:val="outset" w:sz="6" w:space="0" w:color="414142"/>
            </w:tcBorders>
            <w:vAlign w:val="center"/>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p>
        </w:tc>
        <w:tc>
          <w:tcPr>
            <w:tcW w:w="932"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86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786"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c>
          <w:tcPr>
            <w:tcW w:w="697"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A7950">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0</w:t>
            </w:r>
          </w:p>
        </w:tc>
      </w:tr>
      <w:tr w:rsidR="0011363D"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t xml:space="preserve">6. Detalizēts ieņēmumu un izdevumu aprēķins (ja nepieciešams, detalizētu ieņēmumu un izdevumu aprēķinu var pievienot anotācijas </w:t>
            </w:r>
            <w:r w:rsidRPr="0011363D">
              <w:rPr>
                <w:rFonts w:ascii="Times New Roman" w:eastAsia="Times New Roman" w:hAnsi="Times New Roman" w:cs="Times New Roman"/>
                <w:sz w:val="24"/>
                <w:szCs w:val="24"/>
                <w:lang w:eastAsia="lv-LV"/>
              </w:rPr>
              <w:lastRenderedPageBreak/>
              <w:t>pielikumā):</w:t>
            </w:r>
          </w:p>
        </w:tc>
        <w:tc>
          <w:tcPr>
            <w:tcW w:w="4070" w:type="pct"/>
            <w:gridSpan w:val="5"/>
            <w:tcBorders>
              <w:top w:val="outset" w:sz="6" w:space="0" w:color="414142"/>
              <w:left w:val="outset" w:sz="6" w:space="0" w:color="414142"/>
              <w:bottom w:val="single" w:sz="4" w:space="0" w:color="auto"/>
              <w:right w:val="outset" w:sz="6" w:space="0" w:color="414142"/>
            </w:tcBorders>
            <w:hideMark/>
          </w:tcPr>
          <w:p w:rsidR="00893EDD" w:rsidRPr="0011363D" w:rsidRDefault="00893EDD">
            <w:pPr>
              <w:pStyle w:val="naisf"/>
              <w:spacing w:before="0" w:beforeAutospacing="0" w:after="0" w:afterAutospacing="0"/>
              <w:jc w:val="both"/>
              <w:rPr>
                <w:i/>
                <w:sz w:val="20"/>
                <w:szCs w:val="20"/>
              </w:rPr>
            </w:pPr>
            <w:r w:rsidRPr="0011363D">
              <w:rPr>
                <w:i/>
                <w:sz w:val="20"/>
                <w:szCs w:val="20"/>
              </w:rPr>
              <w:lastRenderedPageBreak/>
              <w:t xml:space="preserve">* </w:t>
            </w:r>
            <w:r w:rsidR="00716594" w:rsidRPr="0011363D">
              <w:rPr>
                <w:i/>
                <w:sz w:val="20"/>
                <w:szCs w:val="20"/>
              </w:rPr>
              <w:t xml:space="preserve">ņemot vērā Finanšu ministrijas (turpmāk – FM) 21.02.2014. rīkojumu Nr.92, FM 23.05.2014. rīkojumu Nr.247 un FM 25.06.2014. rīkojumu Nr.305. </w:t>
            </w:r>
          </w:p>
          <w:p w:rsidR="00E05C15" w:rsidRPr="00084107" w:rsidRDefault="00084107">
            <w:pPr>
              <w:spacing w:after="0" w:line="240" w:lineRule="auto"/>
              <w:jc w:val="both"/>
              <w:rPr>
                <w:rFonts w:ascii="Times New Roman" w:eastAsia="Times New Roman" w:hAnsi="Times New Roman" w:cs="Times New Roman"/>
                <w:sz w:val="24"/>
                <w:szCs w:val="24"/>
                <w:lang w:eastAsia="lv-LV"/>
              </w:rPr>
            </w:pPr>
            <w:r w:rsidRPr="00836175">
              <w:rPr>
                <w:rFonts w:ascii="Times New Roman" w:hAnsi="Times New Roman" w:cs="Times New Roman"/>
                <w:sz w:val="24"/>
                <w:szCs w:val="24"/>
              </w:rPr>
              <w:t xml:space="preserve">Atbilstoši MK rīkojuma projektam paredzēts veikt pārdali Labklājības ministrijas valsts sociālās apdrošināšanas speciālā budžeta apakšprogrammas 04.01.00 „Valsts pensiju speciālais budžets” ietvaros starp izdevumu kodiem atbilstoši ekonomiskajām kategorijām, samazinot izdevumus sociālajiem pabalstiem 41 387 </w:t>
            </w:r>
            <w:proofErr w:type="spellStart"/>
            <w:r w:rsidRPr="00836175">
              <w:rPr>
                <w:rFonts w:ascii="Times New Roman" w:hAnsi="Times New Roman" w:cs="Times New Roman"/>
                <w:i/>
                <w:sz w:val="24"/>
                <w:szCs w:val="24"/>
              </w:rPr>
              <w:t>euro</w:t>
            </w:r>
            <w:proofErr w:type="spellEnd"/>
            <w:r w:rsidR="00982188">
              <w:rPr>
                <w:rFonts w:ascii="Times New Roman" w:hAnsi="Times New Roman" w:cs="Times New Roman"/>
                <w:i/>
                <w:sz w:val="24"/>
                <w:szCs w:val="24"/>
              </w:rPr>
              <w:t xml:space="preserve"> </w:t>
            </w:r>
            <w:r w:rsidRPr="00836175">
              <w:rPr>
                <w:rFonts w:ascii="Times New Roman" w:hAnsi="Times New Roman" w:cs="Times New Roman"/>
                <w:sz w:val="24"/>
                <w:szCs w:val="24"/>
              </w:rPr>
              <w:t xml:space="preserve">apmērā un attiecīgi palielinot izdevumus valsts budžeta uzturēšanas izdevumu transfertiem no valsts speciālā budžeta uz valsts speciālo budžetu 41 387 </w:t>
            </w:r>
            <w:proofErr w:type="spellStart"/>
            <w:r w:rsidRPr="00836175">
              <w:rPr>
                <w:rFonts w:ascii="Times New Roman" w:hAnsi="Times New Roman" w:cs="Times New Roman"/>
                <w:i/>
                <w:sz w:val="24"/>
                <w:szCs w:val="24"/>
              </w:rPr>
              <w:t>euro</w:t>
            </w:r>
            <w:proofErr w:type="spellEnd"/>
            <w:r w:rsidRPr="00836175">
              <w:rPr>
                <w:rFonts w:ascii="Times New Roman" w:hAnsi="Times New Roman" w:cs="Times New Roman"/>
                <w:sz w:val="24"/>
                <w:szCs w:val="24"/>
              </w:rPr>
              <w:t xml:space="preserve"> apmērā, vienlaikus valsts sociālās apdrošināšanas speciālā budžeta apakšprogrammā 04.05.00 „Valsts sociālās </w:t>
            </w:r>
            <w:r w:rsidR="00617DFD">
              <w:rPr>
                <w:rFonts w:ascii="Times New Roman" w:hAnsi="Times New Roman" w:cs="Times New Roman"/>
                <w:sz w:val="24"/>
                <w:szCs w:val="24"/>
              </w:rPr>
              <w:t xml:space="preserve">apdrošināšanas </w:t>
            </w:r>
            <w:r w:rsidRPr="00836175">
              <w:rPr>
                <w:rFonts w:ascii="Times New Roman" w:hAnsi="Times New Roman" w:cs="Times New Roman"/>
                <w:sz w:val="24"/>
                <w:szCs w:val="24"/>
              </w:rPr>
              <w:t xml:space="preserve">aģentūras speciālais budžets” palielinot ieņēmumus no valsts speciālā budžeta savstarpējiem transfertiem no valsts pensiju speciālā budžeta 41 387 </w:t>
            </w:r>
            <w:proofErr w:type="spellStart"/>
            <w:r w:rsidRPr="00836175">
              <w:rPr>
                <w:rFonts w:ascii="Times New Roman" w:hAnsi="Times New Roman" w:cs="Times New Roman"/>
                <w:i/>
                <w:sz w:val="24"/>
                <w:szCs w:val="24"/>
              </w:rPr>
              <w:t>euro</w:t>
            </w:r>
            <w:proofErr w:type="spellEnd"/>
            <w:r w:rsidRPr="00836175">
              <w:rPr>
                <w:rFonts w:ascii="Times New Roman" w:hAnsi="Times New Roman" w:cs="Times New Roman"/>
                <w:sz w:val="24"/>
                <w:szCs w:val="24"/>
              </w:rPr>
              <w:t xml:space="preserve"> apmērā. Ņemot vērā, ka</w:t>
            </w:r>
            <w:r w:rsidR="00982188">
              <w:rPr>
                <w:rFonts w:ascii="Times New Roman" w:hAnsi="Times New Roman" w:cs="Times New Roman"/>
                <w:sz w:val="24"/>
                <w:szCs w:val="24"/>
              </w:rPr>
              <w:t xml:space="preserve"> </w:t>
            </w:r>
            <w:r w:rsidRPr="00836175">
              <w:rPr>
                <w:rFonts w:ascii="Times New Roman" w:hAnsi="Times New Roman" w:cs="Times New Roman"/>
                <w:sz w:val="24"/>
                <w:szCs w:val="24"/>
              </w:rPr>
              <w:t>izdevumi valsts budžeta uzturēšanas izdevumu transfertiem no valsts speciālā budžeta uz valsts speciālo budžetu un</w:t>
            </w:r>
            <w:r w:rsidR="00982188">
              <w:rPr>
                <w:rFonts w:ascii="Times New Roman" w:hAnsi="Times New Roman" w:cs="Times New Roman"/>
                <w:sz w:val="24"/>
                <w:szCs w:val="24"/>
              </w:rPr>
              <w:t xml:space="preserve"> </w:t>
            </w:r>
            <w:r w:rsidRPr="00836175">
              <w:rPr>
                <w:rFonts w:ascii="Times New Roman" w:hAnsi="Times New Roman" w:cs="Times New Roman"/>
                <w:sz w:val="24"/>
                <w:szCs w:val="24"/>
              </w:rPr>
              <w:t xml:space="preserve">ieņēmumi no valsts speciālā budžeta </w:t>
            </w:r>
            <w:r w:rsidRPr="00836175">
              <w:rPr>
                <w:rFonts w:ascii="Times New Roman" w:hAnsi="Times New Roman" w:cs="Times New Roman"/>
                <w:sz w:val="24"/>
                <w:szCs w:val="24"/>
              </w:rPr>
              <w:lastRenderedPageBreak/>
              <w:t>savstarpējiem transfertiem no valsts pensiju speciālā budžeta</w:t>
            </w:r>
            <w:r w:rsidR="00982188">
              <w:rPr>
                <w:rFonts w:ascii="Times New Roman" w:hAnsi="Times New Roman" w:cs="Times New Roman"/>
                <w:sz w:val="24"/>
                <w:szCs w:val="24"/>
              </w:rPr>
              <w:t xml:space="preserve"> </w:t>
            </w:r>
            <w:r w:rsidRPr="00836175">
              <w:rPr>
                <w:rFonts w:ascii="Times New Roman" w:hAnsi="Times New Roman" w:cs="Times New Roman"/>
                <w:sz w:val="24"/>
                <w:szCs w:val="24"/>
              </w:rPr>
              <w:t>ir sociālās apdrošināšanas speciālā budžeta konsolidējamās pozīcijas, tad plānotie sociālās apdrošināšanas speciālā budžeta (konsolidētā)</w:t>
            </w:r>
            <w:r w:rsidR="00982188">
              <w:rPr>
                <w:rFonts w:ascii="Times New Roman" w:hAnsi="Times New Roman" w:cs="Times New Roman"/>
                <w:sz w:val="24"/>
                <w:szCs w:val="24"/>
              </w:rPr>
              <w:t xml:space="preserve"> </w:t>
            </w:r>
            <w:r w:rsidRPr="00836175">
              <w:rPr>
                <w:rFonts w:ascii="Times New Roman" w:hAnsi="Times New Roman" w:cs="Times New Roman"/>
                <w:sz w:val="24"/>
                <w:szCs w:val="24"/>
              </w:rPr>
              <w:t xml:space="preserve">izdevumi samazinās un 2014.gadā uzlabojas plānotā valsts sociālās apdrošināšanas speciālā budžeta finansiālā bilance par 41 387 </w:t>
            </w:r>
            <w:proofErr w:type="spellStart"/>
            <w:r w:rsidRPr="00836175">
              <w:rPr>
                <w:rFonts w:ascii="Times New Roman" w:hAnsi="Times New Roman" w:cs="Times New Roman"/>
                <w:i/>
                <w:sz w:val="24"/>
                <w:szCs w:val="24"/>
              </w:rPr>
              <w:t>euro</w:t>
            </w:r>
            <w:proofErr w:type="spellEnd"/>
            <w:r w:rsidRPr="00836175">
              <w:rPr>
                <w:rFonts w:ascii="Times New Roman" w:hAnsi="Times New Roman" w:cs="Times New Roman"/>
                <w:sz w:val="24"/>
                <w:szCs w:val="24"/>
              </w:rPr>
              <w:t xml:space="preserve">, faktiski 2014.gadā valsts sociālās apdrošināšanas speciālā budžeta ieņēmumi (VSAA speciālā budžetā plānotie ieņēmumi no maksas pakalpojumiem un citi pašu ieņēmumi) neizpildīsies par šo summu, kā rezultātā veiktajai apropriācijas pārdalei </w:t>
            </w:r>
            <w:r w:rsidR="00467DB7">
              <w:rPr>
                <w:rFonts w:ascii="Times New Roman" w:hAnsi="Times New Roman" w:cs="Times New Roman"/>
                <w:sz w:val="24"/>
                <w:szCs w:val="24"/>
              </w:rPr>
              <w:t xml:space="preserve">2014.gadā </w:t>
            </w:r>
            <w:r w:rsidRPr="00732506">
              <w:rPr>
                <w:rFonts w:ascii="Times New Roman" w:hAnsi="Times New Roman" w:cs="Times New Roman"/>
                <w:sz w:val="24"/>
                <w:szCs w:val="24"/>
              </w:rPr>
              <w:t>faktiski ietekmes uz valsts sociālās apdrošināšanas speciālā budžeta finansiālo bilanci nebūs.</w:t>
            </w:r>
          </w:p>
        </w:tc>
      </w:tr>
      <w:tr w:rsidR="0011363D"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lastRenderedPageBreak/>
              <w:t>6.1. detalizēts ieņēmumu aprēķins</w:t>
            </w:r>
          </w:p>
        </w:tc>
        <w:tc>
          <w:tcPr>
            <w:tcW w:w="4070" w:type="pct"/>
            <w:gridSpan w:val="5"/>
            <w:tcBorders>
              <w:top w:val="single" w:sz="4" w:space="0" w:color="auto"/>
              <w:left w:val="outset" w:sz="6" w:space="0" w:color="414142"/>
              <w:bottom w:val="single" w:sz="4" w:space="0" w:color="auto"/>
              <w:right w:val="outset" w:sz="6" w:space="0" w:color="414142"/>
            </w:tcBorders>
            <w:vAlign w:val="center"/>
            <w:hideMark/>
          </w:tcPr>
          <w:p w:rsidR="00E05C15" w:rsidRPr="0011363D" w:rsidRDefault="00E05C15" w:rsidP="00114F16">
            <w:pPr>
              <w:spacing w:after="0" w:line="240" w:lineRule="auto"/>
              <w:ind w:left="-1" w:right="67"/>
              <w:jc w:val="both"/>
              <w:rPr>
                <w:rFonts w:ascii="Times New Roman" w:eastAsia="Times New Roman" w:hAnsi="Times New Roman" w:cs="Times New Roman"/>
                <w:sz w:val="24"/>
                <w:szCs w:val="24"/>
              </w:rPr>
            </w:pPr>
            <w:r w:rsidRPr="0011363D">
              <w:rPr>
                <w:rFonts w:ascii="Times New Roman" w:eastAsia="Times New Roman" w:hAnsi="Times New Roman" w:cs="Times New Roman"/>
                <w:sz w:val="24"/>
                <w:szCs w:val="24"/>
              </w:rPr>
              <w:t xml:space="preserve">Saskaņā ar likuma „Par valsts budžetu 2014.gadam” 5.pielikumu „Valsts speciālā budžeta ieņēmumu un izdevumu atšifrējums pa programmām un apakšprogrammā” ieņēmumi no maksas pakalpojumiem 04.05.00 apakšprogrammai „Valsts sociālās apdrošināšanas aģentūras speciālais budžets” ir apstiprināti 56 659 </w:t>
            </w:r>
            <w:proofErr w:type="spellStart"/>
            <w:r w:rsidRPr="0011363D">
              <w:rPr>
                <w:rFonts w:ascii="Times New Roman" w:eastAsia="Times New Roman" w:hAnsi="Times New Roman" w:cs="Times New Roman"/>
                <w:i/>
                <w:sz w:val="24"/>
                <w:szCs w:val="24"/>
              </w:rPr>
              <w:t>euro</w:t>
            </w:r>
            <w:proofErr w:type="spellEnd"/>
            <w:r w:rsidRPr="0011363D">
              <w:rPr>
                <w:rFonts w:ascii="Times New Roman" w:eastAsia="Times New Roman" w:hAnsi="Times New Roman" w:cs="Times New Roman"/>
                <w:sz w:val="24"/>
                <w:szCs w:val="24"/>
              </w:rPr>
              <w:t xml:space="preserve"> apmērā. </w:t>
            </w:r>
          </w:p>
          <w:p w:rsidR="00E05C15" w:rsidRPr="0011363D" w:rsidRDefault="00E05C15" w:rsidP="00114F16">
            <w:pPr>
              <w:spacing w:after="0" w:line="240" w:lineRule="auto"/>
              <w:ind w:right="68"/>
              <w:jc w:val="both"/>
              <w:rPr>
                <w:rFonts w:ascii="Times New Roman" w:eastAsia="Times New Roman" w:hAnsi="Times New Roman" w:cs="Times New Roman"/>
                <w:sz w:val="24"/>
                <w:szCs w:val="24"/>
              </w:rPr>
            </w:pPr>
            <w:r w:rsidRPr="0011363D">
              <w:rPr>
                <w:rFonts w:ascii="Times New Roman" w:eastAsia="Times New Roman" w:hAnsi="Times New Roman" w:cs="Times New Roman"/>
                <w:sz w:val="24"/>
                <w:szCs w:val="24"/>
              </w:rPr>
              <w:t xml:space="preserve">2014.gada piecos mēnešos VSAA kopējos ieņēmumus no maksas pakalpojumiem (budžeta ieņēmumu EKK kods 21300 un 21400) ir saņēmusi 10,0 tūkst. </w:t>
            </w:r>
            <w:proofErr w:type="spellStart"/>
            <w:r w:rsidRPr="0011363D">
              <w:rPr>
                <w:rFonts w:ascii="Times New Roman" w:eastAsia="Times New Roman" w:hAnsi="Times New Roman" w:cs="Times New Roman"/>
                <w:i/>
                <w:sz w:val="24"/>
                <w:szCs w:val="24"/>
              </w:rPr>
              <w:t>euro</w:t>
            </w:r>
            <w:proofErr w:type="spellEnd"/>
            <w:r w:rsidRPr="0011363D">
              <w:rPr>
                <w:rFonts w:ascii="Times New Roman" w:eastAsia="Times New Roman" w:hAnsi="Times New Roman" w:cs="Times New Roman"/>
                <w:sz w:val="24"/>
                <w:szCs w:val="24"/>
              </w:rPr>
              <w:t xml:space="preserve"> apmērā, t.i., 17,7% apmērā no gada plāna. Salīdzinot ar iepriekšējiem gadiem (piemēram, 2013.gada piecos mēnešos ieņēmumu no maksas pakalpojumiem un citiem pašu ieņēmumiem izpilde sasniedza 53,6% no gada izpildes un arī iepriekšējos gados tā pārsniedza 37,0% no gada plāna), var secināt, ka minēto ieņēmumu izpilde ievērojami atpaliek no to izpildes tendencēm.</w:t>
            </w:r>
          </w:p>
          <w:p w:rsidR="00E05C15" w:rsidRPr="0011363D" w:rsidRDefault="00E05C15" w:rsidP="00114F16">
            <w:pPr>
              <w:spacing w:after="0" w:line="240" w:lineRule="auto"/>
              <w:ind w:right="68"/>
              <w:jc w:val="both"/>
              <w:rPr>
                <w:rFonts w:ascii="Times New Roman" w:eastAsia="Times New Roman" w:hAnsi="Times New Roman" w:cs="Times New Roman"/>
                <w:sz w:val="24"/>
                <w:szCs w:val="24"/>
              </w:rPr>
            </w:pPr>
          </w:p>
          <w:p w:rsidR="00E05C15" w:rsidRPr="0011363D" w:rsidRDefault="00E05C15" w:rsidP="00114F16">
            <w:pPr>
              <w:spacing w:after="0" w:line="240" w:lineRule="auto"/>
              <w:ind w:left="-1" w:right="67"/>
              <w:jc w:val="both"/>
              <w:rPr>
                <w:rFonts w:ascii="Times New Roman" w:eastAsia="Times New Roman" w:hAnsi="Times New Roman" w:cs="Times New Roman"/>
                <w:i/>
                <w:sz w:val="20"/>
                <w:szCs w:val="20"/>
              </w:rPr>
            </w:pPr>
            <w:r w:rsidRPr="0011363D">
              <w:rPr>
                <w:noProof/>
                <w:bdr w:val="single" w:sz="2" w:space="0" w:color="auto"/>
                <w:lang w:eastAsia="lv-LV"/>
              </w:rPr>
              <w:drawing>
                <wp:anchor distT="0" distB="0" distL="114300" distR="114300" simplePos="0" relativeHeight="251666432" behindDoc="0" locked="0" layoutInCell="1" allowOverlap="1" wp14:anchorId="2FC2A891" wp14:editId="59C9A1C2">
                  <wp:simplePos x="0" y="0"/>
                  <wp:positionH relativeFrom="column">
                    <wp:align>center</wp:align>
                  </wp:positionH>
                  <wp:positionV relativeFrom="paragraph">
                    <wp:posOffset>3810</wp:posOffset>
                  </wp:positionV>
                  <wp:extent cx="3700800" cy="26892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0800" cy="2689200"/>
                          </a:xfrm>
                          <a:prstGeom prst="rect">
                            <a:avLst/>
                          </a:prstGeom>
                          <a:noFill/>
                        </pic:spPr>
                      </pic:pic>
                    </a:graphicData>
                  </a:graphic>
                </wp:anchor>
              </w:drawing>
            </w:r>
            <w:r w:rsidRPr="0011363D">
              <w:rPr>
                <w:rFonts w:ascii="Times New Roman" w:eastAsia="Times New Roman" w:hAnsi="Times New Roman" w:cs="Times New Roman"/>
                <w:i/>
                <w:sz w:val="20"/>
                <w:szCs w:val="20"/>
              </w:rPr>
              <w:t xml:space="preserve">1.att. VSAA ieņēmumu no maksas pakalpojumiem un citiem pašu ieņēmumiem izpilde, uzkrāta no gada sākuma, </w:t>
            </w:r>
            <w:proofErr w:type="spellStart"/>
            <w:r w:rsidRPr="0011363D">
              <w:rPr>
                <w:rFonts w:ascii="Times New Roman" w:eastAsia="Times New Roman" w:hAnsi="Times New Roman" w:cs="Times New Roman"/>
                <w:i/>
                <w:sz w:val="20"/>
                <w:szCs w:val="20"/>
              </w:rPr>
              <w:t>euro</w:t>
            </w:r>
            <w:proofErr w:type="spellEnd"/>
          </w:p>
          <w:p w:rsidR="00E05C15" w:rsidRPr="0011363D" w:rsidRDefault="00E05C15" w:rsidP="00114F16">
            <w:pPr>
              <w:spacing w:after="0" w:line="240" w:lineRule="auto"/>
              <w:ind w:left="-1" w:right="67"/>
              <w:jc w:val="both"/>
              <w:rPr>
                <w:rFonts w:ascii="Times New Roman" w:eastAsia="Times New Roman" w:hAnsi="Times New Roman" w:cs="Times New Roman"/>
                <w:i/>
                <w:sz w:val="24"/>
                <w:szCs w:val="24"/>
              </w:rPr>
            </w:pPr>
          </w:p>
          <w:p w:rsidR="00E05C15" w:rsidRPr="0011363D" w:rsidRDefault="00E05C15" w:rsidP="00114F16">
            <w:pPr>
              <w:spacing w:after="0" w:line="240" w:lineRule="auto"/>
              <w:jc w:val="both"/>
              <w:rPr>
                <w:rFonts w:ascii="Times New Roman" w:eastAsia="Times New Roman" w:hAnsi="Times New Roman" w:cs="Times New Roman"/>
                <w:sz w:val="24"/>
                <w:szCs w:val="24"/>
              </w:rPr>
            </w:pPr>
            <w:r w:rsidRPr="0011363D">
              <w:rPr>
                <w:rFonts w:ascii="Times New Roman" w:eastAsia="Times New Roman" w:hAnsi="Times New Roman" w:cs="Times New Roman"/>
                <w:sz w:val="24"/>
                <w:szCs w:val="24"/>
              </w:rPr>
              <w:t xml:space="preserve">Lai arī, analizējot kopējo VSAA maksas pakalpojumu izpildi 2014.gada piecos mēnešos pret šajā periodā plānotajiem ieņēmumiem, var secināt, ka minētie ieņēmumi ir izpildījušies par 106,4% (2014.gada piecos mēnešos VSAA </w:t>
            </w:r>
            <w:r w:rsidRPr="0011363D">
              <w:rPr>
                <w:rFonts w:ascii="Times New Roman" w:eastAsia="Times New Roman" w:hAnsi="Times New Roman" w:cs="Times New Roman"/>
                <w:i/>
                <w:sz w:val="24"/>
                <w:szCs w:val="24"/>
              </w:rPr>
              <w:t xml:space="preserve">kopējie </w:t>
            </w:r>
            <w:r w:rsidRPr="0011363D">
              <w:rPr>
                <w:rFonts w:ascii="Times New Roman" w:eastAsia="Times New Roman" w:hAnsi="Times New Roman" w:cs="Times New Roman"/>
                <w:sz w:val="24"/>
                <w:szCs w:val="24"/>
              </w:rPr>
              <w:t xml:space="preserve">maksas pakalpojumi tika plānoti 9,4 tūkst. </w:t>
            </w:r>
            <w:proofErr w:type="spellStart"/>
            <w:r w:rsidRPr="0011363D">
              <w:rPr>
                <w:rFonts w:ascii="Times New Roman" w:eastAsia="Times New Roman" w:hAnsi="Times New Roman" w:cs="Times New Roman"/>
                <w:i/>
                <w:sz w:val="24"/>
                <w:szCs w:val="24"/>
              </w:rPr>
              <w:t>euro</w:t>
            </w:r>
            <w:proofErr w:type="spellEnd"/>
            <w:r w:rsidRPr="0011363D">
              <w:rPr>
                <w:rFonts w:ascii="Times New Roman" w:eastAsia="Times New Roman" w:hAnsi="Times New Roman" w:cs="Times New Roman"/>
                <w:sz w:val="24"/>
                <w:szCs w:val="24"/>
              </w:rPr>
              <w:t xml:space="preserve"> apmērā, savukārt saņemti – 10,0 tūkst. </w:t>
            </w:r>
            <w:proofErr w:type="spellStart"/>
            <w:r w:rsidRPr="0011363D">
              <w:rPr>
                <w:rFonts w:ascii="Times New Roman" w:eastAsia="Times New Roman" w:hAnsi="Times New Roman" w:cs="Times New Roman"/>
                <w:i/>
                <w:sz w:val="24"/>
                <w:szCs w:val="24"/>
              </w:rPr>
              <w:t>euro</w:t>
            </w:r>
            <w:proofErr w:type="spellEnd"/>
            <w:r w:rsidRPr="0011363D">
              <w:rPr>
                <w:rFonts w:ascii="Times New Roman" w:eastAsia="Times New Roman" w:hAnsi="Times New Roman" w:cs="Times New Roman"/>
                <w:sz w:val="24"/>
                <w:szCs w:val="24"/>
              </w:rPr>
              <w:t xml:space="preserve"> apmērā), tomēr jāņem vērā, ka minēto ieņēmumu plāna pārpildi galvenokārt ietekmēja 2014.gada martā saņemtie ieņēmumi no kapitāldaļu pārdošanas 8,6 tūkst. </w:t>
            </w:r>
            <w:proofErr w:type="spellStart"/>
            <w:r w:rsidRPr="0011363D">
              <w:rPr>
                <w:rFonts w:ascii="Times New Roman" w:eastAsia="Times New Roman" w:hAnsi="Times New Roman" w:cs="Times New Roman"/>
                <w:i/>
                <w:sz w:val="24"/>
                <w:szCs w:val="24"/>
              </w:rPr>
              <w:t>euro</w:t>
            </w:r>
            <w:proofErr w:type="spellEnd"/>
            <w:r w:rsidRPr="0011363D">
              <w:rPr>
                <w:rFonts w:ascii="Times New Roman" w:eastAsia="Times New Roman" w:hAnsi="Times New Roman" w:cs="Times New Roman"/>
                <w:sz w:val="24"/>
                <w:szCs w:val="24"/>
              </w:rPr>
              <w:t xml:space="preserve"> apmērā.</w:t>
            </w:r>
          </w:p>
          <w:p w:rsidR="00E05C15" w:rsidRDefault="00E05C15" w:rsidP="00114F16">
            <w:pPr>
              <w:spacing w:after="0" w:line="240" w:lineRule="auto"/>
              <w:jc w:val="both"/>
              <w:rPr>
                <w:rFonts w:ascii="Times New Roman" w:eastAsia="Times New Roman" w:hAnsi="Times New Roman" w:cs="Times New Roman"/>
                <w:sz w:val="24"/>
                <w:szCs w:val="24"/>
              </w:rPr>
            </w:pPr>
            <w:r w:rsidRPr="0011363D">
              <w:rPr>
                <w:rFonts w:ascii="Times New Roman" w:eastAsia="Times New Roman" w:hAnsi="Times New Roman" w:cs="Times New Roman"/>
                <w:sz w:val="24"/>
                <w:szCs w:val="24"/>
              </w:rPr>
              <w:t xml:space="preserve">Savukārt VSAA ieņēmumi no maksas pakalpojumiem par izziņu sagatavošanu par sociāli apdrošinātām personām pēc zvērinātu advokātu un zvērinātu tiesu izpildītāju pieprasījuma ir tikai daļa no kopējiem VSAA ieņēmumiem no maksas pakalpojumiem un, atbilstoši ieņēmumu klasifikācijai, tiek plānoti EKK 21499 </w:t>
            </w:r>
            <w:proofErr w:type="spellStart"/>
            <w:r w:rsidRPr="0011363D">
              <w:rPr>
                <w:rFonts w:ascii="Times New Roman" w:eastAsia="Times New Roman" w:hAnsi="Times New Roman" w:cs="Times New Roman"/>
                <w:sz w:val="24"/>
                <w:szCs w:val="24"/>
              </w:rPr>
              <w:t>apakškodā</w:t>
            </w:r>
            <w:proofErr w:type="spellEnd"/>
            <w:r w:rsidRPr="0011363D">
              <w:rPr>
                <w:rFonts w:ascii="Times New Roman" w:eastAsia="Times New Roman" w:hAnsi="Times New Roman" w:cs="Times New Roman"/>
                <w:sz w:val="24"/>
                <w:szCs w:val="24"/>
              </w:rPr>
              <w:t xml:space="preserve"> „Pārējie iepriekš neklasificētie pašu ieņēmumi”. 2014.gadā attiecīgi šie ieņēmumi, sagatavojot priekšlikumus likumprojektam „Par valsts budžetu 2014.gadā”, tika plānoti 42 430 </w:t>
            </w:r>
            <w:proofErr w:type="spellStart"/>
            <w:r w:rsidRPr="0011363D">
              <w:rPr>
                <w:rFonts w:ascii="Times New Roman" w:eastAsia="Times New Roman" w:hAnsi="Times New Roman" w:cs="Times New Roman"/>
                <w:i/>
                <w:sz w:val="24"/>
                <w:szCs w:val="24"/>
              </w:rPr>
              <w:t>euro</w:t>
            </w:r>
            <w:proofErr w:type="spellEnd"/>
            <w:r w:rsidRPr="0011363D">
              <w:rPr>
                <w:rFonts w:ascii="Times New Roman" w:eastAsia="Times New Roman" w:hAnsi="Times New Roman" w:cs="Times New Roman"/>
                <w:sz w:val="24"/>
                <w:szCs w:val="24"/>
              </w:rPr>
              <w:t xml:space="preserve">. Uz likumprojekta „Par valsts budžetu 2014.gadam” sagatavošanas brīdi Labklājības ministrijai nebija informācijas par grozījumu </w:t>
            </w:r>
            <w:r w:rsidRPr="0011363D">
              <w:rPr>
                <w:rFonts w:ascii="Times New Roman" w:eastAsia="Times New Roman" w:hAnsi="Times New Roman" w:cs="Times New Roman"/>
                <w:sz w:val="24"/>
                <w:szCs w:val="24"/>
              </w:rPr>
              <w:lastRenderedPageBreak/>
              <w:t>Civilprocesa likuma 551.panta pirmajā daļā ietekmi uz VSAA ieņēmumiem un to samazinājumu.</w:t>
            </w:r>
          </w:p>
          <w:p w:rsidR="00607B2E" w:rsidRPr="0011363D" w:rsidRDefault="00607B2E" w:rsidP="00114F16">
            <w:pPr>
              <w:spacing w:after="0" w:line="240" w:lineRule="auto"/>
              <w:jc w:val="both"/>
              <w:rPr>
                <w:rFonts w:ascii="Times New Roman" w:eastAsia="Times New Roman" w:hAnsi="Times New Roman" w:cs="Times New Roman"/>
                <w:sz w:val="24"/>
                <w:szCs w:val="24"/>
              </w:rPr>
            </w:pPr>
          </w:p>
          <w:p w:rsidR="00E05C15" w:rsidRPr="0011363D" w:rsidRDefault="00E05C15" w:rsidP="003D3B3E">
            <w:pPr>
              <w:spacing w:after="0" w:line="240" w:lineRule="auto"/>
              <w:jc w:val="center"/>
              <w:rPr>
                <w:rFonts w:ascii="Times New Roman" w:eastAsia="Times New Roman" w:hAnsi="Times New Roman" w:cs="Times New Roman"/>
                <w:sz w:val="24"/>
                <w:szCs w:val="24"/>
              </w:rPr>
            </w:pPr>
            <w:r w:rsidRPr="0011363D">
              <w:rPr>
                <w:rFonts w:ascii="Times New Roman" w:hAnsi="Times New Roman" w:cs="Times New Roman"/>
                <w:noProof/>
                <w:sz w:val="20"/>
                <w:szCs w:val="20"/>
                <w:bdr w:val="single" w:sz="2" w:space="0" w:color="auto"/>
                <w:lang w:eastAsia="lv-LV"/>
              </w:rPr>
              <w:drawing>
                <wp:inline distT="0" distB="0" distL="0" distR="0" wp14:anchorId="274F7C93" wp14:editId="2F6AD8DD">
                  <wp:extent cx="3895200" cy="282960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5200" cy="2829600"/>
                          </a:xfrm>
                          <a:prstGeom prst="rect">
                            <a:avLst/>
                          </a:prstGeom>
                          <a:noFill/>
                        </pic:spPr>
                      </pic:pic>
                    </a:graphicData>
                  </a:graphic>
                </wp:inline>
              </w:drawing>
            </w:r>
          </w:p>
          <w:p w:rsidR="00E05C15" w:rsidRPr="0011363D" w:rsidRDefault="00E05C15" w:rsidP="003C6274">
            <w:pPr>
              <w:spacing w:after="0" w:line="240" w:lineRule="auto"/>
              <w:jc w:val="both"/>
              <w:rPr>
                <w:rFonts w:ascii="Times New Roman" w:eastAsia="Times New Roman" w:hAnsi="Times New Roman" w:cs="Times New Roman"/>
                <w:sz w:val="24"/>
                <w:szCs w:val="24"/>
              </w:rPr>
            </w:pPr>
            <w:r w:rsidRPr="0011363D">
              <w:rPr>
                <w:rFonts w:ascii="Times New Roman" w:eastAsia="Times New Roman" w:hAnsi="Times New Roman" w:cs="Times New Roman"/>
                <w:i/>
                <w:sz w:val="20"/>
                <w:szCs w:val="20"/>
              </w:rPr>
              <w:t xml:space="preserve">2.att. VSAA ieņēmumu no maksas pakalpojumiem par izziņu sagatavošanu pēc zvērinātu advokātu un zvērinātu tiesu izpildītāju pieprasījuma plāns un izpilde 2014.gadā, uzkrāta no gada sākuma, </w:t>
            </w:r>
            <w:proofErr w:type="spellStart"/>
            <w:r w:rsidRPr="0011363D">
              <w:rPr>
                <w:rFonts w:ascii="Times New Roman" w:eastAsia="Times New Roman" w:hAnsi="Times New Roman" w:cs="Times New Roman"/>
                <w:i/>
                <w:sz w:val="20"/>
                <w:szCs w:val="20"/>
              </w:rPr>
              <w:t>euro</w:t>
            </w:r>
            <w:proofErr w:type="spellEnd"/>
          </w:p>
          <w:p w:rsidR="00E05C15" w:rsidRPr="0011363D" w:rsidRDefault="00E05C15" w:rsidP="008D5A46">
            <w:pPr>
              <w:spacing w:after="0" w:line="240" w:lineRule="auto"/>
              <w:jc w:val="both"/>
              <w:rPr>
                <w:rFonts w:ascii="Times New Roman" w:eastAsia="Times New Roman" w:hAnsi="Times New Roman" w:cs="Times New Roman"/>
                <w:sz w:val="24"/>
                <w:szCs w:val="24"/>
              </w:rPr>
            </w:pPr>
          </w:p>
          <w:p w:rsidR="00E05C15" w:rsidRPr="0011363D" w:rsidRDefault="00E05C15">
            <w:pPr>
              <w:spacing w:after="0" w:line="240" w:lineRule="auto"/>
              <w:jc w:val="both"/>
              <w:rPr>
                <w:rFonts w:ascii="Times New Roman" w:eastAsia="Times New Roman" w:hAnsi="Times New Roman" w:cs="Times New Roman"/>
                <w:sz w:val="24"/>
                <w:szCs w:val="24"/>
              </w:rPr>
            </w:pPr>
            <w:r w:rsidRPr="0011363D">
              <w:rPr>
                <w:rFonts w:ascii="Times New Roman" w:eastAsia="Times New Roman" w:hAnsi="Times New Roman" w:cs="Times New Roman"/>
                <w:sz w:val="24"/>
                <w:szCs w:val="24"/>
              </w:rPr>
              <w:t xml:space="preserve">Labklājības ministrija, analizējot VSAA ieņēmumu struktūru, ir secinājusi, ka 2014.gada piecos mēnešos ieņēmumi no maksas pakalpojumiem par izziņu sagatavošanu pēc zvērinātu advokātu un zvērinātu tiesu izpildītāju pieprasījuma bija tikai 18 </w:t>
            </w:r>
            <w:proofErr w:type="spellStart"/>
            <w:r w:rsidRPr="0011363D">
              <w:rPr>
                <w:rFonts w:ascii="Times New Roman" w:eastAsia="Times New Roman" w:hAnsi="Times New Roman" w:cs="Times New Roman"/>
                <w:i/>
                <w:sz w:val="24"/>
                <w:szCs w:val="24"/>
              </w:rPr>
              <w:t>euro</w:t>
            </w:r>
            <w:proofErr w:type="spellEnd"/>
            <w:r w:rsidRPr="0011363D">
              <w:rPr>
                <w:rFonts w:ascii="Times New Roman" w:eastAsia="Times New Roman" w:hAnsi="Times New Roman" w:cs="Times New Roman"/>
                <w:sz w:val="24"/>
                <w:szCs w:val="24"/>
              </w:rPr>
              <w:t xml:space="preserve">, kas ir par 99,7% jeb 7 053 </w:t>
            </w:r>
            <w:proofErr w:type="spellStart"/>
            <w:r w:rsidRPr="0011363D">
              <w:rPr>
                <w:rFonts w:ascii="Times New Roman" w:eastAsia="Times New Roman" w:hAnsi="Times New Roman" w:cs="Times New Roman"/>
                <w:i/>
                <w:sz w:val="24"/>
                <w:szCs w:val="24"/>
              </w:rPr>
              <w:t>euro</w:t>
            </w:r>
            <w:proofErr w:type="spellEnd"/>
            <w:r w:rsidRPr="0011363D">
              <w:rPr>
                <w:rFonts w:ascii="Times New Roman" w:eastAsia="Times New Roman" w:hAnsi="Times New Roman" w:cs="Times New Roman"/>
                <w:sz w:val="24"/>
                <w:szCs w:val="24"/>
              </w:rPr>
              <w:t xml:space="preserve"> mazāk nekā plānots. Tā kā maksa par izziņām par sociāli apdrošinātām personām ir jāiekasē tikai no zvērinātiem advokātiem, tad VSAA iekasē maksu vidēji par 2-3 izziņām mēnesī. Pēc VSAA operatīvās informācijas 2014.gada piecos mēnešos par maksu ir izsniegtas tikai 3 elektroniskās izziņas un 10 pasta izziņas, piemērojot spēkā esošos tarifus attiecīgi 0,63 </w:t>
            </w:r>
            <w:proofErr w:type="spellStart"/>
            <w:r w:rsidRPr="0011363D">
              <w:rPr>
                <w:rFonts w:ascii="Times New Roman" w:eastAsia="Times New Roman" w:hAnsi="Times New Roman" w:cs="Times New Roman"/>
                <w:i/>
                <w:sz w:val="24"/>
                <w:szCs w:val="24"/>
              </w:rPr>
              <w:t>euro</w:t>
            </w:r>
            <w:proofErr w:type="spellEnd"/>
            <w:r w:rsidRPr="0011363D">
              <w:rPr>
                <w:rFonts w:ascii="Times New Roman" w:eastAsia="Times New Roman" w:hAnsi="Times New Roman" w:cs="Times New Roman"/>
                <w:sz w:val="24"/>
                <w:szCs w:val="24"/>
              </w:rPr>
              <w:t xml:space="preserve"> un 1,54 </w:t>
            </w:r>
            <w:proofErr w:type="spellStart"/>
            <w:r w:rsidRPr="0011363D">
              <w:rPr>
                <w:rFonts w:ascii="Times New Roman" w:eastAsia="Times New Roman" w:hAnsi="Times New Roman" w:cs="Times New Roman"/>
                <w:i/>
                <w:sz w:val="24"/>
                <w:szCs w:val="24"/>
              </w:rPr>
              <w:t>euro</w:t>
            </w:r>
            <w:proofErr w:type="spellEnd"/>
            <w:r w:rsidRPr="0011363D">
              <w:rPr>
                <w:rFonts w:ascii="Times New Roman" w:eastAsia="Times New Roman" w:hAnsi="Times New Roman" w:cs="Times New Roman"/>
                <w:sz w:val="24"/>
                <w:szCs w:val="24"/>
              </w:rPr>
              <w:t xml:space="preserve"> par izziņu. Kopumā 2014.gadā tiek prognozēts, ka VSAA zvērinātiem advokātiem izsniegs 25 elektroniskās un 25 pasta izziņas, tādejādi VSAA speciālajā budžetā ieņēmumi no maksas pakalpojumiem par izziņu sagatavošanu būs par 97,5% mazāk nekā plānots.</w:t>
            </w:r>
          </w:p>
        </w:tc>
      </w:tr>
      <w:tr w:rsidR="0011363D" w:rsidRPr="0011363D" w:rsidTr="00607B2E">
        <w:trPr>
          <w:jc w:val="center"/>
        </w:trPr>
        <w:tc>
          <w:tcPr>
            <w:tcW w:w="930"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lastRenderedPageBreak/>
              <w:t>6.2. detalizēts izdevumu aprēķins</w:t>
            </w:r>
          </w:p>
        </w:tc>
        <w:tc>
          <w:tcPr>
            <w:tcW w:w="4070" w:type="pct"/>
            <w:gridSpan w:val="5"/>
            <w:tcBorders>
              <w:top w:val="single" w:sz="4" w:space="0" w:color="auto"/>
              <w:left w:val="outset" w:sz="6" w:space="0" w:color="414142"/>
              <w:bottom w:val="outset" w:sz="6" w:space="0" w:color="414142"/>
              <w:right w:val="outset" w:sz="6" w:space="0" w:color="414142"/>
            </w:tcBorders>
            <w:vAlign w:val="center"/>
            <w:hideMark/>
          </w:tcPr>
          <w:p w:rsidR="00E05C15" w:rsidRPr="0011363D" w:rsidRDefault="00E05C15" w:rsidP="00292AAD">
            <w:pPr>
              <w:spacing w:after="0" w:line="240" w:lineRule="auto"/>
              <w:ind w:left="-1" w:right="67"/>
              <w:jc w:val="both"/>
              <w:rPr>
                <w:rFonts w:ascii="Times New Roman" w:eastAsia="Times New Roman" w:hAnsi="Times New Roman" w:cs="Times New Roman"/>
                <w:sz w:val="24"/>
                <w:szCs w:val="24"/>
              </w:rPr>
            </w:pPr>
            <w:r w:rsidRPr="0011363D">
              <w:rPr>
                <w:rFonts w:ascii="Times New Roman" w:eastAsia="Times New Roman" w:hAnsi="Times New Roman" w:cs="Times New Roman"/>
                <w:sz w:val="24"/>
                <w:szCs w:val="24"/>
              </w:rPr>
              <w:t xml:space="preserve">Saskaņā ar likuma „Par valsts budžetu 2014.gadam” 5.pielikumu „Valsts speciālā budžeta ieņēmumu un izdevumu atšifrējums pa programmām un apakšprogrammā” uzturēšanas izdevumi 04.05.00 apakšprogrammai „Valsts sociālās apdrošināšanas aģentūras speciālais budžets” ir apstiprināti 13 820 956 </w:t>
            </w:r>
            <w:proofErr w:type="spellStart"/>
            <w:r w:rsidRPr="0011363D">
              <w:rPr>
                <w:rFonts w:ascii="Times New Roman" w:eastAsia="Times New Roman" w:hAnsi="Times New Roman" w:cs="Times New Roman"/>
                <w:i/>
                <w:sz w:val="24"/>
                <w:szCs w:val="24"/>
              </w:rPr>
              <w:t>euro</w:t>
            </w:r>
            <w:proofErr w:type="spellEnd"/>
            <w:r w:rsidRPr="0011363D">
              <w:rPr>
                <w:rFonts w:ascii="Times New Roman" w:eastAsia="Times New Roman" w:hAnsi="Times New Roman" w:cs="Times New Roman"/>
                <w:sz w:val="24"/>
                <w:szCs w:val="24"/>
              </w:rPr>
              <w:t xml:space="preserve"> apmērā. VSAA izdevumi izziņu sagatavošanai un nosūtīšanai vai izsniegšanai pēc zvērinātu advokātu un zvērinātu tiesu izpildītāju pieprasījuma, atbilstoši plānotajiem ieņēmumiem no maksas pakalpojumiem, ir plānoti 42 430 </w:t>
            </w:r>
            <w:proofErr w:type="spellStart"/>
            <w:r w:rsidRPr="0011363D">
              <w:rPr>
                <w:rFonts w:ascii="Times New Roman" w:eastAsia="Times New Roman" w:hAnsi="Times New Roman" w:cs="Times New Roman"/>
                <w:i/>
                <w:sz w:val="24"/>
                <w:szCs w:val="24"/>
              </w:rPr>
              <w:t>euro</w:t>
            </w:r>
            <w:proofErr w:type="spellEnd"/>
            <w:r w:rsidRPr="0011363D">
              <w:rPr>
                <w:rFonts w:ascii="Times New Roman" w:eastAsia="Times New Roman" w:hAnsi="Times New Roman" w:cs="Times New Roman"/>
                <w:sz w:val="24"/>
                <w:szCs w:val="24"/>
              </w:rPr>
              <w:t xml:space="preserve"> apmērā.</w:t>
            </w:r>
          </w:p>
          <w:p w:rsidR="00E05C15" w:rsidRPr="0011363D" w:rsidRDefault="00E05C15" w:rsidP="009B6660">
            <w:pPr>
              <w:spacing w:after="0" w:line="240" w:lineRule="auto"/>
              <w:ind w:left="-1" w:right="67"/>
              <w:jc w:val="both"/>
              <w:rPr>
                <w:rFonts w:ascii="Times New Roman" w:hAnsi="Times New Roman" w:cs="Times New Roman"/>
                <w:sz w:val="24"/>
                <w:szCs w:val="24"/>
              </w:rPr>
            </w:pPr>
            <w:r w:rsidRPr="0011363D">
              <w:rPr>
                <w:rFonts w:ascii="Times New Roman" w:eastAsia="Times New Roman" w:hAnsi="Times New Roman" w:cs="Times New Roman"/>
                <w:sz w:val="24"/>
                <w:szCs w:val="24"/>
              </w:rPr>
              <w:t xml:space="preserve">Ņemot vērā šīs anotācijas I sadaļas 2.punktā minētos riskus, </w:t>
            </w:r>
            <w:r w:rsidRPr="0011363D">
              <w:rPr>
                <w:rFonts w:ascii="Times New Roman" w:hAnsi="Times New Roman" w:cs="Times New Roman"/>
                <w:sz w:val="24"/>
                <w:szCs w:val="24"/>
              </w:rPr>
              <w:t>kā arī, ņemot vērā ieņēmumu</w:t>
            </w:r>
            <w:r w:rsidRPr="0011363D">
              <w:rPr>
                <w:rFonts w:ascii="Times New Roman" w:eastAsia="Times New Roman" w:hAnsi="Times New Roman" w:cs="Times New Roman"/>
                <w:sz w:val="24"/>
                <w:szCs w:val="24"/>
              </w:rPr>
              <w:t xml:space="preserve"> no maksas pakalpojumiem par izziņu sagatavošanu pēc zvērinātu advokātu un zvērinātu tiesu izpildītāju pieprasījuma</w:t>
            </w:r>
            <w:r w:rsidRPr="0011363D">
              <w:rPr>
                <w:rFonts w:ascii="Times New Roman" w:hAnsi="Times New Roman" w:cs="Times New Roman"/>
                <w:sz w:val="24"/>
                <w:szCs w:val="24"/>
              </w:rPr>
              <w:t xml:space="preserve"> prognozēto neizpildi, papildus nepieciešamais fin</w:t>
            </w:r>
            <w:r w:rsidR="006F5D28">
              <w:rPr>
                <w:rFonts w:ascii="Times New Roman" w:hAnsi="Times New Roman" w:cs="Times New Roman"/>
                <w:sz w:val="24"/>
                <w:szCs w:val="24"/>
              </w:rPr>
              <w:t>ansējums 2014.gadā VSAA funkcijas</w:t>
            </w:r>
            <w:r w:rsidRPr="0011363D">
              <w:rPr>
                <w:rFonts w:ascii="Times New Roman" w:hAnsi="Times New Roman" w:cs="Times New Roman"/>
                <w:sz w:val="24"/>
                <w:szCs w:val="24"/>
              </w:rPr>
              <w:t xml:space="preserve"> izpildei ir 41 387 </w:t>
            </w:r>
            <w:proofErr w:type="spellStart"/>
            <w:r w:rsidRPr="0011363D">
              <w:rPr>
                <w:rFonts w:ascii="Times New Roman" w:hAnsi="Times New Roman" w:cs="Times New Roman"/>
                <w:i/>
                <w:sz w:val="24"/>
                <w:szCs w:val="24"/>
              </w:rPr>
              <w:t>euro</w:t>
            </w:r>
            <w:proofErr w:type="spellEnd"/>
            <w:r w:rsidR="00982188">
              <w:rPr>
                <w:rFonts w:ascii="Times New Roman" w:hAnsi="Times New Roman" w:cs="Times New Roman"/>
                <w:i/>
                <w:sz w:val="24"/>
                <w:szCs w:val="24"/>
              </w:rPr>
              <w:t xml:space="preserve"> </w:t>
            </w:r>
            <w:r w:rsidRPr="0011363D">
              <w:rPr>
                <w:rFonts w:ascii="Times New Roman" w:hAnsi="Times New Roman" w:cs="Times New Roman"/>
                <w:sz w:val="24"/>
                <w:szCs w:val="24"/>
              </w:rPr>
              <w:t>(detalizēts aprēķins uzrādīts 2.tabulā).</w:t>
            </w:r>
          </w:p>
          <w:p w:rsidR="00E05C15" w:rsidRPr="0011363D" w:rsidRDefault="00E05C15" w:rsidP="009B6660">
            <w:pPr>
              <w:spacing w:after="0" w:line="240" w:lineRule="auto"/>
              <w:jc w:val="center"/>
              <w:rPr>
                <w:rFonts w:ascii="Times New Roman" w:eastAsia="Times New Roman" w:hAnsi="Times New Roman" w:cs="Times New Roman"/>
                <w:sz w:val="24"/>
                <w:szCs w:val="24"/>
              </w:rPr>
            </w:pPr>
          </w:p>
          <w:p w:rsidR="00D07C0F" w:rsidRDefault="00D07C0F" w:rsidP="009B6660">
            <w:pPr>
              <w:spacing w:after="0" w:line="240" w:lineRule="auto"/>
              <w:jc w:val="center"/>
              <w:rPr>
                <w:rFonts w:ascii="Times New Roman" w:eastAsia="Times New Roman" w:hAnsi="Times New Roman" w:cs="Times New Roman"/>
                <w:b/>
                <w:sz w:val="24"/>
                <w:szCs w:val="24"/>
              </w:rPr>
            </w:pPr>
          </w:p>
          <w:p w:rsidR="00D07C0F" w:rsidRDefault="00D07C0F" w:rsidP="009B6660">
            <w:pPr>
              <w:spacing w:after="0" w:line="240" w:lineRule="auto"/>
              <w:jc w:val="center"/>
              <w:rPr>
                <w:rFonts w:ascii="Times New Roman" w:eastAsia="Times New Roman" w:hAnsi="Times New Roman" w:cs="Times New Roman"/>
                <w:b/>
                <w:sz w:val="24"/>
                <w:szCs w:val="24"/>
              </w:rPr>
            </w:pPr>
          </w:p>
          <w:p w:rsidR="00D07C0F" w:rsidRDefault="00D07C0F" w:rsidP="009B6660">
            <w:pPr>
              <w:spacing w:after="0" w:line="240" w:lineRule="auto"/>
              <w:jc w:val="center"/>
              <w:rPr>
                <w:rFonts w:ascii="Times New Roman" w:eastAsia="Times New Roman" w:hAnsi="Times New Roman" w:cs="Times New Roman"/>
                <w:b/>
                <w:sz w:val="24"/>
                <w:szCs w:val="24"/>
              </w:rPr>
            </w:pPr>
          </w:p>
          <w:p w:rsidR="00D07C0F" w:rsidRDefault="00D07C0F" w:rsidP="009B6660">
            <w:pPr>
              <w:spacing w:after="0" w:line="240" w:lineRule="auto"/>
              <w:jc w:val="center"/>
              <w:rPr>
                <w:rFonts w:ascii="Times New Roman" w:eastAsia="Times New Roman" w:hAnsi="Times New Roman" w:cs="Times New Roman"/>
                <w:b/>
                <w:sz w:val="24"/>
                <w:szCs w:val="24"/>
              </w:rPr>
            </w:pPr>
          </w:p>
          <w:p w:rsidR="00D07C0F" w:rsidRDefault="00D07C0F" w:rsidP="009B6660">
            <w:pPr>
              <w:spacing w:after="0" w:line="240" w:lineRule="auto"/>
              <w:jc w:val="center"/>
              <w:rPr>
                <w:rFonts w:ascii="Times New Roman" w:eastAsia="Times New Roman" w:hAnsi="Times New Roman" w:cs="Times New Roman"/>
                <w:b/>
                <w:sz w:val="24"/>
                <w:szCs w:val="24"/>
              </w:rPr>
            </w:pPr>
          </w:p>
          <w:p w:rsidR="00D07C0F" w:rsidRDefault="00D07C0F" w:rsidP="009B6660">
            <w:pPr>
              <w:spacing w:after="0" w:line="240" w:lineRule="auto"/>
              <w:jc w:val="center"/>
              <w:rPr>
                <w:rFonts w:ascii="Times New Roman" w:eastAsia="Times New Roman" w:hAnsi="Times New Roman" w:cs="Times New Roman"/>
                <w:b/>
                <w:sz w:val="24"/>
                <w:szCs w:val="24"/>
              </w:rPr>
            </w:pPr>
          </w:p>
          <w:p w:rsidR="00D07C0F" w:rsidRDefault="00D07C0F" w:rsidP="009B6660">
            <w:pPr>
              <w:spacing w:after="0" w:line="240" w:lineRule="auto"/>
              <w:jc w:val="center"/>
              <w:rPr>
                <w:rFonts w:ascii="Times New Roman" w:eastAsia="Times New Roman" w:hAnsi="Times New Roman" w:cs="Times New Roman"/>
                <w:b/>
                <w:sz w:val="24"/>
                <w:szCs w:val="24"/>
              </w:rPr>
            </w:pPr>
          </w:p>
          <w:p w:rsidR="00D07C0F" w:rsidRDefault="00D07C0F" w:rsidP="009B6660">
            <w:pPr>
              <w:spacing w:after="0" w:line="240" w:lineRule="auto"/>
              <w:jc w:val="center"/>
              <w:rPr>
                <w:rFonts w:ascii="Times New Roman" w:eastAsia="Times New Roman" w:hAnsi="Times New Roman" w:cs="Times New Roman"/>
                <w:b/>
                <w:sz w:val="24"/>
                <w:szCs w:val="24"/>
              </w:rPr>
            </w:pPr>
          </w:p>
          <w:p w:rsidR="00D07C0F" w:rsidRDefault="00D07C0F" w:rsidP="009B6660">
            <w:pPr>
              <w:spacing w:after="0" w:line="240" w:lineRule="auto"/>
              <w:jc w:val="center"/>
              <w:rPr>
                <w:rFonts w:ascii="Times New Roman" w:eastAsia="Times New Roman" w:hAnsi="Times New Roman" w:cs="Times New Roman"/>
                <w:b/>
                <w:sz w:val="24"/>
                <w:szCs w:val="24"/>
              </w:rPr>
            </w:pPr>
          </w:p>
          <w:p w:rsidR="00E05C15" w:rsidRPr="0011363D" w:rsidRDefault="00E05C15" w:rsidP="009B6660">
            <w:pPr>
              <w:spacing w:after="0" w:line="240" w:lineRule="auto"/>
              <w:jc w:val="center"/>
              <w:rPr>
                <w:rFonts w:ascii="Times New Roman" w:eastAsia="Times New Roman" w:hAnsi="Times New Roman" w:cs="Times New Roman"/>
                <w:b/>
                <w:sz w:val="24"/>
                <w:szCs w:val="24"/>
              </w:rPr>
            </w:pPr>
            <w:r w:rsidRPr="0011363D">
              <w:rPr>
                <w:rFonts w:ascii="Times New Roman" w:eastAsia="Times New Roman" w:hAnsi="Times New Roman" w:cs="Times New Roman"/>
                <w:b/>
                <w:sz w:val="24"/>
                <w:szCs w:val="24"/>
              </w:rPr>
              <w:t>Papildus nepieciešamais finansējums</w:t>
            </w:r>
          </w:p>
          <w:p w:rsidR="00E05C15" w:rsidRPr="0011363D" w:rsidRDefault="00E05C15" w:rsidP="009B6660">
            <w:pPr>
              <w:spacing w:after="0" w:line="240" w:lineRule="auto"/>
              <w:jc w:val="center"/>
              <w:rPr>
                <w:rFonts w:ascii="Times New Roman" w:eastAsia="Times New Roman" w:hAnsi="Times New Roman" w:cs="Times New Roman"/>
                <w:sz w:val="24"/>
                <w:szCs w:val="24"/>
              </w:rPr>
            </w:pPr>
            <w:r w:rsidRPr="0011363D">
              <w:rPr>
                <w:rFonts w:ascii="Times New Roman" w:eastAsia="Times New Roman" w:hAnsi="Times New Roman" w:cs="Times New Roman"/>
                <w:b/>
                <w:sz w:val="24"/>
                <w:szCs w:val="24"/>
              </w:rPr>
              <w:t>Valsts sociālās a</w:t>
            </w:r>
            <w:r w:rsidR="00980BE3">
              <w:rPr>
                <w:rFonts w:ascii="Times New Roman" w:eastAsia="Times New Roman" w:hAnsi="Times New Roman" w:cs="Times New Roman"/>
                <w:b/>
                <w:sz w:val="24"/>
                <w:szCs w:val="24"/>
              </w:rPr>
              <w:t>pdrošināšanas aģentūras funkcijas</w:t>
            </w:r>
            <w:r w:rsidRPr="0011363D">
              <w:rPr>
                <w:rFonts w:ascii="Times New Roman" w:eastAsia="Times New Roman" w:hAnsi="Times New Roman" w:cs="Times New Roman"/>
                <w:b/>
                <w:sz w:val="24"/>
                <w:szCs w:val="24"/>
              </w:rPr>
              <w:t xml:space="preserve"> izpildei</w:t>
            </w:r>
          </w:p>
          <w:p w:rsidR="00E05C15" w:rsidRPr="0011363D" w:rsidRDefault="00E05C15" w:rsidP="009B6660">
            <w:pPr>
              <w:spacing w:after="0" w:line="240" w:lineRule="auto"/>
              <w:ind w:right="99" w:firstLine="567"/>
              <w:jc w:val="right"/>
              <w:rPr>
                <w:rFonts w:ascii="Times New Roman" w:eastAsia="Times New Roman" w:hAnsi="Times New Roman" w:cs="Times New Roman"/>
                <w:i/>
                <w:sz w:val="24"/>
                <w:szCs w:val="24"/>
              </w:rPr>
            </w:pPr>
            <w:r w:rsidRPr="0011363D">
              <w:rPr>
                <w:rFonts w:ascii="Times New Roman" w:eastAsia="Times New Roman" w:hAnsi="Times New Roman" w:cs="Times New Roman"/>
                <w:i/>
                <w:sz w:val="24"/>
                <w:szCs w:val="24"/>
              </w:rPr>
              <w:t>2.tabula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2127"/>
              <w:gridCol w:w="2262"/>
              <w:gridCol w:w="1440"/>
            </w:tblGrid>
            <w:tr w:rsidR="0011363D" w:rsidRPr="0011363D" w:rsidTr="009031B9">
              <w:tc>
                <w:tcPr>
                  <w:tcW w:w="3279" w:type="dxa"/>
                  <w:shd w:val="clear" w:color="auto" w:fill="auto"/>
                </w:tcPr>
                <w:p w:rsidR="00E05C15" w:rsidRPr="0011363D" w:rsidRDefault="00E05C15" w:rsidP="00AF6A8F">
                  <w:pPr>
                    <w:pStyle w:val="naisf"/>
                    <w:spacing w:before="60" w:beforeAutospacing="0" w:after="0" w:afterAutospacing="0"/>
                  </w:pPr>
                </w:p>
              </w:tc>
              <w:tc>
                <w:tcPr>
                  <w:tcW w:w="2127" w:type="dxa"/>
                  <w:shd w:val="clear" w:color="auto" w:fill="auto"/>
                </w:tcPr>
                <w:p w:rsidR="00E05C15" w:rsidRPr="0011363D" w:rsidRDefault="00E05C15" w:rsidP="00AF6A8F">
                  <w:pPr>
                    <w:pStyle w:val="naisf"/>
                    <w:spacing w:before="60" w:beforeAutospacing="0" w:after="0" w:afterAutospacing="0"/>
                    <w:jc w:val="center"/>
                  </w:pPr>
                  <w:r w:rsidRPr="0011363D">
                    <w:t>2014.gada</w:t>
                  </w:r>
                </w:p>
                <w:p w:rsidR="00E05C15" w:rsidRPr="0011363D" w:rsidRDefault="00E05C15" w:rsidP="00AF6A8F">
                  <w:pPr>
                    <w:pStyle w:val="naisf"/>
                    <w:spacing w:before="60" w:beforeAutospacing="0" w:after="0" w:afterAutospacing="0"/>
                    <w:jc w:val="center"/>
                  </w:pPr>
                  <w:r w:rsidRPr="0011363D">
                    <w:t>plāns</w:t>
                  </w:r>
                </w:p>
              </w:tc>
              <w:tc>
                <w:tcPr>
                  <w:tcW w:w="2262" w:type="dxa"/>
                  <w:shd w:val="clear" w:color="auto" w:fill="auto"/>
                </w:tcPr>
                <w:p w:rsidR="00E05C15" w:rsidRPr="0011363D" w:rsidRDefault="00E05C15" w:rsidP="00AF6A8F">
                  <w:pPr>
                    <w:pStyle w:val="naisf"/>
                    <w:spacing w:before="60" w:beforeAutospacing="0" w:after="0" w:afterAutospacing="0"/>
                    <w:jc w:val="center"/>
                  </w:pPr>
                  <w:r w:rsidRPr="0011363D">
                    <w:t>2014.gada</w:t>
                  </w:r>
                </w:p>
                <w:p w:rsidR="00E05C15" w:rsidRPr="0011363D" w:rsidRDefault="00E05C15" w:rsidP="00AF6A8F">
                  <w:pPr>
                    <w:pStyle w:val="naisf"/>
                    <w:spacing w:before="60" w:beforeAutospacing="0" w:after="0" w:afterAutospacing="0"/>
                    <w:jc w:val="center"/>
                  </w:pPr>
                  <w:r w:rsidRPr="0011363D">
                    <w:t>prognoze</w:t>
                  </w:r>
                </w:p>
              </w:tc>
              <w:tc>
                <w:tcPr>
                  <w:tcW w:w="1440" w:type="dxa"/>
                  <w:shd w:val="clear" w:color="auto" w:fill="auto"/>
                </w:tcPr>
                <w:p w:rsidR="00E05C15" w:rsidRPr="0011363D" w:rsidRDefault="00E05C15" w:rsidP="00AF6A8F">
                  <w:pPr>
                    <w:pStyle w:val="naisf"/>
                    <w:spacing w:before="60" w:beforeAutospacing="0" w:after="0" w:afterAutospacing="0"/>
                    <w:jc w:val="center"/>
                  </w:pPr>
                  <w:r w:rsidRPr="0011363D">
                    <w:t>Novirze</w:t>
                  </w:r>
                </w:p>
                <w:p w:rsidR="00E05C15" w:rsidRPr="0011363D" w:rsidRDefault="00E05C15" w:rsidP="00AF6A8F">
                  <w:pPr>
                    <w:pStyle w:val="naisf"/>
                    <w:spacing w:before="60" w:beforeAutospacing="0" w:after="0" w:afterAutospacing="0"/>
                    <w:jc w:val="center"/>
                  </w:pPr>
                  <w:r w:rsidRPr="0011363D">
                    <w:t>(prognoze-plāns)</w:t>
                  </w:r>
                </w:p>
              </w:tc>
            </w:tr>
            <w:tr w:rsidR="0011363D" w:rsidRPr="0011363D" w:rsidTr="009031B9">
              <w:tc>
                <w:tcPr>
                  <w:tcW w:w="3279" w:type="dxa"/>
                  <w:shd w:val="clear" w:color="auto" w:fill="auto"/>
                </w:tcPr>
                <w:p w:rsidR="00E05C15" w:rsidRPr="0011363D" w:rsidRDefault="00E05C15" w:rsidP="00AF6A8F">
                  <w:pPr>
                    <w:pStyle w:val="naisf"/>
                    <w:spacing w:before="60" w:beforeAutospacing="0" w:after="0" w:afterAutospacing="0"/>
                  </w:pPr>
                  <w:r w:rsidRPr="0011363D">
                    <w:t>Pasta izziņu skaits kopā</w:t>
                  </w:r>
                </w:p>
              </w:tc>
              <w:tc>
                <w:tcPr>
                  <w:tcW w:w="2127" w:type="dxa"/>
                  <w:shd w:val="clear" w:color="auto" w:fill="auto"/>
                </w:tcPr>
                <w:p w:rsidR="00E05C15" w:rsidRPr="0011363D" w:rsidRDefault="00E05C15" w:rsidP="00AF6A8F">
                  <w:pPr>
                    <w:pStyle w:val="naisf"/>
                    <w:spacing w:before="60" w:beforeAutospacing="0" w:after="0" w:afterAutospacing="0"/>
                    <w:jc w:val="right"/>
                  </w:pPr>
                  <w:r w:rsidRPr="0011363D">
                    <w:t>5 000</w:t>
                  </w:r>
                </w:p>
                <w:p w:rsidR="00E05C15" w:rsidRPr="0011363D" w:rsidRDefault="00E05C15" w:rsidP="00AF6A8F">
                  <w:pPr>
                    <w:pStyle w:val="naisf"/>
                    <w:spacing w:before="60" w:beforeAutospacing="0" w:after="0" w:afterAutospacing="0"/>
                    <w:jc w:val="right"/>
                  </w:pPr>
                  <w:r w:rsidRPr="0011363D">
                    <w:t xml:space="preserve">(tarifs 1,54 </w:t>
                  </w:r>
                  <w:proofErr w:type="spellStart"/>
                  <w:r w:rsidRPr="0011363D">
                    <w:rPr>
                      <w:i/>
                    </w:rPr>
                    <w:t>euro</w:t>
                  </w:r>
                  <w:proofErr w:type="spellEnd"/>
                  <w:r w:rsidRPr="0011363D">
                    <w:t>)*</w:t>
                  </w:r>
                </w:p>
              </w:tc>
              <w:tc>
                <w:tcPr>
                  <w:tcW w:w="2262" w:type="dxa"/>
                  <w:shd w:val="clear" w:color="auto" w:fill="auto"/>
                </w:tcPr>
                <w:p w:rsidR="00E05C15" w:rsidRPr="0011363D" w:rsidRDefault="00E05C15" w:rsidP="00AF6A8F">
                  <w:pPr>
                    <w:pStyle w:val="naisf"/>
                    <w:spacing w:before="60" w:beforeAutospacing="0" w:after="0" w:afterAutospacing="0"/>
                    <w:jc w:val="right"/>
                  </w:pPr>
                  <w:r w:rsidRPr="0011363D">
                    <w:t>25</w:t>
                  </w:r>
                </w:p>
                <w:p w:rsidR="00E05C15" w:rsidRPr="0011363D" w:rsidRDefault="00E05C15" w:rsidP="00AF6A8F">
                  <w:pPr>
                    <w:pStyle w:val="naisf"/>
                    <w:spacing w:before="60" w:beforeAutospacing="0" w:after="0" w:afterAutospacing="0"/>
                    <w:jc w:val="right"/>
                  </w:pPr>
                  <w:r w:rsidRPr="0011363D">
                    <w:t xml:space="preserve">(pašizmaksa 1,64 </w:t>
                  </w:r>
                  <w:proofErr w:type="spellStart"/>
                  <w:r w:rsidRPr="0011363D">
                    <w:rPr>
                      <w:i/>
                    </w:rPr>
                    <w:t>euro</w:t>
                  </w:r>
                  <w:proofErr w:type="spellEnd"/>
                  <w:r w:rsidRPr="0011363D">
                    <w:t>)**</w:t>
                  </w:r>
                </w:p>
              </w:tc>
              <w:tc>
                <w:tcPr>
                  <w:tcW w:w="1440" w:type="dxa"/>
                  <w:shd w:val="clear" w:color="auto" w:fill="auto"/>
                </w:tcPr>
                <w:p w:rsidR="00E05C15" w:rsidRPr="0011363D" w:rsidRDefault="00E05C15" w:rsidP="00AF6A8F">
                  <w:pPr>
                    <w:pStyle w:val="naisf"/>
                    <w:spacing w:before="60" w:beforeAutospacing="0" w:after="0" w:afterAutospacing="0"/>
                    <w:ind w:left="360"/>
                    <w:jc w:val="center"/>
                  </w:pPr>
                </w:p>
              </w:tc>
            </w:tr>
            <w:tr w:rsidR="0011363D" w:rsidRPr="0011363D" w:rsidTr="009031B9">
              <w:tc>
                <w:tcPr>
                  <w:tcW w:w="3279" w:type="dxa"/>
                  <w:shd w:val="clear" w:color="auto" w:fill="auto"/>
                </w:tcPr>
                <w:p w:rsidR="00E05C15" w:rsidRPr="0011363D" w:rsidRDefault="00E05C15" w:rsidP="00AF6A8F">
                  <w:pPr>
                    <w:pStyle w:val="naisf"/>
                    <w:spacing w:before="60" w:beforeAutospacing="0" w:after="0" w:afterAutospacing="0"/>
                  </w:pPr>
                  <w:r w:rsidRPr="0011363D">
                    <w:t xml:space="preserve">Elektronisko izziņu skaits kopā </w:t>
                  </w:r>
                </w:p>
              </w:tc>
              <w:tc>
                <w:tcPr>
                  <w:tcW w:w="2127" w:type="dxa"/>
                  <w:shd w:val="clear" w:color="auto" w:fill="auto"/>
                </w:tcPr>
                <w:p w:rsidR="00E05C15" w:rsidRPr="0011363D" w:rsidRDefault="00E05C15" w:rsidP="00AF6A8F">
                  <w:pPr>
                    <w:pStyle w:val="naisf"/>
                    <w:spacing w:before="60" w:beforeAutospacing="0" w:after="0" w:afterAutospacing="0"/>
                    <w:jc w:val="right"/>
                  </w:pPr>
                  <w:r w:rsidRPr="0011363D">
                    <w:t>55 000</w:t>
                  </w:r>
                </w:p>
                <w:p w:rsidR="00E05C15" w:rsidRPr="0011363D" w:rsidRDefault="00E05C15" w:rsidP="00AF6A8F">
                  <w:pPr>
                    <w:pStyle w:val="naisf"/>
                    <w:spacing w:before="60" w:beforeAutospacing="0" w:after="0" w:afterAutospacing="0"/>
                    <w:jc w:val="right"/>
                  </w:pPr>
                  <w:r w:rsidRPr="0011363D">
                    <w:t xml:space="preserve">(tarifs 0,63 </w:t>
                  </w:r>
                  <w:proofErr w:type="spellStart"/>
                  <w:r w:rsidRPr="0011363D">
                    <w:rPr>
                      <w:i/>
                    </w:rPr>
                    <w:t>euro</w:t>
                  </w:r>
                  <w:proofErr w:type="spellEnd"/>
                  <w:r w:rsidRPr="0011363D">
                    <w:t>)*</w:t>
                  </w:r>
                </w:p>
              </w:tc>
              <w:tc>
                <w:tcPr>
                  <w:tcW w:w="2262" w:type="dxa"/>
                  <w:shd w:val="clear" w:color="auto" w:fill="auto"/>
                </w:tcPr>
                <w:p w:rsidR="00E05C15" w:rsidRPr="0011363D" w:rsidRDefault="00E05C15" w:rsidP="00AF6A8F">
                  <w:pPr>
                    <w:pStyle w:val="naisf"/>
                    <w:spacing w:before="60" w:beforeAutospacing="0" w:after="0" w:afterAutospacing="0"/>
                    <w:jc w:val="right"/>
                  </w:pPr>
                  <w:r w:rsidRPr="0011363D">
                    <w:t>90 000</w:t>
                  </w:r>
                </w:p>
                <w:p w:rsidR="00E05C15" w:rsidRPr="0011363D" w:rsidRDefault="00E05C15" w:rsidP="00AF6A8F">
                  <w:pPr>
                    <w:pStyle w:val="naisf"/>
                    <w:spacing w:before="60" w:beforeAutospacing="0" w:after="0" w:afterAutospacing="0"/>
                    <w:jc w:val="right"/>
                  </w:pPr>
                  <w:r w:rsidRPr="0011363D">
                    <w:t xml:space="preserve">(pašizmaksa 0,46 </w:t>
                  </w:r>
                  <w:proofErr w:type="spellStart"/>
                  <w:r w:rsidRPr="0011363D">
                    <w:rPr>
                      <w:i/>
                    </w:rPr>
                    <w:t>euro</w:t>
                  </w:r>
                  <w:proofErr w:type="spellEnd"/>
                  <w:r w:rsidRPr="0011363D">
                    <w:t>)**</w:t>
                  </w:r>
                </w:p>
              </w:tc>
              <w:tc>
                <w:tcPr>
                  <w:tcW w:w="1440" w:type="dxa"/>
                  <w:shd w:val="clear" w:color="auto" w:fill="auto"/>
                </w:tcPr>
                <w:p w:rsidR="00E05C15" w:rsidRPr="0011363D" w:rsidRDefault="00E05C15" w:rsidP="00AF6A8F">
                  <w:pPr>
                    <w:pStyle w:val="naisf"/>
                    <w:spacing w:before="60" w:beforeAutospacing="0" w:after="0" w:afterAutospacing="0"/>
                    <w:jc w:val="right"/>
                  </w:pPr>
                </w:p>
              </w:tc>
            </w:tr>
            <w:tr w:rsidR="0011363D" w:rsidRPr="0011363D" w:rsidTr="00EE6CE2">
              <w:tc>
                <w:tcPr>
                  <w:tcW w:w="3279" w:type="dxa"/>
                  <w:shd w:val="clear" w:color="auto" w:fill="auto"/>
                </w:tcPr>
                <w:p w:rsidR="00E05C15" w:rsidRPr="0011363D" w:rsidRDefault="00E05C15" w:rsidP="00AF6A8F">
                  <w:pPr>
                    <w:pStyle w:val="naisf"/>
                    <w:spacing w:before="60" w:beforeAutospacing="0" w:after="0" w:afterAutospacing="0"/>
                  </w:pPr>
                  <w:r w:rsidRPr="0011363D">
                    <w:t xml:space="preserve">Izdevumi izziņu sagatavošanai un nosūtīšanai vai izsniegšanai, </w:t>
                  </w:r>
                  <w:proofErr w:type="spellStart"/>
                  <w:r w:rsidRPr="0011363D">
                    <w:rPr>
                      <w:i/>
                    </w:rPr>
                    <w:t>euro</w:t>
                  </w:r>
                  <w:proofErr w:type="spellEnd"/>
                </w:p>
              </w:tc>
              <w:tc>
                <w:tcPr>
                  <w:tcW w:w="2127" w:type="dxa"/>
                  <w:shd w:val="clear" w:color="auto" w:fill="auto"/>
                </w:tcPr>
                <w:p w:rsidR="00E05C15" w:rsidRPr="0011363D" w:rsidRDefault="00E05C15" w:rsidP="00AF6A8F">
                  <w:pPr>
                    <w:pStyle w:val="naisf"/>
                    <w:spacing w:before="60" w:beforeAutospacing="0" w:after="0" w:afterAutospacing="0"/>
                    <w:jc w:val="right"/>
                  </w:pPr>
                  <w:r w:rsidRPr="0011363D">
                    <w:t xml:space="preserve">42 430*** </w:t>
                  </w:r>
                </w:p>
              </w:tc>
              <w:tc>
                <w:tcPr>
                  <w:tcW w:w="2262" w:type="dxa"/>
                  <w:shd w:val="clear" w:color="auto" w:fill="auto"/>
                </w:tcPr>
                <w:p w:rsidR="00E05C15" w:rsidRPr="0011363D" w:rsidRDefault="00E05C15" w:rsidP="00AF6A8F">
                  <w:pPr>
                    <w:pStyle w:val="naisf"/>
                    <w:spacing w:before="60" w:beforeAutospacing="0" w:after="0" w:afterAutospacing="0"/>
                    <w:jc w:val="right"/>
                  </w:pPr>
                  <w:r w:rsidRPr="0011363D">
                    <w:t>41 441</w:t>
                  </w:r>
                </w:p>
              </w:tc>
              <w:tc>
                <w:tcPr>
                  <w:tcW w:w="1440" w:type="dxa"/>
                  <w:shd w:val="clear" w:color="auto" w:fill="FABF8F" w:themeFill="accent6" w:themeFillTint="99"/>
                </w:tcPr>
                <w:p w:rsidR="00E05C15" w:rsidRPr="0011363D" w:rsidRDefault="00E05C15" w:rsidP="00AF6A8F">
                  <w:pPr>
                    <w:pStyle w:val="naisf"/>
                    <w:spacing w:before="60" w:beforeAutospacing="0" w:after="0" w:afterAutospacing="0"/>
                    <w:jc w:val="right"/>
                  </w:pPr>
                  <w:r w:rsidRPr="0011363D">
                    <w:t>-989</w:t>
                  </w:r>
                </w:p>
              </w:tc>
            </w:tr>
            <w:tr w:rsidR="0011363D" w:rsidRPr="0011363D" w:rsidTr="009031B9">
              <w:tc>
                <w:tcPr>
                  <w:tcW w:w="3279" w:type="dxa"/>
                  <w:shd w:val="clear" w:color="auto" w:fill="auto"/>
                </w:tcPr>
                <w:p w:rsidR="00E05C15" w:rsidRPr="0011363D" w:rsidRDefault="00E05C15" w:rsidP="00AF6A8F">
                  <w:pPr>
                    <w:pStyle w:val="naisf"/>
                    <w:spacing w:before="60" w:beforeAutospacing="0" w:after="0" w:afterAutospacing="0"/>
                    <w:rPr>
                      <w:i/>
                    </w:rPr>
                  </w:pPr>
                  <w:r w:rsidRPr="0011363D">
                    <w:rPr>
                      <w:i/>
                    </w:rPr>
                    <w:t>tai skaitā:</w:t>
                  </w:r>
                </w:p>
              </w:tc>
              <w:tc>
                <w:tcPr>
                  <w:tcW w:w="2127" w:type="dxa"/>
                  <w:shd w:val="clear" w:color="auto" w:fill="auto"/>
                </w:tcPr>
                <w:p w:rsidR="00E05C15" w:rsidRPr="0011363D" w:rsidRDefault="00E05C15" w:rsidP="00AF6A8F">
                  <w:pPr>
                    <w:pStyle w:val="naisf"/>
                    <w:spacing w:before="60" w:beforeAutospacing="0" w:after="0" w:afterAutospacing="0"/>
                    <w:jc w:val="right"/>
                    <w:rPr>
                      <w:i/>
                    </w:rPr>
                  </w:pPr>
                </w:p>
              </w:tc>
              <w:tc>
                <w:tcPr>
                  <w:tcW w:w="2262" w:type="dxa"/>
                  <w:shd w:val="clear" w:color="auto" w:fill="auto"/>
                </w:tcPr>
                <w:p w:rsidR="00E05C15" w:rsidRPr="0011363D" w:rsidRDefault="00E05C15" w:rsidP="00AF6A8F">
                  <w:pPr>
                    <w:pStyle w:val="naisf"/>
                    <w:spacing w:before="60" w:beforeAutospacing="0" w:after="0" w:afterAutospacing="0"/>
                    <w:jc w:val="right"/>
                    <w:rPr>
                      <w:i/>
                    </w:rPr>
                  </w:pPr>
                </w:p>
              </w:tc>
              <w:tc>
                <w:tcPr>
                  <w:tcW w:w="1440" w:type="dxa"/>
                  <w:shd w:val="clear" w:color="auto" w:fill="auto"/>
                </w:tcPr>
                <w:p w:rsidR="00E05C15" w:rsidRPr="0011363D" w:rsidRDefault="00E05C15" w:rsidP="00AF6A8F">
                  <w:pPr>
                    <w:pStyle w:val="naisf"/>
                    <w:spacing w:before="60" w:beforeAutospacing="0" w:after="0" w:afterAutospacing="0"/>
                    <w:jc w:val="right"/>
                    <w:rPr>
                      <w:i/>
                    </w:rPr>
                  </w:pPr>
                </w:p>
              </w:tc>
            </w:tr>
            <w:tr w:rsidR="0011363D" w:rsidRPr="0011363D" w:rsidTr="009031B9">
              <w:tc>
                <w:tcPr>
                  <w:tcW w:w="3279" w:type="dxa"/>
                  <w:shd w:val="clear" w:color="auto" w:fill="auto"/>
                </w:tcPr>
                <w:p w:rsidR="00E05C15" w:rsidRPr="0011363D" w:rsidRDefault="00E05C15" w:rsidP="00AF6A8F">
                  <w:pPr>
                    <w:pStyle w:val="naisf"/>
                    <w:spacing w:before="60" w:beforeAutospacing="0" w:after="0" w:afterAutospacing="0"/>
                    <w:rPr>
                      <w:i/>
                    </w:rPr>
                  </w:pPr>
                  <w:r w:rsidRPr="0011363D">
                    <w:rPr>
                      <w:i/>
                    </w:rPr>
                    <w:t>- atlīdzība (4 darbinieki)</w:t>
                  </w:r>
                </w:p>
              </w:tc>
              <w:tc>
                <w:tcPr>
                  <w:tcW w:w="2127" w:type="dxa"/>
                  <w:shd w:val="clear" w:color="auto" w:fill="auto"/>
                </w:tcPr>
                <w:p w:rsidR="00E05C15" w:rsidRPr="0011363D" w:rsidRDefault="00E05C15" w:rsidP="00AF6A8F">
                  <w:pPr>
                    <w:pStyle w:val="naisf"/>
                    <w:spacing w:before="60" w:beforeAutospacing="0" w:after="0" w:afterAutospacing="0"/>
                    <w:jc w:val="right"/>
                    <w:rPr>
                      <w:i/>
                    </w:rPr>
                  </w:pPr>
                  <w:r w:rsidRPr="0011363D">
                    <w:rPr>
                      <w:i/>
                    </w:rPr>
                    <w:t xml:space="preserve">35 677 </w:t>
                  </w:r>
                </w:p>
              </w:tc>
              <w:tc>
                <w:tcPr>
                  <w:tcW w:w="2262" w:type="dxa"/>
                  <w:shd w:val="clear" w:color="auto" w:fill="auto"/>
                </w:tcPr>
                <w:p w:rsidR="00E05C15" w:rsidRPr="0011363D" w:rsidRDefault="00E05C15" w:rsidP="00AF6A8F">
                  <w:pPr>
                    <w:pStyle w:val="naisf"/>
                    <w:spacing w:before="60" w:beforeAutospacing="0" w:after="0" w:afterAutospacing="0"/>
                    <w:jc w:val="right"/>
                    <w:rPr>
                      <w:i/>
                    </w:rPr>
                  </w:pPr>
                  <w:r w:rsidRPr="0011363D">
                    <w:rPr>
                      <w:i/>
                    </w:rPr>
                    <w:t>36 141</w:t>
                  </w:r>
                </w:p>
              </w:tc>
              <w:tc>
                <w:tcPr>
                  <w:tcW w:w="1440" w:type="dxa"/>
                  <w:shd w:val="clear" w:color="auto" w:fill="auto"/>
                </w:tcPr>
                <w:p w:rsidR="00E05C15" w:rsidRPr="0011363D" w:rsidRDefault="00E05C15" w:rsidP="00AF6A8F">
                  <w:pPr>
                    <w:pStyle w:val="naisf"/>
                    <w:spacing w:before="60" w:beforeAutospacing="0" w:after="0" w:afterAutospacing="0"/>
                    <w:jc w:val="right"/>
                    <w:rPr>
                      <w:i/>
                    </w:rPr>
                  </w:pPr>
                  <w:r w:rsidRPr="0011363D">
                    <w:rPr>
                      <w:i/>
                    </w:rPr>
                    <w:t>464</w:t>
                  </w:r>
                </w:p>
              </w:tc>
            </w:tr>
            <w:tr w:rsidR="0011363D" w:rsidRPr="0011363D" w:rsidTr="009031B9">
              <w:tc>
                <w:tcPr>
                  <w:tcW w:w="3279" w:type="dxa"/>
                  <w:shd w:val="clear" w:color="auto" w:fill="auto"/>
                </w:tcPr>
                <w:p w:rsidR="00E05C15" w:rsidRPr="0011363D" w:rsidRDefault="00E05C15" w:rsidP="00AF6A8F">
                  <w:pPr>
                    <w:pStyle w:val="naisf"/>
                    <w:spacing w:before="60" w:beforeAutospacing="0" w:after="0" w:afterAutospacing="0"/>
                    <w:rPr>
                      <w:i/>
                    </w:rPr>
                  </w:pPr>
                  <w:r w:rsidRPr="0011363D">
                    <w:rPr>
                      <w:i/>
                    </w:rPr>
                    <w:t>- preces un pakalpojumi</w:t>
                  </w:r>
                </w:p>
              </w:tc>
              <w:tc>
                <w:tcPr>
                  <w:tcW w:w="2127" w:type="dxa"/>
                  <w:shd w:val="clear" w:color="auto" w:fill="auto"/>
                </w:tcPr>
                <w:p w:rsidR="00E05C15" w:rsidRPr="0011363D" w:rsidRDefault="00E05C15" w:rsidP="00AF6A8F">
                  <w:pPr>
                    <w:pStyle w:val="naisf"/>
                    <w:spacing w:before="60" w:beforeAutospacing="0" w:after="0" w:afterAutospacing="0"/>
                    <w:jc w:val="right"/>
                    <w:rPr>
                      <w:i/>
                    </w:rPr>
                  </w:pPr>
                  <w:r w:rsidRPr="0011363D">
                    <w:rPr>
                      <w:i/>
                    </w:rPr>
                    <w:t xml:space="preserve">6 753 </w:t>
                  </w:r>
                </w:p>
              </w:tc>
              <w:tc>
                <w:tcPr>
                  <w:tcW w:w="2262" w:type="dxa"/>
                  <w:shd w:val="clear" w:color="auto" w:fill="auto"/>
                </w:tcPr>
                <w:p w:rsidR="00E05C15" w:rsidRPr="0011363D" w:rsidRDefault="00E05C15" w:rsidP="00AF6A8F">
                  <w:pPr>
                    <w:pStyle w:val="naisf"/>
                    <w:spacing w:before="60" w:beforeAutospacing="0" w:after="0" w:afterAutospacing="0"/>
                    <w:jc w:val="right"/>
                    <w:rPr>
                      <w:i/>
                    </w:rPr>
                  </w:pPr>
                  <w:r w:rsidRPr="0011363D">
                    <w:rPr>
                      <w:i/>
                    </w:rPr>
                    <w:t>5 164</w:t>
                  </w:r>
                </w:p>
              </w:tc>
              <w:tc>
                <w:tcPr>
                  <w:tcW w:w="1440" w:type="dxa"/>
                  <w:shd w:val="clear" w:color="auto" w:fill="auto"/>
                </w:tcPr>
                <w:p w:rsidR="00E05C15" w:rsidRPr="0011363D" w:rsidRDefault="00E05C15" w:rsidP="00AF6A8F">
                  <w:pPr>
                    <w:pStyle w:val="naisf"/>
                    <w:spacing w:before="60" w:beforeAutospacing="0" w:after="0" w:afterAutospacing="0"/>
                    <w:jc w:val="right"/>
                    <w:rPr>
                      <w:i/>
                    </w:rPr>
                  </w:pPr>
                  <w:r w:rsidRPr="0011363D">
                    <w:rPr>
                      <w:i/>
                    </w:rPr>
                    <w:t>-1 589</w:t>
                  </w:r>
                </w:p>
              </w:tc>
            </w:tr>
            <w:tr w:rsidR="0011363D" w:rsidRPr="0011363D" w:rsidTr="00EE6CE2">
              <w:tc>
                <w:tcPr>
                  <w:tcW w:w="3279" w:type="dxa"/>
                  <w:shd w:val="clear" w:color="auto" w:fill="auto"/>
                </w:tcPr>
                <w:p w:rsidR="00E05C15" w:rsidRPr="0011363D" w:rsidRDefault="00E05C15" w:rsidP="00AF6A8F">
                  <w:pPr>
                    <w:pStyle w:val="naisf"/>
                    <w:spacing w:before="60" w:beforeAutospacing="0" w:after="0" w:afterAutospacing="0"/>
                  </w:pPr>
                  <w:r w:rsidRPr="0011363D">
                    <w:t xml:space="preserve">Ieņēmumi no maksas pakalpojumiem par izziņu sagatavošanu un izsniegšanu, </w:t>
                  </w:r>
                  <w:proofErr w:type="spellStart"/>
                  <w:r w:rsidRPr="0011363D">
                    <w:rPr>
                      <w:i/>
                    </w:rPr>
                    <w:t>euro</w:t>
                  </w:r>
                  <w:proofErr w:type="spellEnd"/>
                </w:p>
              </w:tc>
              <w:tc>
                <w:tcPr>
                  <w:tcW w:w="2127" w:type="dxa"/>
                  <w:shd w:val="clear" w:color="auto" w:fill="auto"/>
                </w:tcPr>
                <w:p w:rsidR="00E05C15" w:rsidRPr="0011363D" w:rsidRDefault="00E05C15" w:rsidP="00AF6A8F">
                  <w:pPr>
                    <w:pStyle w:val="naisf"/>
                    <w:spacing w:before="60" w:beforeAutospacing="0" w:after="0" w:afterAutospacing="0"/>
                    <w:jc w:val="right"/>
                  </w:pPr>
                  <w:r w:rsidRPr="0011363D">
                    <w:t xml:space="preserve">42 430 </w:t>
                  </w:r>
                </w:p>
              </w:tc>
              <w:tc>
                <w:tcPr>
                  <w:tcW w:w="2262" w:type="dxa"/>
                  <w:shd w:val="clear" w:color="auto" w:fill="auto"/>
                </w:tcPr>
                <w:p w:rsidR="00E05C15" w:rsidRPr="0011363D" w:rsidRDefault="00E05C15" w:rsidP="00AF6A8F">
                  <w:pPr>
                    <w:pStyle w:val="naisf"/>
                    <w:spacing w:before="60" w:beforeAutospacing="0" w:after="0" w:afterAutospacing="0"/>
                    <w:jc w:val="right"/>
                  </w:pPr>
                  <w:r w:rsidRPr="0011363D">
                    <w:t>54,25</w:t>
                  </w:r>
                </w:p>
                <w:p w:rsidR="00E05C15" w:rsidRPr="0011363D" w:rsidRDefault="00E05C15" w:rsidP="00AF6A8F">
                  <w:pPr>
                    <w:pStyle w:val="naisf"/>
                    <w:spacing w:before="60" w:beforeAutospacing="0" w:after="0" w:afterAutospacing="0"/>
                    <w:jc w:val="right"/>
                  </w:pPr>
                  <w:r w:rsidRPr="0011363D">
                    <w:t xml:space="preserve">(1,54 </w:t>
                  </w:r>
                  <w:proofErr w:type="spellStart"/>
                  <w:r w:rsidRPr="0011363D">
                    <w:rPr>
                      <w:i/>
                    </w:rPr>
                    <w:t>euro</w:t>
                  </w:r>
                  <w:proofErr w:type="spellEnd"/>
                  <w:r w:rsidRPr="0011363D">
                    <w:t xml:space="preserve"> x 25 +</w:t>
                  </w:r>
                </w:p>
                <w:p w:rsidR="00E05C15" w:rsidRPr="0011363D" w:rsidRDefault="00E05C15" w:rsidP="00AF6A8F">
                  <w:pPr>
                    <w:pStyle w:val="naisf"/>
                    <w:spacing w:before="60" w:beforeAutospacing="0" w:after="0" w:afterAutospacing="0"/>
                    <w:jc w:val="right"/>
                  </w:pPr>
                  <w:r w:rsidRPr="0011363D">
                    <w:t xml:space="preserve">0,63 </w:t>
                  </w:r>
                  <w:proofErr w:type="spellStart"/>
                  <w:r w:rsidRPr="0011363D">
                    <w:rPr>
                      <w:i/>
                    </w:rPr>
                    <w:t>euro</w:t>
                  </w:r>
                  <w:proofErr w:type="spellEnd"/>
                  <w:r w:rsidRPr="0011363D">
                    <w:t xml:space="preserve"> x 25)</w:t>
                  </w:r>
                </w:p>
              </w:tc>
              <w:tc>
                <w:tcPr>
                  <w:tcW w:w="1440" w:type="dxa"/>
                  <w:shd w:val="clear" w:color="auto" w:fill="FABF8F" w:themeFill="accent6" w:themeFillTint="99"/>
                </w:tcPr>
                <w:p w:rsidR="00E05C15" w:rsidRPr="0011363D" w:rsidRDefault="00E05C15" w:rsidP="00AF6A8F">
                  <w:pPr>
                    <w:pStyle w:val="naisf"/>
                    <w:spacing w:before="60" w:beforeAutospacing="0" w:after="0" w:afterAutospacing="0"/>
                    <w:jc w:val="right"/>
                  </w:pPr>
                  <w:r w:rsidRPr="0011363D">
                    <w:t>-42 376</w:t>
                  </w:r>
                </w:p>
              </w:tc>
            </w:tr>
            <w:tr w:rsidR="0011363D" w:rsidRPr="0011363D" w:rsidTr="009031B9">
              <w:tc>
                <w:tcPr>
                  <w:tcW w:w="3279" w:type="dxa"/>
                  <w:shd w:val="clear" w:color="auto" w:fill="auto"/>
                </w:tcPr>
                <w:p w:rsidR="00E05C15" w:rsidRPr="0011363D" w:rsidRDefault="00E05C15" w:rsidP="00AF6A8F">
                  <w:pPr>
                    <w:pStyle w:val="naisf"/>
                    <w:spacing w:before="60" w:beforeAutospacing="0" w:after="0" w:afterAutospacing="0"/>
                    <w:rPr>
                      <w:i/>
                    </w:rPr>
                  </w:pPr>
                  <w:r w:rsidRPr="0011363D">
                    <w:rPr>
                      <w:i/>
                    </w:rPr>
                    <w:t>tai skaitā:</w:t>
                  </w:r>
                </w:p>
              </w:tc>
              <w:tc>
                <w:tcPr>
                  <w:tcW w:w="2127" w:type="dxa"/>
                  <w:shd w:val="clear" w:color="auto" w:fill="auto"/>
                </w:tcPr>
                <w:p w:rsidR="00E05C15" w:rsidRPr="0011363D" w:rsidRDefault="00E05C15" w:rsidP="00AF6A8F">
                  <w:pPr>
                    <w:pStyle w:val="naisf"/>
                    <w:spacing w:before="60" w:beforeAutospacing="0" w:after="0" w:afterAutospacing="0"/>
                    <w:jc w:val="right"/>
                    <w:rPr>
                      <w:i/>
                    </w:rPr>
                  </w:pPr>
                </w:p>
              </w:tc>
              <w:tc>
                <w:tcPr>
                  <w:tcW w:w="2262" w:type="dxa"/>
                  <w:shd w:val="clear" w:color="auto" w:fill="auto"/>
                </w:tcPr>
                <w:p w:rsidR="00E05C15" w:rsidRPr="0011363D" w:rsidRDefault="00E05C15" w:rsidP="00AF6A8F">
                  <w:pPr>
                    <w:pStyle w:val="naisf"/>
                    <w:spacing w:before="60" w:beforeAutospacing="0" w:after="0" w:afterAutospacing="0"/>
                    <w:jc w:val="right"/>
                    <w:rPr>
                      <w:i/>
                    </w:rPr>
                  </w:pPr>
                </w:p>
              </w:tc>
              <w:tc>
                <w:tcPr>
                  <w:tcW w:w="1440" w:type="dxa"/>
                  <w:shd w:val="clear" w:color="auto" w:fill="auto"/>
                </w:tcPr>
                <w:p w:rsidR="00E05C15" w:rsidRPr="0011363D" w:rsidRDefault="00E05C15" w:rsidP="00AF6A8F">
                  <w:pPr>
                    <w:pStyle w:val="naisf"/>
                    <w:spacing w:before="60" w:beforeAutospacing="0" w:after="0" w:afterAutospacing="0"/>
                    <w:jc w:val="right"/>
                    <w:rPr>
                      <w:i/>
                    </w:rPr>
                  </w:pPr>
                </w:p>
              </w:tc>
            </w:tr>
            <w:tr w:rsidR="0011363D" w:rsidRPr="0011363D" w:rsidTr="009031B9">
              <w:tc>
                <w:tcPr>
                  <w:tcW w:w="3279" w:type="dxa"/>
                  <w:shd w:val="clear" w:color="auto" w:fill="auto"/>
                </w:tcPr>
                <w:p w:rsidR="00E05C15" w:rsidRPr="0011363D" w:rsidRDefault="00E05C15" w:rsidP="00AF6A8F">
                  <w:pPr>
                    <w:pStyle w:val="naisf"/>
                    <w:spacing w:before="60" w:beforeAutospacing="0" w:after="0" w:afterAutospacing="0"/>
                    <w:rPr>
                      <w:i/>
                    </w:rPr>
                  </w:pPr>
                  <w:r w:rsidRPr="0011363D">
                    <w:rPr>
                      <w:i/>
                    </w:rPr>
                    <w:t>- pasta izziņu skaits</w:t>
                  </w:r>
                </w:p>
              </w:tc>
              <w:tc>
                <w:tcPr>
                  <w:tcW w:w="2127" w:type="dxa"/>
                  <w:shd w:val="clear" w:color="auto" w:fill="auto"/>
                </w:tcPr>
                <w:p w:rsidR="00E05C15" w:rsidRPr="0011363D" w:rsidRDefault="00E05C15" w:rsidP="00AF6A8F">
                  <w:pPr>
                    <w:pStyle w:val="naisf"/>
                    <w:spacing w:before="60" w:beforeAutospacing="0" w:after="0" w:afterAutospacing="0"/>
                    <w:jc w:val="right"/>
                    <w:rPr>
                      <w:i/>
                    </w:rPr>
                  </w:pPr>
                  <w:r w:rsidRPr="0011363D">
                    <w:rPr>
                      <w:i/>
                    </w:rPr>
                    <w:t>5 000</w:t>
                  </w:r>
                </w:p>
              </w:tc>
              <w:tc>
                <w:tcPr>
                  <w:tcW w:w="2262" w:type="dxa"/>
                  <w:shd w:val="clear" w:color="auto" w:fill="auto"/>
                </w:tcPr>
                <w:p w:rsidR="00E05C15" w:rsidRPr="0011363D" w:rsidRDefault="00E05C15" w:rsidP="00AF6A8F">
                  <w:pPr>
                    <w:pStyle w:val="naisf"/>
                    <w:spacing w:before="60" w:beforeAutospacing="0" w:after="0" w:afterAutospacing="0"/>
                    <w:jc w:val="right"/>
                    <w:rPr>
                      <w:i/>
                    </w:rPr>
                  </w:pPr>
                  <w:r w:rsidRPr="0011363D">
                    <w:rPr>
                      <w:i/>
                    </w:rPr>
                    <w:t>25</w:t>
                  </w:r>
                </w:p>
              </w:tc>
              <w:tc>
                <w:tcPr>
                  <w:tcW w:w="1440" w:type="dxa"/>
                  <w:shd w:val="clear" w:color="auto" w:fill="auto"/>
                </w:tcPr>
                <w:p w:rsidR="00E05C15" w:rsidRPr="0011363D" w:rsidRDefault="00E05C15" w:rsidP="00AF6A8F">
                  <w:pPr>
                    <w:pStyle w:val="naisf"/>
                    <w:spacing w:before="60" w:beforeAutospacing="0" w:after="0" w:afterAutospacing="0"/>
                    <w:jc w:val="right"/>
                    <w:rPr>
                      <w:i/>
                    </w:rPr>
                  </w:pPr>
                </w:p>
              </w:tc>
            </w:tr>
            <w:tr w:rsidR="0011363D" w:rsidRPr="0011363D" w:rsidTr="009031B9">
              <w:tc>
                <w:tcPr>
                  <w:tcW w:w="3279" w:type="dxa"/>
                  <w:shd w:val="clear" w:color="auto" w:fill="auto"/>
                </w:tcPr>
                <w:p w:rsidR="00E05C15" w:rsidRPr="0011363D" w:rsidRDefault="00E05C15" w:rsidP="00AF6A8F">
                  <w:pPr>
                    <w:pStyle w:val="naisf"/>
                    <w:spacing w:before="60" w:beforeAutospacing="0" w:after="0" w:afterAutospacing="0"/>
                    <w:rPr>
                      <w:i/>
                    </w:rPr>
                  </w:pPr>
                  <w:r w:rsidRPr="0011363D">
                    <w:rPr>
                      <w:i/>
                    </w:rPr>
                    <w:t>- elektronisko izziņu skaits</w:t>
                  </w:r>
                </w:p>
              </w:tc>
              <w:tc>
                <w:tcPr>
                  <w:tcW w:w="2127" w:type="dxa"/>
                  <w:shd w:val="clear" w:color="auto" w:fill="auto"/>
                </w:tcPr>
                <w:p w:rsidR="00E05C15" w:rsidRPr="0011363D" w:rsidRDefault="00E05C15" w:rsidP="00AF6A8F">
                  <w:pPr>
                    <w:pStyle w:val="naisf"/>
                    <w:spacing w:before="60" w:beforeAutospacing="0" w:after="0" w:afterAutospacing="0"/>
                    <w:jc w:val="right"/>
                    <w:rPr>
                      <w:i/>
                    </w:rPr>
                  </w:pPr>
                  <w:r w:rsidRPr="0011363D">
                    <w:rPr>
                      <w:i/>
                    </w:rPr>
                    <w:t>55 000</w:t>
                  </w:r>
                </w:p>
              </w:tc>
              <w:tc>
                <w:tcPr>
                  <w:tcW w:w="2262" w:type="dxa"/>
                  <w:shd w:val="clear" w:color="auto" w:fill="auto"/>
                </w:tcPr>
                <w:p w:rsidR="00E05C15" w:rsidRPr="0011363D" w:rsidRDefault="00E05C15" w:rsidP="00AF6A8F">
                  <w:pPr>
                    <w:pStyle w:val="naisf"/>
                    <w:spacing w:before="60" w:beforeAutospacing="0" w:after="0" w:afterAutospacing="0"/>
                    <w:jc w:val="right"/>
                    <w:rPr>
                      <w:i/>
                    </w:rPr>
                  </w:pPr>
                  <w:r w:rsidRPr="0011363D">
                    <w:rPr>
                      <w:i/>
                    </w:rPr>
                    <w:t>25</w:t>
                  </w:r>
                </w:p>
              </w:tc>
              <w:tc>
                <w:tcPr>
                  <w:tcW w:w="1440" w:type="dxa"/>
                  <w:shd w:val="clear" w:color="auto" w:fill="auto"/>
                </w:tcPr>
                <w:p w:rsidR="00E05C15" w:rsidRPr="0011363D" w:rsidRDefault="00E05C15" w:rsidP="00AF6A8F">
                  <w:pPr>
                    <w:pStyle w:val="naisf"/>
                    <w:spacing w:before="60" w:beforeAutospacing="0" w:after="0" w:afterAutospacing="0"/>
                    <w:jc w:val="right"/>
                    <w:rPr>
                      <w:i/>
                    </w:rPr>
                  </w:pPr>
                </w:p>
              </w:tc>
            </w:tr>
            <w:tr w:rsidR="0011363D" w:rsidRPr="0011363D" w:rsidTr="009031B9">
              <w:tc>
                <w:tcPr>
                  <w:tcW w:w="3279" w:type="dxa"/>
                  <w:shd w:val="clear" w:color="auto" w:fill="auto"/>
                </w:tcPr>
                <w:p w:rsidR="00E05C15" w:rsidRPr="0011363D" w:rsidRDefault="00E05C15" w:rsidP="00AF6A8F">
                  <w:pPr>
                    <w:pStyle w:val="naisf"/>
                    <w:spacing w:before="60" w:beforeAutospacing="0" w:after="0" w:afterAutospacing="0"/>
                  </w:pPr>
                  <w:r w:rsidRPr="0011363D">
                    <w:t>Papildus nepiecie</w:t>
                  </w:r>
                  <w:r w:rsidR="006F5D28">
                    <w:t>šamais finansējums VSAA funkcijas</w:t>
                  </w:r>
                  <w:r w:rsidRPr="0011363D">
                    <w:t xml:space="preserve"> izpildei, </w:t>
                  </w:r>
                  <w:proofErr w:type="spellStart"/>
                  <w:r w:rsidRPr="0011363D">
                    <w:rPr>
                      <w:i/>
                    </w:rPr>
                    <w:t>euro</w:t>
                  </w:r>
                  <w:proofErr w:type="spellEnd"/>
                </w:p>
              </w:tc>
              <w:tc>
                <w:tcPr>
                  <w:tcW w:w="2127" w:type="dxa"/>
                  <w:shd w:val="clear" w:color="auto" w:fill="auto"/>
                </w:tcPr>
                <w:p w:rsidR="00E05C15" w:rsidRPr="0011363D" w:rsidRDefault="00E05C15" w:rsidP="00AF6A8F">
                  <w:pPr>
                    <w:pStyle w:val="naisf"/>
                    <w:spacing w:before="60" w:beforeAutospacing="0" w:after="0" w:afterAutospacing="0"/>
                    <w:jc w:val="right"/>
                  </w:pPr>
                </w:p>
              </w:tc>
              <w:tc>
                <w:tcPr>
                  <w:tcW w:w="2262" w:type="dxa"/>
                  <w:shd w:val="clear" w:color="auto" w:fill="auto"/>
                </w:tcPr>
                <w:p w:rsidR="00E05C15" w:rsidRPr="0011363D" w:rsidRDefault="00E05C15" w:rsidP="00AF6A8F">
                  <w:pPr>
                    <w:pStyle w:val="naisf"/>
                    <w:spacing w:before="60" w:beforeAutospacing="0" w:after="0" w:afterAutospacing="0"/>
                    <w:jc w:val="right"/>
                  </w:pPr>
                </w:p>
              </w:tc>
              <w:tc>
                <w:tcPr>
                  <w:tcW w:w="1440" w:type="dxa"/>
                  <w:shd w:val="clear" w:color="auto" w:fill="FABF8F" w:themeFill="accent6" w:themeFillTint="99"/>
                </w:tcPr>
                <w:p w:rsidR="00E05C15" w:rsidRPr="0011363D" w:rsidRDefault="00E05C15" w:rsidP="00AF6A8F">
                  <w:pPr>
                    <w:pStyle w:val="naisf"/>
                    <w:spacing w:before="60" w:beforeAutospacing="0" w:after="0" w:afterAutospacing="0"/>
                    <w:jc w:val="right"/>
                  </w:pPr>
                  <w:r w:rsidRPr="0011363D">
                    <w:t>41 387</w:t>
                  </w:r>
                </w:p>
              </w:tc>
            </w:tr>
          </w:tbl>
          <w:p w:rsidR="00E05C15" w:rsidRPr="0011363D" w:rsidRDefault="00E05C15" w:rsidP="009B6660">
            <w:pPr>
              <w:pStyle w:val="naisf"/>
              <w:spacing w:before="0" w:beforeAutospacing="0" w:after="0" w:afterAutospacing="0"/>
              <w:jc w:val="both"/>
              <w:rPr>
                <w:i/>
                <w:sz w:val="20"/>
                <w:szCs w:val="20"/>
              </w:rPr>
            </w:pPr>
            <w:r w:rsidRPr="0011363D">
              <w:rPr>
                <w:i/>
                <w:sz w:val="20"/>
                <w:szCs w:val="20"/>
              </w:rPr>
              <w:t>* 2011.gada cenās.</w:t>
            </w:r>
          </w:p>
          <w:p w:rsidR="00E05C15" w:rsidRPr="0011363D" w:rsidRDefault="00E05C15" w:rsidP="009B6660">
            <w:pPr>
              <w:pStyle w:val="naisf"/>
              <w:spacing w:before="0" w:beforeAutospacing="0" w:after="0" w:afterAutospacing="0"/>
              <w:jc w:val="both"/>
              <w:rPr>
                <w:i/>
                <w:sz w:val="20"/>
                <w:szCs w:val="20"/>
              </w:rPr>
            </w:pPr>
            <w:r w:rsidRPr="0011363D">
              <w:rPr>
                <w:i/>
                <w:sz w:val="20"/>
                <w:szCs w:val="20"/>
              </w:rPr>
              <w:t>** 2014.gada cenās (saskaņā ar anotācijas 1.pielikumu).</w:t>
            </w:r>
          </w:p>
          <w:p w:rsidR="00E05C15" w:rsidRPr="0011363D" w:rsidRDefault="00E05C15" w:rsidP="007709D5">
            <w:pPr>
              <w:pStyle w:val="naisf"/>
              <w:spacing w:before="0" w:beforeAutospacing="0" w:after="0" w:afterAutospacing="0"/>
              <w:jc w:val="both"/>
              <w:rPr>
                <w:i/>
                <w:sz w:val="20"/>
                <w:szCs w:val="20"/>
              </w:rPr>
            </w:pPr>
            <w:r w:rsidRPr="0011363D">
              <w:rPr>
                <w:i/>
                <w:sz w:val="20"/>
                <w:szCs w:val="20"/>
              </w:rPr>
              <w:t>*** Plānotie izdevumi VSAA 2014.gada speciālajā budžetā ieņēmumu EKK21499 kodā „Pārējie iepriekš neklasificētie ieņēmumi”, t.sk., ieņēmumi no maksas pakalpojumiem par izziņu sagatavošanu.</w:t>
            </w:r>
          </w:p>
        </w:tc>
      </w:tr>
      <w:tr w:rsidR="0011363D" w:rsidRPr="0011363D" w:rsidTr="00607B2E">
        <w:trPr>
          <w:trHeight w:val="3865"/>
          <w:jc w:val="center"/>
        </w:trPr>
        <w:tc>
          <w:tcPr>
            <w:tcW w:w="930" w:type="pct"/>
            <w:tcBorders>
              <w:top w:val="outset" w:sz="6" w:space="0" w:color="414142"/>
              <w:left w:val="outset" w:sz="6" w:space="0" w:color="414142"/>
              <w:bottom w:val="outset" w:sz="6" w:space="0" w:color="414142"/>
              <w:right w:val="outset" w:sz="6" w:space="0" w:color="414142"/>
            </w:tcBorders>
            <w:hideMark/>
          </w:tcPr>
          <w:p w:rsidR="00E05C15" w:rsidRPr="0011363D" w:rsidRDefault="00E05C15" w:rsidP="00AF6A8F">
            <w:pPr>
              <w:spacing w:after="0" w:line="240" w:lineRule="auto"/>
              <w:rPr>
                <w:rFonts w:ascii="Times New Roman" w:eastAsia="Times New Roman" w:hAnsi="Times New Roman" w:cs="Times New Roman"/>
                <w:sz w:val="24"/>
                <w:szCs w:val="24"/>
                <w:lang w:eastAsia="lv-LV"/>
              </w:rPr>
            </w:pPr>
            <w:r w:rsidRPr="0011363D">
              <w:rPr>
                <w:rFonts w:ascii="Times New Roman" w:eastAsia="Times New Roman" w:hAnsi="Times New Roman" w:cs="Times New Roman"/>
                <w:sz w:val="24"/>
                <w:szCs w:val="24"/>
                <w:lang w:eastAsia="lv-LV"/>
              </w:rPr>
              <w:lastRenderedPageBreak/>
              <w:t>7. Cita informācija</w:t>
            </w:r>
          </w:p>
        </w:tc>
        <w:tc>
          <w:tcPr>
            <w:tcW w:w="4070" w:type="pct"/>
            <w:gridSpan w:val="5"/>
            <w:tcBorders>
              <w:top w:val="outset" w:sz="6" w:space="0" w:color="414142"/>
              <w:left w:val="outset" w:sz="6" w:space="0" w:color="414142"/>
              <w:bottom w:val="outset" w:sz="6" w:space="0" w:color="414142"/>
              <w:right w:val="outset" w:sz="6" w:space="0" w:color="414142"/>
            </w:tcBorders>
            <w:hideMark/>
          </w:tcPr>
          <w:p w:rsidR="00E05C15" w:rsidRPr="00836175" w:rsidRDefault="00084107" w:rsidP="00836175">
            <w:pPr>
              <w:pStyle w:val="naisf"/>
              <w:spacing w:before="0" w:beforeAutospacing="0" w:after="0" w:afterAutospacing="0"/>
              <w:jc w:val="both"/>
            </w:pPr>
            <w:r w:rsidRPr="00836175">
              <w:t>Labklājības ministrija pēc Ministru kabineta rīkojuma projekta apstiprināšanas normatīvajos aktos noteiktajā kārtībā sagatavos un iesniegs Finanšu ministrijai pieprasījumu valsts budžeta apropriācijas pārdalei</w:t>
            </w:r>
            <w:r w:rsidR="00293380">
              <w:t xml:space="preserve"> 2014.gadā.</w:t>
            </w:r>
            <w:r w:rsidR="00E05C15" w:rsidRPr="00836175">
              <w:t xml:space="preserve">Finanšu </w:t>
            </w:r>
            <w:r w:rsidRPr="00836175">
              <w:t xml:space="preserve">ministrs normatīvajos aktos noteiktajā kārtībā </w:t>
            </w:r>
            <w:r w:rsidR="00E05C15" w:rsidRPr="00836175">
              <w:t xml:space="preserve">informēs Saeimas Budžeta un finanšu (nodokļu) komisiju </w:t>
            </w:r>
            <w:r w:rsidRPr="00836175">
              <w:t xml:space="preserve">par apropriācijas pārdali </w:t>
            </w:r>
            <w:r w:rsidR="00E05C15" w:rsidRPr="00836175">
              <w:t xml:space="preserve">un, ja Saeimas Budžeta un finanšu (nodokļu) komisija </w:t>
            </w:r>
            <w:r w:rsidR="00FE3EEC" w:rsidRPr="00836175">
              <w:t xml:space="preserve">piecu darba dienu laikā pēc attiecīgās informācijas saņemšanas </w:t>
            </w:r>
            <w:r w:rsidRPr="00836175">
              <w:t>neizteiks iebildumus</w:t>
            </w:r>
            <w:r w:rsidR="00E05C15" w:rsidRPr="00836175">
              <w:t xml:space="preserve">, tiks veikta apropriācijas pārdale </w:t>
            </w:r>
            <w:r w:rsidR="005D4A93">
              <w:t>VSAA funkcijas</w:t>
            </w:r>
            <w:r w:rsidRPr="00836175">
              <w:t xml:space="preserve"> nodrošināšanai.</w:t>
            </w:r>
          </w:p>
          <w:p w:rsidR="00255B9C" w:rsidRDefault="00E05C15" w:rsidP="00836175">
            <w:pPr>
              <w:spacing w:after="0" w:line="240" w:lineRule="auto"/>
              <w:jc w:val="both"/>
              <w:rPr>
                <w:rFonts w:ascii="Times New Roman" w:hAnsi="Times New Roman" w:cs="Times New Roman"/>
                <w:sz w:val="24"/>
                <w:szCs w:val="24"/>
              </w:rPr>
            </w:pPr>
            <w:r w:rsidRPr="00836175">
              <w:rPr>
                <w:rFonts w:ascii="Times New Roman" w:hAnsi="Times New Roman" w:cs="Times New Roman"/>
                <w:sz w:val="24"/>
                <w:szCs w:val="24"/>
              </w:rPr>
              <w:t xml:space="preserve">Lai nodrošinātu VSAA </w:t>
            </w:r>
            <w:r w:rsidR="0054574B" w:rsidRPr="00836175">
              <w:rPr>
                <w:rFonts w:ascii="Times New Roman" w:hAnsi="Times New Roman" w:cs="Times New Roman"/>
                <w:sz w:val="24"/>
                <w:szCs w:val="24"/>
              </w:rPr>
              <w:t>funkcij</w:t>
            </w:r>
            <w:r w:rsidR="005D4A93">
              <w:rPr>
                <w:rFonts w:ascii="Times New Roman" w:hAnsi="Times New Roman" w:cs="Times New Roman"/>
                <w:sz w:val="24"/>
                <w:szCs w:val="24"/>
              </w:rPr>
              <w:t>as</w:t>
            </w:r>
            <w:r w:rsidR="0054574B" w:rsidRPr="00836175">
              <w:rPr>
                <w:rFonts w:ascii="Times New Roman" w:hAnsi="Times New Roman" w:cs="Times New Roman"/>
                <w:sz w:val="24"/>
                <w:szCs w:val="24"/>
              </w:rPr>
              <w:t xml:space="preserve"> finansēšan</w:t>
            </w:r>
            <w:r w:rsidR="00DE64DD" w:rsidRPr="00836175">
              <w:rPr>
                <w:rFonts w:ascii="Times New Roman" w:hAnsi="Times New Roman" w:cs="Times New Roman"/>
                <w:sz w:val="24"/>
                <w:szCs w:val="24"/>
              </w:rPr>
              <w:t xml:space="preserve">u </w:t>
            </w:r>
            <w:r w:rsidRPr="00836175">
              <w:rPr>
                <w:rFonts w:ascii="Times New Roman" w:hAnsi="Times New Roman" w:cs="Times New Roman"/>
                <w:sz w:val="24"/>
                <w:szCs w:val="24"/>
              </w:rPr>
              <w:t xml:space="preserve">arī 2015. gadā un turpmākajos gados, Labklājības ministrija ir pievienojusi Ministru kabineta rīkojuma projektam Ministru kabineta </w:t>
            </w:r>
            <w:proofErr w:type="spellStart"/>
            <w:r w:rsidRPr="00836175">
              <w:rPr>
                <w:rFonts w:ascii="Times New Roman" w:hAnsi="Times New Roman" w:cs="Times New Roman"/>
                <w:sz w:val="24"/>
                <w:szCs w:val="24"/>
              </w:rPr>
              <w:t>protokollēmuma</w:t>
            </w:r>
            <w:proofErr w:type="spellEnd"/>
            <w:r w:rsidRPr="00836175">
              <w:rPr>
                <w:rFonts w:ascii="Times New Roman" w:hAnsi="Times New Roman" w:cs="Times New Roman"/>
                <w:sz w:val="24"/>
                <w:szCs w:val="24"/>
              </w:rPr>
              <w:t xml:space="preserve"> projektu, 2.punktā Labklājības ministrijai uzdodot, </w:t>
            </w:r>
            <w:r w:rsidR="00836175" w:rsidRPr="00836175">
              <w:rPr>
                <w:rFonts w:ascii="Times New Roman" w:hAnsi="Times New Roman" w:cs="Times New Roman"/>
                <w:sz w:val="24"/>
                <w:szCs w:val="24"/>
              </w:rPr>
              <w:t xml:space="preserve">sagatavojot valsts sociālās apdrošināšanas speciālā budžeta bāzes aprēķinu 2015.gadam un turpmākajiem gadiem, iekļaut priekšlikumu par ieņēmumu no maksas pakalpojumiem un citu pašu ieņēmumu samazināšanu 41 387 </w:t>
            </w:r>
            <w:proofErr w:type="spellStart"/>
            <w:r w:rsidR="00836175" w:rsidRPr="00836175">
              <w:rPr>
                <w:rStyle w:val="Emphasis"/>
                <w:rFonts w:ascii="Times New Roman" w:hAnsi="Times New Roman" w:cs="Times New Roman"/>
                <w:sz w:val="24"/>
                <w:szCs w:val="24"/>
              </w:rPr>
              <w:t>euro</w:t>
            </w:r>
            <w:proofErr w:type="spellEnd"/>
            <w:r w:rsidR="00836175" w:rsidRPr="00836175">
              <w:rPr>
                <w:rFonts w:ascii="Times New Roman" w:hAnsi="Times New Roman" w:cs="Times New Roman"/>
                <w:sz w:val="24"/>
                <w:szCs w:val="24"/>
              </w:rPr>
              <w:t xml:space="preserve"> apmērā un ieņēmumu no valsts speciālā budžeta savstarpējiem transfertiem no valsts speciālajiem budžetiem palielināšanu 41 387 </w:t>
            </w:r>
            <w:proofErr w:type="spellStart"/>
            <w:r w:rsidR="00836175" w:rsidRPr="00836175">
              <w:rPr>
                <w:rStyle w:val="Emphasis"/>
                <w:rFonts w:ascii="Times New Roman" w:hAnsi="Times New Roman" w:cs="Times New Roman"/>
                <w:sz w:val="24"/>
                <w:szCs w:val="24"/>
              </w:rPr>
              <w:t>euro</w:t>
            </w:r>
            <w:proofErr w:type="spellEnd"/>
            <w:r w:rsidR="00836175" w:rsidRPr="00836175">
              <w:rPr>
                <w:rFonts w:ascii="Times New Roman" w:hAnsi="Times New Roman" w:cs="Times New Roman"/>
                <w:sz w:val="24"/>
                <w:szCs w:val="24"/>
              </w:rPr>
              <w:t xml:space="preserve"> apmērā valsts sociālās apdrošināšanas speciālā budžeta apakšprogrammā 04.05.00 „Valsts sociālās</w:t>
            </w:r>
            <w:r w:rsidR="00DE2A1C" w:rsidRPr="00836175">
              <w:rPr>
                <w:rFonts w:ascii="Times New Roman" w:hAnsi="Times New Roman" w:cs="Times New Roman"/>
                <w:sz w:val="24"/>
                <w:szCs w:val="24"/>
              </w:rPr>
              <w:t xml:space="preserve"> apdrošināšanas</w:t>
            </w:r>
            <w:r w:rsidR="00DE2A1C">
              <w:rPr>
                <w:rFonts w:ascii="Times New Roman" w:hAnsi="Times New Roman" w:cs="Times New Roman"/>
                <w:sz w:val="24"/>
                <w:szCs w:val="24"/>
              </w:rPr>
              <w:t xml:space="preserve"> </w:t>
            </w:r>
            <w:r w:rsidR="00836175" w:rsidRPr="00836175">
              <w:rPr>
                <w:rFonts w:ascii="Times New Roman" w:hAnsi="Times New Roman" w:cs="Times New Roman"/>
                <w:sz w:val="24"/>
                <w:szCs w:val="24"/>
              </w:rPr>
              <w:t xml:space="preserve">aģentūras speciālais </w:t>
            </w:r>
            <w:r w:rsidR="00836175" w:rsidRPr="00836175">
              <w:rPr>
                <w:rFonts w:ascii="Times New Roman" w:hAnsi="Times New Roman" w:cs="Times New Roman"/>
                <w:sz w:val="24"/>
                <w:szCs w:val="24"/>
              </w:rPr>
              <w:lastRenderedPageBreak/>
              <w:t>budžets”, attiecīgi palielinot izdevumus valsts budžeta uzturēšanas izdevumu transfertiem no valsts speciālajiem budžetiem uz Valsts sociālās apdrošināšanas aģentūras speciālo budžetu pārējos valsts sociālās apdrošināšanas speciālajos budžetos</w:t>
            </w:r>
            <w:r w:rsidR="00836175">
              <w:rPr>
                <w:rFonts w:ascii="Times New Roman" w:hAnsi="Times New Roman" w:cs="Times New Roman"/>
                <w:sz w:val="24"/>
                <w:szCs w:val="24"/>
              </w:rPr>
              <w:t>.</w:t>
            </w:r>
          </w:p>
          <w:p w:rsidR="00836175" w:rsidRPr="00836175" w:rsidRDefault="00836175" w:rsidP="00836175">
            <w:pPr>
              <w:spacing w:after="0" w:line="240" w:lineRule="auto"/>
              <w:jc w:val="both"/>
              <w:rPr>
                <w:rFonts w:ascii="Times New Roman" w:eastAsia="Times New Roman" w:hAnsi="Times New Roman" w:cs="Times New Roman"/>
                <w:sz w:val="24"/>
                <w:szCs w:val="24"/>
                <w:lang w:eastAsia="lv-LV"/>
              </w:rPr>
            </w:pPr>
          </w:p>
          <w:p w:rsidR="00E05C15" w:rsidRPr="0011363D" w:rsidRDefault="00E05C15" w:rsidP="00E90511">
            <w:pPr>
              <w:spacing w:after="0" w:line="240" w:lineRule="auto"/>
              <w:jc w:val="center"/>
              <w:rPr>
                <w:rFonts w:ascii="Times New Roman" w:eastAsia="Times New Roman" w:hAnsi="Times New Roman" w:cs="Times New Roman"/>
                <w:b/>
                <w:sz w:val="24"/>
                <w:szCs w:val="24"/>
                <w:lang w:eastAsia="lv-LV"/>
              </w:rPr>
            </w:pPr>
            <w:r w:rsidRPr="0011363D">
              <w:rPr>
                <w:rFonts w:ascii="Times New Roman" w:eastAsia="Times New Roman" w:hAnsi="Times New Roman" w:cs="Times New Roman"/>
                <w:b/>
                <w:sz w:val="24"/>
                <w:szCs w:val="24"/>
                <w:lang w:eastAsia="lv-LV"/>
              </w:rPr>
              <w:t xml:space="preserve">Ministru kabineta </w:t>
            </w:r>
            <w:proofErr w:type="spellStart"/>
            <w:r w:rsidRPr="0011363D">
              <w:rPr>
                <w:rFonts w:ascii="Times New Roman" w:eastAsia="Times New Roman" w:hAnsi="Times New Roman" w:cs="Times New Roman"/>
                <w:b/>
                <w:sz w:val="24"/>
                <w:szCs w:val="24"/>
                <w:lang w:eastAsia="lv-LV"/>
              </w:rPr>
              <w:t>protokollēmuma</w:t>
            </w:r>
            <w:proofErr w:type="spellEnd"/>
            <w:r w:rsidRPr="0011363D">
              <w:rPr>
                <w:rFonts w:ascii="Times New Roman" w:eastAsia="Times New Roman" w:hAnsi="Times New Roman" w:cs="Times New Roman"/>
                <w:b/>
                <w:sz w:val="24"/>
                <w:szCs w:val="24"/>
                <w:lang w:eastAsia="lv-LV"/>
              </w:rPr>
              <w:t xml:space="preserve"> projekta 2.punkta finansiālā ietekme uz sociālās apdrošināšanas speciālo budžetu, </w:t>
            </w:r>
            <w:proofErr w:type="spellStart"/>
            <w:r w:rsidRPr="0011363D">
              <w:rPr>
                <w:rFonts w:ascii="Times New Roman" w:eastAsia="Times New Roman" w:hAnsi="Times New Roman" w:cs="Times New Roman"/>
                <w:b/>
                <w:i/>
                <w:sz w:val="24"/>
                <w:szCs w:val="24"/>
                <w:lang w:eastAsia="lv-LV"/>
              </w:rPr>
              <w:t>euro</w:t>
            </w:r>
            <w:proofErr w:type="spellEnd"/>
          </w:p>
          <w:p w:rsidR="00E05C15" w:rsidRPr="0011363D" w:rsidRDefault="00E05C15" w:rsidP="00E90511">
            <w:pPr>
              <w:spacing w:after="0" w:line="240" w:lineRule="auto"/>
              <w:jc w:val="right"/>
              <w:rPr>
                <w:rFonts w:ascii="Times New Roman" w:eastAsia="Times New Roman" w:hAnsi="Times New Roman" w:cs="Times New Roman"/>
                <w:i/>
                <w:sz w:val="24"/>
                <w:szCs w:val="24"/>
                <w:lang w:eastAsia="lv-LV"/>
              </w:rPr>
            </w:pPr>
            <w:r w:rsidRPr="0011363D">
              <w:rPr>
                <w:rFonts w:ascii="Times New Roman" w:eastAsia="Times New Roman" w:hAnsi="Times New Roman" w:cs="Times New Roman"/>
                <w:i/>
                <w:sz w:val="24"/>
                <w:szCs w:val="24"/>
                <w:lang w:eastAsia="lv-LV"/>
              </w:rPr>
              <w:t>3.tabula</w:t>
            </w:r>
          </w:p>
          <w:tbl>
            <w:tblPr>
              <w:tblStyle w:val="TableGrid"/>
              <w:tblW w:w="9360" w:type="dxa"/>
              <w:tblLook w:val="04A0" w:firstRow="1" w:lastRow="0" w:firstColumn="1" w:lastColumn="0" w:noHBand="0" w:noVBand="1"/>
            </w:tblPr>
            <w:tblGrid>
              <w:gridCol w:w="1730"/>
              <w:gridCol w:w="1765"/>
              <w:gridCol w:w="1056"/>
              <w:gridCol w:w="1377"/>
              <w:gridCol w:w="1056"/>
              <w:gridCol w:w="1317"/>
              <w:gridCol w:w="1059"/>
            </w:tblGrid>
            <w:tr w:rsidR="0011363D" w:rsidRPr="0011363D" w:rsidTr="006F4C4B">
              <w:trPr>
                <w:tblHeader/>
              </w:trPr>
              <w:tc>
                <w:tcPr>
                  <w:tcW w:w="1730" w:type="dxa"/>
                  <w:vMerge w:val="restart"/>
                </w:tcPr>
                <w:p w:rsidR="00E05C15" w:rsidRPr="0011363D" w:rsidRDefault="00E05C15" w:rsidP="00AF6A8F">
                  <w:pPr>
                    <w:jc w:val="center"/>
                    <w:rPr>
                      <w:rFonts w:cs="Times New Roman"/>
                      <w:sz w:val="18"/>
                      <w:szCs w:val="18"/>
                    </w:rPr>
                  </w:pPr>
                </w:p>
              </w:tc>
              <w:tc>
                <w:tcPr>
                  <w:tcW w:w="2821" w:type="dxa"/>
                  <w:gridSpan w:val="2"/>
                </w:tcPr>
                <w:p w:rsidR="00E05C15" w:rsidRPr="0011363D" w:rsidRDefault="00E05C15" w:rsidP="00AF6A8F">
                  <w:pPr>
                    <w:jc w:val="center"/>
                    <w:rPr>
                      <w:rFonts w:cs="Times New Roman"/>
                      <w:sz w:val="18"/>
                      <w:szCs w:val="18"/>
                    </w:rPr>
                  </w:pPr>
                  <w:r w:rsidRPr="0011363D">
                    <w:rPr>
                      <w:rFonts w:cs="Times New Roman"/>
                      <w:sz w:val="18"/>
                      <w:szCs w:val="18"/>
                    </w:rPr>
                    <w:t>2015.gads</w:t>
                  </w:r>
                </w:p>
              </w:tc>
              <w:tc>
                <w:tcPr>
                  <w:tcW w:w="2433" w:type="dxa"/>
                  <w:gridSpan w:val="2"/>
                </w:tcPr>
                <w:p w:rsidR="00E05C15" w:rsidRPr="0011363D" w:rsidRDefault="00E05C15" w:rsidP="00AF6A8F">
                  <w:pPr>
                    <w:jc w:val="center"/>
                    <w:rPr>
                      <w:rFonts w:cs="Times New Roman"/>
                      <w:sz w:val="18"/>
                      <w:szCs w:val="18"/>
                    </w:rPr>
                  </w:pPr>
                  <w:r w:rsidRPr="0011363D">
                    <w:rPr>
                      <w:rFonts w:cs="Times New Roman"/>
                      <w:sz w:val="18"/>
                      <w:szCs w:val="18"/>
                    </w:rPr>
                    <w:t>2016.gads</w:t>
                  </w:r>
                </w:p>
              </w:tc>
              <w:tc>
                <w:tcPr>
                  <w:tcW w:w="2376" w:type="dxa"/>
                  <w:gridSpan w:val="2"/>
                </w:tcPr>
                <w:p w:rsidR="00E05C15" w:rsidRPr="0011363D" w:rsidRDefault="00E05C15" w:rsidP="00AF6A8F">
                  <w:pPr>
                    <w:jc w:val="center"/>
                    <w:rPr>
                      <w:rFonts w:cs="Times New Roman"/>
                      <w:sz w:val="18"/>
                      <w:szCs w:val="18"/>
                    </w:rPr>
                  </w:pPr>
                  <w:r w:rsidRPr="0011363D">
                    <w:rPr>
                      <w:rFonts w:cs="Times New Roman"/>
                      <w:sz w:val="18"/>
                      <w:szCs w:val="18"/>
                    </w:rPr>
                    <w:t>2017.gads</w:t>
                  </w:r>
                </w:p>
              </w:tc>
            </w:tr>
            <w:tr w:rsidR="0011363D" w:rsidRPr="0011363D" w:rsidTr="006F4C4B">
              <w:trPr>
                <w:tblHeader/>
              </w:trPr>
              <w:tc>
                <w:tcPr>
                  <w:tcW w:w="1730" w:type="dxa"/>
                  <w:vMerge/>
                </w:tcPr>
                <w:p w:rsidR="00E05C15" w:rsidRPr="0011363D" w:rsidRDefault="00E05C15" w:rsidP="00AF6A8F">
                  <w:pPr>
                    <w:jc w:val="center"/>
                    <w:rPr>
                      <w:rFonts w:cs="Times New Roman"/>
                      <w:sz w:val="18"/>
                      <w:szCs w:val="18"/>
                    </w:rPr>
                  </w:pPr>
                </w:p>
              </w:tc>
              <w:tc>
                <w:tcPr>
                  <w:tcW w:w="1765" w:type="dxa"/>
                </w:tcPr>
                <w:p w:rsidR="00E05C15" w:rsidRPr="0011363D" w:rsidRDefault="00E05C15" w:rsidP="00AF6A8F">
                  <w:pPr>
                    <w:jc w:val="center"/>
                    <w:rPr>
                      <w:rFonts w:cs="Times New Roman"/>
                      <w:sz w:val="18"/>
                      <w:szCs w:val="18"/>
                    </w:rPr>
                  </w:pPr>
                  <w:r w:rsidRPr="0011363D">
                    <w:rPr>
                      <w:rFonts w:cs="Times New Roman"/>
                      <w:sz w:val="18"/>
                      <w:szCs w:val="18"/>
                    </w:rPr>
                    <w:t>Saskaņā ar VTIL*</w:t>
                  </w:r>
                </w:p>
              </w:tc>
              <w:tc>
                <w:tcPr>
                  <w:tcW w:w="1056" w:type="dxa"/>
                </w:tcPr>
                <w:p w:rsidR="00E05C15" w:rsidRPr="0011363D" w:rsidRDefault="00E05C15" w:rsidP="00AF6A8F">
                  <w:pPr>
                    <w:jc w:val="center"/>
                    <w:rPr>
                      <w:rFonts w:cs="Times New Roman"/>
                      <w:sz w:val="18"/>
                      <w:szCs w:val="18"/>
                    </w:rPr>
                  </w:pPr>
                  <w:r w:rsidRPr="0011363D">
                    <w:rPr>
                      <w:rFonts w:cs="Times New Roman"/>
                      <w:sz w:val="18"/>
                      <w:szCs w:val="18"/>
                    </w:rPr>
                    <w:t>Izmaiņas, salīdzinot ar VTIL</w:t>
                  </w:r>
                </w:p>
              </w:tc>
              <w:tc>
                <w:tcPr>
                  <w:tcW w:w="1377" w:type="dxa"/>
                </w:tcPr>
                <w:p w:rsidR="00E05C15" w:rsidRPr="0011363D" w:rsidRDefault="00E05C15" w:rsidP="00AF6A8F">
                  <w:pPr>
                    <w:jc w:val="center"/>
                    <w:rPr>
                      <w:rFonts w:cs="Times New Roman"/>
                      <w:sz w:val="18"/>
                      <w:szCs w:val="18"/>
                    </w:rPr>
                  </w:pPr>
                  <w:r w:rsidRPr="0011363D">
                    <w:rPr>
                      <w:rFonts w:cs="Times New Roman"/>
                      <w:sz w:val="18"/>
                      <w:szCs w:val="18"/>
                    </w:rPr>
                    <w:t>Saskaņā ar VTIL*</w:t>
                  </w:r>
                </w:p>
              </w:tc>
              <w:tc>
                <w:tcPr>
                  <w:tcW w:w="1056" w:type="dxa"/>
                </w:tcPr>
                <w:p w:rsidR="00E05C15" w:rsidRPr="0011363D" w:rsidRDefault="00E05C15" w:rsidP="00AF6A8F">
                  <w:pPr>
                    <w:jc w:val="center"/>
                    <w:rPr>
                      <w:rFonts w:cs="Times New Roman"/>
                      <w:sz w:val="18"/>
                      <w:szCs w:val="18"/>
                    </w:rPr>
                  </w:pPr>
                  <w:r w:rsidRPr="0011363D">
                    <w:rPr>
                      <w:rFonts w:cs="Times New Roman"/>
                      <w:sz w:val="18"/>
                      <w:szCs w:val="18"/>
                    </w:rPr>
                    <w:t>Izmaiņas, salīdzinot ar VTIL</w:t>
                  </w:r>
                </w:p>
              </w:tc>
              <w:tc>
                <w:tcPr>
                  <w:tcW w:w="1317" w:type="dxa"/>
                </w:tcPr>
                <w:p w:rsidR="00E05C15" w:rsidRPr="0011363D" w:rsidRDefault="00E05C15" w:rsidP="00AF6A8F">
                  <w:pPr>
                    <w:jc w:val="center"/>
                    <w:rPr>
                      <w:rFonts w:cs="Times New Roman"/>
                      <w:sz w:val="18"/>
                      <w:szCs w:val="18"/>
                    </w:rPr>
                  </w:pPr>
                  <w:r w:rsidRPr="0011363D">
                    <w:rPr>
                      <w:rFonts w:cs="Times New Roman"/>
                      <w:sz w:val="18"/>
                      <w:szCs w:val="18"/>
                    </w:rPr>
                    <w:t>Saskaņā ar MK lēmumu**</w:t>
                  </w:r>
                </w:p>
              </w:tc>
              <w:tc>
                <w:tcPr>
                  <w:tcW w:w="1059" w:type="dxa"/>
                </w:tcPr>
                <w:p w:rsidR="00E05C15" w:rsidRPr="0011363D" w:rsidRDefault="00E05C15" w:rsidP="00AF6A8F">
                  <w:pPr>
                    <w:jc w:val="center"/>
                    <w:rPr>
                      <w:rFonts w:cs="Times New Roman"/>
                      <w:sz w:val="18"/>
                      <w:szCs w:val="18"/>
                    </w:rPr>
                  </w:pPr>
                  <w:r w:rsidRPr="0011363D">
                    <w:rPr>
                      <w:rFonts w:cs="Times New Roman"/>
                      <w:sz w:val="18"/>
                      <w:szCs w:val="18"/>
                    </w:rPr>
                    <w:t xml:space="preserve">Izmaiņas, salīdzinot ar MK lēmumu** </w:t>
                  </w:r>
                </w:p>
              </w:tc>
            </w:tr>
            <w:tr w:rsidR="0011363D" w:rsidRPr="0011363D" w:rsidTr="006F4C4B">
              <w:tc>
                <w:tcPr>
                  <w:tcW w:w="1730" w:type="dxa"/>
                </w:tcPr>
                <w:p w:rsidR="00E05C15" w:rsidRPr="0011363D" w:rsidRDefault="00E05C15" w:rsidP="00BE67B2">
                  <w:pPr>
                    <w:jc w:val="right"/>
                    <w:rPr>
                      <w:rFonts w:cs="Times New Roman"/>
                      <w:sz w:val="18"/>
                      <w:szCs w:val="18"/>
                    </w:rPr>
                  </w:pPr>
                  <w:r w:rsidRPr="0011363D">
                    <w:rPr>
                      <w:rFonts w:cs="Times New Roman"/>
                      <w:sz w:val="18"/>
                      <w:szCs w:val="18"/>
                    </w:rPr>
                    <w:t>1. Valsts speciālā budžeta ieņēmumi, t.sk.</w:t>
                  </w:r>
                </w:p>
              </w:tc>
              <w:tc>
                <w:tcPr>
                  <w:tcW w:w="1765" w:type="dxa"/>
                </w:tcPr>
                <w:p w:rsidR="00E05C15" w:rsidRPr="0011363D" w:rsidRDefault="00E05C15" w:rsidP="00BE67B2">
                  <w:pPr>
                    <w:jc w:val="right"/>
                    <w:rPr>
                      <w:rFonts w:cs="Times New Roman"/>
                      <w:sz w:val="18"/>
                      <w:szCs w:val="18"/>
                    </w:rPr>
                  </w:pPr>
                  <w:r w:rsidRPr="0011363D">
                    <w:rPr>
                      <w:rFonts w:cs="Times New Roman"/>
                      <w:sz w:val="18"/>
                      <w:szCs w:val="18"/>
                    </w:rPr>
                    <w:t>2 248 463 379</w:t>
                  </w:r>
                </w:p>
              </w:tc>
              <w:tc>
                <w:tcPr>
                  <w:tcW w:w="1056" w:type="dxa"/>
                </w:tcPr>
                <w:p w:rsidR="00E05C15" w:rsidRPr="0011363D" w:rsidRDefault="00E05C15" w:rsidP="00BE67B2">
                  <w:pPr>
                    <w:jc w:val="right"/>
                    <w:rPr>
                      <w:rFonts w:cs="Times New Roman"/>
                      <w:sz w:val="18"/>
                      <w:szCs w:val="18"/>
                    </w:rPr>
                  </w:pPr>
                  <w:r w:rsidRPr="0011363D">
                    <w:rPr>
                      <w:rFonts w:cs="Times New Roman"/>
                      <w:sz w:val="18"/>
                      <w:szCs w:val="18"/>
                    </w:rPr>
                    <w:t xml:space="preserve"> - 41 387</w:t>
                  </w:r>
                </w:p>
              </w:tc>
              <w:tc>
                <w:tcPr>
                  <w:tcW w:w="1377" w:type="dxa"/>
                </w:tcPr>
                <w:p w:rsidR="00E05C15" w:rsidRPr="0011363D" w:rsidRDefault="00E05C15" w:rsidP="00BE67B2">
                  <w:pPr>
                    <w:jc w:val="right"/>
                    <w:rPr>
                      <w:rFonts w:cs="Times New Roman"/>
                      <w:sz w:val="18"/>
                      <w:szCs w:val="18"/>
                    </w:rPr>
                  </w:pPr>
                  <w:r w:rsidRPr="0011363D">
                    <w:rPr>
                      <w:rFonts w:cs="Times New Roman"/>
                      <w:sz w:val="18"/>
                      <w:szCs w:val="18"/>
                    </w:rPr>
                    <w:t>2 289 306 341</w:t>
                  </w:r>
                </w:p>
              </w:tc>
              <w:tc>
                <w:tcPr>
                  <w:tcW w:w="1056" w:type="dxa"/>
                </w:tcPr>
                <w:p w:rsidR="00E05C15" w:rsidRPr="0011363D" w:rsidRDefault="00E05C15" w:rsidP="00BE67B2">
                  <w:pPr>
                    <w:jc w:val="right"/>
                    <w:rPr>
                      <w:rFonts w:cs="Times New Roman"/>
                      <w:sz w:val="18"/>
                      <w:szCs w:val="18"/>
                    </w:rPr>
                  </w:pPr>
                  <w:r w:rsidRPr="0011363D">
                    <w:rPr>
                      <w:rFonts w:cs="Times New Roman"/>
                      <w:sz w:val="18"/>
                      <w:szCs w:val="18"/>
                    </w:rPr>
                    <w:t xml:space="preserve"> - 41 387</w:t>
                  </w:r>
                </w:p>
              </w:tc>
              <w:tc>
                <w:tcPr>
                  <w:tcW w:w="1317" w:type="dxa"/>
                </w:tcPr>
                <w:p w:rsidR="00E05C15" w:rsidRPr="0011363D" w:rsidRDefault="00E05C15" w:rsidP="00AF6A8F">
                  <w:pPr>
                    <w:jc w:val="right"/>
                    <w:rPr>
                      <w:rFonts w:cs="Times New Roman"/>
                      <w:sz w:val="18"/>
                      <w:szCs w:val="18"/>
                    </w:rPr>
                  </w:pPr>
                  <w:r w:rsidRPr="0011363D">
                    <w:rPr>
                      <w:rFonts w:cs="Times New Roman"/>
                      <w:sz w:val="18"/>
                      <w:szCs w:val="18"/>
                    </w:rPr>
                    <w:t>2 289 306 341</w:t>
                  </w:r>
                </w:p>
              </w:tc>
              <w:tc>
                <w:tcPr>
                  <w:tcW w:w="1059" w:type="dxa"/>
                </w:tcPr>
                <w:p w:rsidR="00E05C15" w:rsidRPr="0011363D" w:rsidRDefault="00E05C15" w:rsidP="00AF6A8F">
                  <w:pPr>
                    <w:jc w:val="right"/>
                    <w:rPr>
                      <w:rFonts w:cs="Times New Roman"/>
                      <w:sz w:val="18"/>
                      <w:szCs w:val="18"/>
                    </w:rPr>
                  </w:pPr>
                  <w:r w:rsidRPr="0011363D">
                    <w:rPr>
                      <w:rFonts w:cs="Times New Roman"/>
                      <w:sz w:val="18"/>
                      <w:szCs w:val="18"/>
                    </w:rPr>
                    <w:t xml:space="preserve"> - 41 387</w:t>
                  </w:r>
                </w:p>
              </w:tc>
            </w:tr>
            <w:tr w:rsidR="0011363D" w:rsidRPr="0011363D" w:rsidTr="006F4C4B">
              <w:tc>
                <w:tcPr>
                  <w:tcW w:w="1730" w:type="dxa"/>
                  <w:vAlign w:val="center"/>
                </w:tcPr>
                <w:p w:rsidR="00E05C15" w:rsidRPr="0011363D" w:rsidRDefault="00E05C15" w:rsidP="00BE67B2">
                  <w:pPr>
                    <w:jc w:val="right"/>
                    <w:rPr>
                      <w:rFonts w:cs="Times New Roman"/>
                      <w:i/>
                      <w:iCs/>
                      <w:sz w:val="18"/>
                      <w:szCs w:val="18"/>
                    </w:rPr>
                  </w:pPr>
                  <w:r w:rsidRPr="0011363D">
                    <w:rPr>
                      <w:rFonts w:cs="Times New Roman"/>
                      <w:i/>
                      <w:iCs/>
                      <w:sz w:val="18"/>
                      <w:szCs w:val="18"/>
                    </w:rPr>
                    <w:t>Apakšprogrammā 04.05.00 „Valsts sociālās apdrošināšanas aģentūras speciālais budžets”, t.sk.</w:t>
                  </w:r>
                </w:p>
              </w:tc>
              <w:tc>
                <w:tcPr>
                  <w:tcW w:w="1765" w:type="dxa"/>
                </w:tcPr>
                <w:p w:rsidR="00E05C15" w:rsidRPr="0011363D" w:rsidRDefault="00E05C15" w:rsidP="00BE67B2">
                  <w:pPr>
                    <w:jc w:val="right"/>
                    <w:rPr>
                      <w:rFonts w:cs="Times New Roman"/>
                      <w:i/>
                      <w:sz w:val="18"/>
                      <w:szCs w:val="18"/>
                    </w:rPr>
                  </w:pPr>
                  <w:r w:rsidRPr="0011363D">
                    <w:rPr>
                      <w:rFonts w:cs="Times New Roman"/>
                      <w:i/>
                      <w:sz w:val="18"/>
                      <w:szCs w:val="18"/>
                    </w:rPr>
                    <w:t>14 653 419</w:t>
                  </w:r>
                </w:p>
              </w:tc>
              <w:tc>
                <w:tcPr>
                  <w:tcW w:w="1056" w:type="dxa"/>
                </w:tcPr>
                <w:p w:rsidR="00E05C15" w:rsidRPr="0011363D" w:rsidRDefault="00E05C15" w:rsidP="00BE67B2">
                  <w:pPr>
                    <w:jc w:val="right"/>
                    <w:rPr>
                      <w:rFonts w:cs="Times New Roman"/>
                      <w:i/>
                      <w:sz w:val="18"/>
                      <w:szCs w:val="18"/>
                    </w:rPr>
                  </w:pPr>
                  <w:r w:rsidRPr="0011363D">
                    <w:rPr>
                      <w:rFonts w:cs="Times New Roman"/>
                      <w:i/>
                      <w:sz w:val="18"/>
                      <w:szCs w:val="18"/>
                    </w:rPr>
                    <w:t>0</w:t>
                  </w:r>
                </w:p>
              </w:tc>
              <w:tc>
                <w:tcPr>
                  <w:tcW w:w="1377" w:type="dxa"/>
                </w:tcPr>
                <w:p w:rsidR="00E05C15" w:rsidRPr="0011363D" w:rsidRDefault="00E05C15" w:rsidP="00BE67B2">
                  <w:pPr>
                    <w:jc w:val="right"/>
                    <w:rPr>
                      <w:rFonts w:cs="Times New Roman"/>
                      <w:i/>
                      <w:sz w:val="18"/>
                      <w:szCs w:val="18"/>
                    </w:rPr>
                  </w:pPr>
                  <w:r w:rsidRPr="0011363D">
                    <w:rPr>
                      <w:rFonts w:cs="Times New Roman"/>
                      <w:i/>
                      <w:sz w:val="18"/>
                      <w:szCs w:val="18"/>
                    </w:rPr>
                    <w:t>14 849 118</w:t>
                  </w:r>
                </w:p>
              </w:tc>
              <w:tc>
                <w:tcPr>
                  <w:tcW w:w="1056" w:type="dxa"/>
                </w:tcPr>
                <w:p w:rsidR="00E05C15" w:rsidRPr="0011363D" w:rsidRDefault="00E05C15" w:rsidP="00BE67B2">
                  <w:pPr>
                    <w:jc w:val="right"/>
                    <w:rPr>
                      <w:rFonts w:cs="Times New Roman"/>
                      <w:i/>
                      <w:sz w:val="18"/>
                      <w:szCs w:val="18"/>
                    </w:rPr>
                  </w:pPr>
                  <w:r w:rsidRPr="0011363D">
                    <w:rPr>
                      <w:rFonts w:cs="Times New Roman"/>
                      <w:i/>
                      <w:sz w:val="18"/>
                      <w:szCs w:val="18"/>
                    </w:rPr>
                    <w:t>0</w:t>
                  </w:r>
                </w:p>
              </w:tc>
              <w:tc>
                <w:tcPr>
                  <w:tcW w:w="1317" w:type="dxa"/>
                </w:tcPr>
                <w:p w:rsidR="00E05C15" w:rsidRPr="0011363D" w:rsidRDefault="00E05C15" w:rsidP="00AF6A8F">
                  <w:pPr>
                    <w:jc w:val="right"/>
                    <w:rPr>
                      <w:rFonts w:cs="Times New Roman"/>
                      <w:i/>
                      <w:sz w:val="18"/>
                      <w:szCs w:val="18"/>
                    </w:rPr>
                  </w:pPr>
                  <w:r w:rsidRPr="0011363D">
                    <w:rPr>
                      <w:rFonts w:cs="Times New Roman"/>
                      <w:i/>
                      <w:sz w:val="18"/>
                      <w:szCs w:val="18"/>
                    </w:rPr>
                    <w:t>14 849 118</w:t>
                  </w:r>
                </w:p>
              </w:tc>
              <w:tc>
                <w:tcPr>
                  <w:tcW w:w="1059" w:type="dxa"/>
                </w:tcPr>
                <w:p w:rsidR="00E05C15" w:rsidRPr="0011363D" w:rsidRDefault="00E05C15" w:rsidP="00AF6A8F">
                  <w:pPr>
                    <w:jc w:val="right"/>
                    <w:rPr>
                      <w:rFonts w:cs="Times New Roman"/>
                      <w:i/>
                      <w:sz w:val="18"/>
                      <w:szCs w:val="18"/>
                    </w:rPr>
                  </w:pPr>
                  <w:r w:rsidRPr="0011363D">
                    <w:rPr>
                      <w:rFonts w:cs="Times New Roman"/>
                      <w:i/>
                      <w:sz w:val="18"/>
                      <w:szCs w:val="18"/>
                    </w:rPr>
                    <w:t>0</w:t>
                  </w:r>
                </w:p>
              </w:tc>
            </w:tr>
            <w:tr w:rsidR="0011363D" w:rsidRPr="0011363D" w:rsidTr="006F4C4B">
              <w:tc>
                <w:tcPr>
                  <w:tcW w:w="1730" w:type="dxa"/>
                  <w:vAlign w:val="center"/>
                </w:tcPr>
                <w:p w:rsidR="00E05C15" w:rsidRPr="0011363D" w:rsidRDefault="00E05C15" w:rsidP="00BE67B2">
                  <w:pPr>
                    <w:jc w:val="right"/>
                    <w:rPr>
                      <w:rFonts w:cs="Times New Roman"/>
                      <w:i/>
                      <w:iCs/>
                      <w:sz w:val="18"/>
                      <w:szCs w:val="18"/>
                    </w:rPr>
                  </w:pPr>
                  <w:r w:rsidRPr="0011363D">
                    <w:rPr>
                      <w:rFonts w:cs="Times New Roman"/>
                      <w:i/>
                      <w:iCs/>
                      <w:sz w:val="18"/>
                      <w:szCs w:val="18"/>
                    </w:rPr>
                    <w:t>- ieņēmumi no maksas pakalpojumiem un citi pašu ieņēmumi</w:t>
                  </w:r>
                </w:p>
              </w:tc>
              <w:tc>
                <w:tcPr>
                  <w:tcW w:w="1765" w:type="dxa"/>
                </w:tcPr>
                <w:p w:rsidR="00E05C15" w:rsidRPr="0011363D" w:rsidRDefault="00E05C15" w:rsidP="00BE67B2">
                  <w:pPr>
                    <w:jc w:val="right"/>
                    <w:rPr>
                      <w:rFonts w:cs="Times New Roman"/>
                      <w:i/>
                      <w:sz w:val="18"/>
                      <w:szCs w:val="18"/>
                    </w:rPr>
                  </w:pPr>
                  <w:r w:rsidRPr="0011363D">
                    <w:rPr>
                      <w:rFonts w:cs="Times New Roman"/>
                      <w:i/>
                      <w:sz w:val="18"/>
                      <w:szCs w:val="18"/>
                    </w:rPr>
                    <w:t>56 659</w:t>
                  </w:r>
                </w:p>
              </w:tc>
              <w:tc>
                <w:tcPr>
                  <w:tcW w:w="1056" w:type="dxa"/>
                </w:tcPr>
                <w:p w:rsidR="00E05C15" w:rsidRPr="0011363D" w:rsidRDefault="00E05C15" w:rsidP="00BE67B2">
                  <w:pPr>
                    <w:jc w:val="right"/>
                    <w:rPr>
                      <w:rFonts w:cs="Times New Roman"/>
                      <w:sz w:val="18"/>
                      <w:szCs w:val="18"/>
                    </w:rPr>
                  </w:pPr>
                  <w:r w:rsidRPr="0011363D">
                    <w:rPr>
                      <w:rFonts w:cs="Times New Roman"/>
                      <w:sz w:val="18"/>
                      <w:szCs w:val="18"/>
                    </w:rPr>
                    <w:t xml:space="preserve"> - 41 387</w:t>
                  </w:r>
                </w:p>
              </w:tc>
              <w:tc>
                <w:tcPr>
                  <w:tcW w:w="1377" w:type="dxa"/>
                </w:tcPr>
                <w:p w:rsidR="00E05C15" w:rsidRPr="0011363D" w:rsidRDefault="00E05C15" w:rsidP="00BE67B2">
                  <w:pPr>
                    <w:jc w:val="right"/>
                    <w:rPr>
                      <w:rFonts w:cs="Times New Roman"/>
                      <w:i/>
                      <w:sz w:val="18"/>
                      <w:szCs w:val="18"/>
                    </w:rPr>
                  </w:pPr>
                  <w:r w:rsidRPr="0011363D">
                    <w:rPr>
                      <w:rFonts w:cs="Times New Roman"/>
                      <w:i/>
                      <w:sz w:val="18"/>
                      <w:szCs w:val="18"/>
                    </w:rPr>
                    <w:t>56 659</w:t>
                  </w:r>
                </w:p>
              </w:tc>
              <w:tc>
                <w:tcPr>
                  <w:tcW w:w="1056" w:type="dxa"/>
                </w:tcPr>
                <w:p w:rsidR="00E05C15" w:rsidRPr="0011363D" w:rsidRDefault="00E05C15" w:rsidP="00BE67B2">
                  <w:pPr>
                    <w:jc w:val="right"/>
                    <w:rPr>
                      <w:rFonts w:cs="Times New Roman"/>
                      <w:sz w:val="18"/>
                      <w:szCs w:val="18"/>
                    </w:rPr>
                  </w:pPr>
                  <w:r w:rsidRPr="0011363D">
                    <w:rPr>
                      <w:rFonts w:cs="Times New Roman"/>
                      <w:sz w:val="18"/>
                      <w:szCs w:val="18"/>
                    </w:rPr>
                    <w:t xml:space="preserve"> - 41 387</w:t>
                  </w:r>
                </w:p>
              </w:tc>
              <w:tc>
                <w:tcPr>
                  <w:tcW w:w="1317" w:type="dxa"/>
                </w:tcPr>
                <w:p w:rsidR="00E05C15" w:rsidRPr="0011363D" w:rsidRDefault="00E05C15" w:rsidP="00AF6A8F">
                  <w:pPr>
                    <w:jc w:val="right"/>
                    <w:rPr>
                      <w:rFonts w:cs="Times New Roman"/>
                      <w:i/>
                      <w:sz w:val="18"/>
                      <w:szCs w:val="18"/>
                    </w:rPr>
                  </w:pPr>
                  <w:r w:rsidRPr="0011363D">
                    <w:rPr>
                      <w:rFonts w:cs="Times New Roman"/>
                      <w:i/>
                      <w:sz w:val="18"/>
                      <w:szCs w:val="18"/>
                    </w:rPr>
                    <w:t>56 659</w:t>
                  </w:r>
                </w:p>
              </w:tc>
              <w:tc>
                <w:tcPr>
                  <w:tcW w:w="1059" w:type="dxa"/>
                </w:tcPr>
                <w:p w:rsidR="00E05C15" w:rsidRPr="0011363D" w:rsidRDefault="00E05C15" w:rsidP="00AF6A8F">
                  <w:pPr>
                    <w:jc w:val="right"/>
                    <w:rPr>
                      <w:rFonts w:cs="Times New Roman"/>
                      <w:sz w:val="18"/>
                      <w:szCs w:val="18"/>
                    </w:rPr>
                  </w:pPr>
                  <w:r w:rsidRPr="0011363D">
                    <w:rPr>
                      <w:rFonts w:cs="Times New Roman"/>
                      <w:sz w:val="18"/>
                      <w:szCs w:val="18"/>
                    </w:rPr>
                    <w:t xml:space="preserve"> - 41 387</w:t>
                  </w:r>
                </w:p>
              </w:tc>
            </w:tr>
            <w:tr w:rsidR="0011363D" w:rsidRPr="0011363D" w:rsidTr="006F4C4B">
              <w:tc>
                <w:tcPr>
                  <w:tcW w:w="1730" w:type="dxa"/>
                  <w:vAlign w:val="center"/>
                </w:tcPr>
                <w:p w:rsidR="00E05C15" w:rsidRPr="0011363D" w:rsidRDefault="00E05C15" w:rsidP="00BE67B2">
                  <w:pPr>
                    <w:jc w:val="right"/>
                    <w:rPr>
                      <w:rFonts w:cs="Times New Roman"/>
                      <w:i/>
                      <w:iCs/>
                      <w:sz w:val="18"/>
                      <w:szCs w:val="18"/>
                    </w:rPr>
                  </w:pPr>
                  <w:r w:rsidRPr="0011363D">
                    <w:rPr>
                      <w:rFonts w:cs="Times New Roman"/>
                      <w:i/>
                      <w:iCs/>
                      <w:sz w:val="18"/>
                      <w:szCs w:val="18"/>
                    </w:rPr>
                    <w:t>- valsts speciālā budžeta savstarpējie transferti</w:t>
                  </w:r>
                </w:p>
              </w:tc>
              <w:tc>
                <w:tcPr>
                  <w:tcW w:w="1765" w:type="dxa"/>
                </w:tcPr>
                <w:p w:rsidR="00E05C15" w:rsidRPr="0011363D" w:rsidRDefault="00E05C15" w:rsidP="00BE67B2">
                  <w:pPr>
                    <w:jc w:val="right"/>
                    <w:rPr>
                      <w:rFonts w:cs="Times New Roman"/>
                      <w:i/>
                      <w:sz w:val="18"/>
                      <w:szCs w:val="18"/>
                    </w:rPr>
                  </w:pPr>
                  <w:r w:rsidRPr="0011363D">
                    <w:rPr>
                      <w:rFonts w:cs="Times New Roman"/>
                      <w:i/>
                      <w:sz w:val="18"/>
                      <w:szCs w:val="18"/>
                    </w:rPr>
                    <w:t>12 259 652</w:t>
                  </w:r>
                </w:p>
              </w:tc>
              <w:tc>
                <w:tcPr>
                  <w:tcW w:w="1056" w:type="dxa"/>
                </w:tcPr>
                <w:p w:rsidR="00E05C15" w:rsidRPr="0011363D" w:rsidRDefault="00E05C15" w:rsidP="00BE67B2">
                  <w:pPr>
                    <w:jc w:val="right"/>
                    <w:rPr>
                      <w:rFonts w:cs="Times New Roman"/>
                      <w:sz w:val="18"/>
                      <w:szCs w:val="18"/>
                    </w:rPr>
                  </w:pPr>
                  <w:r w:rsidRPr="0011363D">
                    <w:rPr>
                      <w:rFonts w:cs="Times New Roman"/>
                      <w:sz w:val="18"/>
                      <w:szCs w:val="18"/>
                    </w:rPr>
                    <w:t xml:space="preserve"> 41 387</w:t>
                  </w:r>
                </w:p>
              </w:tc>
              <w:tc>
                <w:tcPr>
                  <w:tcW w:w="1377" w:type="dxa"/>
                </w:tcPr>
                <w:p w:rsidR="00E05C15" w:rsidRPr="0011363D" w:rsidRDefault="00E05C15" w:rsidP="00BE67B2">
                  <w:pPr>
                    <w:jc w:val="right"/>
                    <w:rPr>
                      <w:rFonts w:cs="Times New Roman"/>
                      <w:i/>
                      <w:sz w:val="18"/>
                      <w:szCs w:val="18"/>
                    </w:rPr>
                  </w:pPr>
                  <w:r w:rsidRPr="0011363D">
                    <w:rPr>
                      <w:rFonts w:cs="Times New Roman"/>
                      <w:i/>
                      <w:sz w:val="18"/>
                      <w:szCs w:val="18"/>
                    </w:rPr>
                    <w:t>12 414 373</w:t>
                  </w:r>
                </w:p>
              </w:tc>
              <w:tc>
                <w:tcPr>
                  <w:tcW w:w="1056" w:type="dxa"/>
                </w:tcPr>
                <w:p w:rsidR="00E05C15" w:rsidRPr="0011363D" w:rsidRDefault="00E05C15" w:rsidP="00BE67B2">
                  <w:pPr>
                    <w:jc w:val="right"/>
                    <w:rPr>
                      <w:rFonts w:cs="Times New Roman"/>
                      <w:sz w:val="18"/>
                      <w:szCs w:val="18"/>
                    </w:rPr>
                  </w:pPr>
                  <w:r w:rsidRPr="0011363D">
                    <w:rPr>
                      <w:rFonts w:cs="Times New Roman"/>
                      <w:sz w:val="18"/>
                      <w:szCs w:val="18"/>
                    </w:rPr>
                    <w:t xml:space="preserve"> 41 387</w:t>
                  </w:r>
                </w:p>
              </w:tc>
              <w:tc>
                <w:tcPr>
                  <w:tcW w:w="1317" w:type="dxa"/>
                </w:tcPr>
                <w:p w:rsidR="00E05C15" w:rsidRPr="0011363D" w:rsidRDefault="00E05C15" w:rsidP="00AF6A8F">
                  <w:pPr>
                    <w:jc w:val="right"/>
                    <w:rPr>
                      <w:rFonts w:cs="Times New Roman"/>
                      <w:i/>
                      <w:sz w:val="18"/>
                      <w:szCs w:val="18"/>
                    </w:rPr>
                  </w:pPr>
                  <w:r w:rsidRPr="0011363D">
                    <w:rPr>
                      <w:rFonts w:cs="Times New Roman"/>
                      <w:i/>
                      <w:sz w:val="18"/>
                      <w:szCs w:val="18"/>
                    </w:rPr>
                    <w:t>12 414 373</w:t>
                  </w:r>
                </w:p>
              </w:tc>
              <w:tc>
                <w:tcPr>
                  <w:tcW w:w="1059" w:type="dxa"/>
                </w:tcPr>
                <w:p w:rsidR="00E05C15" w:rsidRPr="0011363D" w:rsidRDefault="00E05C15" w:rsidP="00AF6A8F">
                  <w:pPr>
                    <w:jc w:val="right"/>
                    <w:rPr>
                      <w:rFonts w:cs="Times New Roman"/>
                      <w:sz w:val="18"/>
                      <w:szCs w:val="18"/>
                    </w:rPr>
                  </w:pPr>
                  <w:r w:rsidRPr="0011363D">
                    <w:rPr>
                      <w:rFonts w:cs="Times New Roman"/>
                      <w:sz w:val="18"/>
                      <w:szCs w:val="18"/>
                    </w:rPr>
                    <w:t xml:space="preserve"> 41 387</w:t>
                  </w:r>
                </w:p>
              </w:tc>
            </w:tr>
            <w:tr w:rsidR="0011363D" w:rsidRPr="0011363D" w:rsidTr="006F4C4B">
              <w:tc>
                <w:tcPr>
                  <w:tcW w:w="1730" w:type="dxa"/>
                </w:tcPr>
                <w:p w:rsidR="00E05C15" w:rsidRPr="0011363D" w:rsidRDefault="00E05C15" w:rsidP="00BE67B2">
                  <w:pPr>
                    <w:jc w:val="right"/>
                    <w:rPr>
                      <w:rFonts w:cs="Times New Roman"/>
                      <w:sz w:val="18"/>
                      <w:szCs w:val="18"/>
                    </w:rPr>
                  </w:pPr>
                  <w:r w:rsidRPr="0011363D">
                    <w:rPr>
                      <w:rFonts w:cs="Times New Roman"/>
                      <w:sz w:val="18"/>
                      <w:szCs w:val="18"/>
                    </w:rPr>
                    <w:t>2. Valsts speciālā budžeta izdevumi, t.sk.</w:t>
                  </w:r>
                </w:p>
              </w:tc>
              <w:tc>
                <w:tcPr>
                  <w:tcW w:w="1765" w:type="dxa"/>
                </w:tcPr>
                <w:p w:rsidR="00E05C15" w:rsidRPr="0011363D" w:rsidRDefault="00E05C15" w:rsidP="00BE67B2">
                  <w:pPr>
                    <w:jc w:val="right"/>
                    <w:rPr>
                      <w:rFonts w:cs="Times New Roman"/>
                      <w:sz w:val="18"/>
                      <w:szCs w:val="18"/>
                    </w:rPr>
                  </w:pPr>
                  <w:r w:rsidRPr="0011363D">
                    <w:rPr>
                      <w:rFonts w:cs="Times New Roman"/>
                      <w:sz w:val="18"/>
                      <w:szCs w:val="18"/>
                    </w:rPr>
                    <w:t>2 128 864 524</w:t>
                  </w:r>
                </w:p>
              </w:tc>
              <w:tc>
                <w:tcPr>
                  <w:tcW w:w="1056" w:type="dxa"/>
                </w:tcPr>
                <w:p w:rsidR="00E05C15" w:rsidRPr="0011363D" w:rsidRDefault="00E05C15" w:rsidP="00BE67B2">
                  <w:pPr>
                    <w:jc w:val="right"/>
                    <w:rPr>
                      <w:rFonts w:cs="Times New Roman"/>
                      <w:sz w:val="18"/>
                      <w:szCs w:val="18"/>
                    </w:rPr>
                  </w:pPr>
                  <w:r w:rsidRPr="0011363D">
                    <w:rPr>
                      <w:rFonts w:cs="Times New Roman"/>
                      <w:sz w:val="18"/>
                      <w:szCs w:val="18"/>
                    </w:rPr>
                    <w:t>0</w:t>
                  </w:r>
                </w:p>
              </w:tc>
              <w:tc>
                <w:tcPr>
                  <w:tcW w:w="1377" w:type="dxa"/>
                </w:tcPr>
                <w:p w:rsidR="00E05C15" w:rsidRPr="0011363D" w:rsidRDefault="00E05C15" w:rsidP="00BE67B2">
                  <w:pPr>
                    <w:jc w:val="right"/>
                    <w:rPr>
                      <w:rFonts w:cs="Times New Roman"/>
                      <w:sz w:val="18"/>
                      <w:szCs w:val="18"/>
                    </w:rPr>
                  </w:pPr>
                  <w:r w:rsidRPr="0011363D">
                    <w:rPr>
                      <w:rFonts w:cs="Times New Roman"/>
                      <w:sz w:val="18"/>
                      <w:szCs w:val="18"/>
                    </w:rPr>
                    <w:t>2 134 691 554</w:t>
                  </w:r>
                </w:p>
              </w:tc>
              <w:tc>
                <w:tcPr>
                  <w:tcW w:w="1056" w:type="dxa"/>
                </w:tcPr>
                <w:p w:rsidR="00E05C15" w:rsidRPr="0011363D" w:rsidRDefault="00E05C15" w:rsidP="00BE67B2">
                  <w:pPr>
                    <w:jc w:val="right"/>
                    <w:rPr>
                      <w:rFonts w:cs="Times New Roman"/>
                      <w:sz w:val="18"/>
                      <w:szCs w:val="18"/>
                    </w:rPr>
                  </w:pPr>
                  <w:r w:rsidRPr="0011363D">
                    <w:rPr>
                      <w:rFonts w:cs="Times New Roman"/>
                      <w:sz w:val="18"/>
                      <w:szCs w:val="18"/>
                    </w:rPr>
                    <w:t>0</w:t>
                  </w:r>
                </w:p>
              </w:tc>
              <w:tc>
                <w:tcPr>
                  <w:tcW w:w="1317" w:type="dxa"/>
                </w:tcPr>
                <w:p w:rsidR="00E05C15" w:rsidRPr="0011363D" w:rsidRDefault="00E05C15" w:rsidP="00AF6A8F">
                  <w:pPr>
                    <w:jc w:val="right"/>
                    <w:rPr>
                      <w:rFonts w:cs="Times New Roman"/>
                      <w:sz w:val="18"/>
                      <w:szCs w:val="18"/>
                    </w:rPr>
                  </w:pPr>
                  <w:r w:rsidRPr="0011363D">
                    <w:rPr>
                      <w:rFonts w:cs="Times New Roman"/>
                      <w:sz w:val="18"/>
                      <w:szCs w:val="18"/>
                    </w:rPr>
                    <w:t>2 134 691 554</w:t>
                  </w:r>
                </w:p>
              </w:tc>
              <w:tc>
                <w:tcPr>
                  <w:tcW w:w="1059" w:type="dxa"/>
                </w:tcPr>
                <w:p w:rsidR="00E05C15" w:rsidRPr="0011363D" w:rsidRDefault="00E05C15" w:rsidP="00AF6A8F">
                  <w:pPr>
                    <w:jc w:val="right"/>
                    <w:rPr>
                      <w:rFonts w:cs="Times New Roman"/>
                      <w:sz w:val="18"/>
                      <w:szCs w:val="18"/>
                    </w:rPr>
                  </w:pPr>
                  <w:r w:rsidRPr="0011363D">
                    <w:rPr>
                      <w:rFonts w:cs="Times New Roman"/>
                      <w:sz w:val="18"/>
                      <w:szCs w:val="18"/>
                    </w:rPr>
                    <w:t>0</w:t>
                  </w:r>
                </w:p>
              </w:tc>
            </w:tr>
            <w:tr w:rsidR="0011363D" w:rsidRPr="0011363D" w:rsidTr="00AF6A8F">
              <w:tc>
                <w:tcPr>
                  <w:tcW w:w="1730" w:type="dxa"/>
                  <w:vAlign w:val="center"/>
                </w:tcPr>
                <w:p w:rsidR="00E05C15" w:rsidRPr="0011363D" w:rsidRDefault="00E05C15" w:rsidP="00BE67B2">
                  <w:pPr>
                    <w:jc w:val="right"/>
                    <w:rPr>
                      <w:rFonts w:cs="Times New Roman"/>
                      <w:i/>
                      <w:iCs/>
                      <w:sz w:val="18"/>
                      <w:szCs w:val="18"/>
                    </w:rPr>
                  </w:pPr>
                  <w:r w:rsidRPr="0011363D">
                    <w:rPr>
                      <w:rFonts w:cs="Times New Roman"/>
                      <w:i/>
                      <w:iCs/>
                      <w:sz w:val="18"/>
                      <w:szCs w:val="18"/>
                    </w:rPr>
                    <w:t>Apakšprogrammā 04.01.00 „Valsts pensiju speciālais budžets, t.sk.</w:t>
                  </w:r>
                </w:p>
              </w:tc>
              <w:tc>
                <w:tcPr>
                  <w:tcW w:w="1765" w:type="dxa"/>
                </w:tcPr>
                <w:p w:rsidR="00E05C15" w:rsidRPr="0011363D" w:rsidRDefault="00E05C15" w:rsidP="00BE67B2">
                  <w:pPr>
                    <w:jc w:val="right"/>
                    <w:rPr>
                      <w:rFonts w:cs="Times New Roman"/>
                      <w:i/>
                      <w:sz w:val="18"/>
                      <w:szCs w:val="18"/>
                    </w:rPr>
                  </w:pPr>
                  <w:r w:rsidRPr="0011363D">
                    <w:rPr>
                      <w:rFonts w:cs="Times New Roman"/>
                      <w:i/>
                      <w:sz w:val="18"/>
                      <w:szCs w:val="18"/>
                    </w:rPr>
                    <w:t>1 663 203 469</w:t>
                  </w:r>
                </w:p>
              </w:tc>
              <w:tc>
                <w:tcPr>
                  <w:tcW w:w="1056" w:type="dxa"/>
                  <w:vAlign w:val="center"/>
                </w:tcPr>
                <w:p w:rsidR="00E05C15" w:rsidRPr="0011363D" w:rsidRDefault="00E05C15" w:rsidP="006F4C4B">
                  <w:pPr>
                    <w:jc w:val="center"/>
                    <w:rPr>
                      <w:rFonts w:cs="Times New Roman"/>
                      <w:i/>
                      <w:sz w:val="18"/>
                      <w:szCs w:val="18"/>
                    </w:rPr>
                  </w:pPr>
                  <w:r w:rsidRPr="0011363D">
                    <w:rPr>
                      <w:rFonts w:cs="Times New Roman"/>
                      <w:i/>
                      <w:sz w:val="18"/>
                      <w:szCs w:val="18"/>
                    </w:rPr>
                    <w:t>n/a***</w:t>
                  </w:r>
                </w:p>
              </w:tc>
              <w:tc>
                <w:tcPr>
                  <w:tcW w:w="1377" w:type="dxa"/>
                </w:tcPr>
                <w:p w:rsidR="00E05C15" w:rsidRPr="0011363D" w:rsidRDefault="00E05C15" w:rsidP="00BE67B2">
                  <w:pPr>
                    <w:jc w:val="right"/>
                    <w:rPr>
                      <w:rFonts w:cs="Times New Roman"/>
                      <w:i/>
                      <w:sz w:val="18"/>
                      <w:szCs w:val="18"/>
                    </w:rPr>
                  </w:pPr>
                  <w:r w:rsidRPr="0011363D">
                    <w:rPr>
                      <w:rFonts w:cs="Times New Roman"/>
                      <w:i/>
                      <w:sz w:val="18"/>
                      <w:szCs w:val="18"/>
                    </w:rPr>
                    <w:t>1 669 719 177</w:t>
                  </w:r>
                </w:p>
              </w:tc>
              <w:tc>
                <w:tcPr>
                  <w:tcW w:w="1056"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c>
                <w:tcPr>
                  <w:tcW w:w="1317" w:type="dxa"/>
                </w:tcPr>
                <w:p w:rsidR="00E05C15" w:rsidRPr="0011363D" w:rsidRDefault="00E05C15" w:rsidP="00AF6A8F">
                  <w:pPr>
                    <w:jc w:val="right"/>
                    <w:rPr>
                      <w:rFonts w:cs="Times New Roman"/>
                      <w:i/>
                      <w:sz w:val="18"/>
                      <w:szCs w:val="18"/>
                    </w:rPr>
                  </w:pPr>
                  <w:r w:rsidRPr="0011363D">
                    <w:rPr>
                      <w:rFonts w:cs="Times New Roman"/>
                      <w:i/>
                      <w:sz w:val="18"/>
                      <w:szCs w:val="18"/>
                    </w:rPr>
                    <w:t>1 669 719 177</w:t>
                  </w:r>
                </w:p>
              </w:tc>
              <w:tc>
                <w:tcPr>
                  <w:tcW w:w="1059"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r>
            <w:tr w:rsidR="0011363D" w:rsidRPr="0011363D" w:rsidTr="00AF6A8F">
              <w:tc>
                <w:tcPr>
                  <w:tcW w:w="1730" w:type="dxa"/>
                  <w:vAlign w:val="center"/>
                </w:tcPr>
                <w:p w:rsidR="00E05C15" w:rsidRPr="0011363D" w:rsidRDefault="00E05C15" w:rsidP="00BE67B2">
                  <w:pPr>
                    <w:jc w:val="right"/>
                    <w:rPr>
                      <w:rFonts w:cs="Times New Roman"/>
                      <w:i/>
                      <w:iCs/>
                      <w:sz w:val="18"/>
                      <w:szCs w:val="18"/>
                    </w:rPr>
                  </w:pPr>
                  <w:r w:rsidRPr="0011363D">
                    <w:rPr>
                      <w:rFonts w:cs="Times New Roman"/>
                      <w:i/>
                      <w:iCs/>
                      <w:sz w:val="18"/>
                      <w:szCs w:val="18"/>
                    </w:rPr>
                    <w:t>- valsts budžeta uzturēšanās izdevumu transferti no valsts speciālā budžeta uz valsts speciālo budžetu (EKK 7140)</w:t>
                  </w:r>
                </w:p>
              </w:tc>
              <w:tc>
                <w:tcPr>
                  <w:tcW w:w="1765" w:type="dxa"/>
                </w:tcPr>
                <w:p w:rsidR="00E05C15" w:rsidRPr="0011363D" w:rsidRDefault="00E05C15" w:rsidP="00BE67B2">
                  <w:pPr>
                    <w:jc w:val="right"/>
                    <w:rPr>
                      <w:rFonts w:cs="Times New Roman"/>
                      <w:i/>
                      <w:sz w:val="18"/>
                      <w:szCs w:val="18"/>
                    </w:rPr>
                  </w:pPr>
                  <w:r w:rsidRPr="0011363D">
                    <w:rPr>
                      <w:rFonts w:cs="Times New Roman"/>
                      <w:i/>
                      <w:sz w:val="18"/>
                      <w:szCs w:val="18"/>
                    </w:rPr>
                    <w:t>8 945 869</w:t>
                  </w:r>
                </w:p>
              </w:tc>
              <w:tc>
                <w:tcPr>
                  <w:tcW w:w="1056"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c>
                <w:tcPr>
                  <w:tcW w:w="1377" w:type="dxa"/>
                </w:tcPr>
                <w:p w:rsidR="00E05C15" w:rsidRPr="0011363D" w:rsidRDefault="00E05C15" w:rsidP="00BE67B2">
                  <w:pPr>
                    <w:jc w:val="right"/>
                    <w:rPr>
                      <w:rFonts w:cs="Times New Roman"/>
                      <w:i/>
                      <w:sz w:val="18"/>
                      <w:szCs w:val="18"/>
                    </w:rPr>
                  </w:pPr>
                  <w:r w:rsidRPr="0011363D">
                    <w:rPr>
                      <w:rFonts w:cs="Times New Roman"/>
                      <w:i/>
                      <w:sz w:val="18"/>
                      <w:szCs w:val="18"/>
                    </w:rPr>
                    <w:t>9 016 557</w:t>
                  </w:r>
                </w:p>
              </w:tc>
              <w:tc>
                <w:tcPr>
                  <w:tcW w:w="1056"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c>
                <w:tcPr>
                  <w:tcW w:w="1317" w:type="dxa"/>
                </w:tcPr>
                <w:p w:rsidR="00E05C15" w:rsidRPr="0011363D" w:rsidRDefault="00E05C15" w:rsidP="00AF6A8F">
                  <w:pPr>
                    <w:jc w:val="right"/>
                    <w:rPr>
                      <w:rFonts w:cs="Times New Roman"/>
                      <w:i/>
                      <w:sz w:val="18"/>
                      <w:szCs w:val="18"/>
                    </w:rPr>
                  </w:pPr>
                  <w:r w:rsidRPr="0011363D">
                    <w:rPr>
                      <w:rFonts w:cs="Times New Roman"/>
                      <w:i/>
                      <w:sz w:val="18"/>
                      <w:szCs w:val="18"/>
                    </w:rPr>
                    <w:t>9 016 557</w:t>
                  </w:r>
                </w:p>
              </w:tc>
              <w:tc>
                <w:tcPr>
                  <w:tcW w:w="1059"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r>
            <w:tr w:rsidR="0011363D" w:rsidRPr="0011363D" w:rsidTr="00AF6A8F">
              <w:tc>
                <w:tcPr>
                  <w:tcW w:w="1730" w:type="dxa"/>
                  <w:vAlign w:val="center"/>
                </w:tcPr>
                <w:p w:rsidR="00E05C15" w:rsidRPr="0011363D" w:rsidRDefault="00E05C15" w:rsidP="00BE67B2">
                  <w:pPr>
                    <w:jc w:val="right"/>
                    <w:rPr>
                      <w:rFonts w:cs="Times New Roman"/>
                      <w:i/>
                      <w:iCs/>
                      <w:sz w:val="18"/>
                      <w:szCs w:val="18"/>
                    </w:rPr>
                  </w:pPr>
                  <w:r w:rsidRPr="0011363D">
                    <w:rPr>
                      <w:rFonts w:cs="Times New Roman"/>
                      <w:i/>
                      <w:iCs/>
                      <w:sz w:val="18"/>
                      <w:szCs w:val="18"/>
                    </w:rPr>
                    <w:t>Apakšprogrammā 04.02.00 „Nodarbinātības speciālais budžets”, t.sk.</w:t>
                  </w:r>
                </w:p>
              </w:tc>
              <w:tc>
                <w:tcPr>
                  <w:tcW w:w="1765" w:type="dxa"/>
                </w:tcPr>
                <w:p w:rsidR="00E05C15" w:rsidRPr="0011363D" w:rsidRDefault="00E05C15" w:rsidP="00BE67B2">
                  <w:pPr>
                    <w:jc w:val="right"/>
                    <w:rPr>
                      <w:rFonts w:cs="Times New Roman"/>
                      <w:i/>
                      <w:sz w:val="18"/>
                      <w:szCs w:val="18"/>
                    </w:rPr>
                  </w:pPr>
                  <w:r w:rsidRPr="0011363D">
                    <w:rPr>
                      <w:rFonts w:cs="Times New Roman"/>
                      <w:i/>
                      <w:sz w:val="18"/>
                      <w:szCs w:val="18"/>
                    </w:rPr>
                    <w:t>104 073 067</w:t>
                  </w:r>
                </w:p>
              </w:tc>
              <w:tc>
                <w:tcPr>
                  <w:tcW w:w="1056"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c>
                <w:tcPr>
                  <w:tcW w:w="1377" w:type="dxa"/>
                </w:tcPr>
                <w:p w:rsidR="00E05C15" w:rsidRPr="0011363D" w:rsidRDefault="00E05C15" w:rsidP="00BE67B2">
                  <w:pPr>
                    <w:jc w:val="right"/>
                    <w:rPr>
                      <w:rFonts w:cs="Times New Roman"/>
                      <w:i/>
                      <w:sz w:val="18"/>
                      <w:szCs w:val="18"/>
                    </w:rPr>
                  </w:pPr>
                  <w:r w:rsidRPr="0011363D">
                    <w:rPr>
                      <w:rFonts w:cs="Times New Roman"/>
                      <w:i/>
                      <w:sz w:val="18"/>
                      <w:szCs w:val="18"/>
                    </w:rPr>
                    <w:t>99 130 800</w:t>
                  </w:r>
                </w:p>
              </w:tc>
              <w:tc>
                <w:tcPr>
                  <w:tcW w:w="1056"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c>
                <w:tcPr>
                  <w:tcW w:w="1317" w:type="dxa"/>
                </w:tcPr>
                <w:p w:rsidR="00E05C15" w:rsidRPr="0011363D" w:rsidRDefault="00E05C15" w:rsidP="00AF6A8F">
                  <w:pPr>
                    <w:jc w:val="right"/>
                    <w:rPr>
                      <w:rFonts w:cs="Times New Roman"/>
                      <w:i/>
                      <w:sz w:val="18"/>
                      <w:szCs w:val="18"/>
                    </w:rPr>
                  </w:pPr>
                  <w:r w:rsidRPr="0011363D">
                    <w:rPr>
                      <w:rFonts w:cs="Times New Roman"/>
                      <w:i/>
                      <w:sz w:val="18"/>
                      <w:szCs w:val="18"/>
                    </w:rPr>
                    <w:t>99 130 800</w:t>
                  </w:r>
                </w:p>
              </w:tc>
              <w:tc>
                <w:tcPr>
                  <w:tcW w:w="1059"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r>
            <w:tr w:rsidR="0011363D" w:rsidRPr="0011363D" w:rsidTr="00AF6A8F">
              <w:tc>
                <w:tcPr>
                  <w:tcW w:w="1730" w:type="dxa"/>
                  <w:vAlign w:val="center"/>
                </w:tcPr>
                <w:p w:rsidR="00E05C15" w:rsidRPr="0011363D" w:rsidRDefault="00E05C15" w:rsidP="00BE67B2">
                  <w:pPr>
                    <w:jc w:val="right"/>
                    <w:rPr>
                      <w:rFonts w:cs="Times New Roman"/>
                      <w:i/>
                      <w:iCs/>
                      <w:sz w:val="18"/>
                      <w:szCs w:val="18"/>
                    </w:rPr>
                  </w:pPr>
                  <w:r w:rsidRPr="0011363D">
                    <w:rPr>
                      <w:rFonts w:cs="Times New Roman"/>
                      <w:i/>
                      <w:iCs/>
                      <w:sz w:val="18"/>
                      <w:szCs w:val="18"/>
                    </w:rPr>
                    <w:t>- valsts budžeta uzturēšanās izdevumu transferti no valsts speciālā budžeta uz valsts speciālo budžetu (EKK 7140)</w:t>
                  </w:r>
                </w:p>
              </w:tc>
              <w:tc>
                <w:tcPr>
                  <w:tcW w:w="1765" w:type="dxa"/>
                </w:tcPr>
                <w:p w:rsidR="00E05C15" w:rsidRPr="0011363D" w:rsidRDefault="00E05C15" w:rsidP="00BE67B2">
                  <w:pPr>
                    <w:jc w:val="right"/>
                    <w:rPr>
                      <w:rFonts w:cs="Times New Roman"/>
                      <w:i/>
                      <w:sz w:val="18"/>
                      <w:szCs w:val="18"/>
                    </w:rPr>
                  </w:pPr>
                  <w:r w:rsidRPr="0011363D">
                    <w:rPr>
                      <w:rFonts w:cs="Times New Roman"/>
                      <w:i/>
                      <w:sz w:val="18"/>
                      <w:szCs w:val="18"/>
                    </w:rPr>
                    <w:t>16 391 710</w:t>
                  </w:r>
                </w:p>
              </w:tc>
              <w:tc>
                <w:tcPr>
                  <w:tcW w:w="1056"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c>
                <w:tcPr>
                  <w:tcW w:w="1377" w:type="dxa"/>
                </w:tcPr>
                <w:p w:rsidR="00E05C15" w:rsidRPr="0011363D" w:rsidRDefault="00E05C15" w:rsidP="00BE67B2">
                  <w:pPr>
                    <w:jc w:val="right"/>
                    <w:rPr>
                      <w:rFonts w:cs="Times New Roman"/>
                      <w:i/>
                      <w:sz w:val="18"/>
                      <w:szCs w:val="18"/>
                    </w:rPr>
                  </w:pPr>
                  <w:r w:rsidRPr="0011363D">
                    <w:rPr>
                      <w:rFonts w:cs="Times New Roman"/>
                      <w:i/>
                      <w:sz w:val="18"/>
                      <w:szCs w:val="18"/>
                    </w:rPr>
                    <w:t>15 604 761</w:t>
                  </w:r>
                </w:p>
              </w:tc>
              <w:tc>
                <w:tcPr>
                  <w:tcW w:w="1056"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c>
                <w:tcPr>
                  <w:tcW w:w="1317" w:type="dxa"/>
                </w:tcPr>
                <w:p w:rsidR="00E05C15" w:rsidRPr="0011363D" w:rsidRDefault="00E05C15" w:rsidP="00AF6A8F">
                  <w:pPr>
                    <w:jc w:val="right"/>
                    <w:rPr>
                      <w:rFonts w:cs="Times New Roman"/>
                      <w:i/>
                      <w:sz w:val="18"/>
                      <w:szCs w:val="18"/>
                    </w:rPr>
                  </w:pPr>
                  <w:r w:rsidRPr="0011363D">
                    <w:rPr>
                      <w:rFonts w:cs="Times New Roman"/>
                      <w:i/>
                      <w:sz w:val="18"/>
                      <w:szCs w:val="18"/>
                    </w:rPr>
                    <w:t>15 604 761</w:t>
                  </w:r>
                </w:p>
              </w:tc>
              <w:tc>
                <w:tcPr>
                  <w:tcW w:w="1059"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r>
            <w:tr w:rsidR="0011363D" w:rsidRPr="0011363D" w:rsidTr="00AF6A8F">
              <w:tc>
                <w:tcPr>
                  <w:tcW w:w="1730" w:type="dxa"/>
                  <w:vAlign w:val="center"/>
                </w:tcPr>
                <w:p w:rsidR="00E05C15" w:rsidRPr="0011363D" w:rsidRDefault="00E05C15" w:rsidP="00BE67B2">
                  <w:pPr>
                    <w:jc w:val="right"/>
                    <w:rPr>
                      <w:rFonts w:cs="Times New Roman"/>
                      <w:i/>
                      <w:iCs/>
                      <w:sz w:val="18"/>
                      <w:szCs w:val="18"/>
                    </w:rPr>
                  </w:pPr>
                  <w:r w:rsidRPr="0011363D">
                    <w:rPr>
                      <w:rFonts w:cs="Times New Roman"/>
                      <w:i/>
                      <w:iCs/>
                      <w:sz w:val="18"/>
                      <w:szCs w:val="18"/>
                    </w:rPr>
                    <w:t>Apakšprogrammā 04.03.00 „Darba negadījumu speciālais budžets”, t.sk.</w:t>
                  </w:r>
                </w:p>
              </w:tc>
              <w:tc>
                <w:tcPr>
                  <w:tcW w:w="1765" w:type="dxa"/>
                </w:tcPr>
                <w:p w:rsidR="00E05C15" w:rsidRPr="0011363D" w:rsidRDefault="00E05C15" w:rsidP="00BE67B2">
                  <w:pPr>
                    <w:jc w:val="right"/>
                    <w:rPr>
                      <w:rFonts w:cs="Times New Roman"/>
                      <w:i/>
                      <w:sz w:val="18"/>
                      <w:szCs w:val="18"/>
                    </w:rPr>
                  </w:pPr>
                  <w:r w:rsidRPr="0011363D">
                    <w:rPr>
                      <w:rFonts w:cs="Times New Roman"/>
                      <w:i/>
                      <w:sz w:val="18"/>
                      <w:szCs w:val="18"/>
                    </w:rPr>
                    <w:t>29 627 215</w:t>
                  </w:r>
                </w:p>
              </w:tc>
              <w:tc>
                <w:tcPr>
                  <w:tcW w:w="1056"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c>
                <w:tcPr>
                  <w:tcW w:w="1377" w:type="dxa"/>
                </w:tcPr>
                <w:p w:rsidR="00E05C15" w:rsidRPr="0011363D" w:rsidRDefault="00E05C15" w:rsidP="00BE67B2">
                  <w:pPr>
                    <w:jc w:val="right"/>
                    <w:rPr>
                      <w:rFonts w:cs="Times New Roman"/>
                      <w:i/>
                      <w:sz w:val="18"/>
                      <w:szCs w:val="18"/>
                    </w:rPr>
                  </w:pPr>
                  <w:r w:rsidRPr="0011363D">
                    <w:rPr>
                      <w:rFonts w:cs="Times New Roman"/>
                      <w:i/>
                      <w:sz w:val="18"/>
                      <w:szCs w:val="18"/>
                    </w:rPr>
                    <w:t>31 617 498</w:t>
                  </w:r>
                </w:p>
              </w:tc>
              <w:tc>
                <w:tcPr>
                  <w:tcW w:w="1056"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c>
                <w:tcPr>
                  <w:tcW w:w="1317" w:type="dxa"/>
                </w:tcPr>
                <w:p w:rsidR="00E05C15" w:rsidRPr="0011363D" w:rsidRDefault="00E05C15" w:rsidP="00AF6A8F">
                  <w:pPr>
                    <w:jc w:val="right"/>
                    <w:rPr>
                      <w:rFonts w:cs="Times New Roman"/>
                      <w:i/>
                      <w:sz w:val="18"/>
                      <w:szCs w:val="18"/>
                    </w:rPr>
                  </w:pPr>
                  <w:r w:rsidRPr="0011363D">
                    <w:rPr>
                      <w:rFonts w:cs="Times New Roman"/>
                      <w:i/>
                      <w:sz w:val="18"/>
                      <w:szCs w:val="18"/>
                    </w:rPr>
                    <w:t>31 617 498</w:t>
                  </w:r>
                </w:p>
              </w:tc>
              <w:tc>
                <w:tcPr>
                  <w:tcW w:w="1059"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r>
            <w:tr w:rsidR="0011363D" w:rsidRPr="0011363D" w:rsidTr="00AF6A8F">
              <w:tc>
                <w:tcPr>
                  <w:tcW w:w="1730" w:type="dxa"/>
                  <w:vAlign w:val="center"/>
                </w:tcPr>
                <w:p w:rsidR="00E05C15" w:rsidRPr="0011363D" w:rsidRDefault="00E05C15" w:rsidP="00BE67B2">
                  <w:pPr>
                    <w:jc w:val="right"/>
                    <w:rPr>
                      <w:rFonts w:cs="Times New Roman"/>
                      <w:i/>
                      <w:iCs/>
                      <w:sz w:val="18"/>
                      <w:szCs w:val="18"/>
                    </w:rPr>
                  </w:pPr>
                  <w:r w:rsidRPr="0011363D">
                    <w:rPr>
                      <w:rFonts w:cs="Times New Roman"/>
                      <w:i/>
                      <w:iCs/>
                      <w:sz w:val="18"/>
                      <w:szCs w:val="18"/>
                    </w:rPr>
                    <w:t xml:space="preserve">- valsts budžeta uzturēšanās izdevumu transferti no valsts speciālā budžeta uz valsts </w:t>
                  </w:r>
                  <w:r w:rsidRPr="0011363D">
                    <w:rPr>
                      <w:rFonts w:cs="Times New Roman"/>
                      <w:i/>
                      <w:iCs/>
                      <w:sz w:val="18"/>
                      <w:szCs w:val="18"/>
                    </w:rPr>
                    <w:lastRenderedPageBreak/>
                    <w:t>speciālo budžetu (EKK 7140)</w:t>
                  </w:r>
                </w:p>
              </w:tc>
              <w:tc>
                <w:tcPr>
                  <w:tcW w:w="1765" w:type="dxa"/>
                </w:tcPr>
                <w:p w:rsidR="00E05C15" w:rsidRPr="0011363D" w:rsidRDefault="00E05C15" w:rsidP="00BE67B2">
                  <w:pPr>
                    <w:jc w:val="right"/>
                    <w:rPr>
                      <w:rFonts w:cs="Times New Roman"/>
                      <w:i/>
                      <w:sz w:val="18"/>
                      <w:szCs w:val="18"/>
                    </w:rPr>
                  </w:pPr>
                  <w:r w:rsidRPr="0011363D">
                    <w:rPr>
                      <w:rFonts w:cs="Times New Roman"/>
                      <w:i/>
                      <w:sz w:val="18"/>
                      <w:szCs w:val="18"/>
                    </w:rPr>
                    <w:lastRenderedPageBreak/>
                    <w:t>2 249 612</w:t>
                  </w:r>
                </w:p>
              </w:tc>
              <w:tc>
                <w:tcPr>
                  <w:tcW w:w="1056"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c>
                <w:tcPr>
                  <w:tcW w:w="1377" w:type="dxa"/>
                </w:tcPr>
                <w:p w:rsidR="00E05C15" w:rsidRPr="0011363D" w:rsidRDefault="00E05C15" w:rsidP="00BE67B2">
                  <w:pPr>
                    <w:jc w:val="right"/>
                    <w:rPr>
                      <w:rFonts w:cs="Times New Roman"/>
                      <w:i/>
                      <w:sz w:val="18"/>
                      <w:szCs w:val="18"/>
                    </w:rPr>
                  </w:pPr>
                  <w:r w:rsidRPr="0011363D">
                    <w:rPr>
                      <w:rFonts w:cs="Times New Roman"/>
                      <w:i/>
                      <w:sz w:val="18"/>
                      <w:szCs w:val="18"/>
                    </w:rPr>
                    <w:t>2 401 652</w:t>
                  </w:r>
                </w:p>
              </w:tc>
              <w:tc>
                <w:tcPr>
                  <w:tcW w:w="1056"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c>
                <w:tcPr>
                  <w:tcW w:w="1317" w:type="dxa"/>
                </w:tcPr>
                <w:p w:rsidR="00E05C15" w:rsidRPr="0011363D" w:rsidRDefault="00E05C15" w:rsidP="00AF6A8F">
                  <w:pPr>
                    <w:jc w:val="right"/>
                    <w:rPr>
                      <w:rFonts w:cs="Times New Roman"/>
                      <w:i/>
                      <w:sz w:val="18"/>
                      <w:szCs w:val="18"/>
                    </w:rPr>
                  </w:pPr>
                  <w:r w:rsidRPr="0011363D">
                    <w:rPr>
                      <w:rFonts w:cs="Times New Roman"/>
                      <w:i/>
                      <w:sz w:val="18"/>
                      <w:szCs w:val="18"/>
                    </w:rPr>
                    <w:t>2 401 652</w:t>
                  </w:r>
                </w:p>
              </w:tc>
              <w:tc>
                <w:tcPr>
                  <w:tcW w:w="1059"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r>
            <w:tr w:rsidR="0011363D" w:rsidRPr="0011363D" w:rsidTr="00AF6A8F">
              <w:tc>
                <w:tcPr>
                  <w:tcW w:w="1730" w:type="dxa"/>
                  <w:vAlign w:val="center"/>
                </w:tcPr>
                <w:p w:rsidR="00E05C15" w:rsidRPr="0011363D" w:rsidRDefault="00E05C15" w:rsidP="00BE67B2">
                  <w:pPr>
                    <w:jc w:val="right"/>
                    <w:rPr>
                      <w:rFonts w:cs="Times New Roman"/>
                      <w:i/>
                      <w:iCs/>
                      <w:sz w:val="18"/>
                      <w:szCs w:val="18"/>
                    </w:rPr>
                  </w:pPr>
                  <w:r w:rsidRPr="0011363D">
                    <w:rPr>
                      <w:rFonts w:cs="Times New Roman"/>
                      <w:i/>
                      <w:iCs/>
                      <w:sz w:val="18"/>
                      <w:szCs w:val="18"/>
                    </w:rPr>
                    <w:lastRenderedPageBreak/>
                    <w:t>Apakšprogrammā 04.04.00 „Invaliditātes, maternitātes un slimību speciālais budžets”, t.sk.</w:t>
                  </w:r>
                </w:p>
              </w:tc>
              <w:tc>
                <w:tcPr>
                  <w:tcW w:w="1765" w:type="dxa"/>
                </w:tcPr>
                <w:p w:rsidR="00E05C15" w:rsidRPr="0011363D" w:rsidRDefault="00E05C15" w:rsidP="00BE67B2">
                  <w:pPr>
                    <w:jc w:val="right"/>
                    <w:rPr>
                      <w:rFonts w:cs="Times New Roman"/>
                      <w:i/>
                      <w:sz w:val="18"/>
                      <w:szCs w:val="18"/>
                    </w:rPr>
                  </w:pPr>
                  <w:r w:rsidRPr="0011363D">
                    <w:rPr>
                      <w:rFonts w:cs="Times New Roman"/>
                      <w:i/>
                      <w:sz w:val="18"/>
                      <w:szCs w:val="18"/>
                    </w:rPr>
                    <w:t>430 606 228</w:t>
                  </w:r>
                </w:p>
              </w:tc>
              <w:tc>
                <w:tcPr>
                  <w:tcW w:w="1056"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c>
                <w:tcPr>
                  <w:tcW w:w="1377" w:type="dxa"/>
                </w:tcPr>
                <w:p w:rsidR="00E05C15" w:rsidRPr="0011363D" w:rsidRDefault="00E05C15" w:rsidP="00BE67B2">
                  <w:pPr>
                    <w:jc w:val="right"/>
                    <w:rPr>
                      <w:rFonts w:cs="Times New Roman"/>
                      <w:i/>
                      <w:sz w:val="18"/>
                      <w:szCs w:val="18"/>
                    </w:rPr>
                  </w:pPr>
                  <w:r w:rsidRPr="0011363D">
                    <w:rPr>
                      <w:rFonts w:cs="Times New Roman"/>
                      <w:i/>
                      <w:sz w:val="18"/>
                      <w:szCs w:val="18"/>
                    </w:rPr>
                    <w:t>435 335 794</w:t>
                  </w:r>
                </w:p>
              </w:tc>
              <w:tc>
                <w:tcPr>
                  <w:tcW w:w="1056"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c>
                <w:tcPr>
                  <w:tcW w:w="1317" w:type="dxa"/>
                </w:tcPr>
                <w:p w:rsidR="00E05C15" w:rsidRPr="0011363D" w:rsidRDefault="00E05C15" w:rsidP="00AF6A8F">
                  <w:pPr>
                    <w:jc w:val="right"/>
                    <w:rPr>
                      <w:rFonts w:cs="Times New Roman"/>
                      <w:i/>
                      <w:sz w:val="18"/>
                      <w:szCs w:val="18"/>
                    </w:rPr>
                  </w:pPr>
                  <w:r w:rsidRPr="0011363D">
                    <w:rPr>
                      <w:rFonts w:cs="Times New Roman"/>
                      <w:i/>
                      <w:sz w:val="18"/>
                      <w:szCs w:val="18"/>
                    </w:rPr>
                    <w:t>435 335 794</w:t>
                  </w:r>
                </w:p>
              </w:tc>
              <w:tc>
                <w:tcPr>
                  <w:tcW w:w="1059"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r>
            <w:tr w:rsidR="0011363D" w:rsidRPr="0011363D" w:rsidTr="00AF6A8F">
              <w:tc>
                <w:tcPr>
                  <w:tcW w:w="1730" w:type="dxa"/>
                  <w:vAlign w:val="center"/>
                </w:tcPr>
                <w:p w:rsidR="00E05C15" w:rsidRPr="0011363D" w:rsidRDefault="00E05C15" w:rsidP="00BE67B2">
                  <w:pPr>
                    <w:jc w:val="right"/>
                    <w:rPr>
                      <w:rFonts w:cs="Times New Roman"/>
                      <w:i/>
                      <w:iCs/>
                      <w:sz w:val="18"/>
                      <w:szCs w:val="18"/>
                    </w:rPr>
                  </w:pPr>
                  <w:r w:rsidRPr="0011363D">
                    <w:rPr>
                      <w:rFonts w:cs="Times New Roman"/>
                      <w:i/>
                      <w:iCs/>
                      <w:sz w:val="18"/>
                      <w:szCs w:val="18"/>
                    </w:rPr>
                    <w:t>- valsts budžeta uzturēšanās izdevumu transferti no valsts speciālā budžeta uz valsts speciālo budžetu (EKK 7140)</w:t>
                  </w:r>
                </w:p>
              </w:tc>
              <w:tc>
                <w:tcPr>
                  <w:tcW w:w="1765" w:type="dxa"/>
                </w:tcPr>
                <w:p w:rsidR="00E05C15" w:rsidRPr="0011363D" w:rsidRDefault="00E05C15" w:rsidP="00BE67B2">
                  <w:pPr>
                    <w:jc w:val="right"/>
                    <w:rPr>
                      <w:rFonts w:cs="Times New Roman"/>
                      <w:i/>
                      <w:sz w:val="18"/>
                      <w:szCs w:val="18"/>
                    </w:rPr>
                  </w:pPr>
                  <w:r w:rsidRPr="0011363D">
                    <w:rPr>
                      <w:rFonts w:cs="Times New Roman"/>
                      <w:i/>
                      <w:sz w:val="18"/>
                      <w:szCs w:val="18"/>
                    </w:rPr>
                    <w:t>85 711 683</w:t>
                  </w:r>
                </w:p>
              </w:tc>
              <w:tc>
                <w:tcPr>
                  <w:tcW w:w="1056"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c>
                <w:tcPr>
                  <w:tcW w:w="1377" w:type="dxa"/>
                </w:tcPr>
                <w:p w:rsidR="00E05C15" w:rsidRPr="0011363D" w:rsidRDefault="00E05C15" w:rsidP="00BE67B2">
                  <w:pPr>
                    <w:jc w:val="right"/>
                    <w:rPr>
                      <w:rFonts w:cs="Times New Roman"/>
                      <w:i/>
                      <w:sz w:val="18"/>
                      <w:szCs w:val="18"/>
                    </w:rPr>
                  </w:pPr>
                  <w:r w:rsidRPr="0011363D">
                    <w:rPr>
                      <w:rFonts w:cs="Times New Roman"/>
                      <w:i/>
                      <w:sz w:val="18"/>
                      <w:szCs w:val="18"/>
                    </w:rPr>
                    <w:t>88 937 863</w:t>
                  </w:r>
                </w:p>
              </w:tc>
              <w:tc>
                <w:tcPr>
                  <w:tcW w:w="1056"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c>
                <w:tcPr>
                  <w:tcW w:w="1317" w:type="dxa"/>
                </w:tcPr>
                <w:p w:rsidR="00E05C15" w:rsidRPr="0011363D" w:rsidRDefault="00E05C15" w:rsidP="00AF6A8F">
                  <w:pPr>
                    <w:jc w:val="right"/>
                    <w:rPr>
                      <w:rFonts w:cs="Times New Roman"/>
                      <w:i/>
                      <w:sz w:val="18"/>
                      <w:szCs w:val="18"/>
                    </w:rPr>
                  </w:pPr>
                  <w:r w:rsidRPr="0011363D">
                    <w:rPr>
                      <w:rFonts w:cs="Times New Roman"/>
                      <w:i/>
                      <w:sz w:val="18"/>
                      <w:szCs w:val="18"/>
                    </w:rPr>
                    <w:t>88 937 863</w:t>
                  </w:r>
                </w:p>
              </w:tc>
              <w:tc>
                <w:tcPr>
                  <w:tcW w:w="1059" w:type="dxa"/>
                  <w:vAlign w:val="center"/>
                </w:tcPr>
                <w:p w:rsidR="00E05C15" w:rsidRPr="0011363D" w:rsidRDefault="00E05C15" w:rsidP="00AF6A8F">
                  <w:pPr>
                    <w:jc w:val="center"/>
                    <w:rPr>
                      <w:rFonts w:cs="Times New Roman"/>
                      <w:i/>
                      <w:sz w:val="18"/>
                      <w:szCs w:val="18"/>
                    </w:rPr>
                  </w:pPr>
                  <w:r w:rsidRPr="0011363D">
                    <w:rPr>
                      <w:rFonts w:cs="Times New Roman"/>
                      <w:i/>
                      <w:sz w:val="18"/>
                      <w:szCs w:val="18"/>
                    </w:rPr>
                    <w:t>n/a***</w:t>
                  </w:r>
                </w:p>
              </w:tc>
            </w:tr>
            <w:tr w:rsidR="0011363D" w:rsidRPr="0011363D" w:rsidTr="006F4C4B">
              <w:tc>
                <w:tcPr>
                  <w:tcW w:w="1730" w:type="dxa"/>
                </w:tcPr>
                <w:p w:rsidR="00E05C15" w:rsidRPr="0011363D" w:rsidRDefault="00E05C15" w:rsidP="00BE67B2">
                  <w:pPr>
                    <w:jc w:val="right"/>
                    <w:rPr>
                      <w:rFonts w:cs="Times New Roman"/>
                      <w:sz w:val="18"/>
                      <w:szCs w:val="18"/>
                    </w:rPr>
                  </w:pPr>
                  <w:r w:rsidRPr="0011363D">
                    <w:rPr>
                      <w:rFonts w:cs="Times New Roman"/>
                      <w:sz w:val="18"/>
                      <w:szCs w:val="18"/>
                    </w:rPr>
                    <w:t>3. Finansiālā ietekme</w:t>
                  </w:r>
                </w:p>
              </w:tc>
              <w:tc>
                <w:tcPr>
                  <w:tcW w:w="1765" w:type="dxa"/>
                </w:tcPr>
                <w:p w:rsidR="00E05C15" w:rsidRPr="0011363D" w:rsidRDefault="00E05C15" w:rsidP="00BE67B2">
                  <w:pPr>
                    <w:jc w:val="right"/>
                    <w:rPr>
                      <w:rFonts w:cs="Times New Roman"/>
                      <w:sz w:val="18"/>
                      <w:szCs w:val="18"/>
                    </w:rPr>
                  </w:pPr>
                  <w:r w:rsidRPr="0011363D">
                    <w:rPr>
                      <w:rFonts w:cs="Times New Roman"/>
                      <w:sz w:val="18"/>
                      <w:szCs w:val="18"/>
                    </w:rPr>
                    <w:t>119 598 855</w:t>
                  </w:r>
                </w:p>
              </w:tc>
              <w:tc>
                <w:tcPr>
                  <w:tcW w:w="1056" w:type="dxa"/>
                </w:tcPr>
                <w:p w:rsidR="00E05C15" w:rsidRPr="0011363D" w:rsidRDefault="00E05C15" w:rsidP="00BE67B2">
                  <w:pPr>
                    <w:jc w:val="right"/>
                    <w:rPr>
                      <w:rFonts w:cs="Times New Roman"/>
                      <w:sz w:val="18"/>
                      <w:szCs w:val="18"/>
                    </w:rPr>
                  </w:pPr>
                  <w:r w:rsidRPr="0011363D">
                    <w:rPr>
                      <w:rFonts w:cs="Times New Roman"/>
                      <w:sz w:val="18"/>
                      <w:szCs w:val="18"/>
                    </w:rPr>
                    <w:t>- 41 387</w:t>
                  </w:r>
                </w:p>
              </w:tc>
              <w:tc>
                <w:tcPr>
                  <w:tcW w:w="1377" w:type="dxa"/>
                </w:tcPr>
                <w:p w:rsidR="00E05C15" w:rsidRPr="0011363D" w:rsidRDefault="00E05C15" w:rsidP="00BE67B2">
                  <w:pPr>
                    <w:jc w:val="right"/>
                    <w:rPr>
                      <w:rFonts w:cs="Times New Roman"/>
                      <w:sz w:val="18"/>
                      <w:szCs w:val="18"/>
                    </w:rPr>
                  </w:pPr>
                  <w:r w:rsidRPr="0011363D">
                    <w:rPr>
                      <w:rFonts w:cs="Times New Roman"/>
                      <w:sz w:val="18"/>
                      <w:szCs w:val="18"/>
                    </w:rPr>
                    <w:t>154 614 787</w:t>
                  </w:r>
                </w:p>
              </w:tc>
              <w:tc>
                <w:tcPr>
                  <w:tcW w:w="1056" w:type="dxa"/>
                </w:tcPr>
                <w:p w:rsidR="00E05C15" w:rsidRPr="0011363D" w:rsidRDefault="00E05C15" w:rsidP="00BE67B2">
                  <w:pPr>
                    <w:jc w:val="right"/>
                    <w:rPr>
                      <w:rFonts w:cs="Times New Roman"/>
                      <w:sz w:val="18"/>
                      <w:szCs w:val="18"/>
                    </w:rPr>
                  </w:pPr>
                  <w:r w:rsidRPr="0011363D">
                    <w:rPr>
                      <w:rFonts w:cs="Times New Roman"/>
                      <w:sz w:val="18"/>
                      <w:szCs w:val="18"/>
                    </w:rPr>
                    <w:t>- 41 387</w:t>
                  </w:r>
                </w:p>
              </w:tc>
              <w:tc>
                <w:tcPr>
                  <w:tcW w:w="1317" w:type="dxa"/>
                </w:tcPr>
                <w:p w:rsidR="00E05C15" w:rsidRPr="0011363D" w:rsidRDefault="00E05C15" w:rsidP="00AF6A8F">
                  <w:pPr>
                    <w:jc w:val="right"/>
                    <w:rPr>
                      <w:rFonts w:cs="Times New Roman"/>
                      <w:sz w:val="18"/>
                      <w:szCs w:val="18"/>
                    </w:rPr>
                  </w:pPr>
                  <w:r w:rsidRPr="0011363D">
                    <w:rPr>
                      <w:rFonts w:cs="Times New Roman"/>
                      <w:sz w:val="18"/>
                      <w:szCs w:val="18"/>
                    </w:rPr>
                    <w:t>154 614 787</w:t>
                  </w:r>
                </w:p>
              </w:tc>
              <w:tc>
                <w:tcPr>
                  <w:tcW w:w="1059" w:type="dxa"/>
                </w:tcPr>
                <w:p w:rsidR="00E05C15" w:rsidRPr="0011363D" w:rsidRDefault="00E05C15" w:rsidP="00AF6A8F">
                  <w:pPr>
                    <w:jc w:val="right"/>
                    <w:rPr>
                      <w:rFonts w:cs="Times New Roman"/>
                      <w:sz w:val="18"/>
                      <w:szCs w:val="18"/>
                    </w:rPr>
                  </w:pPr>
                  <w:r w:rsidRPr="0011363D">
                    <w:rPr>
                      <w:rFonts w:cs="Times New Roman"/>
                      <w:sz w:val="18"/>
                      <w:szCs w:val="18"/>
                    </w:rPr>
                    <w:t>- 41 387</w:t>
                  </w:r>
                </w:p>
              </w:tc>
            </w:tr>
            <w:tr w:rsidR="00982188" w:rsidRPr="0011363D" w:rsidTr="00982188">
              <w:tc>
                <w:tcPr>
                  <w:tcW w:w="1730" w:type="dxa"/>
                </w:tcPr>
                <w:p w:rsidR="00982188" w:rsidRPr="0011363D" w:rsidRDefault="00982188" w:rsidP="00BE67B2">
                  <w:pPr>
                    <w:jc w:val="right"/>
                    <w:rPr>
                      <w:rFonts w:cs="Times New Roman"/>
                      <w:sz w:val="18"/>
                      <w:szCs w:val="18"/>
                    </w:rPr>
                  </w:pPr>
                  <w:r w:rsidRPr="0011363D">
                    <w:rPr>
                      <w:rFonts w:cs="Times New Roman"/>
                      <w:sz w:val="18"/>
                      <w:szCs w:val="18"/>
                    </w:rPr>
                    <w:t>4. Finanšu līdzekļi papildu izdevumu finansēšanai (kompensējošu izdevumu samazinājumu norāda ar "+" zīmi), t.sk.</w:t>
                  </w:r>
                </w:p>
              </w:tc>
              <w:tc>
                <w:tcPr>
                  <w:tcW w:w="1765" w:type="dxa"/>
                  <w:vAlign w:val="center"/>
                </w:tcPr>
                <w:p w:rsidR="00982188" w:rsidRPr="0011363D" w:rsidRDefault="00982188" w:rsidP="00BE67B2">
                  <w:pPr>
                    <w:jc w:val="center"/>
                    <w:rPr>
                      <w:rFonts w:cs="Times New Roman"/>
                      <w:sz w:val="18"/>
                      <w:szCs w:val="18"/>
                    </w:rPr>
                  </w:pPr>
                </w:p>
                <w:p w:rsidR="00982188" w:rsidRPr="0011363D" w:rsidRDefault="00982188" w:rsidP="00BE67B2">
                  <w:pPr>
                    <w:jc w:val="center"/>
                    <w:rPr>
                      <w:rFonts w:cs="Times New Roman"/>
                      <w:sz w:val="18"/>
                      <w:szCs w:val="18"/>
                    </w:rPr>
                  </w:pPr>
                  <w:r w:rsidRPr="0011363D">
                    <w:rPr>
                      <w:rFonts w:cs="Times New Roman"/>
                      <w:sz w:val="18"/>
                      <w:szCs w:val="18"/>
                    </w:rPr>
                    <w:t>x</w:t>
                  </w:r>
                </w:p>
              </w:tc>
              <w:tc>
                <w:tcPr>
                  <w:tcW w:w="1056" w:type="dxa"/>
                  <w:vAlign w:val="center"/>
                </w:tcPr>
                <w:p w:rsidR="00982188" w:rsidRPr="000F15EF" w:rsidRDefault="00982188" w:rsidP="00982188">
                  <w:pPr>
                    <w:jc w:val="right"/>
                    <w:rPr>
                      <w:rFonts w:cs="Times New Roman"/>
                      <w:sz w:val="18"/>
                      <w:szCs w:val="18"/>
                    </w:rPr>
                  </w:pPr>
                  <w:r>
                    <w:rPr>
                      <w:rFonts w:cs="Times New Roman"/>
                      <w:sz w:val="18"/>
                      <w:szCs w:val="18"/>
                    </w:rPr>
                    <w:t>0</w:t>
                  </w:r>
                </w:p>
              </w:tc>
              <w:tc>
                <w:tcPr>
                  <w:tcW w:w="1377" w:type="dxa"/>
                  <w:vAlign w:val="center"/>
                </w:tcPr>
                <w:p w:rsidR="00982188" w:rsidRPr="0011363D" w:rsidRDefault="00982188" w:rsidP="00982188">
                  <w:pPr>
                    <w:jc w:val="center"/>
                    <w:rPr>
                      <w:rFonts w:cs="Times New Roman"/>
                      <w:sz w:val="18"/>
                      <w:szCs w:val="18"/>
                    </w:rPr>
                  </w:pPr>
                  <w:r w:rsidRPr="0011363D">
                    <w:rPr>
                      <w:rFonts w:cs="Times New Roman"/>
                      <w:sz w:val="18"/>
                      <w:szCs w:val="18"/>
                    </w:rPr>
                    <w:t>x</w:t>
                  </w:r>
                </w:p>
              </w:tc>
              <w:tc>
                <w:tcPr>
                  <w:tcW w:w="1056" w:type="dxa"/>
                  <w:vAlign w:val="center"/>
                </w:tcPr>
                <w:p w:rsidR="00982188" w:rsidRPr="0011363D" w:rsidRDefault="00982188" w:rsidP="00982188">
                  <w:pPr>
                    <w:jc w:val="right"/>
                    <w:rPr>
                      <w:rFonts w:cs="Times New Roman"/>
                      <w:sz w:val="18"/>
                      <w:szCs w:val="18"/>
                    </w:rPr>
                  </w:pPr>
                  <w:r>
                    <w:rPr>
                      <w:rFonts w:cs="Times New Roman"/>
                      <w:sz w:val="18"/>
                      <w:szCs w:val="18"/>
                    </w:rPr>
                    <w:t>0</w:t>
                  </w:r>
                </w:p>
              </w:tc>
              <w:tc>
                <w:tcPr>
                  <w:tcW w:w="1317" w:type="dxa"/>
                  <w:vAlign w:val="center"/>
                </w:tcPr>
                <w:p w:rsidR="00982188" w:rsidRPr="0011363D" w:rsidRDefault="00982188" w:rsidP="00982188">
                  <w:pPr>
                    <w:jc w:val="center"/>
                    <w:rPr>
                      <w:rFonts w:cs="Times New Roman"/>
                      <w:sz w:val="18"/>
                      <w:szCs w:val="18"/>
                    </w:rPr>
                  </w:pPr>
                  <w:r w:rsidRPr="0011363D">
                    <w:rPr>
                      <w:rFonts w:cs="Times New Roman"/>
                      <w:sz w:val="18"/>
                      <w:szCs w:val="18"/>
                    </w:rPr>
                    <w:t>x</w:t>
                  </w:r>
                </w:p>
              </w:tc>
              <w:tc>
                <w:tcPr>
                  <w:tcW w:w="1059" w:type="dxa"/>
                  <w:vAlign w:val="center"/>
                </w:tcPr>
                <w:p w:rsidR="00982188" w:rsidRPr="0011363D" w:rsidRDefault="00982188" w:rsidP="00982188">
                  <w:pPr>
                    <w:jc w:val="right"/>
                    <w:rPr>
                      <w:rFonts w:cs="Times New Roman"/>
                      <w:sz w:val="18"/>
                      <w:szCs w:val="18"/>
                    </w:rPr>
                  </w:pPr>
                  <w:r>
                    <w:rPr>
                      <w:rFonts w:cs="Times New Roman"/>
                      <w:sz w:val="18"/>
                      <w:szCs w:val="18"/>
                    </w:rPr>
                    <w:t>0</w:t>
                  </w:r>
                </w:p>
              </w:tc>
            </w:tr>
            <w:tr w:rsidR="0011363D" w:rsidRPr="0011363D" w:rsidTr="006F4C4B">
              <w:tc>
                <w:tcPr>
                  <w:tcW w:w="1730" w:type="dxa"/>
                </w:tcPr>
                <w:p w:rsidR="00E05C15" w:rsidRPr="0011363D" w:rsidRDefault="00E05C15" w:rsidP="00BE67B2">
                  <w:pPr>
                    <w:jc w:val="right"/>
                    <w:rPr>
                      <w:rFonts w:cs="Times New Roman"/>
                      <w:sz w:val="18"/>
                      <w:szCs w:val="18"/>
                    </w:rPr>
                  </w:pPr>
                  <w:r w:rsidRPr="0011363D">
                    <w:rPr>
                      <w:rFonts w:cs="Times New Roman"/>
                      <w:sz w:val="18"/>
                      <w:szCs w:val="18"/>
                    </w:rPr>
                    <w:t>5. Precizēta finansiālā ietekme</w:t>
                  </w:r>
                </w:p>
              </w:tc>
              <w:tc>
                <w:tcPr>
                  <w:tcW w:w="1765" w:type="dxa"/>
                </w:tcPr>
                <w:p w:rsidR="00E05C15" w:rsidRPr="0011363D" w:rsidRDefault="00E05C15" w:rsidP="00BE67B2">
                  <w:pPr>
                    <w:jc w:val="right"/>
                    <w:rPr>
                      <w:rFonts w:cs="Times New Roman"/>
                      <w:sz w:val="18"/>
                      <w:szCs w:val="18"/>
                    </w:rPr>
                  </w:pPr>
                  <w:r w:rsidRPr="0011363D">
                    <w:rPr>
                      <w:rFonts w:cs="Times New Roman"/>
                      <w:sz w:val="18"/>
                      <w:szCs w:val="18"/>
                    </w:rPr>
                    <w:t>119 598 855</w:t>
                  </w:r>
                </w:p>
              </w:tc>
              <w:tc>
                <w:tcPr>
                  <w:tcW w:w="1056" w:type="dxa"/>
                </w:tcPr>
                <w:p w:rsidR="00E05C15" w:rsidRPr="0011363D" w:rsidRDefault="00E05C15" w:rsidP="00BE67B2">
                  <w:pPr>
                    <w:jc w:val="right"/>
                    <w:rPr>
                      <w:rFonts w:cs="Times New Roman"/>
                      <w:sz w:val="18"/>
                      <w:szCs w:val="18"/>
                    </w:rPr>
                  </w:pPr>
                  <w:r w:rsidRPr="0011363D">
                    <w:rPr>
                      <w:rFonts w:cs="Times New Roman"/>
                      <w:sz w:val="18"/>
                      <w:szCs w:val="18"/>
                    </w:rPr>
                    <w:t>0</w:t>
                  </w:r>
                </w:p>
              </w:tc>
              <w:tc>
                <w:tcPr>
                  <w:tcW w:w="1377" w:type="dxa"/>
                </w:tcPr>
                <w:p w:rsidR="00E05C15" w:rsidRPr="0011363D" w:rsidRDefault="00E05C15" w:rsidP="00BE67B2">
                  <w:pPr>
                    <w:jc w:val="right"/>
                    <w:rPr>
                      <w:rFonts w:cs="Times New Roman"/>
                      <w:sz w:val="18"/>
                      <w:szCs w:val="18"/>
                    </w:rPr>
                  </w:pPr>
                  <w:r w:rsidRPr="0011363D">
                    <w:rPr>
                      <w:rFonts w:cs="Times New Roman"/>
                      <w:sz w:val="18"/>
                      <w:szCs w:val="18"/>
                    </w:rPr>
                    <w:t>154 614 787</w:t>
                  </w:r>
                </w:p>
              </w:tc>
              <w:tc>
                <w:tcPr>
                  <w:tcW w:w="1056" w:type="dxa"/>
                </w:tcPr>
                <w:p w:rsidR="00E05C15" w:rsidRPr="0011363D" w:rsidRDefault="00E05C15" w:rsidP="00BE67B2">
                  <w:pPr>
                    <w:jc w:val="right"/>
                    <w:rPr>
                      <w:rFonts w:cs="Times New Roman"/>
                      <w:sz w:val="18"/>
                      <w:szCs w:val="18"/>
                    </w:rPr>
                  </w:pPr>
                  <w:r w:rsidRPr="0011363D">
                    <w:rPr>
                      <w:rFonts w:cs="Times New Roman"/>
                      <w:sz w:val="18"/>
                      <w:szCs w:val="18"/>
                    </w:rPr>
                    <w:t>0</w:t>
                  </w:r>
                </w:p>
              </w:tc>
              <w:tc>
                <w:tcPr>
                  <w:tcW w:w="1317" w:type="dxa"/>
                </w:tcPr>
                <w:p w:rsidR="00E05C15" w:rsidRPr="0011363D" w:rsidRDefault="00E05C15" w:rsidP="00AF6A8F">
                  <w:pPr>
                    <w:jc w:val="right"/>
                    <w:rPr>
                      <w:rFonts w:cs="Times New Roman"/>
                      <w:sz w:val="18"/>
                      <w:szCs w:val="18"/>
                    </w:rPr>
                  </w:pPr>
                  <w:r w:rsidRPr="0011363D">
                    <w:rPr>
                      <w:rFonts w:cs="Times New Roman"/>
                      <w:sz w:val="18"/>
                      <w:szCs w:val="18"/>
                    </w:rPr>
                    <w:t>154 614 787</w:t>
                  </w:r>
                </w:p>
              </w:tc>
              <w:tc>
                <w:tcPr>
                  <w:tcW w:w="1059" w:type="dxa"/>
                </w:tcPr>
                <w:p w:rsidR="00E05C15" w:rsidRPr="0011363D" w:rsidRDefault="00E05C15" w:rsidP="00AF6A8F">
                  <w:pPr>
                    <w:jc w:val="right"/>
                    <w:rPr>
                      <w:rFonts w:cs="Times New Roman"/>
                      <w:sz w:val="18"/>
                      <w:szCs w:val="18"/>
                    </w:rPr>
                  </w:pPr>
                  <w:r w:rsidRPr="0011363D">
                    <w:rPr>
                      <w:rFonts w:cs="Times New Roman"/>
                      <w:sz w:val="18"/>
                      <w:szCs w:val="18"/>
                    </w:rPr>
                    <w:t>0</w:t>
                  </w:r>
                </w:p>
              </w:tc>
            </w:tr>
          </w:tbl>
          <w:p w:rsidR="00E05C15" w:rsidRPr="0011363D" w:rsidRDefault="00E05C15" w:rsidP="00592728">
            <w:pPr>
              <w:pStyle w:val="Heading3"/>
              <w:spacing w:before="0" w:beforeAutospacing="0" w:after="0" w:afterAutospacing="0"/>
              <w:rPr>
                <w:b w:val="0"/>
                <w:i/>
                <w:sz w:val="18"/>
                <w:szCs w:val="18"/>
                <w:shd w:val="clear" w:color="auto" w:fill="FEFEFE"/>
              </w:rPr>
            </w:pPr>
            <w:r w:rsidRPr="0011363D">
              <w:rPr>
                <w:b w:val="0"/>
                <w:i/>
                <w:sz w:val="18"/>
                <w:szCs w:val="18"/>
              </w:rPr>
              <w:t>* VTIL – likums „</w:t>
            </w:r>
            <w:r w:rsidRPr="0011363D">
              <w:rPr>
                <w:b w:val="0"/>
                <w:i/>
                <w:sz w:val="18"/>
                <w:szCs w:val="18"/>
                <w:shd w:val="clear" w:color="auto" w:fill="FEFEFE"/>
              </w:rPr>
              <w:t>Par vidēja termiņa budžeta ietvaru 2014., 2015. un 2016.gadam”.</w:t>
            </w:r>
          </w:p>
          <w:p w:rsidR="00E05C15" w:rsidRPr="0011363D" w:rsidRDefault="00E05C15" w:rsidP="00592728">
            <w:pPr>
              <w:pStyle w:val="Heading3"/>
              <w:spacing w:before="0" w:beforeAutospacing="0" w:after="0" w:afterAutospacing="0"/>
              <w:jc w:val="both"/>
              <w:rPr>
                <w:b w:val="0"/>
                <w:i/>
                <w:sz w:val="18"/>
                <w:szCs w:val="18"/>
              </w:rPr>
            </w:pPr>
            <w:r w:rsidRPr="0011363D">
              <w:rPr>
                <w:b w:val="0"/>
                <w:i/>
                <w:sz w:val="18"/>
                <w:szCs w:val="18"/>
                <w:shd w:val="clear" w:color="auto" w:fill="FEFEFE"/>
              </w:rPr>
              <w:t xml:space="preserve">** </w:t>
            </w:r>
            <w:r w:rsidRPr="0011363D">
              <w:rPr>
                <w:b w:val="0"/>
                <w:i/>
                <w:iCs/>
                <w:sz w:val="18"/>
                <w:szCs w:val="18"/>
              </w:rPr>
              <w:t xml:space="preserve">Pamatojoties uz Ministru kabineta 2014.gada 18.marta sēdes protokola Nr.17 44.§ „Informatīvais ziņojums „Par valsts pamatbudžeta un valsts speciālā budžeta bāzi 2015., 2016. un 2017.gadam un bāzes izdevumos neiekļauto ministriju un citu centrālo valsts iestāžu iesniegto pasākumu sarakstu”” 2.punktu, valsts speciālā budžeta bāze 2017.gadam šobrīd ir </w:t>
            </w:r>
            <w:r w:rsidRPr="0011363D">
              <w:rPr>
                <w:b w:val="0"/>
                <w:i/>
                <w:sz w:val="18"/>
                <w:szCs w:val="18"/>
              </w:rPr>
              <w:t>atbilstoši likumā „Par vidēja termiņa budžeta ietvaru 2014., 2015. un 2016.gadam” 2016.gadam plānotajiem apmēriem.</w:t>
            </w:r>
          </w:p>
          <w:p w:rsidR="00E05C15" w:rsidRPr="0011363D" w:rsidRDefault="00E05C15" w:rsidP="00592728">
            <w:pPr>
              <w:pStyle w:val="Heading3"/>
              <w:spacing w:before="0" w:beforeAutospacing="0" w:after="0" w:afterAutospacing="0"/>
              <w:jc w:val="both"/>
              <w:rPr>
                <w:b w:val="0"/>
                <w:i/>
                <w:sz w:val="18"/>
                <w:szCs w:val="18"/>
              </w:rPr>
            </w:pPr>
            <w:r w:rsidRPr="0011363D">
              <w:rPr>
                <w:b w:val="0"/>
                <w:i/>
                <w:sz w:val="18"/>
                <w:szCs w:val="18"/>
              </w:rPr>
              <w:t xml:space="preserve">*** Detalizētu izdevumu sadalījumu šobrīd nav iespējams veikt, ņemot vērā 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termiņam”16.punktā noteiktos valsts speciālā budžeta bāzes nosacījumus, kā arī to, ka šobrīd </w:t>
            </w:r>
            <w:r w:rsidRPr="0011363D">
              <w:rPr>
                <w:b w:val="0"/>
                <w:i/>
                <w:iCs/>
                <w:sz w:val="18"/>
                <w:szCs w:val="18"/>
              </w:rPr>
              <w:t xml:space="preserve">valsts speciālā budžeta bāze 2015. un 2016.gadam ir </w:t>
            </w:r>
            <w:r w:rsidRPr="0011363D">
              <w:rPr>
                <w:b w:val="0"/>
                <w:i/>
                <w:sz w:val="18"/>
                <w:szCs w:val="18"/>
              </w:rPr>
              <w:t>apstiprināta atbilstoši likumam „Par vidēja termiņa budžeta ietvaru 2014., 2015. un 2016.gadam” un 2017.gadam atbilstoši likumā „Par vidēja termiņa budžeta ietvaru 2014., 2015. un 2016.gadam” 2016.gadam plānotajiem apmēriem.</w:t>
            </w:r>
          </w:p>
          <w:p w:rsidR="00E05C15" w:rsidRPr="0011363D" w:rsidRDefault="00E05C15" w:rsidP="00592728">
            <w:pPr>
              <w:pStyle w:val="Heading3"/>
              <w:spacing w:before="0" w:beforeAutospacing="0" w:after="0" w:afterAutospacing="0"/>
              <w:jc w:val="both"/>
              <w:rPr>
                <w:b w:val="0"/>
                <w:sz w:val="18"/>
                <w:szCs w:val="18"/>
                <w:shd w:val="clear" w:color="auto" w:fill="FEFEFE"/>
              </w:rPr>
            </w:pPr>
          </w:p>
          <w:p w:rsidR="00E05C15" w:rsidRPr="0011363D" w:rsidRDefault="00E05C15" w:rsidP="00592728">
            <w:pPr>
              <w:pStyle w:val="Heading3"/>
              <w:spacing w:before="0" w:beforeAutospacing="0" w:after="0" w:afterAutospacing="0"/>
              <w:jc w:val="both"/>
              <w:rPr>
                <w:sz w:val="24"/>
                <w:szCs w:val="24"/>
                <w:shd w:val="clear" w:color="auto" w:fill="FEFEFE"/>
              </w:rPr>
            </w:pPr>
            <w:r w:rsidRPr="0011363D">
              <w:rPr>
                <w:b w:val="0"/>
                <w:sz w:val="24"/>
                <w:szCs w:val="24"/>
                <w:shd w:val="clear" w:color="auto" w:fill="FEFEFE"/>
              </w:rPr>
              <w:t xml:space="preserve">Ievērojot šīs anotācijas 3.tabulas paskaidrojumus, šobrīd </w:t>
            </w:r>
            <w:r w:rsidRPr="0011363D">
              <w:rPr>
                <w:sz w:val="24"/>
                <w:szCs w:val="24"/>
                <w:shd w:val="clear" w:color="auto" w:fill="FEFEFE"/>
              </w:rPr>
              <w:t>tabulā iekļautajai informācijai ir informatīvs raksturs.</w:t>
            </w:r>
          </w:p>
          <w:p w:rsidR="00E05C15" w:rsidRPr="0011363D" w:rsidRDefault="00E05C15" w:rsidP="00592728">
            <w:pPr>
              <w:pStyle w:val="Heading3"/>
              <w:spacing w:before="0" w:beforeAutospacing="0" w:after="0" w:afterAutospacing="0"/>
              <w:jc w:val="both"/>
              <w:rPr>
                <w:b w:val="0"/>
                <w:sz w:val="24"/>
                <w:szCs w:val="24"/>
                <w:shd w:val="clear" w:color="auto" w:fill="FEFEFE"/>
              </w:rPr>
            </w:pPr>
          </w:p>
          <w:p w:rsidR="00E05C15" w:rsidRPr="0011363D" w:rsidRDefault="00E05C15" w:rsidP="003D3B3E">
            <w:pPr>
              <w:spacing w:after="0" w:line="240" w:lineRule="auto"/>
              <w:ind w:right="99"/>
              <w:jc w:val="both"/>
              <w:rPr>
                <w:rFonts w:ascii="Times New Roman" w:hAnsi="Times New Roman" w:cs="Times New Roman"/>
                <w:sz w:val="24"/>
                <w:szCs w:val="24"/>
              </w:rPr>
            </w:pPr>
            <w:r w:rsidRPr="0011363D">
              <w:rPr>
                <w:rFonts w:ascii="Times New Roman" w:eastAsia="Times New Roman" w:hAnsi="Times New Roman" w:cs="Times New Roman"/>
                <w:bCs/>
                <w:iCs/>
                <w:sz w:val="24"/>
                <w:szCs w:val="24"/>
              </w:rPr>
              <w:t xml:space="preserve">Pamatojoties uz Ministru kabineta 2014.gada 18.marta sēdes protokola Nr.17 44.§ „Informatīvais ziņojums „Par valsts pamatbudžeta un valsts speciālā budžeta bāzi 2015., 2016. un 2017.gadam un bāzes izdevumos neiekļauto ministriju un citu centrālo valsts iestāžu iesniegto pasākumu sarakstu”” 2.punktu, valsts speciālā budžeta bāze 2015. un 2016.gadam šobrīd ir </w:t>
            </w:r>
            <w:r w:rsidRPr="0011363D">
              <w:rPr>
                <w:rFonts w:ascii="Times New Roman" w:hAnsi="Times New Roman" w:cs="Times New Roman"/>
                <w:sz w:val="24"/>
                <w:szCs w:val="24"/>
              </w:rPr>
              <w:t xml:space="preserve">apstiprināta atbilstoši likumam „Par vidēja termiņa budžeta ietvaru 2014., 2015. un 2016.gadam” un 2017.gadam atbilstoši likumā „Par vidēja termiņa budžeta ietvaru 2014., 2015. un 2016.gadam” 2016.gadam plānotajiem apmēriem. Savukārt Labklājības ministrijai ir uzdots precizēto valsts speciālā budžeta bāzes aprēķinu 2015., 2016. un 2017.gadam sagatavot un iesniegt Finanšu ministrijā atbilstoši Finanšu ministrijas aktualizētajām makroekonomisko rādītāju prognozēm. </w:t>
            </w:r>
          </w:p>
          <w:p w:rsidR="00E05C15" w:rsidRPr="0011363D" w:rsidRDefault="00E05C15" w:rsidP="00C11E04">
            <w:pPr>
              <w:spacing w:after="0" w:line="240" w:lineRule="auto"/>
              <w:jc w:val="both"/>
              <w:rPr>
                <w:rFonts w:ascii="Times New Roman" w:hAnsi="Times New Roman" w:cs="Times New Roman"/>
                <w:sz w:val="24"/>
                <w:szCs w:val="24"/>
              </w:rPr>
            </w:pPr>
            <w:r w:rsidRPr="0011363D">
              <w:rPr>
                <w:rFonts w:ascii="Times New Roman" w:hAnsi="Times New Roman" w:cs="Times New Roman"/>
                <w:sz w:val="24"/>
                <w:szCs w:val="24"/>
              </w:rPr>
              <w:t xml:space="preserve">Līdz ar to Labklājības ministrija pēc Finanšu ministrijas aktualizēto makroekonomisko rādītāju prognožu saņemšanas Ministru kabineta </w:t>
            </w:r>
            <w:proofErr w:type="spellStart"/>
            <w:r w:rsidRPr="0011363D">
              <w:rPr>
                <w:rFonts w:ascii="Times New Roman" w:hAnsi="Times New Roman" w:cs="Times New Roman"/>
                <w:sz w:val="24"/>
                <w:szCs w:val="24"/>
              </w:rPr>
              <w:t>protokollēmuma</w:t>
            </w:r>
            <w:proofErr w:type="spellEnd"/>
            <w:r w:rsidRPr="0011363D">
              <w:rPr>
                <w:rFonts w:ascii="Times New Roman" w:hAnsi="Times New Roman" w:cs="Times New Roman"/>
                <w:sz w:val="24"/>
                <w:szCs w:val="24"/>
              </w:rPr>
              <w:t xml:space="preserve"> projekta 2.punktā minēto finansējuma pārdali ņems vērā, sagatavojot </w:t>
            </w:r>
            <w:r w:rsidR="00293380">
              <w:rPr>
                <w:rFonts w:ascii="Times New Roman" w:hAnsi="Times New Roman" w:cs="Times New Roman"/>
                <w:sz w:val="24"/>
                <w:szCs w:val="24"/>
              </w:rPr>
              <w:t xml:space="preserve">priekšlikumus </w:t>
            </w:r>
            <w:r w:rsidRPr="0011363D">
              <w:rPr>
                <w:rFonts w:ascii="Times New Roman" w:hAnsi="Times New Roman" w:cs="Times New Roman"/>
                <w:sz w:val="24"/>
                <w:szCs w:val="24"/>
              </w:rPr>
              <w:t>valsts sociālās apdrošināšanas speciālā budžeta bāz</w:t>
            </w:r>
            <w:r w:rsidR="00293380">
              <w:rPr>
                <w:rFonts w:ascii="Times New Roman" w:hAnsi="Times New Roman" w:cs="Times New Roman"/>
                <w:sz w:val="24"/>
                <w:szCs w:val="24"/>
              </w:rPr>
              <w:t>e</w:t>
            </w:r>
            <w:r w:rsidRPr="0011363D">
              <w:rPr>
                <w:rFonts w:ascii="Times New Roman" w:hAnsi="Times New Roman" w:cs="Times New Roman"/>
                <w:sz w:val="24"/>
                <w:szCs w:val="24"/>
              </w:rPr>
              <w:t xml:space="preserve">i 2015., 2016. un 2017.gadam, tādejādi nodrošinot VSAA </w:t>
            </w:r>
            <w:r w:rsidR="005D4A93">
              <w:rPr>
                <w:rFonts w:ascii="Times New Roman" w:hAnsi="Times New Roman" w:cs="Times New Roman"/>
                <w:sz w:val="24"/>
                <w:szCs w:val="24"/>
              </w:rPr>
              <w:t>funkcijas</w:t>
            </w:r>
            <w:r w:rsidR="00575491">
              <w:rPr>
                <w:rFonts w:ascii="Times New Roman" w:hAnsi="Times New Roman" w:cs="Times New Roman"/>
                <w:sz w:val="24"/>
                <w:szCs w:val="24"/>
              </w:rPr>
              <w:t xml:space="preserve"> </w:t>
            </w:r>
            <w:r w:rsidR="00DE64DD" w:rsidRPr="0011363D">
              <w:rPr>
                <w:rFonts w:ascii="Times New Roman" w:hAnsi="Times New Roman" w:cs="Times New Roman"/>
                <w:sz w:val="24"/>
                <w:szCs w:val="24"/>
              </w:rPr>
              <w:t>nodrošināšanu</w:t>
            </w:r>
            <w:r w:rsidRPr="0011363D">
              <w:rPr>
                <w:rFonts w:ascii="Times New Roman" w:hAnsi="Times New Roman" w:cs="Times New Roman"/>
                <w:sz w:val="24"/>
                <w:szCs w:val="24"/>
              </w:rPr>
              <w:t xml:space="preserve"> arī turpmākajos gados.</w:t>
            </w:r>
          </w:p>
        </w:tc>
      </w:tr>
    </w:tbl>
    <w:p w:rsidR="0087153D" w:rsidRDefault="0087153D"/>
    <w:tbl>
      <w:tblPr>
        <w:tblW w:w="6586" w:type="pct"/>
        <w:jc w:val="center"/>
        <w:tblInd w:w="-14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9"/>
        <w:gridCol w:w="4271"/>
        <w:gridCol w:w="6491"/>
      </w:tblGrid>
      <w:tr w:rsidR="0087153D" w:rsidRPr="009031B9" w:rsidTr="0087153D">
        <w:trPr>
          <w:trHeight w:val="332"/>
          <w:jc w:val="center"/>
        </w:trPr>
        <w:tc>
          <w:tcPr>
            <w:tcW w:w="5000" w:type="pct"/>
            <w:gridSpan w:val="3"/>
            <w:tcBorders>
              <w:top w:val="outset" w:sz="6" w:space="0" w:color="414142"/>
              <w:left w:val="outset" w:sz="6" w:space="0" w:color="414142"/>
              <w:bottom w:val="outset" w:sz="6" w:space="0" w:color="414142"/>
              <w:right w:val="outset" w:sz="6" w:space="0" w:color="414142"/>
            </w:tcBorders>
          </w:tcPr>
          <w:p w:rsidR="0087153D" w:rsidRDefault="0087153D" w:rsidP="0087153D">
            <w:pPr>
              <w:pStyle w:val="naisf"/>
              <w:spacing w:before="0" w:beforeAutospacing="0" w:after="0" w:afterAutospacing="0"/>
              <w:jc w:val="center"/>
              <w:rPr>
                <w:b/>
                <w:bCs/>
              </w:rPr>
            </w:pPr>
          </w:p>
          <w:p w:rsidR="0087153D" w:rsidRDefault="0087153D" w:rsidP="0087153D">
            <w:pPr>
              <w:pStyle w:val="naisf"/>
              <w:spacing w:before="0" w:beforeAutospacing="0" w:after="0" w:afterAutospacing="0"/>
              <w:jc w:val="center"/>
              <w:rPr>
                <w:b/>
                <w:bCs/>
              </w:rPr>
            </w:pPr>
            <w:r w:rsidRPr="009031B9">
              <w:rPr>
                <w:b/>
                <w:bCs/>
              </w:rPr>
              <w:t>VII. Tiesību akta projekta izpildes nodrošināšana un tās ietekme uz institūcijām</w:t>
            </w:r>
          </w:p>
          <w:p w:rsidR="0087153D" w:rsidRPr="00E61F0F" w:rsidRDefault="0087153D" w:rsidP="0087153D">
            <w:pPr>
              <w:pStyle w:val="naisf"/>
              <w:spacing w:before="0" w:beforeAutospacing="0" w:after="0" w:afterAutospacing="0"/>
              <w:jc w:val="center"/>
              <w:rPr>
                <w:color w:val="000000"/>
              </w:rPr>
            </w:pPr>
          </w:p>
        </w:tc>
      </w:tr>
      <w:tr w:rsidR="0087153D" w:rsidRPr="009031B9" w:rsidTr="0087153D">
        <w:trPr>
          <w:trHeight w:val="332"/>
          <w:jc w:val="center"/>
        </w:trPr>
        <w:tc>
          <w:tcPr>
            <w:tcW w:w="230" w:type="pct"/>
            <w:tcBorders>
              <w:top w:val="outset" w:sz="6" w:space="0" w:color="414142"/>
              <w:left w:val="outset" w:sz="6" w:space="0" w:color="414142"/>
              <w:bottom w:val="outset" w:sz="6" w:space="0" w:color="414142"/>
              <w:right w:val="outset" w:sz="6" w:space="0" w:color="414142"/>
            </w:tcBorders>
          </w:tcPr>
          <w:p w:rsidR="0087153D" w:rsidRPr="009031B9" w:rsidRDefault="0087153D" w:rsidP="00AF6A8F">
            <w:pPr>
              <w:spacing w:after="0" w:line="240" w:lineRule="auto"/>
              <w:rPr>
                <w:rFonts w:ascii="Times New Roman" w:eastAsia="Times New Roman" w:hAnsi="Times New Roman" w:cs="Times New Roman"/>
                <w:sz w:val="24"/>
                <w:szCs w:val="24"/>
                <w:lang w:eastAsia="lv-LV"/>
              </w:rPr>
            </w:pPr>
            <w:r w:rsidRPr="009031B9">
              <w:rPr>
                <w:rFonts w:ascii="Times New Roman" w:eastAsia="Times New Roman" w:hAnsi="Times New Roman" w:cs="Times New Roman"/>
                <w:sz w:val="24"/>
                <w:szCs w:val="24"/>
                <w:lang w:eastAsia="lv-LV"/>
              </w:rPr>
              <w:t>1.</w:t>
            </w:r>
          </w:p>
        </w:tc>
        <w:tc>
          <w:tcPr>
            <w:tcW w:w="1893" w:type="pct"/>
            <w:tcBorders>
              <w:top w:val="outset" w:sz="6" w:space="0" w:color="414142"/>
              <w:left w:val="outset" w:sz="6" w:space="0" w:color="414142"/>
              <w:bottom w:val="outset" w:sz="6" w:space="0" w:color="414142"/>
              <w:right w:val="outset" w:sz="6" w:space="0" w:color="414142"/>
            </w:tcBorders>
          </w:tcPr>
          <w:p w:rsidR="0087153D" w:rsidRPr="009031B9" w:rsidRDefault="0087153D" w:rsidP="00AF6A8F">
            <w:pPr>
              <w:spacing w:after="0" w:line="240" w:lineRule="auto"/>
              <w:rPr>
                <w:rFonts w:ascii="Times New Roman" w:eastAsia="Times New Roman" w:hAnsi="Times New Roman" w:cs="Times New Roman"/>
                <w:sz w:val="24"/>
                <w:szCs w:val="24"/>
                <w:lang w:eastAsia="lv-LV"/>
              </w:rPr>
            </w:pPr>
            <w:r w:rsidRPr="009031B9">
              <w:rPr>
                <w:rFonts w:ascii="Times New Roman" w:eastAsia="Times New Roman" w:hAnsi="Times New Roman" w:cs="Times New Roman"/>
                <w:sz w:val="24"/>
                <w:szCs w:val="24"/>
                <w:lang w:eastAsia="lv-LV"/>
              </w:rPr>
              <w:t>Projekta izpildē iesaistītās institūcijas</w:t>
            </w:r>
          </w:p>
        </w:tc>
        <w:tc>
          <w:tcPr>
            <w:tcW w:w="2877" w:type="pct"/>
            <w:tcBorders>
              <w:top w:val="outset" w:sz="6" w:space="0" w:color="414142"/>
              <w:left w:val="outset" w:sz="6" w:space="0" w:color="414142"/>
              <w:bottom w:val="outset" w:sz="6" w:space="0" w:color="414142"/>
              <w:right w:val="outset" w:sz="6" w:space="0" w:color="414142"/>
            </w:tcBorders>
          </w:tcPr>
          <w:p w:rsidR="0087153D" w:rsidRPr="009031B9" w:rsidRDefault="0087153D" w:rsidP="00AF6A8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 ministrija, VSAA</w:t>
            </w:r>
          </w:p>
        </w:tc>
      </w:tr>
      <w:tr w:rsidR="0087153D" w:rsidRPr="009031B9" w:rsidTr="0087153D">
        <w:trPr>
          <w:trHeight w:val="332"/>
          <w:jc w:val="center"/>
        </w:trPr>
        <w:tc>
          <w:tcPr>
            <w:tcW w:w="230" w:type="pct"/>
            <w:tcBorders>
              <w:top w:val="outset" w:sz="6" w:space="0" w:color="414142"/>
              <w:left w:val="outset" w:sz="6" w:space="0" w:color="414142"/>
              <w:bottom w:val="outset" w:sz="6" w:space="0" w:color="414142"/>
              <w:right w:val="outset" w:sz="6" w:space="0" w:color="414142"/>
            </w:tcBorders>
          </w:tcPr>
          <w:p w:rsidR="0087153D" w:rsidRPr="009031B9" w:rsidRDefault="0087153D" w:rsidP="00AF6A8F">
            <w:pPr>
              <w:spacing w:after="0" w:line="240" w:lineRule="auto"/>
              <w:rPr>
                <w:rFonts w:ascii="Times New Roman" w:eastAsia="Times New Roman" w:hAnsi="Times New Roman" w:cs="Times New Roman"/>
                <w:sz w:val="24"/>
                <w:szCs w:val="24"/>
                <w:lang w:eastAsia="lv-LV"/>
              </w:rPr>
            </w:pPr>
            <w:r w:rsidRPr="009031B9">
              <w:rPr>
                <w:rFonts w:ascii="Times New Roman" w:eastAsia="Times New Roman" w:hAnsi="Times New Roman" w:cs="Times New Roman"/>
                <w:sz w:val="24"/>
                <w:szCs w:val="24"/>
                <w:lang w:eastAsia="lv-LV"/>
              </w:rPr>
              <w:t>2.</w:t>
            </w:r>
          </w:p>
        </w:tc>
        <w:tc>
          <w:tcPr>
            <w:tcW w:w="1893" w:type="pct"/>
            <w:tcBorders>
              <w:top w:val="outset" w:sz="6" w:space="0" w:color="414142"/>
              <w:left w:val="outset" w:sz="6" w:space="0" w:color="414142"/>
              <w:bottom w:val="outset" w:sz="6" w:space="0" w:color="414142"/>
              <w:right w:val="outset" w:sz="6" w:space="0" w:color="414142"/>
            </w:tcBorders>
          </w:tcPr>
          <w:p w:rsidR="0087153D" w:rsidRPr="009031B9" w:rsidRDefault="0087153D" w:rsidP="0087153D">
            <w:pPr>
              <w:spacing w:after="0" w:line="240" w:lineRule="auto"/>
              <w:rPr>
                <w:rFonts w:ascii="Times New Roman" w:eastAsia="Times New Roman" w:hAnsi="Times New Roman" w:cs="Times New Roman"/>
                <w:sz w:val="24"/>
                <w:szCs w:val="24"/>
                <w:lang w:eastAsia="lv-LV"/>
              </w:rPr>
            </w:pPr>
            <w:r w:rsidRPr="009031B9">
              <w:rPr>
                <w:rFonts w:ascii="Times New Roman" w:eastAsia="Times New Roman" w:hAnsi="Times New Roman" w:cs="Times New Roman"/>
                <w:sz w:val="24"/>
                <w:szCs w:val="24"/>
                <w:lang w:eastAsia="lv-LV"/>
              </w:rPr>
              <w:t>Projekta izpildes ietekme uz pārvaldes funkcijām un institucionālo struktūru.</w:t>
            </w:r>
            <w:r w:rsidR="00575491">
              <w:rPr>
                <w:rFonts w:ascii="Times New Roman" w:eastAsia="Times New Roman" w:hAnsi="Times New Roman" w:cs="Times New Roman"/>
                <w:sz w:val="24"/>
                <w:szCs w:val="24"/>
                <w:lang w:eastAsia="lv-LV"/>
              </w:rPr>
              <w:t xml:space="preserve"> </w:t>
            </w:r>
            <w:r w:rsidRPr="009031B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r>
              <w:rPr>
                <w:rFonts w:ascii="Times New Roman" w:eastAsia="Times New Roman" w:hAnsi="Times New Roman" w:cs="Times New Roman"/>
                <w:sz w:val="24"/>
                <w:szCs w:val="24"/>
                <w:lang w:eastAsia="lv-LV"/>
              </w:rPr>
              <w:t>.</w:t>
            </w:r>
          </w:p>
        </w:tc>
        <w:tc>
          <w:tcPr>
            <w:tcW w:w="2877" w:type="pct"/>
            <w:tcBorders>
              <w:top w:val="outset" w:sz="6" w:space="0" w:color="414142"/>
              <w:left w:val="outset" w:sz="6" w:space="0" w:color="414142"/>
              <w:bottom w:val="outset" w:sz="6" w:space="0" w:color="414142"/>
              <w:right w:val="outset" w:sz="6" w:space="0" w:color="414142"/>
            </w:tcBorders>
          </w:tcPr>
          <w:p w:rsidR="0087153D" w:rsidRPr="009031B9" w:rsidRDefault="00EA2448" w:rsidP="00AF6A8F">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Projekts šo jomu neskar.</w:t>
            </w:r>
          </w:p>
        </w:tc>
      </w:tr>
      <w:tr w:rsidR="0087153D" w:rsidRPr="009031B9" w:rsidTr="0087153D">
        <w:trPr>
          <w:trHeight w:val="332"/>
          <w:jc w:val="center"/>
        </w:trPr>
        <w:tc>
          <w:tcPr>
            <w:tcW w:w="230" w:type="pct"/>
            <w:tcBorders>
              <w:top w:val="outset" w:sz="6" w:space="0" w:color="414142"/>
              <w:left w:val="outset" w:sz="6" w:space="0" w:color="414142"/>
              <w:bottom w:val="outset" w:sz="6" w:space="0" w:color="414142"/>
              <w:right w:val="outset" w:sz="6" w:space="0" w:color="414142"/>
            </w:tcBorders>
          </w:tcPr>
          <w:p w:rsidR="0087153D" w:rsidRPr="009031B9" w:rsidRDefault="0087153D" w:rsidP="00AF6A8F">
            <w:pPr>
              <w:spacing w:after="0" w:line="240" w:lineRule="auto"/>
              <w:rPr>
                <w:rFonts w:ascii="Times New Roman" w:eastAsia="Times New Roman" w:hAnsi="Times New Roman" w:cs="Times New Roman"/>
                <w:sz w:val="24"/>
                <w:szCs w:val="24"/>
                <w:lang w:eastAsia="lv-LV"/>
              </w:rPr>
            </w:pPr>
            <w:r w:rsidRPr="009031B9">
              <w:rPr>
                <w:rFonts w:ascii="Times New Roman" w:eastAsia="Times New Roman" w:hAnsi="Times New Roman" w:cs="Times New Roman"/>
                <w:sz w:val="24"/>
                <w:szCs w:val="24"/>
                <w:lang w:eastAsia="lv-LV"/>
              </w:rPr>
              <w:t>3.</w:t>
            </w:r>
          </w:p>
        </w:tc>
        <w:tc>
          <w:tcPr>
            <w:tcW w:w="1893" w:type="pct"/>
            <w:tcBorders>
              <w:top w:val="outset" w:sz="6" w:space="0" w:color="414142"/>
              <w:left w:val="outset" w:sz="6" w:space="0" w:color="414142"/>
              <w:bottom w:val="outset" w:sz="6" w:space="0" w:color="414142"/>
              <w:right w:val="outset" w:sz="6" w:space="0" w:color="414142"/>
            </w:tcBorders>
          </w:tcPr>
          <w:p w:rsidR="0087153D" w:rsidRPr="009031B9" w:rsidRDefault="0087153D" w:rsidP="00AF6A8F">
            <w:pPr>
              <w:spacing w:after="0" w:line="240" w:lineRule="auto"/>
              <w:rPr>
                <w:rFonts w:ascii="Times New Roman" w:eastAsia="Times New Roman" w:hAnsi="Times New Roman" w:cs="Times New Roman"/>
                <w:sz w:val="24"/>
                <w:szCs w:val="24"/>
                <w:lang w:eastAsia="lv-LV"/>
              </w:rPr>
            </w:pPr>
            <w:r w:rsidRPr="009031B9">
              <w:rPr>
                <w:rFonts w:ascii="Times New Roman" w:eastAsia="Times New Roman" w:hAnsi="Times New Roman" w:cs="Times New Roman"/>
                <w:sz w:val="24"/>
                <w:szCs w:val="24"/>
                <w:lang w:eastAsia="lv-LV"/>
              </w:rPr>
              <w:t>Cita informācija</w:t>
            </w:r>
          </w:p>
        </w:tc>
        <w:tc>
          <w:tcPr>
            <w:tcW w:w="2877" w:type="pct"/>
            <w:tcBorders>
              <w:top w:val="outset" w:sz="6" w:space="0" w:color="414142"/>
              <w:left w:val="outset" w:sz="6" w:space="0" w:color="414142"/>
              <w:bottom w:val="outset" w:sz="6" w:space="0" w:color="414142"/>
              <w:right w:val="outset" w:sz="6" w:space="0" w:color="414142"/>
            </w:tcBorders>
          </w:tcPr>
          <w:p w:rsidR="0087153D" w:rsidRPr="009031B9" w:rsidRDefault="0087153D" w:rsidP="00AF6A8F">
            <w:pPr>
              <w:spacing w:before="100" w:beforeAutospacing="1" w:after="100" w:afterAutospacing="1" w:line="293" w:lineRule="atLeast"/>
              <w:rPr>
                <w:rFonts w:ascii="Times New Roman" w:eastAsia="Times New Roman" w:hAnsi="Times New Roman" w:cs="Times New Roman"/>
                <w:sz w:val="24"/>
                <w:szCs w:val="24"/>
                <w:lang w:eastAsia="lv-LV"/>
              </w:rPr>
            </w:pPr>
            <w:r w:rsidRPr="009031B9">
              <w:rPr>
                <w:rFonts w:ascii="Times New Roman" w:eastAsia="Times New Roman" w:hAnsi="Times New Roman" w:cs="Times New Roman"/>
                <w:sz w:val="24"/>
                <w:szCs w:val="24"/>
                <w:lang w:eastAsia="lv-LV"/>
              </w:rPr>
              <w:t>Nav</w:t>
            </w:r>
          </w:p>
        </w:tc>
      </w:tr>
    </w:tbl>
    <w:p w:rsidR="00EF4077" w:rsidRDefault="00EF4077" w:rsidP="00FE2CEF">
      <w:pPr>
        <w:spacing w:after="0" w:line="240" w:lineRule="auto"/>
        <w:ind w:right="-427"/>
        <w:rPr>
          <w:rFonts w:ascii="Times New Roman" w:eastAsia="Times New Roman" w:hAnsi="Times New Roman" w:cs="Times New Roman"/>
          <w:sz w:val="28"/>
          <w:szCs w:val="28"/>
          <w:lang w:eastAsia="lv-LV"/>
        </w:rPr>
      </w:pPr>
    </w:p>
    <w:p w:rsidR="00A2629F" w:rsidRDefault="00DD18AA" w:rsidP="00FE2CEF">
      <w:pPr>
        <w:spacing w:after="0" w:line="240" w:lineRule="auto"/>
        <w:ind w:right="-427"/>
        <w:rPr>
          <w:rFonts w:ascii="Times New Roman" w:eastAsia="Times New Roman" w:hAnsi="Times New Roman" w:cs="Times New Roman"/>
          <w:sz w:val="24"/>
          <w:szCs w:val="24"/>
          <w:lang w:eastAsia="lv-LV"/>
        </w:rPr>
      </w:pPr>
      <w:r w:rsidRPr="00DD18AA">
        <w:rPr>
          <w:rFonts w:ascii="Times New Roman" w:eastAsia="Times New Roman" w:hAnsi="Times New Roman" w:cs="Times New Roman"/>
          <w:sz w:val="24"/>
          <w:szCs w:val="24"/>
          <w:lang w:eastAsia="lv-LV"/>
        </w:rPr>
        <w:t xml:space="preserve">Anotācijas </w:t>
      </w:r>
      <w:r>
        <w:rPr>
          <w:rFonts w:ascii="Times New Roman" w:eastAsia="Times New Roman" w:hAnsi="Times New Roman" w:cs="Times New Roman"/>
          <w:sz w:val="24"/>
          <w:szCs w:val="24"/>
          <w:lang w:eastAsia="lv-LV"/>
        </w:rPr>
        <w:t>II, IV, V un VI sadaļas nav attiecināmas.</w:t>
      </w:r>
    </w:p>
    <w:p w:rsidR="00A2629F" w:rsidRDefault="00A2629F" w:rsidP="00FE2CEF">
      <w:pPr>
        <w:spacing w:after="0" w:line="240" w:lineRule="auto"/>
        <w:ind w:right="-427"/>
        <w:rPr>
          <w:rFonts w:ascii="Times New Roman" w:eastAsia="Times New Roman" w:hAnsi="Times New Roman" w:cs="Times New Roman"/>
          <w:sz w:val="24"/>
          <w:szCs w:val="24"/>
          <w:lang w:eastAsia="lv-LV"/>
        </w:rPr>
      </w:pPr>
    </w:p>
    <w:p w:rsidR="00A2629F" w:rsidRDefault="00A2629F" w:rsidP="00FE2CEF">
      <w:pPr>
        <w:spacing w:after="0" w:line="240" w:lineRule="auto"/>
        <w:ind w:right="-427"/>
        <w:rPr>
          <w:rFonts w:ascii="Times New Roman" w:eastAsia="Times New Roman" w:hAnsi="Times New Roman" w:cs="Times New Roman"/>
          <w:sz w:val="24"/>
          <w:szCs w:val="24"/>
          <w:lang w:eastAsia="lv-LV"/>
        </w:rPr>
      </w:pPr>
    </w:p>
    <w:p w:rsidR="00A2629F" w:rsidRDefault="00A2629F" w:rsidP="00FE2CEF">
      <w:pPr>
        <w:spacing w:after="0" w:line="240" w:lineRule="auto"/>
        <w:ind w:right="-427"/>
        <w:rPr>
          <w:rFonts w:ascii="Times New Roman" w:eastAsia="Times New Roman" w:hAnsi="Times New Roman" w:cs="Times New Roman"/>
          <w:sz w:val="24"/>
          <w:szCs w:val="24"/>
          <w:lang w:eastAsia="lv-LV"/>
        </w:rPr>
      </w:pPr>
    </w:p>
    <w:p w:rsidR="00A2629F" w:rsidRDefault="00A2629F" w:rsidP="00FE2CEF">
      <w:pPr>
        <w:spacing w:after="0" w:line="240" w:lineRule="auto"/>
        <w:ind w:right="-427"/>
        <w:rPr>
          <w:rFonts w:ascii="Times New Roman" w:eastAsia="Times New Roman" w:hAnsi="Times New Roman" w:cs="Times New Roman"/>
          <w:sz w:val="24"/>
          <w:szCs w:val="24"/>
          <w:lang w:eastAsia="lv-LV"/>
        </w:rPr>
      </w:pPr>
    </w:p>
    <w:p w:rsidR="00FE2CEF" w:rsidRPr="00A2629F" w:rsidRDefault="00FE2CEF" w:rsidP="00FE2CEF">
      <w:pPr>
        <w:spacing w:after="0" w:line="240" w:lineRule="auto"/>
        <w:ind w:right="-427"/>
        <w:rPr>
          <w:rFonts w:ascii="Times New Roman" w:eastAsia="Times New Roman" w:hAnsi="Times New Roman" w:cs="Times New Roman"/>
          <w:sz w:val="24"/>
          <w:szCs w:val="24"/>
          <w:lang w:eastAsia="lv-LV"/>
        </w:rPr>
      </w:pPr>
      <w:r w:rsidRPr="00A2629F">
        <w:rPr>
          <w:rFonts w:ascii="Times New Roman" w:eastAsia="Times New Roman" w:hAnsi="Times New Roman" w:cs="Times New Roman"/>
          <w:sz w:val="24"/>
          <w:szCs w:val="24"/>
          <w:lang w:eastAsia="lv-LV"/>
        </w:rPr>
        <w:t>Labklājības ministrs</w:t>
      </w:r>
      <w:r w:rsidRPr="00A2629F">
        <w:rPr>
          <w:rFonts w:ascii="Times New Roman" w:eastAsia="Times New Roman" w:hAnsi="Times New Roman" w:cs="Times New Roman"/>
          <w:sz w:val="24"/>
          <w:szCs w:val="24"/>
          <w:lang w:eastAsia="lv-LV"/>
        </w:rPr>
        <w:tab/>
      </w:r>
      <w:r w:rsidRPr="00A2629F">
        <w:rPr>
          <w:rFonts w:ascii="Times New Roman" w:eastAsia="Times New Roman" w:hAnsi="Times New Roman" w:cs="Times New Roman"/>
          <w:sz w:val="24"/>
          <w:szCs w:val="24"/>
          <w:lang w:eastAsia="lv-LV"/>
        </w:rPr>
        <w:tab/>
      </w:r>
      <w:r w:rsidRPr="00A2629F">
        <w:rPr>
          <w:rFonts w:ascii="Times New Roman" w:eastAsia="Times New Roman" w:hAnsi="Times New Roman" w:cs="Times New Roman"/>
          <w:sz w:val="24"/>
          <w:szCs w:val="24"/>
          <w:lang w:eastAsia="lv-LV"/>
        </w:rPr>
        <w:tab/>
      </w:r>
      <w:r w:rsidRPr="00A2629F">
        <w:rPr>
          <w:rFonts w:ascii="Times New Roman" w:eastAsia="Times New Roman" w:hAnsi="Times New Roman" w:cs="Times New Roman"/>
          <w:sz w:val="24"/>
          <w:szCs w:val="24"/>
          <w:lang w:eastAsia="lv-LV"/>
        </w:rPr>
        <w:tab/>
      </w:r>
      <w:r w:rsidR="00EF4077" w:rsidRPr="00A2629F">
        <w:rPr>
          <w:rFonts w:ascii="Times New Roman" w:eastAsia="Times New Roman" w:hAnsi="Times New Roman" w:cs="Times New Roman"/>
          <w:sz w:val="24"/>
          <w:szCs w:val="24"/>
          <w:lang w:eastAsia="lv-LV"/>
        </w:rPr>
        <w:tab/>
      </w:r>
      <w:r w:rsidRPr="00A2629F">
        <w:rPr>
          <w:rFonts w:ascii="Times New Roman" w:eastAsia="Times New Roman" w:hAnsi="Times New Roman" w:cs="Times New Roman"/>
          <w:sz w:val="24"/>
          <w:szCs w:val="24"/>
          <w:lang w:eastAsia="lv-LV"/>
        </w:rPr>
        <w:tab/>
      </w:r>
      <w:r w:rsidRPr="00A2629F">
        <w:rPr>
          <w:rFonts w:ascii="Times New Roman" w:eastAsia="Times New Roman" w:hAnsi="Times New Roman" w:cs="Times New Roman"/>
          <w:sz w:val="24"/>
          <w:szCs w:val="24"/>
          <w:lang w:eastAsia="lv-LV"/>
        </w:rPr>
        <w:tab/>
      </w:r>
      <w:r w:rsidR="00A2629F">
        <w:rPr>
          <w:rFonts w:ascii="Times New Roman" w:eastAsia="Times New Roman" w:hAnsi="Times New Roman" w:cs="Times New Roman"/>
          <w:sz w:val="24"/>
          <w:szCs w:val="24"/>
          <w:lang w:eastAsia="lv-LV"/>
        </w:rPr>
        <w:tab/>
      </w:r>
      <w:r w:rsidR="00A2629F">
        <w:rPr>
          <w:rFonts w:ascii="Times New Roman" w:eastAsia="Times New Roman" w:hAnsi="Times New Roman" w:cs="Times New Roman"/>
          <w:sz w:val="24"/>
          <w:szCs w:val="24"/>
          <w:lang w:eastAsia="lv-LV"/>
        </w:rPr>
        <w:tab/>
      </w:r>
      <w:r w:rsidRPr="00A2629F">
        <w:rPr>
          <w:rFonts w:ascii="Times New Roman" w:eastAsia="Times New Roman" w:hAnsi="Times New Roman" w:cs="Times New Roman"/>
          <w:sz w:val="24"/>
          <w:szCs w:val="24"/>
          <w:lang w:eastAsia="lv-LV"/>
        </w:rPr>
        <w:t>U.Augulis</w:t>
      </w:r>
    </w:p>
    <w:p w:rsidR="00FE2CEF" w:rsidRDefault="00FE2CEF" w:rsidP="00FE2CEF">
      <w:pPr>
        <w:spacing w:after="0" w:line="240" w:lineRule="auto"/>
        <w:rPr>
          <w:rFonts w:ascii="Times New Roman" w:eastAsia="Times New Roman" w:hAnsi="Times New Roman" w:cs="Times New Roman"/>
          <w:sz w:val="24"/>
          <w:szCs w:val="24"/>
          <w:highlight w:val="yellow"/>
          <w:lang w:eastAsia="lv-LV"/>
        </w:rPr>
      </w:pPr>
    </w:p>
    <w:p w:rsidR="00DD18AA" w:rsidRDefault="00DD18AA" w:rsidP="00FE2CEF">
      <w:pPr>
        <w:spacing w:after="0" w:line="240" w:lineRule="auto"/>
        <w:rPr>
          <w:rFonts w:ascii="Times New Roman" w:eastAsia="Times New Roman" w:hAnsi="Times New Roman" w:cs="Times New Roman"/>
          <w:sz w:val="24"/>
          <w:szCs w:val="24"/>
          <w:highlight w:val="yellow"/>
          <w:lang w:eastAsia="lv-LV"/>
        </w:rPr>
      </w:pPr>
    </w:p>
    <w:p w:rsidR="00DD18AA" w:rsidRDefault="00DD18AA" w:rsidP="00FE2CEF">
      <w:pPr>
        <w:spacing w:after="0" w:line="240" w:lineRule="auto"/>
        <w:rPr>
          <w:rFonts w:ascii="Times New Roman" w:eastAsia="Times New Roman" w:hAnsi="Times New Roman" w:cs="Times New Roman"/>
          <w:sz w:val="24"/>
          <w:szCs w:val="24"/>
          <w:highlight w:val="yellow"/>
          <w:lang w:eastAsia="lv-LV"/>
        </w:rPr>
      </w:pPr>
    </w:p>
    <w:p w:rsidR="00DD18AA" w:rsidRDefault="00DD18AA" w:rsidP="00FE2CEF">
      <w:pPr>
        <w:spacing w:after="0" w:line="240" w:lineRule="auto"/>
        <w:rPr>
          <w:rFonts w:ascii="Times New Roman" w:eastAsia="Times New Roman" w:hAnsi="Times New Roman" w:cs="Times New Roman"/>
          <w:sz w:val="24"/>
          <w:szCs w:val="24"/>
          <w:highlight w:val="yellow"/>
          <w:lang w:eastAsia="lv-LV"/>
        </w:rPr>
      </w:pPr>
    </w:p>
    <w:p w:rsidR="00A21560" w:rsidRDefault="00A21560" w:rsidP="00FE2CEF">
      <w:pPr>
        <w:spacing w:after="0" w:line="240" w:lineRule="auto"/>
        <w:rPr>
          <w:rFonts w:ascii="Times New Roman" w:eastAsia="Times New Roman" w:hAnsi="Times New Roman" w:cs="Times New Roman"/>
          <w:sz w:val="24"/>
          <w:szCs w:val="24"/>
          <w:highlight w:val="yellow"/>
          <w:lang w:eastAsia="lv-LV"/>
        </w:rPr>
      </w:pPr>
    </w:p>
    <w:p w:rsidR="00D07C0F" w:rsidRDefault="00D07C0F" w:rsidP="00FE2CEF">
      <w:pPr>
        <w:spacing w:after="0" w:line="240" w:lineRule="auto"/>
        <w:rPr>
          <w:rFonts w:ascii="Times New Roman" w:eastAsia="Times New Roman" w:hAnsi="Times New Roman" w:cs="Times New Roman"/>
          <w:sz w:val="24"/>
          <w:szCs w:val="24"/>
          <w:highlight w:val="yellow"/>
          <w:lang w:eastAsia="lv-LV"/>
        </w:rPr>
      </w:pPr>
    </w:p>
    <w:p w:rsidR="00D07C0F" w:rsidRDefault="00D07C0F" w:rsidP="00FE2CEF">
      <w:pPr>
        <w:spacing w:after="0" w:line="240" w:lineRule="auto"/>
        <w:rPr>
          <w:rFonts w:ascii="Times New Roman" w:eastAsia="Times New Roman" w:hAnsi="Times New Roman" w:cs="Times New Roman"/>
          <w:sz w:val="24"/>
          <w:szCs w:val="24"/>
          <w:highlight w:val="yellow"/>
          <w:lang w:eastAsia="lv-LV"/>
        </w:rPr>
      </w:pPr>
    </w:p>
    <w:p w:rsidR="00D07C0F" w:rsidRDefault="00D07C0F" w:rsidP="00FE2CEF">
      <w:pPr>
        <w:spacing w:after="0" w:line="240" w:lineRule="auto"/>
        <w:rPr>
          <w:rFonts w:ascii="Times New Roman" w:eastAsia="Times New Roman" w:hAnsi="Times New Roman" w:cs="Times New Roman"/>
          <w:sz w:val="24"/>
          <w:szCs w:val="24"/>
          <w:highlight w:val="yellow"/>
          <w:lang w:eastAsia="lv-LV"/>
        </w:rPr>
      </w:pPr>
    </w:p>
    <w:p w:rsidR="00A21560" w:rsidRPr="00BF0694" w:rsidRDefault="005C5223" w:rsidP="00A21560">
      <w:pPr>
        <w:tabs>
          <w:tab w:val="left" w:pos="2964"/>
        </w:tabs>
        <w:spacing w:after="0" w:line="240" w:lineRule="auto"/>
        <w:ind w:right="99"/>
        <w:jc w:val="both"/>
        <w:rPr>
          <w:rFonts w:ascii="Times New Roman" w:hAnsi="Times New Roman" w:cs="Times New Roman"/>
          <w:sz w:val="20"/>
          <w:szCs w:val="20"/>
        </w:rPr>
      </w:pPr>
      <w:r w:rsidRPr="00BF0694">
        <w:rPr>
          <w:rFonts w:ascii="Times New Roman" w:hAnsi="Times New Roman" w:cs="Times New Roman"/>
          <w:sz w:val="20"/>
          <w:szCs w:val="20"/>
        </w:rPr>
        <w:fldChar w:fldCharType="begin"/>
      </w:r>
      <w:r w:rsidR="00A21560" w:rsidRPr="00BF0694">
        <w:rPr>
          <w:rFonts w:ascii="Times New Roman" w:hAnsi="Times New Roman" w:cs="Times New Roman"/>
          <w:sz w:val="20"/>
          <w:szCs w:val="20"/>
        </w:rPr>
        <w:instrText xml:space="preserve"> TIME  \@ "dd.MM.yyyy. H:mm"  \* MERGEFORMAT </w:instrText>
      </w:r>
      <w:r w:rsidRPr="00BF0694">
        <w:rPr>
          <w:rFonts w:ascii="Times New Roman" w:hAnsi="Times New Roman" w:cs="Times New Roman"/>
          <w:sz w:val="20"/>
          <w:szCs w:val="20"/>
        </w:rPr>
        <w:fldChar w:fldCharType="separate"/>
      </w:r>
      <w:r w:rsidR="00E721EF">
        <w:rPr>
          <w:rFonts w:ascii="Times New Roman" w:hAnsi="Times New Roman" w:cs="Times New Roman"/>
          <w:noProof/>
          <w:sz w:val="20"/>
          <w:szCs w:val="20"/>
        </w:rPr>
        <w:t>15.07.2014. 8:48</w:t>
      </w:r>
      <w:r w:rsidRPr="00BF0694">
        <w:rPr>
          <w:rFonts w:ascii="Times New Roman" w:hAnsi="Times New Roman" w:cs="Times New Roman"/>
          <w:sz w:val="20"/>
          <w:szCs w:val="20"/>
        </w:rPr>
        <w:fldChar w:fldCharType="end"/>
      </w:r>
      <w:r w:rsidR="00A21560" w:rsidRPr="00BF0694">
        <w:rPr>
          <w:rFonts w:ascii="Times New Roman" w:hAnsi="Times New Roman" w:cs="Times New Roman"/>
          <w:noProof/>
          <w:sz w:val="20"/>
          <w:szCs w:val="20"/>
        </w:rPr>
        <w:tab/>
      </w:r>
    </w:p>
    <w:p w:rsidR="00A21560" w:rsidRPr="00BF0694" w:rsidRDefault="007B237D" w:rsidP="00A21560">
      <w:pPr>
        <w:tabs>
          <w:tab w:val="left" w:pos="2964"/>
        </w:tabs>
        <w:spacing w:after="0" w:line="240" w:lineRule="auto"/>
        <w:ind w:right="99"/>
        <w:jc w:val="both"/>
        <w:rPr>
          <w:rFonts w:ascii="Times New Roman" w:hAnsi="Times New Roman" w:cs="Times New Roman"/>
          <w:sz w:val="20"/>
          <w:szCs w:val="20"/>
        </w:rPr>
      </w:pPr>
      <w:fldSimple w:instr=" NUMWORDS   \* MERGEFORMAT ">
        <w:r w:rsidR="00C24FA2" w:rsidRPr="00C24FA2">
          <w:rPr>
            <w:rFonts w:ascii="Times New Roman" w:hAnsi="Times New Roman" w:cs="Times New Roman"/>
            <w:noProof/>
            <w:sz w:val="20"/>
            <w:szCs w:val="20"/>
          </w:rPr>
          <w:t>4055</w:t>
        </w:r>
      </w:fldSimple>
      <w:r w:rsidR="00A21560" w:rsidRPr="00BF0694">
        <w:rPr>
          <w:rFonts w:ascii="Times New Roman" w:hAnsi="Times New Roman" w:cs="Times New Roman"/>
          <w:noProof/>
          <w:sz w:val="20"/>
          <w:szCs w:val="20"/>
        </w:rPr>
        <w:tab/>
      </w:r>
    </w:p>
    <w:p w:rsidR="00A21560" w:rsidRPr="00BF0694" w:rsidRDefault="00A21560" w:rsidP="00A21560">
      <w:pPr>
        <w:spacing w:after="0" w:line="240" w:lineRule="auto"/>
        <w:rPr>
          <w:rFonts w:ascii="Times New Roman" w:hAnsi="Times New Roman" w:cs="Times New Roman"/>
          <w:sz w:val="20"/>
          <w:szCs w:val="20"/>
        </w:rPr>
      </w:pPr>
      <w:r w:rsidRPr="00BF0694">
        <w:rPr>
          <w:rFonts w:ascii="Times New Roman" w:hAnsi="Times New Roman" w:cs="Times New Roman"/>
          <w:sz w:val="20"/>
          <w:szCs w:val="20"/>
        </w:rPr>
        <w:t>I. Štrausa, 67021636</w:t>
      </w:r>
    </w:p>
    <w:p w:rsidR="00FE2CEF" w:rsidRPr="001170B8" w:rsidRDefault="00C26BE2" w:rsidP="00FE2CEF">
      <w:pPr>
        <w:spacing w:after="0" w:line="240" w:lineRule="auto"/>
        <w:rPr>
          <w:rFonts w:ascii="Times New Roman" w:hAnsi="Times New Roman" w:cs="Times New Roman"/>
          <w:sz w:val="20"/>
          <w:szCs w:val="20"/>
        </w:rPr>
      </w:pPr>
      <w:hyperlink r:id="rId11" w:history="1">
        <w:r w:rsidR="00A21560" w:rsidRPr="00A0653C">
          <w:rPr>
            <w:rStyle w:val="Hyperlink"/>
            <w:rFonts w:ascii="Times New Roman" w:hAnsi="Times New Roman" w:cs="Times New Roman"/>
            <w:sz w:val="20"/>
            <w:szCs w:val="20"/>
          </w:rPr>
          <w:t>Ilze.Strausa@lm.gov.lv</w:t>
        </w:r>
      </w:hyperlink>
    </w:p>
    <w:p w:rsidR="00623D45" w:rsidRDefault="00623D45" w:rsidP="00FE2CEF">
      <w:pPr>
        <w:spacing w:after="0" w:line="240" w:lineRule="auto"/>
        <w:rPr>
          <w:rFonts w:ascii="Times New Roman" w:eastAsia="Times New Roman" w:hAnsi="Times New Roman" w:cs="Times New Roman"/>
          <w:sz w:val="24"/>
          <w:szCs w:val="24"/>
          <w:highlight w:val="yellow"/>
          <w:lang w:eastAsia="lv-LV"/>
        </w:rPr>
      </w:pPr>
    </w:p>
    <w:sectPr w:rsidR="00623D45" w:rsidSect="008D5A46">
      <w:headerReference w:type="even" r:id="rId12"/>
      <w:headerReference w:type="default" r:id="rId13"/>
      <w:footerReference w:type="default" r:id="rId14"/>
      <w:footerReference w:type="first" r:id="rId15"/>
      <w:footnotePr>
        <w:numRestart w:val="eachPage"/>
      </w:footnotePr>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E2" w:rsidRDefault="00C26BE2" w:rsidP="00144A17">
      <w:pPr>
        <w:spacing w:after="0" w:line="240" w:lineRule="auto"/>
      </w:pPr>
      <w:r>
        <w:separator/>
      </w:r>
    </w:p>
  </w:endnote>
  <w:endnote w:type="continuationSeparator" w:id="0">
    <w:p w:rsidR="00C26BE2" w:rsidRDefault="00C26BE2" w:rsidP="0014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Latha">
    <w:panose1 w:val="020B0604020202020204"/>
    <w:charset w:val="00"/>
    <w:family w:val="swiss"/>
    <w:pitch w:val="variable"/>
    <w:sig w:usb0="001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07" w:rsidRDefault="00084107" w:rsidP="00F0449A">
    <w:pPr>
      <w:pStyle w:val="Footer"/>
      <w:jc w:val="both"/>
      <w:rPr>
        <w:rFonts w:ascii="Times New Roman" w:hAnsi="Times New Roman" w:cs="Times New Roman"/>
        <w:sz w:val="20"/>
        <w:szCs w:val="20"/>
      </w:rPr>
    </w:pPr>
  </w:p>
  <w:p w:rsidR="00084107" w:rsidRPr="00643785" w:rsidRDefault="002D4C8B" w:rsidP="00965856">
    <w:pPr>
      <w:spacing w:after="0" w:line="240" w:lineRule="auto"/>
      <w:ind w:right="-625"/>
      <w:jc w:val="both"/>
      <w:rPr>
        <w:rFonts w:ascii="Times New Roman" w:hAnsi="Times New Roman" w:cs="Times New Roman"/>
        <w:sz w:val="20"/>
        <w:szCs w:val="20"/>
      </w:rPr>
    </w:pPr>
    <w:r w:rsidRPr="002D4C8B">
      <w:rPr>
        <w:rFonts w:ascii="Times New Roman" w:hAnsi="Times New Roman" w:cs="Times New Roman"/>
      </w:rPr>
      <w:fldChar w:fldCharType="begin"/>
    </w:r>
    <w:r w:rsidRPr="002D4C8B">
      <w:rPr>
        <w:rFonts w:ascii="Times New Roman" w:hAnsi="Times New Roman" w:cs="Times New Roman"/>
      </w:rPr>
      <w:instrText xml:space="preserve"> FILENAME   \* MERGEFORMAT </w:instrText>
    </w:r>
    <w:r w:rsidRPr="002D4C8B">
      <w:rPr>
        <w:rFonts w:ascii="Times New Roman" w:hAnsi="Times New Roman" w:cs="Times New Roman"/>
      </w:rPr>
      <w:fldChar w:fldCharType="separate"/>
    </w:r>
    <w:r w:rsidR="0056362E" w:rsidRPr="0056362E">
      <w:rPr>
        <w:rFonts w:ascii="Times New Roman" w:hAnsi="Times New Roman" w:cs="Times New Roman"/>
        <w:noProof/>
        <w:sz w:val="20"/>
        <w:szCs w:val="20"/>
      </w:rPr>
      <w:t>LMAnot_150714_VSAA</w:t>
    </w:r>
    <w:r w:rsidRPr="002D4C8B">
      <w:rPr>
        <w:rFonts w:ascii="Times New Roman" w:hAnsi="Times New Roman" w:cs="Times New Roman"/>
        <w:noProof/>
        <w:sz w:val="20"/>
        <w:szCs w:val="20"/>
      </w:rPr>
      <w:fldChar w:fldCharType="end"/>
    </w:r>
    <w:r w:rsidR="00084107" w:rsidRPr="00A52E1D">
      <w:rPr>
        <w:rFonts w:ascii="Times New Roman" w:hAnsi="Times New Roman" w:cs="Times New Roman"/>
        <w:sz w:val="20"/>
        <w:szCs w:val="20"/>
      </w:rPr>
      <w:t xml:space="preserve">; </w:t>
    </w:r>
    <w:r w:rsidR="00084107" w:rsidRPr="00643785">
      <w:rPr>
        <w:rFonts w:ascii="Times New Roman" w:hAnsi="Times New Roman" w:cs="Times New Roman"/>
        <w:sz w:val="20"/>
        <w:szCs w:val="20"/>
      </w:rPr>
      <w:t>Ministru kabineta rīkojuma „Par apropriācijas pārdali Valsts sociālās a</w:t>
    </w:r>
    <w:r w:rsidR="005D4A93">
      <w:rPr>
        <w:rFonts w:ascii="Times New Roman" w:hAnsi="Times New Roman" w:cs="Times New Roman"/>
        <w:sz w:val="20"/>
        <w:szCs w:val="20"/>
      </w:rPr>
      <w:t>pdrošināšanas aģentūras funkcijas</w:t>
    </w:r>
    <w:r w:rsidR="00084107" w:rsidRPr="00643785">
      <w:rPr>
        <w:rFonts w:ascii="Times New Roman" w:hAnsi="Times New Roman" w:cs="Times New Roman"/>
        <w:sz w:val="20"/>
        <w:szCs w:val="20"/>
      </w:rPr>
      <w:t xml:space="preserve"> nodrošināšanai” projekta sākotnējās ietekmes novērtējuma ziņojums (anotācija)</w:t>
    </w:r>
  </w:p>
  <w:p w:rsidR="00084107" w:rsidRPr="00A52E1D" w:rsidRDefault="00084107" w:rsidP="00A52E1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07" w:rsidRDefault="00084107" w:rsidP="00144A17">
    <w:pPr>
      <w:pStyle w:val="Footer"/>
      <w:rPr>
        <w:rFonts w:ascii="Times New Roman" w:hAnsi="Times New Roman" w:cs="Times New Roman"/>
        <w:sz w:val="20"/>
        <w:szCs w:val="20"/>
      </w:rPr>
    </w:pPr>
  </w:p>
  <w:p w:rsidR="00084107" w:rsidRPr="002D4C8B" w:rsidRDefault="002D4C8B" w:rsidP="00643785">
    <w:pPr>
      <w:spacing w:after="0" w:line="240" w:lineRule="auto"/>
      <w:ind w:right="-625"/>
      <w:jc w:val="both"/>
      <w:rPr>
        <w:rFonts w:ascii="Times New Roman" w:hAnsi="Times New Roman" w:cs="Times New Roman"/>
        <w:sz w:val="20"/>
        <w:szCs w:val="20"/>
      </w:rPr>
    </w:pPr>
    <w:r w:rsidRPr="002D4C8B">
      <w:rPr>
        <w:rFonts w:ascii="Times New Roman" w:hAnsi="Times New Roman" w:cs="Times New Roman"/>
      </w:rPr>
      <w:fldChar w:fldCharType="begin"/>
    </w:r>
    <w:r w:rsidRPr="002D4C8B">
      <w:rPr>
        <w:rFonts w:ascii="Times New Roman" w:hAnsi="Times New Roman" w:cs="Times New Roman"/>
      </w:rPr>
      <w:instrText xml:space="preserve"> FILENAME   \* MERGEFORMAT </w:instrText>
    </w:r>
    <w:r w:rsidRPr="002D4C8B">
      <w:rPr>
        <w:rFonts w:ascii="Times New Roman" w:hAnsi="Times New Roman" w:cs="Times New Roman"/>
      </w:rPr>
      <w:fldChar w:fldCharType="separate"/>
    </w:r>
    <w:r w:rsidR="00E721EF" w:rsidRPr="00E721EF">
      <w:rPr>
        <w:rFonts w:ascii="Times New Roman" w:hAnsi="Times New Roman" w:cs="Times New Roman"/>
        <w:noProof/>
        <w:sz w:val="20"/>
        <w:szCs w:val="20"/>
      </w:rPr>
      <w:t>LMAnot_150714_VSAA</w:t>
    </w:r>
    <w:r w:rsidRPr="002D4C8B">
      <w:rPr>
        <w:rFonts w:ascii="Times New Roman" w:hAnsi="Times New Roman" w:cs="Times New Roman"/>
        <w:noProof/>
        <w:sz w:val="20"/>
        <w:szCs w:val="20"/>
      </w:rPr>
      <w:fldChar w:fldCharType="end"/>
    </w:r>
    <w:r w:rsidR="00084107" w:rsidRPr="002D4C8B">
      <w:rPr>
        <w:rFonts w:ascii="Times New Roman" w:hAnsi="Times New Roman" w:cs="Times New Roman"/>
        <w:sz w:val="20"/>
        <w:szCs w:val="20"/>
      </w:rPr>
      <w:t>; Ministru kabineta rīkojuma „Par apropriācijas pārdali Valsts sociālās apdrošināšanas aģentūras funkcij</w:t>
    </w:r>
    <w:r w:rsidR="005D4A93">
      <w:rPr>
        <w:rFonts w:ascii="Times New Roman" w:hAnsi="Times New Roman" w:cs="Times New Roman"/>
        <w:sz w:val="20"/>
        <w:szCs w:val="20"/>
      </w:rPr>
      <w:t>as</w:t>
    </w:r>
    <w:r w:rsidR="00084107" w:rsidRPr="002D4C8B">
      <w:rPr>
        <w:rFonts w:ascii="Times New Roman" w:hAnsi="Times New Roman" w:cs="Times New Roman"/>
        <w:sz w:val="20"/>
        <w:szCs w:val="20"/>
      </w:rPr>
      <w:t xml:space="preserve"> nodrošināšanai” projekta sākotnējās ietekmes novērtējuma ziņojums (anotācija)</w:t>
    </w:r>
  </w:p>
  <w:p w:rsidR="00084107" w:rsidRPr="002D4C8B" w:rsidRDefault="00084107" w:rsidP="00A52E1D">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E2" w:rsidRDefault="00C26BE2" w:rsidP="00144A17">
      <w:pPr>
        <w:spacing w:after="0" w:line="240" w:lineRule="auto"/>
      </w:pPr>
      <w:r>
        <w:separator/>
      </w:r>
    </w:p>
  </w:footnote>
  <w:footnote w:type="continuationSeparator" w:id="0">
    <w:p w:rsidR="00C26BE2" w:rsidRDefault="00C26BE2" w:rsidP="00144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07" w:rsidRDefault="005C5223" w:rsidP="00F0449A">
    <w:pPr>
      <w:pStyle w:val="Header"/>
      <w:framePr w:wrap="around" w:vAnchor="text" w:hAnchor="margin" w:xAlign="center" w:y="1"/>
      <w:rPr>
        <w:rStyle w:val="PageNumber"/>
      </w:rPr>
    </w:pPr>
    <w:r>
      <w:rPr>
        <w:rStyle w:val="PageNumber"/>
      </w:rPr>
      <w:fldChar w:fldCharType="begin"/>
    </w:r>
    <w:r w:rsidR="00084107">
      <w:rPr>
        <w:rStyle w:val="PageNumber"/>
      </w:rPr>
      <w:instrText xml:space="preserve">PAGE  </w:instrText>
    </w:r>
    <w:r>
      <w:rPr>
        <w:rStyle w:val="PageNumber"/>
      </w:rPr>
      <w:fldChar w:fldCharType="end"/>
    </w:r>
  </w:p>
  <w:p w:rsidR="00084107" w:rsidRDefault="00084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07" w:rsidRPr="008519D9" w:rsidRDefault="005C5223" w:rsidP="00F0449A">
    <w:pPr>
      <w:pStyle w:val="Header"/>
      <w:framePr w:wrap="around" w:vAnchor="text" w:hAnchor="margin" w:xAlign="center" w:y="1"/>
      <w:rPr>
        <w:rStyle w:val="PageNumber"/>
        <w:rFonts w:ascii="Times New Roman" w:hAnsi="Times New Roman" w:cs="Times New Roman"/>
      </w:rPr>
    </w:pPr>
    <w:r w:rsidRPr="008519D9">
      <w:rPr>
        <w:rStyle w:val="PageNumber"/>
        <w:rFonts w:ascii="Times New Roman" w:hAnsi="Times New Roman" w:cs="Times New Roman"/>
      </w:rPr>
      <w:fldChar w:fldCharType="begin"/>
    </w:r>
    <w:r w:rsidR="00084107" w:rsidRPr="008519D9">
      <w:rPr>
        <w:rStyle w:val="PageNumber"/>
        <w:rFonts w:ascii="Times New Roman" w:hAnsi="Times New Roman" w:cs="Times New Roman"/>
      </w:rPr>
      <w:instrText xml:space="preserve">PAGE  </w:instrText>
    </w:r>
    <w:r w:rsidRPr="008519D9">
      <w:rPr>
        <w:rStyle w:val="PageNumber"/>
        <w:rFonts w:ascii="Times New Roman" w:hAnsi="Times New Roman" w:cs="Times New Roman"/>
      </w:rPr>
      <w:fldChar w:fldCharType="separate"/>
    </w:r>
    <w:r w:rsidR="00E721EF">
      <w:rPr>
        <w:rStyle w:val="PageNumber"/>
        <w:rFonts w:ascii="Times New Roman" w:hAnsi="Times New Roman" w:cs="Times New Roman"/>
        <w:noProof/>
      </w:rPr>
      <w:t>12</w:t>
    </w:r>
    <w:r w:rsidRPr="008519D9">
      <w:rPr>
        <w:rStyle w:val="PageNumber"/>
        <w:rFonts w:ascii="Times New Roman" w:hAnsi="Times New Roman" w:cs="Times New Roman"/>
      </w:rPr>
      <w:fldChar w:fldCharType="end"/>
    </w:r>
  </w:p>
  <w:p w:rsidR="00084107" w:rsidRDefault="00084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27"/>
    <w:multiLevelType w:val="hybridMultilevel"/>
    <w:tmpl w:val="93FA78A4"/>
    <w:lvl w:ilvl="0" w:tplc="F0F69B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24006F8"/>
    <w:multiLevelType w:val="hybridMultilevel"/>
    <w:tmpl w:val="1156782A"/>
    <w:lvl w:ilvl="0" w:tplc="04260001">
      <w:start w:val="1"/>
      <w:numFmt w:val="bullet"/>
      <w:lvlText w:val=""/>
      <w:lvlJc w:val="left"/>
      <w:pPr>
        <w:ind w:left="975" w:hanging="360"/>
      </w:pPr>
      <w:rPr>
        <w:rFonts w:ascii="Symbol" w:hAnsi="Symbol" w:hint="default"/>
      </w:rPr>
    </w:lvl>
    <w:lvl w:ilvl="1" w:tplc="04260003" w:tentative="1">
      <w:start w:val="1"/>
      <w:numFmt w:val="bullet"/>
      <w:lvlText w:val="o"/>
      <w:lvlJc w:val="left"/>
      <w:pPr>
        <w:ind w:left="1695" w:hanging="360"/>
      </w:pPr>
      <w:rPr>
        <w:rFonts w:ascii="Courier New" w:hAnsi="Courier New" w:cs="Courier New" w:hint="default"/>
      </w:rPr>
    </w:lvl>
    <w:lvl w:ilvl="2" w:tplc="04260005" w:tentative="1">
      <w:start w:val="1"/>
      <w:numFmt w:val="bullet"/>
      <w:lvlText w:val=""/>
      <w:lvlJc w:val="left"/>
      <w:pPr>
        <w:ind w:left="2415" w:hanging="360"/>
      </w:pPr>
      <w:rPr>
        <w:rFonts w:ascii="Wingdings" w:hAnsi="Wingdings" w:hint="default"/>
      </w:rPr>
    </w:lvl>
    <w:lvl w:ilvl="3" w:tplc="04260001" w:tentative="1">
      <w:start w:val="1"/>
      <w:numFmt w:val="bullet"/>
      <w:lvlText w:val=""/>
      <w:lvlJc w:val="left"/>
      <w:pPr>
        <w:ind w:left="3135" w:hanging="360"/>
      </w:pPr>
      <w:rPr>
        <w:rFonts w:ascii="Symbol" w:hAnsi="Symbol" w:hint="default"/>
      </w:rPr>
    </w:lvl>
    <w:lvl w:ilvl="4" w:tplc="04260003" w:tentative="1">
      <w:start w:val="1"/>
      <w:numFmt w:val="bullet"/>
      <w:lvlText w:val="o"/>
      <w:lvlJc w:val="left"/>
      <w:pPr>
        <w:ind w:left="3855" w:hanging="360"/>
      </w:pPr>
      <w:rPr>
        <w:rFonts w:ascii="Courier New" w:hAnsi="Courier New" w:cs="Courier New" w:hint="default"/>
      </w:rPr>
    </w:lvl>
    <w:lvl w:ilvl="5" w:tplc="04260005" w:tentative="1">
      <w:start w:val="1"/>
      <w:numFmt w:val="bullet"/>
      <w:lvlText w:val=""/>
      <w:lvlJc w:val="left"/>
      <w:pPr>
        <w:ind w:left="4575" w:hanging="360"/>
      </w:pPr>
      <w:rPr>
        <w:rFonts w:ascii="Wingdings" w:hAnsi="Wingdings" w:hint="default"/>
      </w:rPr>
    </w:lvl>
    <w:lvl w:ilvl="6" w:tplc="04260001" w:tentative="1">
      <w:start w:val="1"/>
      <w:numFmt w:val="bullet"/>
      <w:lvlText w:val=""/>
      <w:lvlJc w:val="left"/>
      <w:pPr>
        <w:ind w:left="5295" w:hanging="360"/>
      </w:pPr>
      <w:rPr>
        <w:rFonts w:ascii="Symbol" w:hAnsi="Symbol" w:hint="default"/>
      </w:rPr>
    </w:lvl>
    <w:lvl w:ilvl="7" w:tplc="04260003" w:tentative="1">
      <w:start w:val="1"/>
      <w:numFmt w:val="bullet"/>
      <w:lvlText w:val="o"/>
      <w:lvlJc w:val="left"/>
      <w:pPr>
        <w:ind w:left="6015" w:hanging="360"/>
      </w:pPr>
      <w:rPr>
        <w:rFonts w:ascii="Courier New" w:hAnsi="Courier New" w:cs="Courier New" w:hint="default"/>
      </w:rPr>
    </w:lvl>
    <w:lvl w:ilvl="8" w:tplc="04260005" w:tentative="1">
      <w:start w:val="1"/>
      <w:numFmt w:val="bullet"/>
      <w:lvlText w:val=""/>
      <w:lvlJc w:val="left"/>
      <w:pPr>
        <w:ind w:left="6735" w:hanging="360"/>
      </w:pPr>
      <w:rPr>
        <w:rFonts w:ascii="Wingdings" w:hAnsi="Wingdings" w:hint="default"/>
      </w:rPr>
    </w:lvl>
  </w:abstractNum>
  <w:abstractNum w:abstractNumId="2">
    <w:nsid w:val="09746B25"/>
    <w:multiLevelType w:val="hybridMultilevel"/>
    <w:tmpl w:val="5C662A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1D9C2D24"/>
    <w:multiLevelType w:val="hybridMultilevel"/>
    <w:tmpl w:val="F49A740E"/>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4">
    <w:nsid w:val="1EE32D32"/>
    <w:multiLevelType w:val="hybridMultilevel"/>
    <w:tmpl w:val="36E076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22817666"/>
    <w:multiLevelType w:val="hybridMultilevel"/>
    <w:tmpl w:val="F9FCDE2C"/>
    <w:lvl w:ilvl="0" w:tplc="04260001">
      <w:start w:val="1"/>
      <w:numFmt w:val="bullet"/>
      <w:lvlText w:val=""/>
      <w:lvlJc w:val="left"/>
      <w:pPr>
        <w:ind w:left="1089" w:hanging="360"/>
      </w:pPr>
      <w:rPr>
        <w:rFonts w:ascii="Symbol" w:hAnsi="Symbol"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6">
    <w:nsid w:val="26362CAD"/>
    <w:multiLevelType w:val="hybridMultilevel"/>
    <w:tmpl w:val="3C4C929A"/>
    <w:lvl w:ilvl="0" w:tplc="D39214A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652145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9F64872"/>
    <w:multiLevelType w:val="hybridMultilevel"/>
    <w:tmpl w:val="ECBEC9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41EC39BD"/>
    <w:multiLevelType w:val="hybridMultilevel"/>
    <w:tmpl w:val="6C02F23A"/>
    <w:lvl w:ilvl="0" w:tplc="2664303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A1512B2"/>
    <w:multiLevelType w:val="multilevel"/>
    <w:tmpl w:val="82045B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FF20391"/>
    <w:multiLevelType w:val="hybridMultilevel"/>
    <w:tmpl w:val="1D70AA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62D41D8D"/>
    <w:multiLevelType w:val="hybridMultilevel"/>
    <w:tmpl w:val="A4EEB412"/>
    <w:lvl w:ilvl="0" w:tplc="04260001">
      <w:start w:val="1"/>
      <w:numFmt w:val="bullet"/>
      <w:lvlText w:val=""/>
      <w:lvlJc w:val="left"/>
      <w:pPr>
        <w:ind w:left="1089" w:hanging="360"/>
      </w:pPr>
      <w:rPr>
        <w:rFonts w:ascii="Symbol" w:hAnsi="Symbol" w:hint="default"/>
      </w:rPr>
    </w:lvl>
    <w:lvl w:ilvl="1" w:tplc="04260003" w:tentative="1">
      <w:start w:val="1"/>
      <w:numFmt w:val="bullet"/>
      <w:lvlText w:val="o"/>
      <w:lvlJc w:val="left"/>
      <w:pPr>
        <w:ind w:left="1809" w:hanging="360"/>
      </w:pPr>
      <w:rPr>
        <w:rFonts w:ascii="Courier New" w:hAnsi="Courier New" w:cs="Courier New" w:hint="default"/>
      </w:rPr>
    </w:lvl>
    <w:lvl w:ilvl="2" w:tplc="04260005" w:tentative="1">
      <w:start w:val="1"/>
      <w:numFmt w:val="bullet"/>
      <w:lvlText w:val=""/>
      <w:lvlJc w:val="left"/>
      <w:pPr>
        <w:ind w:left="2529" w:hanging="360"/>
      </w:pPr>
      <w:rPr>
        <w:rFonts w:ascii="Wingdings" w:hAnsi="Wingdings" w:hint="default"/>
      </w:rPr>
    </w:lvl>
    <w:lvl w:ilvl="3" w:tplc="04260001" w:tentative="1">
      <w:start w:val="1"/>
      <w:numFmt w:val="bullet"/>
      <w:lvlText w:val=""/>
      <w:lvlJc w:val="left"/>
      <w:pPr>
        <w:ind w:left="3249" w:hanging="360"/>
      </w:pPr>
      <w:rPr>
        <w:rFonts w:ascii="Symbol" w:hAnsi="Symbol" w:hint="default"/>
      </w:rPr>
    </w:lvl>
    <w:lvl w:ilvl="4" w:tplc="04260003" w:tentative="1">
      <w:start w:val="1"/>
      <w:numFmt w:val="bullet"/>
      <w:lvlText w:val="o"/>
      <w:lvlJc w:val="left"/>
      <w:pPr>
        <w:ind w:left="3969" w:hanging="360"/>
      </w:pPr>
      <w:rPr>
        <w:rFonts w:ascii="Courier New" w:hAnsi="Courier New" w:cs="Courier New" w:hint="default"/>
      </w:rPr>
    </w:lvl>
    <w:lvl w:ilvl="5" w:tplc="04260005" w:tentative="1">
      <w:start w:val="1"/>
      <w:numFmt w:val="bullet"/>
      <w:lvlText w:val=""/>
      <w:lvlJc w:val="left"/>
      <w:pPr>
        <w:ind w:left="4689" w:hanging="360"/>
      </w:pPr>
      <w:rPr>
        <w:rFonts w:ascii="Wingdings" w:hAnsi="Wingdings" w:hint="default"/>
      </w:rPr>
    </w:lvl>
    <w:lvl w:ilvl="6" w:tplc="04260001" w:tentative="1">
      <w:start w:val="1"/>
      <w:numFmt w:val="bullet"/>
      <w:lvlText w:val=""/>
      <w:lvlJc w:val="left"/>
      <w:pPr>
        <w:ind w:left="5409" w:hanging="360"/>
      </w:pPr>
      <w:rPr>
        <w:rFonts w:ascii="Symbol" w:hAnsi="Symbol" w:hint="default"/>
      </w:rPr>
    </w:lvl>
    <w:lvl w:ilvl="7" w:tplc="04260003" w:tentative="1">
      <w:start w:val="1"/>
      <w:numFmt w:val="bullet"/>
      <w:lvlText w:val="o"/>
      <w:lvlJc w:val="left"/>
      <w:pPr>
        <w:ind w:left="6129" w:hanging="360"/>
      </w:pPr>
      <w:rPr>
        <w:rFonts w:ascii="Courier New" w:hAnsi="Courier New" w:cs="Courier New" w:hint="default"/>
      </w:rPr>
    </w:lvl>
    <w:lvl w:ilvl="8" w:tplc="04260005" w:tentative="1">
      <w:start w:val="1"/>
      <w:numFmt w:val="bullet"/>
      <w:lvlText w:val=""/>
      <w:lvlJc w:val="left"/>
      <w:pPr>
        <w:ind w:left="6849" w:hanging="360"/>
      </w:pPr>
      <w:rPr>
        <w:rFonts w:ascii="Wingdings" w:hAnsi="Wingdings" w:hint="default"/>
      </w:rPr>
    </w:lvl>
  </w:abstractNum>
  <w:abstractNum w:abstractNumId="13">
    <w:nsid w:val="68280931"/>
    <w:multiLevelType w:val="hybridMultilevel"/>
    <w:tmpl w:val="B6E40094"/>
    <w:lvl w:ilvl="0" w:tplc="1A28D79A">
      <w:numFmt w:val="bullet"/>
      <w:lvlText w:val="-"/>
      <w:lvlJc w:val="left"/>
      <w:pPr>
        <w:tabs>
          <w:tab w:val="num" w:pos="360"/>
        </w:tabs>
        <w:ind w:left="360" w:hanging="360"/>
      </w:pPr>
      <w:rPr>
        <w:rFonts w:ascii="TimesNewRomanPSMT" w:eastAsia="Latha" w:hAnsi="TimesNewRomanPSMT" w:cs="Arial" w:hint="default"/>
        <w:sz w:val="22"/>
      </w:rPr>
    </w:lvl>
    <w:lvl w:ilvl="1" w:tplc="1A28D79A">
      <w:numFmt w:val="bullet"/>
      <w:lvlText w:val="-"/>
      <w:lvlJc w:val="left"/>
      <w:pPr>
        <w:tabs>
          <w:tab w:val="num" w:pos="1440"/>
        </w:tabs>
        <w:ind w:left="1440" w:hanging="360"/>
      </w:pPr>
      <w:rPr>
        <w:rFonts w:ascii="TimesNewRomanPSMT" w:eastAsia="Latha" w:hAnsi="TimesNewRomanPSMT" w:cs="Arial" w:hint="default"/>
        <w:sz w:val="22"/>
      </w:rPr>
    </w:lvl>
    <w:lvl w:ilvl="2" w:tplc="C2A81884">
      <w:start w:val="10"/>
      <w:numFmt w:val="decimal"/>
      <w:lvlText w:val="%3"/>
      <w:lvlJc w:val="left"/>
      <w:pPr>
        <w:ind w:left="2340" w:hanging="360"/>
      </w:pPr>
      <w:rPr>
        <w:rFonts w:hint="default"/>
      </w:rPr>
    </w:lvl>
    <w:lvl w:ilvl="3" w:tplc="76528880">
      <w:start w:val="1"/>
      <w:numFmt w:val="decimal"/>
      <w:lvlText w:val="%4."/>
      <w:lvlJc w:val="left"/>
      <w:pPr>
        <w:ind w:left="2880" w:hanging="360"/>
      </w:pPr>
      <w:rPr>
        <w:rFonts w:ascii="Times New Roman" w:eastAsia="Times New Roman" w:hAnsi="Times New Roman" w:cs="Times New Roman"/>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nsid w:val="69F10A3A"/>
    <w:multiLevelType w:val="hybridMultilevel"/>
    <w:tmpl w:val="EB9418F8"/>
    <w:lvl w:ilvl="0" w:tplc="1A28D79A">
      <w:numFmt w:val="bullet"/>
      <w:lvlText w:val="-"/>
      <w:lvlJc w:val="left"/>
      <w:pPr>
        <w:tabs>
          <w:tab w:val="num" w:pos="360"/>
        </w:tabs>
        <w:ind w:left="360" w:hanging="360"/>
      </w:pPr>
      <w:rPr>
        <w:rFonts w:ascii="TimesNewRomanPSMT" w:eastAsia="Latha" w:hAnsi="TimesNewRomanPSMT" w:cs="Arial" w:hint="default"/>
        <w:sz w:val="22"/>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6E9C1B99"/>
    <w:multiLevelType w:val="multilevel"/>
    <w:tmpl w:val="104A4AA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D55CC3"/>
    <w:multiLevelType w:val="hybridMultilevel"/>
    <w:tmpl w:val="BB2ADF7E"/>
    <w:lvl w:ilvl="0" w:tplc="5306A894">
      <w:start w:val="2"/>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9"/>
  </w:num>
  <w:num w:numId="3">
    <w:abstractNumId w:val="11"/>
  </w:num>
  <w:num w:numId="4">
    <w:abstractNumId w:val="8"/>
  </w:num>
  <w:num w:numId="5">
    <w:abstractNumId w:val="4"/>
  </w:num>
  <w:num w:numId="6">
    <w:abstractNumId w:val="2"/>
  </w:num>
  <w:num w:numId="7">
    <w:abstractNumId w:val="5"/>
  </w:num>
  <w:num w:numId="8">
    <w:abstractNumId w:val="1"/>
  </w:num>
  <w:num w:numId="9">
    <w:abstractNumId w:val="3"/>
  </w:num>
  <w:num w:numId="10">
    <w:abstractNumId w:val="12"/>
  </w:num>
  <w:num w:numId="11">
    <w:abstractNumId w:val="0"/>
  </w:num>
  <w:num w:numId="12">
    <w:abstractNumId w:val="14"/>
  </w:num>
  <w:num w:numId="13">
    <w:abstractNumId w:val="13"/>
  </w:num>
  <w:num w:numId="14">
    <w:abstractNumId w:val="10"/>
  </w:num>
  <w:num w:numId="15">
    <w:abstractNumId w:val="6"/>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17"/>
    <w:rsid w:val="0002209A"/>
    <w:rsid w:val="00033EEF"/>
    <w:rsid w:val="00034DB8"/>
    <w:rsid w:val="00045963"/>
    <w:rsid w:val="00062F2C"/>
    <w:rsid w:val="00077D2B"/>
    <w:rsid w:val="00084107"/>
    <w:rsid w:val="000A5057"/>
    <w:rsid w:val="000A73B1"/>
    <w:rsid w:val="000C0C55"/>
    <w:rsid w:val="000C31C5"/>
    <w:rsid w:val="000C4FF6"/>
    <w:rsid w:val="000C63E1"/>
    <w:rsid w:val="000D406B"/>
    <w:rsid w:val="000E464F"/>
    <w:rsid w:val="000F73F2"/>
    <w:rsid w:val="0011363D"/>
    <w:rsid w:val="00114F16"/>
    <w:rsid w:val="00114F33"/>
    <w:rsid w:val="001156D5"/>
    <w:rsid w:val="001170B8"/>
    <w:rsid w:val="00122749"/>
    <w:rsid w:val="0012631F"/>
    <w:rsid w:val="0013409F"/>
    <w:rsid w:val="00136834"/>
    <w:rsid w:val="0014159F"/>
    <w:rsid w:val="00144A17"/>
    <w:rsid w:val="00145364"/>
    <w:rsid w:val="001461E8"/>
    <w:rsid w:val="00156B94"/>
    <w:rsid w:val="00171B6D"/>
    <w:rsid w:val="0017333C"/>
    <w:rsid w:val="00184EA4"/>
    <w:rsid w:val="00195C77"/>
    <w:rsid w:val="0019661D"/>
    <w:rsid w:val="001A3AA1"/>
    <w:rsid w:val="001B46A8"/>
    <w:rsid w:val="001C7430"/>
    <w:rsid w:val="001E0239"/>
    <w:rsid w:val="001E24BF"/>
    <w:rsid w:val="001E3513"/>
    <w:rsid w:val="001F19F0"/>
    <w:rsid w:val="0020602A"/>
    <w:rsid w:val="00206473"/>
    <w:rsid w:val="00211392"/>
    <w:rsid w:val="00213DE2"/>
    <w:rsid w:val="00216E4F"/>
    <w:rsid w:val="00255B9C"/>
    <w:rsid w:val="00273F47"/>
    <w:rsid w:val="00277254"/>
    <w:rsid w:val="002809B5"/>
    <w:rsid w:val="00292AAD"/>
    <w:rsid w:val="00293380"/>
    <w:rsid w:val="00295874"/>
    <w:rsid w:val="002B016B"/>
    <w:rsid w:val="002B19FF"/>
    <w:rsid w:val="002B5D7B"/>
    <w:rsid w:val="002D4C8B"/>
    <w:rsid w:val="002D7E9B"/>
    <w:rsid w:val="002E20FE"/>
    <w:rsid w:val="002E2AED"/>
    <w:rsid w:val="002E2D32"/>
    <w:rsid w:val="002E7D17"/>
    <w:rsid w:val="0030681E"/>
    <w:rsid w:val="00312CDE"/>
    <w:rsid w:val="00333B56"/>
    <w:rsid w:val="00341F4C"/>
    <w:rsid w:val="00342691"/>
    <w:rsid w:val="00347987"/>
    <w:rsid w:val="0035306E"/>
    <w:rsid w:val="00357C99"/>
    <w:rsid w:val="00373930"/>
    <w:rsid w:val="003829BF"/>
    <w:rsid w:val="003A27A2"/>
    <w:rsid w:val="003A7F54"/>
    <w:rsid w:val="003B0750"/>
    <w:rsid w:val="003C6274"/>
    <w:rsid w:val="003D3B3E"/>
    <w:rsid w:val="003E7C2C"/>
    <w:rsid w:val="003F0304"/>
    <w:rsid w:val="003F4D9D"/>
    <w:rsid w:val="00406ABC"/>
    <w:rsid w:val="00407639"/>
    <w:rsid w:val="0041161C"/>
    <w:rsid w:val="00412B84"/>
    <w:rsid w:val="00427E56"/>
    <w:rsid w:val="00430739"/>
    <w:rsid w:val="00431129"/>
    <w:rsid w:val="00433E8E"/>
    <w:rsid w:val="0044094A"/>
    <w:rsid w:val="00451E10"/>
    <w:rsid w:val="0045223A"/>
    <w:rsid w:val="004600F0"/>
    <w:rsid w:val="00467DB7"/>
    <w:rsid w:val="004847A5"/>
    <w:rsid w:val="00484F8B"/>
    <w:rsid w:val="00496137"/>
    <w:rsid w:val="004A26DB"/>
    <w:rsid w:val="004B7138"/>
    <w:rsid w:val="004C0753"/>
    <w:rsid w:val="004D283D"/>
    <w:rsid w:val="004E0BA4"/>
    <w:rsid w:val="004F1099"/>
    <w:rsid w:val="005018A9"/>
    <w:rsid w:val="00502C48"/>
    <w:rsid w:val="00504818"/>
    <w:rsid w:val="00507178"/>
    <w:rsid w:val="0052068B"/>
    <w:rsid w:val="00530068"/>
    <w:rsid w:val="005322EE"/>
    <w:rsid w:val="005341C7"/>
    <w:rsid w:val="00540EB7"/>
    <w:rsid w:val="0054574B"/>
    <w:rsid w:val="00551FE7"/>
    <w:rsid w:val="005610E0"/>
    <w:rsid w:val="0056362E"/>
    <w:rsid w:val="00575491"/>
    <w:rsid w:val="00585012"/>
    <w:rsid w:val="00587D90"/>
    <w:rsid w:val="00592027"/>
    <w:rsid w:val="00592728"/>
    <w:rsid w:val="00595D7F"/>
    <w:rsid w:val="005A11D8"/>
    <w:rsid w:val="005A5739"/>
    <w:rsid w:val="005B4D1E"/>
    <w:rsid w:val="005C5223"/>
    <w:rsid w:val="005D4A93"/>
    <w:rsid w:val="005F5E23"/>
    <w:rsid w:val="00607B2E"/>
    <w:rsid w:val="00617DFD"/>
    <w:rsid w:val="0062196D"/>
    <w:rsid w:val="0062317F"/>
    <w:rsid w:val="00623D45"/>
    <w:rsid w:val="00631FE6"/>
    <w:rsid w:val="0063376D"/>
    <w:rsid w:val="00643785"/>
    <w:rsid w:val="00646A88"/>
    <w:rsid w:val="00650630"/>
    <w:rsid w:val="006624C2"/>
    <w:rsid w:val="00662CAD"/>
    <w:rsid w:val="0066475B"/>
    <w:rsid w:val="006669B9"/>
    <w:rsid w:val="00677066"/>
    <w:rsid w:val="006839B0"/>
    <w:rsid w:val="00693913"/>
    <w:rsid w:val="00694F26"/>
    <w:rsid w:val="00697F85"/>
    <w:rsid w:val="006B20CE"/>
    <w:rsid w:val="006B3BCC"/>
    <w:rsid w:val="006B4CD8"/>
    <w:rsid w:val="006B5A2D"/>
    <w:rsid w:val="006C2766"/>
    <w:rsid w:val="006C4506"/>
    <w:rsid w:val="006C4A13"/>
    <w:rsid w:val="006D2C2B"/>
    <w:rsid w:val="006D5CC9"/>
    <w:rsid w:val="006E0A97"/>
    <w:rsid w:val="006F074E"/>
    <w:rsid w:val="006F4C4B"/>
    <w:rsid w:val="006F5D28"/>
    <w:rsid w:val="00705919"/>
    <w:rsid w:val="00711209"/>
    <w:rsid w:val="00712DFC"/>
    <w:rsid w:val="00716594"/>
    <w:rsid w:val="00717038"/>
    <w:rsid w:val="0072060D"/>
    <w:rsid w:val="007232EF"/>
    <w:rsid w:val="00732506"/>
    <w:rsid w:val="00736C55"/>
    <w:rsid w:val="00754BB7"/>
    <w:rsid w:val="00757298"/>
    <w:rsid w:val="007618F2"/>
    <w:rsid w:val="00766E57"/>
    <w:rsid w:val="007709D5"/>
    <w:rsid w:val="00785412"/>
    <w:rsid w:val="007870A1"/>
    <w:rsid w:val="007B1C04"/>
    <w:rsid w:val="007B237D"/>
    <w:rsid w:val="007B24A9"/>
    <w:rsid w:val="007C0BE8"/>
    <w:rsid w:val="007C16FE"/>
    <w:rsid w:val="007C3E84"/>
    <w:rsid w:val="007E3C0E"/>
    <w:rsid w:val="007F3648"/>
    <w:rsid w:val="00800167"/>
    <w:rsid w:val="00806C12"/>
    <w:rsid w:val="00811A1C"/>
    <w:rsid w:val="00824C6F"/>
    <w:rsid w:val="00836175"/>
    <w:rsid w:val="00843859"/>
    <w:rsid w:val="00851C82"/>
    <w:rsid w:val="00852ABC"/>
    <w:rsid w:val="008665DD"/>
    <w:rsid w:val="0087153D"/>
    <w:rsid w:val="008744A1"/>
    <w:rsid w:val="008810C2"/>
    <w:rsid w:val="0088442A"/>
    <w:rsid w:val="00884CFE"/>
    <w:rsid w:val="0089167D"/>
    <w:rsid w:val="00893EDD"/>
    <w:rsid w:val="008A3BF5"/>
    <w:rsid w:val="008B3726"/>
    <w:rsid w:val="008B7886"/>
    <w:rsid w:val="008C19F3"/>
    <w:rsid w:val="008C70F8"/>
    <w:rsid w:val="008D5A46"/>
    <w:rsid w:val="008E13F8"/>
    <w:rsid w:val="008F179D"/>
    <w:rsid w:val="009031B9"/>
    <w:rsid w:val="00916CB5"/>
    <w:rsid w:val="00917AF6"/>
    <w:rsid w:val="00921FD4"/>
    <w:rsid w:val="00926409"/>
    <w:rsid w:val="00934891"/>
    <w:rsid w:val="009436B4"/>
    <w:rsid w:val="00945184"/>
    <w:rsid w:val="00945654"/>
    <w:rsid w:val="00950DB3"/>
    <w:rsid w:val="00954A8C"/>
    <w:rsid w:val="00965250"/>
    <w:rsid w:val="00965856"/>
    <w:rsid w:val="00966199"/>
    <w:rsid w:val="00980BE3"/>
    <w:rsid w:val="00982188"/>
    <w:rsid w:val="0098577C"/>
    <w:rsid w:val="009913C5"/>
    <w:rsid w:val="009977E7"/>
    <w:rsid w:val="009A1090"/>
    <w:rsid w:val="009A57F0"/>
    <w:rsid w:val="009B25EF"/>
    <w:rsid w:val="009B6660"/>
    <w:rsid w:val="009B7F63"/>
    <w:rsid w:val="009F0BA6"/>
    <w:rsid w:val="009F45AC"/>
    <w:rsid w:val="009F7125"/>
    <w:rsid w:val="009F787A"/>
    <w:rsid w:val="00A14129"/>
    <w:rsid w:val="00A21560"/>
    <w:rsid w:val="00A23343"/>
    <w:rsid w:val="00A2629F"/>
    <w:rsid w:val="00A3358B"/>
    <w:rsid w:val="00A37DBD"/>
    <w:rsid w:val="00A427A3"/>
    <w:rsid w:val="00A43331"/>
    <w:rsid w:val="00A43726"/>
    <w:rsid w:val="00A52E1D"/>
    <w:rsid w:val="00A56D4E"/>
    <w:rsid w:val="00A67AFF"/>
    <w:rsid w:val="00A82504"/>
    <w:rsid w:val="00A85A70"/>
    <w:rsid w:val="00A91465"/>
    <w:rsid w:val="00A9683C"/>
    <w:rsid w:val="00AA666E"/>
    <w:rsid w:val="00AA7950"/>
    <w:rsid w:val="00AB0ABE"/>
    <w:rsid w:val="00AC6211"/>
    <w:rsid w:val="00AD42F1"/>
    <w:rsid w:val="00AD6451"/>
    <w:rsid w:val="00AE0272"/>
    <w:rsid w:val="00AE061C"/>
    <w:rsid w:val="00AE084B"/>
    <w:rsid w:val="00AE115E"/>
    <w:rsid w:val="00AE5E3D"/>
    <w:rsid w:val="00AE6877"/>
    <w:rsid w:val="00AF4D53"/>
    <w:rsid w:val="00AF6A8F"/>
    <w:rsid w:val="00B15F03"/>
    <w:rsid w:val="00B21DD5"/>
    <w:rsid w:val="00B26744"/>
    <w:rsid w:val="00B313AB"/>
    <w:rsid w:val="00B339E2"/>
    <w:rsid w:val="00B33BAA"/>
    <w:rsid w:val="00B37A65"/>
    <w:rsid w:val="00B53CDA"/>
    <w:rsid w:val="00B64218"/>
    <w:rsid w:val="00B73CEC"/>
    <w:rsid w:val="00B73FBA"/>
    <w:rsid w:val="00B75774"/>
    <w:rsid w:val="00B94FA7"/>
    <w:rsid w:val="00B94FD7"/>
    <w:rsid w:val="00B9651D"/>
    <w:rsid w:val="00B97E31"/>
    <w:rsid w:val="00BA1E7B"/>
    <w:rsid w:val="00BA3AC0"/>
    <w:rsid w:val="00BA79BB"/>
    <w:rsid w:val="00BB36F2"/>
    <w:rsid w:val="00BE303A"/>
    <w:rsid w:val="00BE5317"/>
    <w:rsid w:val="00BE67B2"/>
    <w:rsid w:val="00BF5DC9"/>
    <w:rsid w:val="00BF6C67"/>
    <w:rsid w:val="00C11E04"/>
    <w:rsid w:val="00C238CE"/>
    <w:rsid w:val="00C24FA2"/>
    <w:rsid w:val="00C269E9"/>
    <w:rsid w:val="00C26BE2"/>
    <w:rsid w:val="00C60765"/>
    <w:rsid w:val="00C6080C"/>
    <w:rsid w:val="00C82A95"/>
    <w:rsid w:val="00C858DB"/>
    <w:rsid w:val="00C90FBF"/>
    <w:rsid w:val="00C95E00"/>
    <w:rsid w:val="00C97386"/>
    <w:rsid w:val="00CA10F0"/>
    <w:rsid w:val="00CA4D31"/>
    <w:rsid w:val="00CB33FB"/>
    <w:rsid w:val="00CD256F"/>
    <w:rsid w:val="00CD4FF7"/>
    <w:rsid w:val="00CD734E"/>
    <w:rsid w:val="00CE4170"/>
    <w:rsid w:val="00CF7A82"/>
    <w:rsid w:val="00D0066B"/>
    <w:rsid w:val="00D011CB"/>
    <w:rsid w:val="00D07C0F"/>
    <w:rsid w:val="00D1525B"/>
    <w:rsid w:val="00D22CE8"/>
    <w:rsid w:val="00D33035"/>
    <w:rsid w:val="00D33D4B"/>
    <w:rsid w:val="00D37B9B"/>
    <w:rsid w:val="00D41FDA"/>
    <w:rsid w:val="00D454D6"/>
    <w:rsid w:val="00D557E4"/>
    <w:rsid w:val="00D624CC"/>
    <w:rsid w:val="00D6287A"/>
    <w:rsid w:val="00D70F7B"/>
    <w:rsid w:val="00D72F73"/>
    <w:rsid w:val="00D76B75"/>
    <w:rsid w:val="00D76DAD"/>
    <w:rsid w:val="00D8647D"/>
    <w:rsid w:val="00D90CF4"/>
    <w:rsid w:val="00D96C81"/>
    <w:rsid w:val="00DA41C5"/>
    <w:rsid w:val="00DB01C9"/>
    <w:rsid w:val="00DC3F04"/>
    <w:rsid w:val="00DD18AA"/>
    <w:rsid w:val="00DD6E16"/>
    <w:rsid w:val="00DD7CF1"/>
    <w:rsid w:val="00DE2A1C"/>
    <w:rsid w:val="00DE64DD"/>
    <w:rsid w:val="00DF2C1F"/>
    <w:rsid w:val="00E04AE1"/>
    <w:rsid w:val="00E05C15"/>
    <w:rsid w:val="00E319FB"/>
    <w:rsid w:val="00E33B73"/>
    <w:rsid w:val="00E451ED"/>
    <w:rsid w:val="00E52B51"/>
    <w:rsid w:val="00E571D9"/>
    <w:rsid w:val="00E61F0F"/>
    <w:rsid w:val="00E721EF"/>
    <w:rsid w:val="00E90511"/>
    <w:rsid w:val="00E95DFC"/>
    <w:rsid w:val="00EA2448"/>
    <w:rsid w:val="00EA5C69"/>
    <w:rsid w:val="00EB0CBC"/>
    <w:rsid w:val="00ED4A64"/>
    <w:rsid w:val="00ED52E1"/>
    <w:rsid w:val="00EE0347"/>
    <w:rsid w:val="00EE1BC9"/>
    <w:rsid w:val="00EE6CE2"/>
    <w:rsid w:val="00EF0224"/>
    <w:rsid w:val="00EF4077"/>
    <w:rsid w:val="00F0449A"/>
    <w:rsid w:val="00F05601"/>
    <w:rsid w:val="00F139EE"/>
    <w:rsid w:val="00F13B6E"/>
    <w:rsid w:val="00F16092"/>
    <w:rsid w:val="00F265C7"/>
    <w:rsid w:val="00F26A01"/>
    <w:rsid w:val="00F70731"/>
    <w:rsid w:val="00F74695"/>
    <w:rsid w:val="00F773BD"/>
    <w:rsid w:val="00F77836"/>
    <w:rsid w:val="00F90F79"/>
    <w:rsid w:val="00F93095"/>
    <w:rsid w:val="00F97AF5"/>
    <w:rsid w:val="00FA0A62"/>
    <w:rsid w:val="00FB1A7F"/>
    <w:rsid w:val="00FB6B21"/>
    <w:rsid w:val="00FD2D02"/>
    <w:rsid w:val="00FD501C"/>
    <w:rsid w:val="00FE2CEF"/>
    <w:rsid w:val="00FE3EEC"/>
    <w:rsid w:val="00FF675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EF"/>
  </w:style>
  <w:style w:type="paragraph" w:styleId="Heading3">
    <w:name w:val="heading 3"/>
    <w:basedOn w:val="Normal"/>
    <w:link w:val="Heading3Char"/>
    <w:uiPriority w:val="9"/>
    <w:qFormat/>
    <w:rsid w:val="0059272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basedOn w:val="Normal"/>
    <w:uiPriority w:val="34"/>
    <w:qFormat/>
    <w:rsid w:val="00965250"/>
    <w:pPr>
      <w:ind w:left="720"/>
      <w:contextualSpacing/>
    </w:pPr>
  </w:style>
  <w:style w:type="paragraph" w:customStyle="1" w:styleId="naiskr">
    <w:name w:val="naiskr"/>
    <w:basedOn w:val="Normal"/>
    <w:rsid w:val="00A9683C"/>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A968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A9683C"/>
    <w:pPr>
      <w:spacing w:before="75" w:after="75" w:line="240" w:lineRule="auto"/>
      <w:jc w:val="right"/>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9683C"/>
  </w:style>
  <w:style w:type="table" w:styleId="TableGrid">
    <w:name w:val="Table Grid"/>
    <w:basedOn w:val="TableNormal"/>
    <w:uiPriority w:val="59"/>
    <w:rsid w:val="00A9683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A21560"/>
    <w:rPr>
      <w:color w:val="0000FF"/>
      <w:u w:val="single"/>
    </w:rPr>
  </w:style>
  <w:style w:type="character" w:customStyle="1" w:styleId="Heading3Char">
    <w:name w:val="Heading 3 Char"/>
    <w:basedOn w:val="DefaultParagraphFont"/>
    <w:link w:val="Heading3"/>
    <w:uiPriority w:val="9"/>
    <w:rsid w:val="00592728"/>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6B4CD8"/>
    <w:rPr>
      <w:sz w:val="16"/>
      <w:szCs w:val="16"/>
    </w:rPr>
  </w:style>
  <w:style w:type="paragraph" w:styleId="CommentText">
    <w:name w:val="annotation text"/>
    <w:basedOn w:val="Normal"/>
    <w:link w:val="CommentTextChar"/>
    <w:uiPriority w:val="99"/>
    <w:semiHidden/>
    <w:unhideWhenUsed/>
    <w:rsid w:val="006B4CD8"/>
    <w:pPr>
      <w:spacing w:line="240" w:lineRule="auto"/>
    </w:pPr>
    <w:rPr>
      <w:sz w:val="20"/>
      <w:szCs w:val="20"/>
    </w:rPr>
  </w:style>
  <w:style w:type="character" w:customStyle="1" w:styleId="CommentTextChar">
    <w:name w:val="Comment Text Char"/>
    <w:basedOn w:val="DefaultParagraphFont"/>
    <w:link w:val="CommentText"/>
    <w:uiPriority w:val="99"/>
    <w:semiHidden/>
    <w:rsid w:val="006B4CD8"/>
    <w:rPr>
      <w:sz w:val="20"/>
      <w:szCs w:val="20"/>
    </w:rPr>
  </w:style>
  <w:style w:type="paragraph" w:styleId="CommentSubject">
    <w:name w:val="annotation subject"/>
    <w:basedOn w:val="CommentText"/>
    <w:next w:val="CommentText"/>
    <w:link w:val="CommentSubjectChar"/>
    <w:uiPriority w:val="99"/>
    <w:semiHidden/>
    <w:unhideWhenUsed/>
    <w:rsid w:val="006B4CD8"/>
    <w:rPr>
      <w:b/>
      <w:bCs/>
    </w:rPr>
  </w:style>
  <w:style w:type="character" w:customStyle="1" w:styleId="CommentSubjectChar">
    <w:name w:val="Comment Subject Char"/>
    <w:basedOn w:val="CommentTextChar"/>
    <w:link w:val="CommentSubject"/>
    <w:uiPriority w:val="99"/>
    <w:semiHidden/>
    <w:rsid w:val="006B4CD8"/>
    <w:rPr>
      <w:b/>
      <w:bCs/>
      <w:sz w:val="20"/>
      <w:szCs w:val="20"/>
    </w:rPr>
  </w:style>
  <w:style w:type="paragraph" w:styleId="Revision">
    <w:name w:val="Revision"/>
    <w:hidden/>
    <w:uiPriority w:val="99"/>
    <w:semiHidden/>
    <w:rsid w:val="00B21DD5"/>
    <w:pPr>
      <w:spacing w:after="0" w:line="240" w:lineRule="auto"/>
    </w:pPr>
  </w:style>
  <w:style w:type="character" w:styleId="Emphasis">
    <w:name w:val="Emphasis"/>
    <w:basedOn w:val="DefaultParagraphFont"/>
    <w:uiPriority w:val="20"/>
    <w:qFormat/>
    <w:rsid w:val="00F773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EF"/>
  </w:style>
  <w:style w:type="paragraph" w:styleId="Heading3">
    <w:name w:val="heading 3"/>
    <w:basedOn w:val="Normal"/>
    <w:link w:val="Heading3Char"/>
    <w:uiPriority w:val="9"/>
    <w:qFormat/>
    <w:rsid w:val="0059272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4A17"/>
    <w:pPr>
      <w:tabs>
        <w:tab w:val="center" w:pos="4153"/>
        <w:tab w:val="right" w:pos="8306"/>
      </w:tabs>
      <w:spacing w:after="0" w:line="240" w:lineRule="auto"/>
    </w:pPr>
  </w:style>
  <w:style w:type="character" w:customStyle="1" w:styleId="HeaderChar">
    <w:name w:val="Header Char"/>
    <w:basedOn w:val="DefaultParagraphFont"/>
    <w:link w:val="Header"/>
    <w:rsid w:val="00144A17"/>
  </w:style>
  <w:style w:type="paragraph" w:styleId="Footer">
    <w:name w:val="footer"/>
    <w:basedOn w:val="Normal"/>
    <w:link w:val="FooterChar"/>
    <w:unhideWhenUsed/>
    <w:rsid w:val="00144A17"/>
    <w:pPr>
      <w:tabs>
        <w:tab w:val="center" w:pos="4153"/>
        <w:tab w:val="right" w:pos="8306"/>
      </w:tabs>
      <w:spacing w:after="0" w:line="240" w:lineRule="auto"/>
    </w:pPr>
  </w:style>
  <w:style w:type="character" w:customStyle="1" w:styleId="FooterChar">
    <w:name w:val="Footer Char"/>
    <w:basedOn w:val="DefaultParagraphFont"/>
    <w:link w:val="Footer"/>
    <w:rsid w:val="00144A17"/>
  </w:style>
  <w:style w:type="character" w:styleId="PageNumber">
    <w:name w:val="page number"/>
    <w:basedOn w:val="DefaultParagraphFont"/>
    <w:rsid w:val="00144A17"/>
  </w:style>
  <w:style w:type="paragraph" w:styleId="BalloonText">
    <w:name w:val="Balloon Text"/>
    <w:basedOn w:val="Normal"/>
    <w:link w:val="BalloonTextChar"/>
    <w:uiPriority w:val="99"/>
    <w:semiHidden/>
    <w:unhideWhenUsed/>
    <w:rsid w:val="00A5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D4E"/>
    <w:rPr>
      <w:rFonts w:ascii="Tahoma" w:hAnsi="Tahoma" w:cs="Tahoma"/>
      <w:sz w:val="16"/>
      <w:szCs w:val="16"/>
    </w:rPr>
  </w:style>
  <w:style w:type="paragraph" w:styleId="ListParagraph">
    <w:name w:val="List Paragraph"/>
    <w:basedOn w:val="Normal"/>
    <w:uiPriority w:val="34"/>
    <w:qFormat/>
    <w:rsid w:val="00965250"/>
    <w:pPr>
      <w:ind w:left="720"/>
      <w:contextualSpacing/>
    </w:pPr>
  </w:style>
  <w:style w:type="paragraph" w:customStyle="1" w:styleId="naiskr">
    <w:name w:val="naiskr"/>
    <w:basedOn w:val="Normal"/>
    <w:rsid w:val="00A9683C"/>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A968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Normal"/>
    <w:rsid w:val="00A9683C"/>
    <w:pPr>
      <w:spacing w:before="75" w:after="75" w:line="240" w:lineRule="auto"/>
      <w:jc w:val="right"/>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A9683C"/>
  </w:style>
  <w:style w:type="table" w:styleId="TableGrid">
    <w:name w:val="Table Grid"/>
    <w:basedOn w:val="TableNormal"/>
    <w:uiPriority w:val="59"/>
    <w:rsid w:val="00A9683C"/>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A21560"/>
    <w:rPr>
      <w:color w:val="0000FF"/>
      <w:u w:val="single"/>
    </w:rPr>
  </w:style>
  <w:style w:type="character" w:customStyle="1" w:styleId="Heading3Char">
    <w:name w:val="Heading 3 Char"/>
    <w:basedOn w:val="DefaultParagraphFont"/>
    <w:link w:val="Heading3"/>
    <w:uiPriority w:val="9"/>
    <w:rsid w:val="00592728"/>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6B4CD8"/>
    <w:rPr>
      <w:sz w:val="16"/>
      <w:szCs w:val="16"/>
    </w:rPr>
  </w:style>
  <w:style w:type="paragraph" w:styleId="CommentText">
    <w:name w:val="annotation text"/>
    <w:basedOn w:val="Normal"/>
    <w:link w:val="CommentTextChar"/>
    <w:uiPriority w:val="99"/>
    <w:semiHidden/>
    <w:unhideWhenUsed/>
    <w:rsid w:val="006B4CD8"/>
    <w:pPr>
      <w:spacing w:line="240" w:lineRule="auto"/>
    </w:pPr>
    <w:rPr>
      <w:sz w:val="20"/>
      <w:szCs w:val="20"/>
    </w:rPr>
  </w:style>
  <w:style w:type="character" w:customStyle="1" w:styleId="CommentTextChar">
    <w:name w:val="Comment Text Char"/>
    <w:basedOn w:val="DefaultParagraphFont"/>
    <w:link w:val="CommentText"/>
    <w:uiPriority w:val="99"/>
    <w:semiHidden/>
    <w:rsid w:val="006B4CD8"/>
    <w:rPr>
      <w:sz w:val="20"/>
      <w:szCs w:val="20"/>
    </w:rPr>
  </w:style>
  <w:style w:type="paragraph" w:styleId="CommentSubject">
    <w:name w:val="annotation subject"/>
    <w:basedOn w:val="CommentText"/>
    <w:next w:val="CommentText"/>
    <w:link w:val="CommentSubjectChar"/>
    <w:uiPriority w:val="99"/>
    <w:semiHidden/>
    <w:unhideWhenUsed/>
    <w:rsid w:val="006B4CD8"/>
    <w:rPr>
      <w:b/>
      <w:bCs/>
    </w:rPr>
  </w:style>
  <w:style w:type="character" w:customStyle="1" w:styleId="CommentSubjectChar">
    <w:name w:val="Comment Subject Char"/>
    <w:basedOn w:val="CommentTextChar"/>
    <w:link w:val="CommentSubject"/>
    <w:uiPriority w:val="99"/>
    <w:semiHidden/>
    <w:rsid w:val="006B4CD8"/>
    <w:rPr>
      <w:b/>
      <w:bCs/>
      <w:sz w:val="20"/>
      <w:szCs w:val="20"/>
    </w:rPr>
  </w:style>
  <w:style w:type="paragraph" w:styleId="Revision">
    <w:name w:val="Revision"/>
    <w:hidden/>
    <w:uiPriority w:val="99"/>
    <w:semiHidden/>
    <w:rsid w:val="00B21DD5"/>
    <w:pPr>
      <w:spacing w:after="0" w:line="240" w:lineRule="auto"/>
    </w:pPr>
  </w:style>
  <w:style w:type="character" w:styleId="Emphasis">
    <w:name w:val="Emphasis"/>
    <w:basedOn w:val="DefaultParagraphFont"/>
    <w:uiPriority w:val="20"/>
    <w:qFormat/>
    <w:rsid w:val="00F773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89244">
      <w:bodyDiv w:val="1"/>
      <w:marLeft w:val="0"/>
      <w:marRight w:val="0"/>
      <w:marTop w:val="0"/>
      <w:marBottom w:val="0"/>
      <w:divBdr>
        <w:top w:val="none" w:sz="0" w:space="0" w:color="auto"/>
        <w:left w:val="none" w:sz="0" w:space="0" w:color="auto"/>
        <w:bottom w:val="none" w:sz="0" w:space="0" w:color="auto"/>
        <w:right w:val="none" w:sz="0" w:space="0" w:color="auto"/>
      </w:divBdr>
      <w:divsChild>
        <w:div w:id="777262760">
          <w:marLeft w:val="0"/>
          <w:marRight w:val="0"/>
          <w:marTop w:val="400"/>
          <w:marBottom w:val="0"/>
          <w:divBdr>
            <w:top w:val="none" w:sz="0" w:space="0" w:color="auto"/>
            <w:left w:val="none" w:sz="0" w:space="0" w:color="auto"/>
            <w:bottom w:val="none" w:sz="0" w:space="0" w:color="auto"/>
            <w:right w:val="none" w:sz="0" w:space="0" w:color="auto"/>
          </w:divBdr>
        </w:div>
        <w:div w:id="1179000989">
          <w:marLeft w:val="0"/>
          <w:marRight w:val="0"/>
          <w:marTop w:val="240"/>
          <w:marBottom w:val="0"/>
          <w:divBdr>
            <w:top w:val="none" w:sz="0" w:space="0" w:color="auto"/>
            <w:left w:val="none" w:sz="0" w:space="0" w:color="auto"/>
            <w:bottom w:val="none" w:sz="0" w:space="0" w:color="auto"/>
            <w:right w:val="none" w:sz="0" w:space="0" w:color="auto"/>
          </w:divBdr>
        </w:div>
      </w:divsChild>
    </w:div>
    <w:div w:id="14786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lze.Strausa@lm.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16798-F3DB-4954-A022-B5131948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20092</Words>
  <Characters>11454</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Ministru kabineta rīkojuma „Par apropriācijas pārdali Valsts sociālās apdrošināšanas aģentūras funkciju nodrošināšanai” projekta sākotnējās ietekmes novērtējuma ziņojums (anotācija)</vt:lpstr>
    </vt:vector>
  </TitlesOfParts>
  <Company/>
  <LinksUpToDate>false</LinksUpToDate>
  <CharactersWithSpaces>31484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apropriācijas pārdali Valsts sociālās apdrošināšanas aģentūras funkcijas nodrošināšanai” projekta sākotnējās ietekmes novērtējuma ziņojums (anotācija)</dc:title>
  <dc:subject>Anotācija</dc:subject>
  <dc:creator>Ilze Štrausa</dc:creator>
  <cp:keywords>LMAnot_150714_VSAA</cp:keywords>
  <dc:description>Ilze Štrausa
Labklājības ministrijas 
Finanšu vadības departamenta
Vadošā finansiste
tālr.67021636
Ilze.Strausa@lm.gov.lv</dc:description>
  <cp:lastModifiedBy>Ilze Štrausa</cp:lastModifiedBy>
  <cp:revision>5</cp:revision>
  <cp:lastPrinted>2014-07-02T13:10:00Z</cp:lastPrinted>
  <dcterms:created xsi:type="dcterms:W3CDTF">2014-07-15T05:35:00Z</dcterms:created>
  <dcterms:modified xsi:type="dcterms:W3CDTF">2014-07-15T05:48:00Z</dcterms:modified>
</cp:coreProperties>
</file>