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3DF" w14:textId="77777777" w:rsidR="00CC1A56" w:rsidRPr="00857C5B" w:rsidRDefault="00F23F1D" w:rsidP="00F23F1D">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noteikumu „</w:t>
      </w:r>
      <w:r w:rsidR="006B3A87" w:rsidRPr="006B3A87">
        <w:rPr>
          <w:rFonts w:ascii="Times New Roman" w:hAnsi="Times New Roman"/>
          <w:bCs w:val="0"/>
          <w:sz w:val="28"/>
          <w:szCs w:val="28"/>
        </w:rPr>
        <w:t xml:space="preserve">Grozījumi Ministru kabineta </w:t>
      </w:r>
      <w:proofErr w:type="gramStart"/>
      <w:r w:rsidR="006B3A87" w:rsidRPr="006B3A87">
        <w:rPr>
          <w:rFonts w:ascii="Times New Roman" w:hAnsi="Times New Roman"/>
          <w:bCs w:val="0"/>
          <w:sz w:val="28"/>
          <w:szCs w:val="28"/>
        </w:rPr>
        <w:t>2008.gada</w:t>
      </w:r>
      <w:proofErr w:type="gramEnd"/>
      <w:r w:rsidR="006B3A87" w:rsidRPr="006B3A87">
        <w:rPr>
          <w:rFonts w:ascii="Times New Roman" w:hAnsi="Times New Roman"/>
          <w:bCs w:val="0"/>
          <w:sz w:val="28"/>
          <w:szCs w:val="28"/>
        </w:rPr>
        <w:t xml:space="preserve"> 8.aprīļa noteikumos Nr.258 „Noteikumi par darbības programmas „Cilvēkresursi un nodarbinātība” papildinājuma apakšaktivitāti „Atbalstītās nodarbinātības pasākumi mērķgrupu bezdarbniekiem”</w:t>
      </w:r>
      <w:r w:rsidR="0077492B">
        <w:rPr>
          <w:rFonts w:ascii="Times New Roman" w:hAnsi="Times New Roman"/>
          <w:bCs w:val="0"/>
          <w:sz w:val="28"/>
          <w:szCs w:val="28"/>
        </w:rPr>
        <w:t>”</w:t>
      </w:r>
      <w:r w:rsidR="006B3A87" w:rsidRPr="006B3A87">
        <w:rPr>
          <w:rFonts w:ascii="Times New Roman" w:hAnsi="Times New Roman"/>
          <w:bCs w:val="0"/>
          <w:sz w:val="28"/>
          <w:szCs w:val="28"/>
        </w:rPr>
        <w:t>”</w:t>
      </w:r>
      <w:r w:rsidR="006B3A87">
        <w:rPr>
          <w:rFonts w:ascii="Times New Roman" w:hAnsi="Times New Roman"/>
          <w:bCs w:val="0"/>
          <w:sz w:val="28"/>
          <w:szCs w:val="28"/>
        </w:rPr>
        <w:t xml:space="preserve"> </w:t>
      </w:r>
      <w:r w:rsidR="00857C5B" w:rsidRPr="00857C5B">
        <w:rPr>
          <w:rFonts w:ascii="Times New Roman" w:hAnsi="Times New Roman"/>
          <w:bCs w:val="0"/>
          <w:sz w:val="28"/>
          <w:szCs w:val="28"/>
        </w:rPr>
        <w:t>projekta</w:t>
      </w:r>
      <w:r w:rsidR="00857C5B" w:rsidRPr="00857C5B">
        <w:rPr>
          <w:rFonts w:ascii="Times New Roman" w:hAnsi="Times New Roman"/>
          <w:sz w:val="28"/>
          <w:szCs w:val="28"/>
        </w:rPr>
        <w:t xml:space="preserve"> </w:t>
      </w:r>
      <w:r w:rsidR="00CC1A56" w:rsidRPr="00857C5B">
        <w:rPr>
          <w:rFonts w:ascii="Times New Roman" w:hAnsi="Times New Roman"/>
          <w:sz w:val="28"/>
          <w:szCs w:val="28"/>
        </w:rPr>
        <w:t>sākotnējās ietekmes novērtējuma ziņojums (anotācija)</w:t>
      </w:r>
      <w:bookmarkEnd w:id="0"/>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Default="00CC1A56" w:rsidP="007D385B">
            <w:pPr>
              <w:pStyle w:val="naiskr"/>
              <w:spacing w:before="0" w:beforeAutospacing="0" w:after="0" w:afterAutospacing="0"/>
              <w:ind w:left="57" w:right="57"/>
            </w:pPr>
            <w:r w:rsidRPr="00DD49B6">
              <w:t>Pamatojums</w:t>
            </w:r>
          </w:p>
          <w:p w14:paraId="2CA3292A" w14:textId="77777777" w:rsidR="00CC1A56" w:rsidRPr="00026A31" w:rsidRDefault="00CC1A56" w:rsidP="00026A31">
            <w:pPr>
              <w:ind w:firstLine="720"/>
              <w:rPr>
                <w:lang w:eastAsia="lv-LV"/>
              </w:rPr>
            </w:pPr>
          </w:p>
        </w:tc>
        <w:tc>
          <w:tcPr>
            <w:tcW w:w="3207" w:type="pct"/>
          </w:tcPr>
          <w:p w14:paraId="382235EB" w14:textId="4EF703BB" w:rsidR="00CC1A56" w:rsidRPr="006D573E" w:rsidRDefault="00D81398" w:rsidP="00895B23">
            <w:pPr>
              <w:spacing w:after="0" w:line="240" w:lineRule="auto"/>
              <w:ind w:left="139" w:right="130"/>
              <w:jc w:val="both"/>
              <w:rPr>
                <w:rFonts w:ascii="Times New Roman" w:hAnsi="Times New Roman" w:cs="Times New Roman"/>
                <w:sz w:val="24"/>
                <w:szCs w:val="24"/>
                <w:shd w:val="clear" w:color="auto" w:fill="FFFFFF"/>
              </w:rPr>
            </w:pPr>
            <w:r w:rsidRPr="00D81398">
              <w:rPr>
                <w:rFonts w:ascii="Times New Roman" w:hAnsi="Times New Roman" w:cs="Times New Roman"/>
                <w:sz w:val="24"/>
                <w:szCs w:val="24"/>
              </w:rPr>
              <w:t>Ministru kabineta noteikumu projekts „</w:t>
            </w:r>
            <w:r w:rsidR="006B3A87" w:rsidRPr="006B3A87">
              <w:rPr>
                <w:rFonts w:ascii="Times New Roman" w:hAnsi="Times New Roman" w:cs="Times New Roman"/>
                <w:sz w:val="24"/>
                <w:szCs w:val="24"/>
              </w:rPr>
              <w:t xml:space="preserve">Grozījumi Ministru kabineta </w:t>
            </w:r>
            <w:proofErr w:type="gramStart"/>
            <w:r w:rsidR="006B3A87" w:rsidRPr="006B3A87">
              <w:rPr>
                <w:rFonts w:ascii="Times New Roman" w:hAnsi="Times New Roman" w:cs="Times New Roman"/>
                <w:sz w:val="24"/>
                <w:szCs w:val="24"/>
              </w:rPr>
              <w:t>2008.gada</w:t>
            </w:r>
            <w:proofErr w:type="gramEnd"/>
            <w:r w:rsidR="006B3A87" w:rsidRPr="006B3A87">
              <w:rPr>
                <w:rFonts w:ascii="Times New Roman" w:hAnsi="Times New Roman" w:cs="Times New Roman"/>
                <w:sz w:val="24"/>
                <w:szCs w:val="24"/>
              </w:rPr>
              <w:t xml:space="preserve"> 8.aprīļa noteikumos Nr.258 „Noteikumi par darbības programmas „Cilvēkresursi un nodarbinātība” papildinājuma apakšaktivitāti „Atbalstītās nodarbinātības pasākumi mērķgrupu bezdarbniekiem””</w:t>
            </w:r>
            <w:r w:rsidR="00A60497">
              <w:rPr>
                <w:rFonts w:ascii="Times New Roman" w:hAnsi="Times New Roman" w:cs="Times New Roman"/>
                <w:sz w:val="24"/>
                <w:szCs w:val="24"/>
              </w:rPr>
              <w:t>”</w:t>
            </w:r>
            <w:r w:rsidRPr="00D81398">
              <w:rPr>
                <w:rFonts w:ascii="Times New Roman" w:hAnsi="Times New Roman" w:cs="Times New Roman"/>
                <w:sz w:val="24"/>
                <w:szCs w:val="24"/>
              </w:rPr>
              <w:t xml:space="preserve"> (turpmāk – MK noteikumu </w:t>
            </w:r>
            <w:r w:rsidR="00A96537">
              <w:rPr>
                <w:rFonts w:ascii="Times New Roman" w:hAnsi="Times New Roman" w:cs="Times New Roman"/>
                <w:sz w:val="24"/>
                <w:szCs w:val="24"/>
              </w:rPr>
              <w:t>pro</w:t>
            </w:r>
            <w:r w:rsidR="004C7EB0">
              <w:rPr>
                <w:rFonts w:ascii="Times New Roman" w:hAnsi="Times New Roman" w:cs="Times New Roman"/>
                <w:sz w:val="24"/>
                <w:szCs w:val="24"/>
              </w:rPr>
              <w:t>jekts)</w:t>
            </w:r>
            <w:r w:rsidR="007F6F7D">
              <w:rPr>
                <w:rFonts w:ascii="Times New Roman" w:hAnsi="Times New Roman" w:cs="Times New Roman"/>
                <w:sz w:val="24"/>
                <w:szCs w:val="24"/>
              </w:rPr>
              <w:t xml:space="preserve"> ir</w:t>
            </w:r>
            <w:r w:rsidR="004C7EB0">
              <w:rPr>
                <w:rFonts w:ascii="Times New Roman" w:hAnsi="Times New Roman" w:cs="Times New Roman"/>
                <w:sz w:val="24"/>
                <w:szCs w:val="24"/>
              </w:rPr>
              <w:t xml:space="preserve"> izstrādāts saskaņā ar</w:t>
            </w:r>
            <w:r w:rsidR="004C7EB0" w:rsidRPr="001E7A7B">
              <w:rPr>
                <w:rFonts w:ascii="Times New Roman" w:hAnsi="Times New Roman"/>
                <w:sz w:val="24"/>
                <w:szCs w:val="24"/>
              </w:rPr>
              <w:t xml:space="preserve"> Komisijas 2013.gada 18.decembra Regul</w:t>
            </w:r>
            <w:r w:rsidR="004C7EB0">
              <w:rPr>
                <w:rFonts w:ascii="Times New Roman" w:hAnsi="Times New Roman"/>
                <w:sz w:val="24"/>
                <w:szCs w:val="24"/>
              </w:rPr>
              <w:t>as</w:t>
            </w:r>
            <w:r w:rsidR="004C7EB0" w:rsidRPr="001E7A7B">
              <w:rPr>
                <w:rFonts w:ascii="Times New Roman" w:hAnsi="Times New Roman"/>
                <w:sz w:val="24"/>
                <w:szCs w:val="24"/>
              </w:rPr>
              <w:t xml:space="preserve"> (E</w:t>
            </w:r>
            <w:r w:rsidR="004C7EB0">
              <w:rPr>
                <w:rFonts w:ascii="Times New Roman" w:hAnsi="Times New Roman"/>
                <w:sz w:val="24"/>
                <w:szCs w:val="24"/>
              </w:rPr>
              <w:t>S</w:t>
            </w:r>
            <w:r w:rsidR="004C7EB0" w:rsidRPr="001E7A7B">
              <w:rPr>
                <w:rFonts w:ascii="Times New Roman" w:hAnsi="Times New Roman"/>
                <w:sz w:val="24"/>
                <w:szCs w:val="24"/>
              </w:rPr>
              <w:t>) Nr.1407/2013</w:t>
            </w:r>
            <w:hyperlink r:id="rId8" w:tgtFrame="_blank" w:history="1"/>
            <w:r w:rsidR="004C7EB0" w:rsidRPr="001E7A7B">
              <w:rPr>
                <w:rFonts w:ascii="Times New Roman" w:hAnsi="Times New Roman"/>
                <w:sz w:val="24"/>
                <w:szCs w:val="24"/>
              </w:rPr>
              <w:t xml:space="preserve"> par Līguma</w:t>
            </w:r>
            <w:r w:rsidR="007122F1">
              <w:rPr>
                <w:rFonts w:ascii="Times New Roman" w:hAnsi="Times New Roman"/>
                <w:sz w:val="24"/>
                <w:szCs w:val="24"/>
              </w:rPr>
              <w:t xml:space="preserve"> par Eiropas Savienības darbību</w:t>
            </w:r>
            <w:r w:rsidR="004C7EB0" w:rsidRPr="001E7A7B">
              <w:rPr>
                <w:rFonts w:ascii="Times New Roman" w:hAnsi="Times New Roman"/>
                <w:sz w:val="24"/>
                <w:szCs w:val="24"/>
              </w:rPr>
              <w:t xml:space="preserve"> 107. un 108.panta piemērošanu </w:t>
            </w:r>
            <w:proofErr w:type="spellStart"/>
            <w:r w:rsidR="004C7EB0" w:rsidRPr="001E7A7B">
              <w:rPr>
                <w:rFonts w:ascii="Times New Roman" w:hAnsi="Times New Roman"/>
                <w:i/>
                <w:iCs/>
                <w:sz w:val="24"/>
                <w:szCs w:val="24"/>
              </w:rPr>
              <w:t>de</w:t>
            </w:r>
            <w:proofErr w:type="spellEnd"/>
            <w:r w:rsidR="004C7EB0" w:rsidRPr="001E7A7B">
              <w:rPr>
                <w:rFonts w:ascii="Times New Roman" w:hAnsi="Times New Roman"/>
                <w:i/>
                <w:iCs/>
                <w:sz w:val="24"/>
                <w:szCs w:val="24"/>
              </w:rPr>
              <w:t xml:space="preserve"> </w:t>
            </w:r>
            <w:proofErr w:type="spellStart"/>
            <w:r w:rsidR="004C7EB0" w:rsidRPr="001E7A7B">
              <w:rPr>
                <w:rFonts w:ascii="Times New Roman" w:hAnsi="Times New Roman"/>
                <w:i/>
                <w:iCs/>
                <w:sz w:val="24"/>
                <w:szCs w:val="24"/>
              </w:rPr>
              <w:t>minimis</w:t>
            </w:r>
            <w:proofErr w:type="spellEnd"/>
            <w:r w:rsidR="004C7EB0" w:rsidRPr="001E7A7B">
              <w:rPr>
                <w:rFonts w:ascii="Times New Roman" w:hAnsi="Times New Roman"/>
                <w:sz w:val="24"/>
                <w:szCs w:val="24"/>
              </w:rPr>
              <w:t xml:space="preserve"> atbalstam (Eiropas Savienības Oficiālais Vēstnesis, 2013.gada 24.decembris, Nr. L 352/1)</w:t>
            </w:r>
            <w:r w:rsidR="003E2523">
              <w:rPr>
                <w:rFonts w:ascii="Times New Roman" w:hAnsi="Times New Roman"/>
                <w:sz w:val="24"/>
                <w:szCs w:val="24"/>
              </w:rPr>
              <w:t xml:space="preserve"> </w:t>
            </w:r>
            <w:r w:rsidR="003E2523" w:rsidRPr="001E7A7B">
              <w:rPr>
                <w:rFonts w:ascii="Times New Roman" w:hAnsi="Times New Roman"/>
                <w:sz w:val="24"/>
                <w:szCs w:val="24"/>
              </w:rPr>
              <w:t>(turpmāk – Komisijas regula Nr.1407/2013)</w:t>
            </w:r>
            <w:r w:rsidR="004C7EB0">
              <w:rPr>
                <w:rFonts w:ascii="Times New Roman" w:hAnsi="Times New Roman"/>
                <w:sz w:val="24"/>
                <w:szCs w:val="24"/>
              </w:rPr>
              <w:t xml:space="preserve"> stāšanos spēkā (</w:t>
            </w:r>
            <w:r w:rsidR="004C7EB0">
              <w:rPr>
                <w:rFonts w:ascii="Times New Roman" w:hAnsi="Times New Roman" w:cs="Times New Roman"/>
                <w:sz w:val="24"/>
                <w:szCs w:val="24"/>
              </w:rPr>
              <w:t>valsts atbalsta modernizācijas ietvaros).</w:t>
            </w:r>
          </w:p>
        </w:tc>
      </w:tr>
      <w:tr w:rsidR="00CC1A56" w:rsidRPr="00DD49B6" w14:paraId="02E973A7" w14:textId="77777777" w:rsidTr="001E645F">
        <w:trPr>
          <w:trHeight w:val="472"/>
        </w:trPr>
        <w:tc>
          <w:tcPr>
            <w:tcW w:w="227" w:type="pct"/>
          </w:tcPr>
          <w:p w14:paraId="7E4CC4EE" w14:textId="77777777" w:rsidR="00CC1A56" w:rsidRPr="00DD49B6" w:rsidRDefault="00CC1A56" w:rsidP="007D385B">
            <w:pPr>
              <w:pStyle w:val="naiskr"/>
              <w:spacing w:before="0" w:beforeAutospacing="0" w:after="0" w:afterAutospacing="0"/>
              <w:ind w:left="57" w:right="57"/>
              <w:jc w:val="center"/>
            </w:pPr>
            <w:r w:rsidRPr="00DD49B6">
              <w:t>2.</w:t>
            </w:r>
          </w:p>
        </w:tc>
        <w:tc>
          <w:tcPr>
            <w:tcW w:w="1566" w:type="pct"/>
          </w:tcPr>
          <w:p w14:paraId="622BE122" w14:textId="58A85A90" w:rsidR="00D2590F"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4DA73415" w14:textId="77777777" w:rsidR="00CC1A56" w:rsidRPr="00D2590F" w:rsidRDefault="00CC1A56" w:rsidP="00D2590F">
            <w:pPr>
              <w:ind w:firstLine="720"/>
              <w:rPr>
                <w:lang w:eastAsia="lv-LV"/>
              </w:rPr>
            </w:pPr>
          </w:p>
        </w:tc>
        <w:tc>
          <w:tcPr>
            <w:tcW w:w="3207" w:type="pct"/>
          </w:tcPr>
          <w:p w14:paraId="4868CD29" w14:textId="3A88628D" w:rsidR="00575810" w:rsidRPr="00590E26" w:rsidRDefault="00590E26" w:rsidP="00590E26">
            <w:pPr>
              <w:spacing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1. </w:t>
            </w:r>
            <w:r w:rsidR="00EE5B3B">
              <w:rPr>
                <w:rFonts w:ascii="Times New Roman" w:hAnsi="Times New Roman" w:cs="Times New Roman"/>
                <w:sz w:val="24"/>
                <w:szCs w:val="24"/>
              </w:rPr>
              <w:t>Saskaņā ar</w:t>
            </w:r>
            <w:r w:rsidR="00EE5B3B" w:rsidRPr="00E13C41">
              <w:rPr>
                <w:rFonts w:ascii="Times New Roman" w:hAnsi="Times New Roman" w:cs="Times New Roman"/>
                <w:bCs/>
                <w:sz w:val="24"/>
                <w:szCs w:val="24"/>
              </w:rPr>
              <w:t xml:space="preserve"> </w:t>
            </w:r>
            <w:r w:rsidR="00D37528">
              <w:rPr>
                <w:rFonts w:ascii="Times New Roman" w:hAnsi="Times New Roman" w:cs="Times New Roman"/>
                <w:bCs/>
                <w:sz w:val="24"/>
                <w:szCs w:val="24"/>
              </w:rPr>
              <w:t xml:space="preserve">Ministru kabineta (turpmāk – MK) sēdes </w:t>
            </w:r>
            <w:proofErr w:type="spellStart"/>
            <w:r w:rsidR="00D37528">
              <w:rPr>
                <w:rFonts w:ascii="Times New Roman" w:hAnsi="Times New Roman" w:cs="Times New Roman"/>
                <w:bCs/>
                <w:sz w:val="24"/>
                <w:szCs w:val="24"/>
              </w:rPr>
              <w:t>protokollēmumiem</w:t>
            </w:r>
            <w:proofErr w:type="spellEnd"/>
            <w:r w:rsidR="00D37528">
              <w:rPr>
                <w:rFonts w:ascii="Times New Roman" w:hAnsi="Times New Roman" w:cs="Times New Roman"/>
                <w:bCs/>
                <w:sz w:val="24"/>
                <w:szCs w:val="24"/>
              </w:rPr>
              <w:t xml:space="preserve"> </w:t>
            </w:r>
            <w:r w:rsidR="00D37528" w:rsidRPr="00E13C41">
              <w:rPr>
                <w:rFonts w:ascii="Times New Roman" w:hAnsi="Times New Roman" w:cs="Times New Roman"/>
                <w:sz w:val="24"/>
                <w:szCs w:val="24"/>
              </w:rPr>
              <w:t xml:space="preserve">par </w:t>
            </w:r>
            <w:r w:rsidR="00D37528">
              <w:rPr>
                <w:rFonts w:ascii="Times New Roman" w:hAnsi="Times New Roman" w:cs="Times New Roman"/>
                <w:sz w:val="24"/>
                <w:szCs w:val="24"/>
              </w:rPr>
              <w:t xml:space="preserve">papildu </w:t>
            </w:r>
            <w:proofErr w:type="spellStart"/>
            <w:r w:rsidR="00D37528">
              <w:rPr>
                <w:rFonts w:ascii="Times New Roman" w:hAnsi="Times New Roman" w:cs="Times New Roman"/>
                <w:sz w:val="24"/>
                <w:szCs w:val="24"/>
              </w:rPr>
              <w:t>virssaistību</w:t>
            </w:r>
            <w:proofErr w:type="spellEnd"/>
            <w:r w:rsidR="00D37528">
              <w:rPr>
                <w:rFonts w:ascii="Times New Roman" w:hAnsi="Times New Roman" w:cs="Times New Roman"/>
                <w:sz w:val="24"/>
                <w:szCs w:val="24"/>
              </w:rPr>
              <w:t xml:space="preserve"> finansējuma piešķiršanu </w:t>
            </w:r>
            <w:r w:rsidR="00D37528" w:rsidRPr="00E13C41">
              <w:rPr>
                <w:rFonts w:ascii="Times New Roman" w:hAnsi="Times New Roman" w:cs="Times New Roman"/>
                <w:sz w:val="24"/>
                <w:szCs w:val="24"/>
              </w:rPr>
              <w:t>aktīvās darba tirgus politikas pasākumu īstenošanai AS „Liepājas Metalurgs” tiesiskās aizsardzības procesa ietvaros</w:t>
            </w:r>
            <w:r w:rsidR="00D37528">
              <w:rPr>
                <w:rFonts w:ascii="Times New Roman" w:hAnsi="Times New Roman" w:cs="Times New Roman"/>
                <w:sz w:val="24"/>
                <w:szCs w:val="24"/>
              </w:rPr>
              <w:t xml:space="preserve"> (MK</w:t>
            </w:r>
            <w:r w:rsidR="00EE5B3B" w:rsidRPr="00E13C41">
              <w:rPr>
                <w:rFonts w:ascii="Times New Roman" w:hAnsi="Times New Roman" w:cs="Times New Roman"/>
                <w:sz w:val="24"/>
                <w:szCs w:val="24"/>
              </w:rPr>
              <w:t xml:space="preserve"> 06.08.2013. sēd</w:t>
            </w:r>
            <w:r w:rsidR="00D37528">
              <w:rPr>
                <w:rFonts w:ascii="Times New Roman" w:hAnsi="Times New Roman" w:cs="Times New Roman"/>
                <w:sz w:val="24"/>
                <w:szCs w:val="24"/>
              </w:rPr>
              <w:t>es protokola Nr.42 84.§ 7.punkts</w:t>
            </w:r>
            <w:r w:rsidR="00EE5B3B" w:rsidRPr="00E13C41">
              <w:rPr>
                <w:rFonts w:ascii="Times New Roman" w:hAnsi="Times New Roman" w:cs="Times New Roman"/>
                <w:sz w:val="24"/>
                <w:szCs w:val="24"/>
              </w:rPr>
              <w:t xml:space="preserve"> </w:t>
            </w:r>
            <w:r w:rsidR="00EE5B3B">
              <w:rPr>
                <w:rFonts w:ascii="Times New Roman" w:hAnsi="Times New Roman" w:cs="Times New Roman"/>
                <w:sz w:val="24"/>
                <w:szCs w:val="24"/>
              </w:rPr>
              <w:t>un</w:t>
            </w:r>
            <w:r w:rsidR="00EE5B3B" w:rsidRPr="00E13C41">
              <w:rPr>
                <w:rFonts w:ascii="Times New Roman" w:hAnsi="Times New Roman" w:cs="Times New Roman"/>
                <w:sz w:val="24"/>
                <w:szCs w:val="24"/>
              </w:rPr>
              <w:t xml:space="preserve"> </w:t>
            </w:r>
            <w:r w:rsidR="00D37528">
              <w:rPr>
                <w:rFonts w:ascii="Times New Roman" w:hAnsi="Times New Roman" w:cs="Times New Roman"/>
                <w:sz w:val="24"/>
                <w:szCs w:val="24"/>
              </w:rPr>
              <w:t>MK</w:t>
            </w:r>
            <w:r w:rsidR="00EE5B3B" w:rsidRPr="00E13C41">
              <w:rPr>
                <w:rFonts w:ascii="Times New Roman" w:hAnsi="Times New Roman" w:cs="Times New Roman"/>
                <w:sz w:val="24"/>
                <w:szCs w:val="24"/>
              </w:rPr>
              <w:t xml:space="preserve"> 20.08.2013. sēdes protok</w:t>
            </w:r>
            <w:r w:rsidR="00D37528">
              <w:rPr>
                <w:rFonts w:ascii="Times New Roman" w:hAnsi="Times New Roman" w:cs="Times New Roman"/>
                <w:sz w:val="24"/>
                <w:szCs w:val="24"/>
              </w:rPr>
              <w:t xml:space="preserve">ola Nr.45 97.§ 10.1.apakšpunkts) </w:t>
            </w:r>
            <w:r w:rsidR="006A0A38">
              <w:rPr>
                <w:rFonts w:ascii="Times New Roman" w:hAnsi="Times New Roman" w:cs="Times New Roman"/>
                <w:sz w:val="24"/>
                <w:szCs w:val="24"/>
              </w:rPr>
              <w:t xml:space="preserve">darbības programmas “Cilvēkresursi un nodarbinātība” papildinājuma </w:t>
            </w:r>
            <w:r w:rsidR="00E13C41">
              <w:rPr>
                <w:rFonts w:ascii="Times New Roman" w:hAnsi="Times New Roman" w:cs="Times New Roman"/>
                <w:sz w:val="24"/>
                <w:szCs w:val="24"/>
              </w:rPr>
              <w:t>1.4.1.1.2.apakšaktivitātes</w:t>
            </w:r>
            <w:r w:rsidR="006A0A38" w:rsidRPr="006B3A87">
              <w:rPr>
                <w:rFonts w:ascii="Times New Roman" w:hAnsi="Times New Roman" w:cs="Times New Roman"/>
                <w:sz w:val="24"/>
                <w:szCs w:val="24"/>
              </w:rPr>
              <w:t xml:space="preserve"> </w:t>
            </w:r>
            <w:r w:rsidR="006A0A38">
              <w:rPr>
                <w:rFonts w:ascii="Times New Roman" w:hAnsi="Times New Roman" w:cs="Times New Roman"/>
                <w:sz w:val="24"/>
                <w:szCs w:val="24"/>
              </w:rPr>
              <w:t>“</w:t>
            </w:r>
            <w:r w:rsidR="006A0A38" w:rsidRPr="006B3A87">
              <w:rPr>
                <w:rFonts w:ascii="Times New Roman" w:hAnsi="Times New Roman" w:cs="Times New Roman"/>
                <w:sz w:val="24"/>
                <w:szCs w:val="24"/>
              </w:rPr>
              <w:t>Atbalstītās nodarbinātības pasākumi mērķgrupu bezdarbniekiem</w:t>
            </w:r>
            <w:r w:rsidR="006A0A38">
              <w:rPr>
                <w:rFonts w:ascii="Times New Roman" w:hAnsi="Times New Roman" w:cs="Times New Roman"/>
                <w:sz w:val="24"/>
                <w:szCs w:val="24"/>
              </w:rPr>
              <w:t>” (turpmāk – 1.4.1.1.2.apakšaktivitāte)</w:t>
            </w:r>
            <w:r w:rsidR="00E13C41">
              <w:rPr>
                <w:rFonts w:ascii="Times New Roman" w:hAnsi="Times New Roman" w:cs="Times New Roman"/>
                <w:sz w:val="24"/>
                <w:szCs w:val="24"/>
              </w:rPr>
              <w:t xml:space="preserve"> ietvaros </w:t>
            </w:r>
            <w:r w:rsidR="00EE5B3B">
              <w:rPr>
                <w:rFonts w:ascii="Times New Roman" w:hAnsi="Times New Roman" w:cs="Times New Roman"/>
                <w:sz w:val="24"/>
                <w:szCs w:val="24"/>
              </w:rPr>
              <w:t xml:space="preserve">tika </w:t>
            </w:r>
            <w:r w:rsidR="00E13C41">
              <w:rPr>
                <w:rFonts w:ascii="Times New Roman" w:hAnsi="Times New Roman" w:cs="Times New Roman"/>
                <w:sz w:val="24"/>
                <w:szCs w:val="24"/>
              </w:rPr>
              <w:t xml:space="preserve">paredzēts sniegt atbalstu </w:t>
            </w:r>
            <w:r w:rsidR="00E13C41" w:rsidRPr="00E13C41">
              <w:rPr>
                <w:rFonts w:ascii="Times New Roman" w:hAnsi="Times New Roman" w:cs="Times New Roman"/>
                <w:bCs/>
                <w:sz w:val="24"/>
                <w:szCs w:val="24"/>
              </w:rPr>
              <w:t>AS „Liepājas Metalurgs” bijušajiem darbiniekiem,</w:t>
            </w:r>
            <w:r w:rsidR="00E13C41" w:rsidRPr="00764545">
              <w:rPr>
                <w:rFonts w:ascii="Times New Roman" w:hAnsi="Times New Roman" w:cs="Times New Roman"/>
                <w:bCs/>
                <w:sz w:val="24"/>
                <w:szCs w:val="24"/>
              </w:rPr>
              <w:t xml:space="preserve"> </w:t>
            </w:r>
            <w:r w:rsidR="00E13C41" w:rsidRPr="00E13C41">
              <w:rPr>
                <w:rFonts w:ascii="Times New Roman" w:hAnsi="Times New Roman" w:cs="Times New Roman"/>
                <w:bCs/>
                <w:sz w:val="24"/>
                <w:szCs w:val="24"/>
              </w:rPr>
              <w:t>kuri reģistrē</w:t>
            </w:r>
            <w:r w:rsidR="00E13C41">
              <w:rPr>
                <w:rFonts w:ascii="Times New Roman" w:hAnsi="Times New Roman" w:cs="Times New Roman"/>
                <w:bCs/>
                <w:sz w:val="24"/>
                <w:szCs w:val="24"/>
              </w:rPr>
              <w:t>jušies</w:t>
            </w:r>
            <w:r w:rsidR="00E13C41" w:rsidRPr="00E13C41">
              <w:rPr>
                <w:rFonts w:ascii="Times New Roman" w:hAnsi="Times New Roman" w:cs="Times New Roman"/>
                <w:bCs/>
                <w:sz w:val="24"/>
                <w:szCs w:val="24"/>
              </w:rPr>
              <w:t xml:space="preserve"> </w:t>
            </w:r>
            <w:r w:rsidR="00E13C41">
              <w:rPr>
                <w:rFonts w:ascii="Times New Roman" w:hAnsi="Times New Roman" w:cs="Times New Roman"/>
                <w:bCs/>
                <w:sz w:val="24"/>
                <w:szCs w:val="24"/>
              </w:rPr>
              <w:t>Nodarbinātības valsts aģentūrā</w:t>
            </w:r>
            <w:r w:rsidR="00843C60">
              <w:rPr>
                <w:rFonts w:ascii="Times New Roman" w:hAnsi="Times New Roman" w:cs="Times New Roman"/>
                <w:bCs/>
                <w:sz w:val="24"/>
                <w:szCs w:val="24"/>
              </w:rPr>
              <w:t xml:space="preserve"> (turpmāk – NVA)</w:t>
            </w:r>
            <w:r w:rsidR="00E13C41" w:rsidRPr="00E13C41">
              <w:rPr>
                <w:rFonts w:ascii="Times New Roman" w:hAnsi="Times New Roman" w:cs="Times New Roman"/>
                <w:bCs/>
                <w:sz w:val="24"/>
                <w:szCs w:val="24"/>
              </w:rPr>
              <w:t xml:space="preserve"> kā bezdarbnieki</w:t>
            </w:r>
            <w:r w:rsidR="00B61ABA">
              <w:rPr>
                <w:rFonts w:ascii="Times New Roman" w:hAnsi="Times New Roman" w:cs="Times New Roman"/>
                <w:bCs/>
                <w:sz w:val="24"/>
                <w:szCs w:val="24"/>
              </w:rPr>
              <w:t>,</w:t>
            </w:r>
            <w:r w:rsidR="00E13C41">
              <w:rPr>
                <w:rFonts w:ascii="Times New Roman" w:hAnsi="Times New Roman" w:cs="Times New Roman"/>
                <w:bCs/>
                <w:sz w:val="24"/>
                <w:szCs w:val="24"/>
              </w:rPr>
              <w:t xml:space="preserve"> </w:t>
            </w:r>
            <w:r w:rsidR="00E13C41">
              <w:rPr>
                <w:rFonts w:ascii="Times New Roman" w:hAnsi="Times New Roman" w:cs="Times New Roman"/>
                <w:sz w:val="24"/>
                <w:szCs w:val="24"/>
              </w:rPr>
              <w:t>uzņēmuma</w:t>
            </w:r>
            <w:r w:rsidR="00E13C41" w:rsidRPr="00E13C41">
              <w:rPr>
                <w:rFonts w:ascii="Times New Roman" w:hAnsi="Times New Roman" w:cs="Times New Roman"/>
                <w:sz w:val="24"/>
                <w:szCs w:val="24"/>
              </w:rPr>
              <w:t xml:space="preserve"> maksātnespējas vai tiesiskās aizsardzības proces</w:t>
            </w:r>
            <w:r w:rsidR="00E13C41">
              <w:rPr>
                <w:rFonts w:ascii="Times New Roman" w:hAnsi="Times New Roman" w:cs="Times New Roman"/>
                <w:sz w:val="24"/>
                <w:szCs w:val="24"/>
              </w:rPr>
              <w:t>ā</w:t>
            </w:r>
            <w:r w:rsidR="009E12A1">
              <w:rPr>
                <w:rFonts w:ascii="Times New Roman" w:hAnsi="Times New Roman" w:cs="Times New Roman"/>
                <w:sz w:val="24"/>
                <w:szCs w:val="24"/>
              </w:rPr>
              <w:t>.</w:t>
            </w:r>
            <w:r w:rsidR="00E13C41">
              <w:rPr>
                <w:rFonts w:ascii="Times New Roman" w:hAnsi="Times New Roman" w:cs="Times New Roman"/>
                <w:sz w:val="24"/>
                <w:szCs w:val="24"/>
              </w:rPr>
              <w:t xml:space="preserve"> </w:t>
            </w:r>
            <w:r w:rsidR="009E12A1">
              <w:rPr>
                <w:rFonts w:ascii="Times New Roman" w:hAnsi="Times New Roman" w:cs="Times New Roman"/>
                <w:sz w:val="24"/>
                <w:szCs w:val="24"/>
              </w:rPr>
              <w:t>Š</w:t>
            </w:r>
            <w:r w:rsidR="00843C60" w:rsidRPr="00EC1C7E">
              <w:rPr>
                <w:rFonts w:ascii="Times New Roman" w:hAnsi="Times New Roman" w:cs="Times New Roman"/>
                <w:sz w:val="24"/>
                <w:szCs w:val="24"/>
              </w:rPr>
              <w:t>obrīd</w:t>
            </w:r>
            <w:r w:rsidR="00843C60">
              <w:rPr>
                <w:rFonts w:ascii="Times New Roman" w:hAnsi="Times New Roman" w:cs="Times New Roman"/>
                <w:sz w:val="24"/>
                <w:szCs w:val="24"/>
              </w:rPr>
              <w:t xml:space="preserve"> </w:t>
            </w:r>
            <w:r w:rsidR="009E12A1">
              <w:rPr>
                <w:rFonts w:ascii="Times New Roman" w:hAnsi="Times New Roman" w:cs="Times New Roman"/>
                <w:sz w:val="24"/>
                <w:szCs w:val="24"/>
              </w:rPr>
              <w:t xml:space="preserve">saskaņā ar NVA datiem (uz 06.06.2014.) </w:t>
            </w:r>
            <w:r w:rsidR="00EC1C7E" w:rsidRPr="00EC1C7E">
              <w:rPr>
                <w:rFonts w:ascii="Times New Roman" w:hAnsi="Times New Roman" w:cs="Times New Roman"/>
                <w:sz w:val="24"/>
                <w:szCs w:val="24"/>
              </w:rPr>
              <w:t>1</w:t>
            </w:r>
            <w:r w:rsidR="00843C60">
              <w:rPr>
                <w:rFonts w:ascii="Times New Roman" w:hAnsi="Times New Roman" w:cs="Times New Roman"/>
                <w:sz w:val="24"/>
                <w:szCs w:val="24"/>
              </w:rPr>
              <w:t>60</w:t>
            </w:r>
            <w:r w:rsidR="00EC1C7E" w:rsidRPr="00EC1C7E">
              <w:rPr>
                <w:rFonts w:ascii="Times New Roman" w:hAnsi="Times New Roman" w:cs="Times New Roman"/>
                <w:sz w:val="24"/>
                <w:szCs w:val="24"/>
              </w:rPr>
              <w:t xml:space="preserve"> </w:t>
            </w:r>
            <w:r w:rsidR="00843C60" w:rsidRPr="00EC1C7E">
              <w:rPr>
                <w:rFonts w:ascii="Times New Roman" w:hAnsi="Times New Roman" w:cs="Times New Roman"/>
                <w:sz w:val="24"/>
                <w:szCs w:val="24"/>
              </w:rPr>
              <w:t>bijuš</w:t>
            </w:r>
            <w:r w:rsidR="00843C60">
              <w:rPr>
                <w:rFonts w:ascii="Times New Roman" w:hAnsi="Times New Roman" w:cs="Times New Roman"/>
                <w:sz w:val="24"/>
                <w:szCs w:val="24"/>
              </w:rPr>
              <w:t>ie</w:t>
            </w:r>
            <w:r w:rsidR="00843C60" w:rsidRPr="00EC1C7E">
              <w:rPr>
                <w:rFonts w:ascii="Times New Roman" w:hAnsi="Times New Roman" w:cs="Times New Roman"/>
                <w:sz w:val="24"/>
                <w:szCs w:val="24"/>
              </w:rPr>
              <w:t xml:space="preserve"> </w:t>
            </w:r>
            <w:r w:rsidR="00843C60" w:rsidRPr="00E13C41">
              <w:rPr>
                <w:rFonts w:ascii="Times New Roman" w:hAnsi="Times New Roman" w:cs="Times New Roman"/>
                <w:sz w:val="24"/>
                <w:szCs w:val="24"/>
              </w:rPr>
              <w:t>AS „Liepājas Metalurgs”</w:t>
            </w:r>
            <w:r w:rsidR="00843C60" w:rsidRPr="00EC1C7E">
              <w:rPr>
                <w:rFonts w:ascii="Times New Roman" w:hAnsi="Times New Roman" w:cs="Times New Roman"/>
                <w:sz w:val="24"/>
                <w:szCs w:val="24"/>
              </w:rPr>
              <w:t xml:space="preserve"> </w:t>
            </w:r>
            <w:r w:rsidR="00843C60" w:rsidRPr="00E13C41">
              <w:rPr>
                <w:rFonts w:ascii="Times New Roman" w:hAnsi="Times New Roman" w:cs="Times New Roman"/>
                <w:bCs/>
                <w:sz w:val="24"/>
                <w:szCs w:val="24"/>
              </w:rPr>
              <w:t>darbinieki</w:t>
            </w:r>
            <w:r w:rsidR="009E12A1">
              <w:rPr>
                <w:rFonts w:ascii="Times New Roman" w:hAnsi="Times New Roman" w:cs="Times New Roman"/>
                <w:bCs/>
                <w:sz w:val="24"/>
                <w:szCs w:val="24"/>
              </w:rPr>
              <w:t xml:space="preserve"> ir izteikuši vēlmi iesaistīties </w:t>
            </w:r>
            <w:r w:rsidR="009E12A1">
              <w:rPr>
                <w:rFonts w:ascii="Times New Roman" w:hAnsi="Times New Roman" w:cs="Times New Roman"/>
                <w:sz w:val="24"/>
                <w:szCs w:val="24"/>
              </w:rPr>
              <w:t xml:space="preserve">1.4.1.1.2.apakšaktivitātes ietvaros </w:t>
            </w:r>
            <w:r w:rsidR="007A1818">
              <w:rPr>
                <w:rFonts w:ascii="Times New Roman" w:hAnsi="Times New Roman" w:cs="Times New Roman"/>
                <w:sz w:val="24"/>
                <w:szCs w:val="24"/>
              </w:rPr>
              <w:t>īstenot</w:t>
            </w:r>
            <w:r w:rsidR="009E12A1">
              <w:rPr>
                <w:rFonts w:ascii="Times New Roman" w:hAnsi="Times New Roman" w:cs="Times New Roman"/>
                <w:sz w:val="24"/>
                <w:szCs w:val="24"/>
              </w:rPr>
              <w:t>ā projekta pasākumos</w:t>
            </w:r>
            <w:r w:rsidR="00623238">
              <w:rPr>
                <w:rFonts w:ascii="Times New Roman" w:hAnsi="Times New Roman" w:cs="Times New Roman"/>
                <w:sz w:val="24"/>
                <w:szCs w:val="24"/>
              </w:rPr>
              <w:t xml:space="preserve"> (</w:t>
            </w:r>
            <w:proofErr w:type="gramStart"/>
            <w:r w:rsidR="00623238">
              <w:rPr>
                <w:rFonts w:ascii="Times New Roman" w:hAnsi="Times New Roman" w:cs="Times New Roman"/>
                <w:sz w:val="24"/>
                <w:szCs w:val="24"/>
              </w:rPr>
              <w:t>ņemot vērā bezdarbnieku</w:t>
            </w:r>
            <w:proofErr w:type="gramEnd"/>
            <w:r w:rsidR="00623238">
              <w:rPr>
                <w:rFonts w:ascii="Times New Roman" w:hAnsi="Times New Roman" w:cs="Times New Roman"/>
                <w:sz w:val="24"/>
                <w:szCs w:val="24"/>
              </w:rPr>
              <w:t xml:space="preserve"> pabalsta izmaksas termiņu un ievērojot pas</w:t>
            </w:r>
            <w:r w:rsidR="00BE2E77">
              <w:rPr>
                <w:rFonts w:ascii="Times New Roman" w:hAnsi="Times New Roman" w:cs="Times New Roman"/>
                <w:sz w:val="24"/>
                <w:szCs w:val="24"/>
              </w:rPr>
              <w:t>ākuma</w:t>
            </w:r>
            <w:r w:rsidR="00623238">
              <w:rPr>
                <w:rFonts w:ascii="Times New Roman" w:hAnsi="Times New Roman" w:cs="Times New Roman"/>
                <w:sz w:val="24"/>
                <w:szCs w:val="24"/>
              </w:rPr>
              <w:t xml:space="preserve"> mērķa grupas kritērijus, vēlme piedalīties pasākumā ir pieaugusi tikai sākot ar š.g. maija mēnesi)</w:t>
            </w:r>
            <w:r w:rsidR="009E12A1">
              <w:rPr>
                <w:rFonts w:ascii="Times New Roman" w:hAnsi="Times New Roman" w:cs="Times New Roman"/>
                <w:sz w:val="24"/>
                <w:szCs w:val="24"/>
              </w:rPr>
              <w:t>.</w:t>
            </w:r>
            <w:r w:rsidR="00843C60">
              <w:rPr>
                <w:rFonts w:ascii="Times New Roman" w:hAnsi="Times New Roman" w:cs="Times New Roman"/>
                <w:sz w:val="24"/>
                <w:szCs w:val="24"/>
              </w:rPr>
              <w:t xml:space="preserve"> </w:t>
            </w:r>
            <w:r w:rsidR="006D47E6">
              <w:rPr>
                <w:rFonts w:ascii="Times New Roman" w:hAnsi="Times New Roman" w:cs="Times New Roman"/>
                <w:sz w:val="24"/>
                <w:szCs w:val="24"/>
              </w:rPr>
              <w:t>Tā kā</w:t>
            </w:r>
            <w:r w:rsidR="00E7560D">
              <w:t xml:space="preserve"> </w:t>
            </w:r>
            <w:r w:rsidR="00E7560D" w:rsidRPr="00E7560D">
              <w:rPr>
                <w:rFonts w:ascii="Times New Roman" w:hAnsi="Times New Roman" w:cs="Times New Roman"/>
                <w:sz w:val="24"/>
                <w:szCs w:val="24"/>
              </w:rPr>
              <w:t>Ministru kabine</w:t>
            </w:r>
            <w:r w:rsidR="00E7560D">
              <w:rPr>
                <w:rFonts w:ascii="Times New Roman" w:hAnsi="Times New Roman" w:cs="Times New Roman"/>
                <w:sz w:val="24"/>
                <w:szCs w:val="24"/>
              </w:rPr>
              <w:t xml:space="preserve">ta </w:t>
            </w:r>
            <w:proofErr w:type="gramStart"/>
            <w:r w:rsidR="00E7560D">
              <w:rPr>
                <w:rFonts w:ascii="Times New Roman" w:hAnsi="Times New Roman" w:cs="Times New Roman"/>
                <w:sz w:val="24"/>
                <w:szCs w:val="24"/>
              </w:rPr>
              <w:t>2008.gada</w:t>
            </w:r>
            <w:proofErr w:type="gramEnd"/>
            <w:r w:rsidR="00E7560D">
              <w:rPr>
                <w:rFonts w:ascii="Times New Roman" w:hAnsi="Times New Roman" w:cs="Times New Roman"/>
                <w:sz w:val="24"/>
                <w:szCs w:val="24"/>
              </w:rPr>
              <w:t xml:space="preserve"> 8.aprīļa noteikumi</w:t>
            </w:r>
            <w:r w:rsidR="00E7560D" w:rsidRPr="00E7560D">
              <w:rPr>
                <w:rFonts w:ascii="Times New Roman" w:hAnsi="Times New Roman" w:cs="Times New Roman"/>
                <w:sz w:val="24"/>
                <w:szCs w:val="24"/>
              </w:rPr>
              <w:t xml:space="preserve"> Nr.258 „Noteikumi par darbības programmas „Cilvēkresursi un nodarbinātība” papildinājuma apakšaktivitāti „Atbalstītās nodarbinātības pasākumi mērķgrupu bezdarbniekiem””</w:t>
            </w:r>
            <w:r w:rsidR="00E7560D">
              <w:rPr>
                <w:rFonts w:ascii="Times New Roman" w:hAnsi="Times New Roman" w:cs="Times New Roman"/>
                <w:sz w:val="24"/>
                <w:szCs w:val="24"/>
              </w:rPr>
              <w:t xml:space="preserve"> (turpmāk – </w:t>
            </w:r>
            <w:r w:rsidR="002C1473">
              <w:rPr>
                <w:rFonts w:ascii="Times New Roman" w:hAnsi="Times New Roman" w:cs="Times New Roman"/>
                <w:sz w:val="24"/>
                <w:szCs w:val="24"/>
              </w:rPr>
              <w:t>MK noteikumi Nr.258</w:t>
            </w:r>
            <w:r w:rsidR="00E7560D">
              <w:rPr>
                <w:rFonts w:ascii="Times New Roman" w:hAnsi="Times New Roman" w:cs="Times New Roman"/>
                <w:sz w:val="24"/>
                <w:szCs w:val="24"/>
              </w:rPr>
              <w:t>)</w:t>
            </w:r>
            <w:r w:rsidR="002C1473">
              <w:rPr>
                <w:rFonts w:ascii="Times New Roman" w:hAnsi="Times New Roman" w:cs="Times New Roman"/>
                <w:sz w:val="24"/>
                <w:szCs w:val="24"/>
              </w:rPr>
              <w:t xml:space="preserve"> </w:t>
            </w:r>
            <w:r w:rsidR="00EA1B7F">
              <w:rPr>
                <w:rFonts w:ascii="Times New Roman" w:hAnsi="Times New Roman" w:cs="Times New Roman"/>
                <w:sz w:val="24"/>
                <w:szCs w:val="24"/>
              </w:rPr>
              <w:t>paredz</w:t>
            </w:r>
            <w:r w:rsidR="002C1473">
              <w:rPr>
                <w:rFonts w:ascii="Times New Roman" w:hAnsi="Times New Roman" w:cs="Times New Roman"/>
                <w:sz w:val="24"/>
                <w:szCs w:val="24"/>
              </w:rPr>
              <w:t xml:space="preserve"> </w:t>
            </w:r>
            <w:r w:rsidR="00EA1B7F" w:rsidRPr="002C1473">
              <w:rPr>
                <w:rFonts w:ascii="Times New Roman" w:hAnsi="Times New Roman" w:cs="Times New Roman"/>
                <w:sz w:val="24"/>
                <w:szCs w:val="24"/>
              </w:rPr>
              <w:t>darba tiesisko attiecību nodibināšanu ar pasākumos iesaistītajiem darbiniekiem</w:t>
            </w:r>
            <w:r w:rsidR="00EA1B7F">
              <w:rPr>
                <w:rFonts w:ascii="Times New Roman" w:hAnsi="Times New Roman" w:cs="Times New Roman"/>
                <w:sz w:val="24"/>
                <w:szCs w:val="24"/>
              </w:rPr>
              <w:t xml:space="preserve"> </w:t>
            </w:r>
            <w:r w:rsidR="002C1473" w:rsidRPr="002C1473">
              <w:rPr>
                <w:rFonts w:ascii="Times New Roman" w:hAnsi="Times New Roman" w:cs="Times New Roman"/>
                <w:sz w:val="24"/>
                <w:szCs w:val="24"/>
              </w:rPr>
              <w:t xml:space="preserve">uz laiku, </w:t>
            </w:r>
            <w:r w:rsidR="00EA1B7F">
              <w:rPr>
                <w:rFonts w:ascii="Times New Roman" w:hAnsi="Times New Roman" w:cs="Times New Roman"/>
                <w:sz w:val="24"/>
                <w:szCs w:val="24"/>
              </w:rPr>
              <w:t>kas</w:t>
            </w:r>
            <w:r w:rsidR="00764032">
              <w:rPr>
                <w:rFonts w:ascii="Times New Roman" w:hAnsi="Times New Roman" w:cs="Times New Roman"/>
                <w:sz w:val="24"/>
                <w:szCs w:val="24"/>
              </w:rPr>
              <w:t xml:space="preserve"> nav īsāks par 6 mēnešiem, bijušo </w:t>
            </w:r>
            <w:r w:rsidR="00764032" w:rsidRPr="00E13C41">
              <w:rPr>
                <w:rFonts w:ascii="Times New Roman" w:hAnsi="Times New Roman" w:cs="Times New Roman"/>
                <w:sz w:val="24"/>
                <w:szCs w:val="24"/>
              </w:rPr>
              <w:t>AS „Liepājas Metalurgs”</w:t>
            </w:r>
            <w:r w:rsidR="00764032">
              <w:rPr>
                <w:rFonts w:ascii="Times New Roman" w:hAnsi="Times New Roman" w:cs="Times New Roman"/>
                <w:sz w:val="24"/>
                <w:szCs w:val="24"/>
              </w:rPr>
              <w:t xml:space="preserve"> darbinieku iesaiste projektā var tikt </w:t>
            </w:r>
            <w:r w:rsidR="00764032">
              <w:rPr>
                <w:rFonts w:ascii="Times New Roman" w:hAnsi="Times New Roman" w:cs="Times New Roman"/>
                <w:sz w:val="24"/>
                <w:szCs w:val="24"/>
              </w:rPr>
              <w:lastRenderedPageBreak/>
              <w:t>apgrūtin</w:t>
            </w:r>
            <w:r w:rsidR="007A1818">
              <w:rPr>
                <w:rFonts w:ascii="Times New Roman" w:hAnsi="Times New Roman" w:cs="Times New Roman"/>
                <w:sz w:val="24"/>
                <w:szCs w:val="24"/>
              </w:rPr>
              <w:t>āta MK noteikumos Nr.</w:t>
            </w:r>
            <w:r w:rsidR="00764032">
              <w:rPr>
                <w:rFonts w:ascii="Times New Roman" w:hAnsi="Times New Roman" w:cs="Times New Roman"/>
                <w:sz w:val="24"/>
                <w:szCs w:val="24"/>
              </w:rPr>
              <w:t xml:space="preserve">258 noteiktā </w:t>
            </w:r>
            <w:r w:rsidR="00764032" w:rsidRPr="00EC1C7E">
              <w:rPr>
                <w:rFonts w:ascii="Times New Roman" w:hAnsi="Times New Roman" w:cs="Times New Roman"/>
                <w:sz w:val="24"/>
                <w:szCs w:val="24"/>
              </w:rPr>
              <w:t>p</w:t>
            </w:r>
            <w:r w:rsidR="00764032" w:rsidRPr="00EC1C7E">
              <w:rPr>
                <w:rFonts w:ascii="Times New Roman" w:hAnsi="Times New Roman" w:cs="Times New Roman"/>
                <w:sz w:val="24"/>
                <w:szCs w:val="24"/>
                <w:shd w:val="clear" w:color="auto" w:fill="FFFFFF"/>
              </w:rPr>
              <w:t>rojekta īstenošan</w:t>
            </w:r>
            <w:r w:rsidR="00764032">
              <w:rPr>
                <w:rFonts w:ascii="Times New Roman" w:hAnsi="Times New Roman" w:cs="Times New Roman"/>
                <w:sz w:val="24"/>
                <w:szCs w:val="24"/>
                <w:shd w:val="clear" w:color="auto" w:fill="FFFFFF"/>
              </w:rPr>
              <w:t>as</w:t>
            </w:r>
            <w:r w:rsidR="00764032" w:rsidRPr="00EC1C7E">
              <w:rPr>
                <w:rFonts w:ascii="Times New Roman" w:hAnsi="Times New Roman" w:cs="Times New Roman"/>
                <w:sz w:val="24"/>
                <w:szCs w:val="24"/>
                <w:shd w:val="clear" w:color="auto" w:fill="FFFFFF"/>
              </w:rPr>
              <w:t xml:space="preserve"> </w:t>
            </w:r>
            <w:r w:rsidR="00764032">
              <w:rPr>
                <w:rFonts w:ascii="Times New Roman" w:hAnsi="Times New Roman" w:cs="Times New Roman"/>
                <w:sz w:val="24"/>
                <w:szCs w:val="24"/>
                <w:shd w:val="clear" w:color="auto" w:fill="FFFFFF"/>
              </w:rPr>
              <w:t>termiņa ierobežojuma (</w:t>
            </w:r>
            <w:r w:rsidR="00764032" w:rsidRPr="00EC1C7E">
              <w:rPr>
                <w:rFonts w:ascii="Times New Roman" w:hAnsi="Times New Roman" w:cs="Times New Roman"/>
                <w:sz w:val="24"/>
                <w:szCs w:val="24"/>
                <w:shd w:val="clear" w:color="auto" w:fill="FFFFFF"/>
              </w:rPr>
              <w:t xml:space="preserve">līdz </w:t>
            </w:r>
            <w:proofErr w:type="gramStart"/>
            <w:r w:rsidR="00764032" w:rsidRPr="00EC1C7E">
              <w:rPr>
                <w:rFonts w:ascii="Times New Roman" w:hAnsi="Times New Roman" w:cs="Times New Roman"/>
                <w:sz w:val="24"/>
                <w:szCs w:val="24"/>
                <w:shd w:val="clear" w:color="auto" w:fill="FFFFFF"/>
              </w:rPr>
              <w:t>2014.</w:t>
            </w:r>
            <w:r w:rsidR="00764032">
              <w:rPr>
                <w:rFonts w:ascii="Times New Roman" w:hAnsi="Times New Roman" w:cs="Times New Roman"/>
                <w:sz w:val="24"/>
                <w:szCs w:val="24"/>
                <w:shd w:val="clear" w:color="auto" w:fill="FFFFFF"/>
              </w:rPr>
              <w:t>gada</w:t>
            </w:r>
            <w:proofErr w:type="gramEnd"/>
            <w:r w:rsidR="00764032">
              <w:rPr>
                <w:rFonts w:ascii="Times New Roman" w:hAnsi="Times New Roman" w:cs="Times New Roman"/>
                <w:sz w:val="24"/>
                <w:szCs w:val="24"/>
                <w:shd w:val="clear" w:color="auto" w:fill="FFFFFF"/>
              </w:rPr>
              <w:t xml:space="preserve"> 31.decembrim) dēļ.</w:t>
            </w:r>
            <w:r w:rsidR="00DB4E8D">
              <w:rPr>
                <w:rFonts w:ascii="Times New Roman" w:hAnsi="Times New Roman" w:cs="Times New Roman"/>
                <w:sz w:val="24"/>
                <w:szCs w:val="24"/>
                <w:shd w:val="clear" w:color="auto" w:fill="FFFFFF"/>
              </w:rPr>
              <w:t xml:space="preserve"> Papildus, ņemot vērā faktu, ka darba devēji nav pieteikuši tik darba vietas, cik bija plānots, projekta īstenošanas termiņa ierobežojuma dēļ vairs nav iespējama jaunu darba vietu izveide.</w:t>
            </w:r>
          </w:p>
          <w:p w14:paraId="779388BD" w14:textId="3F244EE6" w:rsidR="00764032" w:rsidRDefault="007A1818" w:rsidP="007A1818">
            <w:pPr>
              <w:spacing w:after="0" w:line="240" w:lineRule="auto"/>
              <w:ind w:left="142" w:right="1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Lai </w:t>
            </w:r>
            <w:r>
              <w:rPr>
                <w:rFonts w:ascii="Times New Roman" w:hAnsi="Times New Roman" w:cs="Times New Roman"/>
                <w:sz w:val="24"/>
                <w:szCs w:val="24"/>
              </w:rPr>
              <w:t xml:space="preserve">sekmētu </w:t>
            </w:r>
            <w:r>
              <w:rPr>
                <w:rFonts w:ascii="Times New Roman" w:hAnsi="Times New Roman" w:cs="Times New Roman"/>
                <w:sz w:val="24"/>
                <w:szCs w:val="24"/>
                <w:shd w:val="clear" w:color="auto" w:fill="FFFFFF"/>
              </w:rPr>
              <w:t xml:space="preserve">MK noteikumos Nr.258 noteikto uzraudzības rādītāju sasniegšanu un nodrošinātu atbalstu </w:t>
            </w:r>
            <w:r w:rsidRPr="00E13C41">
              <w:rPr>
                <w:rFonts w:ascii="Times New Roman" w:hAnsi="Times New Roman" w:cs="Times New Roman"/>
                <w:sz w:val="24"/>
                <w:szCs w:val="24"/>
              </w:rPr>
              <w:t>AS „Liepājas Metalurgs”</w:t>
            </w:r>
            <w:r w:rsidRPr="00EC1C7E">
              <w:rPr>
                <w:rFonts w:ascii="Times New Roman" w:hAnsi="Times New Roman" w:cs="Times New Roman"/>
                <w:sz w:val="24"/>
                <w:szCs w:val="24"/>
              </w:rPr>
              <w:t xml:space="preserve"> </w:t>
            </w:r>
            <w:r w:rsidRPr="00A37357">
              <w:rPr>
                <w:rFonts w:ascii="Times New Roman" w:hAnsi="Times New Roman" w:cs="Times New Roman"/>
                <w:sz w:val="24"/>
                <w:szCs w:val="24"/>
              </w:rPr>
              <w:t>bijušajiem darbiniekiem</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nepieciešams pagarināt </w:t>
            </w:r>
            <w:r>
              <w:rPr>
                <w:rFonts w:ascii="Times New Roman" w:hAnsi="Times New Roman" w:cs="Times New Roman"/>
                <w:sz w:val="24"/>
                <w:szCs w:val="24"/>
              </w:rPr>
              <w:t xml:space="preserve">MK noteikumos Nr.258 noteikto </w:t>
            </w:r>
            <w:r w:rsidRPr="00EC1C7E">
              <w:rPr>
                <w:rFonts w:ascii="Times New Roman" w:hAnsi="Times New Roman" w:cs="Times New Roman"/>
                <w:sz w:val="24"/>
                <w:szCs w:val="24"/>
              </w:rPr>
              <w:t>p</w:t>
            </w:r>
            <w:r w:rsidRPr="00EC1C7E">
              <w:rPr>
                <w:rFonts w:ascii="Times New Roman" w:hAnsi="Times New Roman" w:cs="Times New Roman"/>
                <w:sz w:val="24"/>
                <w:szCs w:val="24"/>
                <w:shd w:val="clear" w:color="auto" w:fill="FFFFFF"/>
              </w:rPr>
              <w:t>rojekta īstenošan</w:t>
            </w:r>
            <w:r>
              <w:rPr>
                <w:rFonts w:ascii="Times New Roman" w:hAnsi="Times New Roman" w:cs="Times New Roman"/>
                <w:sz w:val="24"/>
                <w:szCs w:val="24"/>
                <w:shd w:val="clear" w:color="auto" w:fill="FFFFFF"/>
              </w:rPr>
              <w:t>as</w:t>
            </w:r>
            <w:r w:rsidRPr="00EC1C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termiņu līdz </w:t>
            </w:r>
            <w:proofErr w:type="gramStart"/>
            <w:r>
              <w:rPr>
                <w:rFonts w:ascii="Times New Roman" w:hAnsi="Times New Roman" w:cs="Times New Roman"/>
                <w:sz w:val="24"/>
                <w:szCs w:val="24"/>
                <w:shd w:val="clear" w:color="auto" w:fill="FFFFFF"/>
              </w:rPr>
              <w:t>2015.gada</w:t>
            </w:r>
            <w:proofErr w:type="gramEnd"/>
            <w:r>
              <w:rPr>
                <w:rFonts w:ascii="Times New Roman" w:hAnsi="Times New Roman" w:cs="Times New Roman"/>
                <w:sz w:val="24"/>
                <w:szCs w:val="24"/>
                <w:shd w:val="clear" w:color="auto" w:fill="FFFFFF"/>
              </w:rPr>
              <w:t xml:space="preserve"> 30.jūnijam.</w:t>
            </w:r>
            <w:r w:rsidR="00D31445">
              <w:rPr>
                <w:rFonts w:ascii="Times New Roman" w:hAnsi="Times New Roman" w:cs="Times New Roman"/>
                <w:sz w:val="24"/>
                <w:szCs w:val="24"/>
                <w:shd w:val="clear" w:color="auto" w:fill="FFFFFF"/>
              </w:rPr>
              <w:t xml:space="preserve"> Vienlaikus p</w:t>
            </w:r>
            <w:r w:rsidR="00D31445" w:rsidRPr="00EC1C7E">
              <w:rPr>
                <w:rFonts w:ascii="Times New Roman" w:hAnsi="Times New Roman" w:cs="Times New Roman"/>
                <w:sz w:val="24"/>
                <w:szCs w:val="24"/>
                <w:shd w:val="clear" w:color="auto" w:fill="FFFFFF"/>
              </w:rPr>
              <w:t>rojekta īstenošan</w:t>
            </w:r>
            <w:r w:rsidR="00D31445">
              <w:rPr>
                <w:rFonts w:ascii="Times New Roman" w:hAnsi="Times New Roman" w:cs="Times New Roman"/>
                <w:sz w:val="24"/>
                <w:szCs w:val="24"/>
                <w:shd w:val="clear" w:color="auto" w:fill="FFFFFF"/>
              </w:rPr>
              <w:t>as</w:t>
            </w:r>
            <w:r w:rsidR="00D31445" w:rsidRPr="00EC1C7E">
              <w:rPr>
                <w:rFonts w:ascii="Times New Roman" w:hAnsi="Times New Roman" w:cs="Times New Roman"/>
                <w:sz w:val="24"/>
                <w:szCs w:val="24"/>
                <w:shd w:val="clear" w:color="auto" w:fill="FFFFFF"/>
              </w:rPr>
              <w:t xml:space="preserve"> </w:t>
            </w:r>
            <w:r w:rsidR="00D31445">
              <w:rPr>
                <w:rFonts w:ascii="Times New Roman" w:hAnsi="Times New Roman" w:cs="Times New Roman"/>
                <w:sz w:val="24"/>
                <w:szCs w:val="24"/>
                <w:shd w:val="clear" w:color="auto" w:fill="FFFFFF"/>
              </w:rPr>
              <w:t xml:space="preserve">termiņa pagarināšana līdz </w:t>
            </w:r>
            <w:proofErr w:type="gramStart"/>
            <w:r w:rsidR="00D31445">
              <w:rPr>
                <w:rFonts w:ascii="Times New Roman" w:hAnsi="Times New Roman" w:cs="Times New Roman"/>
                <w:sz w:val="24"/>
                <w:szCs w:val="24"/>
                <w:shd w:val="clear" w:color="auto" w:fill="FFFFFF"/>
              </w:rPr>
              <w:t>2015.gada</w:t>
            </w:r>
            <w:proofErr w:type="gramEnd"/>
            <w:r w:rsidR="00D31445">
              <w:rPr>
                <w:rFonts w:ascii="Times New Roman" w:hAnsi="Times New Roman" w:cs="Times New Roman"/>
                <w:sz w:val="24"/>
                <w:szCs w:val="24"/>
                <w:shd w:val="clear" w:color="auto" w:fill="FFFFFF"/>
              </w:rPr>
              <w:t xml:space="preserve"> 30.jūnijam nodrošinātu aktīvā nodarbinātības pasākuma (</w:t>
            </w:r>
            <w:r w:rsidR="00B6455D">
              <w:rPr>
                <w:rFonts w:ascii="Times New Roman" w:hAnsi="Times New Roman" w:cs="Times New Roman"/>
                <w:sz w:val="24"/>
                <w:szCs w:val="24"/>
                <w:shd w:val="clear" w:color="auto" w:fill="FFFFFF"/>
              </w:rPr>
              <w:t>subsidētā</w:t>
            </w:r>
            <w:r w:rsidR="00D31445">
              <w:rPr>
                <w:rFonts w:ascii="Times New Roman" w:hAnsi="Times New Roman" w:cs="Times New Roman"/>
                <w:sz w:val="24"/>
                <w:szCs w:val="24"/>
                <w:shd w:val="clear" w:color="auto" w:fill="FFFFFF"/>
              </w:rPr>
              <w:t xml:space="preserve"> nodarbinātība) nepārtrauktību, jo </w:t>
            </w:r>
            <w:r w:rsidR="00B6455D">
              <w:rPr>
                <w:rFonts w:ascii="Times New Roman" w:hAnsi="Times New Roman" w:cs="Times New Roman"/>
                <w:sz w:val="24"/>
                <w:szCs w:val="24"/>
                <w:shd w:val="clear" w:color="auto" w:fill="FFFFFF"/>
              </w:rPr>
              <w:t>ES fondu 2014.-2020.gada plānošanas perioda ietvaros s</w:t>
            </w:r>
            <w:r w:rsidR="00B6455D" w:rsidRPr="00B6455D">
              <w:rPr>
                <w:rFonts w:ascii="Times New Roman" w:hAnsi="Times New Roman" w:cs="Times New Roman"/>
                <w:sz w:val="24"/>
                <w:szCs w:val="24"/>
                <w:shd w:val="clear" w:color="auto" w:fill="FFFFFF"/>
              </w:rPr>
              <w:t>u</w:t>
            </w:r>
            <w:r w:rsidR="00B6455D">
              <w:rPr>
                <w:rFonts w:ascii="Times New Roman" w:hAnsi="Times New Roman" w:cs="Times New Roman"/>
                <w:sz w:val="24"/>
                <w:szCs w:val="24"/>
                <w:shd w:val="clear" w:color="auto" w:fill="FFFFFF"/>
              </w:rPr>
              <w:t>bsidētās nod</w:t>
            </w:r>
            <w:r w:rsidR="00A35878">
              <w:rPr>
                <w:rFonts w:ascii="Times New Roman" w:hAnsi="Times New Roman" w:cs="Times New Roman"/>
                <w:sz w:val="24"/>
                <w:szCs w:val="24"/>
                <w:shd w:val="clear" w:color="auto" w:fill="FFFFFF"/>
              </w:rPr>
              <w:t>arbinātības pasākumu nodrošināšanu</w:t>
            </w:r>
            <w:r w:rsidR="00B6455D" w:rsidRPr="00B6455D">
              <w:rPr>
                <w:rFonts w:ascii="Times New Roman" w:hAnsi="Times New Roman" w:cs="Times New Roman"/>
                <w:sz w:val="24"/>
                <w:szCs w:val="24"/>
                <w:shd w:val="clear" w:color="auto" w:fill="FFFFFF"/>
              </w:rPr>
              <w:t xml:space="preserve"> nelabvēlīgākā situācijā esošajiem bezdarbniekiem</w:t>
            </w:r>
            <w:r w:rsidR="00B6455D">
              <w:rPr>
                <w:rFonts w:ascii="Times New Roman" w:hAnsi="Times New Roman" w:cs="Times New Roman"/>
                <w:sz w:val="24"/>
                <w:szCs w:val="24"/>
                <w:shd w:val="clear" w:color="auto" w:fill="FFFFFF"/>
              </w:rPr>
              <w:t xml:space="preserve"> plānots </w:t>
            </w:r>
            <w:r w:rsidR="00A35878">
              <w:rPr>
                <w:rFonts w:ascii="Times New Roman" w:hAnsi="Times New Roman" w:cs="Times New Roman"/>
                <w:sz w:val="24"/>
                <w:szCs w:val="24"/>
                <w:shd w:val="clear" w:color="auto" w:fill="FFFFFF"/>
              </w:rPr>
              <w:t>uzsākt</w:t>
            </w:r>
            <w:r w:rsidR="005D46AF">
              <w:rPr>
                <w:rFonts w:ascii="Times New Roman" w:hAnsi="Times New Roman" w:cs="Times New Roman"/>
                <w:sz w:val="24"/>
                <w:szCs w:val="24"/>
                <w:shd w:val="clear" w:color="auto" w:fill="FFFFFF"/>
              </w:rPr>
              <w:t xml:space="preserve"> (t.i. iesaisti pasākumā)</w:t>
            </w:r>
            <w:r w:rsidR="00B6455D">
              <w:rPr>
                <w:rFonts w:ascii="Times New Roman" w:hAnsi="Times New Roman" w:cs="Times New Roman"/>
                <w:sz w:val="24"/>
                <w:szCs w:val="24"/>
                <w:shd w:val="clear" w:color="auto" w:fill="FFFFFF"/>
              </w:rPr>
              <w:t xml:space="preserve"> </w:t>
            </w:r>
            <w:r w:rsidR="00CA39D4">
              <w:rPr>
                <w:rFonts w:ascii="Times New Roman" w:hAnsi="Times New Roman" w:cs="Times New Roman"/>
                <w:sz w:val="24"/>
                <w:szCs w:val="24"/>
                <w:shd w:val="clear" w:color="auto" w:fill="FFFFFF"/>
              </w:rPr>
              <w:t xml:space="preserve">ne ātrāk kā </w:t>
            </w:r>
            <w:r w:rsidR="00B6455D">
              <w:rPr>
                <w:rFonts w:ascii="Times New Roman" w:hAnsi="Times New Roman" w:cs="Times New Roman"/>
                <w:sz w:val="24"/>
                <w:szCs w:val="24"/>
                <w:shd w:val="clear" w:color="auto" w:fill="FFFFFF"/>
              </w:rPr>
              <w:t>2015.gada I</w:t>
            </w:r>
            <w:r w:rsidR="00F8484C">
              <w:rPr>
                <w:rFonts w:ascii="Times New Roman" w:hAnsi="Times New Roman" w:cs="Times New Roman"/>
                <w:sz w:val="24"/>
                <w:szCs w:val="24"/>
                <w:shd w:val="clear" w:color="auto" w:fill="FFFFFF"/>
              </w:rPr>
              <w:t xml:space="preserve"> </w:t>
            </w:r>
            <w:r w:rsidR="00B6455D">
              <w:rPr>
                <w:rFonts w:ascii="Times New Roman" w:hAnsi="Times New Roman" w:cs="Times New Roman"/>
                <w:sz w:val="24"/>
                <w:szCs w:val="24"/>
                <w:shd w:val="clear" w:color="auto" w:fill="FFFFFF"/>
              </w:rPr>
              <w:t>ceturksnī.</w:t>
            </w:r>
          </w:p>
          <w:p w14:paraId="028EEAB8" w14:textId="3B478E7E" w:rsidR="00F8484C" w:rsidRPr="00575810" w:rsidRDefault="000238EE" w:rsidP="007A1818">
            <w:pPr>
              <w:spacing w:after="0" w:line="240" w:lineRule="auto"/>
              <w:ind w:left="142" w:right="130"/>
              <w:jc w:val="both"/>
              <w:rPr>
                <w:rFonts w:ascii="Times New Roman" w:hAnsi="Times New Roman" w:cs="Times New Roman"/>
                <w:sz w:val="24"/>
                <w:szCs w:val="24"/>
                <w:shd w:val="clear" w:color="auto" w:fill="FFFFFF"/>
              </w:rPr>
            </w:pPr>
            <w:r w:rsidRPr="000238EE">
              <w:rPr>
                <w:rFonts w:ascii="Times New Roman" w:hAnsi="Times New Roman" w:cs="Times New Roman"/>
                <w:sz w:val="24"/>
                <w:szCs w:val="24"/>
                <w:shd w:val="clear" w:color="auto" w:fill="FFFFFF"/>
              </w:rPr>
              <w:t>AS</w:t>
            </w:r>
            <w:r>
              <w:rPr>
                <w:rFonts w:ascii="Times New Roman" w:hAnsi="Times New Roman" w:cs="Times New Roman"/>
                <w:sz w:val="24"/>
                <w:szCs w:val="24"/>
                <w:shd w:val="clear" w:color="auto" w:fill="FFFFFF"/>
              </w:rPr>
              <w:t xml:space="preserve"> „Liepājas Metalurgs” bijušos darbiniekus, kā arī citus nelabvēlīgā situācijā esošus darbiniekus 1.4.1.1.2.apakšaktivitātes projekta ietvaros plānot</w:t>
            </w:r>
            <w:r w:rsidR="0010479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iesaistīt pasākumā</w:t>
            </w:r>
            <w:r w:rsidR="0010479A">
              <w:rPr>
                <w:rFonts w:ascii="Times New Roman" w:hAnsi="Times New Roman" w:cs="Times New Roman"/>
                <w:sz w:val="24"/>
                <w:szCs w:val="24"/>
                <w:shd w:val="clear" w:color="auto" w:fill="FFFFFF"/>
              </w:rPr>
              <w:t xml:space="preserve"> uz vismaz 6 mēnešiem indikatīvi šī gada oktobrī, pirms tam veicot darba devēju atlasi. Šīs personas projektā tiks nodarbinātas lī</w:t>
            </w:r>
            <w:r w:rsidR="00C8589F">
              <w:rPr>
                <w:rFonts w:ascii="Times New Roman" w:hAnsi="Times New Roman" w:cs="Times New Roman"/>
                <w:sz w:val="24"/>
                <w:szCs w:val="24"/>
                <w:shd w:val="clear" w:color="auto" w:fill="FFFFFF"/>
              </w:rPr>
              <w:t xml:space="preserve">dz </w:t>
            </w:r>
            <w:proofErr w:type="gramStart"/>
            <w:r w:rsidR="00C8589F">
              <w:rPr>
                <w:rFonts w:ascii="Times New Roman" w:hAnsi="Times New Roman" w:cs="Times New Roman"/>
                <w:sz w:val="24"/>
                <w:szCs w:val="24"/>
                <w:shd w:val="clear" w:color="auto" w:fill="FFFFFF"/>
              </w:rPr>
              <w:t>2015.gada</w:t>
            </w:r>
            <w:proofErr w:type="gramEnd"/>
            <w:r w:rsidR="00C8589F">
              <w:rPr>
                <w:rFonts w:ascii="Times New Roman" w:hAnsi="Times New Roman" w:cs="Times New Roman"/>
                <w:sz w:val="24"/>
                <w:szCs w:val="24"/>
                <w:shd w:val="clear" w:color="auto" w:fill="FFFFFF"/>
              </w:rPr>
              <w:t xml:space="preserve"> maijam vai jūnijam un netiks iesaistītas</w:t>
            </w:r>
            <w:r w:rsidR="0010479A">
              <w:rPr>
                <w:rFonts w:ascii="Times New Roman" w:hAnsi="Times New Roman" w:cs="Times New Roman"/>
                <w:sz w:val="24"/>
                <w:szCs w:val="24"/>
                <w:shd w:val="clear" w:color="auto" w:fill="FFFFFF"/>
              </w:rPr>
              <w:t xml:space="preserve"> </w:t>
            </w:r>
            <w:r w:rsidR="0010479A" w:rsidRPr="0010479A">
              <w:rPr>
                <w:rFonts w:ascii="Times New Roman" w:hAnsi="Times New Roman" w:cs="Times New Roman"/>
                <w:sz w:val="24"/>
                <w:szCs w:val="24"/>
                <w:shd w:val="clear" w:color="auto" w:fill="FFFFFF"/>
              </w:rPr>
              <w:t>ES fondu 2014.-2020.gada plānošanas perioda ietvaros su</w:t>
            </w:r>
            <w:r w:rsidR="0010479A">
              <w:rPr>
                <w:rFonts w:ascii="Times New Roman" w:hAnsi="Times New Roman" w:cs="Times New Roman"/>
                <w:sz w:val="24"/>
                <w:szCs w:val="24"/>
                <w:shd w:val="clear" w:color="auto" w:fill="FFFFFF"/>
              </w:rPr>
              <w:t>bsidētās nodarbinātības pasākumos</w:t>
            </w:r>
            <w:r w:rsidR="00C8589F">
              <w:rPr>
                <w:rFonts w:ascii="Times New Roman" w:hAnsi="Times New Roman" w:cs="Times New Roman"/>
                <w:sz w:val="24"/>
                <w:szCs w:val="24"/>
                <w:shd w:val="clear" w:color="auto" w:fill="FFFFFF"/>
              </w:rPr>
              <w:t>, kurus plānots uzsākt indikatīvi 2015.gada I ceturksnī.</w:t>
            </w:r>
            <w:r w:rsidR="0010479A">
              <w:rPr>
                <w:rFonts w:ascii="Times New Roman" w:hAnsi="Times New Roman" w:cs="Times New Roman"/>
                <w:sz w:val="24"/>
                <w:szCs w:val="24"/>
                <w:shd w:val="clear" w:color="auto" w:fill="FFFFFF"/>
              </w:rPr>
              <w:t xml:space="preserve"> </w:t>
            </w:r>
          </w:p>
          <w:p w14:paraId="71F1BB9C" w14:textId="77777777" w:rsidR="00EC1C7E" w:rsidRDefault="00EC1C7E" w:rsidP="00B30266">
            <w:pPr>
              <w:spacing w:after="0" w:line="240" w:lineRule="auto"/>
              <w:ind w:left="139" w:right="130"/>
              <w:jc w:val="both"/>
              <w:rPr>
                <w:rFonts w:ascii="Times New Roman" w:hAnsi="Times New Roman" w:cs="Times New Roman"/>
                <w:sz w:val="24"/>
                <w:szCs w:val="24"/>
              </w:rPr>
            </w:pPr>
          </w:p>
          <w:p w14:paraId="4ADA293F" w14:textId="77777777" w:rsidR="000238EE" w:rsidRDefault="00B30266" w:rsidP="008F742D">
            <w:pPr>
              <w:spacing w:after="0" w:line="240" w:lineRule="auto"/>
              <w:ind w:left="139" w:right="130"/>
              <w:jc w:val="both"/>
              <w:rPr>
                <w:rFonts w:ascii="Times New Roman" w:hAnsi="Times New Roman"/>
                <w:sz w:val="24"/>
                <w:szCs w:val="24"/>
              </w:rPr>
            </w:pPr>
            <w:r>
              <w:rPr>
                <w:rFonts w:ascii="Times New Roman" w:hAnsi="Times New Roman" w:cs="Times New Roman"/>
                <w:sz w:val="24"/>
                <w:szCs w:val="24"/>
              </w:rPr>
              <w:t>2</w:t>
            </w:r>
            <w:r w:rsidRPr="00B67BB5">
              <w:rPr>
                <w:rFonts w:ascii="Times New Roman" w:hAnsi="Times New Roman" w:cs="Times New Roman"/>
                <w:sz w:val="24"/>
                <w:szCs w:val="24"/>
              </w:rPr>
              <w:t xml:space="preserve">. </w:t>
            </w:r>
            <w:r w:rsidR="00193FB1" w:rsidRPr="00B67BB5">
              <w:rPr>
                <w:rFonts w:ascii="Times New Roman" w:hAnsi="Times New Roman" w:cs="Times New Roman"/>
                <w:sz w:val="24"/>
                <w:szCs w:val="24"/>
              </w:rPr>
              <w:t>Šobrīd MK noteikumi Nr.</w:t>
            </w:r>
            <w:r w:rsidR="006A0A38" w:rsidRPr="00B67BB5">
              <w:rPr>
                <w:rFonts w:ascii="Times New Roman" w:hAnsi="Times New Roman" w:cs="Times New Roman"/>
                <w:sz w:val="24"/>
                <w:szCs w:val="24"/>
              </w:rPr>
              <w:t>258 nosaka, ka</w:t>
            </w:r>
            <w:r w:rsidR="00507BF0" w:rsidRPr="00B67BB5">
              <w:rPr>
                <w:rFonts w:ascii="Times New Roman" w:hAnsi="Times New Roman" w:cs="Times New Roman"/>
                <w:sz w:val="24"/>
                <w:szCs w:val="24"/>
              </w:rPr>
              <w:t xml:space="preserve"> finanšu atbalstu bezdarbniekiem ar invaliditāti </w:t>
            </w:r>
            <w:r w:rsidR="00193FB1" w:rsidRPr="00B67BB5">
              <w:rPr>
                <w:rFonts w:ascii="Times New Roman" w:hAnsi="Times New Roman" w:cs="Times New Roman"/>
                <w:sz w:val="24"/>
                <w:szCs w:val="24"/>
              </w:rPr>
              <w:t xml:space="preserve">darbības programmas „Cilvēkresursi un nodarbinātība” papildinājuma </w:t>
            </w:r>
            <w:r w:rsidR="006A0A38" w:rsidRPr="00B67BB5">
              <w:rPr>
                <w:rFonts w:ascii="Times New Roman" w:hAnsi="Times New Roman" w:cs="Times New Roman"/>
                <w:sz w:val="24"/>
                <w:szCs w:val="24"/>
              </w:rPr>
              <w:t>1.4.1.1.2.</w:t>
            </w:r>
            <w:r w:rsidR="00193FB1" w:rsidRPr="00B67BB5">
              <w:rPr>
                <w:rFonts w:ascii="Times New Roman" w:hAnsi="Times New Roman" w:cs="Times New Roman"/>
                <w:sz w:val="24"/>
                <w:szCs w:val="24"/>
              </w:rPr>
              <w:t xml:space="preserve">apakšaktivitātes </w:t>
            </w:r>
            <w:r w:rsidR="00507BF0" w:rsidRPr="00B67BB5">
              <w:rPr>
                <w:rFonts w:ascii="Times New Roman" w:hAnsi="Times New Roman" w:cs="Times New Roman"/>
                <w:sz w:val="24"/>
                <w:szCs w:val="24"/>
              </w:rPr>
              <w:t>ietvaros sniedz</w:t>
            </w:r>
            <w:r w:rsidR="00B67BB5">
              <w:rPr>
                <w:rFonts w:ascii="Times New Roman" w:hAnsi="Times New Roman" w:cs="Times New Roman"/>
                <w:sz w:val="24"/>
                <w:szCs w:val="24"/>
              </w:rPr>
              <w:t xml:space="preserve"> saskaņā ar</w:t>
            </w:r>
            <w:r w:rsidR="008B39BD">
              <w:t xml:space="preserve"> </w:t>
            </w:r>
            <w:r w:rsidR="008B39BD" w:rsidRPr="008B39BD">
              <w:rPr>
                <w:rFonts w:ascii="Times New Roman" w:hAnsi="Times New Roman" w:cs="Times New Roman"/>
                <w:sz w:val="24"/>
                <w:szCs w:val="24"/>
              </w:rPr>
              <w:t xml:space="preserve">Komisijas </w:t>
            </w:r>
            <w:proofErr w:type="gramStart"/>
            <w:r w:rsidR="008B39BD" w:rsidRPr="008B39BD">
              <w:rPr>
                <w:rFonts w:ascii="Times New Roman" w:hAnsi="Times New Roman" w:cs="Times New Roman"/>
                <w:sz w:val="24"/>
                <w:szCs w:val="24"/>
              </w:rPr>
              <w:t>2006.g</w:t>
            </w:r>
            <w:r w:rsidR="00B67BB5">
              <w:rPr>
                <w:rFonts w:ascii="Times New Roman" w:hAnsi="Times New Roman" w:cs="Times New Roman"/>
                <w:sz w:val="24"/>
                <w:szCs w:val="24"/>
              </w:rPr>
              <w:t>ada</w:t>
            </w:r>
            <w:proofErr w:type="gramEnd"/>
            <w:r w:rsidR="00B67BB5">
              <w:rPr>
                <w:rFonts w:ascii="Times New Roman" w:hAnsi="Times New Roman" w:cs="Times New Roman"/>
                <w:sz w:val="24"/>
                <w:szCs w:val="24"/>
              </w:rPr>
              <w:t xml:space="preserve"> 15.decembra regulu (EK) Nr.</w:t>
            </w:r>
            <w:r w:rsidR="008B39BD" w:rsidRPr="008B39BD">
              <w:rPr>
                <w:rFonts w:ascii="Times New Roman" w:hAnsi="Times New Roman" w:cs="Times New Roman"/>
                <w:sz w:val="24"/>
                <w:szCs w:val="24"/>
              </w:rPr>
              <w:t>1998/2006 par</w:t>
            </w:r>
            <w:r w:rsidR="00B67BB5">
              <w:rPr>
                <w:rFonts w:ascii="Times New Roman" w:hAnsi="Times New Roman" w:cs="Times New Roman"/>
                <w:sz w:val="24"/>
                <w:szCs w:val="24"/>
              </w:rPr>
              <w:t xml:space="preserve"> Līguma 87. un 88.panta piemēro</w:t>
            </w:r>
            <w:r w:rsidR="008B39BD" w:rsidRPr="008B39BD">
              <w:rPr>
                <w:rFonts w:ascii="Times New Roman" w:hAnsi="Times New Roman" w:cs="Times New Roman"/>
                <w:sz w:val="24"/>
                <w:szCs w:val="24"/>
              </w:rPr>
              <w:t xml:space="preserve">šanu </w:t>
            </w:r>
            <w:proofErr w:type="spellStart"/>
            <w:r w:rsidR="008B39BD" w:rsidRPr="00B67BB5">
              <w:rPr>
                <w:rFonts w:ascii="Times New Roman" w:hAnsi="Times New Roman" w:cs="Times New Roman"/>
                <w:i/>
                <w:sz w:val="24"/>
                <w:szCs w:val="24"/>
              </w:rPr>
              <w:t>de</w:t>
            </w:r>
            <w:proofErr w:type="spellEnd"/>
            <w:r w:rsidR="008B39BD" w:rsidRPr="00B67BB5">
              <w:rPr>
                <w:rFonts w:ascii="Times New Roman" w:hAnsi="Times New Roman" w:cs="Times New Roman"/>
                <w:i/>
                <w:sz w:val="24"/>
                <w:szCs w:val="24"/>
              </w:rPr>
              <w:t xml:space="preserve"> </w:t>
            </w:r>
            <w:proofErr w:type="spellStart"/>
            <w:r w:rsidR="008B39BD" w:rsidRPr="00B67BB5">
              <w:rPr>
                <w:rFonts w:ascii="Times New Roman" w:hAnsi="Times New Roman" w:cs="Times New Roman"/>
                <w:i/>
                <w:sz w:val="24"/>
                <w:szCs w:val="24"/>
              </w:rPr>
              <w:t>minimis</w:t>
            </w:r>
            <w:proofErr w:type="spellEnd"/>
            <w:r w:rsidR="008B39BD" w:rsidRPr="008B39BD">
              <w:rPr>
                <w:rFonts w:ascii="Times New Roman" w:hAnsi="Times New Roman" w:cs="Times New Roman"/>
                <w:sz w:val="24"/>
                <w:szCs w:val="24"/>
              </w:rPr>
              <w:t xml:space="preserve"> atbalstam (Eiropas Savienības Oficiālais Vēstnesis, 2006.gada 28.decembris, Nr. L 379) (turpmāk – </w:t>
            </w:r>
            <w:r w:rsidR="008F742D">
              <w:rPr>
                <w:rFonts w:ascii="Times New Roman" w:hAnsi="Times New Roman" w:cs="Times New Roman"/>
                <w:sz w:val="24"/>
                <w:szCs w:val="24"/>
              </w:rPr>
              <w:t xml:space="preserve">Komisijas regula Nr.1998/2006), kura bija spēkā līdz 2013.gada 31.decembrim, bet </w:t>
            </w:r>
            <w:r w:rsidR="008F742D">
              <w:rPr>
                <w:rFonts w:ascii="Times New Roman" w:hAnsi="Times New Roman"/>
                <w:sz w:val="24"/>
                <w:szCs w:val="24"/>
              </w:rPr>
              <w:t>pēc tās spēkā esības perioda beigām</w:t>
            </w:r>
            <w:r w:rsidR="008F742D">
              <w:rPr>
                <w:rFonts w:ascii="Times New Roman" w:hAnsi="Times New Roman" w:cs="Times New Roman"/>
                <w:sz w:val="24"/>
                <w:szCs w:val="24"/>
              </w:rPr>
              <w:t xml:space="preserve"> Komisijas regula Nr.1998/2006 </w:t>
            </w:r>
            <w:r w:rsidR="008F742D">
              <w:rPr>
                <w:rFonts w:ascii="Times New Roman" w:hAnsi="Times New Roman"/>
                <w:sz w:val="24"/>
                <w:szCs w:val="24"/>
              </w:rPr>
              <w:t>ir piemērojama vēl sešus mēnešus, t.i., līdz 2014.gada 30.jūnijam.</w:t>
            </w:r>
            <w:r w:rsidR="006B695D">
              <w:rPr>
                <w:rFonts w:ascii="Times New Roman" w:hAnsi="Times New Roman"/>
                <w:sz w:val="24"/>
                <w:szCs w:val="24"/>
              </w:rPr>
              <w:t xml:space="preserve"> </w:t>
            </w:r>
          </w:p>
          <w:p w14:paraId="61B740BD" w14:textId="2AEB7452" w:rsidR="008F742D" w:rsidRPr="005A35D4" w:rsidRDefault="006B695D" w:rsidP="008F742D">
            <w:pPr>
              <w:spacing w:after="0" w:line="240" w:lineRule="auto"/>
              <w:ind w:left="139" w:right="130"/>
              <w:jc w:val="both"/>
              <w:rPr>
                <w:rFonts w:ascii="Times New Roman" w:hAnsi="Times New Roman"/>
                <w:sz w:val="24"/>
                <w:szCs w:val="24"/>
              </w:rPr>
            </w:pPr>
            <w:r>
              <w:rPr>
                <w:rFonts w:ascii="Times New Roman" w:hAnsi="Times New Roman"/>
                <w:sz w:val="24"/>
                <w:szCs w:val="24"/>
              </w:rPr>
              <w:t xml:space="preserve">Savukārt </w:t>
            </w:r>
            <w:r w:rsidRPr="006B695D">
              <w:rPr>
                <w:rFonts w:ascii="Times New Roman" w:hAnsi="Times New Roman"/>
                <w:sz w:val="24"/>
                <w:szCs w:val="24"/>
              </w:rPr>
              <w:t>finanšu atbalst</w:t>
            </w:r>
            <w:r>
              <w:rPr>
                <w:rFonts w:ascii="Times New Roman" w:hAnsi="Times New Roman"/>
                <w:sz w:val="24"/>
                <w:szCs w:val="24"/>
              </w:rPr>
              <w:t>u nelabvēlīgā situācijā esošiem darbiniekiem</w:t>
            </w:r>
            <w:r w:rsidRPr="006B695D">
              <w:rPr>
                <w:rFonts w:ascii="Times New Roman" w:hAnsi="Times New Roman"/>
                <w:sz w:val="24"/>
                <w:szCs w:val="24"/>
              </w:rPr>
              <w:t xml:space="preserve"> darbības programmas „Cilvēkresursi un nodarbinātība” papildinājuma 1.4.1.1.2.apakšaktivitātes ietvaros sniedz sa</w:t>
            </w:r>
            <w:r w:rsidR="000238EE">
              <w:rPr>
                <w:rFonts w:ascii="Times New Roman" w:hAnsi="Times New Roman"/>
                <w:sz w:val="24"/>
                <w:szCs w:val="24"/>
              </w:rPr>
              <w:t>skaņā ar</w:t>
            </w:r>
            <w:r w:rsidR="000238EE" w:rsidRPr="00253EC8">
              <w:rPr>
                <w:sz w:val="28"/>
                <w:szCs w:val="28"/>
              </w:rPr>
              <w:t xml:space="preserve"> </w:t>
            </w:r>
            <w:r w:rsidR="000238EE" w:rsidRPr="000238EE">
              <w:rPr>
                <w:rFonts w:ascii="Times New Roman" w:hAnsi="Times New Roman" w:cs="Times New Roman"/>
                <w:sz w:val="24"/>
                <w:szCs w:val="24"/>
              </w:rPr>
              <w:t xml:space="preserve">Komisijas </w:t>
            </w:r>
            <w:proofErr w:type="gramStart"/>
            <w:r w:rsidR="000238EE" w:rsidRPr="000238EE">
              <w:rPr>
                <w:rFonts w:ascii="Times New Roman" w:hAnsi="Times New Roman" w:cs="Times New Roman"/>
                <w:sz w:val="24"/>
                <w:szCs w:val="24"/>
              </w:rPr>
              <w:t>2008.gada</w:t>
            </w:r>
            <w:proofErr w:type="gramEnd"/>
            <w:r w:rsidR="000238EE" w:rsidRPr="000238EE">
              <w:rPr>
                <w:rFonts w:ascii="Times New Roman" w:hAnsi="Times New Roman" w:cs="Times New Roman"/>
                <w:sz w:val="24"/>
                <w:szCs w:val="24"/>
              </w:rPr>
              <w:t xml:space="preserve"> 6.augusta regulu (EK) Nr. 800/2008, kas atzīst noteiktas atbalsta kategorijas par saderīgām ar kopējo tirgu, piemērojot Līguma 87. un 88.pantu (vispārējā grupu atbrīvojuma regula) (Eiropas Savienības Oficiālais Vēstnesis, 2008.gada 9.augusts, Nr. L 214/3) (turpmāk – Komisijas regula Nr. 800/2008)</w:t>
            </w:r>
            <w:r w:rsidRPr="000238EE">
              <w:rPr>
                <w:rFonts w:ascii="Times New Roman" w:hAnsi="Times New Roman" w:cs="Times New Roman"/>
                <w:sz w:val="24"/>
                <w:szCs w:val="24"/>
              </w:rPr>
              <w:t>,</w:t>
            </w:r>
            <w:r w:rsidR="000238EE">
              <w:rPr>
                <w:rFonts w:ascii="Times New Roman" w:hAnsi="Times New Roman"/>
                <w:sz w:val="24"/>
                <w:szCs w:val="24"/>
              </w:rPr>
              <w:t xml:space="preserve"> kura bija spēkā līdz 2014.gada 30.jūnijam</w:t>
            </w:r>
            <w:r w:rsidRPr="006B695D">
              <w:rPr>
                <w:rFonts w:ascii="Times New Roman" w:hAnsi="Times New Roman"/>
                <w:sz w:val="24"/>
                <w:szCs w:val="24"/>
              </w:rPr>
              <w:t xml:space="preserve">, bet </w:t>
            </w:r>
            <w:r w:rsidRPr="006B695D">
              <w:rPr>
                <w:rFonts w:ascii="Times New Roman" w:hAnsi="Times New Roman"/>
                <w:sz w:val="24"/>
                <w:szCs w:val="24"/>
              </w:rPr>
              <w:lastRenderedPageBreak/>
              <w:t>pēc tās spēkā esības peri</w:t>
            </w:r>
            <w:r w:rsidR="000238EE">
              <w:rPr>
                <w:rFonts w:ascii="Times New Roman" w:hAnsi="Times New Roman"/>
                <w:sz w:val="24"/>
                <w:szCs w:val="24"/>
              </w:rPr>
              <w:t>oda beigām Komisijas regula Nr.800</w:t>
            </w:r>
            <w:r w:rsidRPr="006B695D">
              <w:rPr>
                <w:rFonts w:ascii="Times New Roman" w:hAnsi="Times New Roman"/>
                <w:sz w:val="24"/>
                <w:szCs w:val="24"/>
              </w:rPr>
              <w:t>/200</w:t>
            </w:r>
            <w:r w:rsidR="006B539E" w:rsidRPr="006F44FC">
              <w:rPr>
                <w:rFonts w:ascii="Times New Roman" w:hAnsi="Times New Roman"/>
                <w:sz w:val="24"/>
                <w:szCs w:val="24"/>
              </w:rPr>
              <w:t>8</w:t>
            </w:r>
            <w:r w:rsidRPr="006B695D">
              <w:rPr>
                <w:rFonts w:ascii="Times New Roman" w:hAnsi="Times New Roman"/>
                <w:sz w:val="24"/>
                <w:szCs w:val="24"/>
              </w:rPr>
              <w:t xml:space="preserve"> ir piemērojama vēl sešus </w:t>
            </w:r>
            <w:r w:rsidR="000238EE">
              <w:rPr>
                <w:rFonts w:ascii="Times New Roman" w:hAnsi="Times New Roman"/>
                <w:sz w:val="24"/>
                <w:szCs w:val="24"/>
              </w:rPr>
              <w:t xml:space="preserve">mēnešus, t.i., līdz 2014.gada 31.decembrim. No </w:t>
            </w:r>
            <w:proofErr w:type="gramStart"/>
            <w:r w:rsidR="000238EE">
              <w:rPr>
                <w:rFonts w:ascii="Times New Roman" w:hAnsi="Times New Roman"/>
                <w:sz w:val="24"/>
                <w:szCs w:val="24"/>
              </w:rPr>
              <w:t>2015.gada</w:t>
            </w:r>
            <w:proofErr w:type="gramEnd"/>
            <w:r w:rsidR="000238EE">
              <w:rPr>
                <w:rFonts w:ascii="Times New Roman" w:hAnsi="Times New Roman"/>
                <w:sz w:val="24"/>
                <w:szCs w:val="24"/>
              </w:rPr>
              <w:t xml:space="preserve"> 1.janvāra, nodarbinot nelabvēlīgā situācijā esošus darbiniekus 1.4.1.1.2.apakšaktivitātes ietvaros, finanšu atbalsts tiks sniegs saskaņā ar </w:t>
            </w:r>
            <w:proofErr w:type="spellStart"/>
            <w:r w:rsidR="000238EE" w:rsidRPr="000238EE">
              <w:rPr>
                <w:rFonts w:ascii="Times New Roman" w:hAnsi="Times New Roman"/>
                <w:i/>
                <w:sz w:val="24"/>
                <w:szCs w:val="24"/>
              </w:rPr>
              <w:t>de</w:t>
            </w:r>
            <w:proofErr w:type="spellEnd"/>
            <w:r w:rsidR="000238EE" w:rsidRPr="000238EE">
              <w:rPr>
                <w:rFonts w:ascii="Times New Roman" w:hAnsi="Times New Roman"/>
                <w:i/>
                <w:sz w:val="24"/>
                <w:szCs w:val="24"/>
              </w:rPr>
              <w:t xml:space="preserve"> </w:t>
            </w:r>
            <w:proofErr w:type="spellStart"/>
            <w:r w:rsidR="000238EE" w:rsidRPr="000238EE">
              <w:rPr>
                <w:rFonts w:ascii="Times New Roman" w:hAnsi="Times New Roman"/>
                <w:i/>
                <w:sz w:val="24"/>
                <w:szCs w:val="24"/>
              </w:rPr>
              <w:t>minimis</w:t>
            </w:r>
            <w:proofErr w:type="spellEnd"/>
            <w:r w:rsidR="000238EE">
              <w:rPr>
                <w:rFonts w:ascii="Times New Roman" w:hAnsi="Times New Roman"/>
                <w:sz w:val="24"/>
                <w:szCs w:val="24"/>
              </w:rPr>
              <w:t xml:space="preserve"> regulējumu</w:t>
            </w:r>
            <w:r w:rsidR="00843D6D" w:rsidRPr="005A35D4">
              <w:rPr>
                <w:rFonts w:ascii="Times New Roman" w:hAnsi="Times New Roman"/>
                <w:sz w:val="24"/>
                <w:szCs w:val="24"/>
              </w:rPr>
              <w:t>, jo nav mērķtiecīgi sešu mēnešu projekta pagarinājuma periodam pieteikt jaunu atbalsta programmu</w:t>
            </w:r>
            <w:r w:rsidR="000238EE" w:rsidRPr="005A35D4">
              <w:rPr>
                <w:rFonts w:ascii="Times New Roman" w:hAnsi="Times New Roman"/>
                <w:sz w:val="24"/>
                <w:szCs w:val="24"/>
              </w:rPr>
              <w:t>.</w:t>
            </w:r>
          </w:p>
          <w:p w14:paraId="2C16987A" w14:textId="20C286D2" w:rsidR="00C8589F" w:rsidRDefault="00C8589F" w:rsidP="008F742D">
            <w:pPr>
              <w:spacing w:after="0" w:line="240" w:lineRule="auto"/>
              <w:ind w:left="139" w:right="130"/>
              <w:jc w:val="both"/>
              <w:rPr>
                <w:rFonts w:ascii="Times New Roman" w:hAnsi="Times New Roman"/>
                <w:sz w:val="24"/>
                <w:szCs w:val="24"/>
              </w:rPr>
            </w:pPr>
            <w:r>
              <w:rPr>
                <w:rFonts w:ascii="Times New Roman" w:hAnsi="Times New Roman"/>
                <w:sz w:val="24"/>
                <w:szCs w:val="24"/>
              </w:rPr>
              <w:t>L</w:t>
            </w:r>
            <w:r w:rsidRPr="00C8589F">
              <w:rPr>
                <w:rFonts w:ascii="Times New Roman" w:hAnsi="Times New Roman"/>
                <w:sz w:val="24"/>
                <w:szCs w:val="24"/>
              </w:rPr>
              <w:t xml:space="preserve">īgumi, kas </w:t>
            </w:r>
            <w:r>
              <w:rPr>
                <w:rFonts w:ascii="Times New Roman" w:hAnsi="Times New Roman"/>
                <w:sz w:val="24"/>
                <w:szCs w:val="24"/>
              </w:rPr>
              <w:t xml:space="preserve">projekta ietvaros ar darba devējiem </w:t>
            </w:r>
            <w:r w:rsidRPr="00C8589F">
              <w:rPr>
                <w:rFonts w:ascii="Times New Roman" w:hAnsi="Times New Roman"/>
                <w:sz w:val="24"/>
                <w:szCs w:val="24"/>
              </w:rPr>
              <w:t xml:space="preserve">noslēgti līdz </w:t>
            </w:r>
            <w:proofErr w:type="gramStart"/>
            <w:r w:rsidRPr="00C8589F">
              <w:rPr>
                <w:rFonts w:ascii="Times New Roman" w:hAnsi="Times New Roman"/>
                <w:sz w:val="24"/>
                <w:szCs w:val="24"/>
              </w:rPr>
              <w:t>2014.gada</w:t>
            </w:r>
            <w:proofErr w:type="gramEnd"/>
            <w:r w:rsidRPr="00C8589F">
              <w:rPr>
                <w:rFonts w:ascii="Times New Roman" w:hAnsi="Times New Roman"/>
                <w:sz w:val="24"/>
                <w:szCs w:val="24"/>
              </w:rPr>
              <w:t xml:space="preserve"> 31.decembrim</w:t>
            </w:r>
            <w:r>
              <w:rPr>
                <w:rFonts w:ascii="Times New Roman" w:hAnsi="Times New Roman"/>
                <w:sz w:val="24"/>
                <w:szCs w:val="24"/>
              </w:rPr>
              <w:t>, tiks</w:t>
            </w:r>
            <w:r w:rsidRPr="00C8589F">
              <w:rPr>
                <w:rFonts w:ascii="Times New Roman" w:hAnsi="Times New Roman"/>
                <w:sz w:val="24"/>
                <w:szCs w:val="24"/>
              </w:rPr>
              <w:t xml:space="preserve"> </w:t>
            </w:r>
            <w:r>
              <w:rPr>
                <w:rFonts w:ascii="Times New Roman" w:hAnsi="Times New Roman"/>
                <w:sz w:val="24"/>
                <w:szCs w:val="24"/>
              </w:rPr>
              <w:t>īstenoti un pabeigti atbilstoši Komisijas regulas Nr.800/200</w:t>
            </w:r>
            <w:r w:rsidR="00BB047A" w:rsidRPr="00854D11">
              <w:rPr>
                <w:rFonts w:ascii="Times New Roman" w:hAnsi="Times New Roman"/>
                <w:sz w:val="24"/>
                <w:szCs w:val="24"/>
              </w:rPr>
              <w:t>8</w:t>
            </w:r>
            <w:r w:rsidRPr="00C8589F">
              <w:rPr>
                <w:rFonts w:ascii="Times New Roman" w:hAnsi="Times New Roman"/>
                <w:sz w:val="24"/>
                <w:szCs w:val="24"/>
              </w:rPr>
              <w:t xml:space="preserve"> nosacījumiem.</w:t>
            </w:r>
          </w:p>
          <w:p w14:paraId="04C1DB38" w14:textId="15DBD8B4" w:rsidR="0042221E" w:rsidRDefault="0042221E" w:rsidP="008F742D">
            <w:pPr>
              <w:spacing w:after="0" w:line="240" w:lineRule="auto"/>
              <w:ind w:left="139" w:right="130"/>
              <w:jc w:val="both"/>
              <w:rPr>
                <w:rFonts w:ascii="Times New Roman" w:hAnsi="Times New Roman" w:cs="Times New Roman"/>
                <w:sz w:val="24"/>
                <w:szCs w:val="24"/>
              </w:rPr>
            </w:pPr>
            <w:r>
              <w:rPr>
                <w:rFonts w:ascii="Times New Roman" w:hAnsi="Times New Roman"/>
                <w:sz w:val="24"/>
                <w:szCs w:val="24"/>
              </w:rPr>
              <w:t>MK noteikumu Nr.258 24.3.2.6.apakšpunkt</w:t>
            </w:r>
            <w:r w:rsidR="0087502F">
              <w:rPr>
                <w:rFonts w:ascii="Times New Roman" w:hAnsi="Times New Roman"/>
                <w:sz w:val="24"/>
                <w:szCs w:val="24"/>
              </w:rPr>
              <w:t>ā atsauces uz Komisijas r</w:t>
            </w:r>
            <w:r>
              <w:rPr>
                <w:rFonts w:ascii="Times New Roman" w:hAnsi="Times New Roman"/>
                <w:sz w:val="24"/>
                <w:szCs w:val="24"/>
              </w:rPr>
              <w:t>egulu</w:t>
            </w:r>
            <w:r w:rsidR="0087502F">
              <w:rPr>
                <w:rFonts w:ascii="Times New Roman" w:hAnsi="Times New Roman"/>
                <w:sz w:val="24"/>
                <w:szCs w:val="24"/>
              </w:rPr>
              <w:t xml:space="preserve"> Nr.800/200</w:t>
            </w:r>
            <w:r w:rsidR="00BB047A" w:rsidRPr="00854D11">
              <w:rPr>
                <w:rFonts w:ascii="Times New Roman" w:hAnsi="Times New Roman"/>
                <w:sz w:val="24"/>
                <w:szCs w:val="24"/>
              </w:rPr>
              <w:t>8</w:t>
            </w:r>
            <w:r w:rsidR="0087502F" w:rsidRPr="00854D11">
              <w:rPr>
                <w:rFonts w:ascii="Times New Roman" w:hAnsi="Times New Roman"/>
                <w:sz w:val="24"/>
                <w:szCs w:val="24"/>
              </w:rPr>
              <w:t xml:space="preserve"> </w:t>
            </w:r>
            <w:r w:rsidR="0087502F">
              <w:rPr>
                <w:rFonts w:ascii="Times New Roman" w:hAnsi="Times New Roman"/>
                <w:sz w:val="24"/>
                <w:szCs w:val="24"/>
              </w:rPr>
              <w:t>netiek mainītas, jo projekta iesnieguma vērtēšanas brīdī spēkā bija Komisijas regulas Nr.800/200</w:t>
            </w:r>
            <w:r w:rsidR="00BB047A" w:rsidRPr="00854D11">
              <w:rPr>
                <w:rFonts w:ascii="Times New Roman" w:hAnsi="Times New Roman"/>
                <w:sz w:val="24"/>
                <w:szCs w:val="24"/>
              </w:rPr>
              <w:t>8</w:t>
            </w:r>
            <w:r w:rsidR="0087502F">
              <w:t xml:space="preserve"> </w:t>
            </w:r>
            <w:proofErr w:type="gramStart"/>
            <w:r w:rsidR="0087502F" w:rsidRPr="0087502F">
              <w:rPr>
                <w:rFonts w:ascii="Times New Roman" w:hAnsi="Times New Roman"/>
                <w:sz w:val="24"/>
                <w:szCs w:val="24"/>
              </w:rPr>
              <w:t>2.</w:t>
            </w:r>
            <w:r w:rsidR="0087502F">
              <w:rPr>
                <w:rFonts w:ascii="Times New Roman" w:hAnsi="Times New Roman"/>
                <w:sz w:val="24"/>
                <w:szCs w:val="24"/>
              </w:rPr>
              <w:t>panta</w:t>
            </w:r>
            <w:proofErr w:type="gramEnd"/>
            <w:r w:rsidR="0087502F">
              <w:rPr>
                <w:rFonts w:ascii="Times New Roman" w:hAnsi="Times New Roman"/>
                <w:sz w:val="24"/>
                <w:szCs w:val="24"/>
              </w:rPr>
              <w:t xml:space="preserve"> 18. un 19.punktā noteiktie</w:t>
            </w:r>
            <w:r w:rsidR="0087502F" w:rsidRPr="0087502F">
              <w:rPr>
                <w:rFonts w:ascii="Times New Roman" w:hAnsi="Times New Roman"/>
                <w:sz w:val="24"/>
                <w:szCs w:val="24"/>
              </w:rPr>
              <w:t xml:space="preserve"> nelabvēlīgākā situā</w:t>
            </w:r>
            <w:r w:rsidR="0087502F">
              <w:rPr>
                <w:rFonts w:ascii="Times New Roman" w:hAnsi="Times New Roman"/>
                <w:sz w:val="24"/>
                <w:szCs w:val="24"/>
              </w:rPr>
              <w:t xml:space="preserve">cijā </w:t>
            </w:r>
            <w:r w:rsidR="007A0DE6">
              <w:rPr>
                <w:rFonts w:ascii="Times New Roman" w:hAnsi="Times New Roman"/>
                <w:sz w:val="24"/>
                <w:szCs w:val="24"/>
              </w:rPr>
              <w:t xml:space="preserve">un īpaši nelabvēlīgā situācijā </w:t>
            </w:r>
            <w:r w:rsidR="0087502F">
              <w:rPr>
                <w:rFonts w:ascii="Times New Roman" w:hAnsi="Times New Roman"/>
                <w:sz w:val="24"/>
                <w:szCs w:val="24"/>
              </w:rPr>
              <w:t>esoša darbinieka kritēriji.</w:t>
            </w:r>
          </w:p>
          <w:p w14:paraId="4E3B703F" w14:textId="1965149A" w:rsidR="00BF002F" w:rsidRDefault="00B67BB5" w:rsidP="00BF002F">
            <w:pPr>
              <w:spacing w:after="0" w:line="240" w:lineRule="auto"/>
              <w:ind w:left="139" w:right="130"/>
              <w:jc w:val="both"/>
              <w:rPr>
                <w:rFonts w:ascii="Times New Roman" w:hAnsi="Times New Roman" w:cs="Times New Roman"/>
                <w:sz w:val="24"/>
                <w:szCs w:val="24"/>
              </w:rPr>
            </w:pPr>
            <w:proofErr w:type="gramStart"/>
            <w:r>
              <w:rPr>
                <w:rFonts w:ascii="Times New Roman" w:hAnsi="Times New Roman"/>
                <w:sz w:val="24"/>
                <w:szCs w:val="24"/>
              </w:rPr>
              <w:t>2014.gada</w:t>
            </w:r>
            <w:proofErr w:type="gramEnd"/>
            <w:r>
              <w:rPr>
                <w:rFonts w:ascii="Times New Roman" w:hAnsi="Times New Roman"/>
                <w:sz w:val="24"/>
                <w:szCs w:val="24"/>
              </w:rPr>
              <w:t xml:space="preserve"> 1.janvārī stājās</w:t>
            </w:r>
            <w:r w:rsidR="008F742D">
              <w:rPr>
                <w:rFonts w:ascii="Times New Roman" w:hAnsi="Times New Roman"/>
                <w:sz w:val="24"/>
                <w:szCs w:val="24"/>
              </w:rPr>
              <w:t xml:space="preserve"> spēkā </w:t>
            </w:r>
            <w:r w:rsidRPr="001E7A7B">
              <w:rPr>
                <w:rFonts w:ascii="Times New Roman" w:hAnsi="Times New Roman"/>
                <w:sz w:val="24"/>
                <w:szCs w:val="24"/>
              </w:rPr>
              <w:t>Komisijas regula Nr.1407/2013</w:t>
            </w:r>
            <w:r>
              <w:rPr>
                <w:rFonts w:ascii="Times New Roman" w:hAnsi="Times New Roman"/>
                <w:sz w:val="24"/>
                <w:szCs w:val="24"/>
              </w:rPr>
              <w:t xml:space="preserve">, kura aizstāj </w:t>
            </w:r>
            <w:r w:rsidRPr="003F3218">
              <w:rPr>
                <w:rFonts w:ascii="Times New Roman" w:hAnsi="Times New Roman"/>
                <w:sz w:val="24"/>
                <w:szCs w:val="24"/>
              </w:rPr>
              <w:t>Komisijas regul</w:t>
            </w:r>
            <w:r>
              <w:rPr>
                <w:rFonts w:ascii="Times New Roman" w:hAnsi="Times New Roman"/>
                <w:sz w:val="24"/>
                <w:szCs w:val="24"/>
              </w:rPr>
              <w:t>u</w:t>
            </w:r>
            <w:r w:rsidRPr="003F3218">
              <w:rPr>
                <w:rFonts w:ascii="Times New Roman" w:hAnsi="Times New Roman"/>
                <w:sz w:val="24"/>
                <w:szCs w:val="24"/>
              </w:rPr>
              <w:t xml:space="preserve"> Nr.</w:t>
            </w:r>
            <w:r w:rsidRPr="00F3796D">
              <w:rPr>
                <w:rFonts w:ascii="Times New Roman" w:hAnsi="Times New Roman"/>
                <w:sz w:val="24"/>
                <w:szCs w:val="24"/>
              </w:rPr>
              <w:t>1998/2006</w:t>
            </w:r>
            <w:r w:rsidR="008F742D">
              <w:rPr>
                <w:rFonts w:ascii="Times New Roman" w:hAnsi="Times New Roman"/>
                <w:sz w:val="24"/>
                <w:szCs w:val="24"/>
              </w:rPr>
              <w:t>.</w:t>
            </w:r>
          </w:p>
          <w:p w14:paraId="594DF5B4" w14:textId="77777777" w:rsidR="00BF002F" w:rsidRDefault="00B67BB5" w:rsidP="00BF002F">
            <w:pPr>
              <w:spacing w:after="0" w:line="240" w:lineRule="auto"/>
              <w:ind w:left="139" w:right="130"/>
              <w:jc w:val="both"/>
              <w:rPr>
                <w:rFonts w:ascii="Times New Roman" w:hAnsi="Times New Roman" w:cs="Times New Roman"/>
                <w:sz w:val="24"/>
                <w:szCs w:val="24"/>
              </w:rPr>
            </w:pPr>
            <w:r w:rsidRPr="007A444C">
              <w:rPr>
                <w:rFonts w:ascii="Times New Roman" w:hAnsi="Times New Roman"/>
                <w:sz w:val="24"/>
                <w:szCs w:val="24"/>
              </w:rPr>
              <w:t>Komisijas regula Nr.</w:t>
            </w:r>
            <w:hyperlink r:id="rId9" w:tgtFrame="_blank" w:history="1">
              <w:r w:rsidRPr="007A444C">
                <w:rPr>
                  <w:rFonts w:ascii="Times New Roman" w:hAnsi="Times New Roman"/>
                  <w:sz w:val="24"/>
                  <w:szCs w:val="24"/>
                </w:rPr>
                <w:t>1</w:t>
              </w:r>
              <w:hyperlink r:id="rId10" w:tgtFrame="_blank" w:history="1">
                <w:r w:rsidRPr="007A444C">
                  <w:rPr>
                    <w:rFonts w:ascii="Times New Roman" w:hAnsi="Times New Roman"/>
                    <w:sz w:val="24"/>
                    <w:szCs w:val="24"/>
                  </w:rPr>
                  <w:t>407/2013</w:t>
                </w:r>
              </w:hyperlink>
            </w:hyperlink>
            <w:r w:rsidRPr="007A444C">
              <w:rPr>
                <w:rFonts w:ascii="Times New Roman" w:hAnsi="Times New Roman"/>
                <w:sz w:val="24"/>
                <w:szCs w:val="24"/>
              </w:rPr>
              <w:t xml:space="preserve"> vairs neparedz nosacījumu, ka atbalstu nevar sniegt darba devējiem, kuri atbilst grūtībās nonākuša uzņēmuma statusam</w:t>
            </w:r>
            <w:r w:rsidR="00BF002F">
              <w:rPr>
                <w:rFonts w:ascii="Times New Roman" w:hAnsi="Times New Roman"/>
                <w:sz w:val="24"/>
                <w:szCs w:val="24"/>
              </w:rPr>
              <w:t xml:space="preserve">. </w:t>
            </w:r>
            <w:r w:rsidRPr="007A444C">
              <w:rPr>
                <w:rFonts w:ascii="Times New Roman" w:hAnsi="Times New Roman"/>
                <w:sz w:val="24"/>
                <w:szCs w:val="24"/>
              </w:rPr>
              <w:t>Vienlaikus atbilstoši Komisijas regul</w:t>
            </w:r>
            <w:r>
              <w:rPr>
                <w:rFonts w:ascii="Times New Roman" w:hAnsi="Times New Roman"/>
                <w:sz w:val="24"/>
                <w:szCs w:val="24"/>
              </w:rPr>
              <w:t>ā</w:t>
            </w:r>
            <w:r w:rsidRPr="007A444C">
              <w:rPr>
                <w:rFonts w:ascii="Times New Roman" w:hAnsi="Times New Roman"/>
                <w:sz w:val="24"/>
                <w:szCs w:val="24"/>
              </w:rPr>
              <w:t xml:space="preserve"> Nr.</w:t>
            </w:r>
            <w:hyperlink r:id="rId11" w:tgtFrame="_blank" w:history="1">
              <w:r w:rsidRPr="007A444C">
                <w:rPr>
                  <w:rFonts w:ascii="Times New Roman" w:hAnsi="Times New Roman"/>
                  <w:sz w:val="24"/>
                  <w:szCs w:val="24"/>
                </w:rPr>
                <w:t>1</w:t>
              </w:r>
              <w:hyperlink r:id="rId12" w:tgtFrame="_blank" w:history="1">
                <w:r w:rsidRPr="007A444C">
                  <w:rPr>
                    <w:rFonts w:ascii="Times New Roman" w:hAnsi="Times New Roman"/>
                    <w:sz w:val="24"/>
                    <w:szCs w:val="24"/>
                  </w:rPr>
                  <w:t>407/2013</w:t>
                </w:r>
              </w:hyperlink>
            </w:hyperlink>
            <w:r w:rsidRPr="007A444C">
              <w:rPr>
                <w:rFonts w:ascii="Times New Roman" w:hAnsi="Times New Roman"/>
                <w:sz w:val="24"/>
                <w:szCs w:val="24"/>
              </w:rPr>
              <w:t xml:space="preserve"> no</w:t>
            </w:r>
            <w:r>
              <w:rPr>
                <w:rFonts w:ascii="Times New Roman" w:hAnsi="Times New Roman"/>
                <w:sz w:val="24"/>
                <w:szCs w:val="24"/>
              </w:rPr>
              <w:t>teiktajam</w:t>
            </w:r>
            <w:r w:rsidRPr="007A444C">
              <w:rPr>
                <w:rFonts w:ascii="Times New Roman" w:hAnsi="Times New Roman"/>
                <w:sz w:val="24"/>
                <w:szCs w:val="24"/>
              </w:rPr>
              <w:t xml:space="preserve"> jāparedz nosacījums, ka atbalstu nevar sniegt saimnieciskās darbības veicējam,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w:t>
            </w:r>
          </w:p>
          <w:p w14:paraId="5C82043D" w14:textId="5935C630" w:rsidR="00B30266" w:rsidRPr="00EC1C7E" w:rsidRDefault="00B67BB5" w:rsidP="000238EE">
            <w:pPr>
              <w:spacing w:after="0" w:line="240" w:lineRule="auto"/>
              <w:ind w:left="139" w:right="130"/>
              <w:jc w:val="both"/>
              <w:rPr>
                <w:rFonts w:ascii="Times New Roman" w:hAnsi="Times New Roman" w:cs="Times New Roman"/>
                <w:sz w:val="24"/>
                <w:szCs w:val="24"/>
              </w:rPr>
            </w:pPr>
            <w:r>
              <w:rPr>
                <w:rFonts w:ascii="Times New Roman" w:hAnsi="Times New Roman"/>
                <w:sz w:val="24"/>
                <w:szCs w:val="24"/>
              </w:rPr>
              <w:t xml:space="preserve">Ņemot vērā </w:t>
            </w:r>
            <w:r w:rsidR="00BF002F">
              <w:rPr>
                <w:rFonts w:ascii="Times New Roman" w:hAnsi="Times New Roman"/>
                <w:sz w:val="24"/>
                <w:szCs w:val="24"/>
              </w:rPr>
              <w:t xml:space="preserve">iepriekš </w:t>
            </w:r>
            <w:r>
              <w:rPr>
                <w:rFonts w:ascii="Times New Roman" w:hAnsi="Times New Roman"/>
                <w:sz w:val="24"/>
                <w:szCs w:val="24"/>
              </w:rPr>
              <w:t>minēto, nepieciešams veikt atbilstošus grozījumus MK noteikumos Nr.</w:t>
            </w:r>
            <w:r w:rsidR="00BF002F">
              <w:rPr>
                <w:rFonts w:ascii="Times New Roman" w:hAnsi="Times New Roman"/>
                <w:sz w:val="24"/>
                <w:szCs w:val="24"/>
              </w:rPr>
              <w:t>258, aizstājot atsauces uz</w:t>
            </w:r>
            <w:r w:rsidR="00BF002F">
              <w:rPr>
                <w:rFonts w:ascii="Times New Roman" w:hAnsi="Times New Roman" w:cs="Times New Roman"/>
                <w:sz w:val="24"/>
                <w:szCs w:val="24"/>
              </w:rPr>
              <w:t xml:space="preserve"> Komisijas regulas Nr.1998/2006 nosacījumiem ar atsaucēm uz</w:t>
            </w:r>
            <w:r w:rsidR="00BF002F" w:rsidRPr="001E7A7B">
              <w:rPr>
                <w:rFonts w:ascii="Times New Roman" w:hAnsi="Times New Roman"/>
                <w:sz w:val="24"/>
                <w:szCs w:val="24"/>
              </w:rPr>
              <w:t xml:space="preserve"> </w:t>
            </w:r>
            <w:r w:rsidR="00BF002F">
              <w:rPr>
                <w:rFonts w:ascii="Times New Roman" w:hAnsi="Times New Roman"/>
                <w:sz w:val="24"/>
                <w:szCs w:val="24"/>
              </w:rPr>
              <w:t>Komisijas regulā</w:t>
            </w:r>
            <w:r w:rsidR="00BF002F" w:rsidRPr="001E7A7B">
              <w:rPr>
                <w:rFonts w:ascii="Times New Roman" w:hAnsi="Times New Roman"/>
                <w:sz w:val="24"/>
                <w:szCs w:val="24"/>
              </w:rPr>
              <w:t xml:space="preserve"> Nr.1407/2013</w:t>
            </w:r>
            <w:r w:rsidR="00BF002F">
              <w:rPr>
                <w:rFonts w:ascii="Times New Roman" w:hAnsi="Times New Roman"/>
                <w:sz w:val="24"/>
                <w:szCs w:val="24"/>
              </w:rPr>
              <w:t xml:space="preserve"> noteiktajām</w:t>
            </w:r>
            <w:r w:rsidR="000238EE">
              <w:rPr>
                <w:rFonts w:ascii="Times New Roman" w:hAnsi="Times New Roman"/>
                <w:sz w:val="24"/>
                <w:szCs w:val="24"/>
              </w:rPr>
              <w:t xml:space="preserve"> prasībām, kā arī paredzot, ka no </w:t>
            </w:r>
            <w:proofErr w:type="gramStart"/>
            <w:r w:rsidR="000238EE">
              <w:rPr>
                <w:rFonts w:ascii="Times New Roman" w:hAnsi="Times New Roman"/>
                <w:sz w:val="24"/>
                <w:szCs w:val="24"/>
              </w:rPr>
              <w:t>2015.gada</w:t>
            </w:r>
            <w:proofErr w:type="gramEnd"/>
            <w:r w:rsidR="000238EE">
              <w:rPr>
                <w:rFonts w:ascii="Times New Roman" w:hAnsi="Times New Roman"/>
                <w:sz w:val="24"/>
                <w:szCs w:val="24"/>
              </w:rPr>
              <w:t xml:space="preserve"> 1.janvāra nelabvēlīgā situācijā esošu darbinieku nodarbinātībā finanšu atbalsts tiks sniegts saskaņ</w:t>
            </w:r>
            <w:r w:rsidR="0087502F">
              <w:rPr>
                <w:rFonts w:ascii="Times New Roman" w:hAnsi="Times New Roman"/>
                <w:sz w:val="24"/>
                <w:szCs w:val="24"/>
              </w:rPr>
              <w:t xml:space="preserve">ā ar </w:t>
            </w:r>
            <w:proofErr w:type="spellStart"/>
            <w:r w:rsidR="0087502F" w:rsidRPr="0087502F">
              <w:rPr>
                <w:rFonts w:ascii="Times New Roman" w:hAnsi="Times New Roman"/>
                <w:i/>
                <w:sz w:val="24"/>
                <w:szCs w:val="24"/>
              </w:rPr>
              <w:t>de</w:t>
            </w:r>
            <w:proofErr w:type="spellEnd"/>
            <w:r w:rsidR="0087502F" w:rsidRPr="0087502F">
              <w:rPr>
                <w:rFonts w:ascii="Times New Roman" w:hAnsi="Times New Roman"/>
                <w:i/>
                <w:sz w:val="24"/>
                <w:szCs w:val="24"/>
              </w:rPr>
              <w:t xml:space="preserve"> </w:t>
            </w:r>
            <w:proofErr w:type="spellStart"/>
            <w:r w:rsidR="0087502F" w:rsidRPr="0087502F">
              <w:rPr>
                <w:rFonts w:ascii="Times New Roman" w:hAnsi="Times New Roman"/>
                <w:i/>
                <w:sz w:val="24"/>
                <w:szCs w:val="24"/>
              </w:rPr>
              <w:t>minimis</w:t>
            </w:r>
            <w:proofErr w:type="spellEnd"/>
            <w:r w:rsidR="0087502F">
              <w:rPr>
                <w:rFonts w:ascii="Times New Roman" w:hAnsi="Times New Roman"/>
                <w:sz w:val="24"/>
                <w:szCs w:val="24"/>
              </w:rPr>
              <w:t xml:space="preserve"> regulējumu</w:t>
            </w:r>
            <w:r w:rsidR="000238EE">
              <w:rPr>
                <w:rFonts w:ascii="Times New Roman" w:hAnsi="Times New Roman"/>
                <w:sz w:val="24"/>
                <w:szCs w:val="24"/>
              </w:rPr>
              <w:t>.</w:t>
            </w:r>
          </w:p>
        </w:tc>
      </w:tr>
      <w:tr w:rsidR="00CC1A56" w:rsidRPr="00DD49B6" w14:paraId="430D5B1D" w14:textId="77777777" w:rsidTr="001E645F">
        <w:trPr>
          <w:trHeight w:val="476"/>
        </w:trPr>
        <w:tc>
          <w:tcPr>
            <w:tcW w:w="227" w:type="pct"/>
          </w:tcPr>
          <w:p w14:paraId="510678D3" w14:textId="77777777"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14:paraId="045B7111" w14:textId="77777777" w:rsidR="00CC1A56" w:rsidRPr="0093520F" w:rsidRDefault="002A161A" w:rsidP="00B10319">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14:paraId="3888F858" w14:textId="77777777" w:rsidTr="001E645F">
        <w:tc>
          <w:tcPr>
            <w:tcW w:w="227"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66"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07" w:type="pct"/>
          </w:tcPr>
          <w:p w14:paraId="27A3232B" w14:textId="77777777" w:rsidR="00CC1A56" w:rsidRPr="004863B9" w:rsidRDefault="004863B9" w:rsidP="00DE0F62">
            <w:pPr>
              <w:pStyle w:val="naiskr"/>
              <w:spacing w:before="0" w:beforeAutospacing="0" w:after="0" w:afterAutospacing="0"/>
              <w:ind w:left="142" w:right="57"/>
              <w:jc w:val="both"/>
            </w:pPr>
            <w:r>
              <w:rPr>
                <w:color w:val="000000"/>
              </w:rPr>
              <w:t>Nav.</w:t>
            </w:r>
          </w:p>
        </w:tc>
      </w:tr>
    </w:tbl>
    <w:p w14:paraId="79AC2BFF" w14:textId="77777777" w:rsidR="00CC1A56" w:rsidRDefault="00CC1A56" w:rsidP="00CC1A56">
      <w:pPr>
        <w:spacing w:after="0" w:line="240" w:lineRule="auto"/>
        <w:rPr>
          <w:rFonts w:ascii="Times New Roman" w:hAnsi="Times New Roman" w:cs="Times New Roman"/>
          <w:sz w:val="24"/>
          <w:szCs w:val="24"/>
          <w:highlight w:val="yellow"/>
        </w:rPr>
      </w:pPr>
    </w:p>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142B9940" w:rsidR="00CC1A56" w:rsidRPr="00682E06" w:rsidRDefault="00575CBB" w:rsidP="006123FA">
            <w:pPr>
              <w:shd w:val="clear" w:color="auto" w:fill="FFFFFF"/>
              <w:spacing w:after="0" w:line="240" w:lineRule="auto"/>
              <w:ind w:left="142" w:right="57"/>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B</w:t>
            </w:r>
            <w:r w:rsidRPr="004D654A">
              <w:rPr>
                <w:rFonts w:ascii="Times New Roman" w:hAnsi="Times New Roman" w:cs="Times New Roman"/>
                <w:sz w:val="24"/>
                <w:szCs w:val="24"/>
              </w:rPr>
              <w:t xml:space="preserve">ezdarbnieki, kas atbilst Komisijas </w:t>
            </w:r>
            <w:r w:rsidR="006123FA">
              <w:rPr>
                <w:rFonts w:ascii="Times New Roman" w:hAnsi="Times New Roman" w:cs="Times New Roman"/>
                <w:sz w:val="24"/>
                <w:szCs w:val="24"/>
              </w:rPr>
              <w:t>r</w:t>
            </w:r>
            <w:r w:rsidRPr="004D654A">
              <w:rPr>
                <w:rFonts w:ascii="Times New Roman" w:hAnsi="Times New Roman" w:cs="Times New Roman"/>
                <w:sz w:val="24"/>
                <w:szCs w:val="24"/>
              </w:rPr>
              <w:t>egulas Nr.800/2008</w:t>
            </w:r>
            <w:r w:rsidR="006123FA">
              <w:rPr>
                <w:rFonts w:ascii="Times New Roman" w:hAnsi="Times New Roman" w:cs="Times New Roman"/>
                <w:sz w:val="24"/>
                <w:szCs w:val="24"/>
              </w:rPr>
              <w:t xml:space="preserve"> </w:t>
            </w:r>
            <w:proofErr w:type="gramStart"/>
            <w:r w:rsidRPr="004D654A">
              <w:rPr>
                <w:rFonts w:ascii="Times New Roman" w:hAnsi="Times New Roman" w:cs="Times New Roman"/>
                <w:sz w:val="24"/>
                <w:szCs w:val="24"/>
              </w:rPr>
              <w:t>2.panta</w:t>
            </w:r>
            <w:proofErr w:type="gramEnd"/>
            <w:r w:rsidRPr="004D654A">
              <w:rPr>
                <w:rFonts w:ascii="Times New Roman" w:hAnsi="Times New Roman" w:cs="Times New Roman"/>
                <w:sz w:val="24"/>
                <w:szCs w:val="24"/>
              </w:rPr>
              <w:t xml:space="preserve"> 18.punktā noteiktajiem nelabvēlīgākā situācijā esoša darba ņēmēja un 19.punktā noteiktajiem īpaši nelabvēlīgā situācijā esoša darba ņēmēja kritērijiem, un bezdarbnieki ar invaliditāti</w:t>
            </w:r>
            <w:r>
              <w:rPr>
                <w:rFonts w:ascii="Times New Roman" w:hAnsi="Times New Roman" w:cs="Times New Roman"/>
                <w:sz w:val="24"/>
                <w:szCs w:val="24"/>
              </w:rPr>
              <w:t xml:space="preserve"> </w:t>
            </w:r>
            <w:r w:rsidR="00682E06" w:rsidRPr="00682E06">
              <w:rPr>
                <w:rFonts w:ascii="Times New Roman" w:hAnsi="Times New Roman" w:cs="Times New Roman"/>
                <w:sz w:val="24"/>
                <w:szCs w:val="24"/>
              </w:rPr>
              <w:t>(1.4.1.</w:t>
            </w:r>
            <w:r>
              <w:rPr>
                <w:rFonts w:ascii="Times New Roman" w:hAnsi="Times New Roman" w:cs="Times New Roman"/>
                <w:sz w:val="24"/>
                <w:szCs w:val="24"/>
              </w:rPr>
              <w:t>1.2</w:t>
            </w:r>
            <w:r w:rsidR="00682E06" w:rsidRPr="00682E06">
              <w:rPr>
                <w:rFonts w:ascii="Times New Roman" w:hAnsi="Times New Roman" w:cs="Times New Roman"/>
                <w:sz w:val="24"/>
                <w:szCs w:val="24"/>
              </w:rPr>
              <w:t xml:space="preserve">.apakšaktivitātes ietvaros </w:t>
            </w:r>
            <w:r>
              <w:rPr>
                <w:rFonts w:ascii="Times New Roman" w:hAnsi="Times New Roman" w:cs="Times New Roman"/>
                <w:sz w:val="24"/>
                <w:szCs w:val="24"/>
              </w:rPr>
              <w:t>3680</w:t>
            </w:r>
            <w:r w:rsidR="00682E06" w:rsidRPr="00682E06">
              <w:rPr>
                <w:rFonts w:ascii="Times New Roman" w:hAnsi="Times New Roman" w:cs="Times New Roman"/>
                <w:sz w:val="24"/>
                <w:szCs w:val="24"/>
              </w:rPr>
              <w:t xml:space="preserve"> personas).</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lastRenderedPageBreak/>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77777777"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77777777" w:rsidR="00CC1A56" w:rsidRPr="00DD49B6" w:rsidRDefault="00D404FE" w:rsidP="00B10319">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77777777"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14:paraId="5BE17E14" w14:textId="77777777" w:rsidR="00CC1A56" w:rsidRDefault="00CC1A56" w:rsidP="00CC1A56">
      <w:pPr>
        <w:spacing w:after="0" w:line="240" w:lineRule="auto"/>
        <w:rPr>
          <w:rFonts w:ascii="Times New Roman" w:hAnsi="Times New Roman" w:cs="Times New Roman"/>
          <w:sz w:val="24"/>
          <w:szCs w:val="24"/>
        </w:rPr>
      </w:pPr>
    </w:p>
    <w:p w14:paraId="74AEB881" w14:textId="77777777" w:rsidR="005A7179" w:rsidRDefault="005A7179" w:rsidP="00CC1A56">
      <w:pPr>
        <w:spacing w:after="0" w:line="240" w:lineRule="auto"/>
        <w:rPr>
          <w:rFonts w:ascii="Times New Roman" w:hAnsi="Times New Roman" w:cs="Times New Roman"/>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352"/>
        <w:gridCol w:w="1276"/>
        <w:gridCol w:w="1276"/>
        <w:gridCol w:w="1357"/>
      </w:tblGrid>
      <w:tr w:rsidR="005A7179" w:rsidRPr="00DD49B6" w14:paraId="21C9A116" w14:textId="77777777" w:rsidTr="004C7971">
        <w:trPr>
          <w:trHeight w:val="361"/>
          <w:jc w:val="center"/>
        </w:trPr>
        <w:tc>
          <w:tcPr>
            <w:tcW w:w="9716" w:type="dxa"/>
            <w:gridSpan w:val="6"/>
            <w:vAlign w:val="center"/>
          </w:tcPr>
          <w:p w14:paraId="6DE914A3" w14:textId="77777777" w:rsidR="005A7179" w:rsidRPr="00DD49B6" w:rsidRDefault="005A7179" w:rsidP="004C7971">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5A7179" w:rsidRPr="00DD49B6" w14:paraId="25951DD1" w14:textId="77777777" w:rsidTr="004C7971">
        <w:trPr>
          <w:jc w:val="center"/>
        </w:trPr>
        <w:tc>
          <w:tcPr>
            <w:tcW w:w="3182" w:type="dxa"/>
            <w:vMerge w:val="restart"/>
            <w:vAlign w:val="center"/>
          </w:tcPr>
          <w:p w14:paraId="4F3583CF" w14:textId="77777777" w:rsidR="005A7179" w:rsidRPr="00DD49B6" w:rsidRDefault="005A7179" w:rsidP="004C7971">
            <w:pPr>
              <w:pStyle w:val="naisf"/>
              <w:spacing w:before="0" w:beforeAutospacing="0" w:after="0" w:afterAutospacing="0"/>
              <w:jc w:val="center"/>
              <w:rPr>
                <w:b/>
              </w:rPr>
            </w:pPr>
            <w:r w:rsidRPr="00DD49B6">
              <w:rPr>
                <w:b/>
              </w:rPr>
              <w:t>Rādītāji</w:t>
            </w:r>
          </w:p>
        </w:tc>
        <w:tc>
          <w:tcPr>
            <w:tcW w:w="2625" w:type="dxa"/>
            <w:gridSpan w:val="2"/>
            <w:vMerge w:val="restart"/>
            <w:vAlign w:val="center"/>
          </w:tcPr>
          <w:p w14:paraId="530E8C97" w14:textId="77777777" w:rsidR="005A7179" w:rsidRPr="00DD49B6" w:rsidRDefault="005A7179" w:rsidP="004C7971">
            <w:pPr>
              <w:pStyle w:val="naisf"/>
              <w:spacing w:before="0" w:beforeAutospacing="0" w:after="0" w:afterAutospacing="0"/>
              <w:jc w:val="center"/>
              <w:rPr>
                <w:b/>
              </w:rPr>
            </w:pPr>
            <w:proofErr w:type="gramStart"/>
            <w:r>
              <w:rPr>
                <w:b/>
              </w:rPr>
              <w:t>2014.</w:t>
            </w:r>
            <w:r w:rsidRPr="00DD49B6">
              <w:rPr>
                <w:b/>
              </w:rPr>
              <w:t>gad</w:t>
            </w:r>
            <w:r w:rsidRPr="00962BF1">
              <w:rPr>
                <w:b/>
              </w:rPr>
              <w:t>s</w:t>
            </w:r>
            <w:proofErr w:type="gramEnd"/>
          </w:p>
        </w:tc>
        <w:tc>
          <w:tcPr>
            <w:tcW w:w="3909" w:type="dxa"/>
            <w:gridSpan w:val="3"/>
            <w:vAlign w:val="center"/>
          </w:tcPr>
          <w:p w14:paraId="70346860" w14:textId="77777777" w:rsidR="005A7179" w:rsidRPr="00DD49B6" w:rsidRDefault="005A7179" w:rsidP="004C7971">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5A7179" w:rsidRPr="00DD49B6" w14:paraId="533C27AC" w14:textId="77777777" w:rsidTr="004C7971">
        <w:trPr>
          <w:jc w:val="center"/>
        </w:trPr>
        <w:tc>
          <w:tcPr>
            <w:tcW w:w="3182" w:type="dxa"/>
            <w:vMerge/>
            <w:vAlign w:val="center"/>
          </w:tcPr>
          <w:p w14:paraId="64A5A6FA" w14:textId="77777777" w:rsidR="005A7179" w:rsidRPr="00DD49B6" w:rsidRDefault="005A7179" w:rsidP="004C7971">
            <w:pPr>
              <w:pStyle w:val="naisf"/>
              <w:spacing w:before="0" w:beforeAutospacing="0" w:after="0" w:afterAutospacing="0"/>
              <w:jc w:val="center"/>
              <w:rPr>
                <w:b/>
                <w:i/>
              </w:rPr>
            </w:pPr>
          </w:p>
        </w:tc>
        <w:tc>
          <w:tcPr>
            <w:tcW w:w="2625" w:type="dxa"/>
            <w:gridSpan w:val="2"/>
            <w:vMerge/>
            <w:vAlign w:val="center"/>
          </w:tcPr>
          <w:p w14:paraId="4203ACAC" w14:textId="77777777" w:rsidR="005A7179" w:rsidRPr="00DD49B6" w:rsidRDefault="005A7179" w:rsidP="004C7971">
            <w:pPr>
              <w:pStyle w:val="naisf"/>
              <w:spacing w:before="0" w:beforeAutospacing="0" w:after="0" w:afterAutospacing="0"/>
              <w:jc w:val="center"/>
              <w:rPr>
                <w:b/>
                <w:i/>
              </w:rPr>
            </w:pPr>
          </w:p>
        </w:tc>
        <w:tc>
          <w:tcPr>
            <w:tcW w:w="1276" w:type="dxa"/>
            <w:vAlign w:val="center"/>
          </w:tcPr>
          <w:p w14:paraId="220412E2" w14:textId="77777777" w:rsidR="005A7179" w:rsidRPr="00DD49B6" w:rsidRDefault="005A7179" w:rsidP="004C7971">
            <w:pPr>
              <w:pStyle w:val="naisf"/>
              <w:spacing w:before="0" w:beforeAutospacing="0" w:after="0" w:afterAutospacing="0"/>
              <w:jc w:val="center"/>
              <w:rPr>
                <w:b/>
                <w:i/>
              </w:rPr>
            </w:pPr>
            <w:r>
              <w:rPr>
                <w:b/>
                <w:bCs/>
              </w:rPr>
              <w:t>2015.</w:t>
            </w:r>
          </w:p>
        </w:tc>
        <w:tc>
          <w:tcPr>
            <w:tcW w:w="1276" w:type="dxa"/>
            <w:vAlign w:val="center"/>
          </w:tcPr>
          <w:p w14:paraId="11553E1F" w14:textId="77777777" w:rsidR="005A7179" w:rsidRPr="00DD49B6" w:rsidRDefault="005A7179" w:rsidP="004C7971">
            <w:pPr>
              <w:pStyle w:val="naisf"/>
              <w:spacing w:before="0" w:beforeAutospacing="0" w:after="0" w:afterAutospacing="0"/>
              <w:jc w:val="center"/>
              <w:rPr>
                <w:b/>
                <w:i/>
              </w:rPr>
            </w:pPr>
            <w:r>
              <w:rPr>
                <w:b/>
                <w:bCs/>
              </w:rPr>
              <w:t>2016.</w:t>
            </w:r>
          </w:p>
        </w:tc>
        <w:tc>
          <w:tcPr>
            <w:tcW w:w="1357" w:type="dxa"/>
            <w:vAlign w:val="center"/>
          </w:tcPr>
          <w:p w14:paraId="0E3CF2D2" w14:textId="77777777" w:rsidR="005A7179" w:rsidRPr="00DD49B6" w:rsidRDefault="005A7179" w:rsidP="004C7971">
            <w:pPr>
              <w:pStyle w:val="naisf"/>
              <w:spacing w:before="0" w:beforeAutospacing="0" w:after="0" w:afterAutospacing="0"/>
              <w:jc w:val="center"/>
              <w:rPr>
                <w:b/>
                <w:i/>
              </w:rPr>
            </w:pPr>
            <w:r>
              <w:rPr>
                <w:b/>
                <w:bCs/>
              </w:rPr>
              <w:t>2017.</w:t>
            </w:r>
          </w:p>
        </w:tc>
      </w:tr>
      <w:tr w:rsidR="005A7179" w:rsidRPr="00DD49B6" w14:paraId="123AC2FB" w14:textId="77777777" w:rsidTr="004C7971">
        <w:trPr>
          <w:jc w:val="center"/>
        </w:trPr>
        <w:tc>
          <w:tcPr>
            <w:tcW w:w="3182" w:type="dxa"/>
            <w:vMerge/>
            <w:vAlign w:val="center"/>
          </w:tcPr>
          <w:p w14:paraId="45CAD2F7" w14:textId="77777777" w:rsidR="005A7179" w:rsidRPr="00DD49B6" w:rsidRDefault="005A7179" w:rsidP="004C7971">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4C7971">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1C25A8E4" w14:textId="77777777" w:rsidR="005A7179" w:rsidRPr="00DD49B6" w:rsidRDefault="005A7179" w:rsidP="004C7971">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6BCD00E7" w14:textId="77777777" w:rsidR="005A7179" w:rsidRPr="00DD49B6" w:rsidRDefault="005A7179" w:rsidP="004C7971">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32A88219" w14:textId="77777777" w:rsidR="005A7179" w:rsidRPr="00DD49B6" w:rsidRDefault="005A7179" w:rsidP="004C7971">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4C7971">
            <w:pPr>
              <w:pStyle w:val="naisf"/>
              <w:spacing w:before="0" w:beforeAutospacing="0" w:after="0" w:afterAutospacing="0"/>
              <w:jc w:val="center"/>
              <w:rPr>
                <w:b/>
                <w:i/>
              </w:rPr>
            </w:pPr>
            <w:r>
              <w:t>i</w:t>
            </w:r>
            <w:r w:rsidRPr="00DD49B6">
              <w:t>zmaiņas, salīdzinot ar kārtējo (n) gadu</w:t>
            </w:r>
          </w:p>
        </w:tc>
      </w:tr>
      <w:tr w:rsidR="005A7179" w:rsidRPr="00DD49B6" w14:paraId="146FAC6B" w14:textId="77777777" w:rsidTr="004C7971">
        <w:trPr>
          <w:jc w:val="center"/>
        </w:trPr>
        <w:tc>
          <w:tcPr>
            <w:tcW w:w="3182" w:type="dxa"/>
            <w:vAlign w:val="center"/>
          </w:tcPr>
          <w:p w14:paraId="7356C842" w14:textId="77777777" w:rsidR="005A7179" w:rsidRPr="00F666B4" w:rsidRDefault="005A7179" w:rsidP="004C7971">
            <w:pPr>
              <w:pStyle w:val="naisf"/>
              <w:spacing w:before="0" w:beforeAutospacing="0" w:after="0" w:afterAutospacing="0"/>
              <w:jc w:val="center"/>
              <w:rPr>
                <w:bCs/>
              </w:rPr>
            </w:pPr>
            <w:r w:rsidRPr="00F666B4">
              <w:rPr>
                <w:bCs/>
              </w:rPr>
              <w:t>1</w:t>
            </w:r>
          </w:p>
        </w:tc>
        <w:tc>
          <w:tcPr>
            <w:tcW w:w="1273" w:type="dxa"/>
            <w:vAlign w:val="center"/>
          </w:tcPr>
          <w:p w14:paraId="634D8B34" w14:textId="77777777" w:rsidR="005A7179" w:rsidRPr="00F666B4" w:rsidRDefault="005A7179" w:rsidP="004C7971">
            <w:pPr>
              <w:pStyle w:val="naisf"/>
              <w:spacing w:before="0" w:beforeAutospacing="0" w:after="0" w:afterAutospacing="0"/>
              <w:jc w:val="center"/>
              <w:rPr>
                <w:bCs/>
              </w:rPr>
            </w:pPr>
            <w:r w:rsidRPr="00F666B4">
              <w:rPr>
                <w:bCs/>
              </w:rPr>
              <w:t>2</w:t>
            </w:r>
          </w:p>
        </w:tc>
        <w:tc>
          <w:tcPr>
            <w:tcW w:w="1352" w:type="dxa"/>
            <w:vAlign w:val="center"/>
          </w:tcPr>
          <w:p w14:paraId="30E23437" w14:textId="77777777" w:rsidR="005A7179" w:rsidRPr="00F666B4" w:rsidRDefault="005A7179" w:rsidP="004C7971">
            <w:pPr>
              <w:pStyle w:val="naisf"/>
              <w:spacing w:before="0" w:beforeAutospacing="0" w:after="0" w:afterAutospacing="0"/>
              <w:jc w:val="center"/>
              <w:rPr>
                <w:bCs/>
              </w:rPr>
            </w:pPr>
            <w:r w:rsidRPr="00F666B4">
              <w:rPr>
                <w:bCs/>
              </w:rPr>
              <w:t>3</w:t>
            </w:r>
          </w:p>
        </w:tc>
        <w:tc>
          <w:tcPr>
            <w:tcW w:w="1276" w:type="dxa"/>
            <w:vAlign w:val="center"/>
          </w:tcPr>
          <w:p w14:paraId="70F9F227" w14:textId="77777777" w:rsidR="005A7179" w:rsidRPr="00F666B4" w:rsidRDefault="005A7179" w:rsidP="004C7971">
            <w:pPr>
              <w:pStyle w:val="naisf"/>
              <w:spacing w:before="0" w:beforeAutospacing="0" w:after="0" w:afterAutospacing="0"/>
              <w:jc w:val="center"/>
              <w:rPr>
                <w:bCs/>
              </w:rPr>
            </w:pPr>
            <w:r w:rsidRPr="00F666B4">
              <w:rPr>
                <w:bCs/>
              </w:rPr>
              <w:t>4</w:t>
            </w:r>
          </w:p>
        </w:tc>
        <w:tc>
          <w:tcPr>
            <w:tcW w:w="1276" w:type="dxa"/>
            <w:vAlign w:val="center"/>
          </w:tcPr>
          <w:p w14:paraId="3FCBA9A5" w14:textId="77777777" w:rsidR="005A7179" w:rsidRPr="00F666B4" w:rsidRDefault="005A7179" w:rsidP="004C7971">
            <w:pPr>
              <w:pStyle w:val="naisf"/>
              <w:spacing w:before="0" w:beforeAutospacing="0" w:after="0" w:afterAutospacing="0"/>
              <w:jc w:val="center"/>
              <w:rPr>
                <w:bCs/>
              </w:rPr>
            </w:pPr>
            <w:r w:rsidRPr="00F666B4">
              <w:rPr>
                <w:bCs/>
              </w:rPr>
              <w:t>5</w:t>
            </w:r>
          </w:p>
        </w:tc>
        <w:tc>
          <w:tcPr>
            <w:tcW w:w="1357" w:type="dxa"/>
            <w:vAlign w:val="center"/>
          </w:tcPr>
          <w:p w14:paraId="0337F2F1" w14:textId="77777777" w:rsidR="005A7179" w:rsidRPr="00F666B4" w:rsidRDefault="005A7179" w:rsidP="004C7971">
            <w:pPr>
              <w:pStyle w:val="naisf"/>
              <w:spacing w:before="0" w:beforeAutospacing="0" w:after="0" w:afterAutospacing="0"/>
              <w:jc w:val="center"/>
              <w:rPr>
                <w:bCs/>
              </w:rPr>
            </w:pPr>
            <w:r w:rsidRPr="00F666B4">
              <w:rPr>
                <w:bCs/>
              </w:rPr>
              <w:t>6</w:t>
            </w:r>
          </w:p>
        </w:tc>
      </w:tr>
      <w:tr w:rsidR="005A7179" w:rsidRPr="00DD49B6" w14:paraId="4BBC5768" w14:textId="77777777" w:rsidTr="004C7971">
        <w:trPr>
          <w:jc w:val="center"/>
        </w:trPr>
        <w:tc>
          <w:tcPr>
            <w:tcW w:w="3182" w:type="dxa"/>
          </w:tcPr>
          <w:p w14:paraId="1B364670" w14:textId="77777777" w:rsidR="005A7179" w:rsidRPr="00DD49B6" w:rsidRDefault="005A7179" w:rsidP="004C7971">
            <w:pPr>
              <w:pStyle w:val="naisf"/>
              <w:spacing w:before="0" w:beforeAutospacing="0" w:after="0" w:afterAutospacing="0"/>
              <w:rPr>
                <w:i/>
              </w:rPr>
            </w:pPr>
            <w:r w:rsidRPr="00DD49B6">
              <w:t>1. Budžeta ieņēmumi:</w:t>
            </w:r>
          </w:p>
        </w:tc>
        <w:tc>
          <w:tcPr>
            <w:tcW w:w="1273" w:type="dxa"/>
          </w:tcPr>
          <w:p w14:paraId="0C38FEB2" w14:textId="77777777" w:rsidR="005A7179" w:rsidRPr="00CF1E4C" w:rsidRDefault="005A7179" w:rsidP="004C7971">
            <w:pPr>
              <w:pStyle w:val="naisf"/>
              <w:spacing w:before="0" w:beforeAutospacing="0" w:after="0" w:afterAutospacing="0"/>
              <w:jc w:val="center"/>
            </w:pPr>
            <w:r w:rsidRPr="00CF1E4C">
              <w:t>1 654 719</w:t>
            </w:r>
          </w:p>
        </w:tc>
        <w:tc>
          <w:tcPr>
            <w:tcW w:w="1352" w:type="dxa"/>
          </w:tcPr>
          <w:p w14:paraId="018FBB80" w14:textId="77777777" w:rsidR="005A7179" w:rsidRPr="00CF1E4C" w:rsidRDefault="005A7179" w:rsidP="004C7971">
            <w:pPr>
              <w:pStyle w:val="naisf"/>
              <w:spacing w:before="0" w:beforeAutospacing="0" w:after="0" w:afterAutospacing="0"/>
              <w:jc w:val="center"/>
            </w:pPr>
            <w:r w:rsidRPr="00CF1E4C">
              <w:t>-74 672</w:t>
            </w:r>
          </w:p>
        </w:tc>
        <w:tc>
          <w:tcPr>
            <w:tcW w:w="1276" w:type="dxa"/>
          </w:tcPr>
          <w:p w14:paraId="0218BFE5" w14:textId="77777777" w:rsidR="005A7179" w:rsidRPr="00CF1E4C" w:rsidRDefault="005A7179" w:rsidP="004C7971">
            <w:pPr>
              <w:pStyle w:val="naisf"/>
              <w:spacing w:before="0" w:beforeAutospacing="0" w:after="0" w:afterAutospacing="0"/>
              <w:jc w:val="center"/>
            </w:pPr>
            <w:r w:rsidRPr="00CF1E4C">
              <w:t>-1 545 511</w:t>
            </w:r>
          </w:p>
        </w:tc>
        <w:tc>
          <w:tcPr>
            <w:tcW w:w="1276" w:type="dxa"/>
          </w:tcPr>
          <w:p w14:paraId="0A8675FC" w14:textId="77777777" w:rsidR="005A7179" w:rsidRPr="00CF1E4C" w:rsidRDefault="005A7179" w:rsidP="004C7971">
            <w:pPr>
              <w:pStyle w:val="naisf"/>
              <w:spacing w:before="0" w:beforeAutospacing="0" w:after="0" w:afterAutospacing="0"/>
              <w:jc w:val="center"/>
            </w:pPr>
            <w:r w:rsidRPr="00CF1E4C">
              <w:t>-1 654 719</w:t>
            </w:r>
          </w:p>
        </w:tc>
        <w:tc>
          <w:tcPr>
            <w:tcW w:w="1357" w:type="dxa"/>
          </w:tcPr>
          <w:p w14:paraId="6368EF97" w14:textId="77777777" w:rsidR="005A7179" w:rsidRPr="00CF1E4C" w:rsidRDefault="005A7179" w:rsidP="004C7971">
            <w:pPr>
              <w:pStyle w:val="naisf"/>
              <w:spacing w:before="0" w:beforeAutospacing="0" w:after="0" w:afterAutospacing="0"/>
              <w:jc w:val="center"/>
            </w:pPr>
            <w:r w:rsidRPr="00CF1E4C">
              <w:t>-1 654 719</w:t>
            </w:r>
          </w:p>
        </w:tc>
      </w:tr>
      <w:tr w:rsidR="005A7179" w:rsidRPr="00DD49B6" w14:paraId="4656A5ED" w14:textId="77777777" w:rsidTr="004C7971">
        <w:trPr>
          <w:jc w:val="center"/>
        </w:trPr>
        <w:tc>
          <w:tcPr>
            <w:tcW w:w="3182" w:type="dxa"/>
          </w:tcPr>
          <w:p w14:paraId="13721291"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77777777" w:rsidR="005A7179" w:rsidRPr="00CF1E4C" w:rsidRDefault="005A7179" w:rsidP="004C7971">
            <w:pPr>
              <w:pStyle w:val="naisf"/>
              <w:spacing w:before="0" w:beforeAutospacing="0" w:after="0" w:afterAutospacing="0"/>
              <w:jc w:val="center"/>
            </w:pPr>
            <w:r w:rsidRPr="00CF1E4C">
              <w:t>1 772 787</w:t>
            </w:r>
          </w:p>
        </w:tc>
        <w:tc>
          <w:tcPr>
            <w:tcW w:w="1352" w:type="dxa"/>
          </w:tcPr>
          <w:p w14:paraId="7CFF1F1F" w14:textId="77777777" w:rsidR="005A7179" w:rsidRPr="00CF1E4C" w:rsidRDefault="005A7179" w:rsidP="004C7971">
            <w:pPr>
              <w:pStyle w:val="naisf"/>
              <w:spacing w:before="0" w:beforeAutospacing="0" w:after="0" w:afterAutospacing="0"/>
              <w:jc w:val="center"/>
            </w:pPr>
            <w:r w:rsidRPr="00CF1E4C">
              <w:t>-80 000</w:t>
            </w:r>
          </w:p>
        </w:tc>
        <w:tc>
          <w:tcPr>
            <w:tcW w:w="1276" w:type="dxa"/>
          </w:tcPr>
          <w:p w14:paraId="6259DE32" w14:textId="77777777" w:rsidR="005A7179" w:rsidRPr="00CF1E4C" w:rsidRDefault="005A7179" w:rsidP="004C7971">
            <w:pPr>
              <w:pStyle w:val="naisf"/>
              <w:spacing w:before="0" w:beforeAutospacing="0" w:after="0" w:afterAutospacing="0"/>
              <w:jc w:val="center"/>
            </w:pPr>
            <w:r w:rsidRPr="00CF1E4C">
              <w:t>-1 655 787</w:t>
            </w:r>
          </w:p>
        </w:tc>
        <w:tc>
          <w:tcPr>
            <w:tcW w:w="1276" w:type="dxa"/>
          </w:tcPr>
          <w:p w14:paraId="2CAE20C5" w14:textId="77777777" w:rsidR="005A7179" w:rsidRPr="00CF1E4C" w:rsidRDefault="005A7179" w:rsidP="004C7971">
            <w:pPr>
              <w:pStyle w:val="naisf"/>
              <w:spacing w:before="0" w:beforeAutospacing="0" w:after="0" w:afterAutospacing="0"/>
              <w:jc w:val="center"/>
            </w:pPr>
            <w:r w:rsidRPr="00CF1E4C">
              <w:t>-1 772 787</w:t>
            </w:r>
          </w:p>
        </w:tc>
        <w:tc>
          <w:tcPr>
            <w:tcW w:w="1357" w:type="dxa"/>
          </w:tcPr>
          <w:p w14:paraId="2F2C0207" w14:textId="77777777" w:rsidR="005A7179" w:rsidRPr="00CF1E4C" w:rsidRDefault="005A7179" w:rsidP="004C7971">
            <w:pPr>
              <w:pStyle w:val="naisf"/>
              <w:spacing w:before="0" w:beforeAutospacing="0" w:after="0" w:afterAutospacing="0"/>
              <w:jc w:val="center"/>
            </w:pPr>
            <w:r w:rsidRPr="00CF1E4C">
              <w:t>-1 772 787</w:t>
            </w:r>
          </w:p>
        </w:tc>
      </w:tr>
      <w:tr w:rsidR="005A7179" w:rsidRPr="00DD49B6" w14:paraId="76AA303B" w14:textId="77777777" w:rsidTr="004C7971">
        <w:trPr>
          <w:jc w:val="center"/>
        </w:trPr>
        <w:tc>
          <w:tcPr>
            <w:tcW w:w="3182" w:type="dxa"/>
          </w:tcPr>
          <w:p w14:paraId="052857B5"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14:paraId="77B96FBA" w14:textId="77777777" w:rsidR="005A7179" w:rsidRPr="00CF1E4C" w:rsidRDefault="005A7179" w:rsidP="004C7971">
            <w:pPr>
              <w:pStyle w:val="naisf"/>
              <w:spacing w:before="0" w:beforeAutospacing="0" w:after="0" w:afterAutospacing="0"/>
              <w:jc w:val="center"/>
            </w:pPr>
            <w:r w:rsidRPr="00CF1E4C">
              <w:t>-118 068</w:t>
            </w:r>
          </w:p>
        </w:tc>
        <w:tc>
          <w:tcPr>
            <w:tcW w:w="1352" w:type="dxa"/>
          </w:tcPr>
          <w:p w14:paraId="20001C85" w14:textId="77777777" w:rsidR="005A7179" w:rsidRPr="00CF1E4C" w:rsidRDefault="005A7179" w:rsidP="004C7971">
            <w:pPr>
              <w:pStyle w:val="naisf"/>
              <w:spacing w:before="0" w:beforeAutospacing="0" w:after="0" w:afterAutospacing="0"/>
              <w:jc w:val="center"/>
            </w:pPr>
            <w:r w:rsidRPr="00CF1E4C">
              <w:t>5 328</w:t>
            </w:r>
          </w:p>
        </w:tc>
        <w:tc>
          <w:tcPr>
            <w:tcW w:w="1276" w:type="dxa"/>
          </w:tcPr>
          <w:p w14:paraId="3F52EE29" w14:textId="77777777" w:rsidR="005A7179" w:rsidRPr="00CF1E4C" w:rsidRDefault="005A7179" w:rsidP="004C7971">
            <w:pPr>
              <w:pStyle w:val="naisf"/>
              <w:spacing w:before="0" w:beforeAutospacing="0" w:after="0" w:afterAutospacing="0"/>
              <w:jc w:val="center"/>
            </w:pPr>
            <w:r w:rsidRPr="00CF1E4C">
              <w:t>110 276</w:t>
            </w:r>
          </w:p>
        </w:tc>
        <w:tc>
          <w:tcPr>
            <w:tcW w:w="1276" w:type="dxa"/>
          </w:tcPr>
          <w:p w14:paraId="6B877E8C" w14:textId="77777777" w:rsidR="005A7179" w:rsidRPr="00CF1E4C" w:rsidRDefault="005A7179" w:rsidP="004C7971">
            <w:pPr>
              <w:pStyle w:val="naisf"/>
              <w:spacing w:before="0" w:beforeAutospacing="0" w:after="0" w:afterAutospacing="0"/>
              <w:jc w:val="center"/>
            </w:pPr>
            <w:r w:rsidRPr="00CF1E4C">
              <w:t>118 068</w:t>
            </w:r>
          </w:p>
        </w:tc>
        <w:tc>
          <w:tcPr>
            <w:tcW w:w="1357" w:type="dxa"/>
          </w:tcPr>
          <w:p w14:paraId="480EB107" w14:textId="77777777" w:rsidR="005A7179" w:rsidRPr="00CF1E4C" w:rsidRDefault="005A7179" w:rsidP="004C7971">
            <w:pPr>
              <w:pStyle w:val="naisf"/>
              <w:spacing w:before="0" w:beforeAutospacing="0" w:after="0" w:afterAutospacing="0"/>
              <w:jc w:val="center"/>
            </w:pPr>
            <w:r w:rsidRPr="00CF1E4C">
              <w:t>118 068</w:t>
            </w:r>
          </w:p>
        </w:tc>
      </w:tr>
      <w:tr w:rsidR="005A7179" w:rsidRPr="00DD49B6" w14:paraId="34D01B0B" w14:textId="77777777" w:rsidTr="004C7971">
        <w:trPr>
          <w:trHeight w:val="1380"/>
          <w:jc w:val="center"/>
        </w:trPr>
        <w:tc>
          <w:tcPr>
            <w:tcW w:w="3182" w:type="dxa"/>
          </w:tcPr>
          <w:p w14:paraId="7A094DB4"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1F6DF69" w14:textId="77777777" w:rsidR="005A7179" w:rsidRPr="0000589D" w:rsidRDefault="005A7179" w:rsidP="004C7971">
            <w:pPr>
              <w:pStyle w:val="naisf"/>
              <w:spacing w:before="0" w:beforeAutospacing="0" w:after="0" w:afterAutospacing="0"/>
              <w:jc w:val="center"/>
            </w:pPr>
            <w:r w:rsidRPr="0000589D">
              <w:t>X</w:t>
            </w:r>
          </w:p>
        </w:tc>
        <w:tc>
          <w:tcPr>
            <w:tcW w:w="1352" w:type="dxa"/>
          </w:tcPr>
          <w:p w14:paraId="06E5A414" w14:textId="77777777" w:rsidR="005A7179" w:rsidRPr="0000589D" w:rsidRDefault="005A7179" w:rsidP="004C7971">
            <w:pPr>
              <w:pStyle w:val="naisf"/>
              <w:spacing w:before="0" w:beforeAutospacing="0" w:after="0" w:afterAutospacing="0"/>
              <w:jc w:val="center"/>
            </w:pPr>
            <w:r w:rsidRPr="0000589D">
              <w:t>0</w:t>
            </w:r>
          </w:p>
        </w:tc>
        <w:tc>
          <w:tcPr>
            <w:tcW w:w="1276" w:type="dxa"/>
          </w:tcPr>
          <w:p w14:paraId="32D43A14" w14:textId="77777777" w:rsidR="005A7179" w:rsidRPr="0000589D" w:rsidRDefault="005A7179" w:rsidP="004C7971">
            <w:pPr>
              <w:pStyle w:val="naisf"/>
              <w:spacing w:before="0" w:beforeAutospacing="0" w:after="0" w:afterAutospacing="0"/>
              <w:jc w:val="center"/>
            </w:pPr>
            <w:r w:rsidRPr="0000589D">
              <w:t>0</w:t>
            </w:r>
          </w:p>
        </w:tc>
        <w:tc>
          <w:tcPr>
            <w:tcW w:w="1276" w:type="dxa"/>
          </w:tcPr>
          <w:p w14:paraId="12C4EE8E" w14:textId="77777777" w:rsidR="005A7179" w:rsidRPr="0000589D" w:rsidRDefault="005A7179" w:rsidP="004C7971">
            <w:pPr>
              <w:pStyle w:val="naisf"/>
              <w:spacing w:before="0" w:beforeAutospacing="0" w:after="0" w:afterAutospacing="0"/>
              <w:jc w:val="center"/>
            </w:pPr>
            <w:r w:rsidRPr="0000589D">
              <w:t>0</w:t>
            </w:r>
          </w:p>
        </w:tc>
        <w:tc>
          <w:tcPr>
            <w:tcW w:w="1357" w:type="dxa"/>
          </w:tcPr>
          <w:p w14:paraId="28007689" w14:textId="77777777" w:rsidR="005A7179" w:rsidRPr="0000589D" w:rsidRDefault="005A7179" w:rsidP="004C7971">
            <w:pPr>
              <w:pStyle w:val="naisf"/>
              <w:spacing w:before="0" w:beforeAutospacing="0" w:after="0" w:afterAutospacing="0"/>
              <w:jc w:val="center"/>
            </w:pPr>
            <w:r w:rsidRPr="0000589D">
              <w:t>0</w:t>
            </w:r>
          </w:p>
        </w:tc>
      </w:tr>
      <w:tr w:rsidR="005A7179" w:rsidRPr="00DD49B6" w14:paraId="26C4E6BB" w14:textId="77777777" w:rsidTr="004C7971">
        <w:trPr>
          <w:jc w:val="center"/>
        </w:trPr>
        <w:tc>
          <w:tcPr>
            <w:tcW w:w="3182" w:type="dxa"/>
          </w:tcPr>
          <w:p w14:paraId="2EAA5475"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5776CFB7" w14:textId="77777777" w:rsidR="005A7179" w:rsidRPr="0000589D" w:rsidRDefault="005A7179" w:rsidP="004C7971">
            <w:pPr>
              <w:pStyle w:val="naisf"/>
              <w:spacing w:before="0" w:beforeAutospacing="0" w:after="0" w:afterAutospacing="0"/>
              <w:jc w:val="center"/>
            </w:pPr>
            <w:r w:rsidRPr="0000589D">
              <w:t>X</w:t>
            </w:r>
          </w:p>
        </w:tc>
        <w:tc>
          <w:tcPr>
            <w:tcW w:w="1352" w:type="dxa"/>
          </w:tcPr>
          <w:p w14:paraId="040B76B3" w14:textId="77777777" w:rsidR="005A7179" w:rsidRPr="0000589D" w:rsidRDefault="005A7179" w:rsidP="004C7971">
            <w:pPr>
              <w:pStyle w:val="naisf"/>
              <w:spacing w:before="0" w:beforeAutospacing="0" w:after="0" w:afterAutospacing="0"/>
              <w:jc w:val="center"/>
            </w:pPr>
            <w:r w:rsidRPr="0000589D">
              <w:t>N/A</w:t>
            </w:r>
          </w:p>
        </w:tc>
        <w:tc>
          <w:tcPr>
            <w:tcW w:w="1276" w:type="dxa"/>
          </w:tcPr>
          <w:p w14:paraId="46D574FD" w14:textId="77777777" w:rsidR="005A7179" w:rsidRPr="0000589D" w:rsidRDefault="005A7179" w:rsidP="004C7971">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276" w:type="dxa"/>
          </w:tcPr>
          <w:p w14:paraId="05F5DE16" w14:textId="77777777" w:rsidR="005A7179" w:rsidRPr="0000589D" w:rsidRDefault="005A7179" w:rsidP="004C7971">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357" w:type="dxa"/>
          </w:tcPr>
          <w:p w14:paraId="4455B31B" w14:textId="77777777" w:rsidR="005A7179" w:rsidRPr="0000589D" w:rsidRDefault="005A7179" w:rsidP="004C7971">
            <w:pPr>
              <w:jc w:val="center"/>
              <w:rPr>
                <w:rFonts w:ascii="Times New Roman" w:hAnsi="Times New Roman" w:cs="Times New Roman"/>
                <w:sz w:val="24"/>
                <w:szCs w:val="24"/>
              </w:rPr>
            </w:pPr>
            <w:r w:rsidRPr="0000589D">
              <w:rPr>
                <w:rFonts w:ascii="Times New Roman" w:hAnsi="Times New Roman" w:cs="Times New Roman"/>
                <w:sz w:val="24"/>
                <w:szCs w:val="24"/>
              </w:rPr>
              <w:t>N/A</w:t>
            </w:r>
          </w:p>
        </w:tc>
      </w:tr>
      <w:tr w:rsidR="005A7179" w:rsidRPr="00DD49B6" w14:paraId="7C591F9B" w14:textId="77777777" w:rsidTr="004C7971">
        <w:trPr>
          <w:jc w:val="center"/>
        </w:trPr>
        <w:tc>
          <w:tcPr>
            <w:tcW w:w="3182" w:type="dxa"/>
            <w:shd w:val="clear" w:color="auto" w:fill="auto"/>
          </w:tcPr>
          <w:p w14:paraId="6AD45831"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72E386C9" w14:textId="77777777" w:rsidR="00C64A63" w:rsidRPr="00C64A63"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t>Budžeta ieņēmumi ir finansējuma ESF daļa, un budžeta izdevumi ir kopējie nepieciešamie līdzekļi attiecīgajā gadā. ESF finansējuma apmērs ir 93,30% no projekta attiecināmajām izmaksām.</w:t>
            </w:r>
          </w:p>
          <w:p w14:paraId="1DB6CAD4" w14:textId="77777777" w:rsidR="00C64A63" w:rsidRPr="00C64A63"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t xml:space="preserve">Darbības programmas “Cilvēkresursi un nodarbinātība” papildinājumā (turpmāk – DPP) 1.4.1.1.2.apakšaktivitātei pieejamais finansējums ir 13 275 177 EUR, tai skaitā ESF finansējums 12 386 120 EUR un valsts budžeta finansējums 889 057 EUR. </w:t>
            </w:r>
          </w:p>
          <w:p w14:paraId="088FD999" w14:textId="77777777" w:rsidR="00C64A63" w:rsidRPr="00C64A63"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t xml:space="preserve">1.4.1.1.2.apakšaktivitātei papildus paredz attiecināmo </w:t>
            </w:r>
            <w:proofErr w:type="spellStart"/>
            <w:r w:rsidRPr="00C64A63">
              <w:rPr>
                <w:rFonts w:ascii="Times New Roman" w:hAnsi="Times New Roman" w:cs="Times New Roman"/>
                <w:sz w:val="24"/>
                <w:szCs w:val="24"/>
              </w:rPr>
              <w:t>virssaistību</w:t>
            </w:r>
            <w:proofErr w:type="spellEnd"/>
            <w:r w:rsidRPr="00C64A63">
              <w:rPr>
                <w:rFonts w:ascii="Times New Roman" w:hAnsi="Times New Roman" w:cs="Times New Roman"/>
                <w:sz w:val="24"/>
                <w:szCs w:val="24"/>
              </w:rPr>
              <w:t xml:space="preserve"> finansējumu (valsts budžeta attiecināmais finansējums, kas piešķirts papildus 1.4.1.1.2.apakšaktivitātes DPP noteiktajam finansējumam) 2 566 752,61 EUR apmērā, tai skaitā ESF finansējumu 2 394 780,05 EUR apmērā un valsts budžeta finansējumu 171 972,56 EUR apmērā.</w:t>
            </w:r>
          </w:p>
          <w:p w14:paraId="119B6700" w14:textId="77777777" w:rsidR="00C64A63" w:rsidRPr="00C64A63"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t>Kopējais 1.4.1.1.2.apapkšaktivitātei piešķirtais attiecināmais finansējums ir 15 841 929,61 EUR, tai skaitā ESF finansējums 14 780 900,05 EUR un valsts budžeta finansējums 1 061 029,56 EUR.</w:t>
            </w:r>
          </w:p>
          <w:p w14:paraId="11CB291E" w14:textId="77777777" w:rsidR="00C64A63" w:rsidRPr="00C64A63"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lastRenderedPageBreak/>
              <w:t xml:space="preserve">Līdz </w:t>
            </w:r>
            <w:proofErr w:type="gramStart"/>
            <w:r w:rsidRPr="00C64A63">
              <w:rPr>
                <w:rFonts w:ascii="Times New Roman" w:hAnsi="Times New Roman" w:cs="Times New Roman"/>
                <w:sz w:val="24"/>
                <w:szCs w:val="24"/>
              </w:rPr>
              <w:t>2013.gada</w:t>
            </w:r>
            <w:proofErr w:type="gramEnd"/>
            <w:r w:rsidRPr="00C64A63">
              <w:rPr>
                <w:rFonts w:ascii="Times New Roman" w:hAnsi="Times New Roman" w:cs="Times New Roman"/>
                <w:sz w:val="24"/>
                <w:szCs w:val="24"/>
              </w:rPr>
              <w:t xml:space="preserve"> 31.decembrim projekta kopējās izmaksas, saskaņā ar projekta aprakstu, ir 12 822 306 EUR, no tām kopējās attiecināmās izmaksas 12 660 013 EUR, tai skaitā ESF finansējums 11 810 540 EUR un valsts budžeta attiecināmais finansējums 849 473 EUR, un valsts budžeta neattiecināmās izmaksas 162 293 EUR. No </w:t>
            </w:r>
            <w:proofErr w:type="gramStart"/>
            <w:r w:rsidRPr="00C64A63">
              <w:rPr>
                <w:rFonts w:ascii="Times New Roman" w:hAnsi="Times New Roman" w:cs="Times New Roman"/>
                <w:sz w:val="24"/>
                <w:szCs w:val="24"/>
              </w:rPr>
              <w:t>2008.gada</w:t>
            </w:r>
            <w:proofErr w:type="gramEnd"/>
            <w:r w:rsidRPr="00C64A63">
              <w:rPr>
                <w:rFonts w:ascii="Times New Roman" w:hAnsi="Times New Roman" w:cs="Times New Roman"/>
                <w:sz w:val="24"/>
                <w:szCs w:val="24"/>
              </w:rPr>
              <w:t xml:space="preserve"> līdz 2013.gada 31.decembrim budžetā izlietoti 12 823 359 EUR un tas ir par 1 053 EUR vairāk kā norādīts projektā. Tas saistīts ar budžetā atmaksātiem līdzekļiem par nepamatoti izlietoto dotācijas daļu bezdarbnieku ar invaliditāti darba vietu pielāgošanai (</w:t>
            </w:r>
            <w:proofErr w:type="spellStart"/>
            <w:r w:rsidRPr="00C64A63">
              <w:rPr>
                <w:rFonts w:ascii="Times New Roman" w:hAnsi="Times New Roman" w:cs="Times New Roman"/>
                <w:sz w:val="24"/>
                <w:szCs w:val="24"/>
              </w:rPr>
              <w:t>šķērsfinansējums</w:t>
            </w:r>
            <w:proofErr w:type="spellEnd"/>
            <w:r w:rsidRPr="00C64A63">
              <w:rPr>
                <w:rFonts w:ascii="Times New Roman" w:hAnsi="Times New Roman" w:cs="Times New Roman"/>
                <w:sz w:val="24"/>
                <w:szCs w:val="24"/>
              </w:rPr>
              <w:t xml:space="preserve"> no </w:t>
            </w:r>
            <w:proofErr w:type="gramStart"/>
            <w:r w:rsidRPr="00C64A63">
              <w:rPr>
                <w:rFonts w:ascii="Times New Roman" w:hAnsi="Times New Roman" w:cs="Times New Roman"/>
                <w:sz w:val="24"/>
                <w:szCs w:val="24"/>
              </w:rPr>
              <w:t>2010.g.</w:t>
            </w:r>
            <w:proofErr w:type="gramEnd"/>
            <w:r w:rsidRPr="00C64A63">
              <w:rPr>
                <w:rFonts w:ascii="Times New Roman" w:hAnsi="Times New Roman" w:cs="Times New Roman"/>
                <w:sz w:val="24"/>
                <w:szCs w:val="24"/>
              </w:rPr>
              <w:t xml:space="preserve"> 1.maija), darba devēju budžetā atmaksātiem neizlietotiem finanšu līdzekļiem un budžetā atmaksātiem projekta īstenošanas personāla līdzekļiem par pārsniegto mobilo tālruņu sarunu limitu. Nepamatotās izmaksas, atbilstoši labas finanšu vadības principiem, pilnībā atmaksātas valsts budžetā.</w:t>
            </w:r>
          </w:p>
          <w:p w14:paraId="39F52DA1" w14:textId="77777777" w:rsidR="00C64A63" w:rsidRPr="00C64A63" w:rsidRDefault="00C64A63" w:rsidP="00C64A63">
            <w:pPr>
              <w:spacing w:after="0" w:line="240" w:lineRule="auto"/>
              <w:jc w:val="both"/>
              <w:rPr>
                <w:rFonts w:ascii="Times New Roman" w:hAnsi="Times New Roman" w:cs="Times New Roman"/>
                <w:sz w:val="24"/>
                <w:szCs w:val="24"/>
              </w:rPr>
            </w:pPr>
            <w:proofErr w:type="gramStart"/>
            <w:r w:rsidRPr="00C64A63">
              <w:rPr>
                <w:rFonts w:ascii="Times New Roman" w:hAnsi="Times New Roman" w:cs="Times New Roman"/>
                <w:sz w:val="24"/>
                <w:szCs w:val="24"/>
              </w:rPr>
              <w:t>2014.gadam</w:t>
            </w:r>
            <w:proofErr w:type="gramEnd"/>
            <w:r w:rsidRPr="00C64A63">
              <w:rPr>
                <w:rFonts w:ascii="Times New Roman" w:hAnsi="Times New Roman" w:cs="Times New Roman"/>
                <w:sz w:val="24"/>
                <w:szCs w:val="24"/>
              </w:rPr>
              <w:t xml:space="preserve"> indikatīvi kopējās izmaksas pēc grozījumiem projektā būs 1 692 787 EUR, no tām kopējās attiecināmās izmaksas 1 692 787 EUR, tai skaitā ESF finansējums 1 580 047 EUR un valsts budžeta attiecināmais finansējums 112 740 EUR.</w:t>
            </w:r>
          </w:p>
          <w:p w14:paraId="0DE44924" w14:textId="77777777" w:rsidR="00C64A63" w:rsidRPr="00C64A63"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t xml:space="preserve">Šobrīd valsts budžetā projekta ieviešanai </w:t>
            </w:r>
            <w:proofErr w:type="gramStart"/>
            <w:r w:rsidRPr="00C64A63">
              <w:rPr>
                <w:rFonts w:ascii="Times New Roman" w:hAnsi="Times New Roman" w:cs="Times New Roman"/>
                <w:sz w:val="24"/>
                <w:szCs w:val="24"/>
              </w:rPr>
              <w:t>2014.gadā</w:t>
            </w:r>
            <w:proofErr w:type="gramEnd"/>
            <w:r w:rsidRPr="00C64A63">
              <w:rPr>
                <w:rFonts w:ascii="Times New Roman" w:hAnsi="Times New Roman" w:cs="Times New Roman"/>
                <w:sz w:val="24"/>
                <w:szCs w:val="24"/>
              </w:rPr>
              <w:t xml:space="preserve"> paredzēts finansējums 1 772 787 EUR, un tas ir indikatīvi par 80 000 EUR vairāk kā paredzētie izdevumi projektā 2014.gadā. Pēc grozījumu veikšanas finansējums tiks pārdalīts uz 74.resora „Gadskārtējā valsts budžeta izpildes procesā pārdalāmais finansējums” programmas 80.00.00 „Nesadalītais finansējums Eiropas Savienības politiku instrumentu un pārējās ārvalstu finanšu palīdzības līdzfinansēto projektu un pasākumu īstenošanai” vai arī tiks pārdalīts cita Nodarbinātības valsts aģentūras projekta īstenošanai 2014. gadā un pieprasīts projekta īstenošanai </w:t>
            </w:r>
            <w:proofErr w:type="gramStart"/>
            <w:r w:rsidRPr="00C64A63">
              <w:rPr>
                <w:rFonts w:ascii="Times New Roman" w:hAnsi="Times New Roman" w:cs="Times New Roman"/>
                <w:sz w:val="24"/>
                <w:szCs w:val="24"/>
              </w:rPr>
              <w:t>2015.gadā</w:t>
            </w:r>
            <w:proofErr w:type="gramEnd"/>
            <w:r w:rsidRPr="00C64A63">
              <w:rPr>
                <w:rFonts w:ascii="Times New Roman" w:hAnsi="Times New Roman" w:cs="Times New Roman"/>
                <w:sz w:val="24"/>
                <w:szCs w:val="24"/>
              </w:rPr>
              <w:t>. Pārdalītais finansējums tiks izmantots tikai iepriekš paredzētu darbību finansēšanai, pārplānojot to norises laiku, un netiks izmantots jaunu, iepriekš neplānotu darbību finansēšanai.</w:t>
            </w:r>
          </w:p>
          <w:p w14:paraId="09D6A0C8" w14:textId="77777777" w:rsidR="00C64A63" w:rsidRPr="00C64A63" w:rsidRDefault="00C64A63" w:rsidP="00C64A63">
            <w:pPr>
              <w:spacing w:after="0" w:line="240" w:lineRule="auto"/>
              <w:jc w:val="both"/>
              <w:rPr>
                <w:rFonts w:ascii="Times New Roman" w:hAnsi="Times New Roman" w:cs="Times New Roman"/>
                <w:sz w:val="24"/>
                <w:szCs w:val="24"/>
              </w:rPr>
            </w:pPr>
            <w:proofErr w:type="gramStart"/>
            <w:r w:rsidRPr="00C64A63">
              <w:rPr>
                <w:rFonts w:ascii="Times New Roman" w:hAnsi="Times New Roman" w:cs="Times New Roman"/>
                <w:sz w:val="24"/>
                <w:szCs w:val="24"/>
              </w:rPr>
              <w:t>2015.gadam</w:t>
            </w:r>
            <w:proofErr w:type="gramEnd"/>
            <w:r w:rsidRPr="00C64A63">
              <w:rPr>
                <w:rFonts w:ascii="Times New Roman" w:hAnsi="Times New Roman" w:cs="Times New Roman"/>
                <w:sz w:val="24"/>
                <w:szCs w:val="24"/>
              </w:rPr>
              <w:t xml:space="preserve"> indikatīvi projekta kopējās izmaksas pēc grozījumu veikšanas projektā, saskaņā ar projekta aprakstu būs 1 450 428 EUR, no tām kopējās attiecināmās izmaksas 1 450 428 EUR, tai skaitā ESF finansējums 1 353 824 EUR un valsts budžeta attiecināmais finansējums 96 604 EUR. Reālās izmaksas projektā sagaidāmas, indikatīvi, 117 000 EUR, no tām kopējās attiecināmās izmaksas 117 000 EUR, tai skaitā ESF finansējums 109 208 EUR un valsts budžeta attiecināmais finansējums 7 792 EUR. Starpību starp projekta aprakstā norādītajām un reālajām projekta izmaksām </w:t>
            </w:r>
            <w:proofErr w:type="gramStart"/>
            <w:r w:rsidRPr="00C64A63">
              <w:rPr>
                <w:rFonts w:ascii="Times New Roman" w:hAnsi="Times New Roman" w:cs="Times New Roman"/>
                <w:sz w:val="24"/>
                <w:szCs w:val="24"/>
              </w:rPr>
              <w:t>2015.gadā</w:t>
            </w:r>
            <w:proofErr w:type="gramEnd"/>
            <w:r w:rsidRPr="00C64A63">
              <w:rPr>
                <w:rFonts w:ascii="Times New Roman" w:hAnsi="Times New Roman" w:cs="Times New Roman"/>
                <w:sz w:val="24"/>
                <w:szCs w:val="24"/>
              </w:rPr>
              <w:t xml:space="preserve"> veido uz projekta pēdējo ieviešanas gadu pārceltais netiešo attiecināmo izmaksu nemainīgās likmes piemērošanas rezultātā izveidojies ietaupījums 1 333 428 EUR apmērā.</w:t>
            </w:r>
          </w:p>
          <w:p w14:paraId="62373E2D" w14:textId="46FC417E" w:rsidR="005A7179" w:rsidRPr="00A44A57" w:rsidRDefault="00C64A63" w:rsidP="00C64A63">
            <w:pPr>
              <w:spacing w:after="0" w:line="240" w:lineRule="auto"/>
              <w:jc w:val="both"/>
              <w:rPr>
                <w:rFonts w:ascii="Times New Roman" w:hAnsi="Times New Roman" w:cs="Times New Roman"/>
                <w:sz w:val="24"/>
                <w:szCs w:val="24"/>
              </w:rPr>
            </w:pPr>
            <w:r w:rsidRPr="00C64A63">
              <w:rPr>
                <w:rFonts w:ascii="Times New Roman" w:hAnsi="Times New Roman" w:cs="Times New Roman"/>
                <w:sz w:val="24"/>
                <w:szCs w:val="24"/>
              </w:rPr>
              <w:t xml:space="preserve">Saskaņā ar likumu „Par vidēja termiņa budžeta ietvaru 2014., 2015. un </w:t>
            </w:r>
            <w:proofErr w:type="gramStart"/>
            <w:r w:rsidRPr="00C64A63">
              <w:rPr>
                <w:rFonts w:ascii="Times New Roman" w:hAnsi="Times New Roman" w:cs="Times New Roman"/>
                <w:sz w:val="24"/>
                <w:szCs w:val="24"/>
              </w:rPr>
              <w:t>2016.gadam</w:t>
            </w:r>
            <w:proofErr w:type="gramEnd"/>
            <w:r w:rsidRPr="00C64A63">
              <w:rPr>
                <w:rFonts w:ascii="Times New Roman" w:hAnsi="Times New Roman" w:cs="Times New Roman"/>
                <w:sz w:val="24"/>
                <w:szCs w:val="24"/>
              </w:rPr>
              <w:t xml:space="preserve">” projekta ieviešanai 2015.gadā šobrīd finansējums nav paredzēts. Iztrūkstošais finansējums, indikatīvi, 117 000 EUR apmērā, kuru veido no </w:t>
            </w:r>
            <w:proofErr w:type="gramStart"/>
            <w:r w:rsidRPr="00C64A63">
              <w:rPr>
                <w:rFonts w:ascii="Times New Roman" w:hAnsi="Times New Roman" w:cs="Times New Roman"/>
                <w:sz w:val="24"/>
                <w:szCs w:val="24"/>
              </w:rPr>
              <w:t>2014.gada</w:t>
            </w:r>
            <w:proofErr w:type="gramEnd"/>
            <w:r w:rsidRPr="00C64A63">
              <w:rPr>
                <w:rFonts w:ascii="Times New Roman" w:hAnsi="Times New Roman" w:cs="Times New Roman"/>
                <w:sz w:val="24"/>
                <w:szCs w:val="24"/>
              </w:rPr>
              <w:t xml:space="preserve"> pārdalītais </w:t>
            </w:r>
            <w:r w:rsidRPr="00C64A63">
              <w:rPr>
                <w:rFonts w:ascii="Times New Roman" w:hAnsi="Times New Roman" w:cs="Times New Roman"/>
                <w:sz w:val="24"/>
                <w:szCs w:val="24"/>
              </w:rPr>
              <w:lastRenderedPageBreak/>
              <w:t>finansējums 80 000 EUR apmērā un no uzkrātās rezerves netiešo izmaksu nemainīgās likmes piemērošanas rezultātā uzkrātais finansējums 37 000 EUR apmērā</w:t>
            </w:r>
            <w:r w:rsidR="00E02464">
              <w:rPr>
                <w:rFonts w:ascii="Times New Roman" w:hAnsi="Times New Roman" w:cs="Times New Roman"/>
                <w:sz w:val="24"/>
                <w:szCs w:val="24"/>
              </w:rPr>
              <w:t>,</w:t>
            </w:r>
            <w:r w:rsidRPr="00C64A63">
              <w:rPr>
                <w:rFonts w:ascii="Times New Roman" w:hAnsi="Times New Roman" w:cs="Times New Roman"/>
                <w:sz w:val="24"/>
                <w:szCs w:val="24"/>
              </w:rPr>
              <w:t xml:space="preserve"> tiks pieprasīts 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tc>
      </w:tr>
      <w:tr w:rsidR="005A7179" w:rsidRPr="00DD49B6" w14:paraId="43BD2643" w14:textId="77777777" w:rsidTr="004C7971">
        <w:trPr>
          <w:jc w:val="center"/>
        </w:trPr>
        <w:tc>
          <w:tcPr>
            <w:tcW w:w="3182" w:type="dxa"/>
          </w:tcPr>
          <w:p w14:paraId="021E86A8"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5A7179" w:rsidRPr="00DD49B6" w:rsidRDefault="005A7179" w:rsidP="004C7971">
            <w:pPr>
              <w:pStyle w:val="naisf"/>
              <w:spacing w:before="0" w:beforeAutospacing="0" w:after="0" w:afterAutospacing="0"/>
              <w:rPr>
                <w:b/>
                <w:i/>
              </w:rPr>
            </w:pPr>
          </w:p>
        </w:tc>
      </w:tr>
      <w:tr w:rsidR="005A7179" w:rsidRPr="00DD49B6" w14:paraId="0F9A11AC" w14:textId="77777777" w:rsidTr="004C7971">
        <w:trPr>
          <w:jc w:val="center"/>
        </w:trPr>
        <w:tc>
          <w:tcPr>
            <w:tcW w:w="3182" w:type="dxa"/>
          </w:tcPr>
          <w:p w14:paraId="4A71C0CA"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5A7179" w:rsidRPr="00DD49B6" w:rsidRDefault="005A7179" w:rsidP="004C7971">
            <w:pPr>
              <w:pStyle w:val="naisf"/>
              <w:spacing w:before="0" w:beforeAutospacing="0" w:after="0" w:afterAutospacing="0"/>
              <w:rPr>
                <w:b/>
                <w:i/>
              </w:rPr>
            </w:pPr>
          </w:p>
        </w:tc>
      </w:tr>
      <w:tr w:rsidR="005A7179" w:rsidRPr="00DD49B6" w14:paraId="36A0A859" w14:textId="77777777" w:rsidTr="004C7971">
        <w:trPr>
          <w:trHeight w:val="556"/>
          <w:jc w:val="center"/>
        </w:trPr>
        <w:tc>
          <w:tcPr>
            <w:tcW w:w="3182" w:type="dxa"/>
          </w:tcPr>
          <w:p w14:paraId="24A4BE0A" w14:textId="77777777" w:rsidR="005A7179" w:rsidRPr="00DD49B6" w:rsidRDefault="005A7179" w:rsidP="004C79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34" w:type="dxa"/>
            <w:gridSpan w:val="5"/>
          </w:tcPr>
          <w:p w14:paraId="5F1B5535" w14:textId="77777777" w:rsidR="005A7179" w:rsidRPr="00DD49B6" w:rsidRDefault="005A7179" w:rsidP="001B6876">
            <w:pPr>
              <w:pStyle w:val="naisf"/>
              <w:tabs>
                <w:tab w:val="left" w:pos="4644"/>
              </w:tabs>
              <w:spacing w:before="0" w:beforeAutospacing="0" w:after="0" w:afterAutospacing="0"/>
              <w:jc w:val="both"/>
              <w:rPr>
                <w:b/>
                <w:i/>
              </w:rPr>
            </w:pPr>
            <w:r>
              <w:t>Finansējums 2014. un 2015. gadam norādīts indikatīvi. Precīzs finansējuma sadalījums būs zināms pēc grozījumu projektā apstiprināšanas.</w:t>
            </w:r>
          </w:p>
        </w:tc>
      </w:tr>
    </w:tbl>
    <w:p w14:paraId="4C672CDB" w14:textId="77777777" w:rsidR="00CC1A56" w:rsidRDefault="00CC1A56" w:rsidP="00CC1A56">
      <w:pPr>
        <w:spacing w:after="0" w:line="240" w:lineRule="auto"/>
        <w:rPr>
          <w:rFonts w:ascii="Times New Roman" w:hAnsi="Times New Roman" w:cs="Times New Roman"/>
          <w:sz w:val="24"/>
          <w:szCs w:val="24"/>
        </w:rPr>
      </w:pPr>
    </w:p>
    <w:p w14:paraId="2D30B530"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625465D7" w14:textId="77777777" w:rsidTr="007D385B">
        <w:trPr>
          <w:trHeight w:val="461"/>
          <w:jc w:val="center"/>
        </w:trPr>
        <w:tc>
          <w:tcPr>
            <w:tcW w:w="9511"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547E5DA0" w14:textId="77777777" w:rsidTr="007D385B">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193596DC" w14:textId="101DED76" w:rsidR="006E7CC4" w:rsidRPr="005A35D4" w:rsidRDefault="008C4128" w:rsidP="006E7CC4">
            <w:pPr>
              <w:shd w:val="clear" w:color="auto" w:fill="FFFFFF"/>
              <w:spacing w:after="0" w:line="240" w:lineRule="auto"/>
              <w:jc w:val="both"/>
              <w:rPr>
                <w:rFonts w:ascii="Times New Roman" w:hAnsi="Times New Roman"/>
                <w:sz w:val="24"/>
                <w:szCs w:val="24"/>
              </w:rPr>
            </w:pPr>
            <w:r w:rsidRPr="005A35D4">
              <w:rPr>
                <w:rFonts w:ascii="Times New Roman" w:hAnsi="Times New Roman"/>
                <w:sz w:val="24"/>
                <w:szCs w:val="24"/>
              </w:rPr>
              <w:t xml:space="preserve">MK noteikumu projekts tiks virzīts izskatīšanai MK sēdē </w:t>
            </w:r>
            <w:r w:rsidR="00AC0B35" w:rsidRPr="005A35D4">
              <w:rPr>
                <w:rFonts w:ascii="Times New Roman" w:hAnsi="Times New Roman"/>
                <w:sz w:val="24"/>
                <w:szCs w:val="24"/>
              </w:rPr>
              <w:t xml:space="preserve">(indikatīvi </w:t>
            </w:r>
            <w:proofErr w:type="gramStart"/>
            <w:r w:rsidR="00AC0B35" w:rsidRPr="005A35D4">
              <w:rPr>
                <w:rFonts w:ascii="Times New Roman" w:hAnsi="Times New Roman"/>
                <w:sz w:val="24"/>
                <w:szCs w:val="24"/>
              </w:rPr>
              <w:t>2014.gada</w:t>
            </w:r>
            <w:proofErr w:type="gramEnd"/>
            <w:r w:rsidR="00AC0B35" w:rsidRPr="005A35D4">
              <w:rPr>
                <w:rFonts w:ascii="Times New Roman" w:hAnsi="Times New Roman"/>
                <w:sz w:val="24"/>
                <w:szCs w:val="24"/>
              </w:rPr>
              <w:t xml:space="preserve"> augustā/septembrī) </w:t>
            </w:r>
            <w:r w:rsidRPr="005A35D4">
              <w:rPr>
                <w:rFonts w:ascii="Times New Roman" w:hAnsi="Times New Roman"/>
                <w:sz w:val="24"/>
                <w:szCs w:val="24"/>
              </w:rPr>
              <w:t xml:space="preserve">vienlaikus ar </w:t>
            </w:r>
            <w:r w:rsidR="000115E3" w:rsidRPr="005A35D4">
              <w:rPr>
                <w:rFonts w:ascii="Times New Roman" w:hAnsi="Times New Roman"/>
                <w:sz w:val="24"/>
                <w:szCs w:val="24"/>
              </w:rPr>
              <w:t xml:space="preserve">vai pēc </w:t>
            </w:r>
            <w:r w:rsidRPr="005A35D4">
              <w:rPr>
                <w:rFonts w:ascii="Times New Roman" w:hAnsi="Times New Roman"/>
                <w:sz w:val="24"/>
                <w:szCs w:val="24"/>
              </w:rPr>
              <w:t>attiecīgajiem grozījumiem</w:t>
            </w:r>
            <w:r w:rsidR="006E7CC4" w:rsidRPr="005A35D4">
              <w:rPr>
                <w:rFonts w:ascii="Times New Roman" w:hAnsi="Times New Roman"/>
                <w:sz w:val="24"/>
                <w:szCs w:val="24"/>
              </w:rPr>
              <w:t>:</w:t>
            </w:r>
          </w:p>
          <w:p w14:paraId="77CC8A00" w14:textId="77777777" w:rsidR="006E7CC4" w:rsidRPr="005A35D4" w:rsidRDefault="006E7CC4" w:rsidP="006E7CC4">
            <w:pPr>
              <w:shd w:val="clear" w:color="auto" w:fill="FFFFFF"/>
              <w:spacing w:after="0" w:line="240" w:lineRule="auto"/>
              <w:jc w:val="both"/>
              <w:rPr>
                <w:rFonts w:ascii="Times New Roman" w:hAnsi="Times New Roman"/>
                <w:sz w:val="24"/>
                <w:szCs w:val="24"/>
              </w:rPr>
            </w:pPr>
            <w:r w:rsidRPr="005A35D4">
              <w:rPr>
                <w:rFonts w:ascii="Times New Roman" w:hAnsi="Times New Roman"/>
                <w:sz w:val="24"/>
                <w:szCs w:val="24"/>
              </w:rPr>
              <w:t>-</w:t>
            </w:r>
            <w:r w:rsidR="008C4128" w:rsidRPr="005A35D4">
              <w:rPr>
                <w:rFonts w:ascii="Times New Roman" w:hAnsi="Times New Roman"/>
                <w:sz w:val="24"/>
                <w:szCs w:val="24"/>
              </w:rPr>
              <w:t xml:space="preserve"> darbības programmas “Cilvēkresursi un nodarbinātība” papildinājumā</w:t>
            </w:r>
            <w:r w:rsidRPr="005A35D4">
              <w:rPr>
                <w:rFonts w:ascii="Times New Roman" w:hAnsi="Times New Roman"/>
                <w:sz w:val="24"/>
                <w:szCs w:val="24"/>
              </w:rPr>
              <w:t>;</w:t>
            </w:r>
          </w:p>
          <w:p w14:paraId="2F552F42" w14:textId="3A2782A3" w:rsidR="000115E3" w:rsidRPr="005A35D4" w:rsidRDefault="006E7CC4" w:rsidP="000115E3">
            <w:pPr>
              <w:shd w:val="clear" w:color="auto" w:fill="FFFFFF"/>
              <w:spacing w:after="0" w:line="240" w:lineRule="auto"/>
              <w:jc w:val="both"/>
              <w:rPr>
                <w:rFonts w:ascii="Times New Roman" w:hAnsi="Times New Roman" w:cs="Times New Roman"/>
                <w:sz w:val="24"/>
                <w:szCs w:val="24"/>
              </w:rPr>
            </w:pPr>
            <w:r w:rsidRPr="005A35D4">
              <w:rPr>
                <w:rFonts w:ascii="Times New Roman" w:hAnsi="Times New Roman"/>
                <w:sz w:val="24"/>
                <w:szCs w:val="24"/>
              </w:rPr>
              <w:t xml:space="preserve">- </w:t>
            </w:r>
            <w:r w:rsidR="000115E3" w:rsidRPr="005A35D4">
              <w:rPr>
                <w:rFonts w:ascii="Times New Roman" w:hAnsi="Times New Roman"/>
                <w:sz w:val="24"/>
                <w:szCs w:val="24"/>
              </w:rPr>
              <w:t>M</w:t>
            </w:r>
            <w:r w:rsidR="000115E3" w:rsidRPr="005A35D4">
              <w:rPr>
                <w:rFonts w:ascii="Times New Roman" w:hAnsi="Times New Roman" w:cs="Times New Roman"/>
                <w:sz w:val="24"/>
                <w:szCs w:val="24"/>
              </w:rPr>
              <w:t xml:space="preserve">K </w:t>
            </w:r>
            <w:proofErr w:type="gramStart"/>
            <w:r w:rsidR="000115E3" w:rsidRPr="005A35D4">
              <w:rPr>
                <w:rFonts w:ascii="Times New Roman" w:hAnsi="Times New Roman" w:cs="Times New Roman"/>
                <w:color w:val="000000"/>
                <w:sz w:val="24"/>
                <w:szCs w:val="24"/>
              </w:rPr>
              <w:t>2011.gada</w:t>
            </w:r>
            <w:proofErr w:type="gramEnd"/>
            <w:r w:rsidR="000115E3" w:rsidRPr="005A35D4">
              <w:rPr>
                <w:rFonts w:ascii="Times New Roman" w:hAnsi="Times New Roman" w:cs="Times New Roman"/>
                <w:color w:val="000000"/>
                <w:sz w:val="24"/>
                <w:szCs w:val="24"/>
              </w:rPr>
              <w:t xml:space="preserve"> 1.marta noteikumos Nr.170</w:t>
            </w:r>
            <w:r w:rsidR="008B544E">
              <w:rPr>
                <w:rFonts w:ascii="Times New Roman" w:hAnsi="Times New Roman" w:cs="Times New Roman"/>
                <w:color w:val="000000"/>
                <w:sz w:val="24"/>
                <w:szCs w:val="24"/>
              </w:rPr>
              <w:t xml:space="preserve"> “</w:t>
            </w:r>
            <w:r w:rsidR="000115E3" w:rsidRPr="005A35D4">
              <w:rPr>
                <w:rFonts w:ascii="Times New Roman" w:hAnsi="Times New Roman" w:cs="Times New Roman"/>
                <w:color w:val="000000"/>
                <w:sz w:val="24"/>
                <w:szCs w:val="24"/>
              </w:rPr>
              <w:t>Not</w:t>
            </w:r>
            <w:r w:rsidR="008B544E">
              <w:rPr>
                <w:rFonts w:ascii="Times New Roman" w:hAnsi="Times New Roman" w:cs="Times New Roman"/>
                <w:color w:val="000000"/>
                <w:sz w:val="24"/>
                <w:szCs w:val="24"/>
              </w:rPr>
              <w:t>eikumi par darbības programmas “</w:t>
            </w:r>
            <w:r w:rsidR="000115E3" w:rsidRPr="005A35D4">
              <w:rPr>
                <w:rFonts w:ascii="Times New Roman" w:hAnsi="Times New Roman" w:cs="Times New Roman"/>
                <w:color w:val="000000"/>
                <w:sz w:val="24"/>
                <w:szCs w:val="24"/>
              </w:rPr>
              <w:t>Cilvēkresursi un nodarbinātība” papildinājuma 1.4.1.1.1.apakšaktivitāti "Kompleksi atbalsta pasākumi iedzīvotāju integrēšanai sabiedrībā un darba tirgū”</w:t>
            </w:r>
            <w:r w:rsidR="008B544E">
              <w:rPr>
                <w:rFonts w:ascii="Times New Roman" w:hAnsi="Times New Roman" w:cs="Times New Roman"/>
                <w:color w:val="000000"/>
                <w:sz w:val="24"/>
                <w:szCs w:val="24"/>
              </w:rPr>
              <w:t>”</w:t>
            </w:r>
            <w:r w:rsidR="000115E3" w:rsidRPr="005A35D4">
              <w:rPr>
                <w:rFonts w:ascii="Times New Roman" w:hAnsi="Times New Roman" w:cs="Times New Roman"/>
                <w:color w:val="000000"/>
                <w:sz w:val="24"/>
                <w:szCs w:val="24"/>
              </w:rPr>
              <w:t>;</w:t>
            </w:r>
          </w:p>
          <w:p w14:paraId="2529ED39" w14:textId="72A9B759" w:rsidR="00CC1A56" w:rsidRPr="005A35D4" w:rsidRDefault="000115E3" w:rsidP="00D54706">
            <w:pPr>
              <w:shd w:val="clear" w:color="auto" w:fill="FFFFFF"/>
              <w:spacing w:after="0" w:line="240" w:lineRule="auto"/>
              <w:jc w:val="both"/>
              <w:rPr>
                <w:rFonts w:ascii="Times New Roman" w:hAnsi="Times New Roman" w:cs="Times New Roman"/>
                <w:color w:val="000000"/>
                <w:sz w:val="24"/>
                <w:szCs w:val="24"/>
                <w:lang w:eastAsia="lv-LV"/>
              </w:rPr>
            </w:pPr>
            <w:r w:rsidRPr="005A35D4">
              <w:rPr>
                <w:rFonts w:ascii="Times New Roman" w:hAnsi="Times New Roman" w:cs="Times New Roman"/>
                <w:sz w:val="24"/>
                <w:szCs w:val="24"/>
              </w:rPr>
              <w:t xml:space="preserve">- MK </w:t>
            </w:r>
            <w:proofErr w:type="gramStart"/>
            <w:r w:rsidRPr="005A35D4">
              <w:rPr>
                <w:rFonts w:ascii="Times New Roman" w:hAnsi="Times New Roman" w:cs="Times New Roman"/>
                <w:sz w:val="24"/>
                <w:szCs w:val="24"/>
              </w:rPr>
              <w:t>2007.gada</w:t>
            </w:r>
            <w:proofErr w:type="gramEnd"/>
            <w:r w:rsidRPr="005A35D4">
              <w:rPr>
                <w:rFonts w:ascii="Times New Roman" w:hAnsi="Times New Roman" w:cs="Times New Roman"/>
                <w:sz w:val="24"/>
                <w:szCs w:val="24"/>
              </w:rPr>
              <w:t xml:space="preserve"> 30.oktobra noteikumos Nr.732 “Noteikumi par darbības programmas “Cilvēkresursi un nodarbinātība” papildinājuma apakšaktivitātes “Bezdarbnieku un darba meklētāju apmācība” pirmo un otro kārtu”.</w:t>
            </w:r>
            <w:r w:rsidR="008C4128" w:rsidRPr="005A35D4">
              <w:rPr>
                <w:rFonts w:ascii="Times New Roman" w:hAnsi="Times New Roman"/>
                <w:sz w:val="24"/>
                <w:szCs w:val="24"/>
              </w:rPr>
              <w:t xml:space="preserve"> </w:t>
            </w:r>
          </w:p>
        </w:tc>
      </w:tr>
      <w:tr w:rsidR="00CC1A56" w:rsidRPr="00DD49B6" w14:paraId="0FF5BEF5" w14:textId="77777777" w:rsidTr="007D385B">
        <w:trPr>
          <w:jc w:val="center"/>
        </w:trPr>
        <w:tc>
          <w:tcPr>
            <w:tcW w:w="470" w:type="dxa"/>
          </w:tcPr>
          <w:p w14:paraId="0EDAACA1" w14:textId="7CD71503"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C2198F4" w14:textId="77777777"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67DD2255" w14:textId="77777777" w:rsidTr="007D385B">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297B0553" w14:textId="77777777" w:rsidR="00CC1A56" w:rsidRDefault="00CC1A56" w:rsidP="00CC1A56">
      <w:pPr>
        <w:spacing w:after="0" w:line="240" w:lineRule="auto"/>
        <w:rPr>
          <w:rFonts w:ascii="Times New Roman" w:hAnsi="Times New Roman" w:cs="Times New Roman"/>
          <w:sz w:val="24"/>
          <w:szCs w:val="24"/>
        </w:rPr>
      </w:pPr>
    </w:p>
    <w:p w14:paraId="6F8810F3"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0C77F5">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034C74B2" w14:textId="77777777" w:rsidR="00893F92" w:rsidRPr="00893F92" w:rsidRDefault="008260C4" w:rsidP="008260C4">
            <w:pPr>
              <w:spacing w:after="0" w:line="240" w:lineRule="auto"/>
              <w:rPr>
                <w:rFonts w:ascii="Times New Roman" w:hAnsi="Times New Roman" w:cs="Times New Roman"/>
                <w:sz w:val="24"/>
                <w:szCs w:val="24"/>
              </w:rPr>
            </w:pPr>
            <w:proofErr w:type="gramStart"/>
            <w:r w:rsidRPr="00893F92">
              <w:rPr>
                <w:rFonts w:ascii="Times New Roman" w:hAnsi="Times New Roman" w:cs="Times New Roman"/>
                <w:sz w:val="24"/>
                <w:szCs w:val="24"/>
              </w:rPr>
              <w:t>2</w:t>
            </w:r>
            <w:r w:rsidR="00893F92" w:rsidRPr="00893F92">
              <w:rPr>
                <w:rFonts w:ascii="Times New Roman" w:hAnsi="Times New Roman" w:cs="Times New Roman"/>
                <w:sz w:val="24"/>
                <w:szCs w:val="24"/>
              </w:rPr>
              <w:t>014.gada</w:t>
            </w:r>
            <w:proofErr w:type="gramEnd"/>
            <w:r w:rsidR="00893F92" w:rsidRPr="00893F92">
              <w:rPr>
                <w:rFonts w:ascii="Times New Roman" w:hAnsi="Times New Roman" w:cs="Times New Roman"/>
                <w:sz w:val="24"/>
                <w:szCs w:val="24"/>
              </w:rPr>
              <w:t xml:space="preserve"> 1.janvārī stājas spēkā</w:t>
            </w:r>
            <w:r w:rsidRPr="00893F92">
              <w:rPr>
                <w:rFonts w:ascii="Times New Roman" w:hAnsi="Times New Roman" w:cs="Times New Roman"/>
                <w:sz w:val="24"/>
                <w:szCs w:val="24"/>
              </w:rPr>
              <w:t xml:space="preserve"> Komisijas regula Nr.1407/2013, kura aizstā</w:t>
            </w:r>
            <w:r w:rsidR="00893F92" w:rsidRPr="00893F92">
              <w:rPr>
                <w:rFonts w:ascii="Times New Roman" w:hAnsi="Times New Roman" w:cs="Times New Roman"/>
                <w:sz w:val="24"/>
                <w:szCs w:val="24"/>
              </w:rPr>
              <w:t>j Komisijas regulu Nr.1998/2006.</w:t>
            </w:r>
          </w:p>
          <w:p w14:paraId="0A939393" w14:textId="77777777" w:rsidR="008260C4" w:rsidRDefault="008260C4" w:rsidP="009E1B92">
            <w:pPr>
              <w:spacing w:after="0" w:line="240" w:lineRule="auto"/>
              <w:jc w:val="both"/>
              <w:rPr>
                <w:rFonts w:ascii="Times New Roman" w:hAnsi="Times New Roman" w:cs="Times New Roman"/>
                <w:sz w:val="24"/>
                <w:szCs w:val="24"/>
              </w:rPr>
            </w:pPr>
            <w:r w:rsidRPr="00893F92">
              <w:rPr>
                <w:rFonts w:ascii="Times New Roman" w:hAnsi="Times New Roman" w:cs="Times New Roman"/>
                <w:sz w:val="24"/>
                <w:szCs w:val="24"/>
              </w:rPr>
              <w:t xml:space="preserve">Komisijas regula Nr.1998/2006 </w:t>
            </w:r>
            <w:r w:rsidR="00893F92" w:rsidRPr="00893F92">
              <w:rPr>
                <w:rFonts w:ascii="Times New Roman" w:hAnsi="Times New Roman" w:cs="Times New Roman"/>
                <w:sz w:val="24"/>
                <w:szCs w:val="24"/>
              </w:rPr>
              <w:t>pēc tās</w:t>
            </w:r>
            <w:r w:rsidRPr="00893F92">
              <w:rPr>
                <w:rFonts w:ascii="Times New Roman" w:hAnsi="Times New Roman" w:cs="Times New Roman"/>
                <w:sz w:val="24"/>
                <w:szCs w:val="24"/>
              </w:rPr>
              <w:t xml:space="preserve"> spēkā esības perioda beigām ir piemērojama vēl sešus mēnešus, t.i., līdz </w:t>
            </w:r>
            <w:proofErr w:type="gramStart"/>
            <w:r w:rsidRPr="00893F92">
              <w:rPr>
                <w:rFonts w:ascii="Times New Roman" w:hAnsi="Times New Roman" w:cs="Times New Roman"/>
                <w:sz w:val="24"/>
                <w:szCs w:val="24"/>
              </w:rPr>
              <w:t>2014.gada</w:t>
            </w:r>
            <w:proofErr w:type="gramEnd"/>
            <w:r w:rsidRPr="00893F92">
              <w:rPr>
                <w:rFonts w:ascii="Times New Roman" w:hAnsi="Times New Roman" w:cs="Times New Roman"/>
                <w:sz w:val="24"/>
                <w:szCs w:val="24"/>
              </w:rPr>
              <w:t xml:space="preserve"> 30.jūnijam.</w:t>
            </w:r>
          </w:p>
          <w:p w14:paraId="6619CB6D" w14:textId="0EFA9B2A" w:rsidR="0042221E" w:rsidRDefault="0042221E" w:rsidP="009E1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Komisijas regula Nr.800/200</w:t>
            </w:r>
            <w:r w:rsidR="006B539E" w:rsidRPr="006F44FC">
              <w:rPr>
                <w:rFonts w:ascii="Times New Roman" w:hAnsi="Times New Roman" w:cs="Times New Roman"/>
                <w:sz w:val="24"/>
                <w:szCs w:val="24"/>
              </w:rPr>
              <w:t>8</w:t>
            </w:r>
            <w:r>
              <w:rPr>
                <w:rFonts w:ascii="Times New Roman" w:hAnsi="Times New Roman" w:cs="Times New Roman"/>
                <w:sz w:val="24"/>
                <w:szCs w:val="24"/>
              </w:rPr>
              <w:t xml:space="preserve"> bija spēkā līdz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30.jūnijam un </w:t>
            </w:r>
            <w:r w:rsidRPr="0042221E">
              <w:rPr>
                <w:rFonts w:ascii="Times New Roman" w:hAnsi="Times New Roman" w:cs="Times New Roman"/>
                <w:sz w:val="24"/>
                <w:szCs w:val="24"/>
              </w:rPr>
              <w:t xml:space="preserve">pēc tās spēkā esības perioda beigām ir piemērojama vēl sešus </w:t>
            </w:r>
            <w:r>
              <w:rPr>
                <w:rFonts w:ascii="Times New Roman" w:hAnsi="Times New Roman" w:cs="Times New Roman"/>
                <w:sz w:val="24"/>
                <w:szCs w:val="24"/>
              </w:rPr>
              <w:t>mēnešus, t.i., līdz 2014.gada 31.decembrim</w:t>
            </w:r>
            <w:r w:rsidRPr="0042221E">
              <w:rPr>
                <w:rFonts w:ascii="Times New Roman" w:hAnsi="Times New Roman" w:cs="Times New Roman"/>
                <w:sz w:val="24"/>
                <w:szCs w:val="24"/>
              </w:rPr>
              <w:t>.</w:t>
            </w:r>
          </w:p>
          <w:p w14:paraId="521E669C" w14:textId="1271F746" w:rsidR="0087502F" w:rsidRDefault="0087502F" w:rsidP="009E1B92">
            <w:pPr>
              <w:spacing w:after="0" w:line="240" w:lineRule="auto"/>
              <w:jc w:val="both"/>
              <w:rPr>
                <w:rFonts w:ascii="Times New Roman" w:hAnsi="Times New Roman" w:cs="Times New Roman"/>
                <w:sz w:val="24"/>
                <w:szCs w:val="24"/>
              </w:rPr>
            </w:pPr>
            <w:r w:rsidRPr="0087502F">
              <w:rPr>
                <w:rFonts w:ascii="Times New Roman" w:hAnsi="Times New Roman" w:cs="Times New Roman"/>
                <w:sz w:val="24"/>
                <w:szCs w:val="24"/>
              </w:rPr>
              <w:t xml:space="preserve">Komisijas </w:t>
            </w:r>
            <w:proofErr w:type="gramStart"/>
            <w:r w:rsidRPr="0087502F">
              <w:rPr>
                <w:rFonts w:ascii="Times New Roman" w:hAnsi="Times New Roman" w:cs="Times New Roman"/>
                <w:sz w:val="24"/>
                <w:szCs w:val="24"/>
              </w:rPr>
              <w:t>2014.gada</w:t>
            </w:r>
            <w:proofErr w:type="gramEnd"/>
            <w:r w:rsidRPr="0087502F">
              <w:rPr>
                <w:rFonts w:ascii="Times New Roman" w:hAnsi="Times New Roman" w:cs="Times New Roman"/>
                <w:sz w:val="24"/>
                <w:szCs w:val="24"/>
              </w:rPr>
              <w:t xml:space="preserve"> 17.jūnija Regula (ES) Nr. 651/2014, ar ko noteiktas atbalsta kategorijas atzīst par saderīgām ar iekšējo tirgu, piemērojot Līguma 107. un 108.pantu (Eiropas Savienības Oficiālais Vēstnesis, 2014.gada 26.jūnijs, Nr. L 187/1) (turpmāk – Komisijas regula Nr. 651/2014)</w:t>
            </w:r>
            <w:r>
              <w:rPr>
                <w:rFonts w:ascii="Times New Roman" w:hAnsi="Times New Roman" w:cs="Times New Roman"/>
                <w:sz w:val="24"/>
                <w:szCs w:val="24"/>
              </w:rPr>
              <w:t>.</w:t>
            </w:r>
          </w:p>
          <w:p w14:paraId="29FA18CC" w14:textId="560C08E0" w:rsidR="0087502F" w:rsidRDefault="0087502F" w:rsidP="009E1B92">
            <w:pPr>
              <w:spacing w:after="0" w:line="240" w:lineRule="auto"/>
              <w:jc w:val="both"/>
              <w:rPr>
                <w:rFonts w:ascii="Times New Roman" w:hAnsi="Times New Roman" w:cs="Times New Roman"/>
                <w:sz w:val="24"/>
                <w:szCs w:val="24"/>
              </w:rPr>
            </w:pPr>
            <w:r w:rsidRPr="0087502F">
              <w:rPr>
                <w:rFonts w:ascii="Times New Roman" w:hAnsi="Times New Roman" w:cs="Times New Roman"/>
                <w:sz w:val="24"/>
                <w:szCs w:val="24"/>
              </w:rPr>
              <w:t xml:space="preserve">Komisijas 2014. gada 27. jūnija Regulu (EK) Nr. 717/2014 par Līguma par Eiropas Savienības darbību </w:t>
            </w:r>
            <w:r w:rsidR="00F55BD0" w:rsidRPr="00854D11">
              <w:rPr>
                <w:rFonts w:ascii="Times New Roman" w:hAnsi="Times New Roman" w:cs="Times New Roman"/>
                <w:sz w:val="24"/>
                <w:szCs w:val="24"/>
              </w:rPr>
              <w:t>107</w:t>
            </w:r>
            <w:r w:rsidRPr="00854D11">
              <w:rPr>
                <w:rFonts w:ascii="Times New Roman" w:hAnsi="Times New Roman" w:cs="Times New Roman"/>
                <w:sz w:val="24"/>
                <w:szCs w:val="24"/>
              </w:rPr>
              <w:t xml:space="preserve">. un </w:t>
            </w:r>
            <w:r w:rsidR="00F55BD0" w:rsidRPr="00854D11">
              <w:rPr>
                <w:rFonts w:ascii="Times New Roman" w:hAnsi="Times New Roman" w:cs="Times New Roman"/>
                <w:sz w:val="24"/>
                <w:szCs w:val="24"/>
              </w:rPr>
              <w:t>10</w:t>
            </w:r>
            <w:r w:rsidRPr="00854D11">
              <w:rPr>
                <w:rFonts w:ascii="Times New Roman" w:hAnsi="Times New Roman" w:cs="Times New Roman"/>
                <w:sz w:val="24"/>
                <w:szCs w:val="24"/>
              </w:rPr>
              <w:t>8</w:t>
            </w:r>
            <w:r w:rsidRPr="0087502F">
              <w:rPr>
                <w:rFonts w:ascii="Times New Roman" w:hAnsi="Times New Roman" w:cs="Times New Roman"/>
                <w:sz w:val="24"/>
                <w:szCs w:val="24"/>
              </w:rPr>
              <w:t xml:space="preserve">. panta piemērošanu </w:t>
            </w:r>
            <w:proofErr w:type="spellStart"/>
            <w:r w:rsidRPr="0087502F">
              <w:rPr>
                <w:rFonts w:ascii="Times New Roman" w:hAnsi="Times New Roman" w:cs="Times New Roman"/>
                <w:sz w:val="24"/>
                <w:szCs w:val="24"/>
              </w:rPr>
              <w:t>de</w:t>
            </w:r>
            <w:proofErr w:type="spellEnd"/>
            <w:r w:rsidRPr="0087502F">
              <w:rPr>
                <w:rFonts w:ascii="Times New Roman" w:hAnsi="Times New Roman" w:cs="Times New Roman"/>
                <w:sz w:val="24"/>
                <w:szCs w:val="24"/>
              </w:rPr>
              <w:t xml:space="preserve"> </w:t>
            </w:r>
            <w:proofErr w:type="spellStart"/>
            <w:r w:rsidRPr="0087502F">
              <w:rPr>
                <w:rFonts w:ascii="Times New Roman" w:hAnsi="Times New Roman" w:cs="Times New Roman"/>
                <w:sz w:val="24"/>
                <w:szCs w:val="24"/>
              </w:rPr>
              <w:t>minimis</w:t>
            </w:r>
            <w:proofErr w:type="spellEnd"/>
            <w:r w:rsidRPr="0087502F">
              <w:rPr>
                <w:rFonts w:ascii="Times New Roman" w:hAnsi="Times New Roman" w:cs="Times New Roman"/>
                <w:sz w:val="24"/>
                <w:szCs w:val="24"/>
              </w:rPr>
              <w:t xml:space="preserve"> atbalstam zvejniecības un akvakultūras </w:t>
            </w:r>
            <w:r w:rsidRPr="0087502F">
              <w:rPr>
                <w:rFonts w:ascii="Times New Roman" w:hAnsi="Times New Roman" w:cs="Times New Roman"/>
                <w:sz w:val="24"/>
                <w:szCs w:val="24"/>
              </w:rPr>
              <w:lastRenderedPageBreak/>
              <w:t>nozarē (Eiropas Savienības Oficiālais Vēstnesis, 2014. gada 28. jūnijs, Nr. L 190/45) (turpmāk - Komisijas regula Nr. 717/2014)</w:t>
            </w:r>
            <w:r>
              <w:rPr>
                <w:rFonts w:ascii="Times New Roman" w:hAnsi="Times New Roman" w:cs="Times New Roman"/>
                <w:sz w:val="24"/>
                <w:szCs w:val="24"/>
              </w:rPr>
              <w:t>.</w:t>
            </w:r>
          </w:p>
          <w:p w14:paraId="2725765B" w14:textId="61609AC5" w:rsidR="0087502F" w:rsidRPr="00893F92" w:rsidRDefault="0087502F" w:rsidP="009E1B92">
            <w:pPr>
              <w:spacing w:after="0" w:line="240" w:lineRule="auto"/>
              <w:jc w:val="both"/>
              <w:rPr>
                <w:rFonts w:ascii="Times New Roman" w:hAnsi="Times New Roman" w:cs="Times New Roman"/>
                <w:sz w:val="24"/>
                <w:szCs w:val="24"/>
              </w:rPr>
            </w:pPr>
            <w:r w:rsidRPr="0087502F">
              <w:rPr>
                <w:rFonts w:ascii="Times New Roman" w:hAnsi="Times New Roman" w:cs="Times New Roman"/>
                <w:sz w:val="24"/>
                <w:szCs w:val="24"/>
              </w:rPr>
              <w:t xml:space="preserve">Komisijas 2013. gada 18. decembra Regulu (ES) Nr. 1408/2013 par Līguma par Eiropas Savienības darbību 107. un 108. panta piemērošanu </w:t>
            </w:r>
            <w:proofErr w:type="spellStart"/>
            <w:r w:rsidRPr="00854D11">
              <w:rPr>
                <w:rFonts w:ascii="Times New Roman" w:hAnsi="Times New Roman" w:cs="Times New Roman"/>
                <w:i/>
                <w:sz w:val="24"/>
                <w:szCs w:val="24"/>
              </w:rPr>
              <w:t>de</w:t>
            </w:r>
            <w:proofErr w:type="spellEnd"/>
            <w:r w:rsidRPr="00854D11">
              <w:rPr>
                <w:rFonts w:ascii="Times New Roman" w:hAnsi="Times New Roman" w:cs="Times New Roman"/>
                <w:i/>
                <w:sz w:val="24"/>
                <w:szCs w:val="24"/>
              </w:rPr>
              <w:t xml:space="preserve"> </w:t>
            </w:r>
            <w:proofErr w:type="spellStart"/>
            <w:r w:rsidRPr="00854D11">
              <w:rPr>
                <w:rFonts w:ascii="Times New Roman" w:hAnsi="Times New Roman" w:cs="Times New Roman"/>
                <w:i/>
                <w:sz w:val="24"/>
                <w:szCs w:val="24"/>
              </w:rPr>
              <w:t>minimis</w:t>
            </w:r>
            <w:proofErr w:type="spellEnd"/>
            <w:r w:rsidRPr="0087502F">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p>
        </w:tc>
      </w:tr>
      <w:tr w:rsidR="00AB657E" w:rsidRPr="006D4479" w14:paraId="079DD1CD"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7A960081"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D74346D" w14:textId="42048DD5" w:rsidR="0087502F" w:rsidRDefault="0087502F" w:rsidP="008260C4">
            <w:pPr>
              <w:spacing w:after="0" w:line="240" w:lineRule="auto"/>
              <w:rPr>
                <w:rFonts w:ascii="Times New Roman" w:hAnsi="Times New Roman" w:cs="Times New Roman"/>
                <w:sz w:val="24"/>
                <w:szCs w:val="24"/>
              </w:rPr>
            </w:pPr>
            <w:r w:rsidRPr="00B81A6C">
              <w:rPr>
                <w:rFonts w:ascii="Times New Roman" w:hAnsi="Times New Roman" w:cs="Times New Roman"/>
                <w:sz w:val="24"/>
                <w:szCs w:val="24"/>
              </w:rPr>
              <w:t>Komisijas regula Nr.</w:t>
            </w:r>
            <w:r w:rsidR="00407CC6" w:rsidRPr="00B81A6C">
              <w:rPr>
                <w:rFonts w:ascii="Times New Roman" w:hAnsi="Times New Roman" w:cs="Times New Roman"/>
                <w:sz w:val="24"/>
                <w:szCs w:val="24"/>
              </w:rPr>
              <w:t>651/2014</w:t>
            </w:r>
          </w:p>
          <w:p w14:paraId="7DAF0F73" w14:textId="689F7CDC" w:rsidR="004A51B4" w:rsidRPr="00B81A6C" w:rsidRDefault="004A51B4" w:rsidP="008260C4">
            <w:pPr>
              <w:spacing w:after="0" w:line="240" w:lineRule="auto"/>
              <w:rPr>
                <w:rFonts w:ascii="Times New Roman" w:hAnsi="Times New Roman" w:cs="Times New Roman"/>
                <w:sz w:val="24"/>
                <w:szCs w:val="24"/>
              </w:rPr>
            </w:pPr>
            <w:r w:rsidRPr="00B81A6C">
              <w:rPr>
                <w:rFonts w:ascii="Times New Roman" w:hAnsi="Times New Roman" w:cs="Times New Roman"/>
                <w:sz w:val="24"/>
                <w:szCs w:val="24"/>
              </w:rPr>
              <w:t>Komisijas regula Nr.1407/2013</w:t>
            </w:r>
          </w:p>
          <w:p w14:paraId="7D78E5B5" w14:textId="77777777" w:rsidR="00407CC6" w:rsidRPr="00B81A6C" w:rsidRDefault="00407CC6" w:rsidP="008260C4">
            <w:pPr>
              <w:spacing w:after="0" w:line="240" w:lineRule="auto"/>
              <w:rPr>
                <w:rFonts w:ascii="Times New Roman" w:hAnsi="Times New Roman" w:cs="Times New Roman"/>
                <w:sz w:val="24"/>
                <w:szCs w:val="24"/>
              </w:rPr>
            </w:pPr>
            <w:r w:rsidRPr="00B81A6C">
              <w:rPr>
                <w:rFonts w:ascii="Times New Roman" w:hAnsi="Times New Roman" w:cs="Times New Roman"/>
                <w:sz w:val="24"/>
                <w:szCs w:val="24"/>
              </w:rPr>
              <w:t>Komisijas regula Nr.717/2014</w:t>
            </w:r>
          </w:p>
          <w:p w14:paraId="0C47A52B" w14:textId="4BE9784E" w:rsidR="00407CC6" w:rsidRPr="00B81A6C" w:rsidRDefault="00AB657E"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Komisijas regula Nr.1408/2013</w:t>
            </w:r>
          </w:p>
          <w:p w14:paraId="36F61B7A" w14:textId="77777777" w:rsidR="00907C4E" w:rsidRPr="00907C4E" w:rsidRDefault="00907C4E" w:rsidP="00907C4E">
            <w:pPr>
              <w:spacing w:after="0" w:line="240" w:lineRule="auto"/>
              <w:rPr>
                <w:rFonts w:ascii="Times New Roman" w:hAnsi="Times New Roman" w:cs="Times New Roman"/>
                <w:sz w:val="24"/>
                <w:szCs w:val="24"/>
              </w:rPr>
            </w:pPr>
          </w:p>
          <w:p w14:paraId="1A88FA74"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1B7DF868"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B657E" w:rsidRPr="008260C4" w14:paraId="2420697E"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3F3C145" w14:textId="30E104C5" w:rsidR="008260C4" w:rsidRPr="00AF7185" w:rsidRDefault="004A51B4"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regulas Nr.651/2014 </w:t>
            </w: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4.punkts</w:t>
            </w:r>
          </w:p>
        </w:tc>
        <w:tc>
          <w:tcPr>
            <w:tcW w:w="2455" w:type="dxa"/>
            <w:gridSpan w:val="3"/>
            <w:tcBorders>
              <w:top w:val="outset" w:sz="6" w:space="0" w:color="auto"/>
              <w:left w:val="outset" w:sz="6" w:space="0" w:color="auto"/>
              <w:bottom w:val="outset" w:sz="6" w:space="0" w:color="auto"/>
              <w:right w:val="outset" w:sz="6" w:space="0" w:color="auto"/>
            </w:tcBorders>
          </w:tcPr>
          <w:p w14:paraId="494A491C" w14:textId="3EAAAEEA" w:rsidR="008260C4" w:rsidRPr="00AF7185" w:rsidRDefault="004A51B4" w:rsidP="0058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B409F1" w:rsidRPr="00854D11">
              <w:rPr>
                <w:rFonts w:ascii="Times New Roman" w:hAnsi="Times New Roman" w:cs="Times New Roman"/>
                <w:sz w:val="24"/>
                <w:szCs w:val="24"/>
              </w:rPr>
              <w:t>1.</w:t>
            </w:r>
            <w:r w:rsidRPr="00854D11">
              <w:rPr>
                <w:rFonts w:ascii="Times New Roman" w:hAnsi="Times New Roman" w:cs="Times New Roman"/>
                <w:sz w:val="24"/>
                <w:szCs w:val="24"/>
              </w:rPr>
              <w:t>3</w:t>
            </w:r>
            <w:r w:rsidRPr="004A51B4">
              <w:rPr>
                <w:rFonts w:ascii="Times New Roman" w:hAnsi="Times New Roman" w:cs="Times New Roman"/>
                <w:sz w:val="24"/>
                <w:szCs w:val="24"/>
              </w:rPr>
              <w:t>.punk</w:t>
            </w:r>
            <w:r>
              <w:rPr>
                <w:rFonts w:ascii="Times New Roman" w:hAnsi="Times New Roman" w:cs="Times New Roman"/>
                <w:sz w:val="24"/>
                <w:szCs w:val="24"/>
              </w:rPr>
              <w:t>ts (ar ko</w:t>
            </w:r>
            <w:r w:rsidR="005808D4">
              <w:rPr>
                <w:rFonts w:ascii="Times New Roman" w:hAnsi="Times New Roman" w:cs="Times New Roman"/>
                <w:sz w:val="24"/>
                <w:szCs w:val="24"/>
              </w:rPr>
              <w:t xml:space="preserve"> </w:t>
            </w:r>
            <w:r w:rsidR="005808D4">
              <w:rPr>
                <w:rFonts w:ascii="Times New Roman" w:hAnsi="Times New Roman" w:cs="Times New Roman"/>
                <w:sz w:val="24"/>
                <w:szCs w:val="24"/>
              </w:rPr>
              <w:t>izsaka jaunā redakcijā</w:t>
            </w:r>
            <w:r w:rsidR="000F56F2">
              <w:rPr>
                <w:rFonts w:ascii="Times New Roman" w:hAnsi="Times New Roman" w:cs="Times New Roman"/>
                <w:sz w:val="24"/>
                <w:szCs w:val="24"/>
              </w:rPr>
              <w:t xml:space="preserve"> MK </w:t>
            </w:r>
            <w:r w:rsidR="005808D4">
              <w:rPr>
                <w:rFonts w:ascii="Times New Roman" w:hAnsi="Times New Roman" w:cs="Times New Roman"/>
                <w:sz w:val="24"/>
                <w:szCs w:val="24"/>
              </w:rPr>
              <w:lastRenderedPageBreak/>
              <w:t>noteikumu</w:t>
            </w:r>
            <w:r w:rsidRPr="004A51B4">
              <w:rPr>
                <w:rFonts w:ascii="Times New Roman" w:hAnsi="Times New Roman" w:cs="Times New Roman"/>
                <w:sz w:val="24"/>
                <w:szCs w:val="24"/>
              </w:rPr>
              <w:t xml:space="preserve"> Nr.258 </w:t>
            </w:r>
            <w:r>
              <w:rPr>
                <w:rFonts w:ascii="Times New Roman" w:hAnsi="Times New Roman" w:cs="Times New Roman"/>
                <w:sz w:val="24"/>
                <w:szCs w:val="24"/>
              </w:rPr>
              <w:t>4.1</w:t>
            </w:r>
            <w:r w:rsidRPr="004A51B4">
              <w:rPr>
                <w:rFonts w:ascii="Times New Roman" w:hAnsi="Times New Roman" w:cs="Times New Roman"/>
                <w:sz w:val="24"/>
                <w:szCs w:val="24"/>
              </w:rPr>
              <w:t>.apakšpunktu)</w:t>
            </w:r>
            <w:r w:rsidR="00AB657E">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05539551" w14:textId="77777777"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lastRenderedPageBreak/>
              <w:t>Vienība tiek ieviesta pilnībā.</w:t>
            </w:r>
          </w:p>
          <w:p w14:paraId="532D8707" w14:textId="7293EDB5" w:rsidR="008260C4" w:rsidRPr="00AF7185"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lastRenderedPageBreak/>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14A1F428" w14:textId="16DBE47C" w:rsidR="008260C4" w:rsidRPr="00AF7185" w:rsidRDefault="004A51B4" w:rsidP="008260C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lastRenderedPageBreak/>
              <w:t>Netiek paredzētas stingrākas prasības.</w:t>
            </w:r>
          </w:p>
        </w:tc>
      </w:tr>
      <w:tr w:rsidR="00AB657E" w:rsidRPr="008260C4" w14:paraId="3B4914C8"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3AC8B06" w14:textId="13C06378" w:rsidR="004A51B4" w:rsidRPr="00AF7185"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lastRenderedPageBreak/>
              <w:t>Komisij</w:t>
            </w:r>
            <w:r>
              <w:rPr>
                <w:rFonts w:ascii="Times New Roman" w:hAnsi="Times New Roman" w:cs="Times New Roman"/>
                <w:sz w:val="24"/>
                <w:szCs w:val="24"/>
              </w:rPr>
              <w:t xml:space="preserve">as regulas Nr.651/2014 </w:t>
            </w: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99</w:t>
            </w:r>
            <w:r w:rsidRPr="004A51B4">
              <w:rPr>
                <w:rFonts w:ascii="Times New Roman" w:hAnsi="Times New Roman" w:cs="Times New Roman"/>
                <w:sz w:val="24"/>
                <w:szCs w:val="24"/>
              </w:rPr>
              <w:t>.punkts</w:t>
            </w:r>
          </w:p>
        </w:tc>
        <w:tc>
          <w:tcPr>
            <w:tcW w:w="2455" w:type="dxa"/>
            <w:gridSpan w:val="3"/>
            <w:tcBorders>
              <w:top w:val="outset" w:sz="6" w:space="0" w:color="auto"/>
              <w:left w:val="outset" w:sz="6" w:space="0" w:color="auto"/>
              <w:bottom w:val="outset" w:sz="6" w:space="0" w:color="auto"/>
              <w:right w:val="outset" w:sz="6" w:space="0" w:color="auto"/>
            </w:tcBorders>
          </w:tcPr>
          <w:p w14:paraId="6D5E5319" w14:textId="5994DB37" w:rsidR="004A51B4" w:rsidRPr="004A51B4" w:rsidRDefault="004A51B4" w:rsidP="005808D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 xml:space="preserve">MK noteikumu projekta </w:t>
            </w:r>
            <w:r w:rsidR="00B409F1" w:rsidRPr="00854D11">
              <w:rPr>
                <w:rFonts w:ascii="Times New Roman" w:hAnsi="Times New Roman" w:cs="Times New Roman"/>
                <w:sz w:val="24"/>
                <w:szCs w:val="24"/>
              </w:rPr>
              <w:t>1.</w:t>
            </w:r>
            <w:r w:rsidRPr="00854D11">
              <w:rPr>
                <w:rFonts w:ascii="Times New Roman" w:hAnsi="Times New Roman" w:cs="Times New Roman"/>
                <w:sz w:val="24"/>
                <w:szCs w:val="24"/>
              </w:rPr>
              <w:t>3</w:t>
            </w:r>
            <w:r w:rsidRPr="004A51B4">
              <w:rPr>
                <w:rFonts w:ascii="Times New Roman" w:hAnsi="Times New Roman" w:cs="Times New Roman"/>
                <w:sz w:val="24"/>
                <w:szCs w:val="24"/>
              </w:rPr>
              <w:t>.punkts (ar ko</w:t>
            </w:r>
            <w:r w:rsidR="005808D4">
              <w:rPr>
                <w:rFonts w:ascii="Times New Roman" w:hAnsi="Times New Roman" w:cs="Times New Roman"/>
                <w:sz w:val="24"/>
                <w:szCs w:val="24"/>
              </w:rPr>
              <w:t xml:space="preserve"> </w:t>
            </w:r>
            <w:r w:rsidR="005808D4">
              <w:rPr>
                <w:rFonts w:ascii="Times New Roman" w:hAnsi="Times New Roman" w:cs="Times New Roman"/>
                <w:sz w:val="24"/>
                <w:szCs w:val="24"/>
              </w:rPr>
              <w:t>izsaka jaunā redakcijā</w:t>
            </w:r>
            <w:r w:rsidR="005808D4">
              <w:rPr>
                <w:rFonts w:ascii="Times New Roman" w:hAnsi="Times New Roman" w:cs="Times New Roman"/>
                <w:sz w:val="24"/>
                <w:szCs w:val="24"/>
              </w:rPr>
              <w:t xml:space="preserve"> MK noteikumu</w:t>
            </w:r>
            <w:r w:rsidRPr="004A51B4">
              <w:rPr>
                <w:rFonts w:ascii="Times New Roman" w:hAnsi="Times New Roman" w:cs="Times New Roman"/>
                <w:sz w:val="24"/>
                <w:szCs w:val="24"/>
              </w:rPr>
              <w:t xml:space="preserve"> Nr.258 4.1.apakšpunktu)</w:t>
            </w:r>
            <w:r w:rsidR="00AB657E">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19A12BB6" w14:textId="77777777"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Vienība tiek ieviesta pilnībā.</w:t>
            </w:r>
          </w:p>
          <w:p w14:paraId="56A6D1D4" w14:textId="571698E4"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58CC93A5" w14:textId="02328526"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Netiek paredzētas stingrākas prasības.</w:t>
            </w:r>
          </w:p>
        </w:tc>
      </w:tr>
      <w:tr w:rsidR="00AB657E" w:rsidRPr="008260C4" w14:paraId="38472345"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2A82F931" w:rsidR="004A51B4" w:rsidRPr="004A51B4" w:rsidRDefault="004A51B4" w:rsidP="004A51B4">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 xml:space="preserve">Komisijas regulas Nr.1407/2013 </w:t>
            </w:r>
            <w:proofErr w:type="gramStart"/>
            <w:r w:rsidRPr="004A51B4">
              <w:rPr>
                <w:rFonts w:ascii="Times New Roman" w:hAnsi="Times New Roman" w:cs="Times New Roman"/>
                <w:sz w:val="24"/>
                <w:szCs w:val="24"/>
              </w:rPr>
              <w:t>1.panta</w:t>
            </w:r>
            <w:proofErr w:type="gramEnd"/>
            <w:r w:rsidRPr="004A51B4">
              <w:rPr>
                <w:rFonts w:ascii="Times New Roman" w:hAnsi="Times New Roman" w:cs="Times New Roman"/>
                <w:sz w:val="24"/>
                <w:szCs w:val="24"/>
              </w:rPr>
              <w:t xml:space="preserve"> 1.punkts</w:t>
            </w:r>
          </w:p>
        </w:tc>
        <w:tc>
          <w:tcPr>
            <w:tcW w:w="2455" w:type="dxa"/>
            <w:gridSpan w:val="3"/>
            <w:tcBorders>
              <w:top w:val="outset" w:sz="6" w:space="0" w:color="auto"/>
              <w:left w:val="outset" w:sz="6" w:space="0" w:color="auto"/>
              <w:bottom w:val="outset" w:sz="6" w:space="0" w:color="auto"/>
              <w:right w:val="outset" w:sz="6" w:space="0" w:color="auto"/>
            </w:tcBorders>
          </w:tcPr>
          <w:p w14:paraId="626AF80E" w14:textId="459AB3C9" w:rsidR="004A51B4" w:rsidRPr="004A51B4" w:rsidRDefault="00AB657E" w:rsidP="00986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B409F1" w:rsidRPr="00854D11">
              <w:rPr>
                <w:rFonts w:ascii="Times New Roman" w:hAnsi="Times New Roman" w:cs="Times New Roman"/>
                <w:sz w:val="24"/>
                <w:szCs w:val="24"/>
              </w:rPr>
              <w:t>1.</w:t>
            </w:r>
            <w:r w:rsidR="007624F6">
              <w:rPr>
                <w:rFonts w:ascii="Times New Roman" w:hAnsi="Times New Roman" w:cs="Times New Roman"/>
                <w:sz w:val="24"/>
                <w:szCs w:val="24"/>
              </w:rPr>
              <w:t>7</w:t>
            </w:r>
            <w:r w:rsidR="004A51B4" w:rsidRPr="00854D11">
              <w:rPr>
                <w:rFonts w:ascii="Times New Roman" w:hAnsi="Times New Roman" w:cs="Times New Roman"/>
                <w:sz w:val="24"/>
                <w:szCs w:val="24"/>
              </w:rPr>
              <w:t>.</w:t>
            </w:r>
            <w:r w:rsidRPr="00854D11">
              <w:rPr>
                <w:rFonts w:ascii="Times New Roman" w:hAnsi="Times New Roman" w:cs="Times New Roman"/>
                <w:sz w:val="24"/>
                <w:szCs w:val="24"/>
              </w:rPr>
              <w:t xml:space="preserve"> un </w:t>
            </w:r>
            <w:r w:rsidR="00B409F1" w:rsidRPr="00854D11">
              <w:rPr>
                <w:rFonts w:ascii="Times New Roman" w:hAnsi="Times New Roman" w:cs="Times New Roman"/>
                <w:sz w:val="24"/>
                <w:szCs w:val="24"/>
              </w:rPr>
              <w:t>1.</w:t>
            </w:r>
            <w:r w:rsidR="00F7231C">
              <w:rPr>
                <w:rFonts w:ascii="Times New Roman" w:hAnsi="Times New Roman" w:cs="Times New Roman"/>
                <w:sz w:val="24"/>
                <w:szCs w:val="24"/>
              </w:rPr>
              <w:t>11</w:t>
            </w:r>
            <w:r>
              <w:rPr>
                <w:rFonts w:ascii="Times New Roman" w:hAnsi="Times New Roman" w:cs="Times New Roman"/>
                <w:sz w:val="24"/>
                <w:szCs w:val="24"/>
              </w:rPr>
              <w:t>.</w:t>
            </w:r>
            <w:r w:rsidR="004A51B4" w:rsidRPr="004A51B4">
              <w:rPr>
                <w:rFonts w:ascii="Times New Roman" w:hAnsi="Times New Roman" w:cs="Times New Roman"/>
                <w:sz w:val="24"/>
                <w:szCs w:val="24"/>
              </w:rPr>
              <w:t>punkts (ar ko</w:t>
            </w:r>
            <w:r>
              <w:rPr>
                <w:rFonts w:ascii="Times New Roman" w:hAnsi="Times New Roman" w:cs="Times New Roman"/>
                <w:sz w:val="24"/>
                <w:szCs w:val="24"/>
              </w:rPr>
              <w:t xml:space="preserve"> </w:t>
            </w:r>
            <w:r w:rsidR="00986205" w:rsidRPr="004A51B4">
              <w:rPr>
                <w:rFonts w:ascii="Times New Roman" w:hAnsi="Times New Roman" w:cs="Times New Roman"/>
                <w:sz w:val="24"/>
                <w:szCs w:val="24"/>
              </w:rPr>
              <w:t>MK</w:t>
            </w:r>
            <w:r w:rsidR="00986205">
              <w:rPr>
                <w:rFonts w:ascii="Times New Roman" w:hAnsi="Times New Roman" w:cs="Times New Roman"/>
                <w:sz w:val="24"/>
                <w:szCs w:val="24"/>
              </w:rPr>
              <w:t xml:space="preserve"> </w:t>
            </w:r>
            <w:r w:rsidR="00986205" w:rsidRPr="004A51B4">
              <w:rPr>
                <w:rFonts w:ascii="Times New Roman" w:hAnsi="Times New Roman" w:cs="Times New Roman"/>
                <w:sz w:val="24"/>
                <w:szCs w:val="24"/>
              </w:rPr>
              <w:t>noteikumu</w:t>
            </w:r>
            <w:r w:rsidR="00986205">
              <w:rPr>
                <w:rFonts w:ascii="Times New Roman" w:hAnsi="Times New Roman" w:cs="Times New Roman"/>
                <w:sz w:val="24"/>
                <w:szCs w:val="24"/>
              </w:rPr>
              <w:t>s</w:t>
            </w:r>
            <w:r w:rsidR="00986205" w:rsidRPr="004A51B4">
              <w:rPr>
                <w:rFonts w:ascii="Times New Roman" w:hAnsi="Times New Roman" w:cs="Times New Roman"/>
                <w:sz w:val="24"/>
                <w:szCs w:val="24"/>
              </w:rPr>
              <w:t xml:space="preserve"> Nr.258 </w:t>
            </w:r>
            <w:r w:rsidR="000F56F2">
              <w:rPr>
                <w:rFonts w:ascii="Times New Roman" w:hAnsi="Times New Roman" w:cs="Times New Roman"/>
                <w:sz w:val="24"/>
                <w:szCs w:val="24"/>
              </w:rPr>
              <w:t>izsaka jaunā redakcijā</w:t>
            </w:r>
            <w:r w:rsidR="004A51B4" w:rsidRPr="004A51B4">
              <w:rPr>
                <w:rFonts w:ascii="Times New Roman" w:hAnsi="Times New Roman" w:cs="Times New Roman"/>
                <w:sz w:val="24"/>
                <w:szCs w:val="24"/>
              </w:rPr>
              <w:t xml:space="preserve"> </w:t>
            </w:r>
            <w:r>
              <w:rPr>
                <w:rFonts w:ascii="Times New Roman" w:hAnsi="Times New Roman" w:cs="Times New Roman"/>
                <w:sz w:val="24"/>
                <w:szCs w:val="24"/>
              </w:rPr>
              <w:t xml:space="preserve">52.4. un </w:t>
            </w:r>
            <w:r w:rsidR="004A51B4" w:rsidRPr="004A51B4">
              <w:rPr>
                <w:rFonts w:ascii="Times New Roman" w:hAnsi="Times New Roman" w:cs="Times New Roman"/>
                <w:sz w:val="24"/>
                <w:szCs w:val="24"/>
              </w:rPr>
              <w:t>53.8.</w:t>
            </w:r>
            <w:r w:rsidR="000F56F2">
              <w:rPr>
                <w:rFonts w:ascii="Times New Roman" w:hAnsi="Times New Roman" w:cs="Times New Roman"/>
                <w:sz w:val="24"/>
                <w:szCs w:val="24"/>
              </w:rPr>
              <w:t xml:space="preserve"> </w:t>
            </w:r>
            <w:r w:rsidR="004A51B4" w:rsidRPr="004A51B4">
              <w:rPr>
                <w:rFonts w:ascii="Times New Roman" w:hAnsi="Times New Roman" w:cs="Times New Roman"/>
                <w:sz w:val="24"/>
                <w:szCs w:val="24"/>
              </w:rPr>
              <w:t>apakšpunktu)</w:t>
            </w:r>
            <w:r>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2FFF1474" w14:textId="77777777" w:rsidR="00AB657E" w:rsidRPr="00AB657E"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3CBB0A07" w14:textId="67C077F6" w:rsidR="004A51B4" w:rsidRPr="004A51B4"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6E7C7952" w14:textId="5D7D0A95" w:rsidR="004A51B4" w:rsidRPr="004A51B4" w:rsidRDefault="00AB657E" w:rsidP="004A51B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40FA369A"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A7BBAC7" w14:textId="77777777" w:rsidR="009B4385" w:rsidRPr="005C5E5B" w:rsidRDefault="009B4385" w:rsidP="003C0D09">
            <w:pPr>
              <w:spacing w:after="0" w:line="240" w:lineRule="auto"/>
              <w:rPr>
                <w:rFonts w:ascii="Times New Roman" w:hAnsi="Times New Roman" w:cs="Times New Roman"/>
                <w:sz w:val="24"/>
                <w:szCs w:val="24"/>
              </w:rPr>
            </w:pPr>
            <w:r w:rsidRPr="005C5E5B">
              <w:rPr>
                <w:rFonts w:ascii="Times New Roman" w:hAnsi="Times New Roman" w:cs="Times New Roman"/>
                <w:sz w:val="24"/>
                <w:szCs w:val="24"/>
              </w:rPr>
              <w:t xml:space="preserve">Komisijas regulas Nr.1407/2013 </w:t>
            </w:r>
            <w:proofErr w:type="gramStart"/>
            <w:r w:rsidRPr="005C5E5B">
              <w:rPr>
                <w:rFonts w:ascii="Times New Roman" w:hAnsi="Times New Roman" w:cs="Times New Roman"/>
                <w:sz w:val="24"/>
                <w:szCs w:val="24"/>
              </w:rPr>
              <w:t>2.panta</w:t>
            </w:r>
            <w:proofErr w:type="gramEnd"/>
            <w:r w:rsidRPr="005C5E5B">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47B91A04" w14:textId="6EC77C30" w:rsidR="009B4385" w:rsidRPr="005C5E5B" w:rsidRDefault="00AB657E" w:rsidP="0064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B409F1" w:rsidRPr="00854D11">
              <w:rPr>
                <w:rFonts w:ascii="Times New Roman" w:hAnsi="Times New Roman" w:cs="Times New Roman"/>
                <w:sz w:val="24"/>
                <w:szCs w:val="24"/>
              </w:rPr>
              <w:t>1.</w:t>
            </w:r>
            <w:r w:rsidR="00647011" w:rsidRPr="00854D11">
              <w:rPr>
                <w:rFonts w:ascii="Times New Roman" w:hAnsi="Times New Roman" w:cs="Times New Roman"/>
                <w:sz w:val="24"/>
                <w:szCs w:val="24"/>
              </w:rPr>
              <w:t>9</w:t>
            </w:r>
            <w:r w:rsidR="005C5E5B" w:rsidRPr="00854D11">
              <w:rPr>
                <w:rFonts w:ascii="Times New Roman" w:hAnsi="Times New Roman" w:cs="Times New Roman"/>
                <w:sz w:val="24"/>
                <w:szCs w:val="24"/>
              </w:rPr>
              <w:t>.</w:t>
            </w:r>
            <w:r w:rsidRPr="00854D11">
              <w:rPr>
                <w:rFonts w:ascii="Times New Roman" w:hAnsi="Times New Roman" w:cs="Times New Roman"/>
                <w:sz w:val="24"/>
                <w:szCs w:val="24"/>
              </w:rPr>
              <w:t xml:space="preserve"> un </w:t>
            </w:r>
            <w:r w:rsidR="00B409F1" w:rsidRPr="00854D11">
              <w:rPr>
                <w:rFonts w:ascii="Times New Roman" w:hAnsi="Times New Roman" w:cs="Times New Roman"/>
                <w:sz w:val="24"/>
                <w:szCs w:val="24"/>
              </w:rPr>
              <w:t>1.</w:t>
            </w:r>
            <w:r w:rsidR="00F7231C">
              <w:rPr>
                <w:rFonts w:ascii="Times New Roman" w:hAnsi="Times New Roman" w:cs="Times New Roman"/>
                <w:sz w:val="24"/>
                <w:szCs w:val="24"/>
              </w:rPr>
              <w:t>11</w:t>
            </w:r>
            <w:r>
              <w:rPr>
                <w:rFonts w:ascii="Times New Roman" w:hAnsi="Times New Roman" w:cs="Times New Roman"/>
                <w:sz w:val="24"/>
                <w:szCs w:val="24"/>
              </w:rPr>
              <w:t>.</w:t>
            </w:r>
            <w:r w:rsidR="005C5E5B" w:rsidRPr="005C5E5B">
              <w:rPr>
                <w:rFonts w:ascii="Times New Roman" w:hAnsi="Times New Roman" w:cs="Times New Roman"/>
                <w:sz w:val="24"/>
                <w:szCs w:val="24"/>
              </w:rPr>
              <w:t xml:space="preserve">punkts (ar ko </w:t>
            </w:r>
            <w:r>
              <w:rPr>
                <w:rFonts w:ascii="Times New Roman" w:hAnsi="Times New Roman" w:cs="Times New Roman"/>
                <w:sz w:val="24"/>
                <w:szCs w:val="24"/>
              </w:rPr>
              <w:t xml:space="preserve">papildina </w:t>
            </w:r>
            <w:r w:rsidR="005C5E5B" w:rsidRPr="005C5E5B">
              <w:rPr>
                <w:rFonts w:ascii="Times New Roman" w:hAnsi="Times New Roman" w:cs="Times New Roman"/>
                <w:sz w:val="24"/>
                <w:szCs w:val="24"/>
              </w:rPr>
              <w:t>MK noteikumu</w:t>
            </w:r>
            <w:r>
              <w:rPr>
                <w:rFonts w:ascii="Times New Roman" w:hAnsi="Times New Roman" w:cs="Times New Roman"/>
                <w:sz w:val="24"/>
                <w:szCs w:val="24"/>
              </w:rPr>
              <w:t>s</w:t>
            </w:r>
            <w:r w:rsidR="005C5E5B" w:rsidRPr="005C5E5B">
              <w:rPr>
                <w:rFonts w:ascii="Times New Roman" w:hAnsi="Times New Roman" w:cs="Times New Roman"/>
                <w:sz w:val="24"/>
                <w:szCs w:val="24"/>
              </w:rPr>
              <w:t xml:space="preserve"> Nr.258 </w:t>
            </w:r>
            <w:r>
              <w:rPr>
                <w:rFonts w:ascii="Times New Roman" w:hAnsi="Times New Roman" w:cs="Times New Roman"/>
                <w:sz w:val="24"/>
                <w:szCs w:val="24"/>
              </w:rPr>
              <w:t xml:space="preserve">ar 52.9.apakšpunktu un izsaka jaunā redakcijā </w:t>
            </w:r>
            <w:r w:rsidR="005C5E5B" w:rsidRPr="005C5E5B">
              <w:rPr>
                <w:rFonts w:ascii="Times New Roman" w:hAnsi="Times New Roman" w:cs="Times New Roman"/>
                <w:sz w:val="24"/>
                <w:szCs w:val="24"/>
              </w:rPr>
              <w:t>53.7.apakšpunktu)</w:t>
            </w:r>
            <w:r>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2327EE5C" w14:textId="77777777" w:rsidR="009B4385" w:rsidRPr="005C5E5B" w:rsidRDefault="009B4385" w:rsidP="003C0D09">
            <w:pPr>
              <w:spacing w:after="0" w:line="240" w:lineRule="auto"/>
              <w:rPr>
                <w:rFonts w:ascii="Times New Roman" w:hAnsi="Times New Roman" w:cs="Times New Roman"/>
                <w:sz w:val="24"/>
                <w:szCs w:val="24"/>
              </w:rPr>
            </w:pPr>
            <w:r w:rsidRPr="005C5E5B">
              <w:rPr>
                <w:rFonts w:ascii="Times New Roman" w:hAnsi="Times New Roman" w:cs="Times New Roman"/>
                <w:sz w:val="24"/>
                <w:szCs w:val="24"/>
              </w:rPr>
              <w:t>Vienība tiek ieviesta pilnībā.</w:t>
            </w:r>
          </w:p>
          <w:p w14:paraId="4DF01045" w14:textId="77777777" w:rsidR="009B4385" w:rsidRPr="005C5E5B" w:rsidRDefault="009B4385" w:rsidP="003C0D09">
            <w:pPr>
              <w:spacing w:after="0" w:line="240" w:lineRule="auto"/>
              <w:rPr>
                <w:rFonts w:ascii="Times New Roman" w:hAnsi="Times New Roman" w:cs="Times New Roman"/>
                <w:sz w:val="24"/>
                <w:szCs w:val="24"/>
              </w:rPr>
            </w:pPr>
            <w:r w:rsidRPr="005C5E5B">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0DAD0089" w14:textId="77777777" w:rsidR="009B4385" w:rsidRPr="005C5E5B" w:rsidRDefault="009B4385" w:rsidP="003C0D09">
            <w:pPr>
              <w:spacing w:after="0" w:line="240" w:lineRule="auto"/>
              <w:rPr>
                <w:rFonts w:ascii="Times New Roman" w:hAnsi="Times New Roman" w:cs="Times New Roman"/>
                <w:sz w:val="24"/>
                <w:szCs w:val="24"/>
              </w:rPr>
            </w:pPr>
            <w:r w:rsidRPr="005C5E5B">
              <w:rPr>
                <w:rFonts w:ascii="Times New Roman" w:hAnsi="Times New Roman" w:cs="Times New Roman"/>
                <w:sz w:val="24"/>
                <w:szCs w:val="24"/>
              </w:rPr>
              <w:t>Netiek paredzētas stingrākas prasības.</w:t>
            </w:r>
          </w:p>
        </w:tc>
      </w:tr>
      <w:tr w:rsidR="00AB657E" w:rsidRPr="008260C4" w14:paraId="011A77D3"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A0D7993" w14:textId="77777777" w:rsidR="008260C4" w:rsidRPr="008806F3" w:rsidRDefault="008260C4" w:rsidP="008260C4">
            <w:pPr>
              <w:spacing w:after="0" w:line="240" w:lineRule="auto"/>
              <w:rPr>
                <w:rFonts w:ascii="Times New Roman" w:hAnsi="Times New Roman" w:cs="Times New Roman"/>
                <w:sz w:val="24"/>
                <w:szCs w:val="24"/>
              </w:rPr>
            </w:pPr>
            <w:r w:rsidRPr="008806F3">
              <w:rPr>
                <w:rFonts w:ascii="Times New Roman" w:hAnsi="Times New Roman" w:cs="Times New Roman"/>
                <w:sz w:val="24"/>
                <w:szCs w:val="24"/>
              </w:rPr>
              <w:t xml:space="preserve">Komisijas regulas Nr.1407/2013 </w:t>
            </w:r>
            <w:proofErr w:type="gramStart"/>
            <w:r w:rsidRPr="008806F3">
              <w:rPr>
                <w:rFonts w:ascii="Times New Roman" w:hAnsi="Times New Roman" w:cs="Times New Roman"/>
                <w:sz w:val="24"/>
                <w:szCs w:val="24"/>
              </w:rPr>
              <w:t>3.panta</w:t>
            </w:r>
            <w:proofErr w:type="gramEnd"/>
            <w:r w:rsidRPr="008806F3">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51FDEF1E" w14:textId="3221FA0A" w:rsidR="008260C4" w:rsidRPr="008806F3" w:rsidRDefault="00AB657E" w:rsidP="00DC1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DC17EE" w:rsidRPr="00854D11">
              <w:rPr>
                <w:rFonts w:ascii="Times New Roman" w:hAnsi="Times New Roman" w:cs="Times New Roman"/>
                <w:sz w:val="24"/>
                <w:szCs w:val="24"/>
              </w:rPr>
              <w:t>1.</w:t>
            </w:r>
            <w:r w:rsidR="00DC1AF4" w:rsidRPr="00854D11">
              <w:rPr>
                <w:rFonts w:ascii="Times New Roman" w:hAnsi="Times New Roman" w:cs="Times New Roman"/>
                <w:sz w:val="24"/>
                <w:szCs w:val="24"/>
              </w:rPr>
              <w:t>9</w:t>
            </w:r>
            <w:r w:rsidR="008806F3" w:rsidRPr="00854D11">
              <w:rPr>
                <w:rFonts w:ascii="Times New Roman" w:hAnsi="Times New Roman" w:cs="Times New Roman"/>
                <w:sz w:val="24"/>
                <w:szCs w:val="24"/>
              </w:rPr>
              <w:t>.</w:t>
            </w:r>
            <w:r w:rsidRPr="00854D11">
              <w:rPr>
                <w:rFonts w:ascii="Times New Roman" w:hAnsi="Times New Roman" w:cs="Times New Roman"/>
                <w:sz w:val="24"/>
                <w:szCs w:val="24"/>
              </w:rPr>
              <w:t xml:space="preserve"> un </w:t>
            </w:r>
            <w:r w:rsidR="00DC17EE" w:rsidRPr="00854D11">
              <w:rPr>
                <w:rFonts w:ascii="Times New Roman" w:hAnsi="Times New Roman" w:cs="Times New Roman"/>
                <w:sz w:val="24"/>
                <w:szCs w:val="24"/>
              </w:rPr>
              <w:t>1.</w:t>
            </w:r>
            <w:r w:rsidR="00F7231C">
              <w:rPr>
                <w:rFonts w:ascii="Times New Roman" w:hAnsi="Times New Roman" w:cs="Times New Roman"/>
                <w:sz w:val="24"/>
                <w:szCs w:val="24"/>
              </w:rPr>
              <w:t>11</w:t>
            </w:r>
            <w:r>
              <w:rPr>
                <w:rFonts w:ascii="Times New Roman" w:hAnsi="Times New Roman" w:cs="Times New Roman"/>
                <w:sz w:val="24"/>
                <w:szCs w:val="24"/>
              </w:rPr>
              <w:t>.</w:t>
            </w:r>
            <w:r w:rsidR="008806F3" w:rsidRPr="008806F3">
              <w:rPr>
                <w:rFonts w:ascii="Times New Roman" w:hAnsi="Times New Roman" w:cs="Times New Roman"/>
                <w:sz w:val="24"/>
                <w:szCs w:val="24"/>
              </w:rPr>
              <w:t xml:space="preserve">punkts (ar ko </w:t>
            </w:r>
            <w:r>
              <w:rPr>
                <w:rFonts w:ascii="Times New Roman" w:hAnsi="Times New Roman" w:cs="Times New Roman"/>
                <w:sz w:val="24"/>
                <w:szCs w:val="24"/>
              </w:rPr>
              <w:t xml:space="preserve">papildina </w:t>
            </w:r>
            <w:r w:rsidR="008806F3" w:rsidRPr="008806F3">
              <w:rPr>
                <w:rFonts w:ascii="Times New Roman" w:hAnsi="Times New Roman" w:cs="Times New Roman"/>
                <w:sz w:val="24"/>
                <w:szCs w:val="24"/>
              </w:rPr>
              <w:t>MK noteikumu</w:t>
            </w:r>
            <w:r>
              <w:rPr>
                <w:rFonts w:ascii="Times New Roman" w:hAnsi="Times New Roman" w:cs="Times New Roman"/>
                <w:sz w:val="24"/>
                <w:szCs w:val="24"/>
              </w:rPr>
              <w:t>s</w:t>
            </w:r>
            <w:r w:rsidR="008806F3" w:rsidRPr="008806F3">
              <w:rPr>
                <w:rFonts w:ascii="Times New Roman" w:hAnsi="Times New Roman" w:cs="Times New Roman"/>
                <w:sz w:val="24"/>
                <w:szCs w:val="24"/>
              </w:rPr>
              <w:t xml:space="preserve"> Nr.258 </w:t>
            </w:r>
            <w:r>
              <w:rPr>
                <w:rFonts w:ascii="Times New Roman" w:hAnsi="Times New Roman" w:cs="Times New Roman"/>
                <w:sz w:val="24"/>
                <w:szCs w:val="24"/>
              </w:rPr>
              <w:t xml:space="preserve">ar 52.9.apakšpunktu un izsaka jaunā redakcijā </w:t>
            </w:r>
            <w:r w:rsidR="008806F3" w:rsidRPr="008806F3">
              <w:rPr>
                <w:rFonts w:ascii="Times New Roman" w:hAnsi="Times New Roman" w:cs="Times New Roman"/>
                <w:sz w:val="24"/>
                <w:szCs w:val="24"/>
              </w:rPr>
              <w:t>53.7.apakšpunktu)</w:t>
            </w:r>
            <w:r>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15CB2F43" w14:textId="77777777" w:rsidR="008260C4" w:rsidRPr="008806F3" w:rsidRDefault="008260C4" w:rsidP="008260C4">
            <w:pPr>
              <w:spacing w:after="0" w:line="240" w:lineRule="auto"/>
              <w:rPr>
                <w:rFonts w:ascii="Times New Roman" w:hAnsi="Times New Roman" w:cs="Times New Roman"/>
                <w:sz w:val="24"/>
                <w:szCs w:val="24"/>
              </w:rPr>
            </w:pPr>
            <w:r w:rsidRPr="008806F3">
              <w:rPr>
                <w:rFonts w:ascii="Times New Roman" w:hAnsi="Times New Roman" w:cs="Times New Roman"/>
                <w:sz w:val="24"/>
                <w:szCs w:val="24"/>
              </w:rPr>
              <w:t>Vienība tiek ieviesta pilnībā.</w:t>
            </w:r>
          </w:p>
          <w:p w14:paraId="2EE0DD41" w14:textId="77777777" w:rsidR="008260C4" w:rsidRPr="008806F3" w:rsidRDefault="008260C4" w:rsidP="008260C4">
            <w:pPr>
              <w:spacing w:after="0" w:line="240" w:lineRule="auto"/>
              <w:rPr>
                <w:rFonts w:ascii="Times New Roman" w:hAnsi="Times New Roman" w:cs="Times New Roman"/>
                <w:sz w:val="24"/>
                <w:szCs w:val="24"/>
              </w:rPr>
            </w:pPr>
            <w:r w:rsidRPr="008806F3">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0394DE22" w14:textId="77777777" w:rsidR="008260C4" w:rsidRPr="008806F3" w:rsidRDefault="008260C4" w:rsidP="008260C4">
            <w:pPr>
              <w:spacing w:after="0" w:line="240" w:lineRule="auto"/>
              <w:rPr>
                <w:rFonts w:ascii="Times New Roman" w:hAnsi="Times New Roman" w:cs="Times New Roman"/>
                <w:sz w:val="24"/>
                <w:szCs w:val="24"/>
              </w:rPr>
            </w:pPr>
            <w:r w:rsidRPr="008806F3">
              <w:rPr>
                <w:rFonts w:ascii="Times New Roman" w:hAnsi="Times New Roman" w:cs="Times New Roman"/>
                <w:sz w:val="24"/>
                <w:szCs w:val="24"/>
              </w:rPr>
              <w:t>Netiek paredzētas stingrākas prasības.</w:t>
            </w:r>
          </w:p>
        </w:tc>
      </w:tr>
      <w:tr w:rsidR="00AB657E" w:rsidRPr="008260C4" w14:paraId="0317B7D6"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265D488" w14:textId="154858F0" w:rsidR="00AB657E" w:rsidRPr="008806F3" w:rsidRDefault="00AB657E"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regulas Nr.717/2014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67971EB9" w14:textId="5CE8859D" w:rsidR="00AB657E" w:rsidRDefault="00AB657E" w:rsidP="00DC1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DC17EE" w:rsidRPr="00854D11">
              <w:rPr>
                <w:rFonts w:ascii="Times New Roman" w:hAnsi="Times New Roman" w:cs="Times New Roman"/>
                <w:sz w:val="24"/>
                <w:szCs w:val="24"/>
              </w:rPr>
              <w:t>1.</w:t>
            </w:r>
            <w:r w:rsidR="00DC1AF4" w:rsidRPr="00854D11">
              <w:rPr>
                <w:rFonts w:ascii="Times New Roman" w:hAnsi="Times New Roman" w:cs="Times New Roman"/>
                <w:sz w:val="24"/>
                <w:szCs w:val="24"/>
              </w:rPr>
              <w:t>9</w:t>
            </w:r>
            <w:r>
              <w:rPr>
                <w:rFonts w:ascii="Times New Roman" w:hAnsi="Times New Roman" w:cs="Times New Roman"/>
                <w:sz w:val="24"/>
                <w:szCs w:val="24"/>
              </w:rPr>
              <w:t>.</w:t>
            </w:r>
            <w:r w:rsidRPr="00AB657E">
              <w:rPr>
                <w:rFonts w:ascii="Times New Roman" w:hAnsi="Times New Roman" w:cs="Times New Roman"/>
                <w:sz w:val="24"/>
                <w:szCs w:val="24"/>
              </w:rPr>
              <w:t>punkts (ar ko papildina MK noteikumus Nr.258 ar 52.9.apakšpunktu</w:t>
            </w:r>
            <w:r>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5FC8A5C4" w14:textId="77777777" w:rsidR="00AB657E" w:rsidRPr="00AB657E"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2B829DB0" w14:textId="2F8C453E" w:rsidR="00AB657E" w:rsidRPr="008806F3"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4CE833CA" w14:textId="52602F94" w:rsidR="00AB657E" w:rsidRPr="008806F3" w:rsidRDefault="00AB657E" w:rsidP="008260C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38063FD1"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2B9EA19" w14:textId="67265521" w:rsidR="00AB657E" w:rsidRDefault="00AB657E"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regulas Nr.1408/2013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6156BC1D" w14:textId="5F5AB252" w:rsidR="00AB657E" w:rsidRDefault="00AB657E" w:rsidP="005157AA">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 xml:space="preserve">MK noteikumu projekta </w:t>
            </w:r>
            <w:r w:rsidR="00DC17EE" w:rsidRPr="00854D11">
              <w:rPr>
                <w:rFonts w:ascii="Times New Roman" w:hAnsi="Times New Roman" w:cs="Times New Roman"/>
                <w:sz w:val="24"/>
                <w:szCs w:val="24"/>
              </w:rPr>
              <w:t>1.</w:t>
            </w:r>
            <w:r w:rsidR="005157AA" w:rsidRPr="00854D11">
              <w:rPr>
                <w:rFonts w:ascii="Times New Roman" w:hAnsi="Times New Roman" w:cs="Times New Roman"/>
                <w:sz w:val="24"/>
                <w:szCs w:val="24"/>
              </w:rPr>
              <w:t>9</w:t>
            </w:r>
            <w:r w:rsidRPr="00AB657E">
              <w:rPr>
                <w:rFonts w:ascii="Times New Roman" w:hAnsi="Times New Roman" w:cs="Times New Roman"/>
                <w:sz w:val="24"/>
                <w:szCs w:val="24"/>
              </w:rPr>
              <w:t>.punkts (ar ko papildina MK noteikumus Nr.258 ar 52.9.apakšpunktu)</w:t>
            </w:r>
            <w:r>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2377AAC1" w14:textId="77777777" w:rsidR="00AB657E" w:rsidRPr="00AB657E"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577B8843" w14:textId="40DE7AD7" w:rsidR="00AB657E" w:rsidRPr="00AB657E"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 NVA (projekta ieviesējs).</w:t>
            </w:r>
          </w:p>
        </w:tc>
        <w:tc>
          <w:tcPr>
            <w:tcW w:w="2240" w:type="dxa"/>
            <w:tcBorders>
              <w:top w:val="outset" w:sz="6" w:space="0" w:color="auto"/>
              <w:left w:val="outset" w:sz="6" w:space="0" w:color="auto"/>
              <w:bottom w:val="outset" w:sz="6" w:space="0" w:color="auto"/>
              <w:right w:val="outset" w:sz="6" w:space="0" w:color="auto"/>
            </w:tcBorders>
          </w:tcPr>
          <w:p w14:paraId="3927697A" w14:textId="125CA936" w:rsidR="00AB657E" w:rsidRPr="00AB657E" w:rsidRDefault="00AB657E" w:rsidP="008260C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43386240"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260C4" w:rsidRPr="000C77F5" w:rsidRDefault="008260C4" w:rsidP="008260C4">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40CE8795"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70845FD6"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 xml:space="preserve">valstīm atbilstoši </w:t>
            </w:r>
            <w:r w:rsidRPr="000C77F5">
              <w:rPr>
                <w:rFonts w:ascii="Times New Roman" w:hAnsi="Times New Roman" w:cs="Times New Roman"/>
                <w:sz w:val="24"/>
                <w:szCs w:val="24"/>
              </w:rPr>
              <w:lastRenderedPageBreak/>
              <w:t>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MK noteikumu projekts šo jomu neskar.</w:t>
            </w:r>
          </w:p>
        </w:tc>
      </w:tr>
      <w:tr w:rsidR="00AB657E" w:rsidRPr="008260C4" w14:paraId="3EF77A1B"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45FEE979"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02B8AC86"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AB657E" w:rsidRPr="000D7810" w14:paraId="4B005281"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6C7BDB0"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4903E669"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0D7810" w14:paraId="27D9C5FF"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8260C4" w14:paraId="4E5883B5" w14:textId="77777777" w:rsidTr="000C77F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DC2C699" w14:textId="77777777" w:rsidR="00CC1A56" w:rsidRDefault="00416790" w:rsidP="00416790">
            <w:pPr>
              <w:shd w:val="clear" w:color="auto" w:fill="FFFFFF"/>
              <w:spacing w:after="0" w:line="240" w:lineRule="auto"/>
              <w:ind w:left="169" w:right="83"/>
              <w:jc w:val="both"/>
              <w:rPr>
                <w:rFonts w:ascii="Times New Roman" w:hAnsi="Times New Roman" w:cs="Times New Roman"/>
                <w:sz w:val="24"/>
                <w:szCs w:val="24"/>
              </w:rPr>
            </w:pPr>
            <w:bookmarkStart w:id="2" w:name="p61"/>
            <w:bookmarkEnd w:id="2"/>
            <w:r w:rsidRPr="002874DE">
              <w:rPr>
                <w:rFonts w:ascii="Times New Roman" w:hAnsi="Times New Roman" w:cs="Times New Roman"/>
                <w:sz w:val="24"/>
                <w:szCs w:val="24"/>
              </w:rPr>
              <w:t>Sabiedrības līdzdalība nebija nepieciešama, jo</w:t>
            </w:r>
            <w:r w:rsidR="00AB23D6" w:rsidRPr="00AB23D6">
              <w:rPr>
                <w:rFonts w:ascii="Times New Roman" w:hAnsi="Times New Roman" w:cs="Times New Roman"/>
                <w:sz w:val="24"/>
                <w:szCs w:val="24"/>
              </w:rPr>
              <w:t xml:space="preserve"> 1.4.1</w:t>
            </w:r>
            <w:r>
              <w:rPr>
                <w:rFonts w:ascii="Times New Roman" w:hAnsi="Times New Roman" w:cs="Times New Roman"/>
                <w:sz w:val="24"/>
                <w:szCs w:val="24"/>
              </w:rPr>
              <w:t>.1.2.apakšaktivitāte</w:t>
            </w:r>
            <w:r w:rsidR="00AB23D6" w:rsidRPr="00AB23D6">
              <w:rPr>
                <w:rFonts w:ascii="Times New Roman" w:hAnsi="Times New Roman" w:cs="Times New Roman"/>
                <w:sz w:val="24"/>
                <w:szCs w:val="24"/>
              </w:rPr>
              <w:t xml:space="preserve"> </w:t>
            </w:r>
            <w:r w:rsidRPr="002874DE">
              <w:rPr>
                <w:rFonts w:ascii="Times New Roman" w:hAnsi="Times New Roman" w:cs="Times New Roman"/>
                <w:sz w:val="24"/>
                <w:szCs w:val="24"/>
              </w:rPr>
              <w:t>tiek īstenotas ierobežotas projektu iesniegumu atlases veidā un t</w:t>
            </w:r>
            <w:r>
              <w:rPr>
                <w:rFonts w:ascii="Times New Roman" w:hAnsi="Times New Roman" w:cs="Times New Roman"/>
                <w:sz w:val="24"/>
                <w:szCs w:val="24"/>
              </w:rPr>
              <w:t>ās</w:t>
            </w:r>
            <w:r w:rsidRPr="002874DE">
              <w:rPr>
                <w:rFonts w:ascii="Times New Roman" w:hAnsi="Times New Roman" w:cs="Times New Roman"/>
                <w:sz w:val="24"/>
                <w:szCs w:val="24"/>
              </w:rPr>
              <w:t xml:space="preserve"> ietvaros jau ir noslēgt</w:t>
            </w:r>
            <w:r>
              <w:rPr>
                <w:rFonts w:ascii="Times New Roman" w:hAnsi="Times New Roman" w:cs="Times New Roman"/>
                <w:sz w:val="24"/>
                <w:szCs w:val="24"/>
              </w:rPr>
              <w:t>s</w:t>
            </w:r>
            <w:r w:rsidRPr="002874DE">
              <w:rPr>
                <w:rFonts w:ascii="Times New Roman" w:hAnsi="Times New Roman" w:cs="Times New Roman"/>
                <w:sz w:val="24"/>
                <w:szCs w:val="24"/>
              </w:rPr>
              <w:t xml:space="preserve"> līgum</w:t>
            </w:r>
            <w:r>
              <w:rPr>
                <w:rFonts w:ascii="Times New Roman" w:hAnsi="Times New Roman" w:cs="Times New Roman"/>
                <w:sz w:val="24"/>
                <w:szCs w:val="24"/>
              </w:rPr>
              <w:t>s</w:t>
            </w:r>
            <w:r w:rsidRPr="002874DE">
              <w:rPr>
                <w:rFonts w:ascii="Times New Roman" w:hAnsi="Times New Roman" w:cs="Times New Roman"/>
                <w:sz w:val="24"/>
                <w:szCs w:val="24"/>
              </w:rPr>
              <w:t xml:space="preserve"> par projektu īstenošanu</w:t>
            </w:r>
            <w:r w:rsidR="00AB23D6" w:rsidRPr="00AB23D6">
              <w:rPr>
                <w:rFonts w:ascii="Times New Roman" w:hAnsi="Times New Roman" w:cs="Times New Roman"/>
                <w:sz w:val="24"/>
                <w:szCs w:val="24"/>
              </w:rPr>
              <w:t>.</w:t>
            </w:r>
          </w:p>
          <w:p w14:paraId="4449B439" w14:textId="77777777" w:rsidR="00BE3615" w:rsidRPr="00DD49B6" w:rsidRDefault="00E31FAF" w:rsidP="00E31FAF">
            <w:pPr>
              <w:shd w:val="clear" w:color="auto" w:fill="FFFFFF"/>
              <w:spacing w:after="0" w:line="240" w:lineRule="auto"/>
              <w:ind w:left="169" w:right="83"/>
              <w:jc w:val="both"/>
              <w:rPr>
                <w:rFonts w:ascii="Times New Roman" w:hAnsi="Times New Roman" w:cs="Times New Roman"/>
                <w:sz w:val="24"/>
                <w:szCs w:val="24"/>
                <w:lang w:eastAsia="lv-LV"/>
              </w:rPr>
            </w:pPr>
            <w:r>
              <w:rPr>
                <w:rFonts w:ascii="Times New Roman" w:hAnsi="Times New Roman" w:cs="Times New Roman"/>
                <w:sz w:val="24"/>
                <w:szCs w:val="24"/>
              </w:rPr>
              <w:t xml:space="preserve">Rosināto grozījumu ietekme uz sabiedrību būs pozitīva, jo bijušajiem </w:t>
            </w:r>
            <w:r w:rsidRPr="00E13C41">
              <w:rPr>
                <w:rFonts w:ascii="Times New Roman" w:hAnsi="Times New Roman" w:cs="Times New Roman"/>
                <w:sz w:val="24"/>
                <w:szCs w:val="24"/>
              </w:rPr>
              <w:t>AS „Liepājas Metalurgs”</w:t>
            </w:r>
            <w:r>
              <w:rPr>
                <w:rFonts w:ascii="Times New Roman" w:hAnsi="Times New Roman" w:cs="Times New Roman"/>
                <w:sz w:val="24"/>
                <w:szCs w:val="24"/>
              </w:rPr>
              <w:t xml:space="preserve"> darbiniekiem tiks sniegta iespēja piedalīties atbalstītās nodarbinātības pasākumā, gūstot finansiālu atbalstu.</w:t>
            </w:r>
          </w:p>
        </w:tc>
      </w:tr>
      <w:tr w:rsidR="00CC1A56" w:rsidRPr="00DD49B6" w14:paraId="6BD80B7C" w14:textId="77777777" w:rsidTr="007D385B">
        <w:trPr>
          <w:trHeight w:val="339"/>
          <w:jc w:val="center"/>
        </w:trPr>
        <w:tc>
          <w:tcPr>
            <w:tcW w:w="476" w:type="dxa"/>
          </w:tcPr>
          <w:p w14:paraId="71D21C6B"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21F269F8" w14:textId="77777777" w:rsidR="00CC1A56" w:rsidRPr="00DD49B6" w:rsidRDefault="00514DDD" w:rsidP="00B10319">
            <w:pPr>
              <w:shd w:val="clear" w:color="auto" w:fill="FFFFFF"/>
              <w:spacing w:after="0" w:line="240" w:lineRule="auto"/>
              <w:ind w:left="169"/>
              <w:jc w:val="both"/>
              <w:rPr>
                <w:rFonts w:ascii="Times New Roman" w:hAnsi="Times New Roman" w:cs="Times New Roman"/>
                <w:sz w:val="24"/>
                <w:szCs w:val="24"/>
                <w:lang w:eastAsia="lv-LV"/>
              </w:rPr>
            </w:pPr>
            <w:bookmarkStart w:id="3" w:name="p62"/>
            <w:bookmarkEnd w:id="3"/>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6301ACB1" w14:textId="77777777" w:rsidTr="007D385B">
        <w:trPr>
          <w:trHeight w:val="476"/>
          <w:jc w:val="center"/>
        </w:trPr>
        <w:tc>
          <w:tcPr>
            <w:tcW w:w="476" w:type="dxa"/>
          </w:tcPr>
          <w:p w14:paraId="5A3D7D52"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03FD9493"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77777777" w:rsidR="00CC1A56" w:rsidRPr="00DD49B6" w:rsidRDefault="00514DDD" w:rsidP="00B10319">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64152457" w14:textId="77777777" w:rsidTr="007D385B">
        <w:trPr>
          <w:trHeight w:val="476"/>
          <w:jc w:val="center"/>
        </w:trPr>
        <w:tc>
          <w:tcPr>
            <w:tcW w:w="476" w:type="dxa"/>
          </w:tcPr>
          <w:p w14:paraId="524AF83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77777777" w:rsidR="00CC1A56" w:rsidRPr="00DD49B6" w:rsidRDefault="006E3024" w:rsidP="001F5194">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6E3024">
              <w:rPr>
                <w:rFonts w:ascii="Times New Roman" w:hAnsi="Times New Roman" w:cs="Times New Roman"/>
                <w:sz w:val="24"/>
                <w:szCs w:val="24"/>
              </w:rPr>
              <w:t xml:space="preserve">Nodarbinātības valsts </w:t>
            </w:r>
            <w:r w:rsidRPr="004001DB">
              <w:rPr>
                <w:rFonts w:ascii="Times New Roman" w:hAnsi="Times New Roman" w:cs="Times New Roman"/>
                <w:sz w:val="24"/>
                <w:szCs w:val="24"/>
              </w:rPr>
              <w:t xml:space="preserve">aģentūra kā </w:t>
            </w:r>
            <w:r w:rsidR="001F5194">
              <w:rPr>
                <w:rFonts w:ascii="Times New Roman" w:hAnsi="Times New Roman" w:cs="Times New Roman"/>
                <w:iCs/>
                <w:sz w:val="24"/>
                <w:szCs w:val="24"/>
              </w:rPr>
              <w:t>ES fondu finansējuma saņēmējs</w:t>
            </w:r>
            <w:r w:rsidR="004001DB" w:rsidRPr="004001DB">
              <w:rPr>
                <w:rFonts w:ascii="Times New Roman" w:hAnsi="Times New Roman" w:cs="Times New Roman"/>
                <w:iCs/>
                <w:sz w:val="24"/>
                <w:szCs w:val="24"/>
              </w:rPr>
              <w:t>.</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77777777" w:rsidR="00CC1A56" w:rsidRPr="00DD49B6" w:rsidRDefault="00232033" w:rsidP="00B10319">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8FAEF13" w14:textId="77777777" w:rsidR="008A16D3" w:rsidRDefault="008A16D3" w:rsidP="00843389">
      <w:pPr>
        <w:spacing w:after="0" w:line="240" w:lineRule="auto"/>
        <w:rPr>
          <w:rFonts w:ascii="Times New Roman" w:hAnsi="Times New Roman" w:cs="Times New Roman"/>
          <w:sz w:val="24"/>
          <w:szCs w:val="24"/>
        </w:rPr>
      </w:pPr>
    </w:p>
    <w:p w14:paraId="480F19FA" w14:textId="77777777" w:rsidR="00C07C88" w:rsidRDefault="00C07C88" w:rsidP="00843389">
      <w:pPr>
        <w:spacing w:after="0" w:line="240" w:lineRule="auto"/>
        <w:rPr>
          <w:rFonts w:ascii="Times New Roman" w:hAnsi="Times New Roman" w:cs="Times New Roman"/>
          <w:sz w:val="24"/>
          <w:szCs w:val="24"/>
        </w:rPr>
      </w:pPr>
    </w:p>
    <w:p w14:paraId="410EEE98" w14:textId="77777777" w:rsidR="003A55C7" w:rsidRDefault="003A55C7" w:rsidP="00843389">
      <w:pPr>
        <w:spacing w:after="0" w:line="240" w:lineRule="auto"/>
        <w:rPr>
          <w:rFonts w:ascii="Times New Roman" w:hAnsi="Times New Roman" w:cs="Times New Roman"/>
          <w:sz w:val="24"/>
          <w:szCs w:val="24"/>
        </w:rPr>
      </w:pPr>
    </w:p>
    <w:p w14:paraId="74E41961" w14:textId="77777777"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197E17">
        <w:rPr>
          <w:rFonts w:ascii="Times New Roman" w:hAnsi="Times New Roman" w:cs="Times New Roman"/>
          <w:sz w:val="28"/>
          <w:szCs w:val="28"/>
        </w:rPr>
        <w:t>U.Augulis</w:t>
      </w:r>
    </w:p>
    <w:p w14:paraId="6DAE881C" w14:textId="77777777" w:rsidR="00D473ED" w:rsidRDefault="00D473ED" w:rsidP="00D473ED">
      <w:pPr>
        <w:spacing w:after="0" w:line="240" w:lineRule="auto"/>
        <w:rPr>
          <w:rFonts w:ascii="Times New Roman" w:hAnsi="Times New Roman" w:cs="Times New Roman"/>
          <w:sz w:val="24"/>
          <w:szCs w:val="24"/>
        </w:rPr>
      </w:pPr>
    </w:p>
    <w:p w14:paraId="347A18D6" w14:textId="77777777" w:rsidR="005E044D" w:rsidRDefault="005E044D" w:rsidP="00D473ED">
      <w:pPr>
        <w:spacing w:after="0" w:line="240" w:lineRule="auto"/>
        <w:rPr>
          <w:rFonts w:ascii="Times New Roman" w:hAnsi="Times New Roman" w:cs="Times New Roman"/>
          <w:sz w:val="24"/>
          <w:szCs w:val="24"/>
        </w:rPr>
      </w:pPr>
    </w:p>
    <w:p w14:paraId="4B17A681" w14:textId="77777777" w:rsidR="005E044D" w:rsidRDefault="005E044D" w:rsidP="00D473ED">
      <w:pPr>
        <w:spacing w:after="0" w:line="240" w:lineRule="auto"/>
        <w:rPr>
          <w:rFonts w:ascii="Times New Roman" w:hAnsi="Times New Roman" w:cs="Times New Roman"/>
          <w:sz w:val="24"/>
          <w:szCs w:val="24"/>
        </w:rPr>
      </w:pPr>
    </w:p>
    <w:p w14:paraId="655B77C1" w14:textId="77777777" w:rsidR="005E044D" w:rsidRDefault="005E044D" w:rsidP="00D473ED">
      <w:pPr>
        <w:spacing w:after="0" w:line="240" w:lineRule="auto"/>
        <w:rPr>
          <w:rFonts w:ascii="Times New Roman" w:hAnsi="Times New Roman" w:cs="Times New Roman"/>
          <w:sz w:val="24"/>
          <w:szCs w:val="24"/>
        </w:rPr>
      </w:pPr>
    </w:p>
    <w:p w14:paraId="010E1F9A" w14:textId="77777777" w:rsidR="005E044D" w:rsidRDefault="005E044D" w:rsidP="00D473ED">
      <w:pPr>
        <w:spacing w:after="0" w:line="240" w:lineRule="auto"/>
        <w:rPr>
          <w:rFonts w:ascii="Times New Roman" w:hAnsi="Times New Roman" w:cs="Times New Roman"/>
          <w:sz w:val="24"/>
          <w:szCs w:val="24"/>
        </w:rPr>
      </w:pPr>
    </w:p>
    <w:p w14:paraId="15DF0D6C" w14:textId="77777777" w:rsidR="005E044D" w:rsidRDefault="005E044D" w:rsidP="00D473ED">
      <w:pPr>
        <w:spacing w:after="0" w:line="240" w:lineRule="auto"/>
        <w:rPr>
          <w:rFonts w:ascii="Times New Roman" w:hAnsi="Times New Roman" w:cs="Times New Roman"/>
          <w:sz w:val="24"/>
          <w:szCs w:val="24"/>
        </w:rPr>
      </w:pPr>
    </w:p>
    <w:p w14:paraId="29129DBC" w14:textId="77777777" w:rsidR="005E044D" w:rsidRDefault="005E044D" w:rsidP="00D473ED">
      <w:pPr>
        <w:spacing w:after="0" w:line="240" w:lineRule="auto"/>
        <w:rPr>
          <w:rFonts w:ascii="Times New Roman" w:hAnsi="Times New Roman" w:cs="Times New Roman"/>
          <w:sz w:val="24"/>
          <w:szCs w:val="24"/>
        </w:rPr>
      </w:pPr>
    </w:p>
    <w:p w14:paraId="4A3A0ECC" w14:textId="77777777" w:rsidR="005E044D" w:rsidRDefault="005E044D" w:rsidP="00D473ED">
      <w:pPr>
        <w:spacing w:after="0" w:line="240" w:lineRule="auto"/>
        <w:rPr>
          <w:rFonts w:ascii="Times New Roman" w:hAnsi="Times New Roman" w:cs="Times New Roman"/>
          <w:sz w:val="24"/>
          <w:szCs w:val="24"/>
        </w:rPr>
      </w:pPr>
    </w:p>
    <w:p w14:paraId="305693F8" w14:textId="17FDA3A0" w:rsidR="005E044D" w:rsidRDefault="00D2590F" w:rsidP="00D2590F">
      <w:pPr>
        <w:tabs>
          <w:tab w:val="left" w:pos="239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47769D0" w14:textId="77777777" w:rsidR="005E044D" w:rsidRDefault="005E044D" w:rsidP="00D473ED">
      <w:pPr>
        <w:spacing w:after="0" w:line="240" w:lineRule="auto"/>
        <w:rPr>
          <w:rFonts w:ascii="Times New Roman" w:hAnsi="Times New Roman" w:cs="Times New Roman"/>
          <w:sz w:val="24"/>
          <w:szCs w:val="24"/>
        </w:rPr>
      </w:pPr>
    </w:p>
    <w:p w14:paraId="5BA88D56" w14:textId="1D5D3DF3" w:rsidR="00D473ED" w:rsidRPr="00854D11" w:rsidRDefault="00F7231C"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AB657E" w:rsidRPr="00854D11">
        <w:rPr>
          <w:rFonts w:ascii="Times New Roman" w:hAnsi="Times New Roman" w:cs="Times New Roman"/>
          <w:sz w:val="20"/>
          <w:szCs w:val="20"/>
        </w:rPr>
        <w:t>.0</w:t>
      </w:r>
      <w:r w:rsidR="00DC17EE" w:rsidRPr="00854D11">
        <w:rPr>
          <w:rFonts w:ascii="Times New Roman" w:hAnsi="Times New Roman" w:cs="Times New Roman"/>
          <w:sz w:val="20"/>
          <w:szCs w:val="20"/>
        </w:rPr>
        <w:t>8</w:t>
      </w:r>
      <w:r w:rsidR="00F07BB7" w:rsidRPr="00854D11">
        <w:rPr>
          <w:rFonts w:ascii="Times New Roman" w:hAnsi="Times New Roman" w:cs="Times New Roman"/>
          <w:sz w:val="20"/>
          <w:szCs w:val="20"/>
        </w:rPr>
        <w:t>.2014</w:t>
      </w:r>
      <w:r w:rsidR="00D473ED" w:rsidRPr="00854D11">
        <w:rPr>
          <w:rFonts w:ascii="Times New Roman" w:hAnsi="Times New Roman" w:cs="Times New Roman"/>
          <w:sz w:val="20"/>
          <w:szCs w:val="20"/>
        </w:rPr>
        <w:t xml:space="preserve">. </w:t>
      </w:r>
      <w:r w:rsidR="007F6F7D">
        <w:rPr>
          <w:rFonts w:ascii="Times New Roman" w:hAnsi="Times New Roman" w:cs="Times New Roman"/>
          <w:sz w:val="20"/>
          <w:szCs w:val="20"/>
        </w:rPr>
        <w:t>10</w:t>
      </w:r>
      <w:r w:rsidR="00E139C6" w:rsidRPr="00854D11">
        <w:rPr>
          <w:rFonts w:ascii="Times New Roman" w:hAnsi="Times New Roman" w:cs="Times New Roman"/>
          <w:sz w:val="20"/>
          <w:szCs w:val="20"/>
        </w:rPr>
        <w:t>:</w:t>
      </w:r>
      <w:r w:rsidR="005808D4">
        <w:rPr>
          <w:rFonts w:ascii="Times New Roman" w:hAnsi="Times New Roman" w:cs="Times New Roman"/>
          <w:sz w:val="20"/>
          <w:szCs w:val="20"/>
        </w:rPr>
        <w:t>57</w:t>
      </w:r>
    </w:p>
    <w:p w14:paraId="6C42FD1F" w14:textId="31DFD9FF" w:rsidR="00D473ED" w:rsidRPr="00854D11" w:rsidRDefault="005808D4"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2845</w:t>
      </w:r>
      <w:bookmarkStart w:id="8" w:name="_GoBack"/>
      <w:bookmarkEnd w:id="8"/>
    </w:p>
    <w:p w14:paraId="43CB969E" w14:textId="1D34ABE4" w:rsidR="00854D11" w:rsidRPr="00854D11" w:rsidRDefault="00854D11" w:rsidP="00854D11">
      <w:pPr>
        <w:tabs>
          <w:tab w:val="left" w:pos="3450"/>
        </w:tabs>
        <w:spacing w:after="0" w:line="240" w:lineRule="auto"/>
        <w:rPr>
          <w:rFonts w:ascii="Times New Roman" w:hAnsi="Times New Roman" w:cs="Times New Roman"/>
          <w:sz w:val="20"/>
          <w:szCs w:val="20"/>
        </w:rPr>
      </w:pPr>
      <w:r w:rsidRPr="00854D11">
        <w:rPr>
          <w:rFonts w:ascii="Times New Roman" w:hAnsi="Times New Roman" w:cs="Times New Roman"/>
          <w:sz w:val="20"/>
          <w:szCs w:val="20"/>
        </w:rPr>
        <w:t>Vjačeslavs Makarovs</w:t>
      </w:r>
      <w:r w:rsidRPr="00854D11">
        <w:rPr>
          <w:rFonts w:ascii="Times New Roman" w:hAnsi="Times New Roman" w:cs="Times New Roman"/>
          <w:sz w:val="20"/>
          <w:szCs w:val="20"/>
        </w:rPr>
        <w:tab/>
      </w:r>
    </w:p>
    <w:p w14:paraId="469B2616" w14:textId="799427E6" w:rsidR="00D473ED" w:rsidRPr="00854D11" w:rsidRDefault="00854D11" w:rsidP="00854D11">
      <w:pPr>
        <w:spacing w:after="0" w:line="240" w:lineRule="auto"/>
        <w:rPr>
          <w:rFonts w:ascii="Times New Roman" w:hAnsi="Times New Roman" w:cs="Times New Roman"/>
          <w:sz w:val="20"/>
          <w:szCs w:val="20"/>
        </w:rPr>
      </w:pPr>
      <w:r w:rsidRPr="00854D11">
        <w:rPr>
          <w:rFonts w:ascii="Times New Roman" w:hAnsi="Times New Roman" w:cs="Times New Roman"/>
          <w:color w:val="000000"/>
          <w:sz w:val="20"/>
          <w:szCs w:val="20"/>
        </w:rPr>
        <w:t>Tel.: 67021630</w:t>
      </w:r>
      <w:r w:rsidRPr="00854D11">
        <w:rPr>
          <w:rFonts w:ascii="Times New Roman" w:hAnsi="Times New Roman" w:cs="Times New Roman"/>
          <w:color w:val="000000"/>
          <w:sz w:val="20"/>
          <w:szCs w:val="20"/>
        </w:rPr>
        <w:br/>
        <w:t>Vjaceslavs.Makarovs@lm.gov.lv</w:t>
      </w:r>
    </w:p>
    <w:sectPr w:rsidR="00D473ED" w:rsidRPr="00854D11" w:rsidSect="006D6C8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67A9" w14:textId="77777777" w:rsidR="000444A0" w:rsidRDefault="000444A0" w:rsidP="006D6C82">
      <w:pPr>
        <w:spacing w:after="0" w:line="240" w:lineRule="auto"/>
      </w:pPr>
      <w:r>
        <w:separator/>
      </w:r>
    </w:p>
  </w:endnote>
  <w:endnote w:type="continuationSeparator" w:id="0">
    <w:p w14:paraId="71027FC3" w14:textId="77777777" w:rsidR="000444A0" w:rsidRDefault="000444A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53E0A94A" w:rsidR="00D0364B" w:rsidRPr="00C541BC" w:rsidRDefault="00E80958" w:rsidP="00C541BC">
    <w:pPr>
      <w:pStyle w:val="Footer"/>
      <w:rPr>
        <w:rFonts w:ascii="Times New Roman" w:hAnsi="Times New Roman" w:cs="Times New Roman"/>
      </w:rPr>
    </w:pPr>
    <w:r w:rsidRPr="00C541BC">
      <w:rPr>
        <w:rFonts w:ascii="Times New Roman" w:hAnsi="Times New Roman" w:cs="Times New Roman"/>
        <w:sz w:val="20"/>
        <w:szCs w:val="20"/>
      </w:rPr>
      <w:t>LMAnot_</w:t>
    </w:r>
    <w:r w:rsidR="006A4E4B">
      <w:rPr>
        <w:rFonts w:ascii="Times New Roman" w:hAnsi="Times New Roman" w:cs="Times New Roman"/>
        <w:sz w:val="20"/>
        <w:szCs w:val="20"/>
      </w:rPr>
      <w:t>19</w:t>
    </w:r>
    <w:r w:rsidR="00DC17EE">
      <w:rPr>
        <w:rFonts w:ascii="Times New Roman" w:hAnsi="Times New Roman" w:cs="Times New Roman"/>
        <w:sz w:val="20"/>
        <w:szCs w:val="20"/>
      </w:rPr>
      <w:t>08</w:t>
    </w:r>
    <w:r>
      <w:rPr>
        <w:rFonts w:ascii="Times New Roman" w:hAnsi="Times New Roman" w:cs="Times New Roman"/>
        <w:sz w:val="20"/>
        <w:szCs w:val="20"/>
      </w:rPr>
      <w:t>14</w:t>
    </w:r>
    <w:r w:rsidRPr="00C541BC">
      <w:rPr>
        <w:rFonts w:ascii="Times New Roman" w:hAnsi="Times New Roman" w:cs="Times New Roman"/>
        <w:sz w:val="20"/>
        <w:szCs w:val="20"/>
      </w:rPr>
      <w:t>_</w:t>
    </w:r>
    <w:r>
      <w:rPr>
        <w:rFonts w:ascii="Times New Roman" w:hAnsi="Times New Roman" w:cs="Times New Roman"/>
        <w:sz w:val="20"/>
        <w:szCs w:val="20"/>
      </w:rPr>
      <w:t>258</w:t>
    </w:r>
    <w:r w:rsidRPr="00C541BC">
      <w:rPr>
        <w:rFonts w:ascii="Times New Roman" w:hAnsi="Times New Roman" w:cs="Times New Roman"/>
        <w:sz w:val="20"/>
        <w:szCs w:val="20"/>
      </w:rPr>
      <w:t xml:space="preserve">groz; </w:t>
    </w:r>
    <w:r w:rsidRPr="00E80958">
      <w:rPr>
        <w:rFonts w:ascii="Times New Roman" w:hAnsi="Times New Roman" w:cs="Times New Roman"/>
        <w:sz w:val="20"/>
        <w:szCs w:val="20"/>
      </w:rPr>
      <w:t xml:space="preserve">Grozījumi Ministru kabineta </w:t>
    </w:r>
    <w:proofErr w:type="gramStart"/>
    <w:r w:rsidRPr="00E80958">
      <w:rPr>
        <w:rFonts w:ascii="Times New Roman" w:hAnsi="Times New Roman" w:cs="Times New Roman"/>
        <w:sz w:val="20"/>
        <w:szCs w:val="20"/>
      </w:rPr>
      <w:t>2008.gada</w:t>
    </w:r>
    <w:proofErr w:type="gramEnd"/>
    <w:r w:rsidRPr="00E80958">
      <w:rPr>
        <w:rFonts w:ascii="Times New Roman" w:hAnsi="Times New Roman" w:cs="Times New Roman"/>
        <w:sz w:val="20"/>
        <w:szCs w:val="20"/>
      </w:rPr>
      <w:t xml:space="preserve"> 8.aprīļa noteikumos Nr.258 „Noteikumi par darbības programmas „Cilvēkresursi un nodarbinātība” papildinājuma apakšaktivitāti „Atbalstītās nodarbinātības pasākumi mērķgrupu bezdarbniekiem””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4F8A8D0B" w:rsidR="00D0364B" w:rsidRPr="006E169E" w:rsidRDefault="00C541BC">
    <w:pPr>
      <w:pStyle w:val="Footer"/>
      <w:rPr>
        <w:rFonts w:ascii="Times New Roman" w:hAnsi="Times New Roman" w:cs="Times New Roman"/>
      </w:rPr>
    </w:pPr>
    <w:r w:rsidRPr="00C541BC">
      <w:rPr>
        <w:rFonts w:ascii="Times New Roman" w:hAnsi="Times New Roman" w:cs="Times New Roman"/>
        <w:sz w:val="20"/>
        <w:szCs w:val="20"/>
      </w:rPr>
      <w:t>LMAnot_</w:t>
    </w:r>
    <w:r w:rsidR="006A4E4B">
      <w:rPr>
        <w:rFonts w:ascii="Times New Roman" w:hAnsi="Times New Roman" w:cs="Times New Roman"/>
        <w:sz w:val="20"/>
        <w:szCs w:val="20"/>
      </w:rPr>
      <w:t>19</w:t>
    </w:r>
    <w:r w:rsidR="00DC17EE">
      <w:rPr>
        <w:rFonts w:ascii="Times New Roman" w:hAnsi="Times New Roman" w:cs="Times New Roman"/>
        <w:sz w:val="20"/>
        <w:szCs w:val="20"/>
      </w:rPr>
      <w:t>08</w:t>
    </w:r>
    <w:r>
      <w:rPr>
        <w:rFonts w:ascii="Times New Roman" w:hAnsi="Times New Roman" w:cs="Times New Roman"/>
        <w:sz w:val="20"/>
        <w:szCs w:val="20"/>
      </w:rPr>
      <w:t>14</w:t>
    </w:r>
    <w:r w:rsidRPr="00C541BC">
      <w:rPr>
        <w:rFonts w:ascii="Times New Roman" w:hAnsi="Times New Roman" w:cs="Times New Roman"/>
        <w:sz w:val="20"/>
        <w:szCs w:val="20"/>
      </w:rPr>
      <w:t>_</w:t>
    </w:r>
    <w:r w:rsidR="00E80958">
      <w:rPr>
        <w:rFonts w:ascii="Times New Roman" w:hAnsi="Times New Roman" w:cs="Times New Roman"/>
        <w:sz w:val="20"/>
        <w:szCs w:val="20"/>
      </w:rPr>
      <w:t>258</w:t>
    </w:r>
    <w:r w:rsidRPr="00C541BC">
      <w:rPr>
        <w:rFonts w:ascii="Times New Roman" w:hAnsi="Times New Roman" w:cs="Times New Roman"/>
        <w:sz w:val="20"/>
        <w:szCs w:val="20"/>
      </w:rPr>
      <w:t xml:space="preserve">groz; </w:t>
    </w:r>
    <w:r w:rsidR="00E80958" w:rsidRPr="00E80958">
      <w:rPr>
        <w:rFonts w:ascii="Times New Roman" w:hAnsi="Times New Roman" w:cs="Times New Roman"/>
        <w:sz w:val="20"/>
        <w:szCs w:val="20"/>
      </w:rPr>
      <w:t xml:space="preserve">Grozījumi Ministru kabineta </w:t>
    </w:r>
    <w:proofErr w:type="gramStart"/>
    <w:r w:rsidR="00E80958" w:rsidRPr="00E80958">
      <w:rPr>
        <w:rFonts w:ascii="Times New Roman" w:hAnsi="Times New Roman" w:cs="Times New Roman"/>
        <w:sz w:val="20"/>
        <w:szCs w:val="20"/>
      </w:rPr>
      <w:t>2008.gada</w:t>
    </w:r>
    <w:proofErr w:type="gramEnd"/>
    <w:r w:rsidR="00E80958" w:rsidRPr="00E80958">
      <w:rPr>
        <w:rFonts w:ascii="Times New Roman" w:hAnsi="Times New Roman" w:cs="Times New Roman"/>
        <w:sz w:val="20"/>
        <w:szCs w:val="20"/>
      </w:rPr>
      <w:t xml:space="preserve"> 8.aprīļa noteikumos Nr.258 „Noteikumi par darbības programmas „Cilvēkresursi un nodarbinātība” papildinājuma apakšaktivitāti „Atbalstītās nodarbinātības pasākumi mērķgrupu bezdarbniekiem””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8B55" w14:textId="77777777" w:rsidR="000444A0" w:rsidRDefault="000444A0" w:rsidP="006D6C82">
      <w:pPr>
        <w:spacing w:after="0" w:line="240" w:lineRule="auto"/>
      </w:pPr>
      <w:r>
        <w:separator/>
      </w:r>
    </w:p>
  </w:footnote>
  <w:footnote w:type="continuationSeparator" w:id="0">
    <w:p w14:paraId="741D1E83" w14:textId="77777777" w:rsidR="000444A0" w:rsidRDefault="000444A0"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5808D4">
          <w:rPr>
            <w:noProof/>
          </w:rPr>
          <w:t>9</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634107"/>
    <w:multiLevelType w:val="hybridMultilevel"/>
    <w:tmpl w:val="13AAD042"/>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3">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2"/>
  </w:num>
  <w:num w:numId="3">
    <w:abstractNumId w:val="5"/>
  </w:num>
  <w:num w:numId="4">
    <w:abstractNumId w:val="12"/>
  </w:num>
  <w:num w:numId="5">
    <w:abstractNumId w:val="9"/>
  </w:num>
  <w:num w:numId="6">
    <w:abstractNumId w:val="1"/>
  </w:num>
  <w:num w:numId="7">
    <w:abstractNumId w:val="11"/>
  </w:num>
  <w:num w:numId="8">
    <w:abstractNumId w:val="7"/>
  </w:num>
  <w:num w:numId="9">
    <w:abstractNumId w:val="0"/>
  </w:num>
  <w:num w:numId="10">
    <w:abstractNumId w:val="6"/>
  </w:num>
  <w:num w:numId="11">
    <w:abstractNumId w:val="10"/>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589D"/>
    <w:rsid w:val="000115E3"/>
    <w:rsid w:val="0001267A"/>
    <w:rsid w:val="000155E3"/>
    <w:rsid w:val="000238EE"/>
    <w:rsid w:val="00026A31"/>
    <w:rsid w:val="00037AF1"/>
    <w:rsid w:val="00041B8A"/>
    <w:rsid w:val="000444A0"/>
    <w:rsid w:val="000459D0"/>
    <w:rsid w:val="000561FB"/>
    <w:rsid w:val="00056D91"/>
    <w:rsid w:val="00063158"/>
    <w:rsid w:val="00065E19"/>
    <w:rsid w:val="00073983"/>
    <w:rsid w:val="000A50F4"/>
    <w:rsid w:val="000A556B"/>
    <w:rsid w:val="000A6213"/>
    <w:rsid w:val="000A69BD"/>
    <w:rsid w:val="000B26BD"/>
    <w:rsid w:val="000B6BFA"/>
    <w:rsid w:val="000C6DA7"/>
    <w:rsid w:val="000C77F5"/>
    <w:rsid w:val="000D7810"/>
    <w:rsid w:val="000F2C5F"/>
    <w:rsid w:val="000F450E"/>
    <w:rsid w:val="000F56F2"/>
    <w:rsid w:val="0010479A"/>
    <w:rsid w:val="001144D9"/>
    <w:rsid w:val="0011756F"/>
    <w:rsid w:val="00120927"/>
    <w:rsid w:val="00124F56"/>
    <w:rsid w:val="00140CF3"/>
    <w:rsid w:val="00151074"/>
    <w:rsid w:val="0016361D"/>
    <w:rsid w:val="00166E6E"/>
    <w:rsid w:val="00167190"/>
    <w:rsid w:val="001679C6"/>
    <w:rsid w:val="00176916"/>
    <w:rsid w:val="0018780A"/>
    <w:rsid w:val="00191247"/>
    <w:rsid w:val="00193FB1"/>
    <w:rsid w:val="00197E17"/>
    <w:rsid w:val="001B0E13"/>
    <w:rsid w:val="001B1214"/>
    <w:rsid w:val="001B6876"/>
    <w:rsid w:val="001C366A"/>
    <w:rsid w:val="001C7D4E"/>
    <w:rsid w:val="001E04D8"/>
    <w:rsid w:val="001E2D9C"/>
    <w:rsid w:val="001E645F"/>
    <w:rsid w:val="001F21C4"/>
    <w:rsid w:val="001F5194"/>
    <w:rsid w:val="002123C9"/>
    <w:rsid w:val="002141C0"/>
    <w:rsid w:val="00220CB7"/>
    <w:rsid w:val="00232033"/>
    <w:rsid w:val="00246978"/>
    <w:rsid w:val="00254049"/>
    <w:rsid w:val="00260F04"/>
    <w:rsid w:val="0026710C"/>
    <w:rsid w:val="00277744"/>
    <w:rsid w:val="0028094F"/>
    <w:rsid w:val="002874DE"/>
    <w:rsid w:val="002A161A"/>
    <w:rsid w:val="002B0D05"/>
    <w:rsid w:val="002B1692"/>
    <w:rsid w:val="002C1473"/>
    <w:rsid w:val="002D1F05"/>
    <w:rsid w:val="002D2016"/>
    <w:rsid w:val="002F2310"/>
    <w:rsid w:val="002F2D45"/>
    <w:rsid w:val="00300492"/>
    <w:rsid w:val="00303FFC"/>
    <w:rsid w:val="00305D4F"/>
    <w:rsid w:val="00320A19"/>
    <w:rsid w:val="00321D39"/>
    <w:rsid w:val="00327D5C"/>
    <w:rsid w:val="00336B3A"/>
    <w:rsid w:val="00345771"/>
    <w:rsid w:val="003460F3"/>
    <w:rsid w:val="0035641C"/>
    <w:rsid w:val="00364C7E"/>
    <w:rsid w:val="00365B8E"/>
    <w:rsid w:val="0038217F"/>
    <w:rsid w:val="00382C79"/>
    <w:rsid w:val="003919EB"/>
    <w:rsid w:val="00393677"/>
    <w:rsid w:val="00396161"/>
    <w:rsid w:val="003A3A21"/>
    <w:rsid w:val="003A55C7"/>
    <w:rsid w:val="003A77B7"/>
    <w:rsid w:val="003B0FBE"/>
    <w:rsid w:val="003D58F4"/>
    <w:rsid w:val="003D7FCC"/>
    <w:rsid w:val="003E2523"/>
    <w:rsid w:val="003F234D"/>
    <w:rsid w:val="004001DB"/>
    <w:rsid w:val="00407CC6"/>
    <w:rsid w:val="00416790"/>
    <w:rsid w:val="0042221E"/>
    <w:rsid w:val="00423467"/>
    <w:rsid w:val="00427EFE"/>
    <w:rsid w:val="00430112"/>
    <w:rsid w:val="0043187B"/>
    <w:rsid w:val="004430D2"/>
    <w:rsid w:val="00445A9C"/>
    <w:rsid w:val="00462F04"/>
    <w:rsid w:val="00470125"/>
    <w:rsid w:val="004863B9"/>
    <w:rsid w:val="004A0562"/>
    <w:rsid w:val="004A470F"/>
    <w:rsid w:val="004A51B4"/>
    <w:rsid w:val="004A67E9"/>
    <w:rsid w:val="004B4BC8"/>
    <w:rsid w:val="004C0127"/>
    <w:rsid w:val="004C0612"/>
    <w:rsid w:val="004C55C1"/>
    <w:rsid w:val="004C7866"/>
    <w:rsid w:val="004C7EB0"/>
    <w:rsid w:val="004D24D9"/>
    <w:rsid w:val="004D2900"/>
    <w:rsid w:val="004D4A4C"/>
    <w:rsid w:val="004D654A"/>
    <w:rsid w:val="004E0703"/>
    <w:rsid w:val="004F1BD2"/>
    <w:rsid w:val="005007A2"/>
    <w:rsid w:val="0050327A"/>
    <w:rsid w:val="00507BF0"/>
    <w:rsid w:val="00514C83"/>
    <w:rsid w:val="00514DDD"/>
    <w:rsid w:val="005157AA"/>
    <w:rsid w:val="005346EE"/>
    <w:rsid w:val="005378C9"/>
    <w:rsid w:val="005404CC"/>
    <w:rsid w:val="00546E8E"/>
    <w:rsid w:val="0055242A"/>
    <w:rsid w:val="005550F6"/>
    <w:rsid w:val="005616C0"/>
    <w:rsid w:val="00562D3E"/>
    <w:rsid w:val="00571FAE"/>
    <w:rsid w:val="00575810"/>
    <w:rsid w:val="00575CBB"/>
    <w:rsid w:val="005808D4"/>
    <w:rsid w:val="00590E26"/>
    <w:rsid w:val="005913E4"/>
    <w:rsid w:val="005A35D4"/>
    <w:rsid w:val="005A7179"/>
    <w:rsid w:val="005B104F"/>
    <w:rsid w:val="005B1977"/>
    <w:rsid w:val="005C3BBF"/>
    <w:rsid w:val="005C5E5B"/>
    <w:rsid w:val="005C718F"/>
    <w:rsid w:val="005D46AF"/>
    <w:rsid w:val="005D6412"/>
    <w:rsid w:val="005D6EC7"/>
    <w:rsid w:val="005E044D"/>
    <w:rsid w:val="005F403C"/>
    <w:rsid w:val="005F4D8E"/>
    <w:rsid w:val="006123FA"/>
    <w:rsid w:val="00622ABE"/>
    <w:rsid w:val="00623238"/>
    <w:rsid w:val="00630543"/>
    <w:rsid w:val="00647011"/>
    <w:rsid w:val="00654303"/>
    <w:rsid w:val="00657B8C"/>
    <w:rsid w:val="006613AC"/>
    <w:rsid w:val="006673B6"/>
    <w:rsid w:val="0067184D"/>
    <w:rsid w:val="00682E06"/>
    <w:rsid w:val="006838C8"/>
    <w:rsid w:val="006952F4"/>
    <w:rsid w:val="006A0A38"/>
    <w:rsid w:val="006A4E4B"/>
    <w:rsid w:val="006A4ED1"/>
    <w:rsid w:val="006A7702"/>
    <w:rsid w:val="006B0758"/>
    <w:rsid w:val="006B1DFB"/>
    <w:rsid w:val="006B3A87"/>
    <w:rsid w:val="006B539E"/>
    <w:rsid w:val="006B616F"/>
    <w:rsid w:val="006B695D"/>
    <w:rsid w:val="006B7133"/>
    <w:rsid w:val="006D29F4"/>
    <w:rsid w:val="006D4479"/>
    <w:rsid w:val="006D46D1"/>
    <w:rsid w:val="006D47E6"/>
    <w:rsid w:val="006D54BE"/>
    <w:rsid w:val="006D573E"/>
    <w:rsid w:val="006D6C82"/>
    <w:rsid w:val="006E0343"/>
    <w:rsid w:val="006E169E"/>
    <w:rsid w:val="006E3024"/>
    <w:rsid w:val="006E7CC4"/>
    <w:rsid w:val="006F44FC"/>
    <w:rsid w:val="006F615E"/>
    <w:rsid w:val="006F6735"/>
    <w:rsid w:val="007032FF"/>
    <w:rsid w:val="007122F1"/>
    <w:rsid w:val="00715808"/>
    <w:rsid w:val="00722CB2"/>
    <w:rsid w:val="00741507"/>
    <w:rsid w:val="00751A10"/>
    <w:rsid w:val="00756B14"/>
    <w:rsid w:val="007624F6"/>
    <w:rsid w:val="00764032"/>
    <w:rsid w:val="00764545"/>
    <w:rsid w:val="0077161A"/>
    <w:rsid w:val="0077492B"/>
    <w:rsid w:val="0077641F"/>
    <w:rsid w:val="007831DA"/>
    <w:rsid w:val="00786082"/>
    <w:rsid w:val="00791E4E"/>
    <w:rsid w:val="007958D8"/>
    <w:rsid w:val="00797BB6"/>
    <w:rsid w:val="007A012A"/>
    <w:rsid w:val="007A0DE6"/>
    <w:rsid w:val="007A1818"/>
    <w:rsid w:val="007C1876"/>
    <w:rsid w:val="007D385B"/>
    <w:rsid w:val="007F44BF"/>
    <w:rsid w:val="007F57E5"/>
    <w:rsid w:val="007F6F7D"/>
    <w:rsid w:val="00823F41"/>
    <w:rsid w:val="008260C4"/>
    <w:rsid w:val="00835248"/>
    <w:rsid w:val="00836EA6"/>
    <w:rsid w:val="0083730F"/>
    <w:rsid w:val="00843389"/>
    <w:rsid w:val="00843C60"/>
    <w:rsid w:val="00843D6D"/>
    <w:rsid w:val="008477DE"/>
    <w:rsid w:val="00854D11"/>
    <w:rsid w:val="00857C5B"/>
    <w:rsid w:val="00860D82"/>
    <w:rsid w:val="00870319"/>
    <w:rsid w:val="00871022"/>
    <w:rsid w:val="00874136"/>
    <w:rsid w:val="00874FAD"/>
    <w:rsid w:val="0087502F"/>
    <w:rsid w:val="008806F3"/>
    <w:rsid w:val="00891D72"/>
    <w:rsid w:val="00893F92"/>
    <w:rsid w:val="00895B23"/>
    <w:rsid w:val="008A10C7"/>
    <w:rsid w:val="008A16D3"/>
    <w:rsid w:val="008B39BD"/>
    <w:rsid w:val="008B544E"/>
    <w:rsid w:val="008C4128"/>
    <w:rsid w:val="008C4D11"/>
    <w:rsid w:val="008F6700"/>
    <w:rsid w:val="008F742D"/>
    <w:rsid w:val="00902D3F"/>
    <w:rsid w:val="00907C4E"/>
    <w:rsid w:val="0093520F"/>
    <w:rsid w:val="0094080C"/>
    <w:rsid w:val="00946C82"/>
    <w:rsid w:val="009527FB"/>
    <w:rsid w:val="00953C6C"/>
    <w:rsid w:val="00955A21"/>
    <w:rsid w:val="00962BF1"/>
    <w:rsid w:val="009665F6"/>
    <w:rsid w:val="00975BC8"/>
    <w:rsid w:val="00986205"/>
    <w:rsid w:val="009945CD"/>
    <w:rsid w:val="009A5F8B"/>
    <w:rsid w:val="009B252C"/>
    <w:rsid w:val="009B4385"/>
    <w:rsid w:val="009B5EDB"/>
    <w:rsid w:val="009C0B81"/>
    <w:rsid w:val="009C39B5"/>
    <w:rsid w:val="009C5386"/>
    <w:rsid w:val="009E12A1"/>
    <w:rsid w:val="009E1B92"/>
    <w:rsid w:val="009F37C9"/>
    <w:rsid w:val="009F3C67"/>
    <w:rsid w:val="00A06BA7"/>
    <w:rsid w:val="00A240CC"/>
    <w:rsid w:val="00A33379"/>
    <w:rsid w:val="00A347F0"/>
    <w:rsid w:val="00A35878"/>
    <w:rsid w:val="00A37357"/>
    <w:rsid w:val="00A44A57"/>
    <w:rsid w:val="00A60497"/>
    <w:rsid w:val="00A65744"/>
    <w:rsid w:val="00A65B55"/>
    <w:rsid w:val="00A6792B"/>
    <w:rsid w:val="00A74718"/>
    <w:rsid w:val="00A81161"/>
    <w:rsid w:val="00A96537"/>
    <w:rsid w:val="00AA222B"/>
    <w:rsid w:val="00AB23D6"/>
    <w:rsid w:val="00AB657E"/>
    <w:rsid w:val="00AB7E4F"/>
    <w:rsid w:val="00AC0B35"/>
    <w:rsid w:val="00AC0FA8"/>
    <w:rsid w:val="00AD3A61"/>
    <w:rsid w:val="00AD4E5B"/>
    <w:rsid w:val="00AD5F44"/>
    <w:rsid w:val="00AE18F6"/>
    <w:rsid w:val="00AE1DC4"/>
    <w:rsid w:val="00AE560C"/>
    <w:rsid w:val="00AE79EF"/>
    <w:rsid w:val="00AF5F89"/>
    <w:rsid w:val="00AF7185"/>
    <w:rsid w:val="00B00F6C"/>
    <w:rsid w:val="00B04CCD"/>
    <w:rsid w:val="00B10055"/>
    <w:rsid w:val="00B10319"/>
    <w:rsid w:val="00B105FC"/>
    <w:rsid w:val="00B13677"/>
    <w:rsid w:val="00B22E4A"/>
    <w:rsid w:val="00B30266"/>
    <w:rsid w:val="00B321EE"/>
    <w:rsid w:val="00B409F1"/>
    <w:rsid w:val="00B46237"/>
    <w:rsid w:val="00B46D66"/>
    <w:rsid w:val="00B61ABA"/>
    <w:rsid w:val="00B6455D"/>
    <w:rsid w:val="00B64C54"/>
    <w:rsid w:val="00B67BB5"/>
    <w:rsid w:val="00B80868"/>
    <w:rsid w:val="00B81A6C"/>
    <w:rsid w:val="00B90D82"/>
    <w:rsid w:val="00B919EA"/>
    <w:rsid w:val="00BB047A"/>
    <w:rsid w:val="00BB2CCB"/>
    <w:rsid w:val="00BB35A6"/>
    <w:rsid w:val="00BB3EAD"/>
    <w:rsid w:val="00BC1631"/>
    <w:rsid w:val="00BC7215"/>
    <w:rsid w:val="00BD76EA"/>
    <w:rsid w:val="00BE2E77"/>
    <w:rsid w:val="00BE3615"/>
    <w:rsid w:val="00BF002F"/>
    <w:rsid w:val="00BF1C90"/>
    <w:rsid w:val="00BF7058"/>
    <w:rsid w:val="00C07C88"/>
    <w:rsid w:val="00C20F59"/>
    <w:rsid w:val="00C24E8B"/>
    <w:rsid w:val="00C302D7"/>
    <w:rsid w:val="00C43430"/>
    <w:rsid w:val="00C475F0"/>
    <w:rsid w:val="00C51095"/>
    <w:rsid w:val="00C53C19"/>
    <w:rsid w:val="00C541BC"/>
    <w:rsid w:val="00C56945"/>
    <w:rsid w:val="00C63E56"/>
    <w:rsid w:val="00C64A63"/>
    <w:rsid w:val="00C72760"/>
    <w:rsid w:val="00C756B5"/>
    <w:rsid w:val="00C80769"/>
    <w:rsid w:val="00C845E5"/>
    <w:rsid w:val="00C8589F"/>
    <w:rsid w:val="00C92466"/>
    <w:rsid w:val="00CA39D4"/>
    <w:rsid w:val="00CA74AB"/>
    <w:rsid w:val="00CA7833"/>
    <w:rsid w:val="00CB1CA0"/>
    <w:rsid w:val="00CC1A56"/>
    <w:rsid w:val="00CD2E50"/>
    <w:rsid w:val="00CD49C3"/>
    <w:rsid w:val="00CE4B92"/>
    <w:rsid w:val="00CE71A7"/>
    <w:rsid w:val="00CF1723"/>
    <w:rsid w:val="00D0364B"/>
    <w:rsid w:val="00D074D8"/>
    <w:rsid w:val="00D07EF9"/>
    <w:rsid w:val="00D2590F"/>
    <w:rsid w:val="00D31445"/>
    <w:rsid w:val="00D343A0"/>
    <w:rsid w:val="00D37528"/>
    <w:rsid w:val="00D404FE"/>
    <w:rsid w:val="00D473ED"/>
    <w:rsid w:val="00D53B1F"/>
    <w:rsid w:val="00D54706"/>
    <w:rsid w:val="00D61CB4"/>
    <w:rsid w:val="00D77819"/>
    <w:rsid w:val="00D81398"/>
    <w:rsid w:val="00D861D8"/>
    <w:rsid w:val="00DA105D"/>
    <w:rsid w:val="00DB4E8D"/>
    <w:rsid w:val="00DC17EE"/>
    <w:rsid w:val="00DC1AF4"/>
    <w:rsid w:val="00DC43E1"/>
    <w:rsid w:val="00DD159E"/>
    <w:rsid w:val="00DD3888"/>
    <w:rsid w:val="00DD5A4C"/>
    <w:rsid w:val="00DE0F62"/>
    <w:rsid w:val="00DE2FFA"/>
    <w:rsid w:val="00E02464"/>
    <w:rsid w:val="00E139C6"/>
    <w:rsid w:val="00E13C41"/>
    <w:rsid w:val="00E2764C"/>
    <w:rsid w:val="00E31FAF"/>
    <w:rsid w:val="00E46B62"/>
    <w:rsid w:val="00E74162"/>
    <w:rsid w:val="00E7560D"/>
    <w:rsid w:val="00E77ED8"/>
    <w:rsid w:val="00E80958"/>
    <w:rsid w:val="00E869D3"/>
    <w:rsid w:val="00EA1B7F"/>
    <w:rsid w:val="00EA525C"/>
    <w:rsid w:val="00EA6120"/>
    <w:rsid w:val="00EB3B4E"/>
    <w:rsid w:val="00EC1C7E"/>
    <w:rsid w:val="00ED4855"/>
    <w:rsid w:val="00ED56D4"/>
    <w:rsid w:val="00ED63AA"/>
    <w:rsid w:val="00EE5B3B"/>
    <w:rsid w:val="00EE6945"/>
    <w:rsid w:val="00EF6FED"/>
    <w:rsid w:val="00F00CD5"/>
    <w:rsid w:val="00F07BB7"/>
    <w:rsid w:val="00F11F5B"/>
    <w:rsid w:val="00F15C0D"/>
    <w:rsid w:val="00F16D63"/>
    <w:rsid w:val="00F23F1D"/>
    <w:rsid w:val="00F55BD0"/>
    <w:rsid w:val="00F574AF"/>
    <w:rsid w:val="00F666B4"/>
    <w:rsid w:val="00F7231C"/>
    <w:rsid w:val="00F8287D"/>
    <w:rsid w:val="00F8484C"/>
    <w:rsid w:val="00FA52A9"/>
    <w:rsid w:val="00FC6CF7"/>
    <w:rsid w:val="00FD0304"/>
    <w:rsid w:val="00FD1665"/>
    <w:rsid w:val="00FE25D4"/>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6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6:379:0005: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79:0005: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OJ:L:2006:379:0005: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61DD-E7FD-404C-B9FF-A0C5363C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14910</Words>
  <Characters>8500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Grozījumi Ministru kabineta 2008.gada 8.aprīļa noteikumos Nr.258 „Noteikumi par darbības programmas „Cilvēkresursi un nodarbinātība” papildinājuma apakšaktivitāti „Atbalstītās nodarbinātības pasākumi mērķgrupu bezdarbniekiem””</vt:lpstr>
    </vt:vector>
  </TitlesOfParts>
  <Company>LM</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8.aprīļa noteikumos Nr.258 „Noteikumi par darbības programmas „Cilvēkresursi un nodarbinātība” papildinājuma apakšaktivitāti „Atbalstītās nodarbinātības pasākumi mērķgrupu bezdarbniekiem””</dc:title>
  <dc:subject>Anotācija</dc:subject>
  <dc:creator>Vjačeslavs Makarovs</dc:creator>
  <dc:description>Tel.: 67021630_x000d_
Vjaceslavs.Makarovs@lm.gov.lv</dc:description>
  <cp:lastModifiedBy>Vjaceslavs Makarovs</cp:lastModifiedBy>
  <cp:revision>49</cp:revision>
  <cp:lastPrinted>2014-01-02T12:19:00Z</cp:lastPrinted>
  <dcterms:created xsi:type="dcterms:W3CDTF">2014-07-30T11:02:00Z</dcterms:created>
  <dcterms:modified xsi:type="dcterms:W3CDTF">2014-08-19T07:57:00Z</dcterms:modified>
</cp:coreProperties>
</file>