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857C5B" w:rsidRDefault="00857C5B" w:rsidP="00CC1A56">
      <w:pPr>
        <w:pStyle w:val="tv2121"/>
        <w:spacing w:before="0" w:line="240" w:lineRule="auto"/>
        <w:rPr>
          <w:rFonts w:ascii="Times New Roman" w:hAnsi="Times New Roman"/>
          <w:sz w:val="28"/>
          <w:szCs w:val="28"/>
        </w:rPr>
      </w:pPr>
      <w:bookmarkStart w:id="0" w:name="372832"/>
      <w:r w:rsidRPr="00857C5B">
        <w:rPr>
          <w:rFonts w:ascii="Times New Roman" w:hAnsi="Times New Roman"/>
          <w:bCs w:val="0"/>
          <w:sz w:val="28"/>
          <w:szCs w:val="28"/>
        </w:rPr>
        <w:t>Ministru kabineta rīkojuma „Grozījumi darbības programmas „Cilvēkresursi un nodarbinātība” papildinājumā” projekta</w:t>
      </w:r>
      <w:r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rsidTr="001E645F">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1E645F">
        <w:trPr>
          <w:trHeight w:val="415"/>
        </w:trPr>
        <w:tc>
          <w:tcPr>
            <w:tcW w:w="227" w:type="pct"/>
          </w:tcPr>
          <w:p w:rsidR="00CC1A56" w:rsidRPr="00DD49B6" w:rsidRDefault="00CC1A56" w:rsidP="007D385B">
            <w:pPr>
              <w:pStyle w:val="naiskr"/>
              <w:spacing w:before="0" w:beforeAutospacing="0" w:after="0" w:afterAutospacing="0"/>
              <w:ind w:left="57" w:right="57"/>
              <w:jc w:val="center"/>
            </w:pPr>
            <w:r w:rsidRPr="00DD49B6">
              <w:t>1.</w:t>
            </w:r>
          </w:p>
        </w:tc>
        <w:tc>
          <w:tcPr>
            <w:tcW w:w="1566" w:type="pct"/>
          </w:tcPr>
          <w:p w:rsidR="00CC1A56" w:rsidRPr="00DD49B6" w:rsidRDefault="00CC1A56" w:rsidP="007D385B">
            <w:pPr>
              <w:pStyle w:val="naiskr"/>
              <w:spacing w:before="0" w:beforeAutospacing="0" w:after="0" w:afterAutospacing="0"/>
              <w:ind w:left="57" w:right="57"/>
            </w:pPr>
            <w:r w:rsidRPr="00DD49B6">
              <w:t>Pamatojums</w:t>
            </w:r>
          </w:p>
        </w:tc>
        <w:tc>
          <w:tcPr>
            <w:tcW w:w="3207" w:type="pct"/>
          </w:tcPr>
          <w:p w:rsidR="00AB4028" w:rsidRDefault="006D573E" w:rsidP="00AB4028">
            <w:pPr>
              <w:spacing w:after="0" w:line="240" w:lineRule="auto"/>
              <w:ind w:left="57" w:right="57"/>
              <w:jc w:val="both"/>
              <w:rPr>
                <w:rFonts w:ascii="Times New Roman" w:hAnsi="Times New Roman" w:cs="Times New Roman"/>
                <w:sz w:val="24"/>
                <w:szCs w:val="24"/>
              </w:rPr>
            </w:pPr>
            <w:r w:rsidRPr="006D573E">
              <w:rPr>
                <w:rFonts w:ascii="Times New Roman" w:hAnsi="Times New Roman" w:cs="Times New Roman"/>
                <w:sz w:val="24"/>
                <w:szCs w:val="24"/>
              </w:rPr>
              <w:t>Ministru kabineta (turpmāk - MK) rīkojuma projekts „Grozījumi darbības programmas „Cilvēkresursi un nodarbinātība” papildinājumā” (turpmāk – MK rīkojuma projekts) ir izstrādāts, lai nodrošinātu</w:t>
            </w:r>
            <w:r w:rsidR="00AB4028">
              <w:rPr>
                <w:rFonts w:ascii="Times New Roman" w:hAnsi="Times New Roman" w:cs="Times New Roman"/>
                <w:sz w:val="24"/>
                <w:szCs w:val="24"/>
              </w:rPr>
              <w:t>:</w:t>
            </w:r>
          </w:p>
          <w:p w:rsidR="00AB4028" w:rsidRDefault="00AB4028" w:rsidP="00AB4028">
            <w:pPr>
              <w:spacing w:after="0" w:line="240" w:lineRule="auto"/>
              <w:ind w:left="57" w:right="57"/>
              <w:jc w:val="both"/>
              <w:rPr>
                <w:rFonts w:ascii="Times New Roman" w:hAnsi="Times New Roman" w:cs="Times New Roman"/>
                <w:sz w:val="24"/>
                <w:szCs w:val="24"/>
                <w:shd w:val="clear" w:color="auto" w:fill="FFFFFF"/>
              </w:rPr>
            </w:pPr>
            <w:r w:rsidRPr="00A51A0A">
              <w:rPr>
                <w:rFonts w:ascii="Times New Roman" w:hAnsi="Times New Roman" w:cs="Times New Roman"/>
                <w:b/>
                <w:sz w:val="24"/>
                <w:szCs w:val="24"/>
              </w:rPr>
              <w:t>-</w:t>
            </w:r>
            <w:r w:rsidR="006D573E" w:rsidRPr="006D573E">
              <w:rPr>
                <w:rFonts w:ascii="Times New Roman" w:hAnsi="Times New Roman" w:cs="Times New Roman"/>
                <w:sz w:val="24"/>
                <w:szCs w:val="24"/>
              </w:rPr>
              <w:t xml:space="preserve"> darbības programmas „Cilvēkresursi un nodarbinātība” papildinājuma (turpmāk – DPP) Labklājības ministrijas administrēto aktivitāšu pieej</w:t>
            </w:r>
            <w:r w:rsidR="005D3E1C">
              <w:rPr>
                <w:rFonts w:ascii="Times New Roman" w:hAnsi="Times New Roman" w:cs="Times New Roman"/>
                <w:sz w:val="24"/>
                <w:szCs w:val="24"/>
              </w:rPr>
              <w:t xml:space="preserve">amā </w:t>
            </w:r>
            <w:r w:rsidR="004B2C5B">
              <w:rPr>
                <w:rFonts w:ascii="Times New Roman" w:hAnsi="Times New Roman" w:cs="Times New Roman"/>
                <w:sz w:val="24"/>
                <w:szCs w:val="24"/>
              </w:rPr>
              <w:t>finansējuma efektīvu apguvi</w:t>
            </w:r>
            <w:r w:rsidR="00181E0E">
              <w:rPr>
                <w:rFonts w:ascii="Times New Roman" w:hAnsi="Times New Roman" w:cs="Times New Roman"/>
                <w:sz w:val="24"/>
                <w:szCs w:val="24"/>
              </w:rPr>
              <w:t>,</w:t>
            </w:r>
          </w:p>
          <w:p w:rsidR="00AB4028" w:rsidRPr="00CD7EF5" w:rsidRDefault="00AB4028" w:rsidP="00AB4028">
            <w:pPr>
              <w:spacing w:after="0" w:line="240" w:lineRule="auto"/>
              <w:ind w:left="57" w:right="57"/>
              <w:jc w:val="both"/>
              <w:rPr>
                <w:rFonts w:ascii="Times New Roman" w:hAnsi="Times New Roman" w:cs="Times New Roman"/>
                <w:sz w:val="24"/>
                <w:szCs w:val="24"/>
                <w:shd w:val="clear" w:color="auto" w:fill="FFFFFF"/>
              </w:rPr>
            </w:pPr>
            <w:r w:rsidRPr="00A51A0A">
              <w:rPr>
                <w:rFonts w:ascii="Times New Roman" w:hAnsi="Times New Roman" w:cs="Times New Roman"/>
                <w:b/>
                <w:sz w:val="24"/>
                <w:szCs w:val="24"/>
                <w:shd w:val="clear" w:color="auto" w:fill="FFFFFF"/>
              </w:rPr>
              <w:t xml:space="preserve">- </w:t>
            </w:r>
            <w:r w:rsidR="008422C0" w:rsidRPr="00CD7EF5">
              <w:rPr>
                <w:rFonts w:ascii="Times New Roman" w:hAnsi="Times New Roman" w:cs="Times New Roman"/>
                <w:sz w:val="24"/>
                <w:szCs w:val="24"/>
                <w:shd w:val="clear" w:color="auto" w:fill="FFFFFF"/>
              </w:rPr>
              <w:t>iznākuma rādītāj</w:t>
            </w:r>
            <w:r w:rsidR="00181E0E" w:rsidRPr="00CD7EF5">
              <w:rPr>
                <w:rFonts w:ascii="Times New Roman" w:hAnsi="Times New Roman" w:cs="Times New Roman"/>
                <w:sz w:val="24"/>
                <w:szCs w:val="24"/>
                <w:shd w:val="clear" w:color="auto" w:fill="FFFFFF"/>
              </w:rPr>
              <w:t>u</w:t>
            </w:r>
            <w:r w:rsidR="008422C0" w:rsidRPr="00CD7EF5">
              <w:rPr>
                <w:rFonts w:ascii="Times New Roman" w:hAnsi="Times New Roman" w:cs="Times New Roman"/>
                <w:sz w:val="24"/>
                <w:szCs w:val="24"/>
                <w:shd w:val="clear" w:color="auto" w:fill="FFFFFF"/>
              </w:rPr>
              <w:t xml:space="preserve"> </w:t>
            </w:r>
            <w:r w:rsidRPr="00CD7EF5">
              <w:rPr>
                <w:rFonts w:ascii="Times New Roman" w:hAnsi="Times New Roman" w:cs="Times New Roman"/>
                <w:sz w:val="24"/>
                <w:szCs w:val="24"/>
                <w:shd w:val="clear" w:color="auto" w:fill="FFFFFF"/>
              </w:rPr>
              <w:t>aktualizēšanu,</w:t>
            </w:r>
          </w:p>
          <w:p w:rsidR="00400D63" w:rsidRPr="00CD7EF5" w:rsidRDefault="00AB4028" w:rsidP="00400D63">
            <w:pPr>
              <w:spacing w:after="0" w:line="240" w:lineRule="auto"/>
              <w:ind w:left="57" w:right="57"/>
              <w:jc w:val="both"/>
              <w:rPr>
                <w:rFonts w:ascii="Times New Roman" w:hAnsi="Times New Roman" w:cs="Times New Roman"/>
                <w:sz w:val="24"/>
                <w:szCs w:val="24"/>
                <w:shd w:val="clear" w:color="auto" w:fill="FFFFFF"/>
              </w:rPr>
            </w:pPr>
            <w:r w:rsidRPr="00A51A0A">
              <w:rPr>
                <w:rFonts w:ascii="Times New Roman" w:hAnsi="Times New Roman" w:cs="Times New Roman"/>
                <w:b/>
                <w:sz w:val="24"/>
                <w:szCs w:val="24"/>
                <w:shd w:val="clear" w:color="auto" w:fill="FFFFFF"/>
              </w:rPr>
              <w:t>-</w:t>
            </w:r>
            <w:r w:rsidRPr="00CD7EF5">
              <w:rPr>
                <w:rFonts w:ascii="Times New Roman" w:hAnsi="Times New Roman" w:cs="Times New Roman"/>
                <w:sz w:val="24"/>
                <w:szCs w:val="24"/>
                <w:shd w:val="clear" w:color="auto" w:fill="FFFFFF"/>
              </w:rPr>
              <w:t xml:space="preserve"> </w:t>
            </w:r>
            <w:r w:rsidRPr="00CD7EF5">
              <w:rPr>
                <w:rFonts w:ascii="Times New Roman" w:hAnsi="Times New Roman" w:cs="Times New Roman"/>
                <w:sz w:val="24"/>
                <w:szCs w:val="24"/>
              </w:rPr>
              <w:t xml:space="preserve">jaunas atbalstāmās darbības īstenošanu 1.3.1.4.aktivitātes </w:t>
            </w:r>
            <w:r w:rsidRPr="00CD7EF5">
              <w:rPr>
                <w:rFonts w:ascii="Times New Roman" w:hAnsi="Times New Roman" w:cs="Times New Roman"/>
                <w:sz w:val="24"/>
                <w:szCs w:val="24"/>
                <w:shd w:val="clear" w:color="auto" w:fill="FFFFFF"/>
              </w:rPr>
              <w:t>„Kapacitātes stiprināšana darba tirgus institūcijām” (turpmāk – 1.3.1.4.aktivitāte) ietvaros</w:t>
            </w:r>
            <w:r w:rsidR="00944E1A" w:rsidRPr="00CD7EF5">
              <w:rPr>
                <w:rFonts w:ascii="Times New Roman" w:hAnsi="Times New Roman" w:cs="Times New Roman"/>
                <w:sz w:val="24"/>
                <w:szCs w:val="24"/>
                <w:shd w:val="clear" w:color="auto" w:fill="FFFFFF"/>
              </w:rPr>
              <w:t>,</w:t>
            </w:r>
          </w:p>
          <w:p w:rsidR="00CC1A56" w:rsidRDefault="00944E1A" w:rsidP="00944E1A">
            <w:pPr>
              <w:spacing w:after="0" w:line="240" w:lineRule="auto"/>
              <w:ind w:left="57" w:right="57"/>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 </w:t>
            </w:r>
            <w:r w:rsidR="005D3E1C" w:rsidRPr="004A42DE">
              <w:rPr>
                <w:rFonts w:ascii="Times New Roman" w:hAnsi="Times New Roman" w:cs="Times New Roman"/>
                <w:sz w:val="24"/>
                <w:szCs w:val="24"/>
              </w:rPr>
              <w:t>Ministru kabineta 17.12.2013. sēdes protokola Nr.67 92.§</w:t>
            </w:r>
            <w:r w:rsidR="006F6F3B">
              <w:rPr>
                <w:rFonts w:ascii="Times New Roman" w:hAnsi="Times New Roman" w:cs="Times New Roman"/>
                <w:sz w:val="24"/>
                <w:szCs w:val="24"/>
              </w:rPr>
              <w:t xml:space="preserve"> 5.un</w:t>
            </w:r>
            <w:r w:rsidR="005D3E1C" w:rsidRPr="004A42DE">
              <w:rPr>
                <w:rFonts w:ascii="Times New Roman" w:hAnsi="Times New Roman" w:cs="Times New Roman"/>
                <w:sz w:val="24"/>
                <w:szCs w:val="24"/>
              </w:rPr>
              <w:t xml:space="preserve"> </w:t>
            </w:r>
            <w:r w:rsidR="005D3E1C">
              <w:rPr>
                <w:rFonts w:ascii="Times New Roman" w:hAnsi="Times New Roman" w:cs="Times New Roman"/>
                <w:sz w:val="24"/>
                <w:szCs w:val="24"/>
              </w:rPr>
              <w:t>6.</w:t>
            </w:r>
            <w:r w:rsidR="004B2C5B">
              <w:rPr>
                <w:rFonts w:ascii="Times New Roman" w:hAnsi="Times New Roman" w:cs="Times New Roman"/>
                <w:sz w:val="24"/>
                <w:szCs w:val="24"/>
              </w:rPr>
              <w:t>punkta izpildi</w:t>
            </w:r>
            <w:r w:rsidR="00400D63">
              <w:rPr>
                <w:rFonts w:ascii="Times New Roman" w:hAnsi="Times New Roman" w:cs="Times New Roman"/>
                <w:sz w:val="24"/>
                <w:szCs w:val="24"/>
              </w:rPr>
              <w:t>,</w:t>
            </w:r>
          </w:p>
          <w:p w:rsidR="00400D63" w:rsidRDefault="00400D63" w:rsidP="00885959">
            <w:pPr>
              <w:spacing w:after="0" w:line="240" w:lineRule="auto"/>
              <w:ind w:left="57" w:right="57"/>
              <w:jc w:val="both"/>
              <w:rPr>
                <w:rFonts w:ascii="Times New Roman" w:hAnsi="Times New Roman"/>
                <w:sz w:val="24"/>
                <w:szCs w:val="24"/>
              </w:rPr>
            </w:pPr>
            <w:r w:rsidRPr="00A51A0A">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Pr="009715A3">
              <w:rPr>
                <w:rFonts w:ascii="Times New Roman" w:hAnsi="Times New Roman"/>
                <w:sz w:val="24"/>
                <w:szCs w:val="24"/>
              </w:rPr>
              <w:t>2013.gada</w:t>
            </w:r>
            <w:proofErr w:type="gramEnd"/>
            <w:r w:rsidRPr="009715A3">
              <w:rPr>
                <w:rFonts w:ascii="Times New Roman" w:hAnsi="Times New Roman"/>
                <w:sz w:val="24"/>
                <w:szCs w:val="24"/>
              </w:rPr>
              <w:t xml:space="preserve"> 6.augusta MK sēdes </w:t>
            </w:r>
            <w:proofErr w:type="spellStart"/>
            <w:r w:rsidRPr="009715A3">
              <w:rPr>
                <w:rFonts w:ascii="Times New Roman" w:hAnsi="Times New Roman"/>
                <w:sz w:val="24"/>
                <w:szCs w:val="24"/>
              </w:rPr>
              <w:t>protokollēmuma</w:t>
            </w:r>
            <w:proofErr w:type="spellEnd"/>
            <w:r w:rsidRPr="009715A3">
              <w:rPr>
                <w:rFonts w:ascii="Times New Roman" w:hAnsi="Times New Roman"/>
                <w:sz w:val="24"/>
                <w:szCs w:val="24"/>
              </w:rPr>
              <w:t xml:space="preserve"> Nr.42 84.§ „Informatīvais ziņojums „Par Eiropas Savienības fondu 2007.-2013.gada un 2014.-2020.gada plānošanas perioda pārejas posmā papildu nepieciešamo finansējumu aktīvo nodarbinātības pasākumu nepārtrauktai nodrošināšanai””</w:t>
            </w:r>
            <w:r w:rsidR="00885959">
              <w:rPr>
                <w:rFonts w:ascii="Times New Roman" w:hAnsi="Times New Roman"/>
                <w:sz w:val="24"/>
                <w:szCs w:val="24"/>
              </w:rPr>
              <w:t xml:space="preserve"> (turpmāk – MK 06.08.2013.sēdes </w:t>
            </w:r>
            <w:proofErr w:type="spellStart"/>
            <w:r w:rsidR="00885959">
              <w:rPr>
                <w:rFonts w:ascii="Times New Roman" w:hAnsi="Times New Roman"/>
                <w:sz w:val="24"/>
                <w:szCs w:val="24"/>
              </w:rPr>
              <w:t>protokollēmums</w:t>
            </w:r>
            <w:proofErr w:type="spellEnd"/>
            <w:r w:rsidR="00885959">
              <w:rPr>
                <w:rFonts w:ascii="Times New Roman" w:hAnsi="Times New Roman"/>
                <w:sz w:val="24"/>
                <w:szCs w:val="24"/>
              </w:rPr>
              <w:t xml:space="preserve"> Nr.42 84</w:t>
            </w:r>
            <w:r w:rsidR="00885959" w:rsidRPr="009715A3">
              <w:rPr>
                <w:rFonts w:ascii="Times New Roman" w:hAnsi="Times New Roman"/>
                <w:sz w:val="24"/>
                <w:szCs w:val="24"/>
              </w:rPr>
              <w:t>§</w:t>
            </w:r>
            <w:r w:rsidR="00885959">
              <w:rPr>
                <w:rFonts w:ascii="Times New Roman" w:hAnsi="Times New Roman"/>
                <w:sz w:val="24"/>
                <w:szCs w:val="24"/>
              </w:rPr>
              <w:t>)</w:t>
            </w:r>
            <w:r>
              <w:rPr>
                <w:rFonts w:ascii="Times New Roman" w:hAnsi="Times New Roman"/>
                <w:sz w:val="24"/>
                <w:szCs w:val="24"/>
              </w:rPr>
              <w:t>,</w:t>
            </w:r>
          </w:p>
          <w:p w:rsidR="00400D63" w:rsidRDefault="00400D63" w:rsidP="00400D63">
            <w:pPr>
              <w:spacing w:after="0" w:line="240" w:lineRule="auto"/>
              <w:ind w:left="57" w:right="57"/>
              <w:jc w:val="both"/>
              <w:rPr>
                <w:rFonts w:ascii="Times New Roman" w:hAnsi="Times New Roman"/>
                <w:sz w:val="24"/>
                <w:szCs w:val="24"/>
              </w:rPr>
            </w:pPr>
            <w:r w:rsidRPr="00A219FD">
              <w:rPr>
                <w:rFonts w:ascii="Times New Roman" w:hAnsi="Times New Roman"/>
                <w:b/>
                <w:sz w:val="24"/>
                <w:szCs w:val="24"/>
              </w:rPr>
              <w:t>-</w:t>
            </w:r>
            <w:r>
              <w:rPr>
                <w:rFonts w:ascii="Times New Roman" w:hAnsi="Times New Roman"/>
                <w:sz w:val="24"/>
                <w:szCs w:val="24"/>
              </w:rPr>
              <w:t xml:space="preserve"> </w:t>
            </w:r>
            <w:proofErr w:type="gramStart"/>
            <w:r w:rsidRPr="009715A3">
              <w:rPr>
                <w:rFonts w:ascii="Times New Roman" w:hAnsi="Times New Roman"/>
                <w:sz w:val="24"/>
                <w:szCs w:val="24"/>
              </w:rPr>
              <w:t>2013.gada</w:t>
            </w:r>
            <w:proofErr w:type="gramEnd"/>
            <w:r w:rsidRPr="009715A3">
              <w:rPr>
                <w:rFonts w:ascii="Times New Roman" w:hAnsi="Times New Roman"/>
                <w:sz w:val="24"/>
                <w:szCs w:val="24"/>
              </w:rPr>
              <w:t xml:space="preserve"> 20.augusta MK sēdes </w:t>
            </w:r>
            <w:proofErr w:type="spellStart"/>
            <w:r w:rsidRPr="009715A3">
              <w:rPr>
                <w:rFonts w:ascii="Times New Roman" w:hAnsi="Times New Roman"/>
                <w:sz w:val="24"/>
                <w:szCs w:val="24"/>
              </w:rPr>
              <w:t>protokollēmuma</w:t>
            </w:r>
            <w:proofErr w:type="spellEnd"/>
            <w:r w:rsidRPr="009715A3">
              <w:rPr>
                <w:rFonts w:ascii="Times New Roman" w:hAnsi="Times New Roman"/>
                <w:sz w:val="24"/>
                <w:szCs w:val="24"/>
              </w:rPr>
              <w:t xml:space="preserve"> Nr.45 97.§ „Informatīvais ziņojums „Par Eiropas Savienības struktūrfondu un Kohēzijas fonda, Eiropas Ekonomikas zonas finanšu instrumenta, Norvēģijas finanšu instrumenta un Latvijas un Šveices sadarbības programmas apguvi līdz 2013.gada 30.jūnijam”” 10.3.apakšpunktu</w:t>
            </w:r>
            <w:r w:rsidR="00885959">
              <w:rPr>
                <w:rFonts w:ascii="Times New Roman" w:hAnsi="Times New Roman"/>
                <w:sz w:val="24"/>
                <w:szCs w:val="24"/>
              </w:rPr>
              <w:t xml:space="preserve"> (turpmāk – MK 20.08.2013.sēdes </w:t>
            </w:r>
            <w:proofErr w:type="spellStart"/>
            <w:r w:rsidR="00885959">
              <w:rPr>
                <w:rFonts w:ascii="Times New Roman" w:hAnsi="Times New Roman"/>
                <w:sz w:val="24"/>
                <w:szCs w:val="24"/>
              </w:rPr>
              <w:t>protkollēmums</w:t>
            </w:r>
            <w:proofErr w:type="spellEnd"/>
            <w:r w:rsidR="00885959">
              <w:rPr>
                <w:rFonts w:ascii="Times New Roman" w:hAnsi="Times New Roman"/>
                <w:sz w:val="24"/>
                <w:szCs w:val="24"/>
              </w:rPr>
              <w:t xml:space="preserve"> Nr.45 97</w:t>
            </w:r>
            <w:r w:rsidR="00885959" w:rsidRPr="009715A3">
              <w:rPr>
                <w:rFonts w:ascii="Times New Roman" w:hAnsi="Times New Roman"/>
                <w:sz w:val="24"/>
                <w:szCs w:val="24"/>
              </w:rPr>
              <w:t>§</w:t>
            </w:r>
            <w:r w:rsidR="00885959">
              <w:rPr>
                <w:rFonts w:ascii="Times New Roman" w:hAnsi="Times New Roman"/>
                <w:sz w:val="24"/>
                <w:szCs w:val="24"/>
              </w:rPr>
              <w:t>).</w:t>
            </w:r>
          </w:p>
          <w:p w:rsidR="000506F6" w:rsidRPr="00944E1A" w:rsidRDefault="000506F6" w:rsidP="00400D63">
            <w:pPr>
              <w:spacing w:after="0" w:line="240" w:lineRule="auto"/>
              <w:ind w:left="57" w:right="57"/>
              <w:jc w:val="both"/>
              <w:rPr>
                <w:rFonts w:ascii="Times New Roman" w:hAnsi="Times New Roman" w:cs="Times New Roman"/>
                <w:sz w:val="24"/>
                <w:szCs w:val="24"/>
              </w:rPr>
            </w:pPr>
          </w:p>
        </w:tc>
      </w:tr>
      <w:tr w:rsidR="00CC1A56" w:rsidRPr="00DD49B6" w:rsidTr="001E645F">
        <w:trPr>
          <w:trHeight w:val="472"/>
        </w:trPr>
        <w:tc>
          <w:tcPr>
            <w:tcW w:w="227" w:type="pct"/>
          </w:tcPr>
          <w:p w:rsidR="00CC1A56" w:rsidRPr="00DD49B6" w:rsidRDefault="00CC1A56" w:rsidP="007D385B">
            <w:pPr>
              <w:pStyle w:val="naiskr"/>
              <w:spacing w:before="0" w:beforeAutospacing="0" w:after="0" w:afterAutospacing="0"/>
              <w:ind w:left="57" w:right="57"/>
              <w:jc w:val="center"/>
            </w:pPr>
            <w:r w:rsidRPr="00DD49B6">
              <w:t>2.</w:t>
            </w:r>
          </w:p>
        </w:tc>
        <w:tc>
          <w:tcPr>
            <w:tcW w:w="1566"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874FAD" w:rsidRDefault="003B0FBE" w:rsidP="006B616F">
            <w:pPr>
              <w:tabs>
                <w:tab w:val="left" w:pos="6444"/>
              </w:tabs>
              <w:spacing w:after="0" w:line="240" w:lineRule="auto"/>
              <w:ind w:right="141"/>
              <w:jc w:val="both"/>
              <w:rPr>
                <w:rFonts w:ascii="Times New Roman" w:hAnsi="Times New Roman" w:cs="Times New Roman"/>
                <w:sz w:val="24"/>
                <w:szCs w:val="24"/>
                <w:shd w:val="clear" w:color="auto" w:fill="FFFFFF"/>
              </w:rPr>
            </w:pPr>
            <w:r w:rsidRPr="003B0FBE">
              <w:rPr>
                <w:rFonts w:ascii="Times New Roman" w:hAnsi="Times New Roman" w:cs="Times New Roman"/>
                <w:sz w:val="24"/>
                <w:szCs w:val="24"/>
                <w:shd w:val="clear" w:color="auto" w:fill="FFFFFF"/>
              </w:rPr>
              <w:t>1. </w:t>
            </w:r>
            <w:r w:rsidR="003D58F4" w:rsidRPr="003D58F4">
              <w:rPr>
                <w:rFonts w:ascii="Times New Roman" w:hAnsi="Times New Roman" w:cs="Times New Roman"/>
                <w:sz w:val="24"/>
                <w:szCs w:val="24"/>
                <w:shd w:val="clear" w:color="auto" w:fill="FFFFFF"/>
              </w:rPr>
              <w:t>Saskaņā ar Labklājības ministrijas pārziņā esošo ES fondu aktivitāšu finanšu apguves izvērtējumu</w:t>
            </w:r>
            <w:r w:rsidR="00874FAD">
              <w:rPr>
                <w:rFonts w:ascii="Times New Roman" w:hAnsi="Times New Roman" w:cs="Times New Roman"/>
                <w:sz w:val="24"/>
                <w:szCs w:val="24"/>
                <w:shd w:val="clear" w:color="auto" w:fill="FFFFFF"/>
              </w:rPr>
              <w:t>:</w:t>
            </w:r>
          </w:p>
          <w:p w:rsidR="009715A3" w:rsidRPr="00561D85" w:rsidRDefault="003D58F4" w:rsidP="009715A3">
            <w:pPr>
              <w:pStyle w:val="ListParagraph"/>
              <w:numPr>
                <w:ilvl w:val="3"/>
                <w:numId w:val="6"/>
              </w:numPr>
              <w:shd w:val="clear" w:color="auto" w:fill="FFFFFF"/>
              <w:spacing w:after="0" w:line="240" w:lineRule="auto"/>
              <w:ind w:left="426" w:right="57" w:hanging="284"/>
              <w:jc w:val="both"/>
              <w:rPr>
                <w:rFonts w:ascii="Times New Roman" w:hAnsi="Times New Roman"/>
                <w:sz w:val="24"/>
                <w:szCs w:val="24"/>
              </w:rPr>
            </w:pPr>
            <w:r w:rsidRPr="009715A3">
              <w:rPr>
                <w:rFonts w:ascii="Times New Roman" w:hAnsi="Times New Roman" w:cs="Times New Roman"/>
                <w:sz w:val="24"/>
                <w:szCs w:val="24"/>
                <w:shd w:val="clear" w:color="auto" w:fill="FFFFFF"/>
              </w:rPr>
              <w:t xml:space="preserve">DPP 1.3.1.3.2.apakšaktivitātes „Darba attiecību un darba drošības normatīvo aktu praktiska piemērošana nozarēs un uzņēmumos” (turpmāk – 1.3.1.3.2.apakšaktivitāte) ietvaros konstatēts finanšu līdzekļu ietaupījums </w:t>
            </w:r>
            <w:r w:rsidRPr="009715A3">
              <w:rPr>
                <w:rFonts w:ascii="Times New Roman" w:hAnsi="Times New Roman" w:cs="Times New Roman"/>
                <w:sz w:val="24"/>
                <w:szCs w:val="24"/>
              </w:rPr>
              <w:t xml:space="preserve">293 677 EUR </w:t>
            </w:r>
            <w:r w:rsidR="006673B6" w:rsidRPr="009715A3">
              <w:rPr>
                <w:rFonts w:ascii="Times New Roman" w:hAnsi="Times New Roman" w:cs="Times New Roman"/>
                <w:sz w:val="24"/>
                <w:szCs w:val="24"/>
                <w:shd w:val="clear" w:color="auto" w:fill="FFFFFF"/>
              </w:rPr>
              <w:t xml:space="preserve">apmērā (radies </w:t>
            </w:r>
            <w:r w:rsidR="00FF589C" w:rsidRPr="009715A3">
              <w:rPr>
                <w:rFonts w:ascii="Times New Roman" w:hAnsi="Times New Roman" w:cs="Times New Roman"/>
                <w:sz w:val="24"/>
                <w:szCs w:val="24"/>
                <w:shd w:val="clear" w:color="auto" w:fill="FFFFFF"/>
              </w:rPr>
              <w:t>projektu īstenošanas noslēgšanas rezultātā</w:t>
            </w:r>
            <w:r w:rsidR="006673B6" w:rsidRPr="009715A3">
              <w:rPr>
                <w:rFonts w:ascii="Times New Roman" w:hAnsi="Times New Roman" w:cs="Times New Roman"/>
                <w:sz w:val="24"/>
                <w:szCs w:val="24"/>
                <w:shd w:val="clear" w:color="auto" w:fill="FFFFFF"/>
              </w:rPr>
              <w:t>) un DPP 1.3.1.7.</w:t>
            </w:r>
            <w:r w:rsidRPr="009715A3">
              <w:rPr>
                <w:rFonts w:ascii="Times New Roman" w:hAnsi="Times New Roman" w:cs="Times New Roman"/>
                <w:sz w:val="24"/>
                <w:szCs w:val="24"/>
                <w:shd w:val="clear" w:color="auto" w:fill="FFFFFF"/>
              </w:rPr>
              <w:t xml:space="preserve">aktivitātes „Darba tirgus pieprasījuma īstermiņa un ilgtermiņa prognozēšanas un uzraudzības sistēmas attīstība” (turpmāk – 1.3.1.7.aktivitāte) ietvaros konstatēts finanšu līdzekļu ietaupījums </w:t>
            </w:r>
            <w:r w:rsidR="00BD7D00">
              <w:rPr>
                <w:rFonts w:ascii="Times New Roman" w:hAnsi="Times New Roman" w:cs="Times New Roman"/>
                <w:sz w:val="24"/>
                <w:szCs w:val="24"/>
                <w:shd w:val="clear" w:color="auto" w:fill="FFFFFF"/>
              </w:rPr>
              <w:t xml:space="preserve">(radies gan Ekonomikas ministrijas īstenotajam projektam noslēdzoties, gan Nodarbinātības valsts aģentūras īstenotā projekta ieviešanas gaitā, ņemot vērā pētījumu skaita (iznākuma rādītāju) samazinājumu un to, ka atsevišķu iepirkumu līgumu summas </w:t>
            </w:r>
            <w:proofErr w:type="gramStart"/>
            <w:r w:rsidR="00BD7D00">
              <w:rPr>
                <w:rFonts w:ascii="Times New Roman" w:hAnsi="Times New Roman" w:cs="Times New Roman"/>
                <w:sz w:val="24"/>
                <w:szCs w:val="24"/>
                <w:shd w:val="clear" w:color="auto" w:fill="FFFFFF"/>
              </w:rPr>
              <w:t>mazākas kā</w:t>
            </w:r>
            <w:proofErr w:type="gramEnd"/>
            <w:r w:rsidR="00BD7D00">
              <w:rPr>
                <w:rFonts w:ascii="Times New Roman" w:hAnsi="Times New Roman" w:cs="Times New Roman"/>
                <w:sz w:val="24"/>
                <w:szCs w:val="24"/>
                <w:shd w:val="clear" w:color="auto" w:fill="FFFFFF"/>
              </w:rPr>
              <w:t xml:space="preserve"> sākotnēji plānots) </w:t>
            </w:r>
            <w:r w:rsidRPr="009715A3">
              <w:rPr>
                <w:rFonts w:ascii="Times New Roman" w:hAnsi="Times New Roman" w:cs="Times New Roman"/>
                <w:sz w:val="24"/>
                <w:szCs w:val="24"/>
              </w:rPr>
              <w:t>1</w:t>
            </w:r>
            <w:r w:rsidR="00BB5814" w:rsidRPr="009715A3">
              <w:rPr>
                <w:rFonts w:ascii="Times New Roman" w:hAnsi="Times New Roman" w:cs="Times New Roman"/>
                <w:sz w:val="24"/>
                <w:szCs w:val="24"/>
              </w:rPr>
              <w:t>91</w:t>
            </w:r>
            <w:r w:rsidRPr="009715A3">
              <w:rPr>
                <w:rFonts w:ascii="Times New Roman" w:hAnsi="Times New Roman" w:cs="Times New Roman"/>
                <w:sz w:val="24"/>
                <w:szCs w:val="24"/>
              </w:rPr>
              <w:t> </w:t>
            </w:r>
            <w:r w:rsidR="00BB5814" w:rsidRPr="009715A3">
              <w:rPr>
                <w:rFonts w:ascii="Times New Roman" w:hAnsi="Times New Roman" w:cs="Times New Roman"/>
                <w:sz w:val="24"/>
                <w:szCs w:val="24"/>
              </w:rPr>
              <w:t>816</w:t>
            </w:r>
            <w:r w:rsidRPr="009715A3">
              <w:rPr>
                <w:rFonts w:ascii="Times New Roman" w:hAnsi="Times New Roman" w:cs="Times New Roman"/>
                <w:sz w:val="24"/>
                <w:szCs w:val="24"/>
              </w:rPr>
              <w:t xml:space="preserve"> EUR </w:t>
            </w:r>
            <w:r w:rsidRPr="009715A3">
              <w:rPr>
                <w:rFonts w:ascii="Times New Roman" w:hAnsi="Times New Roman" w:cs="Times New Roman"/>
                <w:sz w:val="24"/>
                <w:szCs w:val="24"/>
                <w:shd w:val="clear" w:color="auto" w:fill="FFFFFF"/>
              </w:rPr>
              <w:t>apmērā. Ietaupījumu</w:t>
            </w:r>
            <w:r w:rsidR="0018780A" w:rsidRPr="009715A3">
              <w:rPr>
                <w:rFonts w:ascii="Times New Roman" w:hAnsi="Times New Roman" w:cs="Times New Roman"/>
                <w:sz w:val="24"/>
                <w:szCs w:val="24"/>
                <w:shd w:val="clear" w:color="auto" w:fill="FFFFFF"/>
              </w:rPr>
              <w:t>s</w:t>
            </w:r>
            <w:r w:rsidR="00874FAD" w:rsidRPr="009715A3">
              <w:rPr>
                <w:rFonts w:ascii="Times New Roman" w:hAnsi="Times New Roman" w:cs="Times New Roman"/>
                <w:sz w:val="24"/>
                <w:szCs w:val="24"/>
                <w:shd w:val="clear" w:color="auto" w:fill="FFFFFF"/>
              </w:rPr>
              <w:t xml:space="preserve"> </w:t>
            </w:r>
            <w:r w:rsidR="00874FAD" w:rsidRPr="009715A3">
              <w:rPr>
                <w:rFonts w:ascii="Times New Roman" w:hAnsi="Times New Roman" w:cs="Times New Roman"/>
                <w:sz w:val="24"/>
                <w:szCs w:val="24"/>
                <w:shd w:val="clear" w:color="auto" w:fill="FFFFFF"/>
              </w:rPr>
              <w:lastRenderedPageBreak/>
              <w:t xml:space="preserve">plānots pārdalīt </w:t>
            </w:r>
            <w:r w:rsidRPr="009715A3">
              <w:rPr>
                <w:rFonts w:ascii="Times New Roman" w:hAnsi="Times New Roman" w:cs="Times New Roman"/>
                <w:sz w:val="24"/>
                <w:szCs w:val="24"/>
                <w:shd w:val="clear" w:color="auto" w:fill="FFFFFF"/>
              </w:rPr>
              <w:t>1.3.1.4.aktivitātes īstenošanai (15</w:t>
            </w:r>
            <w:r w:rsidR="00B90401" w:rsidRPr="009715A3">
              <w:rPr>
                <w:rFonts w:ascii="Times New Roman" w:hAnsi="Times New Roman" w:cs="Times New Roman"/>
                <w:sz w:val="24"/>
                <w:szCs w:val="24"/>
                <w:shd w:val="clear" w:color="auto" w:fill="FFFFFF"/>
              </w:rPr>
              <w:t>1</w:t>
            </w:r>
            <w:r w:rsidRPr="009715A3">
              <w:rPr>
                <w:rFonts w:ascii="Times New Roman" w:hAnsi="Times New Roman" w:cs="Times New Roman"/>
                <w:sz w:val="24"/>
                <w:szCs w:val="24"/>
                <w:shd w:val="clear" w:color="auto" w:fill="FFFFFF"/>
              </w:rPr>
              <w:t> </w:t>
            </w:r>
            <w:r w:rsidR="00B90401" w:rsidRPr="009715A3">
              <w:rPr>
                <w:rFonts w:ascii="Times New Roman" w:hAnsi="Times New Roman" w:cs="Times New Roman"/>
                <w:sz w:val="24"/>
                <w:szCs w:val="24"/>
                <w:shd w:val="clear" w:color="auto" w:fill="FFFFFF"/>
              </w:rPr>
              <w:t>146</w:t>
            </w:r>
            <w:r w:rsidRPr="009715A3">
              <w:rPr>
                <w:rFonts w:ascii="Times New Roman" w:hAnsi="Times New Roman" w:cs="Times New Roman"/>
                <w:sz w:val="24"/>
                <w:szCs w:val="24"/>
                <w:shd w:val="clear" w:color="auto" w:fill="FFFFFF"/>
              </w:rPr>
              <w:t xml:space="preserve"> EUR a</w:t>
            </w:r>
            <w:r w:rsidR="005913E4" w:rsidRPr="009715A3">
              <w:rPr>
                <w:rFonts w:ascii="Times New Roman" w:hAnsi="Times New Roman" w:cs="Times New Roman"/>
                <w:sz w:val="24"/>
                <w:szCs w:val="24"/>
                <w:shd w:val="clear" w:color="auto" w:fill="FFFFFF"/>
              </w:rPr>
              <w:t>pmērā), lai nodrošinātu papildu</w:t>
            </w:r>
            <w:r w:rsidRPr="009715A3">
              <w:rPr>
                <w:rFonts w:ascii="Times New Roman" w:hAnsi="Times New Roman" w:cs="Times New Roman"/>
                <w:sz w:val="24"/>
                <w:szCs w:val="24"/>
                <w:shd w:val="clear" w:color="auto" w:fill="FFFFFF"/>
              </w:rPr>
              <w:t xml:space="preserve"> darbību īstenošanu </w:t>
            </w:r>
            <w:proofErr w:type="gramStart"/>
            <w:r w:rsidRPr="009715A3">
              <w:rPr>
                <w:rFonts w:ascii="Times New Roman" w:hAnsi="Times New Roman" w:cs="Times New Roman"/>
                <w:sz w:val="24"/>
                <w:szCs w:val="24"/>
                <w:shd w:val="clear" w:color="auto" w:fill="FFFFFF"/>
              </w:rPr>
              <w:t>2014.gadā</w:t>
            </w:r>
            <w:proofErr w:type="gramEnd"/>
            <w:r w:rsidRPr="009715A3">
              <w:rPr>
                <w:rFonts w:ascii="Times New Roman" w:hAnsi="Times New Roman" w:cs="Times New Roman"/>
                <w:sz w:val="24"/>
                <w:szCs w:val="24"/>
                <w:shd w:val="clear" w:color="auto" w:fill="FFFFFF"/>
              </w:rPr>
              <w:t xml:space="preserve"> 1.3.1.4.aktivitātes ietvaros īs</w:t>
            </w:r>
            <w:r w:rsidR="00874FAD" w:rsidRPr="009715A3">
              <w:rPr>
                <w:rFonts w:ascii="Times New Roman" w:hAnsi="Times New Roman" w:cs="Times New Roman"/>
                <w:sz w:val="24"/>
                <w:szCs w:val="24"/>
                <w:shd w:val="clear" w:color="auto" w:fill="FFFFFF"/>
              </w:rPr>
              <w:t xml:space="preserve">tenotajā projektā, un </w:t>
            </w:r>
            <w:r w:rsidRPr="009715A3">
              <w:rPr>
                <w:rFonts w:ascii="Times New Roman" w:hAnsi="Times New Roman" w:cs="Times New Roman"/>
                <w:sz w:val="24"/>
                <w:szCs w:val="24"/>
                <w:shd w:val="clear" w:color="auto" w:fill="FFFFFF"/>
              </w:rPr>
              <w:t xml:space="preserve">1.3.1.5.aktivitātes „Vietējo nodarbinātības veicināšanas pasākumu plānu ieviešanas atbalsts” (turpmāk – 1.3.1.5.aktivitāte) </w:t>
            </w:r>
            <w:r w:rsidR="00774AFB" w:rsidRPr="009715A3">
              <w:rPr>
                <w:rFonts w:ascii="Times New Roman" w:hAnsi="Times New Roman" w:cs="Times New Roman"/>
                <w:sz w:val="24"/>
                <w:szCs w:val="24"/>
                <w:shd w:val="clear" w:color="auto" w:fill="FFFFFF"/>
              </w:rPr>
              <w:t xml:space="preserve">2.kārtas </w:t>
            </w:r>
            <w:r w:rsidRPr="009715A3">
              <w:rPr>
                <w:rFonts w:ascii="Times New Roman" w:hAnsi="Times New Roman" w:cs="Times New Roman"/>
                <w:sz w:val="24"/>
                <w:szCs w:val="24"/>
                <w:shd w:val="clear" w:color="auto" w:fill="FFFFFF"/>
              </w:rPr>
              <w:t>īstenošanai (</w:t>
            </w:r>
            <w:r w:rsidR="00B90401" w:rsidRPr="009715A3">
              <w:rPr>
                <w:rFonts w:ascii="Times New Roman" w:hAnsi="Times New Roman" w:cs="Times New Roman"/>
                <w:sz w:val="24"/>
                <w:szCs w:val="24"/>
                <w:shd w:val="clear" w:color="auto" w:fill="FFFFFF"/>
              </w:rPr>
              <w:t>334 </w:t>
            </w:r>
            <w:r w:rsidR="00AF7AF4" w:rsidRPr="009715A3">
              <w:rPr>
                <w:rFonts w:ascii="Times New Roman" w:hAnsi="Times New Roman" w:cs="Times New Roman"/>
                <w:sz w:val="24"/>
                <w:szCs w:val="24"/>
                <w:shd w:val="clear" w:color="auto" w:fill="FFFFFF"/>
              </w:rPr>
              <w:t>347</w:t>
            </w:r>
            <w:r w:rsidRPr="009715A3">
              <w:rPr>
                <w:rFonts w:ascii="Times New Roman" w:hAnsi="Times New Roman" w:cs="Times New Roman"/>
                <w:sz w:val="24"/>
                <w:szCs w:val="24"/>
                <w:shd w:val="clear" w:color="auto" w:fill="FFFFFF"/>
              </w:rPr>
              <w:t xml:space="preserve"> EUR apmērā), </w:t>
            </w:r>
            <w:r w:rsidR="00163649" w:rsidRPr="009715A3">
              <w:rPr>
                <w:rFonts w:ascii="Times New Roman" w:hAnsi="Times New Roman" w:cs="Times New Roman"/>
                <w:sz w:val="24"/>
                <w:szCs w:val="24"/>
                <w:shd w:val="clear" w:color="auto" w:fill="FFFFFF"/>
              </w:rPr>
              <w:t xml:space="preserve">tādējādi nodrošinot </w:t>
            </w:r>
            <w:r w:rsidR="00774AFB" w:rsidRPr="009715A3">
              <w:rPr>
                <w:rFonts w:ascii="Times New Roman" w:hAnsi="Times New Roman" w:cs="Times New Roman"/>
                <w:sz w:val="24"/>
                <w:szCs w:val="24"/>
                <w:shd w:val="clear" w:color="auto" w:fill="FFFFFF"/>
              </w:rPr>
              <w:t xml:space="preserve">atbalstu </w:t>
            </w:r>
            <w:r w:rsidR="00163649" w:rsidRPr="009715A3">
              <w:rPr>
                <w:rFonts w:ascii="Times New Roman" w:hAnsi="Times New Roman" w:cs="Times New Roman"/>
                <w:sz w:val="24"/>
                <w:szCs w:val="24"/>
                <w:shd w:val="clear" w:color="auto" w:fill="FFFFFF"/>
              </w:rPr>
              <w:t xml:space="preserve">vēl papildu 798 </w:t>
            </w:r>
            <w:r w:rsidR="00774AFB" w:rsidRPr="00561D85">
              <w:rPr>
                <w:rFonts w:ascii="Times New Roman" w:hAnsi="Times New Roman" w:cs="Times New Roman"/>
                <w:sz w:val="24"/>
                <w:szCs w:val="24"/>
                <w:shd w:val="clear" w:color="auto" w:fill="FFFFFF"/>
              </w:rPr>
              <w:t>bezdarbniekiem</w:t>
            </w:r>
            <w:r w:rsidR="00D02B72" w:rsidRPr="00561D85">
              <w:rPr>
                <w:rFonts w:ascii="Times New Roman" w:hAnsi="Times New Roman" w:cs="Times New Roman"/>
                <w:sz w:val="24"/>
                <w:szCs w:val="24"/>
                <w:shd w:val="clear" w:color="auto" w:fill="FFFFFF"/>
              </w:rPr>
              <w:t xml:space="preserve"> (tādējādi rādītāja „Sabiedrībai derīgos darbos iesaistīto bezdarbnieku skaits” 2013.gada vērtība (neieskaitot par </w:t>
            </w:r>
            <w:proofErr w:type="spellStart"/>
            <w:r w:rsidR="00D02B72" w:rsidRPr="00561D85">
              <w:rPr>
                <w:rFonts w:ascii="Times New Roman" w:hAnsi="Times New Roman" w:cs="Times New Roman"/>
                <w:sz w:val="24"/>
                <w:szCs w:val="24"/>
                <w:shd w:val="clear" w:color="auto" w:fill="FFFFFF"/>
              </w:rPr>
              <w:t>virssaistībām</w:t>
            </w:r>
            <w:proofErr w:type="spellEnd"/>
            <w:r w:rsidR="00D02B72" w:rsidRPr="00561D85">
              <w:rPr>
                <w:rFonts w:ascii="Times New Roman" w:hAnsi="Times New Roman" w:cs="Times New Roman"/>
                <w:sz w:val="24"/>
                <w:szCs w:val="24"/>
                <w:shd w:val="clear" w:color="auto" w:fill="FFFFFF"/>
              </w:rPr>
              <w:t xml:space="preserve"> sasniegto vērtību) 136 239 1.3.1.5.aktivitātes ietvaros aprēķināta, pamatojoties uz to, ka 1.3.1.5.aktivitātes pirmās kārtas projekta ietvaros, kas jau ir noslēdzies, tika iesaistīts 105 741 bezdarbnieks, savukārt 1.3.1.5.aktivitātes otrās kārtas projekta ietvaros – 30 498 bezdarbnieki)</w:t>
            </w:r>
            <w:r w:rsidR="009715A3" w:rsidRPr="00561D85">
              <w:rPr>
                <w:rFonts w:ascii="Times New Roman" w:hAnsi="Times New Roman" w:cs="Times New Roman"/>
                <w:sz w:val="24"/>
                <w:szCs w:val="24"/>
                <w:shd w:val="clear" w:color="auto" w:fill="FFFFFF"/>
              </w:rPr>
              <w:t>.</w:t>
            </w:r>
          </w:p>
          <w:p w:rsidR="00874FAD" w:rsidRPr="009715A3" w:rsidRDefault="00AC0C52" w:rsidP="009715A3">
            <w:pPr>
              <w:pStyle w:val="ListParagraph"/>
              <w:shd w:val="clear" w:color="auto" w:fill="FFFFFF"/>
              <w:spacing w:after="0" w:line="240" w:lineRule="auto"/>
              <w:ind w:left="426" w:right="57"/>
              <w:jc w:val="both"/>
              <w:rPr>
                <w:rFonts w:ascii="Times New Roman" w:hAnsi="Times New Roman"/>
                <w:sz w:val="24"/>
                <w:szCs w:val="24"/>
              </w:rPr>
            </w:pPr>
            <w:r>
              <w:rPr>
                <w:rFonts w:ascii="Times New Roman" w:hAnsi="Times New Roman" w:cs="Times New Roman"/>
                <w:sz w:val="24"/>
                <w:szCs w:val="24"/>
                <w:shd w:val="clear" w:color="auto" w:fill="FFFFFF"/>
              </w:rPr>
              <w:t>Attiecībā uz ierosinātās finanšu pārdales nepieciešamību, jāatzīmē, ka</w:t>
            </w:r>
            <w:r w:rsidR="009715A3">
              <w:rPr>
                <w:rFonts w:ascii="Times New Roman" w:hAnsi="Times New Roman" w:cs="Times New Roman"/>
                <w:sz w:val="24"/>
                <w:szCs w:val="24"/>
                <w:shd w:val="clear" w:color="auto" w:fill="FFFFFF"/>
              </w:rPr>
              <w:t xml:space="preserve"> </w:t>
            </w:r>
            <w:r w:rsidR="009715A3" w:rsidRPr="009715A3">
              <w:rPr>
                <w:rFonts w:ascii="Times New Roman" w:hAnsi="Times New Roman" w:cs="Times New Roman"/>
                <w:sz w:val="24"/>
                <w:szCs w:val="24"/>
                <w:shd w:val="clear" w:color="auto" w:fill="FFFFFF"/>
              </w:rPr>
              <w:t>s</w:t>
            </w:r>
            <w:r w:rsidR="009715A3" w:rsidRPr="009715A3">
              <w:rPr>
                <w:rFonts w:ascii="Times New Roman" w:hAnsi="Times New Roman"/>
                <w:sz w:val="24"/>
                <w:szCs w:val="24"/>
              </w:rPr>
              <w:t xml:space="preserve">askaņā ar </w:t>
            </w:r>
            <w:r w:rsidR="00662B35">
              <w:rPr>
                <w:rFonts w:ascii="Times New Roman" w:hAnsi="Times New Roman"/>
                <w:sz w:val="24"/>
                <w:szCs w:val="24"/>
              </w:rPr>
              <w:t xml:space="preserve">MK 06.08.2013.sēdes </w:t>
            </w:r>
            <w:proofErr w:type="spellStart"/>
            <w:r w:rsidR="00662B35">
              <w:rPr>
                <w:rFonts w:ascii="Times New Roman" w:hAnsi="Times New Roman"/>
                <w:sz w:val="24"/>
                <w:szCs w:val="24"/>
              </w:rPr>
              <w:t>protokollēmum</w:t>
            </w:r>
            <w:r w:rsidR="00712AE5">
              <w:rPr>
                <w:rFonts w:ascii="Times New Roman" w:hAnsi="Times New Roman"/>
                <w:sz w:val="24"/>
                <w:szCs w:val="24"/>
              </w:rPr>
              <w:t>a</w:t>
            </w:r>
            <w:proofErr w:type="spellEnd"/>
            <w:r w:rsidR="00662B35">
              <w:rPr>
                <w:rFonts w:ascii="Times New Roman" w:hAnsi="Times New Roman"/>
                <w:sz w:val="24"/>
                <w:szCs w:val="24"/>
              </w:rPr>
              <w:t xml:space="preserve"> Nr.42 84</w:t>
            </w:r>
            <w:r w:rsidR="00662B35" w:rsidRPr="00662B35">
              <w:rPr>
                <w:rFonts w:ascii="Times New Roman" w:hAnsi="Times New Roman"/>
                <w:sz w:val="24"/>
                <w:szCs w:val="24"/>
              </w:rPr>
              <w:t>§</w:t>
            </w:r>
            <w:r w:rsidR="00662B35" w:rsidRPr="000938B5">
              <w:rPr>
                <w:rFonts w:ascii="Times New Roman" w:hAnsi="Times New Roman"/>
                <w:sz w:val="24"/>
                <w:szCs w:val="24"/>
              </w:rPr>
              <w:t xml:space="preserve"> </w:t>
            </w:r>
            <w:r w:rsidR="009715A3" w:rsidRPr="00662B35">
              <w:rPr>
                <w:rFonts w:ascii="Times New Roman" w:hAnsi="Times New Roman"/>
                <w:sz w:val="24"/>
                <w:szCs w:val="24"/>
              </w:rPr>
              <w:t xml:space="preserve">un </w:t>
            </w:r>
            <w:r w:rsidR="00662B35">
              <w:rPr>
                <w:rFonts w:ascii="Times New Roman" w:hAnsi="Times New Roman"/>
                <w:sz w:val="24"/>
                <w:szCs w:val="24"/>
              </w:rPr>
              <w:t>MK</w:t>
            </w:r>
            <w:r w:rsidR="00712AE5">
              <w:rPr>
                <w:rFonts w:ascii="Times New Roman" w:hAnsi="Times New Roman"/>
                <w:sz w:val="24"/>
                <w:szCs w:val="24"/>
              </w:rPr>
              <w:t xml:space="preserve"> 20.08.2013.sēdes </w:t>
            </w:r>
            <w:proofErr w:type="spellStart"/>
            <w:r w:rsidR="00712AE5">
              <w:rPr>
                <w:rFonts w:ascii="Times New Roman" w:hAnsi="Times New Roman"/>
                <w:sz w:val="24"/>
                <w:szCs w:val="24"/>
              </w:rPr>
              <w:t>protokollēmuma</w:t>
            </w:r>
            <w:proofErr w:type="spellEnd"/>
            <w:r w:rsidR="00662B35">
              <w:rPr>
                <w:rFonts w:ascii="Times New Roman" w:hAnsi="Times New Roman"/>
                <w:sz w:val="24"/>
                <w:szCs w:val="24"/>
              </w:rPr>
              <w:t xml:space="preserve"> Nr.4</w:t>
            </w:r>
            <w:r w:rsidR="00712AE5">
              <w:rPr>
                <w:rFonts w:ascii="Times New Roman" w:hAnsi="Times New Roman"/>
                <w:sz w:val="24"/>
                <w:szCs w:val="24"/>
              </w:rPr>
              <w:t>5</w:t>
            </w:r>
            <w:r w:rsidR="00662B35">
              <w:rPr>
                <w:rFonts w:ascii="Times New Roman" w:hAnsi="Times New Roman"/>
                <w:sz w:val="24"/>
                <w:szCs w:val="24"/>
              </w:rPr>
              <w:t xml:space="preserve"> </w:t>
            </w:r>
            <w:r w:rsidR="00712AE5">
              <w:rPr>
                <w:rFonts w:ascii="Times New Roman" w:hAnsi="Times New Roman"/>
                <w:sz w:val="24"/>
                <w:szCs w:val="24"/>
              </w:rPr>
              <w:t>97</w:t>
            </w:r>
            <w:r w:rsidR="00662B35" w:rsidRPr="00662B35">
              <w:rPr>
                <w:rFonts w:ascii="Times New Roman" w:hAnsi="Times New Roman"/>
                <w:sz w:val="24"/>
                <w:szCs w:val="24"/>
              </w:rPr>
              <w:t>§</w:t>
            </w:r>
            <w:r w:rsidR="009715A3" w:rsidRPr="00662B35">
              <w:rPr>
                <w:rFonts w:ascii="Times New Roman" w:hAnsi="Times New Roman"/>
                <w:sz w:val="24"/>
                <w:szCs w:val="24"/>
              </w:rPr>
              <w:t xml:space="preserve"> 10.3.apakšpunktu</w:t>
            </w:r>
            <w:r w:rsidR="003C00B7">
              <w:rPr>
                <w:rFonts w:ascii="Times New Roman" w:hAnsi="Times New Roman"/>
                <w:sz w:val="24"/>
                <w:szCs w:val="24"/>
              </w:rPr>
              <w:t>,</w:t>
            </w:r>
            <w:r w:rsidR="009715A3" w:rsidRPr="009715A3">
              <w:rPr>
                <w:rFonts w:ascii="Times New Roman" w:hAnsi="Times New Roman"/>
                <w:sz w:val="24"/>
                <w:szCs w:val="24"/>
              </w:rPr>
              <w:t xml:space="preserve"> konceptuāli tika atbalstīts finansējuma piešķīrums 11 128 385 EUR apmērā Labklājības ministrijas pārziņā esošo aktīvo nodarbinātības un preventīvo bezdarba samazināšanas pasākumu īstenošanai. No minētās summas </w:t>
            </w:r>
            <w:r w:rsidR="00942A6F">
              <w:rPr>
                <w:rFonts w:ascii="Times New Roman" w:hAnsi="Times New Roman"/>
                <w:sz w:val="24"/>
                <w:szCs w:val="24"/>
              </w:rPr>
              <w:t>faktiski</w:t>
            </w:r>
            <w:r w:rsidR="009715A3" w:rsidRPr="009715A3">
              <w:rPr>
                <w:rFonts w:ascii="Times New Roman" w:hAnsi="Times New Roman"/>
                <w:sz w:val="24"/>
                <w:szCs w:val="24"/>
              </w:rPr>
              <w:t xml:space="preserve"> tika piešķirts </w:t>
            </w:r>
            <w:proofErr w:type="spellStart"/>
            <w:r w:rsidR="00942A6F">
              <w:rPr>
                <w:rFonts w:ascii="Times New Roman" w:hAnsi="Times New Roman"/>
                <w:sz w:val="24"/>
                <w:szCs w:val="24"/>
              </w:rPr>
              <w:t>virssaistību</w:t>
            </w:r>
            <w:proofErr w:type="spellEnd"/>
            <w:r w:rsidR="00942A6F">
              <w:rPr>
                <w:rFonts w:ascii="Times New Roman" w:hAnsi="Times New Roman"/>
                <w:sz w:val="24"/>
                <w:szCs w:val="24"/>
              </w:rPr>
              <w:t xml:space="preserve"> </w:t>
            </w:r>
            <w:r w:rsidR="009715A3" w:rsidRPr="009715A3">
              <w:rPr>
                <w:rFonts w:ascii="Times New Roman" w:hAnsi="Times New Roman"/>
                <w:sz w:val="24"/>
                <w:szCs w:val="24"/>
              </w:rPr>
              <w:t xml:space="preserve">finansējums 6 519 829 EUR apmērā Labklājības ministrijas pārziņā esošo aktīvo nodarbinātības un preventīvo bezdarba samazināšanas pasākumu īstenošanai </w:t>
            </w:r>
            <w:proofErr w:type="gramStart"/>
            <w:r w:rsidR="009715A3" w:rsidRPr="009715A3">
              <w:rPr>
                <w:rFonts w:ascii="Times New Roman" w:hAnsi="Times New Roman"/>
                <w:sz w:val="24"/>
                <w:szCs w:val="24"/>
              </w:rPr>
              <w:t>2014.gadā</w:t>
            </w:r>
            <w:proofErr w:type="gramEnd"/>
            <w:r w:rsidR="009715A3" w:rsidRPr="009715A3">
              <w:rPr>
                <w:rFonts w:ascii="Times New Roman" w:hAnsi="Times New Roman"/>
                <w:sz w:val="24"/>
                <w:szCs w:val="24"/>
              </w:rPr>
              <w:t xml:space="preserve">, tai skaitā 1.3.1.5.aktivitātei „Vietējo nodarbinātības veicināšanas pasākumu plānu ieviešanas atbalsts” -  4 605 046 EUR. Tomēr atbilstoši finansējuma saņēmēja sniegtai informācijai </w:t>
            </w:r>
            <w:proofErr w:type="gramStart"/>
            <w:r w:rsidR="009715A3" w:rsidRPr="009715A3">
              <w:rPr>
                <w:rFonts w:ascii="Times New Roman" w:hAnsi="Times New Roman"/>
                <w:sz w:val="24"/>
                <w:szCs w:val="24"/>
              </w:rPr>
              <w:t>2013.gada</w:t>
            </w:r>
            <w:proofErr w:type="gramEnd"/>
            <w:r w:rsidR="009715A3" w:rsidRPr="009715A3">
              <w:rPr>
                <w:rFonts w:ascii="Times New Roman" w:hAnsi="Times New Roman"/>
                <w:sz w:val="24"/>
                <w:szCs w:val="24"/>
              </w:rPr>
              <w:t xml:space="preserve"> decembrī, lai nodrošinātu algoto pagaidu sabiedrisko darbu īstenošan</w:t>
            </w:r>
            <w:r w:rsidR="003C00B7">
              <w:rPr>
                <w:rFonts w:ascii="Times New Roman" w:hAnsi="Times New Roman"/>
                <w:sz w:val="24"/>
                <w:szCs w:val="24"/>
              </w:rPr>
              <w:t>u</w:t>
            </w:r>
            <w:r w:rsidR="009715A3" w:rsidRPr="009715A3">
              <w:rPr>
                <w:rFonts w:ascii="Times New Roman" w:hAnsi="Times New Roman"/>
                <w:sz w:val="24"/>
                <w:szCs w:val="24"/>
              </w:rPr>
              <w:t xml:space="preserve"> 2014.gadā vēl nepieciešams finansējums 1 970 182 EUR apmērā, lai iesaistītu projektā 21 285 bezdarbniekus, kas izteikuši vēlmi piedalīties minētajā projektā</w:t>
            </w:r>
            <w:r w:rsidR="00163649" w:rsidRPr="009715A3">
              <w:rPr>
                <w:rFonts w:ascii="Times New Roman" w:hAnsi="Times New Roman" w:cs="Times New Roman"/>
                <w:sz w:val="24"/>
                <w:szCs w:val="24"/>
                <w:shd w:val="clear" w:color="auto" w:fill="FFFFFF"/>
              </w:rPr>
              <w:t>.</w:t>
            </w:r>
            <w:r w:rsidR="00CB32B6">
              <w:rPr>
                <w:rFonts w:ascii="Times New Roman" w:hAnsi="Times New Roman" w:cs="Times New Roman"/>
                <w:sz w:val="24"/>
                <w:szCs w:val="24"/>
                <w:shd w:val="clear" w:color="auto" w:fill="FFFFFF"/>
              </w:rPr>
              <w:t xml:space="preserve"> Tādējādi, pārdalot </w:t>
            </w:r>
            <w:r w:rsidR="00942A6F">
              <w:rPr>
                <w:rFonts w:ascii="Times New Roman" w:hAnsi="Times New Roman" w:cs="Times New Roman"/>
                <w:sz w:val="24"/>
                <w:szCs w:val="24"/>
                <w:shd w:val="clear" w:color="auto" w:fill="FFFFFF"/>
              </w:rPr>
              <w:t xml:space="preserve">papildu finansējumu </w:t>
            </w:r>
            <w:r w:rsidR="00942A6F" w:rsidRPr="009715A3">
              <w:rPr>
                <w:rFonts w:ascii="Times New Roman" w:hAnsi="Times New Roman" w:cs="Times New Roman"/>
                <w:sz w:val="24"/>
                <w:szCs w:val="24"/>
                <w:shd w:val="clear" w:color="auto" w:fill="FFFFFF"/>
              </w:rPr>
              <w:t>334 347 EUR apmērā</w:t>
            </w:r>
            <w:r w:rsidR="00942A6F">
              <w:rPr>
                <w:rFonts w:ascii="Times New Roman" w:hAnsi="Times New Roman" w:cs="Times New Roman"/>
                <w:sz w:val="24"/>
                <w:szCs w:val="24"/>
                <w:shd w:val="clear" w:color="auto" w:fill="FFFFFF"/>
              </w:rPr>
              <w:t xml:space="preserve">, tiek samazināts kopējais papildu nepieciešamais finansējums </w:t>
            </w:r>
            <w:r w:rsidR="00942A6F" w:rsidRPr="009715A3">
              <w:rPr>
                <w:rFonts w:ascii="Times New Roman" w:hAnsi="Times New Roman"/>
                <w:sz w:val="24"/>
                <w:szCs w:val="24"/>
              </w:rPr>
              <w:t>1.3.1.5.aktivitātei</w:t>
            </w:r>
            <w:r w:rsidR="00942A6F">
              <w:rPr>
                <w:rFonts w:ascii="Times New Roman" w:hAnsi="Times New Roman"/>
                <w:sz w:val="24"/>
                <w:szCs w:val="24"/>
              </w:rPr>
              <w:t>.</w:t>
            </w:r>
          </w:p>
          <w:p w:rsidR="00513962" w:rsidRPr="004F15BC" w:rsidRDefault="004D4A4C" w:rsidP="00E10175">
            <w:pPr>
              <w:pStyle w:val="ListParagraph"/>
              <w:numPr>
                <w:ilvl w:val="0"/>
                <w:numId w:val="6"/>
              </w:numPr>
              <w:tabs>
                <w:tab w:val="left" w:pos="6444"/>
              </w:tabs>
              <w:spacing w:after="0" w:line="240" w:lineRule="auto"/>
              <w:ind w:left="423" w:right="141"/>
              <w:jc w:val="both"/>
              <w:rPr>
                <w:rFonts w:ascii="Times New Roman" w:hAnsi="Times New Roman" w:cs="Times New Roman"/>
                <w:sz w:val="24"/>
                <w:szCs w:val="24"/>
                <w:shd w:val="clear" w:color="auto" w:fill="FFFFFF"/>
              </w:rPr>
            </w:pPr>
            <w:r w:rsidRPr="005E2E68">
              <w:rPr>
                <w:rFonts w:ascii="Times New Roman" w:hAnsi="Times New Roman" w:cs="Times New Roman"/>
                <w:sz w:val="24"/>
                <w:szCs w:val="24"/>
                <w:shd w:val="clear" w:color="auto" w:fill="FFFFFF"/>
              </w:rPr>
              <w:t xml:space="preserve">DPP </w:t>
            </w:r>
            <w:r w:rsidR="002F2310" w:rsidRPr="005E2E68">
              <w:rPr>
                <w:rFonts w:ascii="Times New Roman" w:hAnsi="Times New Roman" w:cs="Times New Roman"/>
                <w:sz w:val="24"/>
                <w:szCs w:val="24"/>
                <w:shd w:val="clear" w:color="auto" w:fill="FFFFFF"/>
              </w:rPr>
              <w:t>1.4.1.</w:t>
            </w:r>
            <w:r w:rsidRPr="005E2E68">
              <w:rPr>
                <w:rFonts w:ascii="Times New Roman" w:hAnsi="Times New Roman" w:cs="Times New Roman"/>
                <w:sz w:val="24"/>
                <w:szCs w:val="24"/>
                <w:shd w:val="clear" w:color="auto" w:fill="FFFFFF"/>
              </w:rPr>
              <w:t xml:space="preserve">2.4.apakšaktivitātes „Sociālās rehabilitācijas un institūcijām alternatīvu sociālās aprūpes pakalpojumu attīstība reģionos” (turpmāk – 1.4.1.2.4.apakšaktivitāte) ietvaros </w:t>
            </w:r>
            <w:r w:rsidR="002F2310" w:rsidRPr="00874FAD">
              <w:rPr>
                <w:rFonts w:ascii="Times New Roman" w:hAnsi="Times New Roman" w:cs="Times New Roman"/>
                <w:sz w:val="24"/>
                <w:szCs w:val="24"/>
                <w:shd w:val="clear" w:color="auto" w:fill="FFFFFF"/>
              </w:rPr>
              <w:t xml:space="preserve">konstatēts finanšu līdzekļu </w:t>
            </w:r>
            <w:r w:rsidR="002F2310" w:rsidRPr="0010641A">
              <w:rPr>
                <w:rFonts w:ascii="Times New Roman" w:hAnsi="Times New Roman" w:cs="Times New Roman"/>
                <w:sz w:val="24"/>
                <w:szCs w:val="24"/>
                <w:shd w:val="clear" w:color="auto" w:fill="FFFFFF"/>
              </w:rPr>
              <w:t xml:space="preserve">ietaupījums </w:t>
            </w:r>
            <w:r w:rsidR="00390DA0" w:rsidRPr="0010641A">
              <w:rPr>
                <w:rFonts w:ascii="Times New Roman" w:hAnsi="Times New Roman" w:cs="Times New Roman"/>
                <w:sz w:val="24"/>
                <w:szCs w:val="24"/>
                <w:shd w:val="clear" w:color="auto" w:fill="FFFFFF"/>
              </w:rPr>
              <w:t>1 141 067</w:t>
            </w:r>
            <w:r w:rsidRPr="005E2E68">
              <w:rPr>
                <w:rFonts w:ascii="Times New Roman" w:hAnsi="Times New Roman" w:cs="Times New Roman"/>
                <w:sz w:val="24"/>
                <w:szCs w:val="24"/>
                <w:shd w:val="clear" w:color="auto" w:fill="FFFFFF"/>
              </w:rPr>
              <w:t xml:space="preserve"> EUR</w:t>
            </w:r>
            <w:r w:rsidR="00ED56D4" w:rsidRPr="005E2E68">
              <w:rPr>
                <w:rFonts w:ascii="Times New Roman" w:hAnsi="Times New Roman" w:cs="Times New Roman"/>
                <w:sz w:val="24"/>
                <w:szCs w:val="24"/>
                <w:shd w:val="clear" w:color="auto" w:fill="FFFFFF"/>
              </w:rPr>
              <w:t xml:space="preserve"> apmērā, kas</w:t>
            </w:r>
            <w:r w:rsidRPr="005E2E68">
              <w:rPr>
                <w:rFonts w:ascii="Times New Roman" w:hAnsi="Times New Roman" w:cs="Times New Roman"/>
                <w:sz w:val="24"/>
                <w:szCs w:val="24"/>
                <w:shd w:val="clear" w:color="auto" w:fill="FFFFFF"/>
              </w:rPr>
              <w:t xml:space="preserve"> radies</w:t>
            </w:r>
            <w:r w:rsidR="000A5A8A">
              <w:rPr>
                <w:rFonts w:ascii="Times New Roman" w:hAnsi="Times New Roman" w:cs="Times New Roman"/>
                <w:sz w:val="24"/>
                <w:szCs w:val="24"/>
                <w:shd w:val="clear" w:color="auto" w:fill="FFFFFF"/>
              </w:rPr>
              <w:t>,</w:t>
            </w:r>
            <w:r w:rsidRPr="005E2E68">
              <w:rPr>
                <w:rFonts w:ascii="Times New Roman" w:hAnsi="Times New Roman" w:cs="Times New Roman"/>
                <w:sz w:val="24"/>
                <w:szCs w:val="24"/>
                <w:shd w:val="clear" w:color="auto" w:fill="FFFFFF"/>
              </w:rPr>
              <w:t xml:space="preserve"> noslēdzoties 1.4.1.2.4.apakšaktivitātes 2.kārtas projektiem (pārsvarā ietaupījumi iekšzemes transporta izdevumu pozīcijā sociālās rehabilitācijas, motivācijas un alternatīvās sociālās aprūpes programmu ieviešanas ietvaros)</w:t>
            </w:r>
            <w:r w:rsidR="000A5A8A">
              <w:rPr>
                <w:rFonts w:ascii="Times New Roman" w:hAnsi="Times New Roman" w:cs="Times New Roman"/>
                <w:sz w:val="24"/>
                <w:szCs w:val="24"/>
                <w:shd w:val="clear" w:color="auto" w:fill="FFFFFF"/>
              </w:rPr>
              <w:t>,</w:t>
            </w:r>
            <w:r w:rsidR="00176916" w:rsidRPr="005E2E68">
              <w:rPr>
                <w:rFonts w:ascii="Times New Roman" w:hAnsi="Times New Roman" w:cs="Times New Roman"/>
                <w:sz w:val="24"/>
                <w:szCs w:val="24"/>
                <w:shd w:val="clear" w:color="auto" w:fill="FFFFFF"/>
              </w:rPr>
              <w:t xml:space="preserve"> </w:t>
            </w:r>
            <w:r w:rsidRPr="005E2E68">
              <w:rPr>
                <w:rFonts w:ascii="Times New Roman" w:hAnsi="Times New Roman" w:cs="Times New Roman"/>
                <w:sz w:val="24"/>
                <w:szCs w:val="24"/>
                <w:shd w:val="clear" w:color="auto" w:fill="FFFFFF"/>
              </w:rPr>
              <w:t xml:space="preserve">un atbilstoši MK </w:t>
            </w:r>
            <w:proofErr w:type="gramStart"/>
            <w:r w:rsidRPr="005E2E68">
              <w:rPr>
                <w:rFonts w:ascii="Times New Roman" w:hAnsi="Times New Roman" w:cs="Times New Roman"/>
                <w:sz w:val="24"/>
                <w:szCs w:val="24"/>
                <w:shd w:val="clear" w:color="auto" w:fill="FFFFFF"/>
              </w:rPr>
              <w:t>2012.gada</w:t>
            </w:r>
            <w:proofErr w:type="gramEnd"/>
            <w:r w:rsidRPr="005E2E68">
              <w:rPr>
                <w:rFonts w:ascii="Times New Roman" w:hAnsi="Times New Roman" w:cs="Times New Roman"/>
                <w:sz w:val="24"/>
                <w:szCs w:val="24"/>
                <w:shd w:val="clear" w:color="auto" w:fill="FFFFFF"/>
              </w:rPr>
              <w:t xml:space="preserve"> 8.maija lēmuma (Nr.25, 26.§) 7.punktā not</w:t>
            </w:r>
            <w:r w:rsidR="00547074">
              <w:rPr>
                <w:rFonts w:ascii="Times New Roman" w:hAnsi="Times New Roman" w:cs="Times New Roman"/>
                <w:sz w:val="24"/>
                <w:szCs w:val="24"/>
                <w:shd w:val="clear" w:color="auto" w:fill="FFFFFF"/>
              </w:rPr>
              <w:t>ei</w:t>
            </w:r>
            <w:r w:rsidRPr="005E2E68">
              <w:rPr>
                <w:rFonts w:ascii="Times New Roman" w:hAnsi="Times New Roman" w:cs="Times New Roman"/>
                <w:sz w:val="24"/>
                <w:szCs w:val="24"/>
                <w:shd w:val="clear" w:color="auto" w:fill="FFFFFF"/>
              </w:rPr>
              <w:t xml:space="preserve">ktajam minētais </w:t>
            </w:r>
            <w:r w:rsidR="00176916" w:rsidRPr="005E2E68">
              <w:rPr>
                <w:rFonts w:ascii="Times New Roman" w:hAnsi="Times New Roman" w:cs="Times New Roman"/>
                <w:sz w:val="24"/>
                <w:szCs w:val="24"/>
                <w:shd w:val="clear" w:color="auto" w:fill="FFFFFF"/>
              </w:rPr>
              <w:t xml:space="preserve">finanšu </w:t>
            </w:r>
            <w:r w:rsidR="00176916" w:rsidRPr="003721D8">
              <w:rPr>
                <w:rFonts w:ascii="Times New Roman" w:hAnsi="Times New Roman" w:cs="Times New Roman"/>
                <w:sz w:val="24"/>
                <w:szCs w:val="24"/>
                <w:shd w:val="clear" w:color="auto" w:fill="FFFFFF"/>
              </w:rPr>
              <w:t>līdzekļu ietaupījums</w:t>
            </w:r>
            <w:r w:rsidRPr="003721D8">
              <w:rPr>
                <w:rFonts w:ascii="Times New Roman" w:hAnsi="Times New Roman" w:cs="Times New Roman"/>
                <w:sz w:val="24"/>
                <w:szCs w:val="24"/>
                <w:shd w:val="clear" w:color="auto" w:fill="FFFFFF"/>
              </w:rPr>
              <w:t xml:space="preserve"> nav radies projektos konstatēto neatbilstību vai lauzto līgumu rezultātā. Ietaupījumu plānots </w:t>
            </w:r>
            <w:r w:rsidR="00CB32B6">
              <w:rPr>
                <w:rFonts w:ascii="Times New Roman" w:hAnsi="Times New Roman" w:cs="Times New Roman"/>
                <w:sz w:val="24"/>
                <w:szCs w:val="24"/>
                <w:shd w:val="clear" w:color="auto" w:fill="FFFFFF"/>
              </w:rPr>
              <w:t>novirzīt</w:t>
            </w:r>
            <w:r w:rsidRPr="003721D8">
              <w:rPr>
                <w:rFonts w:ascii="Times New Roman" w:hAnsi="Times New Roman" w:cs="Times New Roman"/>
                <w:sz w:val="24"/>
                <w:szCs w:val="24"/>
                <w:shd w:val="clear" w:color="auto" w:fill="FFFFFF"/>
              </w:rPr>
              <w:t xml:space="preserve"> </w:t>
            </w:r>
            <w:r w:rsidR="00554121">
              <w:rPr>
                <w:rFonts w:ascii="Times New Roman" w:hAnsi="Times New Roman" w:cs="Times New Roman"/>
                <w:sz w:val="24"/>
                <w:szCs w:val="24"/>
                <w:shd w:val="clear" w:color="auto" w:fill="FFFFFF"/>
              </w:rPr>
              <w:lastRenderedPageBreak/>
              <w:t xml:space="preserve">DPP </w:t>
            </w:r>
            <w:r w:rsidRPr="003721D8">
              <w:rPr>
                <w:rFonts w:ascii="Times New Roman" w:hAnsi="Times New Roman" w:cs="Times New Roman"/>
                <w:sz w:val="24"/>
                <w:szCs w:val="24"/>
                <w:shd w:val="clear" w:color="auto" w:fill="FFFFFF"/>
              </w:rPr>
              <w:t>1.4.1</w:t>
            </w:r>
            <w:r w:rsidR="00771926">
              <w:rPr>
                <w:rFonts w:ascii="Times New Roman" w:hAnsi="Times New Roman" w:cs="Times New Roman"/>
                <w:sz w:val="24"/>
                <w:szCs w:val="24"/>
                <w:shd w:val="clear" w:color="auto" w:fill="FFFFFF"/>
              </w:rPr>
              <w:t>.1.1.apakšaktivitāte</w:t>
            </w:r>
            <w:r w:rsidRPr="003721D8">
              <w:rPr>
                <w:rFonts w:ascii="Times New Roman" w:hAnsi="Times New Roman" w:cs="Times New Roman"/>
                <w:sz w:val="24"/>
                <w:szCs w:val="24"/>
                <w:shd w:val="clear" w:color="auto" w:fill="FFFFFF"/>
              </w:rPr>
              <w:t>i</w:t>
            </w:r>
            <w:r w:rsidR="00554121" w:rsidRPr="001E0C9B">
              <w:rPr>
                <w:rFonts w:ascii="Times New Roman" w:hAnsi="Times New Roman" w:cs="Times New Roman"/>
                <w:sz w:val="24"/>
                <w:szCs w:val="24"/>
              </w:rPr>
              <w:t xml:space="preserve"> „Kompleksi atbalsta pasākumi iedzīvotāju integrēšanai sabiedrībā un darba tirgū”</w:t>
            </w:r>
            <w:r w:rsidR="00554121">
              <w:rPr>
                <w:rFonts w:ascii="Times New Roman" w:hAnsi="Times New Roman" w:cs="Times New Roman"/>
                <w:sz w:val="24"/>
                <w:szCs w:val="24"/>
              </w:rPr>
              <w:t xml:space="preserve"> (turpmāk – 1.4.1.1.1.apakšaktivitāte)</w:t>
            </w:r>
            <w:r w:rsidRPr="003721D8">
              <w:rPr>
                <w:rFonts w:ascii="Times New Roman" w:hAnsi="Times New Roman" w:cs="Times New Roman"/>
                <w:sz w:val="24"/>
                <w:szCs w:val="24"/>
                <w:shd w:val="clear" w:color="auto" w:fill="FFFFFF"/>
              </w:rPr>
              <w:t xml:space="preserve">, lai nodrošinātu </w:t>
            </w:r>
            <w:r w:rsidR="00125DF5">
              <w:rPr>
                <w:rFonts w:ascii="Times New Roman" w:hAnsi="Times New Roman" w:cs="Times New Roman"/>
                <w:sz w:val="24"/>
                <w:szCs w:val="24"/>
                <w:shd w:val="clear" w:color="auto" w:fill="FFFFFF"/>
              </w:rPr>
              <w:t xml:space="preserve">minētās </w:t>
            </w:r>
            <w:r w:rsidRPr="003721D8">
              <w:rPr>
                <w:rFonts w:ascii="Times New Roman" w:hAnsi="Times New Roman" w:cs="Times New Roman"/>
                <w:sz w:val="24"/>
                <w:szCs w:val="24"/>
                <w:shd w:val="clear" w:color="auto" w:fill="FFFFFF"/>
              </w:rPr>
              <w:t>ap</w:t>
            </w:r>
            <w:r w:rsidR="00655797">
              <w:rPr>
                <w:rFonts w:ascii="Times New Roman" w:hAnsi="Times New Roman" w:cs="Times New Roman"/>
                <w:sz w:val="24"/>
                <w:szCs w:val="24"/>
                <w:shd w:val="clear" w:color="auto" w:fill="FFFFFF"/>
              </w:rPr>
              <w:t>akšaktivitātes ietvaros īstenotajam</w:t>
            </w:r>
            <w:r w:rsidRPr="003721D8">
              <w:rPr>
                <w:rFonts w:ascii="Times New Roman" w:hAnsi="Times New Roman" w:cs="Times New Roman"/>
                <w:sz w:val="24"/>
                <w:szCs w:val="24"/>
                <w:shd w:val="clear" w:color="auto" w:fill="FFFFFF"/>
              </w:rPr>
              <w:t xml:space="preserve"> projekta</w:t>
            </w:r>
            <w:r w:rsidR="00655797">
              <w:rPr>
                <w:rFonts w:ascii="Times New Roman" w:hAnsi="Times New Roman" w:cs="Times New Roman"/>
                <w:sz w:val="24"/>
                <w:szCs w:val="24"/>
                <w:shd w:val="clear" w:color="auto" w:fill="FFFFFF"/>
              </w:rPr>
              <w:t>m</w:t>
            </w:r>
            <w:r w:rsidRPr="003721D8">
              <w:rPr>
                <w:rFonts w:ascii="Times New Roman" w:hAnsi="Times New Roman" w:cs="Times New Roman"/>
                <w:sz w:val="24"/>
                <w:szCs w:val="24"/>
                <w:shd w:val="clear" w:color="auto" w:fill="FFFFFF"/>
              </w:rPr>
              <w:t xml:space="preserve"> „Komplek</w:t>
            </w:r>
            <w:r w:rsidR="00E11944">
              <w:rPr>
                <w:rFonts w:ascii="Times New Roman" w:hAnsi="Times New Roman" w:cs="Times New Roman"/>
                <w:sz w:val="24"/>
                <w:szCs w:val="24"/>
                <w:shd w:val="clear" w:color="auto" w:fill="FFFFFF"/>
              </w:rPr>
              <w:t xml:space="preserve">sie atbalsta pasākumi” </w:t>
            </w:r>
            <w:r w:rsidR="00655797">
              <w:rPr>
                <w:rFonts w:ascii="Times New Roman" w:hAnsi="Times New Roman" w:cs="Times New Roman"/>
                <w:sz w:val="24"/>
                <w:szCs w:val="24"/>
                <w:shd w:val="clear" w:color="auto" w:fill="FFFFFF"/>
              </w:rPr>
              <w:t xml:space="preserve">šādu </w:t>
            </w:r>
            <w:r w:rsidR="00E11944">
              <w:rPr>
                <w:rFonts w:ascii="Times New Roman" w:hAnsi="Times New Roman" w:cs="Times New Roman"/>
                <w:sz w:val="24"/>
                <w:szCs w:val="24"/>
                <w:shd w:val="clear" w:color="auto" w:fill="FFFFFF"/>
              </w:rPr>
              <w:t xml:space="preserve">aktivitāšu </w:t>
            </w:r>
            <w:r w:rsidR="00655797">
              <w:rPr>
                <w:rFonts w:ascii="Times New Roman" w:hAnsi="Times New Roman" w:cs="Times New Roman"/>
                <w:sz w:val="24"/>
                <w:szCs w:val="24"/>
                <w:shd w:val="clear" w:color="auto" w:fill="FFFFFF"/>
              </w:rPr>
              <w:t xml:space="preserve">īstenošanai </w:t>
            </w:r>
            <w:proofErr w:type="gramStart"/>
            <w:r w:rsidR="00655797">
              <w:rPr>
                <w:rFonts w:ascii="Times New Roman" w:hAnsi="Times New Roman" w:cs="Times New Roman"/>
                <w:sz w:val="24"/>
                <w:szCs w:val="24"/>
                <w:shd w:val="clear" w:color="auto" w:fill="FFFFFF"/>
              </w:rPr>
              <w:t>2014.gadā</w:t>
            </w:r>
            <w:proofErr w:type="gramEnd"/>
            <w:r w:rsidR="00655797">
              <w:rPr>
                <w:rFonts w:ascii="Times New Roman" w:hAnsi="Times New Roman" w:cs="Times New Roman"/>
                <w:sz w:val="24"/>
                <w:szCs w:val="24"/>
                <w:shd w:val="clear" w:color="auto" w:fill="FFFFFF"/>
              </w:rPr>
              <w:t>:</w:t>
            </w:r>
          </w:p>
          <w:p w:rsidR="00655797" w:rsidRDefault="00E11944" w:rsidP="00E10175">
            <w:pPr>
              <w:pStyle w:val="ListParagraph"/>
              <w:numPr>
                <w:ilvl w:val="0"/>
                <w:numId w:val="16"/>
              </w:numPr>
              <w:tabs>
                <w:tab w:val="left" w:pos="6444"/>
              </w:tabs>
              <w:spacing w:after="0" w:line="240" w:lineRule="auto"/>
              <w:ind w:left="848" w:right="141"/>
              <w:jc w:val="both"/>
              <w:rPr>
                <w:rFonts w:ascii="Times New Roman" w:hAnsi="Times New Roman" w:cs="Times New Roman"/>
                <w:sz w:val="24"/>
                <w:szCs w:val="24"/>
                <w:shd w:val="clear" w:color="auto" w:fill="FFFFFF"/>
              </w:rPr>
            </w:pPr>
            <w:r w:rsidRPr="00655797">
              <w:rPr>
                <w:rFonts w:ascii="Times New Roman" w:hAnsi="Times New Roman" w:cs="Times New Roman"/>
                <w:sz w:val="24"/>
                <w:szCs w:val="24"/>
                <w:shd w:val="clear" w:color="auto" w:fill="FFFFFF"/>
              </w:rPr>
              <w:t>pabalsts</w:t>
            </w:r>
            <w:r w:rsidR="004D4A4C" w:rsidRPr="00655797">
              <w:rPr>
                <w:rFonts w:ascii="Times New Roman" w:hAnsi="Times New Roman" w:cs="Times New Roman"/>
                <w:sz w:val="24"/>
                <w:szCs w:val="24"/>
                <w:shd w:val="clear" w:color="auto" w:fill="FFFFFF"/>
              </w:rPr>
              <w:t xml:space="preserve"> par asistenta izmantošanu personām </w:t>
            </w:r>
            <w:r w:rsidR="00655797">
              <w:rPr>
                <w:rFonts w:ascii="Times New Roman" w:hAnsi="Times New Roman" w:cs="Times New Roman"/>
                <w:sz w:val="24"/>
                <w:szCs w:val="24"/>
                <w:shd w:val="clear" w:color="auto" w:fill="FFFFFF"/>
              </w:rPr>
              <w:t>ar I grupas redzes invaliditāti.</w:t>
            </w:r>
            <w:r w:rsidR="00D5097F">
              <w:rPr>
                <w:rFonts w:ascii="Times New Roman" w:hAnsi="Times New Roman" w:cs="Times New Roman"/>
                <w:sz w:val="24"/>
                <w:szCs w:val="24"/>
                <w:shd w:val="clear" w:color="auto" w:fill="FFFFFF"/>
              </w:rPr>
              <w:t xml:space="preserve"> </w:t>
            </w:r>
            <w:r w:rsidR="00655797">
              <w:rPr>
                <w:rFonts w:ascii="Times New Roman" w:hAnsi="Times New Roman" w:cs="Times New Roman"/>
                <w:sz w:val="24"/>
                <w:szCs w:val="24"/>
                <w:shd w:val="clear" w:color="auto" w:fill="FFFFFF"/>
              </w:rPr>
              <w:t xml:space="preserve">Papildu finansējums nepieciešams, ņemot vērā </w:t>
            </w:r>
            <w:proofErr w:type="gramStart"/>
            <w:r w:rsidR="00655797" w:rsidRPr="009715A3">
              <w:rPr>
                <w:rFonts w:ascii="Times New Roman" w:hAnsi="Times New Roman"/>
                <w:sz w:val="24"/>
                <w:szCs w:val="24"/>
              </w:rPr>
              <w:t>2013.gada</w:t>
            </w:r>
            <w:proofErr w:type="gramEnd"/>
            <w:r w:rsidR="00655797" w:rsidRPr="009715A3">
              <w:rPr>
                <w:rFonts w:ascii="Times New Roman" w:hAnsi="Times New Roman"/>
                <w:sz w:val="24"/>
                <w:szCs w:val="24"/>
              </w:rPr>
              <w:t xml:space="preserve"> 6</w:t>
            </w:r>
            <w:r w:rsidR="007B599D">
              <w:rPr>
                <w:rFonts w:ascii="Times New Roman" w:hAnsi="Times New Roman"/>
                <w:sz w:val="24"/>
                <w:szCs w:val="24"/>
              </w:rPr>
              <w:t xml:space="preserve">.augusta MK sēdes </w:t>
            </w:r>
            <w:proofErr w:type="spellStart"/>
            <w:r w:rsidR="007B599D">
              <w:rPr>
                <w:rFonts w:ascii="Times New Roman" w:hAnsi="Times New Roman"/>
                <w:sz w:val="24"/>
                <w:szCs w:val="24"/>
              </w:rPr>
              <w:t>protokollēmumā</w:t>
            </w:r>
            <w:proofErr w:type="spellEnd"/>
            <w:r w:rsidR="00655797" w:rsidRPr="009715A3">
              <w:rPr>
                <w:rFonts w:ascii="Times New Roman" w:hAnsi="Times New Roman"/>
                <w:sz w:val="24"/>
                <w:szCs w:val="24"/>
              </w:rPr>
              <w:t xml:space="preserve"> Nr.42 84.§ </w:t>
            </w:r>
            <w:r w:rsidR="007B599D">
              <w:rPr>
                <w:rFonts w:ascii="Times New Roman" w:hAnsi="Times New Roman"/>
                <w:sz w:val="24"/>
                <w:szCs w:val="24"/>
              </w:rPr>
              <w:t>minēto finansējuma nepieciešamības</w:t>
            </w:r>
            <w:r w:rsidR="00215683">
              <w:rPr>
                <w:rFonts w:ascii="Times New Roman" w:hAnsi="Times New Roman"/>
                <w:sz w:val="24"/>
                <w:szCs w:val="24"/>
              </w:rPr>
              <w:t xml:space="preserve"> pabalstu izmaksai</w:t>
            </w:r>
            <w:r w:rsidR="007B599D">
              <w:rPr>
                <w:rFonts w:ascii="Times New Roman" w:hAnsi="Times New Roman"/>
                <w:sz w:val="24"/>
                <w:szCs w:val="24"/>
              </w:rPr>
              <w:t xml:space="preserve"> izvērtējumu un piedāvātās rīcības;</w:t>
            </w:r>
          </w:p>
          <w:p w:rsidR="007B599D" w:rsidRDefault="00E11944" w:rsidP="00E10175">
            <w:pPr>
              <w:pStyle w:val="ListParagraph"/>
              <w:numPr>
                <w:ilvl w:val="0"/>
                <w:numId w:val="16"/>
              </w:numPr>
              <w:tabs>
                <w:tab w:val="left" w:pos="6444"/>
              </w:tabs>
              <w:spacing w:after="0" w:line="240" w:lineRule="auto"/>
              <w:ind w:left="848" w:right="141"/>
              <w:jc w:val="both"/>
              <w:rPr>
                <w:rFonts w:ascii="Times New Roman" w:hAnsi="Times New Roman" w:cs="Times New Roman"/>
                <w:sz w:val="24"/>
                <w:szCs w:val="24"/>
                <w:shd w:val="clear" w:color="auto" w:fill="FFFFFF"/>
              </w:rPr>
            </w:pPr>
            <w:r w:rsidRPr="00655797">
              <w:rPr>
                <w:rFonts w:ascii="Times New Roman" w:hAnsi="Times New Roman" w:cs="Times New Roman"/>
                <w:sz w:val="24"/>
                <w:szCs w:val="24"/>
                <w:shd w:val="clear" w:color="auto" w:fill="FFFFFF"/>
              </w:rPr>
              <w:t>zinātnisks pētījums par jauniešu, kas nemācās, nestrādā un neapgūst arodu, profilu un aktivizācijas iespējām, piesaistot Ekonomiskās sadarbības un attīstības organizācijas (OECD) ekspertīzi</w:t>
            </w:r>
            <w:r w:rsidR="007B599D">
              <w:rPr>
                <w:rFonts w:ascii="Times New Roman" w:hAnsi="Times New Roman" w:cs="Times New Roman"/>
                <w:sz w:val="24"/>
                <w:szCs w:val="24"/>
                <w:shd w:val="clear" w:color="auto" w:fill="FFFFFF"/>
              </w:rPr>
              <w:t xml:space="preserve">. Zinātniskā pētījuma ietvaros ir plānots novērtēt jauniešu profilu (tai skaitā sociālās problēmas, ar kurām jauniešiem nākas saskarties, ienākot darba tirgū vai izglītības sistēmā), jauniešu garantijas ietvaros īstenoto pasākumu ietekmi uz jauniešu spēju iekārtoties darbā vai atgriezties izglītības sistēmā, jauniešu garantijas ietekmi uz darba tirgu, izveidoto partnerību sadarbības modeli, kā arī minēto pasākumu īstenošanas efektivitāti. Papildus tiks vērtēti jauniešu garantijas pasākumu īstenošanas nosacījumi un to atbilstība </w:t>
            </w:r>
            <w:r w:rsidR="00C90B47">
              <w:rPr>
                <w:rFonts w:ascii="Times New Roman" w:hAnsi="Times New Roman" w:cs="Times New Roman"/>
                <w:sz w:val="24"/>
                <w:szCs w:val="24"/>
                <w:shd w:val="clear" w:color="auto" w:fill="FFFFFF"/>
              </w:rPr>
              <w:t xml:space="preserve">mērķa </w:t>
            </w:r>
            <w:r w:rsidR="00241546">
              <w:rPr>
                <w:rFonts w:ascii="Times New Roman" w:hAnsi="Times New Roman" w:cs="Times New Roman"/>
                <w:sz w:val="24"/>
                <w:szCs w:val="24"/>
                <w:shd w:val="clear" w:color="auto" w:fill="FFFFFF"/>
              </w:rPr>
              <w:t>grupas jauniešu</w:t>
            </w:r>
            <w:r w:rsidR="00367421" w:rsidRPr="00A54166">
              <w:rPr>
                <w:rFonts w:ascii="Times New Roman" w:hAnsi="Times New Roman"/>
                <w:sz w:val="24"/>
              </w:rPr>
              <w:t>, kas nemācās, nestrādā un neapgūst arodu</w:t>
            </w:r>
            <w:r w:rsidR="00241546">
              <w:rPr>
                <w:rFonts w:ascii="Times New Roman" w:hAnsi="Times New Roman"/>
                <w:sz w:val="24"/>
              </w:rPr>
              <w:t>,</w:t>
            </w:r>
            <w:r w:rsidR="00367421" w:rsidRPr="00A54166">
              <w:rPr>
                <w:rFonts w:ascii="Times New Roman" w:hAnsi="Times New Roman"/>
                <w:sz w:val="24"/>
              </w:rPr>
              <w:t xml:space="preserve"> </w:t>
            </w:r>
            <w:r w:rsidR="007B599D">
              <w:rPr>
                <w:rFonts w:ascii="Times New Roman" w:hAnsi="Times New Roman" w:cs="Times New Roman"/>
                <w:sz w:val="24"/>
                <w:szCs w:val="24"/>
                <w:shd w:val="clear" w:color="auto" w:fill="FFFFFF"/>
              </w:rPr>
              <w:t>vajadzībām, kā arī piedāvāti risinājumi jauniešu garantijas efektīvākai īstenošanai un uzraudzībai. Šāda pētījuma nepieciešamība ir saistīta ar paredzēto atbalstu jauniešu garantijas pasākumu īstenošanai 2014.-</w:t>
            </w:r>
            <w:proofErr w:type="gramStart"/>
            <w:r w:rsidR="007B599D">
              <w:rPr>
                <w:rFonts w:ascii="Times New Roman" w:hAnsi="Times New Roman" w:cs="Times New Roman"/>
                <w:sz w:val="24"/>
                <w:szCs w:val="24"/>
                <w:shd w:val="clear" w:color="auto" w:fill="FFFFFF"/>
              </w:rPr>
              <w:t>2020.gada</w:t>
            </w:r>
            <w:proofErr w:type="gramEnd"/>
            <w:r w:rsidR="007B599D">
              <w:rPr>
                <w:rFonts w:ascii="Times New Roman" w:hAnsi="Times New Roman" w:cs="Times New Roman"/>
                <w:sz w:val="24"/>
                <w:szCs w:val="24"/>
                <w:shd w:val="clear" w:color="auto" w:fill="FFFFFF"/>
              </w:rPr>
              <w:t xml:space="preserve"> plānošanas perioda ietvaros un tā rezultātus plānots izmantot jauniešu garantijas pasākumu ieviešanas nosacījumu pārskatīšanā, jauniešu aktivizācijas iespēju noteikšanā, pasākumu ieviešanas kontrolē un uzraudzībā </w:t>
            </w:r>
            <w:proofErr w:type="spellStart"/>
            <w:r w:rsidR="007B599D">
              <w:rPr>
                <w:rFonts w:ascii="Times New Roman" w:hAnsi="Times New Roman" w:cs="Times New Roman"/>
                <w:sz w:val="24"/>
                <w:szCs w:val="24"/>
                <w:shd w:val="clear" w:color="auto" w:fill="FFFFFF"/>
              </w:rPr>
              <w:t>utml</w:t>
            </w:r>
            <w:proofErr w:type="spellEnd"/>
            <w:r w:rsidR="00F456B9">
              <w:rPr>
                <w:rFonts w:ascii="Times New Roman" w:hAnsi="Times New Roman" w:cs="Times New Roman"/>
                <w:sz w:val="24"/>
                <w:szCs w:val="24"/>
                <w:shd w:val="clear" w:color="auto" w:fill="FFFFFF"/>
              </w:rPr>
              <w:t xml:space="preserve">. Ņemot vērā, ka 1.4.1.1.1.apakšaktivitātes mērķis ir vērsts uz personu iekļaušanos darba tirgū, motivācijas un konkurētspējas paaugstināšanu, </w:t>
            </w:r>
            <w:r w:rsidR="005A2EC2">
              <w:rPr>
                <w:rFonts w:ascii="Times New Roman" w:hAnsi="Times New Roman" w:cs="Times New Roman"/>
                <w:sz w:val="24"/>
                <w:szCs w:val="24"/>
                <w:shd w:val="clear" w:color="auto" w:fill="FFFFFF"/>
              </w:rPr>
              <w:t>un</w:t>
            </w:r>
            <w:r w:rsidR="00F456B9">
              <w:rPr>
                <w:rFonts w:ascii="Times New Roman" w:hAnsi="Times New Roman" w:cs="Times New Roman"/>
                <w:sz w:val="24"/>
                <w:szCs w:val="24"/>
                <w:shd w:val="clear" w:color="auto" w:fill="FFFFFF"/>
              </w:rPr>
              <w:t xml:space="preserve"> tās ietvaros 2007.-2013.gada plānošanas periodā tika īstenoti jauniešu nodarbinātības veicināšanas atbalsta pasākumi, </w:t>
            </w:r>
            <w:r w:rsidR="00474BEE">
              <w:rPr>
                <w:rFonts w:ascii="Times New Roman" w:hAnsi="Times New Roman" w:cs="Times New Roman"/>
                <w:sz w:val="24"/>
                <w:szCs w:val="24"/>
                <w:shd w:val="clear" w:color="auto" w:fill="FFFFFF"/>
              </w:rPr>
              <w:t xml:space="preserve">kā arī </w:t>
            </w:r>
            <w:r w:rsidR="00F456B9">
              <w:rPr>
                <w:rFonts w:ascii="Times New Roman" w:hAnsi="Times New Roman" w:cs="Times New Roman"/>
                <w:sz w:val="24"/>
                <w:szCs w:val="24"/>
                <w:shd w:val="clear" w:color="auto" w:fill="FFFFFF"/>
              </w:rPr>
              <w:t>īstenots cits zinātniskais pētījums „</w:t>
            </w:r>
            <w:r w:rsidR="00095132">
              <w:rPr>
                <w:rFonts w:ascii="Times New Roman" w:hAnsi="Times New Roman" w:cs="Times New Roman"/>
                <w:sz w:val="24"/>
                <w:szCs w:val="24"/>
                <w:shd w:val="clear" w:color="auto" w:fill="FFFFFF"/>
              </w:rPr>
              <w:t>Latvija:</w:t>
            </w:r>
            <w:r w:rsidR="000112ED">
              <w:rPr>
                <w:rFonts w:ascii="Times New Roman" w:hAnsi="Times New Roman" w:cs="Times New Roman"/>
                <w:sz w:val="24"/>
                <w:szCs w:val="24"/>
                <w:shd w:val="clear" w:color="auto" w:fill="FFFFFF"/>
              </w:rPr>
              <w:t xml:space="preserve"> </w:t>
            </w:r>
            <w:r w:rsidR="00095132">
              <w:rPr>
                <w:rFonts w:ascii="Times New Roman" w:hAnsi="Times New Roman" w:cs="Times New Roman"/>
                <w:sz w:val="24"/>
                <w:szCs w:val="24"/>
                <w:shd w:val="clear" w:color="auto" w:fill="FFFFFF"/>
              </w:rPr>
              <w:t>kurš ir bezdarbnieks, ekonomiski neaktīvais vai trūcīgais?</w:t>
            </w:r>
            <w:r w:rsidR="00F456B9">
              <w:rPr>
                <w:rFonts w:ascii="Times New Roman" w:hAnsi="Times New Roman" w:cs="Times New Roman"/>
                <w:sz w:val="24"/>
                <w:szCs w:val="24"/>
                <w:shd w:val="clear" w:color="auto" w:fill="FFFFFF"/>
              </w:rPr>
              <w:t xml:space="preserve">”, pētījuma par jauniešu, kas nemācās, nestrādā un neapgūst arodu, </w:t>
            </w:r>
            <w:r w:rsidR="00AA71B1">
              <w:rPr>
                <w:rFonts w:ascii="Times New Roman" w:hAnsi="Times New Roman" w:cs="Times New Roman"/>
                <w:sz w:val="24"/>
                <w:szCs w:val="24"/>
                <w:shd w:val="clear" w:color="auto" w:fill="FFFFFF"/>
              </w:rPr>
              <w:t xml:space="preserve">profilu un aktivizācijas iespējām </w:t>
            </w:r>
            <w:r w:rsidR="00F456B9">
              <w:rPr>
                <w:rFonts w:ascii="Times New Roman" w:hAnsi="Times New Roman" w:cs="Times New Roman"/>
                <w:sz w:val="24"/>
                <w:szCs w:val="24"/>
                <w:shd w:val="clear" w:color="auto" w:fill="FFFFFF"/>
              </w:rPr>
              <w:lastRenderedPageBreak/>
              <w:t>veikšanu organizēt 1.4.1.1.1.apakšaktivitātes ietvaros.</w:t>
            </w:r>
            <w:r w:rsidR="00F456B9" w:rsidRPr="00857D11">
              <w:rPr>
                <w:rFonts w:ascii="Times New Roman" w:hAnsi="Times New Roman" w:cs="Times New Roman"/>
                <w:sz w:val="24"/>
                <w:szCs w:val="24"/>
                <w:shd w:val="clear" w:color="auto" w:fill="FFFFFF"/>
              </w:rPr>
              <w:t xml:space="preserve"> </w:t>
            </w:r>
            <w:r w:rsidR="00F456B9">
              <w:rPr>
                <w:rFonts w:ascii="Times New Roman" w:hAnsi="Times New Roman" w:cs="Times New Roman"/>
                <w:sz w:val="24"/>
                <w:szCs w:val="24"/>
                <w:shd w:val="clear" w:color="auto" w:fill="FFFFFF"/>
              </w:rPr>
              <w:t>Zinātniskā pētījuma</w:t>
            </w:r>
            <w:r w:rsidR="00F456B9" w:rsidRPr="00857D11">
              <w:rPr>
                <w:rFonts w:ascii="Times New Roman" w:hAnsi="Times New Roman" w:cs="Times New Roman"/>
                <w:sz w:val="24"/>
                <w:szCs w:val="24"/>
                <w:shd w:val="clear" w:color="auto" w:fill="FFFFFF"/>
              </w:rPr>
              <w:t xml:space="preserve"> izmaksu kopsumma plānota 10</w:t>
            </w:r>
            <w:r w:rsidR="00D5097F">
              <w:rPr>
                <w:rFonts w:ascii="Times New Roman" w:hAnsi="Times New Roman" w:cs="Times New Roman"/>
                <w:sz w:val="24"/>
                <w:szCs w:val="24"/>
                <w:shd w:val="clear" w:color="auto" w:fill="FFFFFF"/>
              </w:rPr>
              <w:t>3</w:t>
            </w:r>
            <w:r w:rsidR="00F456B9" w:rsidRPr="00857D11">
              <w:rPr>
                <w:rFonts w:ascii="Times New Roman" w:hAnsi="Times New Roman" w:cs="Times New Roman"/>
                <w:sz w:val="24"/>
                <w:szCs w:val="24"/>
                <w:shd w:val="clear" w:color="auto" w:fill="FFFFFF"/>
              </w:rPr>
              <w:t> </w:t>
            </w:r>
            <w:r w:rsidR="00D5097F">
              <w:rPr>
                <w:rFonts w:ascii="Times New Roman" w:hAnsi="Times New Roman" w:cs="Times New Roman"/>
                <w:sz w:val="24"/>
                <w:szCs w:val="24"/>
                <w:shd w:val="clear" w:color="auto" w:fill="FFFFFF"/>
              </w:rPr>
              <w:t>0</w:t>
            </w:r>
            <w:r w:rsidR="00F456B9" w:rsidRPr="00857D11">
              <w:rPr>
                <w:rFonts w:ascii="Times New Roman" w:hAnsi="Times New Roman" w:cs="Times New Roman"/>
                <w:sz w:val="24"/>
                <w:szCs w:val="24"/>
                <w:shd w:val="clear" w:color="auto" w:fill="FFFFFF"/>
              </w:rPr>
              <w:t>00 EUR apmērā, tai skaitā</w:t>
            </w:r>
            <w:r w:rsidR="007F0D8C">
              <w:rPr>
                <w:rFonts w:ascii="Times New Roman" w:hAnsi="Times New Roman" w:cs="Times New Roman"/>
                <w:sz w:val="24"/>
                <w:szCs w:val="24"/>
                <w:shd w:val="clear" w:color="auto" w:fill="FFFFFF"/>
              </w:rPr>
              <w:t xml:space="preserve"> 3 </w:t>
            </w:r>
            <w:r w:rsidR="009B34D7" w:rsidRPr="009B34D7">
              <w:rPr>
                <w:rFonts w:ascii="Times New Roman" w:hAnsi="Times New Roman" w:cs="Times New Roman"/>
                <w:sz w:val="24"/>
                <w:szCs w:val="24"/>
                <w:shd w:val="clear" w:color="auto" w:fill="FFFFFF"/>
              </w:rPr>
              <w:t>000 EUR pētījuma tulkošanas izmaksas</w:t>
            </w:r>
            <w:r w:rsidR="00F456B9" w:rsidRPr="00857D11">
              <w:rPr>
                <w:rFonts w:ascii="Times New Roman" w:hAnsi="Times New Roman" w:cs="Times New Roman"/>
                <w:sz w:val="24"/>
                <w:szCs w:val="24"/>
                <w:shd w:val="clear" w:color="auto" w:fill="FFFFFF"/>
              </w:rPr>
              <w:t>;</w:t>
            </w:r>
          </w:p>
          <w:p w:rsidR="00B105FC" w:rsidRPr="00655797" w:rsidRDefault="00E11944" w:rsidP="00E10175">
            <w:pPr>
              <w:pStyle w:val="ListParagraph"/>
              <w:numPr>
                <w:ilvl w:val="0"/>
                <w:numId w:val="16"/>
              </w:numPr>
              <w:tabs>
                <w:tab w:val="left" w:pos="6444"/>
              </w:tabs>
              <w:spacing w:after="0" w:line="240" w:lineRule="auto"/>
              <w:ind w:left="848" w:right="141"/>
              <w:jc w:val="both"/>
              <w:rPr>
                <w:rFonts w:ascii="Times New Roman" w:hAnsi="Times New Roman" w:cs="Times New Roman"/>
                <w:sz w:val="24"/>
                <w:szCs w:val="24"/>
                <w:shd w:val="clear" w:color="auto" w:fill="FFFFFF"/>
              </w:rPr>
            </w:pPr>
            <w:r w:rsidRPr="00655797">
              <w:rPr>
                <w:rFonts w:ascii="Times New Roman" w:hAnsi="Times New Roman" w:cs="Times New Roman"/>
                <w:sz w:val="24"/>
                <w:szCs w:val="24"/>
                <w:shd w:val="clear" w:color="auto" w:fill="FFFFFF"/>
              </w:rPr>
              <w:t>bezdarbnieku uzskaites un reģistrēto vakanču in</w:t>
            </w:r>
            <w:r w:rsidR="008F01AC">
              <w:rPr>
                <w:rFonts w:ascii="Times New Roman" w:hAnsi="Times New Roman" w:cs="Times New Roman"/>
                <w:sz w:val="24"/>
                <w:szCs w:val="24"/>
                <w:shd w:val="clear" w:color="auto" w:fill="FFFFFF"/>
              </w:rPr>
              <w:t xml:space="preserve">formācijas sistēmas </w:t>
            </w:r>
            <w:r w:rsidR="00F161BE">
              <w:rPr>
                <w:rFonts w:ascii="Times New Roman" w:hAnsi="Times New Roman" w:cs="Times New Roman"/>
                <w:sz w:val="24"/>
                <w:szCs w:val="24"/>
                <w:shd w:val="clear" w:color="auto" w:fill="FFFFFF"/>
              </w:rPr>
              <w:t xml:space="preserve">(turpmāk – BURVIS) </w:t>
            </w:r>
            <w:r w:rsidR="008F01AC">
              <w:rPr>
                <w:rFonts w:ascii="Times New Roman" w:hAnsi="Times New Roman" w:cs="Times New Roman"/>
                <w:sz w:val="24"/>
                <w:szCs w:val="24"/>
                <w:shd w:val="clear" w:color="auto" w:fill="FFFFFF"/>
              </w:rPr>
              <w:t>pielāgošana</w:t>
            </w:r>
            <w:r w:rsidR="00F161BE">
              <w:rPr>
                <w:rFonts w:ascii="Times New Roman" w:hAnsi="Times New Roman" w:cs="Times New Roman"/>
                <w:sz w:val="24"/>
                <w:szCs w:val="24"/>
                <w:shd w:val="clear" w:color="auto" w:fill="FFFFFF"/>
              </w:rPr>
              <w:t>, kas nepieciešama 2014.-</w:t>
            </w:r>
            <w:proofErr w:type="gramStart"/>
            <w:r w:rsidR="00F161BE">
              <w:rPr>
                <w:rFonts w:ascii="Times New Roman" w:hAnsi="Times New Roman" w:cs="Times New Roman"/>
                <w:sz w:val="24"/>
                <w:szCs w:val="24"/>
                <w:shd w:val="clear" w:color="auto" w:fill="FFFFFF"/>
              </w:rPr>
              <w:t>2020.gada</w:t>
            </w:r>
            <w:proofErr w:type="gramEnd"/>
            <w:r w:rsidR="00F161BE">
              <w:rPr>
                <w:rFonts w:ascii="Times New Roman" w:hAnsi="Times New Roman" w:cs="Times New Roman"/>
                <w:sz w:val="24"/>
                <w:szCs w:val="24"/>
                <w:shd w:val="clear" w:color="auto" w:fill="FFFFFF"/>
              </w:rPr>
              <w:t xml:space="preserve"> plānošanas perioda ietvaros plānoto jauniešu garantijas pasākumu </w:t>
            </w:r>
            <w:r w:rsidR="00F161BE" w:rsidRPr="00A523D9">
              <w:rPr>
                <w:rFonts w:ascii="Times New Roman" w:hAnsi="Times New Roman" w:cs="Times New Roman"/>
                <w:sz w:val="24"/>
                <w:szCs w:val="24"/>
                <w:shd w:val="clear" w:color="auto" w:fill="FFFFFF"/>
              </w:rPr>
              <w:t xml:space="preserve">īstenošanai (atbilstoši MK </w:t>
            </w:r>
            <w:r w:rsidR="00095132" w:rsidRPr="00A523D9">
              <w:rPr>
                <w:rFonts w:ascii="Times New Roman" w:hAnsi="Times New Roman" w:cs="Times New Roman"/>
                <w:sz w:val="24"/>
                <w:szCs w:val="24"/>
                <w:shd w:val="clear" w:color="auto" w:fill="FFFFFF"/>
              </w:rPr>
              <w:t>2013.gada 17.decembra</w:t>
            </w:r>
            <w:r w:rsidR="00F161BE" w:rsidRPr="00A523D9">
              <w:rPr>
                <w:rFonts w:ascii="Times New Roman" w:hAnsi="Times New Roman" w:cs="Times New Roman"/>
                <w:sz w:val="24"/>
                <w:szCs w:val="24"/>
                <w:shd w:val="clear" w:color="auto" w:fill="FFFFFF"/>
              </w:rPr>
              <w:t xml:space="preserve"> sēdē </w:t>
            </w:r>
            <w:r w:rsidR="00A523D9" w:rsidRPr="00A523D9">
              <w:rPr>
                <w:rFonts w:ascii="Times New Roman" w:hAnsi="Times New Roman" w:cs="Times New Roman"/>
                <w:sz w:val="24"/>
                <w:szCs w:val="24"/>
                <w:shd w:val="clear" w:color="auto" w:fill="FFFFFF"/>
              </w:rPr>
              <w:t xml:space="preserve">izskatītajam </w:t>
            </w:r>
            <w:r w:rsidR="00750E0D" w:rsidRPr="00750E0D">
              <w:rPr>
                <w:rFonts w:ascii="Times New Roman" w:hAnsi="Times New Roman" w:cs="Times New Roman"/>
              </w:rPr>
              <w:t>i</w:t>
            </w:r>
            <w:r w:rsidR="00A523D9" w:rsidRPr="00A523D9">
              <w:rPr>
                <w:rFonts w:ascii="Times New Roman" w:hAnsi="Times New Roman" w:cs="Times New Roman"/>
                <w:sz w:val="24"/>
                <w:szCs w:val="24"/>
                <w:shd w:val="clear" w:color="auto" w:fill="FFFFFF"/>
              </w:rPr>
              <w:t>nformatīva</w:t>
            </w:r>
            <w:r w:rsidR="00A523D9">
              <w:rPr>
                <w:rFonts w:ascii="Times New Roman" w:hAnsi="Times New Roman" w:cs="Times New Roman"/>
                <w:sz w:val="24"/>
                <w:szCs w:val="24"/>
                <w:shd w:val="clear" w:color="auto" w:fill="FFFFFF"/>
              </w:rPr>
              <w:t>jam</w:t>
            </w:r>
            <w:r w:rsidR="00A523D9" w:rsidRPr="00A523D9">
              <w:rPr>
                <w:rFonts w:ascii="Times New Roman" w:hAnsi="Times New Roman" w:cs="Times New Roman"/>
                <w:sz w:val="24"/>
                <w:szCs w:val="24"/>
                <w:shd w:val="clear" w:color="auto" w:fill="FFFFFF"/>
              </w:rPr>
              <w:t xml:space="preserve"> ziņojum</w:t>
            </w:r>
            <w:r w:rsidR="00A523D9">
              <w:rPr>
                <w:rFonts w:ascii="Times New Roman" w:hAnsi="Times New Roman" w:cs="Times New Roman"/>
                <w:sz w:val="24"/>
                <w:szCs w:val="24"/>
                <w:shd w:val="clear" w:color="auto" w:fill="FFFFFF"/>
              </w:rPr>
              <w:t>am „</w:t>
            </w:r>
            <w:r w:rsidR="00A523D9" w:rsidRPr="00A523D9">
              <w:rPr>
                <w:rFonts w:ascii="Times New Roman" w:hAnsi="Times New Roman" w:cs="Times New Roman"/>
                <w:sz w:val="24"/>
                <w:szCs w:val="24"/>
                <w:shd w:val="clear" w:color="auto" w:fill="FFFFFF"/>
              </w:rPr>
              <w:t>Par jauniešu garantijas īst</w:t>
            </w:r>
            <w:r w:rsidR="00A523D9">
              <w:rPr>
                <w:rFonts w:ascii="Times New Roman" w:hAnsi="Times New Roman" w:cs="Times New Roman"/>
                <w:sz w:val="24"/>
                <w:szCs w:val="24"/>
                <w:shd w:val="clear" w:color="auto" w:fill="FFFFFF"/>
              </w:rPr>
              <w:t>enošanu Latvijā 2014.-2018.gadā” un „</w:t>
            </w:r>
            <w:r w:rsidR="00A523D9" w:rsidRPr="00A523D9">
              <w:rPr>
                <w:rFonts w:ascii="Times New Roman" w:hAnsi="Times New Roman" w:cs="Times New Roman"/>
                <w:sz w:val="24"/>
                <w:szCs w:val="24"/>
                <w:shd w:val="clear" w:color="auto" w:fill="FFFFFF"/>
              </w:rPr>
              <w:t>Par Eiropas Savien</w:t>
            </w:r>
            <w:r w:rsidR="00397EEE">
              <w:rPr>
                <w:rFonts w:ascii="Times New Roman" w:hAnsi="Times New Roman" w:cs="Times New Roman"/>
                <w:sz w:val="24"/>
                <w:szCs w:val="24"/>
                <w:shd w:val="clear" w:color="auto" w:fill="FFFFFF"/>
              </w:rPr>
              <w:t>ības fondu darbības programmas „</w:t>
            </w:r>
            <w:r w:rsidR="00A523D9" w:rsidRPr="00A523D9">
              <w:rPr>
                <w:rFonts w:ascii="Times New Roman" w:hAnsi="Times New Roman" w:cs="Times New Roman"/>
                <w:sz w:val="24"/>
                <w:szCs w:val="24"/>
                <w:shd w:val="clear" w:color="auto" w:fill="FFFFFF"/>
              </w:rPr>
              <w:t>Izaugsme un nodarbinātība</w:t>
            </w:r>
            <w:r w:rsidR="00397EEE">
              <w:rPr>
                <w:rFonts w:ascii="Times New Roman" w:hAnsi="Times New Roman" w:cs="Times New Roman"/>
                <w:sz w:val="24"/>
                <w:szCs w:val="24"/>
                <w:shd w:val="clear" w:color="auto" w:fill="FFFFFF"/>
              </w:rPr>
              <w:t>”</w:t>
            </w:r>
            <w:r w:rsidR="00A523D9" w:rsidRPr="00A523D9">
              <w:rPr>
                <w:rFonts w:ascii="Times New Roman" w:hAnsi="Times New Roman" w:cs="Times New Roman"/>
                <w:sz w:val="24"/>
                <w:szCs w:val="24"/>
                <w:shd w:val="clear" w:color="auto" w:fill="FFFFFF"/>
              </w:rPr>
              <w:t xml:space="preserve"> 7</w:t>
            </w:r>
            <w:r w:rsidR="00A523D9">
              <w:rPr>
                <w:rFonts w:ascii="Times New Roman" w:hAnsi="Times New Roman" w:cs="Times New Roman"/>
                <w:sz w:val="24"/>
                <w:szCs w:val="24"/>
                <w:shd w:val="clear" w:color="auto" w:fill="FFFFFF"/>
              </w:rPr>
              <w:t>.2.1.specifiskā atbalsta mērķa „</w:t>
            </w:r>
            <w:r w:rsidR="00A523D9" w:rsidRPr="00A523D9">
              <w:rPr>
                <w:rFonts w:ascii="Times New Roman" w:hAnsi="Times New Roman" w:cs="Times New Roman"/>
                <w:sz w:val="24"/>
                <w:szCs w:val="24"/>
                <w:shd w:val="clear" w:color="auto" w:fill="FFFFFF"/>
              </w:rPr>
              <w:t>Veicināt nodarbinātībā, izglītībā vai apmācībās neiesaistītu jauniešu nodarbinātību Jauniešu garantijas ietvaro</w:t>
            </w:r>
            <w:r w:rsidR="00A523D9">
              <w:rPr>
                <w:rFonts w:ascii="Times New Roman" w:hAnsi="Times New Roman" w:cs="Times New Roman"/>
                <w:sz w:val="24"/>
                <w:szCs w:val="24"/>
                <w:shd w:val="clear" w:color="auto" w:fill="FFFFFF"/>
              </w:rPr>
              <w:t>s”</w:t>
            </w:r>
            <w:r w:rsidR="00A523D9" w:rsidRPr="00A523D9">
              <w:rPr>
                <w:rFonts w:ascii="Times New Roman" w:hAnsi="Times New Roman" w:cs="Times New Roman"/>
                <w:sz w:val="24"/>
                <w:szCs w:val="24"/>
                <w:shd w:val="clear" w:color="auto" w:fill="FFFFFF"/>
              </w:rPr>
              <w:t xml:space="preserve"> 1. un 2.kārtas īstenošanu</w:t>
            </w:r>
            <w:r w:rsidR="00A523D9">
              <w:rPr>
                <w:rFonts w:ascii="Times New Roman" w:hAnsi="Times New Roman" w:cs="Times New Roman"/>
                <w:sz w:val="24"/>
                <w:szCs w:val="24"/>
                <w:shd w:val="clear" w:color="auto" w:fill="FFFFFF"/>
              </w:rPr>
              <w:t>”)</w:t>
            </w:r>
            <w:r w:rsidR="00F161BE">
              <w:rPr>
                <w:rFonts w:ascii="Times New Roman" w:hAnsi="Times New Roman" w:cs="Times New Roman"/>
                <w:sz w:val="24"/>
                <w:szCs w:val="24"/>
                <w:shd w:val="clear" w:color="auto" w:fill="FFFFFF"/>
              </w:rPr>
              <w:t>. Ņemot vērā, ka 1.4.1.1.1.apakšaktivitātes ietvaros tiek īstenoti atbalsta pasākumi jauniešu nodarbinātības veicināšanai un šī atbalsta secīgs turpinājums ir jauniešu garantijas pasākumi 2014.-2020.gada plānošanas perioda ietvaros un to, ka BURVIS pielāgojumi ir nepiecieš</w:t>
            </w:r>
            <w:r w:rsidR="004279EC">
              <w:rPr>
                <w:rFonts w:ascii="Times New Roman" w:hAnsi="Times New Roman" w:cs="Times New Roman"/>
                <w:sz w:val="24"/>
                <w:szCs w:val="24"/>
                <w:shd w:val="clear" w:color="auto" w:fill="FFFFFF"/>
              </w:rPr>
              <w:t>ami kā sagatavošanās aktivitāte</w:t>
            </w:r>
            <w:r w:rsidR="00F161BE">
              <w:rPr>
                <w:rFonts w:ascii="Times New Roman" w:hAnsi="Times New Roman" w:cs="Times New Roman"/>
                <w:sz w:val="24"/>
                <w:szCs w:val="24"/>
                <w:shd w:val="clear" w:color="auto" w:fill="FFFFFF"/>
              </w:rPr>
              <w:t xml:space="preserve"> </w:t>
            </w:r>
            <w:r w:rsidR="00687780">
              <w:rPr>
                <w:rFonts w:ascii="Times New Roman" w:hAnsi="Times New Roman" w:cs="Times New Roman"/>
                <w:sz w:val="24"/>
                <w:szCs w:val="24"/>
                <w:shd w:val="clear" w:color="auto" w:fill="FFFFFF"/>
              </w:rPr>
              <w:t xml:space="preserve">jauniešu garantijas </w:t>
            </w:r>
            <w:r w:rsidR="00F161BE">
              <w:rPr>
                <w:rFonts w:ascii="Times New Roman" w:hAnsi="Times New Roman" w:cs="Times New Roman"/>
                <w:sz w:val="24"/>
                <w:szCs w:val="24"/>
                <w:shd w:val="clear" w:color="auto" w:fill="FFFFFF"/>
              </w:rPr>
              <w:t>2.kārtas projektam</w:t>
            </w:r>
            <w:r w:rsidR="00687780">
              <w:rPr>
                <w:rFonts w:ascii="Times New Roman" w:hAnsi="Times New Roman" w:cs="Times New Roman"/>
                <w:sz w:val="24"/>
                <w:szCs w:val="24"/>
                <w:shd w:val="clear" w:color="auto" w:fill="FFFFFF"/>
              </w:rPr>
              <w:t xml:space="preserve"> </w:t>
            </w:r>
            <w:r w:rsidR="00687780" w:rsidRPr="00687780">
              <w:rPr>
                <w:rFonts w:ascii="Times New Roman" w:hAnsi="Times New Roman" w:cs="Times New Roman"/>
                <w:sz w:val="24"/>
                <w:szCs w:val="24"/>
                <w:shd w:val="clear" w:color="auto" w:fill="FFFFFF"/>
              </w:rPr>
              <w:t>„Sākotnējās profesionālās izglītības programmu īstenošana garantijas jauniešiem ietvaros”</w:t>
            </w:r>
            <w:r w:rsidR="00AE55A0">
              <w:rPr>
                <w:rFonts w:ascii="Times New Roman" w:hAnsi="Times New Roman" w:cs="Times New Roman"/>
                <w:sz w:val="24"/>
                <w:szCs w:val="24"/>
                <w:shd w:val="clear" w:color="auto" w:fill="FFFFFF"/>
              </w:rPr>
              <w:t xml:space="preserve"> (īstenos Valsts izglītības attīstības aģentūra (turpmāk – VIAA))</w:t>
            </w:r>
            <w:r w:rsidR="00687780">
              <w:rPr>
                <w:rFonts w:ascii="Times New Roman" w:hAnsi="Times New Roman" w:cs="Times New Roman"/>
                <w:sz w:val="24"/>
                <w:szCs w:val="24"/>
                <w:shd w:val="clear" w:color="auto" w:fill="FFFFFF"/>
              </w:rPr>
              <w:t xml:space="preserve"> pirms tā īstenošanas uzsākšanas BURVIS pielāgojumu ieviešana tiek paredzēta 1.4.1.1.1.apakšaktivitātes ietvaros.</w:t>
            </w:r>
            <w:r w:rsidR="008F01AC">
              <w:rPr>
                <w:rFonts w:ascii="Times New Roman" w:hAnsi="Times New Roman" w:cs="Times New Roman"/>
                <w:sz w:val="24"/>
                <w:szCs w:val="24"/>
                <w:shd w:val="clear" w:color="auto" w:fill="FFFFFF"/>
              </w:rPr>
              <w:t xml:space="preserve"> Minētie pielāgojumi paredzēs</w:t>
            </w:r>
            <w:r w:rsidRPr="00655797">
              <w:rPr>
                <w:rFonts w:ascii="Times New Roman" w:hAnsi="Times New Roman" w:cs="Times New Roman"/>
                <w:sz w:val="24"/>
                <w:szCs w:val="24"/>
                <w:shd w:val="clear" w:color="auto" w:fill="FFFFFF"/>
              </w:rPr>
              <w:t xml:space="preserve"> iespēju </w:t>
            </w:r>
            <w:r w:rsidR="00BF3151">
              <w:rPr>
                <w:rFonts w:ascii="Times New Roman" w:hAnsi="Times New Roman" w:cs="Times New Roman"/>
                <w:sz w:val="24"/>
                <w:szCs w:val="24"/>
                <w:shd w:val="clear" w:color="auto" w:fill="FFFFFF"/>
              </w:rPr>
              <w:t>VIAA</w:t>
            </w:r>
            <w:r w:rsidRPr="00655797">
              <w:rPr>
                <w:rFonts w:ascii="Times New Roman" w:hAnsi="Times New Roman" w:cs="Times New Roman"/>
                <w:sz w:val="24"/>
                <w:szCs w:val="24"/>
                <w:shd w:val="clear" w:color="auto" w:fill="FFFFFF"/>
              </w:rPr>
              <w:t xml:space="preserve"> darbiniekiem attālināti pieslēgties bezdarbnieku uzskaites un reģistrēto vakanču informācijas sistēmai un </w:t>
            </w:r>
            <w:r w:rsidRPr="00655797">
              <w:rPr>
                <w:rFonts w:ascii="Times New Roman" w:hAnsi="Times New Roman" w:cs="Times New Roman"/>
                <w:color w:val="000000"/>
                <w:sz w:val="24"/>
                <w:szCs w:val="24"/>
              </w:rPr>
              <w:t xml:space="preserve">ievadīt datus par </w:t>
            </w:r>
            <w:r w:rsidRPr="00655797">
              <w:rPr>
                <w:rFonts w:ascii="Times New Roman" w:hAnsi="Times New Roman" w:cs="Times New Roman"/>
                <w:sz w:val="24"/>
                <w:szCs w:val="24"/>
                <w:shd w:val="clear" w:color="auto" w:fill="FFFFFF"/>
              </w:rPr>
              <w:t>jauniešiem, kas tiek iesaistīti VI</w:t>
            </w:r>
            <w:r w:rsidR="00A65273" w:rsidRPr="00655797">
              <w:rPr>
                <w:rFonts w:ascii="Times New Roman" w:hAnsi="Times New Roman" w:cs="Times New Roman"/>
                <w:sz w:val="24"/>
                <w:szCs w:val="24"/>
                <w:shd w:val="clear" w:color="auto" w:fill="FFFFFF"/>
              </w:rPr>
              <w:t>AA īstenotajās 1-gadīgajās un 1,</w:t>
            </w:r>
            <w:r w:rsidRPr="00655797">
              <w:rPr>
                <w:rFonts w:ascii="Times New Roman" w:hAnsi="Times New Roman" w:cs="Times New Roman"/>
                <w:sz w:val="24"/>
                <w:szCs w:val="24"/>
                <w:shd w:val="clear" w:color="auto" w:fill="FFFFFF"/>
              </w:rPr>
              <w:t>5-gadīgajās profesionālās izglītības programmās, tādējādi nodrošinot minētās mērķa grupas bezdarbnieku uzskaiti</w:t>
            </w:r>
            <w:r w:rsidR="00125DF5" w:rsidRPr="00655797">
              <w:rPr>
                <w:rFonts w:ascii="Times New Roman" w:hAnsi="Times New Roman" w:cs="Times New Roman"/>
                <w:sz w:val="24"/>
                <w:szCs w:val="24"/>
                <w:shd w:val="clear" w:color="auto" w:fill="FFFFFF"/>
              </w:rPr>
              <w:t xml:space="preserve"> (paredzēts, ka dalību šajās programmās 2014.-</w:t>
            </w:r>
            <w:proofErr w:type="gramStart"/>
            <w:r w:rsidR="00125DF5" w:rsidRPr="00655797">
              <w:rPr>
                <w:rFonts w:ascii="Times New Roman" w:hAnsi="Times New Roman" w:cs="Times New Roman"/>
                <w:sz w:val="24"/>
                <w:szCs w:val="24"/>
                <w:shd w:val="clear" w:color="auto" w:fill="FFFFFF"/>
              </w:rPr>
              <w:t>2020.gadā</w:t>
            </w:r>
            <w:proofErr w:type="gramEnd"/>
            <w:r w:rsidR="00125DF5" w:rsidRPr="00655797">
              <w:rPr>
                <w:rFonts w:ascii="Times New Roman" w:hAnsi="Times New Roman" w:cs="Times New Roman"/>
                <w:sz w:val="24"/>
                <w:szCs w:val="24"/>
                <w:shd w:val="clear" w:color="auto" w:fill="FFFFFF"/>
              </w:rPr>
              <w:t xml:space="preserve"> uzsāks aptuveni 8 tūkstoši jauniešu, kas veido 24% no visiem jauniešiem, kas tiks iesaistīti jauniešu garantijas pasākumos)</w:t>
            </w:r>
            <w:r w:rsidRPr="00655797">
              <w:rPr>
                <w:rFonts w:ascii="Times New Roman" w:hAnsi="Times New Roman" w:cs="Times New Roman"/>
                <w:sz w:val="24"/>
                <w:szCs w:val="24"/>
                <w:shd w:val="clear" w:color="auto" w:fill="FFFFFF"/>
              </w:rPr>
              <w:t xml:space="preserve"> </w:t>
            </w:r>
            <w:r w:rsidR="004D4A4C" w:rsidRPr="00655797">
              <w:rPr>
                <w:rFonts w:ascii="Times New Roman" w:hAnsi="Times New Roman" w:cs="Times New Roman"/>
                <w:sz w:val="24"/>
                <w:szCs w:val="24"/>
                <w:shd w:val="clear" w:color="auto" w:fill="FFFFFF"/>
              </w:rPr>
              <w:t>nodrošināšanu 2014.gadā.</w:t>
            </w:r>
          </w:p>
          <w:p w:rsidR="00513962" w:rsidRDefault="00513962" w:rsidP="00513962">
            <w:pPr>
              <w:tabs>
                <w:tab w:val="left" w:pos="6444"/>
              </w:tabs>
              <w:spacing w:after="0" w:line="240" w:lineRule="auto"/>
              <w:ind w:left="281" w:right="141"/>
              <w:jc w:val="both"/>
              <w:rPr>
                <w:rFonts w:ascii="Times New Roman" w:hAnsi="Times New Roman" w:cs="Times New Roman"/>
                <w:sz w:val="24"/>
                <w:szCs w:val="24"/>
                <w:shd w:val="clear" w:color="auto" w:fill="FFFFFF"/>
              </w:rPr>
            </w:pPr>
          </w:p>
          <w:p w:rsidR="00EF7E11" w:rsidRPr="00E25952" w:rsidRDefault="00513962" w:rsidP="00513962">
            <w:pPr>
              <w:tabs>
                <w:tab w:val="left" w:pos="6444"/>
              </w:tabs>
              <w:spacing w:after="0" w:line="240" w:lineRule="auto"/>
              <w:ind w:left="139" w:right="141"/>
              <w:jc w:val="both"/>
              <w:rPr>
                <w:rFonts w:ascii="Times New Roman" w:hAnsi="Times New Roman" w:cs="Times New Roman"/>
                <w:sz w:val="24"/>
                <w:szCs w:val="24"/>
                <w:shd w:val="clear" w:color="auto" w:fill="FFFFFF"/>
              </w:rPr>
            </w:pPr>
            <w:r w:rsidRPr="00E25952">
              <w:rPr>
                <w:rFonts w:ascii="Times New Roman" w:hAnsi="Times New Roman" w:cs="Times New Roman"/>
                <w:sz w:val="24"/>
                <w:szCs w:val="24"/>
                <w:shd w:val="clear" w:color="auto" w:fill="FFFFFF"/>
              </w:rPr>
              <w:t xml:space="preserve">Veicot finansējuma pārdali, tiek nodrošināta atbilstība MK </w:t>
            </w:r>
            <w:proofErr w:type="gramStart"/>
            <w:r w:rsidRPr="00E25952">
              <w:rPr>
                <w:rFonts w:ascii="Times New Roman" w:hAnsi="Times New Roman" w:cs="Times New Roman"/>
                <w:sz w:val="24"/>
                <w:szCs w:val="24"/>
                <w:shd w:val="clear" w:color="auto" w:fill="FFFFFF"/>
              </w:rPr>
              <w:t>2012.gada</w:t>
            </w:r>
            <w:proofErr w:type="gramEnd"/>
            <w:r w:rsidRPr="00E25952">
              <w:rPr>
                <w:rFonts w:ascii="Times New Roman" w:hAnsi="Times New Roman" w:cs="Times New Roman"/>
                <w:sz w:val="24"/>
                <w:szCs w:val="24"/>
                <w:shd w:val="clear" w:color="auto" w:fill="FFFFFF"/>
              </w:rPr>
              <w:t xml:space="preserve"> 8.maija </w:t>
            </w:r>
            <w:proofErr w:type="spellStart"/>
            <w:r w:rsidRPr="00E25952">
              <w:rPr>
                <w:rFonts w:ascii="Times New Roman" w:hAnsi="Times New Roman" w:cs="Times New Roman"/>
                <w:sz w:val="24"/>
                <w:szCs w:val="24"/>
                <w:shd w:val="clear" w:color="auto" w:fill="FFFFFF"/>
              </w:rPr>
              <w:t>protokollēmuma</w:t>
            </w:r>
            <w:proofErr w:type="spellEnd"/>
            <w:r w:rsidRPr="00E25952">
              <w:rPr>
                <w:rFonts w:ascii="Times New Roman" w:hAnsi="Times New Roman" w:cs="Times New Roman"/>
                <w:sz w:val="24"/>
                <w:szCs w:val="24"/>
                <w:shd w:val="clear" w:color="auto" w:fill="FFFFFF"/>
              </w:rPr>
              <w:t xml:space="preserve"> Nr.25 26.§ 7.punktam, </w:t>
            </w:r>
            <w:r w:rsidR="00400D63" w:rsidRPr="00E25952">
              <w:rPr>
                <w:rFonts w:ascii="Times New Roman" w:hAnsi="Times New Roman" w:cs="Times New Roman"/>
                <w:sz w:val="24"/>
                <w:szCs w:val="24"/>
                <w:shd w:val="clear" w:color="auto" w:fill="FFFFFF"/>
              </w:rPr>
              <w:t>t.i. 1.4.prioritātes ietvaros</w:t>
            </w:r>
            <w:r w:rsidR="008C40F0" w:rsidRPr="00E25952">
              <w:rPr>
                <w:rFonts w:ascii="Times New Roman" w:hAnsi="Times New Roman" w:cs="Times New Roman"/>
                <w:sz w:val="24"/>
                <w:szCs w:val="24"/>
                <w:shd w:val="clear" w:color="auto" w:fill="FFFFFF"/>
              </w:rPr>
              <w:t xml:space="preserve"> no 1.4.1.1.1.apakšaktivitātes</w:t>
            </w:r>
            <w:r w:rsidR="00400D63" w:rsidRPr="00E25952">
              <w:rPr>
                <w:rFonts w:ascii="Times New Roman" w:hAnsi="Times New Roman" w:cs="Times New Roman"/>
                <w:sz w:val="24"/>
                <w:szCs w:val="24"/>
                <w:shd w:val="clear" w:color="auto" w:fill="FFFFFF"/>
              </w:rPr>
              <w:t xml:space="preserve">, kurā ir uzņemtas </w:t>
            </w:r>
            <w:proofErr w:type="spellStart"/>
            <w:r w:rsidR="00400D63" w:rsidRPr="00E25952">
              <w:rPr>
                <w:rFonts w:ascii="Times New Roman" w:hAnsi="Times New Roman" w:cs="Times New Roman"/>
                <w:sz w:val="24"/>
                <w:szCs w:val="24"/>
                <w:shd w:val="clear" w:color="auto" w:fill="FFFFFF"/>
              </w:rPr>
              <w:t>virssaistības</w:t>
            </w:r>
            <w:proofErr w:type="spellEnd"/>
            <w:r w:rsidR="008C40F0" w:rsidRPr="00E25952">
              <w:rPr>
                <w:rFonts w:ascii="Times New Roman" w:hAnsi="Times New Roman" w:cs="Times New Roman"/>
                <w:sz w:val="24"/>
                <w:szCs w:val="24"/>
                <w:shd w:val="clear" w:color="auto" w:fill="FFFFFF"/>
              </w:rPr>
              <w:t>,</w:t>
            </w:r>
            <w:r w:rsidR="00400D63" w:rsidRPr="00E25952">
              <w:rPr>
                <w:rFonts w:ascii="Times New Roman" w:hAnsi="Times New Roman" w:cs="Times New Roman"/>
                <w:sz w:val="24"/>
                <w:szCs w:val="24"/>
                <w:shd w:val="clear" w:color="auto" w:fill="FFFFFF"/>
              </w:rPr>
              <w:t xml:space="preserve"> netiek pārdalīts finansējums, kas pēc </w:t>
            </w:r>
            <w:r w:rsidR="00C87872" w:rsidRPr="00E25952">
              <w:rPr>
                <w:rFonts w:ascii="Times New Roman" w:hAnsi="Times New Roman" w:cs="Times New Roman"/>
                <w:sz w:val="24"/>
                <w:szCs w:val="24"/>
                <w:shd w:val="clear" w:color="auto" w:fill="FFFFFF"/>
              </w:rPr>
              <w:t>2012.gada 8.maija</w:t>
            </w:r>
            <w:r w:rsidR="00400D63" w:rsidRPr="00E25952">
              <w:rPr>
                <w:rFonts w:ascii="Times New Roman" w:hAnsi="Times New Roman" w:cs="Times New Roman"/>
                <w:sz w:val="24"/>
                <w:szCs w:val="24"/>
                <w:shd w:val="clear" w:color="auto" w:fill="FFFFFF"/>
              </w:rPr>
              <w:t xml:space="preserve"> atbrīvojies neatbilstoši veiktu izdevumu vai lauztu līgumu rezultātā</w:t>
            </w:r>
            <w:r w:rsidRPr="00E25952">
              <w:rPr>
                <w:rFonts w:ascii="Times New Roman" w:hAnsi="Times New Roman" w:cs="Times New Roman"/>
                <w:sz w:val="24"/>
                <w:szCs w:val="24"/>
                <w:shd w:val="clear" w:color="auto" w:fill="FFFFFF"/>
              </w:rPr>
              <w:t>.</w:t>
            </w:r>
            <w:r w:rsidR="00C87872" w:rsidRPr="00E25952">
              <w:rPr>
                <w:rFonts w:ascii="Times New Roman" w:hAnsi="Times New Roman" w:cs="Times New Roman"/>
                <w:sz w:val="24"/>
                <w:szCs w:val="24"/>
                <w:shd w:val="clear" w:color="auto" w:fill="FFFFFF"/>
              </w:rPr>
              <w:t xml:space="preserve"> </w:t>
            </w:r>
          </w:p>
          <w:p w:rsidR="00BF1C90" w:rsidRDefault="00BF1C90" w:rsidP="00922DFB">
            <w:pPr>
              <w:spacing w:after="0" w:line="240" w:lineRule="auto"/>
              <w:ind w:right="142"/>
              <w:jc w:val="both"/>
              <w:rPr>
                <w:rFonts w:ascii="Times New Roman" w:hAnsi="Times New Roman" w:cs="Times New Roman"/>
                <w:sz w:val="24"/>
                <w:szCs w:val="24"/>
              </w:rPr>
            </w:pPr>
          </w:p>
          <w:p w:rsidR="002E5587" w:rsidRPr="00EC0598" w:rsidRDefault="00F36963" w:rsidP="006A6178">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lastRenderedPageBreak/>
              <w:t>2</w:t>
            </w:r>
            <w:r w:rsidR="00D0337A" w:rsidRPr="00D0337A">
              <w:rPr>
                <w:rFonts w:ascii="Times New Roman" w:hAnsi="Times New Roman" w:cs="Times New Roman"/>
                <w:sz w:val="24"/>
                <w:szCs w:val="24"/>
              </w:rPr>
              <w:t xml:space="preserve">. 1.3.1.4.aktivitāti </w:t>
            </w:r>
            <w:proofErr w:type="gramStart"/>
            <w:r w:rsidR="00D0337A" w:rsidRPr="00D0337A">
              <w:rPr>
                <w:rFonts w:ascii="Times New Roman" w:hAnsi="Times New Roman" w:cs="Times New Roman"/>
                <w:sz w:val="24"/>
                <w:szCs w:val="24"/>
              </w:rPr>
              <w:t>nepieciešams papildināt ar jaunu atbalstāmo darbību</w:t>
            </w:r>
            <w:proofErr w:type="gramEnd"/>
            <w:r w:rsidR="00D0337A" w:rsidRPr="00D0337A">
              <w:rPr>
                <w:rFonts w:ascii="Times New Roman" w:hAnsi="Times New Roman" w:cs="Times New Roman"/>
                <w:sz w:val="24"/>
                <w:szCs w:val="24"/>
              </w:rPr>
              <w:t xml:space="preserve"> „Operatīvās klientu apkalpošanas Informācijas tehnoloģiju (IT) rīku noma”. Atbalstāmās darbības ietvaros tiktu nodrošinātā šādu trīs IT rīku noma: Elektroniskās bezdarbnieku klasifikācij</w:t>
            </w:r>
            <w:r w:rsidR="00D0337A">
              <w:rPr>
                <w:rFonts w:ascii="Times New Roman" w:hAnsi="Times New Roman" w:cs="Times New Roman"/>
                <w:sz w:val="24"/>
                <w:szCs w:val="24"/>
              </w:rPr>
              <w:t>as/profilēšanas rīks</w:t>
            </w:r>
            <w:r w:rsidR="00D0337A" w:rsidRPr="00D0337A">
              <w:rPr>
                <w:rFonts w:ascii="Times New Roman" w:hAnsi="Times New Roman" w:cs="Times New Roman"/>
                <w:sz w:val="24"/>
                <w:szCs w:val="24"/>
              </w:rPr>
              <w:t>, Darba tirgus īstermiņa pieprasīj</w:t>
            </w:r>
            <w:r w:rsidR="00D0337A">
              <w:rPr>
                <w:rFonts w:ascii="Times New Roman" w:hAnsi="Times New Roman" w:cs="Times New Roman"/>
                <w:sz w:val="24"/>
                <w:szCs w:val="24"/>
              </w:rPr>
              <w:t>uma prognožu vizualizācijas rīks</w:t>
            </w:r>
            <w:r w:rsidR="00D0337A" w:rsidRPr="00D0337A">
              <w:rPr>
                <w:rFonts w:ascii="Times New Roman" w:hAnsi="Times New Roman" w:cs="Times New Roman"/>
                <w:sz w:val="24"/>
                <w:szCs w:val="24"/>
              </w:rPr>
              <w:t xml:space="preserve"> un Apmācību pasā</w:t>
            </w:r>
            <w:r w:rsidR="00D0337A">
              <w:rPr>
                <w:rFonts w:ascii="Times New Roman" w:hAnsi="Times New Roman" w:cs="Times New Roman"/>
                <w:sz w:val="24"/>
                <w:szCs w:val="24"/>
              </w:rPr>
              <w:t>kumu kvalitātes monitoringa rīks</w:t>
            </w:r>
            <w:r w:rsidR="00D0337A" w:rsidRPr="00D0337A">
              <w:rPr>
                <w:rFonts w:ascii="Times New Roman" w:hAnsi="Times New Roman" w:cs="Times New Roman"/>
                <w:sz w:val="24"/>
                <w:szCs w:val="24"/>
              </w:rPr>
              <w:t>. Šāda atbalstāmā darbība ir nepieciešama, lai NVA (kā moderna un uz klientiem vērsta institūcija) varētu operatīvi reaģēt uz klientu pieprasījumu un uzlabotu klientu apkalpošanas kvalitāti</w:t>
            </w:r>
            <w:r w:rsidR="00D0337A" w:rsidRPr="00EC0598">
              <w:rPr>
                <w:rFonts w:ascii="Times New Roman" w:hAnsi="Times New Roman" w:cs="Times New Roman"/>
                <w:sz w:val="24"/>
                <w:szCs w:val="24"/>
              </w:rPr>
              <w:t>. Minētos IT rīkus plānots nomāt no pakalpojuma sniedzēja, kas tiks piesaistīts iepirkuma procedūras rezultātā.</w:t>
            </w:r>
          </w:p>
          <w:p w:rsidR="00D0337A" w:rsidRDefault="00D0337A" w:rsidP="006A6178">
            <w:pPr>
              <w:spacing w:after="0" w:line="240" w:lineRule="auto"/>
              <w:ind w:left="142" w:right="142"/>
              <w:jc w:val="both"/>
              <w:rPr>
                <w:rFonts w:ascii="Times New Roman" w:eastAsia="Times New Roman" w:hAnsi="Times New Roman" w:cs="Times New Roman"/>
                <w:sz w:val="24"/>
                <w:szCs w:val="24"/>
                <w:lang w:eastAsia="lv-LV"/>
              </w:rPr>
            </w:pPr>
          </w:p>
          <w:p w:rsidR="002E5587" w:rsidRDefault="00F36963" w:rsidP="006A6178">
            <w:pPr>
              <w:spacing w:after="0" w:line="240" w:lineRule="auto"/>
              <w:ind w:left="142"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E5587">
              <w:rPr>
                <w:rFonts w:ascii="Times New Roman" w:eastAsia="Times New Roman" w:hAnsi="Times New Roman" w:cs="Times New Roman"/>
                <w:sz w:val="24"/>
                <w:szCs w:val="24"/>
                <w:lang w:eastAsia="lv-LV"/>
              </w:rPr>
              <w:t xml:space="preserve">. 1.4.1.1.1.apakšaktivitāti nepieciešams papildināt ar jaunu atbalstāmo darbību </w:t>
            </w:r>
            <w:r w:rsidR="00654FBD">
              <w:rPr>
                <w:rFonts w:ascii="Times New Roman" w:eastAsia="Times New Roman" w:hAnsi="Times New Roman" w:cs="Times New Roman"/>
                <w:sz w:val="24"/>
                <w:szCs w:val="24"/>
                <w:lang w:eastAsia="lv-LV"/>
              </w:rPr>
              <w:noBreakHyphen/>
              <w:t xml:space="preserve"> </w:t>
            </w:r>
            <w:r w:rsidR="00654FBD" w:rsidRPr="00654FBD">
              <w:rPr>
                <w:rFonts w:ascii="Times New Roman" w:eastAsia="Times New Roman" w:hAnsi="Times New Roman" w:cs="Times New Roman"/>
                <w:sz w:val="24"/>
                <w:szCs w:val="24"/>
                <w:lang w:eastAsia="lv-LV"/>
              </w:rPr>
              <w:t>zinātnisks pētījums par jauniešu, kas nemācās, nestrādā un neapgūst arodu profilu un aktivizācijas iespējām</w:t>
            </w:r>
            <w:r w:rsidR="00654FBD">
              <w:rPr>
                <w:rFonts w:ascii="Times New Roman" w:eastAsia="Times New Roman" w:hAnsi="Times New Roman" w:cs="Times New Roman"/>
                <w:sz w:val="24"/>
                <w:szCs w:val="24"/>
                <w:lang w:eastAsia="lv-LV"/>
              </w:rPr>
              <w:t>, lai nodrošinātu</w:t>
            </w:r>
            <w:r w:rsidR="00654FBD" w:rsidRPr="00376507">
              <w:rPr>
                <w:rFonts w:ascii="Times New Roman" w:hAnsi="Times New Roman" w:cs="Times New Roman"/>
                <w:sz w:val="24"/>
                <w:szCs w:val="24"/>
                <w:shd w:val="clear" w:color="auto" w:fill="FFFFFF"/>
              </w:rPr>
              <w:t xml:space="preserve"> Ministru kabineta 17.12.2013. sēdes protokola Nr.67 92.§</w:t>
            </w:r>
            <w:r w:rsidR="00654FBD">
              <w:rPr>
                <w:rFonts w:ascii="Times New Roman" w:hAnsi="Times New Roman" w:cs="Times New Roman"/>
                <w:sz w:val="24"/>
                <w:szCs w:val="24"/>
                <w:shd w:val="clear" w:color="auto" w:fill="FFFFFF"/>
              </w:rPr>
              <w:t xml:space="preserve"> </w:t>
            </w:r>
            <w:r w:rsidR="00654FBD" w:rsidRPr="00654FBD">
              <w:rPr>
                <w:rFonts w:ascii="Times New Roman" w:hAnsi="Times New Roman" w:cs="Times New Roman"/>
                <w:sz w:val="24"/>
                <w:szCs w:val="24"/>
                <w:shd w:val="clear" w:color="auto" w:fill="FFFFFF"/>
              </w:rPr>
              <w:t>5.punktā noteiktā</w:t>
            </w:r>
            <w:r w:rsidR="00654FBD" w:rsidRPr="00DA2D55">
              <w:rPr>
                <w:rFonts w:ascii="Times New Roman" w:hAnsi="Times New Roman" w:cs="Times New Roman"/>
                <w:sz w:val="24"/>
                <w:szCs w:val="24"/>
                <w:shd w:val="clear" w:color="auto" w:fill="FFFFFF"/>
              </w:rPr>
              <w:t xml:space="preserve"> (Labklājības ministrijai līdz </w:t>
            </w:r>
            <w:proofErr w:type="gramStart"/>
            <w:r w:rsidR="00654FBD" w:rsidRPr="00DA2D55">
              <w:rPr>
                <w:rFonts w:ascii="Times New Roman" w:hAnsi="Times New Roman" w:cs="Times New Roman"/>
                <w:sz w:val="24"/>
                <w:szCs w:val="24"/>
                <w:shd w:val="clear" w:color="auto" w:fill="FFFFFF"/>
              </w:rPr>
              <w:t>2014.gada</w:t>
            </w:r>
            <w:proofErr w:type="gramEnd"/>
            <w:r w:rsidR="00654FBD" w:rsidRPr="00DA2D55">
              <w:rPr>
                <w:rFonts w:ascii="Times New Roman" w:hAnsi="Times New Roman" w:cs="Times New Roman"/>
                <w:sz w:val="24"/>
                <w:szCs w:val="24"/>
                <w:shd w:val="clear" w:color="auto" w:fill="FFFFFF"/>
              </w:rPr>
              <w:t xml:space="preserve"> 1.oktobrim organizēt zinātniska pētījuma īstenošanu par jauniešu, kas nemācās, nestrādā un neiegūst arodu, profilu un aktivizācijas iespējām, piesaistot Ekonomiskās sadarbības un attīstības organizācijas (OECD) ekspertīzi)</w:t>
            </w:r>
            <w:r w:rsidR="00654FBD">
              <w:rPr>
                <w:rFonts w:ascii="Times New Roman" w:hAnsi="Times New Roman" w:cs="Times New Roman"/>
                <w:sz w:val="24"/>
                <w:szCs w:val="24"/>
                <w:shd w:val="clear" w:color="auto" w:fill="FFFFFF"/>
              </w:rPr>
              <w:t xml:space="preserve"> un </w:t>
            </w:r>
            <w:r w:rsidR="00654FBD" w:rsidRPr="00654FBD">
              <w:rPr>
                <w:rFonts w:ascii="Times New Roman" w:hAnsi="Times New Roman" w:cs="Times New Roman"/>
                <w:sz w:val="24"/>
                <w:szCs w:val="24"/>
                <w:shd w:val="clear" w:color="auto" w:fill="FFFFFF"/>
              </w:rPr>
              <w:t>6.punktā noteiktā</w:t>
            </w:r>
            <w:r w:rsidR="00654FBD">
              <w:rPr>
                <w:rFonts w:ascii="Times New Roman" w:hAnsi="Times New Roman" w:cs="Times New Roman"/>
                <w:sz w:val="24"/>
                <w:szCs w:val="24"/>
                <w:shd w:val="clear" w:color="auto" w:fill="FFFFFF"/>
              </w:rPr>
              <w:t xml:space="preserve"> (atbalstīt zinātniskā</w:t>
            </w:r>
            <w:r w:rsidR="00654FBD" w:rsidRPr="00DA2D55">
              <w:rPr>
                <w:rFonts w:ascii="Times New Roman" w:hAnsi="Times New Roman" w:cs="Times New Roman"/>
                <w:sz w:val="24"/>
                <w:szCs w:val="24"/>
                <w:shd w:val="clear" w:color="auto" w:fill="FFFFFF"/>
              </w:rPr>
              <w:t xml:space="preserve"> pētījuma </w:t>
            </w:r>
            <w:r w:rsidR="00654FBD">
              <w:rPr>
                <w:rFonts w:ascii="Times New Roman" w:hAnsi="Times New Roman" w:cs="Times New Roman"/>
                <w:sz w:val="24"/>
                <w:szCs w:val="24"/>
                <w:shd w:val="clear" w:color="auto" w:fill="FFFFFF"/>
              </w:rPr>
              <w:t>finansēšanu no Labklājības ministrijai pieejamiem Eiropas Sociālā fonda līdzekļiem un Labklājības ministrijai līdz 2014.gada 14.februārim iesniegt izskatīšanai Ministru kabinetā grozījumus DPP un attiecīgajos normatīvajos aktos, kas nosaka Eiropas Sociālā fonda finansēto aktivitāšu īstenošanas kārtība)</w:t>
            </w:r>
            <w:r w:rsidR="00654FBD" w:rsidRPr="00DA2D55">
              <w:rPr>
                <w:rFonts w:ascii="Times New Roman" w:hAnsi="Times New Roman" w:cs="Times New Roman"/>
                <w:sz w:val="24"/>
                <w:szCs w:val="24"/>
                <w:shd w:val="clear" w:color="auto" w:fill="FFFFFF"/>
              </w:rPr>
              <w:t xml:space="preserve"> izpildi</w:t>
            </w:r>
            <w:r w:rsidR="00654FBD">
              <w:rPr>
                <w:rFonts w:ascii="Times New Roman" w:eastAsia="Times New Roman" w:hAnsi="Times New Roman" w:cs="Times New Roman"/>
                <w:sz w:val="24"/>
                <w:szCs w:val="24"/>
                <w:lang w:eastAsia="lv-LV"/>
              </w:rPr>
              <w:t>.</w:t>
            </w:r>
          </w:p>
          <w:p w:rsidR="002E5587" w:rsidRPr="00303FFC" w:rsidRDefault="002E5587" w:rsidP="006A6178">
            <w:pPr>
              <w:spacing w:after="0" w:line="240" w:lineRule="auto"/>
              <w:ind w:left="142" w:right="142"/>
              <w:jc w:val="both"/>
              <w:rPr>
                <w:rFonts w:ascii="Times New Roman" w:hAnsi="Times New Roman" w:cs="Times New Roman"/>
                <w:sz w:val="24"/>
                <w:szCs w:val="24"/>
              </w:rPr>
            </w:pPr>
          </w:p>
          <w:p w:rsidR="000506F6" w:rsidRDefault="003B0FBE" w:rsidP="001E0C9B">
            <w:pPr>
              <w:spacing w:after="0" w:line="240" w:lineRule="auto"/>
              <w:ind w:left="142" w:right="141"/>
              <w:jc w:val="both"/>
              <w:rPr>
                <w:rFonts w:ascii="Times New Roman" w:hAnsi="Times New Roman" w:cs="Times New Roman"/>
                <w:sz w:val="24"/>
                <w:szCs w:val="24"/>
              </w:rPr>
            </w:pPr>
            <w:r w:rsidRPr="003721D8">
              <w:rPr>
                <w:rFonts w:ascii="Times New Roman" w:hAnsi="Times New Roman" w:cs="Times New Roman"/>
                <w:sz w:val="24"/>
                <w:szCs w:val="24"/>
              </w:rPr>
              <w:t xml:space="preserve">Ņemot vērā iepriekš minēto, nepieciešams veikt grozījumus </w:t>
            </w:r>
            <w:r w:rsidR="00D44056">
              <w:rPr>
                <w:rFonts w:ascii="Times New Roman" w:hAnsi="Times New Roman" w:cs="Times New Roman"/>
                <w:sz w:val="24"/>
                <w:szCs w:val="24"/>
              </w:rPr>
              <w:t>DPP</w:t>
            </w:r>
            <w:r w:rsidRPr="003721D8">
              <w:rPr>
                <w:rFonts w:ascii="Times New Roman" w:hAnsi="Times New Roman" w:cs="Times New Roman"/>
                <w:sz w:val="24"/>
                <w:szCs w:val="24"/>
              </w:rPr>
              <w:t xml:space="preserve">, precizējot </w:t>
            </w:r>
            <w:r w:rsidR="00303FFC" w:rsidRPr="003721D8">
              <w:rPr>
                <w:rFonts w:ascii="Times New Roman" w:hAnsi="Times New Roman" w:cs="Times New Roman"/>
                <w:sz w:val="24"/>
                <w:szCs w:val="24"/>
              </w:rPr>
              <w:t xml:space="preserve">1.3.1.4., 1.3.1.5. un 1.3.1.7.aktivitātes, 1.3.1.3.2., </w:t>
            </w:r>
            <w:r w:rsidRPr="003721D8">
              <w:rPr>
                <w:rFonts w:ascii="Times New Roman" w:hAnsi="Times New Roman" w:cs="Times New Roman"/>
                <w:sz w:val="24"/>
                <w:szCs w:val="24"/>
              </w:rPr>
              <w:t>1.4.1.1.1.</w:t>
            </w:r>
            <w:r w:rsidR="00303FFC" w:rsidRPr="003721D8">
              <w:rPr>
                <w:rFonts w:ascii="Times New Roman" w:hAnsi="Times New Roman" w:cs="Times New Roman"/>
                <w:sz w:val="24"/>
                <w:szCs w:val="24"/>
              </w:rPr>
              <w:t xml:space="preserve"> </w:t>
            </w:r>
            <w:r w:rsidRPr="003721D8">
              <w:rPr>
                <w:rFonts w:ascii="Times New Roman" w:hAnsi="Times New Roman" w:cs="Times New Roman"/>
                <w:sz w:val="24"/>
                <w:szCs w:val="24"/>
              </w:rPr>
              <w:t xml:space="preserve">un 1.4.1.2.4.apakšaktivitātes finansējumu, </w:t>
            </w:r>
            <w:r w:rsidR="00053DE3">
              <w:rPr>
                <w:rFonts w:ascii="Times New Roman" w:hAnsi="Times New Roman" w:cs="Times New Roman"/>
                <w:sz w:val="24"/>
                <w:szCs w:val="24"/>
              </w:rPr>
              <w:t>1.3.1.5.aktivitātes</w:t>
            </w:r>
            <w:r w:rsidR="00053DE3" w:rsidRPr="003721D8">
              <w:rPr>
                <w:rFonts w:ascii="Times New Roman" w:hAnsi="Times New Roman" w:cs="Times New Roman"/>
                <w:sz w:val="24"/>
                <w:szCs w:val="24"/>
              </w:rPr>
              <w:t xml:space="preserve"> </w:t>
            </w:r>
            <w:r w:rsidRPr="003721D8">
              <w:rPr>
                <w:rFonts w:ascii="Times New Roman" w:hAnsi="Times New Roman" w:cs="Times New Roman"/>
                <w:sz w:val="24"/>
                <w:szCs w:val="24"/>
              </w:rPr>
              <w:t>iznākuma rādītāju (atbilstoši arī precizētas rādītāja t</w:t>
            </w:r>
            <w:r w:rsidR="00BF1C90" w:rsidRPr="003721D8">
              <w:rPr>
                <w:rFonts w:ascii="Times New Roman" w:hAnsi="Times New Roman" w:cs="Times New Roman"/>
                <w:sz w:val="24"/>
                <w:szCs w:val="24"/>
              </w:rPr>
              <w:t xml:space="preserve">eritoriālā sadalījuma vērtības), kā arī papildināt 1.3.1.4.aktivitāti </w:t>
            </w:r>
            <w:r w:rsidR="006C1195">
              <w:rPr>
                <w:rFonts w:ascii="Times New Roman" w:hAnsi="Times New Roman" w:cs="Times New Roman"/>
                <w:sz w:val="24"/>
                <w:szCs w:val="24"/>
              </w:rPr>
              <w:t xml:space="preserve">un 1.4.1.1.1.apakšaktivitāti </w:t>
            </w:r>
            <w:r w:rsidR="00BF1C90" w:rsidRPr="003721D8">
              <w:rPr>
                <w:rFonts w:ascii="Times New Roman" w:hAnsi="Times New Roman" w:cs="Times New Roman"/>
                <w:sz w:val="24"/>
                <w:szCs w:val="24"/>
              </w:rPr>
              <w:t>ar jaunu atbalstāmo darbību.</w:t>
            </w:r>
          </w:p>
          <w:p w:rsidR="001E0C9B" w:rsidRPr="001E0C9B" w:rsidRDefault="001E0C9B" w:rsidP="001E0C9B">
            <w:pPr>
              <w:spacing w:after="0" w:line="240" w:lineRule="auto"/>
              <w:ind w:left="142" w:right="141"/>
              <w:jc w:val="both"/>
              <w:rPr>
                <w:rFonts w:ascii="Times New Roman" w:hAnsi="Times New Roman" w:cs="Times New Roman"/>
                <w:sz w:val="24"/>
                <w:szCs w:val="24"/>
              </w:rPr>
            </w:pPr>
          </w:p>
        </w:tc>
      </w:tr>
      <w:tr w:rsidR="00CC1A56" w:rsidRPr="00DD49B6" w:rsidTr="001E645F">
        <w:trPr>
          <w:trHeight w:val="476"/>
        </w:trPr>
        <w:tc>
          <w:tcPr>
            <w:tcW w:w="227"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rsidR="00CC1A56" w:rsidRPr="0093520F" w:rsidRDefault="002A161A" w:rsidP="00BF1BDA">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MK rīkojuma projekts šo jomu neskar</w:t>
            </w:r>
            <w:r w:rsidR="0093520F" w:rsidRPr="0093520F">
              <w:rPr>
                <w:rFonts w:ascii="Times New Roman" w:hAnsi="Times New Roman" w:cs="Times New Roman"/>
                <w:sz w:val="24"/>
                <w:szCs w:val="24"/>
              </w:rPr>
              <w:t>.</w:t>
            </w:r>
          </w:p>
        </w:tc>
      </w:tr>
      <w:tr w:rsidR="00CC1A56" w:rsidRPr="00DD49B6" w:rsidTr="001E645F">
        <w:tc>
          <w:tcPr>
            <w:tcW w:w="227" w:type="pct"/>
          </w:tcPr>
          <w:p w:rsidR="00CC1A56" w:rsidRPr="00DD49B6" w:rsidRDefault="00CC1A56" w:rsidP="007D385B">
            <w:pPr>
              <w:pStyle w:val="naiskr"/>
              <w:spacing w:before="0" w:beforeAutospacing="0" w:after="0" w:afterAutospacing="0"/>
              <w:ind w:left="57" w:right="57"/>
              <w:jc w:val="center"/>
            </w:pPr>
            <w:r w:rsidRPr="00DD49B6">
              <w:t>4.</w:t>
            </w:r>
          </w:p>
        </w:tc>
        <w:tc>
          <w:tcPr>
            <w:tcW w:w="1566" w:type="pct"/>
          </w:tcPr>
          <w:p w:rsidR="00CC1A56" w:rsidRPr="00DD49B6" w:rsidRDefault="00CC1A56" w:rsidP="007D385B">
            <w:pPr>
              <w:pStyle w:val="naiskr"/>
              <w:spacing w:before="0" w:beforeAutospacing="0" w:after="0" w:afterAutospacing="0"/>
              <w:ind w:left="57" w:right="57"/>
            </w:pPr>
            <w:r w:rsidRPr="00DD49B6">
              <w:t>Cita informācija</w:t>
            </w:r>
          </w:p>
        </w:tc>
        <w:tc>
          <w:tcPr>
            <w:tcW w:w="3207" w:type="pct"/>
          </w:tcPr>
          <w:p w:rsidR="000506F6" w:rsidRDefault="00DB3052" w:rsidP="000111FF">
            <w:pPr>
              <w:spacing w:after="0" w:line="240" w:lineRule="auto"/>
              <w:ind w:left="142" w:right="141"/>
              <w:jc w:val="both"/>
              <w:rPr>
                <w:rFonts w:ascii="Times New Roman" w:hAnsi="Times New Roman" w:cs="Times New Roman"/>
                <w:sz w:val="24"/>
                <w:szCs w:val="24"/>
              </w:rPr>
            </w:pPr>
            <w:r w:rsidRPr="0010641A">
              <w:rPr>
                <w:rFonts w:ascii="Times New Roman" w:hAnsi="Times New Roman" w:cs="Times New Roman"/>
                <w:sz w:val="24"/>
                <w:szCs w:val="24"/>
              </w:rPr>
              <w:t>1. </w:t>
            </w:r>
            <w:r w:rsidR="00C91ABA" w:rsidRPr="0010641A">
              <w:rPr>
                <w:rFonts w:ascii="Times New Roman" w:hAnsi="Times New Roman" w:cs="Times New Roman"/>
                <w:sz w:val="24"/>
                <w:szCs w:val="24"/>
              </w:rPr>
              <w:t xml:space="preserve">Finansējuma pārdale tiek ierosināta, ņemot vērā </w:t>
            </w:r>
            <w:proofErr w:type="gramStart"/>
            <w:r w:rsidR="00C91ABA" w:rsidRPr="0010641A">
              <w:rPr>
                <w:rFonts w:ascii="Times New Roman" w:hAnsi="Times New Roman" w:cs="Times New Roman"/>
                <w:sz w:val="24"/>
                <w:szCs w:val="24"/>
              </w:rPr>
              <w:t>2014.gada</w:t>
            </w:r>
            <w:proofErr w:type="gramEnd"/>
            <w:r w:rsidR="00C91ABA" w:rsidRPr="0010641A">
              <w:rPr>
                <w:rFonts w:ascii="Times New Roman" w:hAnsi="Times New Roman" w:cs="Times New Roman"/>
                <w:sz w:val="24"/>
                <w:szCs w:val="24"/>
              </w:rPr>
              <w:t xml:space="preserve"> 19.februāra Koalīcijas partneru darba grupas Par ES struktūrfondu un Kohēzijas fonda jautājumiem protokola 1.3.apakšpunktā un 4.a) punktā noteikto.</w:t>
            </w:r>
          </w:p>
          <w:p w:rsidR="000111FF" w:rsidRPr="000111FF" w:rsidRDefault="000111FF" w:rsidP="000111FF">
            <w:pPr>
              <w:spacing w:after="0" w:line="240" w:lineRule="auto"/>
              <w:ind w:left="142" w:right="141"/>
              <w:jc w:val="both"/>
              <w:rPr>
                <w:rFonts w:ascii="Times New Roman" w:hAnsi="Times New Roman" w:cs="Times New Roman"/>
                <w:sz w:val="24"/>
                <w:szCs w:val="24"/>
              </w:rPr>
            </w:pPr>
          </w:p>
          <w:p w:rsidR="0010641A" w:rsidRPr="001E0C9B" w:rsidRDefault="00E25102"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2</w:t>
            </w:r>
            <w:r w:rsidR="000111FF">
              <w:rPr>
                <w:rFonts w:ascii="Times New Roman" w:hAnsi="Times New Roman" w:cs="Times New Roman"/>
                <w:sz w:val="24"/>
                <w:szCs w:val="24"/>
              </w:rPr>
              <w:t>. </w:t>
            </w:r>
            <w:r w:rsidR="0010641A" w:rsidRPr="001E0C9B">
              <w:rPr>
                <w:rFonts w:ascii="Times New Roman" w:hAnsi="Times New Roman" w:cs="Times New Roman"/>
                <w:sz w:val="24"/>
                <w:szCs w:val="24"/>
              </w:rPr>
              <w:t>Vienlaikus ar šo rīkojuma projektu izskatīšana</w:t>
            </w:r>
            <w:r w:rsidR="00C974D3" w:rsidRPr="001E0C9B">
              <w:rPr>
                <w:rFonts w:ascii="Times New Roman" w:hAnsi="Times New Roman" w:cs="Times New Roman"/>
                <w:sz w:val="24"/>
                <w:szCs w:val="24"/>
              </w:rPr>
              <w:t>i</w:t>
            </w:r>
            <w:r w:rsidR="0010641A" w:rsidRPr="001E0C9B">
              <w:rPr>
                <w:rFonts w:ascii="Times New Roman" w:hAnsi="Times New Roman" w:cs="Times New Roman"/>
                <w:sz w:val="24"/>
                <w:szCs w:val="24"/>
              </w:rPr>
              <w:t xml:space="preserve"> un apstiprināšana</w:t>
            </w:r>
            <w:r w:rsidR="00C974D3" w:rsidRPr="001E0C9B">
              <w:rPr>
                <w:rFonts w:ascii="Times New Roman" w:hAnsi="Times New Roman" w:cs="Times New Roman"/>
                <w:sz w:val="24"/>
                <w:szCs w:val="24"/>
              </w:rPr>
              <w:t>i</w:t>
            </w:r>
            <w:r w:rsidR="0010641A" w:rsidRPr="001E0C9B">
              <w:rPr>
                <w:rFonts w:ascii="Times New Roman" w:hAnsi="Times New Roman" w:cs="Times New Roman"/>
                <w:sz w:val="24"/>
                <w:szCs w:val="24"/>
              </w:rPr>
              <w:t xml:space="preserve"> MK sēdē tiks </w:t>
            </w:r>
            <w:r w:rsidR="000506F6" w:rsidRPr="001E0C9B">
              <w:rPr>
                <w:rFonts w:ascii="Times New Roman" w:hAnsi="Times New Roman" w:cs="Times New Roman"/>
                <w:sz w:val="24"/>
                <w:szCs w:val="24"/>
              </w:rPr>
              <w:t xml:space="preserve">virzīti </w:t>
            </w:r>
            <w:r w:rsidR="00C974D3" w:rsidRPr="001E0C9B">
              <w:rPr>
                <w:rFonts w:ascii="Times New Roman" w:hAnsi="Times New Roman" w:cs="Times New Roman"/>
                <w:sz w:val="24"/>
                <w:szCs w:val="24"/>
              </w:rPr>
              <w:t>grozījumu projekti šādos</w:t>
            </w:r>
            <w:r w:rsidR="0010641A" w:rsidRPr="001E0C9B">
              <w:rPr>
                <w:rFonts w:ascii="Times New Roman" w:hAnsi="Times New Roman" w:cs="Times New Roman"/>
                <w:sz w:val="24"/>
                <w:szCs w:val="24"/>
              </w:rPr>
              <w:t xml:space="preserve"> MK noteikum</w:t>
            </w:r>
            <w:r w:rsidR="00C974D3" w:rsidRPr="001E0C9B">
              <w:rPr>
                <w:rFonts w:ascii="Times New Roman" w:hAnsi="Times New Roman" w:cs="Times New Roman"/>
                <w:sz w:val="24"/>
                <w:szCs w:val="24"/>
              </w:rPr>
              <w:t>os:</w:t>
            </w:r>
          </w:p>
          <w:p w:rsidR="0010641A" w:rsidRPr="001E0C9B" w:rsidRDefault="0010641A"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1) MK </w:t>
            </w:r>
            <w:proofErr w:type="gramStart"/>
            <w:r w:rsidRPr="001E0C9B">
              <w:rPr>
                <w:rFonts w:ascii="Times New Roman" w:hAnsi="Times New Roman" w:cs="Times New Roman"/>
                <w:sz w:val="24"/>
                <w:szCs w:val="24"/>
              </w:rPr>
              <w:t>2011.gada</w:t>
            </w:r>
            <w:proofErr w:type="gramEnd"/>
            <w:r w:rsidRPr="001E0C9B">
              <w:rPr>
                <w:rFonts w:ascii="Times New Roman" w:hAnsi="Times New Roman" w:cs="Times New Roman"/>
                <w:sz w:val="24"/>
                <w:szCs w:val="24"/>
              </w:rPr>
              <w:t xml:space="preserve"> 1.marta noteikumos Nr.170 „Noteikumi par darbības programmas „Cilvēkresursi un nodarbinātība” papildinājuma 1.4.1.1.1.apakšaktivitāti „Kompleksi atbalsta </w:t>
            </w:r>
            <w:r w:rsidRPr="001E0C9B">
              <w:rPr>
                <w:rFonts w:ascii="Times New Roman" w:hAnsi="Times New Roman" w:cs="Times New Roman"/>
                <w:sz w:val="24"/>
                <w:szCs w:val="24"/>
              </w:rPr>
              <w:lastRenderedPageBreak/>
              <w:t>pasākumi iedzīvotāju integrēšanai sabiedrībā un darba tirgū””;</w:t>
            </w:r>
          </w:p>
          <w:p w:rsidR="0010641A" w:rsidRPr="001E0C9B" w:rsidRDefault="0010641A"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2) MK </w:t>
            </w:r>
            <w:proofErr w:type="gramStart"/>
            <w:r w:rsidRPr="001E0C9B">
              <w:rPr>
                <w:rFonts w:ascii="Times New Roman" w:hAnsi="Times New Roman" w:cs="Times New Roman"/>
                <w:sz w:val="24"/>
                <w:szCs w:val="24"/>
              </w:rPr>
              <w:t>2010.gada</w:t>
            </w:r>
            <w:proofErr w:type="gramEnd"/>
            <w:r w:rsidRPr="001E0C9B">
              <w:rPr>
                <w:rFonts w:ascii="Times New Roman" w:hAnsi="Times New Roman" w:cs="Times New Roman"/>
                <w:sz w:val="24"/>
                <w:szCs w:val="24"/>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p>
          <w:p w:rsidR="0010641A" w:rsidRPr="001E0C9B" w:rsidRDefault="0010641A"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3) MK </w:t>
            </w:r>
            <w:proofErr w:type="gramStart"/>
            <w:r w:rsidRPr="001E0C9B">
              <w:rPr>
                <w:rFonts w:ascii="Times New Roman" w:hAnsi="Times New Roman" w:cs="Times New Roman"/>
                <w:sz w:val="24"/>
                <w:szCs w:val="24"/>
              </w:rPr>
              <w:t>2011.gada</w:t>
            </w:r>
            <w:proofErr w:type="gramEnd"/>
            <w:r w:rsidRPr="001E0C9B">
              <w:rPr>
                <w:rFonts w:ascii="Times New Roman" w:hAnsi="Times New Roman" w:cs="Times New Roman"/>
                <w:sz w:val="24"/>
                <w:szCs w:val="24"/>
              </w:rPr>
              <w:t xml:space="preserve">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w:t>
            </w:r>
          </w:p>
          <w:p w:rsidR="00E83DA0" w:rsidRPr="001E0C9B" w:rsidRDefault="0010641A" w:rsidP="00E83DA0">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4) MK </w:t>
            </w:r>
            <w:proofErr w:type="gramStart"/>
            <w:r w:rsidRPr="001E0C9B">
              <w:rPr>
                <w:rFonts w:ascii="Times New Roman" w:hAnsi="Times New Roman" w:cs="Times New Roman"/>
                <w:sz w:val="24"/>
                <w:szCs w:val="24"/>
              </w:rPr>
              <w:t>2011.gada</w:t>
            </w:r>
            <w:proofErr w:type="gramEnd"/>
            <w:r w:rsidRPr="001E0C9B">
              <w:rPr>
                <w:rFonts w:ascii="Times New Roman" w:hAnsi="Times New Roman" w:cs="Times New Roman"/>
                <w:sz w:val="24"/>
                <w:szCs w:val="24"/>
              </w:rPr>
              <w:t xml:space="preserve"> 27.decembra noteikumos Nr.996 „Noteikumi par darbības programmas „Cilvēkresursi un nodarbinātība” papildinājuma 1.3.1.5.aktivitātes „Vietējo nodarbinātības veicināšanas pasākumu plānu ieviešanas atbalsts” otro kārtu”;</w:t>
            </w:r>
          </w:p>
          <w:p w:rsidR="0010641A" w:rsidRPr="001E0C9B" w:rsidRDefault="0010641A"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5) MK </w:t>
            </w:r>
            <w:proofErr w:type="gramStart"/>
            <w:r w:rsidRPr="001E0C9B">
              <w:rPr>
                <w:rFonts w:ascii="Times New Roman" w:hAnsi="Times New Roman" w:cs="Times New Roman"/>
                <w:sz w:val="24"/>
                <w:szCs w:val="24"/>
              </w:rPr>
              <w:t>2007.gada</w:t>
            </w:r>
            <w:proofErr w:type="gramEnd"/>
            <w:r w:rsidRPr="001E0C9B">
              <w:rPr>
                <w:rFonts w:ascii="Times New Roman" w:hAnsi="Times New Roman" w:cs="Times New Roman"/>
                <w:sz w:val="24"/>
                <w:szCs w:val="24"/>
              </w:rPr>
              <w:t xml:space="preserve"> 30.oktobra noteikumos Nr.731 ”Noteikumi par darbības programmas ”Cilvēkresursi un nodarbinātība” papildinājuma aktivitāti ”Kapacitātes stiprināšana darba tirgus institūcijām””;</w:t>
            </w:r>
          </w:p>
          <w:p w:rsidR="0010641A" w:rsidRPr="001E0C9B" w:rsidRDefault="0010641A"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 xml:space="preserve">6) MK </w:t>
            </w:r>
            <w:proofErr w:type="gramStart"/>
            <w:r w:rsidRPr="001E0C9B">
              <w:rPr>
                <w:rFonts w:ascii="Times New Roman" w:hAnsi="Times New Roman" w:cs="Times New Roman"/>
                <w:sz w:val="24"/>
                <w:szCs w:val="24"/>
              </w:rPr>
              <w:t>2008.gada</w:t>
            </w:r>
            <w:proofErr w:type="gramEnd"/>
            <w:r w:rsidRPr="001E0C9B">
              <w:rPr>
                <w:rFonts w:ascii="Times New Roman" w:hAnsi="Times New Roman" w:cs="Times New Roman"/>
                <w:sz w:val="24"/>
                <w:szCs w:val="24"/>
              </w:rPr>
              <w:t xml:space="preserve"> 4.marta noteikumos Nr.152 „Noteikumi par darbības programmas „Cilvēkresursi un nodarbinātība” papildinājuma apakšaktivitāti „Darba attiecību un darba drošības normatīvo aktu praktiska piemērošana nozarēs un uzņēmumos”””;</w:t>
            </w:r>
          </w:p>
          <w:p w:rsidR="009F64F8" w:rsidRPr="00C03565" w:rsidRDefault="00090D68" w:rsidP="0010641A">
            <w:pPr>
              <w:spacing w:after="0" w:line="240" w:lineRule="auto"/>
              <w:ind w:left="142" w:right="141"/>
              <w:jc w:val="both"/>
              <w:rPr>
                <w:rFonts w:ascii="Times New Roman" w:hAnsi="Times New Roman" w:cs="Times New Roman"/>
                <w:sz w:val="24"/>
                <w:szCs w:val="24"/>
              </w:rPr>
            </w:pPr>
            <w:r w:rsidRPr="001E0C9B">
              <w:rPr>
                <w:rFonts w:ascii="Times New Roman" w:hAnsi="Times New Roman" w:cs="Times New Roman"/>
                <w:sz w:val="24"/>
                <w:szCs w:val="24"/>
              </w:rPr>
              <w:t>7</w:t>
            </w:r>
            <w:r w:rsidR="0010641A" w:rsidRPr="001E0C9B">
              <w:rPr>
                <w:rFonts w:ascii="Times New Roman" w:hAnsi="Times New Roman" w:cs="Times New Roman"/>
                <w:sz w:val="24"/>
                <w:szCs w:val="24"/>
              </w:rPr>
              <w:t xml:space="preserve">) MK </w:t>
            </w:r>
            <w:proofErr w:type="gramStart"/>
            <w:r w:rsidR="0010641A" w:rsidRPr="001E0C9B">
              <w:rPr>
                <w:rFonts w:ascii="Times New Roman" w:hAnsi="Times New Roman" w:cs="Times New Roman"/>
                <w:sz w:val="24"/>
                <w:szCs w:val="24"/>
              </w:rPr>
              <w:t>2009.gada</w:t>
            </w:r>
            <w:proofErr w:type="gramEnd"/>
            <w:r w:rsidR="0010641A" w:rsidRPr="001E0C9B">
              <w:rPr>
                <w:rFonts w:ascii="Times New Roman" w:hAnsi="Times New Roman" w:cs="Times New Roman"/>
                <w:sz w:val="24"/>
                <w:szCs w:val="24"/>
              </w:rPr>
              <w:t xml:space="preserve"> 25.augusta noteikumos Nr.949 „Noteikumi par darbības programmas „Cilvēkresursi un nodarbinātība” papildinājuma 1.3.1.7.aktivitāti „Darba tirgus pieprasījuma īstermiņa un ilgtermiņa prognozēšanas un uzraudzības sistēmas attīstība””.</w:t>
            </w:r>
          </w:p>
        </w:tc>
      </w:tr>
    </w:tbl>
    <w:p w:rsidR="00CC1A56" w:rsidRDefault="00CC1A56" w:rsidP="00CC1A56">
      <w:pPr>
        <w:spacing w:after="0" w:line="240" w:lineRule="auto"/>
        <w:rPr>
          <w:rFonts w:ascii="Times New Roman" w:hAnsi="Times New Roman" w:cs="Times New Roman"/>
          <w:sz w:val="24"/>
          <w:szCs w:val="24"/>
        </w:rPr>
      </w:pPr>
    </w:p>
    <w:p w:rsidR="00E83DA0" w:rsidRPr="00DD49B6" w:rsidRDefault="00E83DA0" w:rsidP="00CC1A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DD49B6" w:rsidTr="007D385B">
        <w:trPr>
          <w:trHeight w:val="556"/>
        </w:trPr>
        <w:tc>
          <w:tcPr>
            <w:tcW w:w="9503" w:type="dxa"/>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II. Tiesību akta projekta ietekme uz sabiedrību, tautsaimniecības attīstību</w:t>
            </w:r>
          </w:p>
          <w:p w:rsidR="00CC1A56" w:rsidRPr="00DD49B6" w:rsidRDefault="00CC1A56" w:rsidP="007D385B">
            <w:pPr>
              <w:pStyle w:val="naisnod"/>
              <w:spacing w:before="0" w:beforeAutospacing="0" w:after="0" w:afterAutospacing="0"/>
              <w:ind w:left="57" w:right="57"/>
              <w:jc w:val="center"/>
              <w:rPr>
                <w:b/>
              </w:rPr>
            </w:pPr>
            <w:r w:rsidRPr="00DD49B6">
              <w:rPr>
                <w:b/>
              </w:rPr>
              <w:t>un administratīvo slogu</w:t>
            </w:r>
          </w:p>
        </w:tc>
      </w:tr>
      <w:tr w:rsidR="00CC1A56" w:rsidRPr="00DD49B6" w:rsidTr="007D385B">
        <w:trPr>
          <w:trHeight w:val="467"/>
        </w:trPr>
        <w:tc>
          <w:tcPr>
            <w:tcW w:w="431" w:type="dxa"/>
          </w:tcPr>
          <w:p w:rsidR="00CC1A56" w:rsidRPr="00DD49B6" w:rsidRDefault="00CC1A56" w:rsidP="007D385B">
            <w:pPr>
              <w:pStyle w:val="naiskr"/>
              <w:spacing w:before="0" w:beforeAutospacing="0" w:after="0" w:afterAutospacing="0"/>
              <w:ind w:left="57" w:right="57"/>
              <w:jc w:val="both"/>
            </w:pPr>
            <w:r w:rsidRPr="00DD49B6">
              <w:t>1.</w:t>
            </w:r>
          </w:p>
        </w:tc>
        <w:tc>
          <w:tcPr>
            <w:tcW w:w="2976" w:type="dxa"/>
          </w:tcPr>
          <w:p w:rsidR="00CC1A56" w:rsidRPr="00DD49B6" w:rsidRDefault="00CC1A56" w:rsidP="007D385B">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9C39B5" w:rsidRPr="00CE6516" w:rsidRDefault="00320A19" w:rsidP="00B06F07">
            <w:pPr>
              <w:pStyle w:val="ListParagraph"/>
              <w:numPr>
                <w:ilvl w:val="0"/>
                <w:numId w:val="11"/>
              </w:numPr>
              <w:shd w:val="clear" w:color="auto" w:fill="FFFFFF"/>
              <w:spacing w:after="0" w:line="240" w:lineRule="auto"/>
              <w:ind w:left="284" w:right="142" w:hanging="284"/>
              <w:jc w:val="both"/>
              <w:rPr>
                <w:rFonts w:ascii="Times New Roman" w:hAnsi="Times New Roman" w:cs="Times New Roman"/>
                <w:sz w:val="24"/>
                <w:szCs w:val="24"/>
              </w:rPr>
            </w:pPr>
            <w:bookmarkStart w:id="1" w:name="p21"/>
            <w:bookmarkEnd w:id="1"/>
            <w:r w:rsidRPr="00CE6516">
              <w:rPr>
                <w:rFonts w:ascii="Times New Roman" w:hAnsi="Times New Roman" w:cs="Times New Roman"/>
                <w:sz w:val="24"/>
                <w:szCs w:val="24"/>
              </w:rPr>
              <w:t>1.3.1.5.aktivitātes mērķa grupa - aktivitātes 1.kārtā - reģistrēti bezdarbnieki, kuri nesaņem bezdarbnieka pabalstu vai vecuma pensiju priekšlaicīgi, aktivitātes 2.kārtā - bezdarbnieki, kuri atbilst šādiem kritērijiem: vēlas iegūt vai uzturēt darba iemaņas, nesaņem bezdarbnieka pabalstu, ir reģistrēti bezdarbnieka statusā vismaz sešus mēnešus vai ir reģistrēti bezdarbnieka statusā mazāk par sešiem mēnešiem, bet vismaz 12 mēnešus nav strādājuši (nav uzskatāmi par darba ņēmējiem vai pašnod</w:t>
            </w:r>
            <w:r w:rsidR="00397EEE">
              <w:rPr>
                <w:rFonts w:ascii="Times New Roman" w:hAnsi="Times New Roman" w:cs="Times New Roman"/>
                <w:sz w:val="24"/>
                <w:szCs w:val="24"/>
              </w:rPr>
              <w:t>arbinātajiem saskaņā ar likumu „</w:t>
            </w:r>
            <w:r w:rsidRPr="00CE6516">
              <w:rPr>
                <w:rFonts w:ascii="Times New Roman" w:hAnsi="Times New Roman" w:cs="Times New Roman"/>
                <w:sz w:val="24"/>
                <w:szCs w:val="24"/>
              </w:rPr>
              <w:t>Par</w:t>
            </w:r>
            <w:r w:rsidR="00397EEE">
              <w:rPr>
                <w:rFonts w:ascii="Times New Roman" w:hAnsi="Times New Roman" w:cs="Times New Roman"/>
                <w:sz w:val="24"/>
                <w:szCs w:val="24"/>
              </w:rPr>
              <w:t xml:space="preserve"> valsts sociālo apdrošināšanu”</w:t>
            </w:r>
            <w:r w:rsidR="009C39B5" w:rsidRPr="00CE6516">
              <w:rPr>
                <w:rFonts w:ascii="Times New Roman" w:hAnsi="Times New Roman" w:cs="Times New Roman"/>
                <w:sz w:val="24"/>
                <w:szCs w:val="24"/>
              </w:rPr>
              <w:t>);</w:t>
            </w:r>
          </w:p>
          <w:p w:rsidR="009C39B5" w:rsidRPr="004D654A" w:rsidRDefault="00320A19" w:rsidP="00B06F07">
            <w:pPr>
              <w:pStyle w:val="ListParagraph"/>
              <w:numPr>
                <w:ilvl w:val="0"/>
                <w:numId w:val="11"/>
              </w:numPr>
              <w:shd w:val="clear" w:color="auto" w:fill="FFFFFF"/>
              <w:spacing w:after="0" w:line="240" w:lineRule="auto"/>
              <w:ind w:left="284" w:right="142" w:hanging="284"/>
              <w:jc w:val="both"/>
              <w:rPr>
                <w:rFonts w:ascii="Times New Roman" w:hAnsi="Times New Roman" w:cs="Times New Roman"/>
                <w:sz w:val="24"/>
                <w:szCs w:val="24"/>
              </w:rPr>
            </w:pPr>
            <w:r w:rsidRPr="004D654A">
              <w:rPr>
                <w:rFonts w:ascii="Times New Roman" w:hAnsi="Times New Roman" w:cs="Times New Roman"/>
                <w:sz w:val="24"/>
                <w:szCs w:val="24"/>
              </w:rPr>
              <w:t>1.4.1.1.1.</w:t>
            </w:r>
            <w:r w:rsidR="009C39B5" w:rsidRPr="004D654A">
              <w:rPr>
                <w:rFonts w:ascii="Times New Roman" w:hAnsi="Times New Roman" w:cs="Times New Roman"/>
                <w:sz w:val="24"/>
                <w:szCs w:val="24"/>
              </w:rPr>
              <w:t>apakš</w:t>
            </w:r>
            <w:r w:rsidRPr="004D654A">
              <w:rPr>
                <w:rFonts w:ascii="Times New Roman" w:hAnsi="Times New Roman" w:cs="Times New Roman"/>
                <w:sz w:val="24"/>
                <w:szCs w:val="24"/>
              </w:rPr>
              <w:t xml:space="preserve">aktivitātes mērķa grupa </w:t>
            </w:r>
            <w:r w:rsidR="002B0232">
              <w:rPr>
                <w:rFonts w:ascii="Times New Roman" w:hAnsi="Times New Roman" w:cs="Times New Roman"/>
                <w:sz w:val="24"/>
                <w:szCs w:val="24"/>
              </w:rPr>
              <w:noBreakHyphen/>
            </w:r>
            <w:r w:rsidRPr="004D654A">
              <w:rPr>
                <w:rFonts w:ascii="Times New Roman" w:hAnsi="Times New Roman" w:cs="Times New Roman"/>
                <w:sz w:val="24"/>
                <w:szCs w:val="24"/>
              </w:rPr>
              <w:t xml:space="preserve"> jaunieši bezdarbnieki (vecumā no 15 līdz 24 gadiem), tai skaitā jaunieši bezdarbnieki pēc bērna kopšanas atvaļinājuma, jaunieši bezdarbnieki ar invaliditāti un jaunieši </w:t>
            </w:r>
            <w:r w:rsidRPr="004D654A">
              <w:rPr>
                <w:rFonts w:ascii="Times New Roman" w:hAnsi="Times New Roman" w:cs="Times New Roman"/>
                <w:sz w:val="24"/>
                <w:szCs w:val="24"/>
              </w:rPr>
              <w:lastRenderedPageBreak/>
              <w:t xml:space="preserve">bezdarbnieki, kuri nav ieguvuši profesionālo izglītību vai nav bijuši iepriekš nodarbināti; Bezdarbnieku un darba meklētāju atbalsta likuma </w:t>
            </w:r>
            <w:proofErr w:type="gramStart"/>
            <w:r w:rsidRPr="004D654A">
              <w:rPr>
                <w:rFonts w:ascii="Times New Roman" w:hAnsi="Times New Roman" w:cs="Times New Roman"/>
                <w:sz w:val="24"/>
                <w:szCs w:val="24"/>
              </w:rPr>
              <w:t>3.panta</w:t>
            </w:r>
            <w:proofErr w:type="gramEnd"/>
            <w:r w:rsidRPr="004D654A">
              <w:rPr>
                <w:rFonts w:ascii="Times New Roman" w:hAnsi="Times New Roman" w:cs="Times New Roman"/>
                <w:sz w:val="24"/>
                <w:szCs w:val="24"/>
              </w:rPr>
              <w:t xml:space="preserve"> pirmās daļas 4.punktā minētie mērķa grupu bezdarbnieki, tai skaitā bezdarbnieki no 18 gadu vecuma, kuriem atbilstoši narkologa atzinumam ir alkohola, narkotisko vai psihotropo vielu atkarība un kuri atbilst vismaz vienam no šādiem kritērijiem: pirms bezdarbnieka statusa iegūšanas nav strādājuši (nav uzskatāmi par darba ņēmējiem vai pašnodarbinātajiem saskaņā ar likumu „Par valsts sociālo apdrošināšanu”) vismaz sešus mēnešus, vai Nodarbinātības valsts aģentūrā kā bezdarbnieki ir reģistrēti vismaz trīs mēnešus; bezdarbnieki, kas atbilst Komisijas 2008.gada 6.augusta Regulas (EK) Nr. 800/2008, 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 esoša darba ņēmēja kritērijiem; bezdarbnieki, kuru apgādībā ir bērns vecumā no pusotra gada līdz pamatizglītības ieguves uzsākšanai un kuri iesaistās kādā no Nodarbinātības valsts aģentūras piedāvātajiem aktīvajiem nodarbinātības pasākumiem, kā arī kuriem ir noteikta invaliditāte vai kuri ir atzīti par trūcīgu personu; personas ar I grupas redzes invaliditāti, kuras atbilst Invaliditātes likuma 12.panta pirmās daļas 2.punk</w:t>
            </w:r>
            <w:r w:rsidR="009C39B5" w:rsidRPr="004D654A">
              <w:rPr>
                <w:rFonts w:ascii="Times New Roman" w:hAnsi="Times New Roman" w:cs="Times New Roman"/>
                <w:sz w:val="24"/>
                <w:szCs w:val="24"/>
              </w:rPr>
              <w:t>tā minētajām prasībām;</w:t>
            </w:r>
          </w:p>
          <w:p w:rsidR="00CC1A56" w:rsidRPr="004D654A" w:rsidRDefault="00320A19" w:rsidP="00B06F07">
            <w:pPr>
              <w:pStyle w:val="ListParagraph"/>
              <w:numPr>
                <w:ilvl w:val="0"/>
                <w:numId w:val="11"/>
              </w:numPr>
              <w:shd w:val="clear" w:color="auto" w:fill="FFFFFF"/>
              <w:spacing w:after="0" w:line="240" w:lineRule="auto"/>
              <w:ind w:left="284" w:right="142" w:hanging="284"/>
              <w:jc w:val="both"/>
              <w:rPr>
                <w:rFonts w:ascii="Times New Roman" w:hAnsi="Times New Roman" w:cs="Times New Roman"/>
                <w:sz w:val="24"/>
                <w:szCs w:val="24"/>
              </w:rPr>
            </w:pPr>
            <w:r w:rsidRPr="004D654A">
              <w:rPr>
                <w:rFonts w:ascii="Times New Roman" w:hAnsi="Times New Roman" w:cs="Times New Roman"/>
                <w:sz w:val="24"/>
                <w:szCs w:val="24"/>
              </w:rPr>
              <w:t>1.4.1.2.4.</w:t>
            </w:r>
            <w:r w:rsidR="009C39B5" w:rsidRPr="004D654A">
              <w:rPr>
                <w:rFonts w:ascii="Times New Roman" w:hAnsi="Times New Roman" w:cs="Times New Roman"/>
                <w:sz w:val="24"/>
                <w:szCs w:val="24"/>
              </w:rPr>
              <w:t>apakš</w:t>
            </w:r>
            <w:r w:rsidRPr="004D654A">
              <w:rPr>
                <w:rFonts w:ascii="Times New Roman" w:hAnsi="Times New Roman" w:cs="Times New Roman"/>
                <w:sz w:val="24"/>
                <w:szCs w:val="24"/>
              </w:rPr>
              <w:t>aktivitātes</w:t>
            </w:r>
            <w:r w:rsidR="000C6DA7" w:rsidRPr="004D654A">
              <w:rPr>
                <w:rFonts w:ascii="Times New Roman" w:hAnsi="Times New Roman" w:cs="Times New Roman"/>
                <w:sz w:val="24"/>
                <w:szCs w:val="24"/>
              </w:rPr>
              <w:t xml:space="preserve"> 2.kārtas</w:t>
            </w:r>
            <w:r w:rsidRPr="004D654A">
              <w:rPr>
                <w:rFonts w:ascii="Times New Roman" w:hAnsi="Times New Roman" w:cs="Times New Roman"/>
                <w:sz w:val="24"/>
                <w:szCs w:val="24"/>
              </w:rPr>
              <w:t xml:space="preserve"> mērķa grupa - personas ar funkcionāliem traucējumiem (personas ar garīga rakstura traucējumiem, personas </w:t>
            </w:r>
            <w:proofErr w:type="gramStart"/>
            <w:r w:rsidRPr="004D654A">
              <w:rPr>
                <w:rFonts w:ascii="Times New Roman" w:hAnsi="Times New Roman" w:cs="Times New Roman"/>
                <w:sz w:val="24"/>
                <w:szCs w:val="24"/>
              </w:rPr>
              <w:t>ar fiziska rakstura traucējumiem un personas</w:t>
            </w:r>
            <w:proofErr w:type="gramEnd"/>
            <w:r w:rsidRPr="004D654A">
              <w:rPr>
                <w:rFonts w:ascii="Times New Roman" w:hAnsi="Times New Roman" w:cs="Times New Roman"/>
                <w:sz w:val="24"/>
                <w:szCs w:val="24"/>
              </w:rPr>
              <w:t xml:space="preserve"> ar psihiskām saslimšanām) bezpajumtnieki un citas sociālās atstumtības riskam pakļautās iedzīvotāju grupas.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lastRenderedPageBreak/>
              <w:t>2.</w:t>
            </w:r>
          </w:p>
        </w:tc>
        <w:tc>
          <w:tcPr>
            <w:tcW w:w="2976" w:type="dxa"/>
          </w:tcPr>
          <w:p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rsidR="00CC1A56" w:rsidRPr="00D404FE" w:rsidRDefault="00D404FE" w:rsidP="00B06F07">
            <w:pPr>
              <w:shd w:val="clear" w:color="auto" w:fill="FFFFFF"/>
              <w:spacing w:after="0" w:line="240" w:lineRule="auto"/>
              <w:ind w:left="57" w:right="142"/>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rsidTr="00A438D2">
        <w:trPr>
          <w:trHeight w:val="523"/>
        </w:trPr>
        <w:tc>
          <w:tcPr>
            <w:tcW w:w="431" w:type="dxa"/>
            <w:tcBorders>
              <w:bottom w:val="single" w:sz="4" w:space="0" w:color="auto"/>
            </w:tcBorders>
          </w:tcPr>
          <w:p w:rsidR="00CC1A56" w:rsidRPr="00DD49B6" w:rsidRDefault="00CC1A56" w:rsidP="007D385B">
            <w:pPr>
              <w:pStyle w:val="naiskr"/>
              <w:spacing w:before="0" w:beforeAutospacing="0" w:after="0" w:afterAutospacing="0"/>
              <w:ind w:left="57" w:right="57"/>
              <w:jc w:val="both"/>
            </w:pPr>
            <w:r w:rsidRPr="00DD49B6">
              <w:t>3.</w:t>
            </w:r>
          </w:p>
        </w:tc>
        <w:tc>
          <w:tcPr>
            <w:tcW w:w="2976" w:type="dxa"/>
            <w:tcBorders>
              <w:bottom w:val="single" w:sz="4" w:space="0" w:color="auto"/>
            </w:tcBorders>
          </w:tcPr>
          <w:p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Borders>
              <w:bottom w:val="single" w:sz="4" w:space="0" w:color="auto"/>
            </w:tcBorders>
          </w:tcPr>
          <w:p w:rsidR="00CC1A56" w:rsidRPr="00DD49B6" w:rsidRDefault="00D404FE" w:rsidP="007D385B">
            <w:pPr>
              <w:shd w:val="clear" w:color="auto" w:fill="FFFFFF"/>
              <w:spacing w:after="0" w:line="240" w:lineRule="auto"/>
              <w:ind w:left="57" w:right="57"/>
              <w:rPr>
                <w:rFonts w:ascii="Times New Roman" w:hAnsi="Times New Roman" w:cs="Times New Roman"/>
                <w:sz w:val="24"/>
                <w:szCs w:val="24"/>
                <w:lang w:eastAsia="lv-LV"/>
              </w:rPr>
            </w:pPr>
            <w:r w:rsidRPr="0093520F">
              <w:rPr>
                <w:rFonts w:ascii="Times New Roman" w:hAnsi="Times New Roman" w:cs="Times New Roman"/>
                <w:sz w:val="24"/>
                <w:szCs w:val="24"/>
              </w:rPr>
              <w:t>MK rīkojuma projekts šo jomu neskar.</w:t>
            </w:r>
          </w:p>
        </w:tc>
      </w:tr>
      <w:tr w:rsidR="00CC1A56" w:rsidRPr="00DD49B6" w:rsidTr="00A438D2">
        <w:trPr>
          <w:trHeight w:val="357"/>
        </w:trPr>
        <w:tc>
          <w:tcPr>
            <w:tcW w:w="431" w:type="dxa"/>
            <w:tcBorders>
              <w:bottom w:val="single" w:sz="4" w:space="0" w:color="auto"/>
            </w:tcBorders>
          </w:tcPr>
          <w:p w:rsidR="00CC1A56" w:rsidRPr="00DD49B6" w:rsidRDefault="00CC1A56" w:rsidP="007D385B">
            <w:pPr>
              <w:pStyle w:val="naiskr"/>
              <w:spacing w:before="0" w:beforeAutospacing="0" w:after="0" w:afterAutospacing="0"/>
              <w:ind w:left="57" w:right="57"/>
              <w:jc w:val="both"/>
            </w:pPr>
            <w:r w:rsidRPr="00DD49B6">
              <w:t>4.</w:t>
            </w:r>
          </w:p>
        </w:tc>
        <w:tc>
          <w:tcPr>
            <w:tcW w:w="2976" w:type="dxa"/>
            <w:tcBorders>
              <w:bottom w:val="single" w:sz="4" w:space="0" w:color="auto"/>
            </w:tcBorders>
          </w:tcPr>
          <w:p w:rsidR="00CC1A56" w:rsidRPr="00DD49B6" w:rsidRDefault="00CC1A56" w:rsidP="007D385B">
            <w:pPr>
              <w:pStyle w:val="naiskr"/>
              <w:spacing w:before="0" w:beforeAutospacing="0" w:after="0" w:afterAutospacing="0"/>
              <w:ind w:left="57" w:right="57"/>
            </w:pPr>
            <w:r w:rsidRPr="00DD49B6">
              <w:t>Cita informācija</w:t>
            </w:r>
          </w:p>
        </w:tc>
        <w:tc>
          <w:tcPr>
            <w:tcW w:w="6096" w:type="dxa"/>
            <w:tcBorders>
              <w:bottom w:val="single" w:sz="4" w:space="0" w:color="auto"/>
            </w:tcBorders>
          </w:tcPr>
          <w:p w:rsidR="00CC1A56" w:rsidRDefault="007F44BF" w:rsidP="007D385B">
            <w:pPr>
              <w:shd w:val="clear" w:color="auto" w:fill="FFFFFF"/>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Nav.</w:t>
            </w:r>
          </w:p>
          <w:p w:rsidR="00F40BB1" w:rsidRPr="00DD49B6" w:rsidRDefault="00F40BB1" w:rsidP="007D385B">
            <w:pPr>
              <w:shd w:val="clear" w:color="auto" w:fill="FFFFFF"/>
              <w:spacing w:after="0" w:line="240" w:lineRule="auto"/>
              <w:ind w:left="57" w:right="57"/>
              <w:rPr>
                <w:rFonts w:ascii="Times New Roman" w:hAnsi="Times New Roman" w:cs="Times New Roman"/>
                <w:sz w:val="24"/>
                <w:szCs w:val="24"/>
                <w:lang w:eastAsia="lv-LV"/>
              </w:rPr>
            </w:pPr>
          </w:p>
        </w:tc>
      </w:tr>
      <w:tr w:rsidR="00A438D2" w:rsidRPr="00DD49B6" w:rsidTr="00A438D2">
        <w:trPr>
          <w:trHeight w:val="357"/>
        </w:trPr>
        <w:tc>
          <w:tcPr>
            <w:tcW w:w="431" w:type="dxa"/>
            <w:tcBorders>
              <w:top w:val="single" w:sz="4" w:space="0" w:color="auto"/>
              <w:left w:val="nil"/>
              <w:bottom w:val="nil"/>
              <w:right w:val="nil"/>
            </w:tcBorders>
          </w:tcPr>
          <w:p w:rsidR="00A438D2" w:rsidRPr="00DD49B6" w:rsidRDefault="00A438D2" w:rsidP="007D385B">
            <w:pPr>
              <w:pStyle w:val="naiskr"/>
              <w:spacing w:before="0" w:beforeAutospacing="0" w:after="0" w:afterAutospacing="0"/>
              <w:ind w:left="57" w:right="57"/>
              <w:jc w:val="both"/>
            </w:pPr>
          </w:p>
        </w:tc>
        <w:tc>
          <w:tcPr>
            <w:tcW w:w="2976" w:type="dxa"/>
            <w:tcBorders>
              <w:top w:val="single" w:sz="4" w:space="0" w:color="auto"/>
              <w:left w:val="nil"/>
              <w:bottom w:val="nil"/>
              <w:right w:val="nil"/>
            </w:tcBorders>
          </w:tcPr>
          <w:p w:rsidR="00A438D2" w:rsidRPr="00DD49B6" w:rsidRDefault="00A438D2" w:rsidP="007D385B">
            <w:pPr>
              <w:pStyle w:val="naiskr"/>
              <w:spacing w:before="0" w:beforeAutospacing="0" w:after="0" w:afterAutospacing="0"/>
              <w:ind w:left="57" w:right="57"/>
            </w:pPr>
          </w:p>
        </w:tc>
        <w:tc>
          <w:tcPr>
            <w:tcW w:w="6096" w:type="dxa"/>
            <w:tcBorders>
              <w:top w:val="single" w:sz="4" w:space="0" w:color="auto"/>
              <w:left w:val="nil"/>
              <w:bottom w:val="nil"/>
              <w:right w:val="nil"/>
            </w:tcBorders>
          </w:tcPr>
          <w:p w:rsidR="00F40BB1" w:rsidRDefault="00F40BB1" w:rsidP="007D385B">
            <w:pPr>
              <w:shd w:val="clear" w:color="auto" w:fill="FFFFFF"/>
              <w:spacing w:after="0" w:line="240" w:lineRule="auto"/>
              <w:ind w:left="57" w:right="57"/>
              <w:rPr>
                <w:rFonts w:ascii="Times New Roman" w:hAnsi="Times New Roman" w:cs="Times New Roman"/>
                <w:sz w:val="24"/>
                <w:szCs w:val="24"/>
              </w:rPr>
            </w:pPr>
          </w:p>
        </w:tc>
      </w:tr>
      <w:tr w:rsidR="00A438D2" w:rsidRPr="00DD49B6" w:rsidTr="00A438D2">
        <w:trPr>
          <w:trHeight w:val="357"/>
        </w:trPr>
        <w:tc>
          <w:tcPr>
            <w:tcW w:w="431" w:type="dxa"/>
            <w:tcBorders>
              <w:top w:val="nil"/>
              <w:left w:val="nil"/>
              <w:bottom w:val="nil"/>
              <w:right w:val="nil"/>
            </w:tcBorders>
          </w:tcPr>
          <w:p w:rsidR="00A438D2" w:rsidRPr="00DD49B6" w:rsidRDefault="00A438D2" w:rsidP="007D385B">
            <w:pPr>
              <w:pStyle w:val="naiskr"/>
              <w:spacing w:before="0" w:beforeAutospacing="0" w:after="0" w:afterAutospacing="0"/>
              <w:ind w:left="57" w:right="57"/>
              <w:jc w:val="both"/>
            </w:pPr>
          </w:p>
        </w:tc>
        <w:tc>
          <w:tcPr>
            <w:tcW w:w="2976" w:type="dxa"/>
            <w:tcBorders>
              <w:top w:val="nil"/>
              <w:left w:val="nil"/>
              <w:bottom w:val="nil"/>
              <w:right w:val="nil"/>
            </w:tcBorders>
          </w:tcPr>
          <w:p w:rsidR="00A438D2" w:rsidRPr="00DD49B6" w:rsidRDefault="00A438D2" w:rsidP="007D385B">
            <w:pPr>
              <w:pStyle w:val="naiskr"/>
              <w:spacing w:before="0" w:beforeAutospacing="0" w:after="0" w:afterAutospacing="0"/>
              <w:ind w:left="57" w:right="57"/>
            </w:pPr>
          </w:p>
        </w:tc>
        <w:tc>
          <w:tcPr>
            <w:tcW w:w="6096" w:type="dxa"/>
            <w:tcBorders>
              <w:top w:val="nil"/>
              <w:left w:val="nil"/>
              <w:bottom w:val="nil"/>
              <w:right w:val="nil"/>
            </w:tcBorders>
          </w:tcPr>
          <w:p w:rsidR="00A438D2" w:rsidRDefault="00A438D2" w:rsidP="007D385B">
            <w:pPr>
              <w:shd w:val="clear" w:color="auto" w:fill="FFFFFF"/>
              <w:spacing w:after="0" w:line="240" w:lineRule="auto"/>
              <w:ind w:left="57" w:right="57"/>
              <w:rPr>
                <w:rFonts w:ascii="Times New Roman" w:hAnsi="Times New Roman" w:cs="Times New Roman"/>
                <w:sz w:val="24"/>
                <w:szCs w:val="24"/>
              </w:rPr>
            </w:pPr>
          </w:p>
        </w:tc>
      </w:tr>
    </w:tbl>
    <w:p w:rsidR="00CC1A56" w:rsidRPr="00DD49B6" w:rsidRDefault="00CC1A56" w:rsidP="00CC1A56">
      <w:pPr>
        <w:spacing w:after="0" w:line="240" w:lineRule="auto"/>
        <w:rPr>
          <w:rFonts w:ascii="Times New Roman" w:hAnsi="Times New Roman" w:cs="Times New Roman"/>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240"/>
      </w:tblGrid>
      <w:tr w:rsidR="00CC1A56" w:rsidRPr="00DD49B6" w:rsidTr="00E452B1">
        <w:trPr>
          <w:trHeight w:val="361"/>
          <w:jc w:val="center"/>
        </w:trPr>
        <w:tc>
          <w:tcPr>
            <w:tcW w:w="9577" w:type="dxa"/>
            <w:gridSpan w:val="6"/>
            <w:vAlign w:val="center"/>
          </w:tcPr>
          <w:p w:rsidR="00CC1A56" w:rsidRPr="00DD49B6" w:rsidRDefault="00CC1A56" w:rsidP="007D385B">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CC1A56" w:rsidRPr="00DD49B6" w:rsidTr="00E452B1">
        <w:trPr>
          <w:jc w:val="center"/>
        </w:trPr>
        <w:tc>
          <w:tcPr>
            <w:tcW w:w="3182" w:type="dxa"/>
            <w:vMerge w:val="restart"/>
            <w:vAlign w:val="center"/>
          </w:tcPr>
          <w:p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rsidR="00CC1A56" w:rsidRPr="00DD49B6" w:rsidRDefault="00CC1A56" w:rsidP="007D385B">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584" w:type="dxa"/>
            <w:gridSpan w:val="3"/>
            <w:vAlign w:val="center"/>
          </w:tcPr>
          <w:p w:rsidR="00CC1A56" w:rsidRPr="00DD49B6" w:rsidRDefault="00CC1A56" w:rsidP="00AA3F24">
            <w:pPr>
              <w:pStyle w:val="naisf"/>
              <w:spacing w:before="0" w:beforeAutospacing="0" w:after="0" w:afterAutospacing="0"/>
              <w:jc w:val="center"/>
              <w:rPr>
                <w:b/>
                <w:i/>
              </w:rPr>
            </w:pPr>
            <w:r w:rsidRPr="00DD49B6">
              <w:t xml:space="preserve">Turpmākie trīs gadi </w:t>
            </w:r>
            <w:r w:rsidRPr="00BC7A10">
              <w:t>(</w:t>
            </w:r>
            <w:proofErr w:type="spellStart"/>
            <w:r w:rsidR="00AA3F24" w:rsidRPr="00BC7A10">
              <w:rPr>
                <w:i/>
              </w:rPr>
              <w:t>euro</w:t>
            </w:r>
            <w:proofErr w:type="spellEnd"/>
            <w:r w:rsidRPr="00BC7A10">
              <w:t>)</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rsidR="00CC1A56" w:rsidRPr="00DD49B6" w:rsidRDefault="00CC1A56" w:rsidP="007D385B">
            <w:pPr>
              <w:pStyle w:val="naisf"/>
              <w:spacing w:before="0" w:beforeAutospacing="0" w:after="0" w:afterAutospacing="0"/>
              <w:jc w:val="center"/>
              <w:rPr>
                <w:b/>
                <w:i/>
              </w:rPr>
            </w:pPr>
          </w:p>
        </w:tc>
        <w:tc>
          <w:tcPr>
            <w:tcW w:w="1150" w:type="dxa"/>
            <w:vAlign w:val="center"/>
          </w:tcPr>
          <w:p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rsidR="00CC1A56" w:rsidRPr="00DD49B6" w:rsidRDefault="00CC1A56" w:rsidP="007D385B">
            <w:pPr>
              <w:pStyle w:val="naisf"/>
              <w:spacing w:before="0" w:beforeAutospacing="0" w:after="0" w:afterAutospacing="0"/>
              <w:jc w:val="center"/>
              <w:rPr>
                <w:b/>
                <w:i/>
              </w:rPr>
            </w:pPr>
            <w:r>
              <w:rPr>
                <w:b/>
                <w:bCs/>
              </w:rPr>
              <w:t>2016.</w:t>
            </w:r>
          </w:p>
        </w:tc>
        <w:tc>
          <w:tcPr>
            <w:tcW w:w="1240" w:type="dxa"/>
            <w:vAlign w:val="center"/>
          </w:tcPr>
          <w:p w:rsidR="00CC1A56" w:rsidRPr="00DD49B6" w:rsidRDefault="00CC1A56" w:rsidP="007D385B">
            <w:pPr>
              <w:pStyle w:val="naisf"/>
              <w:spacing w:before="0" w:beforeAutospacing="0" w:after="0" w:afterAutospacing="0"/>
              <w:jc w:val="center"/>
              <w:rPr>
                <w:b/>
                <w:i/>
              </w:rPr>
            </w:pPr>
            <w:r>
              <w:rPr>
                <w:b/>
                <w:bCs/>
              </w:rPr>
              <w:t>2017.</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1273" w:type="dxa"/>
            <w:vAlign w:val="center"/>
          </w:tcPr>
          <w:p w:rsidR="00CC1A56" w:rsidRPr="00DD49B6" w:rsidRDefault="00CC1A56" w:rsidP="007D385B">
            <w:pPr>
              <w:pStyle w:val="naisf"/>
              <w:spacing w:before="0" w:beforeAutospacing="0" w:after="0" w:afterAutospacing="0"/>
              <w:jc w:val="center"/>
              <w:rPr>
                <w:b/>
                <w:i/>
              </w:rPr>
            </w:pPr>
            <w:r>
              <w:t>s</w:t>
            </w:r>
            <w:r w:rsidRPr="00DD49B6">
              <w:t xml:space="preserve">askaņā ar valsts budžetu </w:t>
            </w:r>
            <w:r w:rsidRPr="00DD49B6">
              <w:lastRenderedPageBreak/>
              <w:t>kārtējam gadam</w:t>
            </w:r>
          </w:p>
        </w:tc>
        <w:tc>
          <w:tcPr>
            <w:tcW w:w="1538" w:type="dxa"/>
            <w:vAlign w:val="center"/>
          </w:tcPr>
          <w:p w:rsidR="00CC1A56" w:rsidRPr="00DD49B6" w:rsidRDefault="00CC1A56" w:rsidP="007D385B">
            <w:pPr>
              <w:pStyle w:val="naisf"/>
              <w:spacing w:before="0" w:beforeAutospacing="0" w:after="0" w:afterAutospacing="0"/>
              <w:jc w:val="center"/>
              <w:rPr>
                <w:b/>
                <w:i/>
              </w:rPr>
            </w:pPr>
            <w:r>
              <w:lastRenderedPageBreak/>
              <w:t>i</w:t>
            </w:r>
            <w:r w:rsidRPr="00DD49B6">
              <w:t xml:space="preserve">zmaiņas kārtējā gadā, salīdzinot ar valsts </w:t>
            </w:r>
            <w:r w:rsidRPr="00DD49B6">
              <w:lastRenderedPageBreak/>
              <w:t>budžetu kārtējam gadam</w:t>
            </w:r>
          </w:p>
        </w:tc>
        <w:tc>
          <w:tcPr>
            <w:tcW w:w="1150" w:type="dxa"/>
            <w:vAlign w:val="center"/>
          </w:tcPr>
          <w:p w:rsidR="00CC1A56" w:rsidRPr="00DD49B6" w:rsidRDefault="00CC1A56" w:rsidP="007D385B">
            <w:pPr>
              <w:pStyle w:val="naisf"/>
              <w:spacing w:before="0" w:beforeAutospacing="0" w:after="0" w:afterAutospacing="0"/>
              <w:jc w:val="center"/>
              <w:rPr>
                <w:b/>
                <w:i/>
              </w:rPr>
            </w:pPr>
            <w:r>
              <w:lastRenderedPageBreak/>
              <w:t>i</w:t>
            </w:r>
            <w:r w:rsidRPr="00DD49B6">
              <w:t>zmaiņas, salīdzinot ar kārtējo (n) gadu</w:t>
            </w:r>
          </w:p>
        </w:tc>
        <w:tc>
          <w:tcPr>
            <w:tcW w:w="1194"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24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rsidTr="00E452B1">
        <w:trPr>
          <w:jc w:val="center"/>
        </w:trPr>
        <w:tc>
          <w:tcPr>
            <w:tcW w:w="3182" w:type="dxa"/>
            <w:vAlign w:val="center"/>
          </w:tcPr>
          <w:p w:rsidR="00CC1A56" w:rsidRPr="00DD49B6" w:rsidRDefault="00CC1A56" w:rsidP="007D385B">
            <w:pPr>
              <w:pStyle w:val="naisf"/>
              <w:spacing w:before="0" w:beforeAutospacing="0" w:after="0" w:afterAutospacing="0"/>
              <w:jc w:val="center"/>
              <w:rPr>
                <w:bCs/>
              </w:rPr>
            </w:pPr>
            <w:r w:rsidRPr="00DD49B6">
              <w:rPr>
                <w:bCs/>
              </w:rPr>
              <w:lastRenderedPageBreak/>
              <w:t>1</w:t>
            </w:r>
          </w:p>
        </w:tc>
        <w:tc>
          <w:tcPr>
            <w:tcW w:w="1273" w:type="dxa"/>
            <w:vAlign w:val="center"/>
          </w:tcPr>
          <w:p w:rsidR="00CC1A56" w:rsidRPr="00DD49B6" w:rsidRDefault="00CC1A56" w:rsidP="007D385B">
            <w:pPr>
              <w:pStyle w:val="naisf"/>
              <w:spacing w:before="0" w:beforeAutospacing="0" w:after="0" w:afterAutospacing="0"/>
              <w:jc w:val="center"/>
              <w:rPr>
                <w:bCs/>
              </w:rPr>
            </w:pPr>
            <w:r w:rsidRPr="00DD49B6">
              <w:rPr>
                <w:bCs/>
              </w:rPr>
              <w:t>2</w:t>
            </w:r>
          </w:p>
        </w:tc>
        <w:tc>
          <w:tcPr>
            <w:tcW w:w="1538" w:type="dxa"/>
            <w:vAlign w:val="center"/>
          </w:tcPr>
          <w:p w:rsidR="00CC1A56" w:rsidRPr="00DD49B6" w:rsidRDefault="00CC1A56" w:rsidP="007D385B">
            <w:pPr>
              <w:pStyle w:val="naisf"/>
              <w:spacing w:before="0" w:beforeAutospacing="0" w:after="0" w:afterAutospacing="0"/>
              <w:jc w:val="center"/>
              <w:rPr>
                <w:bCs/>
              </w:rPr>
            </w:pPr>
            <w:r w:rsidRPr="00DD49B6">
              <w:rPr>
                <w:bCs/>
              </w:rPr>
              <w:t>3</w:t>
            </w:r>
          </w:p>
        </w:tc>
        <w:tc>
          <w:tcPr>
            <w:tcW w:w="1150" w:type="dxa"/>
            <w:vAlign w:val="center"/>
          </w:tcPr>
          <w:p w:rsidR="00CC1A56" w:rsidRPr="00DD49B6" w:rsidRDefault="00CC1A56" w:rsidP="007D385B">
            <w:pPr>
              <w:pStyle w:val="naisf"/>
              <w:spacing w:before="0" w:beforeAutospacing="0" w:after="0" w:afterAutospacing="0"/>
              <w:jc w:val="center"/>
              <w:rPr>
                <w:bCs/>
              </w:rPr>
            </w:pPr>
            <w:r w:rsidRPr="00DD49B6">
              <w:rPr>
                <w:bCs/>
              </w:rPr>
              <w:t>4</w:t>
            </w:r>
          </w:p>
        </w:tc>
        <w:tc>
          <w:tcPr>
            <w:tcW w:w="1194" w:type="dxa"/>
            <w:vAlign w:val="center"/>
          </w:tcPr>
          <w:p w:rsidR="00CC1A56" w:rsidRPr="00DD49B6" w:rsidRDefault="00CC1A56" w:rsidP="007D385B">
            <w:pPr>
              <w:pStyle w:val="naisf"/>
              <w:spacing w:before="0" w:beforeAutospacing="0" w:after="0" w:afterAutospacing="0"/>
              <w:jc w:val="center"/>
              <w:rPr>
                <w:bCs/>
              </w:rPr>
            </w:pPr>
            <w:r w:rsidRPr="00DD49B6">
              <w:rPr>
                <w:bCs/>
              </w:rPr>
              <w:t>5</w:t>
            </w:r>
          </w:p>
        </w:tc>
        <w:tc>
          <w:tcPr>
            <w:tcW w:w="1240" w:type="dxa"/>
            <w:vAlign w:val="center"/>
          </w:tcPr>
          <w:p w:rsidR="00CC1A56" w:rsidRPr="00DD49B6" w:rsidRDefault="00CC1A56" w:rsidP="007D385B">
            <w:pPr>
              <w:pStyle w:val="naisf"/>
              <w:spacing w:before="0" w:beforeAutospacing="0" w:after="0" w:afterAutospacing="0"/>
              <w:jc w:val="center"/>
              <w:rPr>
                <w:bCs/>
              </w:rPr>
            </w:pPr>
            <w:r w:rsidRPr="00DD49B6">
              <w:rPr>
                <w:bCs/>
              </w:rPr>
              <w:t>6</w:t>
            </w:r>
          </w:p>
        </w:tc>
      </w:tr>
      <w:tr w:rsidR="00FF7761" w:rsidRPr="00DD49B6" w:rsidTr="00E452B1">
        <w:trPr>
          <w:jc w:val="center"/>
        </w:trPr>
        <w:tc>
          <w:tcPr>
            <w:tcW w:w="3182" w:type="dxa"/>
          </w:tcPr>
          <w:p w:rsidR="00FF7761" w:rsidRPr="00DD49B6" w:rsidRDefault="00FF7761" w:rsidP="00FF7761">
            <w:pPr>
              <w:pStyle w:val="naisf"/>
              <w:spacing w:before="0" w:beforeAutospacing="0" w:after="0" w:afterAutospacing="0"/>
              <w:rPr>
                <w:i/>
              </w:rPr>
            </w:pPr>
            <w:r w:rsidRPr="00DD49B6">
              <w:t>1. Budžeta ieņēmumi:</w:t>
            </w:r>
          </w:p>
        </w:tc>
        <w:tc>
          <w:tcPr>
            <w:tcW w:w="1273" w:type="dxa"/>
          </w:tcPr>
          <w:p w:rsidR="00FF7761" w:rsidRPr="00BD76EA" w:rsidRDefault="00FF7761" w:rsidP="00FF7761">
            <w:pPr>
              <w:pStyle w:val="naisf"/>
              <w:spacing w:before="0" w:beforeAutospacing="0" w:after="0" w:afterAutospacing="0"/>
              <w:rPr>
                <w:b/>
              </w:rPr>
            </w:pPr>
            <w:r>
              <w:rPr>
                <w:b/>
              </w:rPr>
              <w:t>6 977 724</w:t>
            </w:r>
          </w:p>
        </w:tc>
        <w:tc>
          <w:tcPr>
            <w:tcW w:w="1538" w:type="dxa"/>
          </w:tcPr>
          <w:p w:rsidR="00FF7761" w:rsidRPr="00BD76EA" w:rsidRDefault="00FF7761" w:rsidP="00FF7761">
            <w:pPr>
              <w:pStyle w:val="naisf"/>
              <w:spacing w:before="0" w:beforeAutospacing="0" w:after="0" w:afterAutospacing="0"/>
              <w:rPr>
                <w:b/>
              </w:rPr>
            </w:pPr>
            <w:r>
              <w:rPr>
                <w:b/>
              </w:rPr>
              <w:t>3 383 366</w:t>
            </w:r>
          </w:p>
        </w:tc>
        <w:tc>
          <w:tcPr>
            <w:tcW w:w="1150" w:type="dxa"/>
          </w:tcPr>
          <w:p w:rsidR="00FF7761" w:rsidRPr="00BD76EA" w:rsidRDefault="00FF7761" w:rsidP="00FF7761">
            <w:pPr>
              <w:pStyle w:val="naisf"/>
              <w:spacing w:before="0" w:beforeAutospacing="0" w:after="0" w:afterAutospacing="0"/>
              <w:ind w:left="-68" w:right="-132"/>
              <w:rPr>
                <w:b/>
              </w:rPr>
            </w:pPr>
            <w:r w:rsidRPr="00BD76EA">
              <w:rPr>
                <w:b/>
              </w:rPr>
              <w:t>-</w:t>
            </w:r>
            <w:r>
              <w:rPr>
                <w:b/>
              </w:rPr>
              <w:t>6 977 724</w:t>
            </w:r>
          </w:p>
        </w:tc>
        <w:tc>
          <w:tcPr>
            <w:tcW w:w="1194" w:type="dxa"/>
          </w:tcPr>
          <w:p w:rsidR="00FF7761" w:rsidRPr="00BD76EA" w:rsidRDefault="00FF7761" w:rsidP="00FF7761">
            <w:pPr>
              <w:pStyle w:val="naisf"/>
              <w:spacing w:before="0" w:beforeAutospacing="0" w:after="0" w:afterAutospacing="0"/>
              <w:ind w:right="-72"/>
              <w:rPr>
                <w:b/>
              </w:rPr>
            </w:pPr>
            <w:r w:rsidRPr="00BD76EA">
              <w:rPr>
                <w:b/>
              </w:rPr>
              <w:t>-</w:t>
            </w:r>
            <w:r>
              <w:rPr>
                <w:b/>
              </w:rPr>
              <w:t>6 977 724</w:t>
            </w:r>
          </w:p>
        </w:tc>
        <w:tc>
          <w:tcPr>
            <w:tcW w:w="1240" w:type="dxa"/>
          </w:tcPr>
          <w:p w:rsidR="00FF7761" w:rsidRPr="00BD76EA" w:rsidRDefault="00FF7761" w:rsidP="00FF7761">
            <w:pPr>
              <w:pStyle w:val="naisf"/>
              <w:spacing w:before="0" w:beforeAutospacing="0" w:after="0" w:afterAutospacing="0"/>
              <w:ind w:right="-72"/>
              <w:rPr>
                <w:b/>
              </w:rPr>
            </w:pPr>
            <w:r w:rsidRPr="00BD76EA">
              <w:rPr>
                <w:b/>
              </w:rPr>
              <w:t>-</w:t>
            </w:r>
            <w:r>
              <w:rPr>
                <w:b/>
              </w:rPr>
              <w:t>6 977 724</w:t>
            </w:r>
          </w:p>
        </w:tc>
      </w:tr>
      <w:tr w:rsidR="00FF7761" w:rsidRPr="00DD49B6" w:rsidTr="00E452B1">
        <w:trPr>
          <w:jc w:val="center"/>
        </w:trPr>
        <w:tc>
          <w:tcPr>
            <w:tcW w:w="3182" w:type="dxa"/>
          </w:tcPr>
          <w:p w:rsidR="00FF7761" w:rsidRPr="00DD49B6" w:rsidRDefault="00FF7761" w:rsidP="00FF776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rsidR="00FF7761" w:rsidRPr="00BD76EA" w:rsidRDefault="00FF7761" w:rsidP="00FF7761">
            <w:pPr>
              <w:pStyle w:val="naisf"/>
              <w:spacing w:before="0" w:beforeAutospacing="0" w:after="0" w:afterAutospacing="0"/>
              <w:rPr>
                <w:b/>
              </w:rPr>
            </w:pPr>
            <w:r>
              <w:rPr>
                <w:b/>
              </w:rPr>
              <w:t>7 329 424</w:t>
            </w:r>
          </w:p>
        </w:tc>
        <w:tc>
          <w:tcPr>
            <w:tcW w:w="1538" w:type="dxa"/>
          </w:tcPr>
          <w:p w:rsidR="00FF7761" w:rsidRPr="00BD76EA" w:rsidRDefault="00FF7761" w:rsidP="00FF7761">
            <w:pPr>
              <w:pStyle w:val="naisf"/>
              <w:spacing w:before="0" w:beforeAutospacing="0" w:after="0" w:afterAutospacing="0"/>
              <w:rPr>
                <w:b/>
              </w:rPr>
            </w:pPr>
            <w:r>
              <w:rPr>
                <w:b/>
              </w:rPr>
              <w:t>6 150 638</w:t>
            </w:r>
          </w:p>
        </w:tc>
        <w:tc>
          <w:tcPr>
            <w:tcW w:w="1150" w:type="dxa"/>
          </w:tcPr>
          <w:p w:rsidR="00FF7761" w:rsidRPr="00BD76EA" w:rsidRDefault="00FF7761" w:rsidP="00FF7761">
            <w:pPr>
              <w:pStyle w:val="naisf"/>
              <w:spacing w:before="0" w:beforeAutospacing="0" w:after="0" w:afterAutospacing="0"/>
              <w:ind w:left="-68" w:right="-132"/>
              <w:rPr>
                <w:b/>
              </w:rPr>
            </w:pPr>
            <w:r w:rsidRPr="00BD76EA">
              <w:rPr>
                <w:b/>
              </w:rPr>
              <w:t>-</w:t>
            </w:r>
            <w:r>
              <w:rPr>
                <w:b/>
              </w:rPr>
              <w:t>7 300 967</w:t>
            </w:r>
          </w:p>
        </w:tc>
        <w:tc>
          <w:tcPr>
            <w:tcW w:w="1194" w:type="dxa"/>
          </w:tcPr>
          <w:p w:rsidR="00FF7761" w:rsidRPr="00BD76EA" w:rsidRDefault="00FF7761" w:rsidP="00FF7761">
            <w:pPr>
              <w:pStyle w:val="naisf"/>
              <w:spacing w:before="0" w:beforeAutospacing="0" w:after="0" w:afterAutospacing="0"/>
              <w:ind w:right="-72"/>
              <w:rPr>
                <w:b/>
              </w:rPr>
            </w:pPr>
            <w:r w:rsidRPr="00BD76EA">
              <w:rPr>
                <w:b/>
              </w:rPr>
              <w:t>-</w:t>
            </w:r>
            <w:r>
              <w:rPr>
                <w:b/>
              </w:rPr>
              <w:t>7 329 424</w:t>
            </w:r>
          </w:p>
        </w:tc>
        <w:tc>
          <w:tcPr>
            <w:tcW w:w="1240" w:type="dxa"/>
          </w:tcPr>
          <w:p w:rsidR="00FF7761" w:rsidRPr="00BD76EA" w:rsidRDefault="00FF7761" w:rsidP="00FF7761">
            <w:pPr>
              <w:pStyle w:val="naisf"/>
              <w:spacing w:before="0" w:beforeAutospacing="0" w:after="0" w:afterAutospacing="0"/>
              <w:ind w:right="-72"/>
              <w:rPr>
                <w:b/>
              </w:rPr>
            </w:pPr>
            <w:r w:rsidRPr="00BD76EA">
              <w:rPr>
                <w:b/>
              </w:rPr>
              <w:t>-</w:t>
            </w:r>
            <w:r>
              <w:rPr>
                <w:b/>
              </w:rPr>
              <w:t>7 329 424</w:t>
            </w:r>
          </w:p>
        </w:tc>
      </w:tr>
      <w:tr w:rsidR="00FF7761" w:rsidRPr="00DD49B6" w:rsidTr="00E452B1">
        <w:trPr>
          <w:jc w:val="center"/>
        </w:trPr>
        <w:tc>
          <w:tcPr>
            <w:tcW w:w="3182" w:type="dxa"/>
          </w:tcPr>
          <w:p w:rsidR="00FF7761" w:rsidRPr="00DD49B6" w:rsidRDefault="00FF7761" w:rsidP="00FF776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rsidR="00FF7761" w:rsidRPr="00E61B13" w:rsidRDefault="00FF7761" w:rsidP="00FF7761">
            <w:pPr>
              <w:pStyle w:val="naisf"/>
              <w:spacing w:before="0" w:beforeAutospacing="0" w:after="0" w:afterAutospacing="0"/>
              <w:jc w:val="center"/>
              <w:rPr>
                <w:b/>
              </w:rPr>
            </w:pPr>
            <w:r w:rsidRPr="00E61B13">
              <w:rPr>
                <w:b/>
              </w:rPr>
              <w:t>-</w:t>
            </w:r>
            <w:r>
              <w:rPr>
                <w:b/>
              </w:rPr>
              <w:t>351 700</w:t>
            </w:r>
          </w:p>
        </w:tc>
        <w:tc>
          <w:tcPr>
            <w:tcW w:w="1538" w:type="dxa"/>
          </w:tcPr>
          <w:p w:rsidR="00FF7761" w:rsidRPr="00BD76EA" w:rsidRDefault="00FF7761" w:rsidP="00FF7761">
            <w:pPr>
              <w:pStyle w:val="naisf"/>
              <w:spacing w:before="0" w:beforeAutospacing="0" w:after="0" w:afterAutospacing="0"/>
              <w:rPr>
                <w:b/>
              </w:rPr>
            </w:pPr>
            <w:r w:rsidRPr="00BD76EA">
              <w:rPr>
                <w:b/>
              </w:rPr>
              <w:t xml:space="preserve">- </w:t>
            </w:r>
            <w:r>
              <w:rPr>
                <w:b/>
              </w:rPr>
              <w:t>2 767 272</w:t>
            </w:r>
          </w:p>
        </w:tc>
        <w:tc>
          <w:tcPr>
            <w:tcW w:w="1150" w:type="dxa"/>
          </w:tcPr>
          <w:p w:rsidR="00FF7761" w:rsidRPr="00BD76EA" w:rsidRDefault="00FF7761" w:rsidP="00FF7761">
            <w:pPr>
              <w:pStyle w:val="naisf"/>
              <w:spacing w:before="0" w:beforeAutospacing="0" w:after="0" w:afterAutospacing="0"/>
              <w:rPr>
                <w:b/>
              </w:rPr>
            </w:pPr>
            <w:r>
              <w:rPr>
                <w:b/>
              </w:rPr>
              <w:t>323 243</w:t>
            </w:r>
          </w:p>
        </w:tc>
        <w:tc>
          <w:tcPr>
            <w:tcW w:w="1194" w:type="dxa"/>
          </w:tcPr>
          <w:p w:rsidR="00FF7761" w:rsidRPr="00BD76EA" w:rsidRDefault="00FF7761" w:rsidP="00FF7761">
            <w:pPr>
              <w:pStyle w:val="naisf"/>
              <w:spacing w:before="0" w:beforeAutospacing="0" w:after="0" w:afterAutospacing="0"/>
              <w:rPr>
                <w:b/>
              </w:rPr>
            </w:pPr>
            <w:r>
              <w:rPr>
                <w:b/>
              </w:rPr>
              <w:t>351 700</w:t>
            </w:r>
          </w:p>
        </w:tc>
        <w:tc>
          <w:tcPr>
            <w:tcW w:w="1240" w:type="dxa"/>
          </w:tcPr>
          <w:p w:rsidR="00FF7761" w:rsidRPr="00BD76EA" w:rsidRDefault="00FF7761" w:rsidP="00FF7761">
            <w:pPr>
              <w:pStyle w:val="naisf"/>
              <w:spacing w:before="0" w:beforeAutospacing="0" w:after="0" w:afterAutospacing="0"/>
              <w:rPr>
                <w:b/>
              </w:rPr>
            </w:pPr>
            <w:r>
              <w:rPr>
                <w:b/>
              </w:rPr>
              <w:t>351 700</w:t>
            </w:r>
          </w:p>
        </w:tc>
      </w:tr>
      <w:tr w:rsidR="002B0D05" w:rsidRPr="00DD49B6" w:rsidTr="00E452B1">
        <w:trPr>
          <w:trHeight w:val="1380"/>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E61B13" w:rsidRDefault="002B0D05" w:rsidP="002B0D05">
            <w:pPr>
              <w:pStyle w:val="naisf"/>
              <w:spacing w:before="0" w:beforeAutospacing="0" w:after="0" w:afterAutospacing="0"/>
              <w:jc w:val="center"/>
              <w:rPr>
                <w:b/>
              </w:rPr>
            </w:pPr>
            <w:r w:rsidRPr="00E61B13">
              <w:rPr>
                <w:b/>
              </w:rPr>
              <w:t>0</w:t>
            </w:r>
          </w:p>
        </w:tc>
        <w:tc>
          <w:tcPr>
            <w:tcW w:w="1150" w:type="dxa"/>
          </w:tcPr>
          <w:p w:rsidR="002B0D05" w:rsidRPr="00E61B13" w:rsidRDefault="002B0D05" w:rsidP="002B0D05">
            <w:pPr>
              <w:pStyle w:val="naisf"/>
              <w:spacing w:before="0" w:beforeAutospacing="0" w:after="0" w:afterAutospacing="0"/>
              <w:jc w:val="center"/>
              <w:rPr>
                <w:b/>
              </w:rPr>
            </w:pPr>
            <w:r w:rsidRPr="00E61B13">
              <w:rPr>
                <w:b/>
              </w:rPr>
              <w:t>0</w:t>
            </w:r>
          </w:p>
        </w:tc>
        <w:tc>
          <w:tcPr>
            <w:tcW w:w="1194" w:type="dxa"/>
          </w:tcPr>
          <w:p w:rsidR="002B0D05" w:rsidRPr="00E61B13" w:rsidRDefault="002B0D05" w:rsidP="002B0D05">
            <w:pPr>
              <w:pStyle w:val="naisf"/>
              <w:spacing w:before="0" w:beforeAutospacing="0" w:after="0" w:afterAutospacing="0"/>
              <w:jc w:val="center"/>
              <w:rPr>
                <w:b/>
              </w:rPr>
            </w:pPr>
            <w:r w:rsidRPr="00E61B13">
              <w:rPr>
                <w:b/>
              </w:rPr>
              <w:t>0</w:t>
            </w:r>
          </w:p>
        </w:tc>
        <w:tc>
          <w:tcPr>
            <w:tcW w:w="1240" w:type="dxa"/>
          </w:tcPr>
          <w:p w:rsidR="002B0D05" w:rsidRPr="00E61B13" w:rsidRDefault="002B0D05" w:rsidP="002B0D05">
            <w:pPr>
              <w:pStyle w:val="naisf"/>
              <w:spacing w:before="0" w:beforeAutospacing="0" w:after="0" w:afterAutospacing="0"/>
              <w:jc w:val="center"/>
              <w:rPr>
                <w:b/>
              </w:rPr>
            </w:pPr>
            <w:r w:rsidRPr="00E61B13">
              <w:rPr>
                <w:b/>
              </w:rPr>
              <w:t>0</w:t>
            </w:r>
          </w:p>
        </w:tc>
      </w:tr>
      <w:tr w:rsidR="002B0D05" w:rsidRPr="00DD49B6" w:rsidTr="00E452B1">
        <w:trPr>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BD76EA" w:rsidRDefault="002B0D05" w:rsidP="002B0D05">
            <w:pPr>
              <w:pStyle w:val="naisf"/>
              <w:spacing w:before="0" w:beforeAutospacing="0" w:after="0" w:afterAutospacing="0"/>
              <w:jc w:val="center"/>
              <w:rPr>
                <w:b/>
              </w:rPr>
            </w:pPr>
            <w:r w:rsidRPr="00BD76EA">
              <w:rPr>
                <w:b/>
              </w:rPr>
              <w:t>N/A</w:t>
            </w:r>
          </w:p>
        </w:tc>
        <w:tc>
          <w:tcPr>
            <w:tcW w:w="115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194"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24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r>
      <w:tr w:rsidR="00CC1A56" w:rsidRPr="00DD49B6" w:rsidTr="00E452B1">
        <w:trPr>
          <w:jc w:val="center"/>
        </w:trPr>
        <w:tc>
          <w:tcPr>
            <w:tcW w:w="3182" w:type="dxa"/>
            <w:shd w:val="clear" w:color="auto" w:fill="auto"/>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95" w:type="dxa"/>
            <w:gridSpan w:val="5"/>
            <w:vMerge w:val="restart"/>
            <w:shd w:val="clear" w:color="auto" w:fill="auto"/>
            <w:vAlign w:val="center"/>
          </w:tcPr>
          <w:p w:rsidR="00820527" w:rsidRPr="001761AE" w:rsidRDefault="00820527" w:rsidP="00820527">
            <w:pPr>
              <w:autoSpaceDE w:val="0"/>
              <w:snapToGrid w:val="0"/>
              <w:spacing w:after="0" w:line="240" w:lineRule="auto"/>
              <w:jc w:val="both"/>
              <w:rPr>
                <w:rFonts w:ascii="Times New Roman" w:hAnsi="Times New Roman" w:cs="Times New Roman"/>
                <w:b/>
                <w:sz w:val="24"/>
                <w:szCs w:val="24"/>
              </w:rPr>
            </w:pPr>
            <w:r w:rsidRPr="001761AE">
              <w:rPr>
                <w:rFonts w:ascii="Times New Roman" w:hAnsi="Times New Roman" w:cs="Times New Roman"/>
                <w:b/>
                <w:sz w:val="24"/>
                <w:szCs w:val="24"/>
              </w:rPr>
              <w:t>1.3.1.3.2.apakšaktivitāte</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1761AE">
              <w:rPr>
                <w:rFonts w:ascii="Times New Roman" w:hAnsi="Times New Roman" w:cs="Times New Roman"/>
                <w:sz w:val="24"/>
                <w:szCs w:val="24"/>
              </w:rPr>
              <w:t xml:space="preserve">Budžeta izdevumi ir kopējie maksājumi finansējuma saņēmējiem attiecīgajā gadā, un budžeta ieņēmumi ir finansējuma </w:t>
            </w:r>
            <w:r>
              <w:rPr>
                <w:rFonts w:ascii="Times New Roman" w:hAnsi="Times New Roman" w:cs="Times New Roman"/>
                <w:sz w:val="24"/>
                <w:szCs w:val="24"/>
              </w:rPr>
              <w:t xml:space="preserve">Eiropas Sociālā fonda (turpmāk – </w:t>
            </w:r>
            <w:r w:rsidRPr="001761AE">
              <w:rPr>
                <w:rFonts w:ascii="Times New Roman" w:hAnsi="Times New Roman" w:cs="Times New Roman"/>
                <w:sz w:val="24"/>
                <w:szCs w:val="24"/>
              </w:rPr>
              <w:t>ESF</w:t>
            </w:r>
            <w:r>
              <w:rPr>
                <w:rFonts w:ascii="Times New Roman" w:hAnsi="Times New Roman" w:cs="Times New Roman"/>
                <w:sz w:val="24"/>
                <w:szCs w:val="24"/>
              </w:rPr>
              <w:t>)</w:t>
            </w:r>
            <w:r w:rsidRPr="001761AE">
              <w:rPr>
                <w:rFonts w:ascii="Times New Roman" w:hAnsi="Times New Roman" w:cs="Times New Roman"/>
                <w:sz w:val="24"/>
                <w:szCs w:val="24"/>
              </w:rPr>
              <w:t xml:space="preserve"> daļa. ESF finansējuma apmērs ir 85% no kopējām attiecināmajām projektu izmaksām.</w:t>
            </w:r>
          </w:p>
          <w:p w:rsidR="00820527" w:rsidRDefault="00820527" w:rsidP="00820527">
            <w:pPr>
              <w:autoSpaceDE w:val="0"/>
              <w:spacing w:after="0" w:line="240" w:lineRule="auto"/>
              <w:jc w:val="both"/>
              <w:rPr>
                <w:rFonts w:ascii="Times New Roman" w:hAnsi="Times New Roman" w:cs="Times New Roman"/>
                <w:sz w:val="24"/>
                <w:szCs w:val="24"/>
              </w:rPr>
            </w:pPr>
            <w:r w:rsidRPr="001761AE">
              <w:rPr>
                <w:rFonts w:ascii="Times New Roman" w:hAnsi="Times New Roman" w:cs="Times New Roman"/>
                <w:sz w:val="24"/>
                <w:szCs w:val="24"/>
              </w:rPr>
              <w:t>Ar šīm izmaiņām DPP apakšaktivitātei pieejamais attiecināmais finansējums tiek samazināts no 9 517 089 EUR uz 9 223 412 EUR, tai skaitā ESF finansējums no 8 089 525 EUR uz 7 839 900 EUR un valsts budžeta finansējums no 1 427 564 EUR uz 1 383 512 EUR. Projektu ieviešanai pieejamais attiecināmais fin</w:t>
            </w:r>
            <w:r>
              <w:rPr>
                <w:rFonts w:ascii="Times New Roman" w:hAnsi="Times New Roman" w:cs="Times New Roman"/>
                <w:sz w:val="24"/>
                <w:szCs w:val="24"/>
              </w:rPr>
              <w:t>ansējums ir par 46</w:t>
            </w:r>
            <w:r w:rsidR="002F7FDC">
              <w:rPr>
                <w:rFonts w:ascii="Times New Roman" w:hAnsi="Times New Roman" w:cs="Times New Roman"/>
                <w:sz w:val="24"/>
                <w:szCs w:val="24"/>
              </w:rPr>
              <w:t xml:space="preserve"> </w:t>
            </w:r>
            <w:r>
              <w:rPr>
                <w:rFonts w:ascii="Times New Roman" w:hAnsi="Times New Roman" w:cs="Times New Roman"/>
                <w:sz w:val="24"/>
                <w:szCs w:val="24"/>
              </w:rPr>
              <w:t xml:space="preserve">EUR </w:t>
            </w:r>
            <w:proofErr w:type="gramStart"/>
            <w:r>
              <w:rPr>
                <w:rFonts w:ascii="Times New Roman" w:hAnsi="Times New Roman" w:cs="Times New Roman"/>
                <w:sz w:val="24"/>
                <w:szCs w:val="24"/>
              </w:rPr>
              <w:t>mazāk</w:t>
            </w:r>
            <w:r w:rsidRPr="001761AE">
              <w:rPr>
                <w:rFonts w:ascii="Times New Roman" w:hAnsi="Times New Roman" w:cs="Times New Roman"/>
                <w:sz w:val="24"/>
                <w:szCs w:val="24"/>
              </w:rPr>
              <w:t>s kā</w:t>
            </w:r>
            <w:proofErr w:type="gramEnd"/>
            <w:r w:rsidRPr="001761AE">
              <w:rPr>
                <w:rFonts w:ascii="Times New Roman" w:hAnsi="Times New Roman" w:cs="Times New Roman"/>
                <w:sz w:val="24"/>
                <w:szCs w:val="24"/>
              </w:rPr>
              <w:t xml:space="preserve"> norādīts DPP. Starpību veido pēc 08.05.2012</w:t>
            </w:r>
            <w:r w:rsidR="00A66ECC">
              <w:rPr>
                <w:rFonts w:ascii="Times New Roman" w:hAnsi="Times New Roman" w:cs="Times New Roman"/>
                <w:sz w:val="24"/>
                <w:szCs w:val="24"/>
              </w:rPr>
              <w:t>.</w:t>
            </w:r>
            <w:r w:rsidRPr="001761AE">
              <w:rPr>
                <w:rFonts w:ascii="Times New Roman" w:hAnsi="Times New Roman" w:cs="Times New Roman"/>
                <w:sz w:val="24"/>
                <w:szCs w:val="24"/>
              </w:rPr>
              <w:t xml:space="preserve"> konstatētas neatbilstoši veiktas izmaksas.</w:t>
            </w:r>
          </w:p>
          <w:p w:rsidR="002F7FDC" w:rsidRPr="00625809" w:rsidRDefault="002F7FDC" w:rsidP="00820527">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Pirms pārdales veikšanas kopējais finansējuma atlikums apakšaktivitātes ietvaros ir 293 723 EUR, tai skaitā pēc 08.05.2012 konstatētas neatbilstoši veiktas izmaksas 46 EUR apmērā (nepārdalāmais atlikums) un pārdalāmais atlikums 293 677 EUR (no tā līdz 08.05.2012 veiktas neatbilstoši veiktas izmaksas 8 155 EUR apmērā).</w:t>
            </w:r>
          </w:p>
          <w:p w:rsidR="00820527" w:rsidRPr="001761AE" w:rsidRDefault="00820527" w:rsidP="00820527">
            <w:pPr>
              <w:autoSpaceDE w:val="0"/>
              <w:spacing w:after="0" w:line="240" w:lineRule="auto"/>
              <w:jc w:val="both"/>
              <w:rPr>
                <w:rFonts w:ascii="Times New Roman" w:hAnsi="Times New Roman" w:cs="Times New Roman"/>
                <w:sz w:val="24"/>
                <w:szCs w:val="24"/>
              </w:rPr>
            </w:pPr>
            <w:r w:rsidRPr="00D60002">
              <w:rPr>
                <w:rFonts w:ascii="Times New Roman" w:hAnsi="Times New Roman" w:cs="Times New Roman"/>
                <w:sz w:val="24"/>
                <w:szCs w:val="24"/>
                <w:u w:val="single"/>
              </w:rPr>
              <w:t xml:space="preserve">No 2008. līdz </w:t>
            </w:r>
            <w:proofErr w:type="gramStart"/>
            <w:r w:rsidRPr="00D60002">
              <w:rPr>
                <w:rFonts w:ascii="Times New Roman" w:hAnsi="Times New Roman" w:cs="Times New Roman"/>
                <w:sz w:val="24"/>
                <w:szCs w:val="24"/>
                <w:u w:val="single"/>
              </w:rPr>
              <w:t>2013.gadam</w:t>
            </w:r>
            <w:proofErr w:type="gramEnd"/>
            <w:r w:rsidRPr="001761AE">
              <w:rPr>
                <w:rFonts w:ascii="Times New Roman" w:hAnsi="Times New Roman" w:cs="Times New Roman"/>
                <w:sz w:val="24"/>
                <w:szCs w:val="24"/>
              </w:rPr>
              <w:t xml:space="preserve"> projektiem veikti</w:t>
            </w:r>
            <w:r>
              <w:rPr>
                <w:rFonts w:ascii="Times New Roman" w:hAnsi="Times New Roman" w:cs="Times New Roman"/>
                <w:sz w:val="24"/>
                <w:szCs w:val="24"/>
              </w:rPr>
              <w:t xml:space="preserve"> avansa un starpposma maksājumi</w:t>
            </w:r>
            <w:r w:rsidRPr="001761AE">
              <w:rPr>
                <w:rFonts w:ascii="Times New Roman" w:hAnsi="Times New Roman" w:cs="Times New Roman"/>
                <w:sz w:val="24"/>
                <w:szCs w:val="24"/>
              </w:rPr>
              <w:t xml:space="preserve"> 8 693 43</w:t>
            </w:r>
            <w:r>
              <w:rPr>
                <w:rFonts w:ascii="Times New Roman" w:hAnsi="Times New Roman" w:cs="Times New Roman"/>
                <w:sz w:val="24"/>
                <w:szCs w:val="24"/>
              </w:rPr>
              <w:t>6</w:t>
            </w:r>
            <w:r w:rsidRPr="001761AE">
              <w:rPr>
                <w:rFonts w:ascii="Times New Roman" w:hAnsi="Times New Roman" w:cs="Times New Roman"/>
                <w:sz w:val="24"/>
                <w:szCs w:val="24"/>
              </w:rPr>
              <w:t xml:space="preserve"> EUR apmērā, tai skaitā ESF finansējums 7 389 421 EUR apmērā un valsts budžeta līdzfinansējums 1 304 01</w:t>
            </w:r>
            <w:r>
              <w:rPr>
                <w:rFonts w:ascii="Times New Roman" w:hAnsi="Times New Roman" w:cs="Times New Roman"/>
                <w:sz w:val="24"/>
                <w:szCs w:val="24"/>
              </w:rPr>
              <w:t>5</w:t>
            </w:r>
            <w:r w:rsidRPr="001761AE">
              <w:rPr>
                <w:rFonts w:ascii="Times New Roman" w:hAnsi="Times New Roman" w:cs="Times New Roman"/>
                <w:sz w:val="24"/>
                <w:szCs w:val="24"/>
              </w:rPr>
              <w:t xml:space="preserve"> EUR apmērā.</w:t>
            </w:r>
          </w:p>
          <w:p w:rsidR="00820527" w:rsidRPr="00B46D66" w:rsidRDefault="00820527" w:rsidP="00820527">
            <w:pPr>
              <w:autoSpaceDE w:val="0"/>
              <w:spacing w:after="0" w:line="240" w:lineRule="auto"/>
              <w:jc w:val="both"/>
              <w:rPr>
                <w:rFonts w:ascii="Times New Roman" w:hAnsi="Times New Roman" w:cs="Times New Roman"/>
                <w:sz w:val="24"/>
                <w:szCs w:val="24"/>
              </w:rPr>
            </w:pPr>
            <w:proofErr w:type="gramStart"/>
            <w:r w:rsidRPr="003E6EBD">
              <w:rPr>
                <w:rFonts w:ascii="Times New Roman" w:hAnsi="Times New Roman" w:cs="Times New Roman"/>
                <w:sz w:val="24"/>
                <w:szCs w:val="24"/>
                <w:u w:val="single"/>
              </w:rPr>
              <w:t>2014.gadā</w:t>
            </w:r>
            <w:proofErr w:type="gramEnd"/>
            <w:r w:rsidRPr="00E673FB">
              <w:rPr>
                <w:rFonts w:ascii="Times New Roman" w:hAnsi="Times New Roman" w:cs="Times New Roman"/>
                <w:sz w:val="24"/>
                <w:szCs w:val="24"/>
              </w:rPr>
              <w:t xml:space="preserve"> plānots veikt gala maksājumus 529 927 EUR apmērā, tai skaitā </w:t>
            </w:r>
            <w:r w:rsidR="00466E9D">
              <w:rPr>
                <w:rFonts w:ascii="Times New Roman" w:hAnsi="Times New Roman" w:cs="Times New Roman"/>
                <w:sz w:val="24"/>
                <w:szCs w:val="24"/>
              </w:rPr>
              <w:t xml:space="preserve">par </w:t>
            </w:r>
            <w:r w:rsidRPr="00E673FB">
              <w:rPr>
                <w:rFonts w:ascii="Times New Roman" w:hAnsi="Times New Roman" w:cs="Times New Roman"/>
                <w:sz w:val="24"/>
                <w:szCs w:val="24"/>
              </w:rPr>
              <w:t>ESF finansējum</w:t>
            </w:r>
            <w:r w:rsidR="00466E9D">
              <w:rPr>
                <w:rFonts w:ascii="Times New Roman" w:hAnsi="Times New Roman" w:cs="Times New Roman"/>
                <w:sz w:val="24"/>
                <w:szCs w:val="24"/>
              </w:rPr>
              <w:t>u</w:t>
            </w:r>
            <w:r w:rsidRPr="00E673FB">
              <w:rPr>
                <w:rFonts w:ascii="Times New Roman" w:hAnsi="Times New Roman" w:cs="Times New Roman"/>
                <w:sz w:val="24"/>
                <w:szCs w:val="24"/>
              </w:rPr>
              <w:t xml:space="preserve"> 450 438 EUR apmērā un valsts budžeta līdzfinansējum</w:t>
            </w:r>
            <w:r w:rsidR="00466E9D">
              <w:rPr>
                <w:rFonts w:ascii="Times New Roman" w:hAnsi="Times New Roman" w:cs="Times New Roman"/>
                <w:sz w:val="24"/>
                <w:szCs w:val="24"/>
              </w:rPr>
              <w:t>u</w:t>
            </w:r>
            <w:r w:rsidRPr="00E673FB">
              <w:rPr>
                <w:rFonts w:ascii="Times New Roman" w:hAnsi="Times New Roman" w:cs="Times New Roman"/>
                <w:sz w:val="24"/>
                <w:szCs w:val="24"/>
              </w:rPr>
              <w:t xml:space="preserve"> 79 489 EUR apmērā.</w:t>
            </w:r>
          </w:p>
          <w:p w:rsidR="00820527" w:rsidRDefault="00820527" w:rsidP="00820527">
            <w:pPr>
              <w:autoSpaceDE w:val="0"/>
              <w:spacing w:after="0" w:line="240" w:lineRule="auto"/>
              <w:jc w:val="both"/>
              <w:rPr>
                <w:rFonts w:ascii="Times New Roman" w:hAnsi="Times New Roman" w:cs="Times New Roman"/>
                <w:sz w:val="24"/>
                <w:szCs w:val="24"/>
              </w:rPr>
            </w:pPr>
            <w:r w:rsidRPr="00814B8D">
              <w:rPr>
                <w:rFonts w:ascii="Times New Roman" w:hAnsi="Times New Roman" w:cs="Times New Roman"/>
                <w:sz w:val="24"/>
                <w:szCs w:val="24"/>
              </w:rPr>
              <w:t xml:space="preserve">Saskaņā ar likumu „Par valsts budžetu </w:t>
            </w:r>
            <w:proofErr w:type="gramStart"/>
            <w:r w:rsidRPr="00814B8D">
              <w:rPr>
                <w:rFonts w:ascii="Times New Roman" w:hAnsi="Times New Roman" w:cs="Times New Roman"/>
                <w:sz w:val="24"/>
                <w:szCs w:val="24"/>
              </w:rPr>
              <w:t>2014.gadam</w:t>
            </w:r>
            <w:proofErr w:type="gramEnd"/>
            <w:r w:rsidRPr="00814B8D">
              <w:rPr>
                <w:rFonts w:ascii="Times New Roman" w:hAnsi="Times New Roman" w:cs="Times New Roman"/>
                <w:sz w:val="24"/>
                <w:szCs w:val="24"/>
              </w:rPr>
              <w:t>” apakšaktivitātes finansēšanai paredzēts finansējums 815 495 EUR apmērā un tas ir indikatīvi par 285 568 EUR vairāk kā nepieciešams gala maksājumu veikšanai finansējuma saņēmējiem. Finansējuma atlikumu plānots pārdalīt aktivitātes 1.3.1.4. „Kapacitātes stiprināšana darba tirgus institūcijām” un 1.3.1.5. „Vietējo nodarbinātības veicināšanas pasākumu plānu ieviešanas atbalsts” ieviešanai.</w:t>
            </w:r>
          </w:p>
          <w:p w:rsidR="00A16654" w:rsidRPr="00625809" w:rsidRDefault="00A16654" w:rsidP="00820527">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Informācija apkopota uz 01.03.2014.</w:t>
            </w:r>
          </w:p>
          <w:p w:rsidR="00F0074B" w:rsidRPr="00814B8D" w:rsidRDefault="00F0074B" w:rsidP="00820527">
            <w:pPr>
              <w:autoSpaceDE w:val="0"/>
              <w:spacing w:after="0" w:line="240" w:lineRule="auto"/>
              <w:jc w:val="both"/>
              <w:rPr>
                <w:rFonts w:ascii="Times New Roman" w:hAnsi="Times New Roman" w:cs="Times New Roman"/>
                <w:sz w:val="24"/>
                <w:szCs w:val="24"/>
              </w:rPr>
            </w:pPr>
          </w:p>
          <w:p w:rsidR="00820527" w:rsidRPr="00051838" w:rsidRDefault="00820527" w:rsidP="00820527">
            <w:pPr>
              <w:autoSpaceDE w:val="0"/>
              <w:spacing w:after="0" w:line="240" w:lineRule="auto"/>
              <w:jc w:val="both"/>
              <w:rPr>
                <w:rFonts w:ascii="Times New Roman" w:hAnsi="Times New Roman" w:cs="Times New Roman"/>
                <w:b/>
                <w:sz w:val="24"/>
                <w:szCs w:val="24"/>
              </w:rPr>
            </w:pPr>
            <w:r w:rsidRPr="00051838">
              <w:rPr>
                <w:rFonts w:ascii="Times New Roman" w:hAnsi="Times New Roman" w:cs="Times New Roman"/>
                <w:b/>
                <w:sz w:val="24"/>
                <w:szCs w:val="24"/>
              </w:rPr>
              <w:t>1.3.1.4.aktivitāte</w:t>
            </w:r>
          </w:p>
          <w:p w:rsidR="00820527" w:rsidRPr="00051838" w:rsidRDefault="00820527" w:rsidP="00820527">
            <w:pPr>
              <w:autoSpaceDE w:val="0"/>
              <w:spacing w:after="0" w:line="240" w:lineRule="auto"/>
              <w:jc w:val="both"/>
              <w:rPr>
                <w:rFonts w:ascii="Times New Roman" w:hAnsi="Times New Roman" w:cs="Times New Roman"/>
                <w:sz w:val="24"/>
                <w:szCs w:val="24"/>
              </w:rPr>
            </w:pPr>
            <w:r w:rsidRPr="00051838">
              <w:rPr>
                <w:rFonts w:ascii="Times New Roman" w:hAnsi="Times New Roman" w:cs="Times New Roman"/>
                <w:sz w:val="24"/>
                <w:szCs w:val="24"/>
              </w:rPr>
              <w:lastRenderedPageBreak/>
              <w:t>Budžeta izdevumi ir kopējās projekta ieviešanai nepieciešamās izmaksas attiecīgajā gadā, un budžeta ieņēmumi ir projekta attiecināmo izmaksu finansējuma ESF daļa. ESF finansējuma apmērs ir 85% no kopējām attiecināmajām projektu izmaksām.</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051838">
              <w:rPr>
                <w:rFonts w:ascii="Times New Roman" w:hAnsi="Times New Roman" w:cs="Times New Roman"/>
                <w:sz w:val="24"/>
                <w:szCs w:val="24"/>
              </w:rPr>
              <w:t>Ar šīm izmaiņām DPP aktivitātei pieejamais attiecināmais finan</w:t>
            </w:r>
            <w:r>
              <w:rPr>
                <w:rFonts w:ascii="Times New Roman" w:hAnsi="Times New Roman" w:cs="Times New Roman"/>
                <w:sz w:val="24"/>
                <w:szCs w:val="24"/>
              </w:rPr>
              <w:t>sējums tiek palielināts par 151 </w:t>
            </w:r>
            <w:r w:rsidRPr="00051838">
              <w:rPr>
                <w:rFonts w:ascii="Times New Roman" w:hAnsi="Times New Roman" w:cs="Times New Roman"/>
                <w:sz w:val="24"/>
                <w:szCs w:val="24"/>
              </w:rPr>
              <w:t>14</w:t>
            </w:r>
            <w:r>
              <w:rPr>
                <w:rFonts w:ascii="Times New Roman" w:hAnsi="Times New Roman" w:cs="Times New Roman"/>
                <w:sz w:val="24"/>
                <w:szCs w:val="24"/>
              </w:rPr>
              <w:t>6 EUR no 3 298 709 EUR uz 3 449 </w:t>
            </w:r>
            <w:r w:rsidRPr="00051838">
              <w:rPr>
                <w:rFonts w:ascii="Times New Roman" w:hAnsi="Times New Roman" w:cs="Times New Roman"/>
                <w:sz w:val="24"/>
                <w:szCs w:val="24"/>
              </w:rPr>
              <w:t>855 EUR, tai skaitā ESF finansējums no 2 803 902 EUR uz 2 932 167 EUR un valsts budžeta līdzfi</w:t>
            </w:r>
            <w:r>
              <w:rPr>
                <w:rFonts w:ascii="Times New Roman" w:hAnsi="Times New Roman" w:cs="Times New Roman"/>
                <w:sz w:val="24"/>
                <w:szCs w:val="24"/>
              </w:rPr>
              <w:t>nansējums no 494 807 EUR uz 517 </w:t>
            </w:r>
            <w:r w:rsidRPr="00051838">
              <w:rPr>
                <w:rFonts w:ascii="Times New Roman" w:hAnsi="Times New Roman" w:cs="Times New Roman"/>
                <w:sz w:val="24"/>
                <w:szCs w:val="24"/>
              </w:rPr>
              <w:t>688 EUR.</w:t>
            </w:r>
          </w:p>
          <w:p w:rsidR="00597F2B" w:rsidRPr="00551B31" w:rsidRDefault="00597F2B" w:rsidP="00597F2B">
            <w:pPr>
              <w:pStyle w:val="NoSpacing"/>
              <w:jc w:val="both"/>
              <w:rPr>
                <w:rFonts w:ascii="Times New Roman" w:hAnsi="Times New Roman" w:cs="Times New Roman"/>
                <w:sz w:val="24"/>
                <w:szCs w:val="24"/>
              </w:rPr>
            </w:pPr>
            <w:r w:rsidRPr="00347937">
              <w:rPr>
                <w:rFonts w:ascii="Times New Roman" w:hAnsi="Times New Roman" w:cs="Times New Roman"/>
                <w:sz w:val="24"/>
                <w:szCs w:val="24"/>
              </w:rPr>
              <w:t xml:space="preserve">No 2008. līdz </w:t>
            </w:r>
            <w:proofErr w:type="gramStart"/>
            <w:r w:rsidRPr="00347937">
              <w:rPr>
                <w:rFonts w:ascii="Times New Roman" w:hAnsi="Times New Roman" w:cs="Times New Roman"/>
                <w:sz w:val="24"/>
                <w:szCs w:val="24"/>
              </w:rPr>
              <w:t>201</w:t>
            </w:r>
            <w:r>
              <w:rPr>
                <w:rFonts w:ascii="Times New Roman" w:hAnsi="Times New Roman" w:cs="Times New Roman"/>
                <w:sz w:val="24"/>
                <w:szCs w:val="24"/>
              </w:rPr>
              <w:t>3</w:t>
            </w:r>
            <w:r w:rsidRPr="00347937">
              <w:rPr>
                <w:rFonts w:ascii="Times New Roman" w:hAnsi="Times New Roman" w:cs="Times New Roman"/>
                <w:sz w:val="24"/>
                <w:szCs w:val="24"/>
              </w:rPr>
              <w:t>.gadam</w:t>
            </w:r>
            <w:proofErr w:type="gramEnd"/>
            <w:r w:rsidRPr="00347937">
              <w:rPr>
                <w:rFonts w:ascii="Times New Roman" w:hAnsi="Times New Roman" w:cs="Times New Roman"/>
                <w:sz w:val="24"/>
                <w:szCs w:val="24"/>
              </w:rPr>
              <w:t xml:space="preserve"> projekta kopējās izmaksas ir </w:t>
            </w:r>
            <w:r w:rsidRPr="00551B31">
              <w:rPr>
                <w:rFonts w:ascii="Times New Roman" w:hAnsi="Times New Roman" w:cs="Times New Roman"/>
                <w:sz w:val="24"/>
                <w:szCs w:val="24"/>
              </w:rPr>
              <w:t>3</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145</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689 EUR, no tām attiecināmās izmaksas 2</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975</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401 EUR, tai skaitā ESF finansējums 2</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529</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091 EUR un valsts budžeta finansējums 446</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310 EUR, un neattiecināmās izmaksas 170</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288 EUR, tai skaitā neatbilstoši veiktas izmaksas 14</w:t>
            </w:r>
            <w:r w:rsidR="00F14001" w:rsidRPr="00551B31">
              <w:rPr>
                <w:rFonts w:ascii="Times New Roman" w:hAnsi="Times New Roman" w:cs="Times New Roman"/>
                <w:sz w:val="24"/>
                <w:szCs w:val="24"/>
              </w:rPr>
              <w:t> </w:t>
            </w:r>
            <w:r w:rsidRPr="00551B31">
              <w:rPr>
                <w:rFonts w:ascii="Times New Roman" w:hAnsi="Times New Roman" w:cs="Times New Roman"/>
                <w:sz w:val="24"/>
                <w:szCs w:val="24"/>
              </w:rPr>
              <w:t>850 EUR.</w:t>
            </w:r>
          </w:p>
          <w:p w:rsidR="0089308D" w:rsidRPr="00551B31" w:rsidRDefault="00597F2B" w:rsidP="00597F2B">
            <w:pPr>
              <w:pStyle w:val="NoSpacing"/>
              <w:jc w:val="both"/>
              <w:rPr>
                <w:rFonts w:ascii="Times New Roman" w:hAnsi="Times New Roman" w:cs="Times New Roman"/>
                <w:sz w:val="24"/>
                <w:szCs w:val="24"/>
              </w:rPr>
            </w:pPr>
            <w:r w:rsidRPr="00551B31">
              <w:rPr>
                <w:rFonts w:ascii="Times New Roman" w:hAnsi="Times New Roman" w:cs="Times New Roman"/>
                <w:sz w:val="24"/>
                <w:szCs w:val="24"/>
              </w:rPr>
              <w:t xml:space="preserve">No 2008. līdz </w:t>
            </w:r>
            <w:proofErr w:type="gramStart"/>
            <w:r w:rsidRPr="00551B31">
              <w:rPr>
                <w:rFonts w:ascii="Times New Roman" w:hAnsi="Times New Roman" w:cs="Times New Roman"/>
                <w:sz w:val="24"/>
                <w:szCs w:val="24"/>
              </w:rPr>
              <w:t>2013.gadam</w:t>
            </w:r>
            <w:proofErr w:type="gramEnd"/>
            <w:r w:rsidRPr="00551B31">
              <w:rPr>
                <w:rFonts w:ascii="Times New Roman" w:hAnsi="Times New Roman" w:cs="Times New Roman"/>
                <w:sz w:val="24"/>
                <w:szCs w:val="24"/>
              </w:rPr>
              <w:t xml:space="preserve"> budžeta izdevumi norādīti 3</w:t>
            </w:r>
            <w:r w:rsidR="0089308D" w:rsidRPr="00551B31">
              <w:rPr>
                <w:rFonts w:ascii="Times New Roman" w:hAnsi="Times New Roman" w:cs="Times New Roman"/>
                <w:sz w:val="24"/>
                <w:szCs w:val="24"/>
              </w:rPr>
              <w:t> </w:t>
            </w:r>
            <w:r w:rsidRPr="00551B31">
              <w:rPr>
                <w:rFonts w:ascii="Times New Roman" w:hAnsi="Times New Roman" w:cs="Times New Roman"/>
                <w:sz w:val="24"/>
                <w:szCs w:val="24"/>
              </w:rPr>
              <w:t>351</w:t>
            </w:r>
            <w:r w:rsidR="0089308D" w:rsidRPr="00551B31">
              <w:rPr>
                <w:rFonts w:ascii="Times New Roman" w:hAnsi="Times New Roman" w:cs="Times New Roman"/>
                <w:sz w:val="24"/>
                <w:szCs w:val="24"/>
              </w:rPr>
              <w:t> </w:t>
            </w:r>
            <w:r w:rsidRPr="00551B31">
              <w:rPr>
                <w:rFonts w:ascii="Times New Roman" w:hAnsi="Times New Roman" w:cs="Times New Roman"/>
                <w:sz w:val="24"/>
                <w:szCs w:val="24"/>
              </w:rPr>
              <w:t>526 EUR un tas ir par 205</w:t>
            </w:r>
            <w:r w:rsidR="0089308D" w:rsidRPr="00551B31">
              <w:rPr>
                <w:rFonts w:ascii="Times New Roman" w:hAnsi="Times New Roman" w:cs="Times New Roman"/>
                <w:sz w:val="24"/>
                <w:szCs w:val="24"/>
              </w:rPr>
              <w:t> </w:t>
            </w:r>
            <w:r w:rsidRPr="00551B31">
              <w:rPr>
                <w:rFonts w:ascii="Times New Roman" w:hAnsi="Times New Roman" w:cs="Times New Roman"/>
                <w:sz w:val="24"/>
                <w:szCs w:val="24"/>
              </w:rPr>
              <w:t xml:space="preserve">837 EUR vairāk kā norādīti projektā. Tas saistīts ar </w:t>
            </w:r>
            <w:proofErr w:type="gramStart"/>
            <w:r w:rsidRPr="00551B31">
              <w:rPr>
                <w:rFonts w:ascii="Times New Roman" w:hAnsi="Times New Roman" w:cs="Times New Roman"/>
                <w:sz w:val="24"/>
                <w:szCs w:val="24"/>
              </w:rPr>
              <w:t>2010.gadā</w:t>
            </w:r>
            <w:proofErr w:type="gramEnd"/>
            <w:r w:rsidRPr="00551B31">
              <w:rPr>
                <w:rFonts w:ascii="Times New Roman" w:hAnsi="Times New Roman" w:cs="Times New Roman"/>
                <w:sz w:val="24"/>
                <w:szCs w:val="24"/>
              </w:rPr>
              <w:t xml:space="preserve"> darījuma kontā iemaksātu finansējumu 187 789 EUR apmērā, kurš vēlāk atmaksāts budžetā un 2011. un 2012. gadā pakalpojuma sniedzējam samaksātu un 2013. gadā atmaksātu avans</w:t>
            </w:r>
            <w:r w:rsidR="0089308D" w:rsidRPr="00551B31">
              <w:rPr>
                <w:rFonts w:ascii="Times New Roman" w:hAnsi="Times New Roman" w:cs="Times New Roman"/>
                <w:sz w:val="24"/>
                <w:szCs w:val="24"/>
              </w:rPr>
              <w:t>u</w:t>
            </w:r>
            <w:r w:rsidRPr="00551B31">
              <w:rPr>
                <w:rFonts w:ascii="Times New Roman" w:hAnsi="Times New Roman" w:cs="Times New Roman"/>
                <w:sz w:val="24"/>
                <w:szCs w:val="24"/>
              </w:rPr>
              <w:t xml:space="preserve"> 18 048 EUR apmērā.</w:t>
            </w:r>
          </w:p>
          <w:p w:rsidR="00597F2B" w:rsidRPr="00551B31" w:rsidRDefault="00597F2B" w:rsidP="00597F2B">
            <w:pPr>
              <w:pStyle w:val="NoSpacing"/>
              <w:jc w:val="both"/>
              <w:rPr>
                <w:rFonts w:ascii="Times New Roman" w:hAnsi="Times New Roman" w:cs="Times New Roman"/>
                <w:sz w:val="24"/>
                <w:szCs w:val="24"/>
              </w:rPr>
            </w:pPr>
            <w:proofErr w:type="gramStart"/>
            <w:r w:rsidRPr="00551B31">
              <w:rPr>
                <w:rFonts w:ascii="Times New Roman" w:hAnsi="Times New Roman" w:cs="Times New Roman"/>
                <w:sz w:val="24"/>
                <w:szCs w:val="24"/>
              </w:rPr>
              <w:t>2014.gadā</w:t>
            </w:r>
            <w:proofErr w:type="gramEnd"/>
            <w:r w:rsidRPr="00551B31">
              <w:rPr>
                <w:rFonts w:ascii="Times New Roman" w:hAnsi="Times New Roman" w:cs="Times New Roman"/>
                <w:sz w:val="24"/>
                <w:szCs w:val="24"/>
              </w:rPr>
              <w:t xml:space="preserve"> indikatīvi kopējās izmaksas 463</w:t>
            </w:r>
            <w:r w:rsidR="00FD3C42" w:rsidRPr="00551B31">
              <w:rPr>
                <w:rFonts w:ascii="Times New Roman" w:hAnsi="Times New Roman" w:cs="Times New Roman"/>
                <w:sz w:val="24"/>
                <w:szCs w:val="24"/>
              </w:rPr>
              <w:t> </w:t>
            </w:r>
            <w:r w:rsidRPr="00551B31">
              <w:rPr>
                <w:rFonts w:ascii="Times New Roman" w:hAnsi="Times New Roman" w:cs="Times New Roman"/>
                <w:sz w:val="24"/>
                <w:szCs w:val="24"/>
              </w:rPr>
              <w:t>333</w:t>
            </w:r>
            <w:r w:rsidR="00FD3C42" w:rsidRPr="00551B31">
              <w:rPr>
                <w:rFonts w:ascii="Times New Roman" w:hAnsi="Times New Roman" w:cs="Times New Roman"/>
                <w:sz w:val="24"/>
                <w:szCs w:val="24"/>
              </w:rPr>
              <w:t xml:space="preserve"> </w:t>
            </w:r>
            <w:r w:rsidRPr="00551B31">
              <w:rPr>
                <w:rFonts w:ascii="Times New Roman" w:hAnsi="Times New Roman" w:cs="Times New Roman"/>
                <w:sz w:val="24"/>
                <w:szCs w:val="24"/>
              </w:rPr>
              <w:t>EUR, no tām attiecināmās izmaksas 460</w:t>
            </w:r>
            <w:r w:rsidR="00FD3C42" w:rsidRPr="00551B31">
              <w:rPr>
                <w:rFonts w:ascii="Times New Roman" w:hAnsi="Times New Roman" w:cs="Times New Roman"/>
                <w:sz w:val="24"/>
                <w:szCs w:val="24"/>
              </w:rPr>
              <w:t> </w:t>
            </w:r>
            <w:r w:rsidRPr="00551B31">
              <w:rPr>
                <w:rFonts w:ascii="Times New Roman" w:hAnsi="Times New Roman" w:cs="Times New Roman"/>
                <w:sz w:val="24"/>
                <w:szCs w:val="24"/>
              </w:rPr>
              <w:t>335</w:t>
            </w:r>
            <w:r w:rsidR="00FD3C42" w:rsidRPr="00551B31">
              <w:rPr>
                <w:rFonts w:ascii="Times New Roman" w:hAnsi="Times New Roman" w:cs="Times New Roman"/>
                <w:sz w:val="24"/>
                <w:szCs w:val="24"/>
              </w:rPr>
              <w:t xml:space="preserve"> </w:t>
            </w:r>
            <w:r w:rsidRPr="00551B31">
              <w:rPr>
                <w:rFonts w:ascii="Times New Roman" w:hAnsi="Times New Roman" w:cs="Times New Roman"/>
                <w:sz w:val="24"/>
                <w:szCs w:val="24"/>
              </w:rPr>
              <w:t>EUR, tai skaitā ESF finansējums 391</w:t>
            </w:r>
            <w:r w:rsidR="00FD3C42" w:rsidRPr="00551B31">
              <w:rPr>
                <w:rFonts w:ascii="Times New Roman" w:hAnsi="Times New Roman" w:cs="Times New Roman"/>
                <w:sz w:val="24"/>
                <w:szCs w:val="24"/>
              </w:rPr>
              <w:t> </w:t>
            </w:r>
            <w:r w:rsidRPr="00551B31">
              <w:rPr>
                <w:rFonts w:ascii="Times New Roman" w:hAnsi="Times New Roman" w:cs="Times New Roman"/>
                <w:sz w:val="24"/>
                <w:szCs w:val="24"/>
              </w:rPr>
              <w:t>076</w:t>
            </w:r>
            <w:r w:rsidR="00FD3C42" w:rsidRPr="00551B31">
              <w:rPr>
                <w:rFonts w:ascii="Times New Roman" w:hAnsi="Times New Roman" w:cs="Times New Roman"/>
                <w:sz w:val="24"/>
                <w:szCs w:val="24"/>
              </w:rPr>
              <w:t xml:space="preserve"> </w:t>
            </w:r>
            <w:r w:rsidRPr="00551B31">
              <w:rPr>
                <w:rFonts w:ascii="Times New Roman" w:hAnsi="Times New Roman" w:cs="Times New Roman"/>
                <w:sz w:val="24"/>
                <w:szCs w:val="24"/>
              </w:rPr>
              <w:t>EUR un valsts budžeta finansējums 69</w:t>
            </w:r>
            <w:r w:rsidR="00FD3C42" w:rsidRPr="00551B31">
              <w:rPr>
                <w:rFonts w:ascii="Times New Roman" w:hAnsi="Times New Roman" w:cs="Times New Roman"/>
                <w:sz w:val="24"/>
                <w:szCs w:val="24"/>
              </w:rPr>
              <w:t> </w:t>
            </w:r>
            <w:r w:rsidRPr="00551B31">
              <w:rPr>
                <w:rFonts w:ascii="Times New Roman" w:hAnsi="Times New Roman" w:cs="Times New Roman"/>
                <w:sz w:val="24"/>
                <w:szCs w:val="24"/>
              </w:rPr>
              <w:t>259</w:t>
            </w:r>
            <w:r w:rsidR="00FD3C42" w:rsidRPr="00551B31">
              <w:rPr>
                <w:rFonts w:ascii="Times New Roman" w:hAnsi="Times New Roman" w:cs="Times New Roman"/>
                <w:sz w:val="24"/>
                <w:szCs w:val="24"/>
              </w:rPr>
              <w:t xml:space="preserve"> </w:t>
            </w:r>
            <w:r w:rsidRPr="00551B31">
              <w:rPr>
                <w:rFonts w:ascii="Times New Roman" w:hAnsi="Times New Roman" w:cs="Times New Roman"/>
                <w:sz w:val="24"/>
                <w:szCs w:val="24"/>
              </w:rPr>
              <w:t>EUR, un valsts budžeta neattiecināmās izmaksas 2 998 EUR.</w:t>
            </w:r>
          </w:p>
          <w:p w:rsidR="00820527" w:rsidRPr="00051838" w:rsidRDefault="00597F2B" w:rsidP="00820527">
            <w:pPr>
              <w:autoSpaceDE w:val="0"/>
              <w:spacing w:after="0" w:line="240" w:lineRule="auto"/>
              <w:jc w:val="both"/>
              <w:rPr>
                <w:rFonts w:ascii="Times New Roman" w:hAnsi="Times New Roman" w:cs="Times New Roman"/>
                <w:sz w:val="24"/>
                <w:szCs w:val="24"/>
              </w:rPr>
            </w:pPr>
            <w:r w:rsidRPr="00551B31">
              <w:rPr>
                <w:rFonts w:ascii="Times New Roman" w:hAnsi="Times New Roman" w:cs="Times New Roman"/>
                <w:sz w:val="24"/>
                <w:szCs w:val="24"/>
              </w:rPr>
              <w:t>L</w:t>
            </w:r>
            <w:r w:rsidR="005D6E48" w:rsidRPr="00551B31">
              <w:rPr>
                <w:rFonts w:ascii="Times New Roman" w:hAnsi="Times New Roman" w:cs="Times New Roman"/>
                <w:sz w:val="24"/>
                <w:szCs w:val="24"/>
              </w:rPr>
              <w:t xml:space="preserve">ikumā „Par valsts budžetu </w:t>
            </w:r>
            <w:proofErr w:type="gramStart"/>
            <w:r w:rsidR="005D6E48" w:rsidRPr="00551B31">
              <w:rPr>
                <w:rFonts w:ascii="Times New Roman" w:hAnsi="Times New Roman" w:cs="Times New Roman"/>
                <w:sz w:val="24"/>
                <w:szCs w:val="24"/>
              </w:rPr>
              <w:t>2014.</w:t>
            </w:r>
            <w:r w:rsidRPr="00551B31">
              <w:rPr>
                <w:rFonts w:ascii="Times New Roman" w:hAnsi="Times New Roman" w:cs="Times New Roman"/>
                <w:sz w:val="24"/>
                <w:szCs w:val="24"/>
              </w:rPr>
              <w:t>gadam</w:t>
            </w:r>
            <w:proofErr w:type="gramEnd"/>
            <w:r w:rsidRPr="00551B31">
              <w:rPr>
                <w:rFonts w:ascii="Times New Roman" w:hAnsi="Times New Roman" w:cs="Times New Roman"/>
                <w:sz w:val="24"/>
                <w:szCs w:val="24"/>
              </w:rPr>
              <w:t>” projekta ieviešanai paredzēts finansējums 173 420 EUR apmērā, un tas ir par 289</w:t>
            </w:r>
            <w:r w:rsidR="006F6CC7" w:rsidRPr="00551B31">
              <w:rPr>
                <w:rFonts w:ascii="Times New Roman" w:hAnsi="Times New Roman" w:cs="Times New Roman"/>
                <w:sz w:val="24"/>
                <w:szCs w:val="24"/>
              </w:rPr>
              <w:t> </w:t>
            </w:r>
            <w:r w:rsidRPr="00551B31">
              <w:rPr>
                <w:rFonts w:ascii="Times New Roman" w:hAnsi="Times New Roman" w:cs="Times New Roman"/>
                <w:sz w:val="24"/>
                <w:szCs w:val="24"/>
              </w:rPr>
              <w:t>913 EUR mazāk kā paredzamās projekta izmaksas. Starpību veido aktivitātei papildus piešķirtais finansējums 151 146 EUR apmērā, projektam papildus piešķirtais, iepriekš aktivitātē projektiem nepiesaistītais finansējums 7 509 EUR</w:t>
            </w:r>
            <w:r w:rsidRPr="00347937">
              <w:rPr>
                <w:rFonts w:ascii="Times New Roman" w:hAnsi="Times New Roman" w:cs="Times New Roman"/>
                <w:sz w:val="24"/>
                <w:szCs w:val="24"/>
              </w:rPr>
              <w:t xml:space="preserve"> apmērā, pakalpojumu sniedzēja budžetā atmaksāts avansa maksājums, kurš būs nepieciešams attiecīgo projekta aktivitāšu nodrošināšanai </w:t>
            </w:r>
            <w:proofErr w:type="gramStart"/>
            <w:r w:rsidRPr="00551B31">
              <w:rPr>
                <w:rFonts w:ascii="Times New Roman" w:hAnsi="Times New Roman" w:cs="Times New Roman"/>
                <w:sz w:val="24"/>
                <w:szCs w:val="24"/>
              </w:rPr>
              <w:t>2014.gadā</w:t>
            </w:r>
            <w:proofErr w:type="gramEnd"/>
            <w:r w:rsidRPr="00551B31">
              <w:rPr>
                <w:rFonts w:ascii="Times New Roman" w:hAnsi="Times New Roman" w:cs="Times New Roman"/>
                <w:sz w:val="24"/>
                <w:szCs w:val="24"/>
              </w:rPr>
              <w:t xml:space="preserve"> 18</w:t>
            </w:r>
            <w:r w:rsidR="006F6CC7" w:rsidRPr="00551B31">
              <w:rPr>
                <w:rFonts w:ascii="Times New Roman" w:hAnsi="Times New Roman" w:cs="Times New Roman"/>
                <w:sz w:val="24"/>
                <w:szCs w:val="24"/>
              </w:rPr>
              <w:t> </w:t>
            </w:r>
            <w:r w:rsidRPr="00551B31">
              <w:rPr>
                <w:rFonts w:ascii="Times New Roman" w:hAnsi="Times New Roman" w:cs="Times New Roman"/>
                <w:sz w:val="24"/>
                <w:szCs w:val="24"/>
              </w:rPr>
              <w:t xml:space="preserve">050 EUR apmērā, </w:t>
            </w:r>
            <w:r w:rsidR="005D6E48" w:rsidRPr="00551B31">
              <w:rPr>
                <w:rFonts w:ascii="Times New Roman" w:hAnsi="Times New Roman" w:cs="Times New Roman"/>
                <w:sz w:val="24"/>
                <w:szCs w:val="24"/>
              </w:rPr>
              <w:t>finansējuma atlikums 2013.</w:t>
            </w:r>
            <w:r w:rsidRPr="00551B31">
              <w:rPr>
                <w:rFonts w:ascii="Times New Roman" w:hAnsi="Times New Roman" w:cs="Times New Roman"/>
                <w:sz w:val="24"/>
                <w:szCs w:val="24"/>
              </w:rPr>
              <w:t>gadā 11 495 EUR apmērā un projekta 2013.gada nepieprasītais finansējums 101 713 EUR apmērā. Aktivitātei papildus piešķirtā finansējuma daļa 151 146 EUR apmērā tiks pārdalīta no 1.3.1.3.2.apakšaktivitātes ietaupījuma. Pārējais finansējums tiks pieprasīts no 74.resora „Gadskārtēja valsts budžeta izpildes procesā pārdalāmais finansējums” programmas 80.00.00 „Nesadalītais finansējums Eiropas Savienības politiku instrumentu un pārējās ārvalstu</w:t>
            </w:r>
            <w:r w:rsidRPr="00347937">
              <w:rPr>
                <w:rFonts w:ascii="Times New Roman" w:hAnsi="Times New Roman" w:cs="Times New Roman"/>
                <w:sz w:val="24"/>
                <w:szCs w:val="24"/>
              </w:rPr>
              <w:t xml:space="preserve"> finanšu palīdzības līdzfinansēto projektu un pasākumu īstenošanai”</w:t>
            </w:r>
            <w:r w:rsidR="00712045">
              <w:rPr>
                <w:rFonts w:ascii="Times New Roman" w:hAnsi="Times New Roman" w:cs="Times New Roman"/>
                <w:sz w:val="24"/>
                <w:szCs w:val="24"/>
              </w:rPr>
              <w:t>.</w:t>
            </w:r>
          </w:p>
          <w:p w:rsidR="004F49E5" w:rsidRPr="00625809" w:rsidRDefault="004F49E5" w:rsidP="004F49E5">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Informācija apkopota uz 01.03.2014.</w:t>
            </w:r>
          </w:p>
          <w:p w:rsidR="00820527" w:rsidRPr="00051838" w:rsidRDefault="00820527" w:rsidP="00820527">
            <w:pPr>
              <w:autoSpaceDE w:val="0"/>
              <w:spacing w:after="0" w:line="240" w:lineRule="auto"/>
              <w:jc w:val="both"/>
              <w:rPr>
                <w:rFonts w:ascii="Times New Roman" w:hAnsi="Times New Roman" w:cs="Times New Roman"/>
                <w:sz w:val="24"/>
                <w:szCs w:val="24"/>
              </w:rPr>
            </w:pPr>
          </w:p>
          <w:p w:rsidR="00820527" w:rsidRPr="008C532A" w:rsidRDefault="00820527" w:rsidP="00820527">
            <w:pPr>
              <w:autoSpaceDE w:val="0"/>
              <w:spacing w:after="0" w:line="240" w:lineRule="auto"/>
              <w:jc w:val="both"/>
              <w:rPr>
                <w:rFonts w:ascii="Times New Roman" w:hAnsi="Times New Roman" w:cs="Times New Roman"/>
                <w:b/>
                <w:sz w:val="24"/>
                <w:szCs w:val="24"/>
              </w:rPr>
            </w:pPr>
            <w:r w:rsidRPr="008C532A">
              <w:rPr>
                <w:rFonts w:ascii="Times New Roman" w:hAnsi="Times New Roman" w:cs="Times New Roman"/>
                <w:b/>
                <w:sz w:val="24"/>
                <w:szCs w:val="24"/>
              </w:rPr>
              <w:t>1.3.1.5.aktivitāte</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8C532A">
              <w:rPr>
                <w:rFonts w:ascii="Times New Roman" w:hAnsi="Times New Roman" w:cs="Times New Roman"/>
                <w:sz w:val="24"/>
                <w:szCs w:val="24"/>
              </w:rPr>
              <w:t xml:space="preserve">Budžeta izdevumi ir kopējās projekta ieviešanai nepieciešamās izmaksas, tai skaitā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finansējums, attiecīgajā gadā, un budžeta ieņēmumi ir projekta attiecināmo izmaksu finansējuma ESF daļa. </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8C532A">
              <w:rPr>
                <w:rFonts w:ascii="Times New Roman" w:hAnsi="Times New Roman" w:cs="Times New Roman"/>
                <w:sz w:val="24"/>
                <w:szCs w:val="24"/>
              </w:rPr>
              <w:t xml:space="preserve">Ar šiem grozījumiem DPP aktivitātes finansējums tiek palielināts par 334 347 EUR no 86 089 132 EUR uz 86 423 479 </w:t>
            </w:r>
            <w:r w:rsidRPr="008C532A">
              <w:rPr>
                <w:rFonts w:ascii="Times New Roman" w:hAnsi="Times New Roman" w:cs="Times New Roman"/>
                <w:sz w:val="24"/>
                <w:szCs w:val="24"/>
              </w:rPr>
              <w:lastRenderedPageBreak/>
              <w:t>EUR, tai skaitā ESF finansēj</w:t>
            </w:r>
            <w:r w:rsidR="005D6E48">
              <w:rPr>
                <w:rFonts w:ascii="Times New Roman" w:hAnsi="Times New Roman" w:cs="Times New Roman"/>
                <w:sz w:val="24"/>
                <w:szCs w:val="24"/>
              </w:rPr>
              <w:t>ums no 69 290 663 EUR uz 69 575 </w:t>
            </w:r>
            <w:r w:rsidRPr="008C532A">
              <w:rPr>
                <w:rFonts w:ascii="Times New Roman" w:hAnsi="Times New Roman" w:cs="Times New Roman"/>
                <w:sz w:val="24"/>
                <w:szCs w:val="24"/>
              </w:rPr>
              <w:t>067 EUR un valsts budžeta finansēj</w:t>
            </w:r>
            <w:r w:rsidR="005D6E48">
              <w:rPr>
                <w:rFonts w:ascii="Times New Roman" w:hAnsi="Times New Roman" w:cs="Times New Roman"/>
                <w:sz w:val="24"/>
                <w:szCs w:val="24"/>
              </w:rPr>
              <w:t>ums no 16 798 469 EUR uz 16 848 </w:t>
            </w:r>
            <w:r w:rsidRPr="008C532A">
              <w:rPr>
                <w:rFonts w:ascii="Times New Roman" w:hAnsi="Times New Roman" w:cs="Times New Roman"/>
                <w:sz w:val="24"/>
                <w:szCs w:val="24"/>
              </w:rPr>
              <w:t>412 EUR.</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8171AD">
              <w:rPr>
                <w:rFonts w:ascii="Times New Roman" w:hAnsi="Times New Roman" w:cs="Times New Roman"/>
                <w:sz w:val="24"/>
                <w:szCs w:val="24"/>
                <w:u w:val="single"/>
              </w:rPr>
              <w:t>Aktivitātes pirmās kārtas</w:t>
            </w:r>
            <w:r w:rsidRPr="008C532A">
              <w:rPr>
                <w:rFonts w:ascii="Times New Roman" w:hAnsi="Times New Roman" w:cs="Times New Roman"/>
                <w:sz w:val="24"/>
                <w:szCs w:val="24"/>
              </w:rPr>
              <w:t xml:space="preserve"> projektam piešķirts attiecināmais finansējums 66 038 364 EUR apmērā, tai skaitā ESF finansējums 49 239 895 EUR un valsts budžeta finansējums 16 798 469 EUR. </w:t>
            </w:r>
            <w:proofErr w:type="gramStart"/>
            <w:r w:rsidRPr="008C532A">
              <w:rPr>
                <w:rFonts w:ascii="Times New Roman" w:hAnsi="Times New Roman" w:cs="Times New Roman"/>
                <w:sz w:val="24"/>
                <w:szCs w:val="24"/>
              </w:rPr>
              <w:t>Bez tam</w:t>
            </w:r>
            <w:proofErr w:type="gramEnd"/>
            <w:r w:rsidRPr="008C532A">
              <w:rPr>
                <w:rFonts w:ascii="Times New Roman" w:hAnsi="Times New Roman" w:cs="Times New Roman"/>
                <w:sz w:val="24"/>
                <w:szCs w:val="24"/>
              </w:rPr>
              <w:t xml:space="preserve"> projektam piešķirts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finansējums 10 192 939,99 EUR apmērā, tai skaitā ESF finansējums 7 599 855,72 EUR un valsts budžeta finansējums 2 593 084,27 EUR. </w:t>
            </w:r>
          </w:p>
          <w:p w:rsidR="00820527" w:rsidRPr="008C532A" w:rsidRDefault="00820527" w:rsidP="00820527">
            <w:pPr>
              <w:autoSpaceDE w:val="0"/>
              <w:spacing w:after="0" w:line="240" w:lineRule="auto"/>
              <w:jc w:val="both"/>
              <w:rPr>
                <w:rFonts w:ascii="Times New Roman" w:hAnsi="Times New Roman" w:cs="Times New Roman"/>
                <w:sz w:val="24"/>
                <w:szCs w:val="24"/>
              </w:rPr>
            </w:pPr>
            <w:r w:rsidRPr="008C532A">
              <w:rPr>
                <w:rFonts w:ascii="Times New Roman" w:hAnsi="Times New Roman" w:cs="Times New Roman"/>
                <w:sz w:val="24"/>
                <w:szCs w:val="24"/>
              </w:rPr>
              <w:t xml:space="preserve">Aktivitātes pirmās kārtas projekts beidzies </w:t>
            </w:r>
            <w:proofErr w:type="gramStart"/>
            <w:r w:rsidRPr="008C532A">
              <w:rPr>
                <w:rFonts w:ascii="Times New Roman" w:hAnsi="Times New Roman" w:cs="Times New Roman"/>
                <w:sz w:val="24"/>
                <w:szCs w:val="24"/>
              </w:rPr>
              <w:t>2011.gadā</w:t>
            </w:r>
            <w:proofErr w:type="gramEnd"/>
            <w:r w:rsidRPr="008C532A">
              <w:rPr>
                <w:rFonts w:ascii="Times New Roman" w:hAnsi="Times New Roman" w:cs="Times New Roman"/>
                <w:sz w:val="24"/>
                <w:szCs w:val="24"/>
              </w:rPr>
              <w:t xml:space="preserve">. Tā ietvaros kopējās izmaksas veiktas 77 174 304 EUR apmērā, no tām attiecināmas izmaksas – 76 011 612 EUR (tai skaitā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finansējums – 9 973 248 EUR), tai skaitā ESF finansējums – 56 669 133 EUR un valsts budžeta līdzfinansējums 19 342 479 EUR</w:t>
            </w:r>
            <w:r>
              <w:rPr>
                <w:rFonts w:ascii="Times New Roman" w:hAnsi="Times New Roman" w:cs="Times New Roman"/>
                <w:sz w:val="24"/>
                <w:szCs w:val="24"/>
              </w:rPr>
              <w:t>,</w:t>
            </w:r>
            <w:r w:rsidRPr="008C532A">
              <w:rPr>
                <w:rFonts w:ascii="Times New Roman" w:hAnsi="Times New Roman" w:cs="Times New Roman"/>
                <w:sz w:val="24"/>
                <w:szCs w:val="24"/>
              </w:rPr>
              <w:t xml:space="preserve"> un valsts budžeta neattiecināmās izmaksas – 1 162 692 EUR.</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8171AD">
              <w:rPr>
                <w:rFonts w:ascii="Times New Roman" w:hAnsi="Times New Roman" w:cs="Times New Roman"/>
                <w:sz w:val="24"/>
                <w:szCs w:val="24"/>
                <w:u w:val="single"/>
              </w:rPr>
              <w:t>Aktivitātes otrās kārtas</w:t>
            </w:r>
            <w:r w:rsidRPr="008C532A">
              <w:rPr>
                <w:rFonts w:ascii="Times New Roman" w:hAnsi="Times New Roman" w:cs="Times New Roman"/>
                <w:sz w:val="24"/>
                <w:szCs w:val="24"/>
              </w:rPr>
              <w:t xml:space="preserve"> projektam piešķirts attiecināmais finansējums 20 385 115 EUR apmērā, tai skaitā ESF finansējums 20 335 172 EUR un valsts budžeta finansējums 49 943 EUR. </w:t>
            </w:r>
            <w:proofErr w:type="gramStart"/>
            <w:r w:rsidRPr="008C532A">
              <w:rPr>
                <w:rFonts w:ascii="Times New Roman" w:hAnsi="Times New Roman" w:cs="Times New Roman"/>
                <w:sz w:val="24"/>
                <w:szCs w:val="24"/>
              </w:rPr>
              <w:t>Bez tam</w:t>
            </w:r>
            <w:proofErr w:type="gramEnd"/>
            <w:r w:rsidRPr="008C532A">
              <w:rPr>
                <w:rFonts w:ascii="Times New Roman" w:hAnsi="Times New Roman" w:cs="Times New Roman"/>
                <w:sz w:val="24"/>
                <w:szCs w:val="24"/>
              </w:rPr>
              <w:t xml:space="preserve"> projektam piešķirts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finansējums 16 684 189,33 EUR apmērā. Lai nodrošinātu, ka aktivitātei piešķirtā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finansējuma ESF daļa būtu tāda pati kā DPP piešķīrumā (80,50%), otrās kārtas projekta </w:t>
            </w:r>
            <w:proofErr w:type="spellStart"/>
            <w:r w:rsidRPr="008C532A">
              <w:rPr>
                <w:rFonts w:ascii="Times New Roman" w:hAnsi="Times New Roman" w:cs="Times New Roman"/>
                <w:sz w:val="24"/>
                <w:szCs w:val="24"/>
              </w:rPr>
              <w:t>virssaistību</w:t>
            </w:r>
            <w:proofErr w:type="spellEnd"/>
            <w:r w:rsidRPr="008C532A">
              <w:rPr>
                <w:rFonts w:ascii="Times New Roman" w:hAnsi="Times New Roman" w:cs="Times New Roman"/>
                <w:sz w:val="24"/>
                <w:szCs w:val="24"/>
              </w:rPr>
              <w:t xml:space="preserve"> ESF finansējums ir 14 036 233,38 EUR un valsts budžeta finansējums 2 647 955,95 EUR.</w:t>
            </w:r>
            <w:r>
              <w:rPr>
                <w:rFonts w:ascii="Times New Roman" w:hAnsi="Times New Roman" w:cs="Times New Roman"/>
                <w:sz w:val="24"/>
                <w:szCs w:val="24"/>
              </w:rPr>
              <w:t xml:space="preserve"> Aktivitātes otrās kārtas projektam papildus pieejamas valsts budžeta neattiecināmās izmaksas projekta administrēšanai.</w:t>
            </w:r>
          </w:p>
          <w:p w:rsidR="00820527" w:rsidRPr="008C532A" w:rsidRDefault="00820527" w:rsidP="00820527">
            <w:pPr>
              <w:autoSpaceDE w:val="0"/>
              <w:spacing w:after="0" w:line="240" w:lineRule="auto"/>
              <w:jc w:val="both"/>
              <w:rPr>
                <w:rFonts w:ascii="Times New Roman" w:hAnsi="Times New Roman" w:cs="Times New Roman"/>
                <w:sz w:val="24"/>
                <w:szCs w:val="24"/>
              </w:rPr>
            </w:pPr>
            <w:proofErr w:type="gramStart"/>
            <w:r w:rsidRPr="008171AD">
              <w:rPr>
                <w:rFonts w:ascii="Times New Roman" w:hAnsi="Times New Roman" w:cs="Times New Roman"/>
                <w:sz w:val="24"/>
                <w:szCs w:val="24"/>
                <w:u w:val="single"/>
              </w:rPr>
              <w:t>2012.gadā</w:t>
            </w:r>
            <w:proofErr w:type="gramEnd"/>
            <w:r w:rsidRPr="008C532A">
              <w:rPr>
                <w:rFonts w:ascii="Times New Roman" w:hAnsi="Times New Roman" w:cs="Times New Roman"/>
                <w:sz w:val="24"/>
                <w:szCs w:val="24"/>
              </w:rPr>
              <w:t xml:space="preserve"> projekta kopējās izmaksas 15 080 922 EUR, no tām attiecināmās izmaksas 14 929 973 EUR, tai skaitā ESF finansējums 14 929 973 EUR un valsts budžeta neattiecināmās izmaksas 150 94</w:t>
            </w:r>
            <w:r>
              <w:rPr>
                <w:rFonts w:ascii="Times New Roman" w:hAnsi="Times New Roman" w:cs="Times New Roman"/>
                <w:sz w:val="24"/>
                <w:szCs w:val="24"/>
              </w:rPr>
              <w:t>9</w:t>
            </w:r>
            <w:r w:rsidRPr="008C532A">
              <w:rPr>
                <w:rFonts w:ascii="Times New Roman" w:hAnsi="Times New Roman" w:cs="Times New Roman"/>
                <w:sz w:val="24"/>
                <w:szCs w:val="24"/>
              </w:rPr>
              <w:t xml:space="preserve"> EUR.</w:t>
            </w:r>
          </w:p>
          <w:p w:rsidR="00597F2B" w:rsidRPr="00551B31" w:rsidRDefault="0067586A" w:rsidP="00597F2B">
            <w:pPr>
              <w:autoSpaceDE w:val="0"/>
              <w:spacing w:after="0" w:line="240" w:lineRule="auto"/>
              <w:jc w:val="both"/>
              <w:rPr>
                <w:rFonts w:ascii="Times New Roman" w:eastAsia="PMingLiU" w:hAnsi="Times New Roman"/>
                <w:sz w:val="24"/>
                <w:szCs w:val="24"/>
              </w:rPr>
            </w:pPr>
            <w:proofErr w:type="gramStart"/>
            <w:r w:rsidRPr="00551B31">
              <w:rPr>
                <w:rFonts w:ascii="Times New Roman" w:eastAsia="PMingLiU" w:hAnsi="Times New Roman"/>
                <w:sz w:val="24"/>
                <w:szCs w:val="24"/>
              </w:rPr>
              <w:t>2013.</w:t>
            </w:r>
            <w:r w:rsidR="00597F2B" w:rsidRPr="00551B31">
              <w:rPr>
                <w:rFonts w:ascii="Times New Roman" w:eastAsia="PMingLiU" w:hAnsi="Times New Roman"/>
                <w:sz w:val="24"/>
                <w:szCs w:val="24"/>
              </w:rPr>
              <w:t>gadā</w:t>
            </w:r>
            <w:proofErr w:type="gramEnd"/>
            <w:r w:rsidR="00597F2B" w:rsidRPr="00551B31">
              <w:rPr>
                <w:rFonts w:ascii="Times New Roman" w:eastAsia="PMingLiU" w:hAnsi="Times New Roman"/>
                <w:sz w:val="24"/>
                <w:szCs w:val="24"/>
              </w:rPr>
              <w:t xml:space="preserve"> projekta kopējās izmaksas </w:t>
            </w:r>
            <w:r w:rsidRPr="00551B31">
              <w:rPr>
                <w:rFonts w:ascii="Times New Roman" w:eastAsia="PMingLiU" w:hAnsi="Times New Roman"/>
                <w:sz w:val="24"/>
                <w:szCs w:val="24"/>
              </w:rPr>
              <w:t>13 658 </w:t>
            </w:r>
            <w:r w:rsidR="00597F2B" w:rsidRPr="00551B31">
              <w:rPr>
                <w:rFonts w:ascii="Times New Roman" w:eastAsia="PMingLiU" w:hAnsi="Times New Roman"/>
                <w:sz w:val="24"/>
                <w:szCs w:val="24"/>
              </w:rPr>
              <w:t xml:space="preserve">844 EUR, no tām attiecināmās izmaksas </w:t>
            </w:r>
            <w:r w:rsidRPr="00551B31">
              <w:rPr>
                <w:rFonts w:ascii="Times New Roman" w:eastAsia="PMingLiU" w:hAnsi="Times New Roman"/>
                <w:sz w:val="24"/>
                <w:szCs w:val="24"/>
              </w:rPr>
              <w:t>13 500 </w:t>
            </w:r>
            <w:r w:rsidR="00597F2B" w:rsidRPr="00551B31">
              <w:rPr>
                <w:rFonts w:ascii="Times New Roman" w:eastAsia="PMingLiU" w:hAnsi="Times New Roman"/>
                <w:sz w:val="24"/>
                <w:szCs w:val="24"/>
              </w:rPr>
              <w:t>794 EUR, tai skaitā ESF finansējums 13 500 794 EUR un valsts budžeta neattiecināmās izmaksas  </w:t>
            </w:r>
            <w:r w:rsidR="0034223C" w:rsidRPr="00551B31">
              <w:rPr>
                <w:rFonts w:ascii="Times New Roman" w:eastAsia="PMingLiU" w:hAnsi="Times New Roman"/>
                <w:sz w:val="24"/>
                <w:szCs w:val="24"/>
              </w:rPr>
              <w:t>1</w:t>
            </w:r>
            <w:r w:rsidR="00597F2B" w:rsidRPr="00551B31">
              <w:rPr>
                <w:rFonts w:ascii="Times New Roman" w:eastAsia="PMingLiU" w:hAnsi="Times New Roman"/>
                <w:sz w:val="24"/>
                <w:szCs w:val="24"/>
              </w:rPr>
              <w:t xml:space="preserve">58 050 EUR. </w:t>
            </w:r>
          </w:p>
          <w:p w:rsidR="00597F2B" w:rsidRPr="00551B31" w:rsidRDefault="00597F2B" w:rsidP="00597F2B">
            <w:pPr>
              <w:autoSpaceDE w:val="0"/>
              <w:spacing w:after="0" w:line="240" w:lineRule="auto"/>
              <w:jc w:val="both"/>
              <w:rPr>
                <w:rFonts w:ascii="Times New Roman" w:eastAsia="PMingLiU" w:hAnsi="Times New Roman"/>
                <w:sz w:val="24"/>
                <w:szCs w:val="24"/>
              </w:rPr>
            </w:pPr>
            <w:proofErr w:type="gramStart"/>
            <w:r w:rsidRPr="00551B31">
              <w:rPr>
                <w:rFonts w:ascii="Times New Roman" w:eastAsia="PMingLiU" w:hAnsi="Times New Roman"/>
                <w:sz w:val="24"/>
                <w:szCs w:val="24"/>
              </w:rPr>
              <w:t>2014.gadā</w:t>
            </w:r>
            <w:proofErr w:type="gramEnd"/>
            <w:r w:rsidRPr="00551B31">
              <w:rPr>
                <w:rFonts w:ascii="Times New Roman" w:eastAsia="PMingLiU" w:hAnsi="Times New Roman"/>
                <w:sz w:val="24"/>
                <w:szCs w:val="24"/>
              </w:rPr>
              <w:t xml:space="preserve"> indikatīvi projekta kopējās izmaksas </w:t>
            </w:r>
            <w:r w:rsidR="0067586A" w:rsidRPr="00551B31">
              <w:rPr>
                <w:rFonts w:ascii="Times New Roman" w:eastAsia="PMingLiU" w:hAnsi="Times New Roman"/>
                <w:sz w:val="24"/>
                <w:szCs w:val="24"/>
              </w:rPr>
              <w:t>8 </w:t>
            </w:r>
            <w:r w:rsidRPr="00551B31">
              <w:rPr>
                <w:rFonts w:ascii="Times New Roman" w:eastAsia="PMingLiU" w:hAnsi="Times New Roman"/>
                <w:sz w:val="24"/>
                <w:szCs w:val="24"/>
              </w:rPr>
              <w:t xml:space="preserve">797 975 EUR, no tām kopējās attiecināmās izmaksas </w:t>
            </w:r>
            <w:r w:rsidR="0067586A" w:rsidRPr="00551B31">
              <w:rPr>
                <w:rFonts w:ascii="Times New Roman" w:eastAsia="PMingLiU" w:hAnsi="Times New Roman"/>
                <w:sz w:val="24"/>
                <w:szCs w:val="24"/>
              </w:rPr>
              <w:t>8 614 </w:t>
            </w:r>
            <w:r w:rsidRPr="00551B31">
              <w:rPr>
                <w:rFonts w:ascii="Times New Roman" w:eastAsia="PMingLiU" w:hAnsi="Times New Roman"/>
                <w:sz w:val="24"/>
                <w:szCs w:val="24"/>
              </w:rPr>
              <w:t xml:space="preserve">072 EUR, tai skaitā ESF finansējums </w:t>
            </w:r>
            <w:r w:rsidR="0067586A" w:rsidRPr="00551B31">
              <w:rPr>
                <w:rFonts w:ascii="Times New Roman" w:eastAsia="PMingLiU" w:hAnsi="Times New Roman"/>
                <w:sz w:val="24"/>
                <w:szCs w:val="24"/>
              </w:rPr>
              <w:t>5 916 </w:t>
            </w:r>
            <w:r w:rsidRPr="00551B31">
              <w:rPr>
                <w:rFonts w:ascii="Times New Roman" w:eastAsia="PMingLiU" w:hAnsi="Times New Roman"/>
                <w:sz w:val="24"/>
                <w:szCs w:val="24"/>
              </w:rPr>
              <w:t xml:space="preserve">173 EUR un valsts budžeta finansējums 2 697 899 EUR, un valsts budžeta </w:t>
            </w:r>
            <w:r w:rsidR="0067586A" w:rsidRPr="00551B31">
              <w:rPr>
                <w:rFonts w:ascii="Times New Roman" w:eastAsia="PMingLiU" w:hAnsi="Times New Roman"/>
                <w:sz w:val="24"/>
                <w:szCs w:val="24"/>
              </w:rPr>
              <w:t>neattiecināmās izmaksas 183 903 </w:t>
            </w:r>
            <w:r w:rsidRPr="00551B31">
              <w:rPr>
                <w:rFonts w:ascii="Times New Roman" w:eastAsia="PMingLiU" w:hAnsi="Times New Roman"/>
                <w:sz w:val="24"/>
                <w:szCs w:val="24"/>
              </w:rPr>
              <w:t>EUR.</w:t>
            </w:r>
          </w:p>
          <w:p w:rsidR="004F49E5" w:rsidRDefault="00597F2B" w:rsidP="004F49E5">
            <w:pPr>
              <w:autoSpaceDE w:val="0"/>
              <w:spacing w:after="0" w:line="240" w:lineRule="auto"/>
              <w:jc w:val="both"/>
              <w:rPr>
                <w:rFonts w:ascii="Times New Roman" w:hAnsi="Times New Roman" w:cs="Times New Roman"/>
                <w:b/>
                <w:sz w:val="24"/>
                <w:szCs w:val="24"/>
              </w:rPr>
            </w:pPr>
            <w:r w:rsidRPr="00551B31">
              <w:rPr>
                <w:rFonts w:ascii="Times New Roman" w:eastAsia="PMingLiU" w:hAnsi="Times New Roman"/>
                <w:sz w:val="24"/>
                <w:szCs w:val="24"/>
              </w:rPr>
              <w:t xml:space="preserve">Likumā „Par valsts budžetu </w:t>
            </w:r>
            <w:proofErr w:type="gramStart"/>
            <w:r w:rsidRPr="00551B31">
              <w:rPr>
                <w:rFonts w:ascii="Times New Roman" w:eastAsia="PMingLiU" w:hAnsi="Times New Roman"/>
                <w:sz w:val="24"/>
                <w:szCs w:val="24"/>
              </w:rPr>
              <w:t>2014.gadam</w:t>
            </w:r>
            <w:proofErr w:type="gramEnd"/>
            <w:r w:rsidRPr="00551B31">
              <w:rPr>
                <w:rFonts w:ascii="Times New Roman" w:eastAsia="PMingLiU" w:hAnsi="Times New Roman"/>
                <w:sz w:val="24"/>
                <w:szCs w:val="24"/>
              </w:rPr>
              <w:t xml:space="preserve">” projekta īstenošanai paredzēts finansējums 3 853 874 EUR apmērā, un tas ir par </w:t>
            </w:r>
            <w:r w:rsidR="0067586A" w:rsidRPr="00551B31">
              <w:rPr>
                <w:rFonts w:ascii="Times New Roman" w:eastAsia="PMingLiU" w:hAnsi="Times New Roman"/>
                <w:sz w:val="24"/>
                <w:szCs w:val="24"/>
              </w:rPr>
              <w:t>4 944 </w:t>
            </w:r>
            <w:r w:rsidRPr="00551B31">
              <w:rPr>
                <w:rFonts w:ascii="Times New Roman" w:eastAsia="PMingLiU" w:hAnsi="Times New Roman"/>
                <w:sz w:val="24"/>
                <w:szCs w:val="24"/>
              </w:rPr>
              <w:t>101 EUR mazāk kā paredzamie izdevumi projektā. Izdevumu palielinājumu veido aktivitātei DPP pārdalītais finansējums no 1.3.1.3.2.apakšaktivitātes 142 531 EUR apmēr</w:t>
            </w:r>
            <w:r w:rsidR="0067586A" w:rsidRPr="00551B31">
              <w:rPr>
                <w:rFonts w:ascii="Times New Roman" w:eastAsia="PMingLiU" w:hAnsi="Times New Roman"/>
                <w:sz w:val="24"/>
                <w:szCs w:val="24"/>
              </w:rPr>
              <w:t>ā un no 1.3.1.7.aktivitātes 191 </w:t>
            </w:r>
            <w:r w:rsidRPr="00551B31">
              <w:rPr>
                <w:rFonts w:ascii="Times New Roman" w:eastAsia="PMingLiU" w:hAnsi="Times New Roman"/>
                <w:sz w:val="24"/>
                <w:szCs w:val="24"/>
              </w:rPr>
              <w:t xml:space="preserve">816 EUR apmērā, finansējuma atlikums </w:t>
            </w:r>
            <w:proofErr w:type="gramStart"/>
            <w:r w:rsidRPr="00551B31">
              <w:rPr>
                <w:rFonts w:ascii="Times New Roman" w:eastAsia="PMingLiU" w:hAnsi="Times New Roman"/>
                <w:sz w:val="24"/>
                <w:szCs w:val="24"/>
              </w:rPr>
              <w:t>2013.gadā</w:t>
            </w:r>
            <w:proofErr w:type="gramEnd"/>
            <w:r w:rsidRPr="00551B31">
              <w:rPr>
                <w:rFonts w:ascii="Times New Roman" w:eastAsia="PMingLiU" w:hAnsi="Times New Roman"/>
                <w:sz w:val="24"/>
                <w:szCs w:val="24"/>
              </w:rPr>
              <w:t xml:space="preserve"> 4 708 EUR apmērā, kā arī aktivitātei piešķirtais papildu </w:t>
            </w:r>
            <w:proofErr w:type="spellStart"/>
            <w:r w:rsidRPr="00551B31">
              <w:rPr>
                <w:rFonts w:ascii="Times New Roman" w:eastAsia="PMingLiU" w:hAnsi="Times New Roman"/>
                <w:sz w:val="24"/>
                <w:szCs w:val="24"/>
              </w:rPr>
              <w:t>virssaistību</w:t>
            </w:r>
            <w:proofErr w:type="spellEnd"/>
            <w:r w:rsidRPr="00551B31">
              <w:rPr>
                <w:rFonts w:ascii="Times New Roman" w:eastAsia="PMingLiU" w:hAnsi="Times New Roman"/>
                <w:sz w:val="24"/>
                <w:szCs w:val="24"/>
              </w:rPr>
              <w:t xml:space="preserve"> finansējums 4 605 046 EUR apmērā. Finansējums 142 531 EUR apmērā tiks pārdalīts no Labklājības ministrijas budžetā paredzētā finansējuma </w:t>
            </w:r>
            <w:r w:rsidRPr="00551B31">
              <w:rPr>
                <w:rFonts w:ascii="Times New Roman" w:eastAsia="PMingLiU" w:hAnsi="Times New Roman"/>
                <w:sz w:val="24"/>
                <w:szCs w:val="24"/>
              </w:rPr>
              <w:lastRenderedPageBreak/>
              <w:t xml:space="preserve">1.3.1.3.2.apakšaktivitātes ieviešanai. Pārējais finansējums tiks pieprasīts no </w:t>
            </w:r>
            <w:r w:rsidRPr="00551B31">
              <w:rPr>
                <w:rFonts w:ascii="Times New Roman" w:hAnsi="Times New Roman"/>
                <w:sz w:val="24"/>
                <w:szCs w:val="24"/>
              </w:rPr>
              <w:t>74.resora „Gadskārtēja valsts budžeta izpildes procesā pārdalāmais finansējums” programmas 80.00.00 „Nesadalītais finansējums Eiropas Savienības politiku instrumentu un pārējās ārvalstu finanšu palīdzības līdzfinansēto projektu un pasākumu īstenošanai”.</w:t>
            </w:r>
          </w:p>
          <w:p w:rsidR="00820527" w:rsidRPr="00625809" w:rsidRDefault="004F49E5" w:rsidP="00820527">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Informācija apkopota uz 01.03.2014.</w:t>
            </w:r>
          </w:p>
          <w:p w:rsidR="00820527" w:rsidRPr="008C532A" w:rsidRDefault="00820527" w:rsidP="00820527">
            <w:pPr>
              <w:autoSpaceDE w:val="0"/>
              <w:spacing w:after="0" w:line="240" w:lineRule="auto"/>
              <w:jc w:val="both"/>
              <w:rPr>
                <w:rFonts w:ascii="Times New Roman" w:hAnsi="Times New Roman" w:cs="Times New Roman"/>
                <w:sz w:val="24"/>
                <w:szCs w:val="24"/>
              </w:rPr>
            </w:pPr>
          </w:p>
          <w:p w:rsidR="00820527" w:rsidRPr="008C532A" w:rsidRDefault="00820527" w:rsidP="00820527">
            <w:pPr>
              <w:autoSpaceDE w:val="0"/>
              <w:spacing w:after="0" w:line="240" w:lineRule="auto"/>
              <w:jc w:val="both"/>
              <w:rPr>
                <w:rFonts w:ascii="Times New Roman" w:hAnsi="Times New Roman" w:cs="Times New Roman"/>
                <w:b/>
                <w:sz w:val="24"/>
                <w:szCs w:val="24"/>
              </w:rPr>
            </w:pPr>
            <w:r w:rsidRPr="008C532A">
              <w:rPr>
                <w:rFonts w:ascii="Times New Roman" w:hAnsi="Times New Roman" w:cs="Times New Roman"/>
                <w:b/>
                <w:sz w:val="24"/>
                <w:szCs w:val="24"/>
              </w:rPr>
              <w:t>1.3.1.7.aktivitāte</w:t>
            </w:r>
          </w:p>
          <w:p w:rsidR="00820527" w:rsidRPr="00B46D66" w:rsidRDefault="00820527" w:rsidP="00820527">
            <w:pPr>
              <w:autoSpaceDE w:val="0"/>
              <w:spacing w:after="0" w:line="240" w:lineRule="auto"/>
              <w:jc w:val="both"/>
              <w:rPr>
                <w:rFonts w:ascii="Times New Roman" w:hAnsi="Times New Roman" w:cs="Times New Roman"/>
                <w:sz w:val="24"/>
                <w:szCs w:val="24"/>
              </w:rPr>
            </w:pPr>
            <w:r w:rsidRPr="00E673FB">
              <w:rPr>
                <w:rFonts w:ascii="Times New Roman" w:hAnsi="Times New Roman" w:cs="Times New Roman"/>
                <w:sz w:val="24"/>
                <w:szCs w:val="24"/>
              </w:rPr>
              <w:t>Budžeta izdevumi ir kopēj</w:t>
            </w:r>
            <w:r>
              <w:rPr>
                <w:rFonts w:ascii="Times New Roman" w:hAnsi="Times New Roman" w:cs="Times New Roman"/>
                <w:sz w:val="24"/>
                <w:szCs w:val="24"/>
              </w:rPr>
              <w:t>ās</w:t>
            </w:r>
            <w:r w:rsidRPr="00E673FB">
              <w:rPr>
                <w:rFonts w:ascii="Times New Roman" w:hAnsi="Times New Roman" w:cs="Times New Roman"/>
                <w:sz w:val="24"/>
                <w:szCs w:val="24"/>
              </w:rPr>
              <w:t xml:space="preserve"> projekta ieviešanai nepieciešamās izmaksas attiecīgajā gadā, un budžeta ieņēmumi ir projekta attiecināmo izmaksu finansējuma ESF daļa. ESF finansējuma apmērs ir 85% no kopējām attiecināmajām projektu izmaksām.</w:t>
            </w:r>
          </w:p>
          <w:p w:rsidR="0011559C" w:rsidRPr="00625809" w:rsidRDefault="00820527" w:rsidP="0011559C">
            <w:pPr>
              <w:autoSpaceDE w:val="0"/>
              <w:spacing w:after="0" w:line="240" w:lineRule="auto"/>
              <w:jc w:val="both"/>
              <w:rPr>
                <w:rFonts w:ascii="Times New Roman" w:hAnsi="Times New Roman" w:cs="Times New Roman"/>
                <w:sz w:val="24"/>
                <w:szCs w:val="24"/>
              </w:rPr>
            </w:pPr>
            <w:r w:rsidRPr="00E60388">
              <w:rPr>
                <w:rFonts w:ascii="Times New Roman" w:hAnsi="Times New Roman" w:cs="Times New Roman"/>
                <w:sz w:val="24"/>
                <w:szCs w:val="24"/>
              </w:rPr>
              <w:t>Ar šīm izmaiņām DPP aktivitātei pieejamais finansējums tiek samazināts par 191 816 EUR no 1 422 872 EUR uz 1 231 056 EUR, tai skaitā ESF finansējums no 1 209 441 uz 1 046 397 EUR un valsts budžeta finansējums no 213 431 EUR uz 184 659 EUR.</w:t>
            </w:r>
            <w:r w:rsidR="0011559C">
              <w:rPr>
                <w:rFonts w:ascii="Times New Roman" w:hAnsi="Times New Roman" w:cs="Times New Roman"/>
                <w:sz w:val="24"/>
                <w:szCs w:val="24"/>
              </w:rPr>
              <w:t xml:space="preserve"> </w:t>
            </w:r>
            <w:r w:rsidR="0011559C" w:rsidRPr="00625809">
              <w:rPr>
                <w:rFonts w:ascii="Times New Roman" w:hAnsi="Times New Roman" w:cs="Times New Roman"/>
                <w:sz w:val="24"/>
                <w:szCs w:val="24"/>
              </w:rPr>
              <w:t xml:space="preserve">Pirms pārdales veikšanas kopējais finansējuma atlikums apakšaktivitātes ietvaros ir 191 818 EUR, tai skaitā nav pēc 08.05.2012 konstatētas neatbilstoši veiktas izmaksas vai lauzti līgumi. </w:t>
            </w:r>
            <w:proofErr w:type="gramStart"/>
            <w:r w:rsidR="0011559C" w:rsidRPr="00625809">
              <w:rPr>
                <w:rFonts w:ascii="Times New Roman" w:hAnsi="Times New Roman" w:cs="Times New Roman"/>
                <w:sz w:val="24"/>
                <w:szCs w:val="24"/>
              </w:rPr>
              <w:t>Ņemot vērā nepieciešamību</w:t>
            </w:r>
            <w:proofErr w:type="gramEnd"/>
            <w:r w:rsidR="0011559C" w:rsidRPr="00625809">
              <w:rPr>
                <w:rFonts w:ascii="Times New Roman" w:hAnsi="Times New Roman" w:cs="Times New Roman"/>
                <w:sz w:val="24"/>
                <w:szCs w:val="24"/>
              </w:rPr>
              <w:t xml:space="preserve"> nodrošināt, lai projektu finansējums nepārsniegtu DPP norādīto ESF un valsts budžeta finansējumu, kurš norādīts veselos EUR, pārdalīt var finansējumu 191 816 EUR apmērā.</w:t>
            </w:r>
          </w:p>
          <w:p w:rsidR="00820527" w:rsidRPr="00B46D66" w:rsidRDefault="00820527" w:rsidP="00820527">
            <w:pPr>
              <w:autoSpaceDE w:val="0"/>
              <w:spacing w:after="0" w:line="240" w:lineRule="auto"/>
              <w:jc w:val="both"/>
              <w:rPr>
                <w:rFonts w:ascii="Times New Roman" w:hAnsi="Times New Roman" w:cs="Times New Roman"/>
                <w:sz w:val="24"/>
                <w:szCs w:val="24"/>
              </w:rPr>
            </w:pPr>
          </w:p>
          <w:p w:rsidR="00820527" w:rsidRPr="00E60388" w:rsidRDefault="00820527" w:rsidP="00820527">
            <w:pPr>
              <w:autoSpaceDE w:val="0"/>
              <w:spacing w:after="0" w:line="240" w:lineRule="auto"/>
              <w:jc w:val="both"/>
              <w:rPr>
                <w:rFonts w:ascii="Times New Roman" w:hAnsi="Times New Roman" w:cs="Times New Roman"/>
                <w:sz w:val="24"/>
                <w:szCs w:val="24"/>
              </w:rPr>
            </w:pPr>
            <w:r w:rsidRPr="0028479A">
              <w:rPr>
                <w:rFonts w:ascii="Times New Roman" w:hAnsi="Times New Roman" w:cs="Times New Roman"/>
                <w:sz w:val="24"/>
                <w:szCs w:val="24"/>
                <w:u w:val="single"/>
              </w:rPr>
              <w:t xml:space="preserve">Līdz </w:t>
            </w:r>
            <w:proofErr w:type="gramStart"/>
            <w:r w:rsidRPr="0028479A">
              <w:rPr>
                <w:rFonts w:ascii="Times New Roman" w:hAnsi="Times New Roman" w:cs="Times New Roman"/>
                <w:sz w:val="24"/>
                <w:szCs w:val="24"/>
                <w:u w:val="single"/>
              </w:rPr>
              <w:t>2012.gadam</w:t>
            </w:r>
            <w:proofErr w:type="gramEnd"/>
            <w:r w:rsidRPr="00E60388">
              <w:rPr>
                <w:rFonts w:ascii="Times New Roman" w:hAnsi="Times New Roman" w:cs="Times New Roman"/>
                <w:sz w:val="24"/>
                <w:szCs w:val="24"/>
              </w:rPr>
              <w:t xml:space="preserve"> aktivitātē kopējās izmaksas ir 633 714 EUR, no tām attiecināmās izmaksas ir 633 714 EUR, tai skaitā ESF finansējums 538 657 EUR un valsts budžeta finansējums 95 057 EUR.</w:t>
            </w:r>
          </w:p>
          <w:p w:rsidR="00820527" w:rsidRPr="00E673FB" w:rsidRDefault="00820527" w:rsidP="00820527">
            <w:pPr>
              <w:autoSpaceDE w:val="0"/>
              <w:spacing w:after="0" w:line="240" w:lineRule="auto"/>
              <w:jc w:val="both"/>
              <w:rPr>
                <w:rFonts w:ascii="Times New Roman" w:hAnsi="Times New Roman" w:cs="Times New Roman"/>
                <w:sz w:val="24"/>
                <w:szCs w:val="24"/>
              </w:rPr>
            </w:pPr>
            <w:proofErr w:type="gramStart"/>
            <w:r w:rsidRPr="0028479A">
              <w:rPr>
                <w:rFonts w:ascii="Times New Roman" w:hAnsi="Times New Roman" w:cs="Times New Roman"/>
                <w:sz w:val="24"/>
                <w:szCs w:val="24"/>
                <w:u w:val="single"/>
              </w:rPr>
              <w:t>2013.gadā</w:t>
            </w:r>
            <w:proofErr w:type="gramEnd"/>
            <w:r w:rsidRPr="00E673FB">
              <w:rPr>
                <w:rFonts w:ascii="Times New Roman" w:hAnsi="Times New Roman" w:cs="Times New Roman"/>
                <w:sz w:val="24"/>
                <w:szCs w:val="24"/>
              </w:rPr>
              <w:t xml:space="preserve"> aktivitātes kopējās izmaksas 464 859 EUR, no tām attiecināmas izmaksas 464 859 EUR, tai skaitā ESF finansējums 395 130 EUR un valsts </w:t>
            </w:r>
            <w:r w:rsidR="007C73B8">
              <w:rPr>
                <w:rFonts w:ascii="Times New Roman" w:hAnsi="Times New Roman" w:cs="Times New Roman"/>
                <w:sz w:val="24"/>
                <w:szCs w:val="24"/>
              </w:rPr>
              <w:t>budžeta finansējums 69 729 EUR.</w:t>
            </w:r>
          </w:p>
          <w:p w:rsidR="00820527" w:rsidRPr="00E673FB" w:rsidRDefault="00820527" w:rsidP="00820527">
            <w:pPr>
              <w:autoSpaceDE w:val="0"/>
              <w:spacing w:after="0" w:line="240" w:lineRule="auto"/>
              <w:jc w:val="both"/>
              <w:rPr>
                <w:rFonts w:ascii="Times New Roman" w:hAnsi="Times New Roman" w:cs="Times New Roman"/>
                <w:sz w:val="24"/>
                <w:szCs w:val="24"/>
              </w:rPr>
            </w:pPr>
            <w:proofErr w:type="gramStart"/>
            <w:r w:rsidRPr="0028479A">
              <w:rPr>
                <w:rFonts w:ascii="Times New Roman" w:hAnsi="Times New Roman" w:cs="Times New Roman"/>
                <w:sz w:val="24"/>
                <w:szCs w:val="24"/>
                <w:u w:val="single"/>
              </w:rPr>
              <w:t>2014.gadā</w:t>
            </w:r>
            <w:proofErr w:type="gramEnd"/>
            <w:r w:rsidRPr="00E673FB">
              <w:rPr>
                <w:rFonts w:ascii="Times New Roman" w:hAnsi="Times New Roman" w:cs="Times New Roman"/>
                <w:sz w:val="24"/>
                <w:szCs w:val="24"/>
              </w:rPr>
              <w:t xml:space="preserve"> indikatīvi kopējās izmaksas 132 481 EUR, no tām attiecināmās izmaksas 132 481 EUR, tai skaitā ESF finansējums 112 609 EUR un valsts budžeta finansējums 19 872 EUR.</w:t>
            </w:r>
          </w:p>
          <w:p w:rsidR="00820527" w:rsidRPr="00E673FB" w:rsidRDefault="00820527" w:rsidP="00820527">
            <w:pPr>
              <w:autoSpaceDE w:val="0"/>
              <w:spacing w:after="0" w:line="240" w:lineRule="auto"/>
              <w:jc w:val="both"/>
              <w:rPr>
                <w:rFonts w:ascii="Times New Roman" w:hAnsi="Times New Roman" w:cs="Times New Roman"/>
                <w:sz w:val="24"/>
                <w:szCs w:val="24"/>
              </w:rPr>
            </w:pPr>
            <w:r w:rsidRPr="00E673FB">
              <w:rPr>
                <w:rFonts w:ascii="Times New Roman" w:hAnsi="Times New Roman" w:cs="Times New Roman"/>
                <w:sz w:val="24"/>
                <w:szCs w:val="24"/>
              </w:rPr>
              <w:t xml:space="preserve">Likumā “Par valsts budžetu </w:t>
            </w:r>
            <w:proofErr w:type="gramStart"/>
            <w:r w:rsidRPr="00E673FB">
              <w:rPr>
                <w:rFonts w:ascii="Times New Roman" w:hAnsi="Times New Roman" w:cs="Times New Roman"/>
                <w:sz w:val="24"/>
                <w:szCs w:val="24"/>
              </w:rPr>
              <w:t>2014.gadam</w:t>
            </w:r>
            <w:proofErr w:type="gramEnd"/>
            <w:r w:rsidRPr="00E673FB">
              <w:rPr>
                <w:rFonts w:ascii="Times New Roman" w:hAnsi="Times New Roman" w:cs="Times New Roman"/>
                <w:sz w:val="24"/>
                <w:szCs w:val="24"/>
              </w:rPr>
              <w:t>” aktivitātes finansēšanai paredzēts finansējums 142 760 EUR apmērā un tas ir par 10 279 EUR vairāk kā paredzamās izmaksas aktivitātes ieviešanai. Finansējuma atlikums tiks pārdalīts aktivitātes 1.3.1.5. ieviešanai.</w:t>
            </w:r>
          </w:p>
          <w:p w:rsidR="00A149DF" w:rsidRPr="00625809" w:rsidRDefault="00A149DF" w:rsidP="00A149DF">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Informācija apkopota uz 01.03.2014.</w:t>
            </w:r>
          </w:p>
          <w:p w:rsidR="00820527" w:rsidRPr="00B46D66" w:rsidRDefault="00820527" w:rsidP="00820527">
            <w:pPr>
              <w:autoSpaceDE w:val="0"/>
              <w:spacing w:after="0" w:line="240" w:lineRule="auto"/>
              <w:jc w:val="both"/>
              <w:rPr>
                <w:rFonts w:ascii="Times New Roman" w:hAnsi="Times New Roman" w:cs="Times New Roman"/>
                <w:sz w:val="24"/>
                <w:szCs w:val="24"/>
              </w:rPr>
            </w:pPr>
          </w:p>
          <w:p w:rsidR="00820527" w:rsidRPr="00E673FB" w:rsidRDefault="00820527" w:rsidP="00820527">
            <w:pPr>
              <w:autoSpaceDE w:val="0"/>
              <w:spacing w:after="0" w:line="240" w:lineRule="auto"/>
              <w:jc w:val="both"/>
              <w:rPr>
                <w:rFonts w:ascii="Times New Roman" w:hAnsi="Times New Roman" w:cs="Times New Roman"/>
                <w:b/>
                <w:sz w:val="24"/>
                <w:szCs w:val="24"/>
              </w:rPr>
            </w:pPr>
            <w:r w:rsidRPr="00E673FB">
              <w:rPr>
                <w:rFonts w:ascii="Times New Roman" w:hAnsi="Times New Roman" w:cs="Times New Roman"/>
                <w:b/>
                <w:sz w:val="24"/>
                <w:szCs w:val="24"/>
              </w:rPr>
              <w:t>1.4.1.1.1.apakšaktivitāte</w:t>
            </w:r>
          </w:p>
          <w:p w:rsidR="000E79FF" w:rsidRPr="00970BC1" w:rsidRDefault="000E79FF" w:rsidP="000E79FF">
            <w:pPr>
              <w:autoSpaceDE w:val="0"/>
              <w:spacing w:after="0" w:line="240" w:lineRule="auto"/>
              <w:jc w:val="both"/>
              <w:rPr>
                <w:rFonts w:ascii="Times New Roman" w:hAnsi="Times New Roman" w:cs="Times New Roman"/>
                <w:sz w:val="24"/>
                <w:szCs w:val="24"/>
              </w:rPr>
            </w:pPr>
            <w:r w:rsidRPr="00970BC1">
              <w:rPr>
                <w:rFonts w:ascii="Times New Roman" w:eastAsia="PMingLiU" w:hAnsi="Times New Roman" w:cs="Times New Roman"/>
                <w:sz w:val="24"/>
                <w:szCs w:val="24"/>
              </w:rPr>
              <w:t xml:space="preserve">Budžeta </w:t>
            </w:r>
            <w:r w:rsidRPr="00970BC1">
              <w:rPr>
                <w:rFonts w:ascii="Times New Roman" w:hAnsi="Times New Roman" w:cs="Times New Roman"/>
                <w:sz w:val="24"/>
                <w:szCs w:val="24"/>
              </w:rPr>
              <w:t xml:space="preserve">ieņēmumi ir finansējuma </w:t>
            </w:r>
            <w:r w:rsidR="00BB475A">
              <w:rPr>
                <w:rFonts w:ascii="Times New Roman" w:hAnsi="Times New Roman" w:cs="Times New Roman"/>
                <w:sz w:val="24"/>
                <w:szCs w:val="24"/>
              </w:rPr>
              <w:t>ESF</w:t>
            </w:r>
            <w:r w:rsidRPr="00970BC1">
              <w:rPr>
                <w:rFonts w:ascii="Times New Roman" w:hAnsi="Times New Roman" w:cs="Times New Roman"/>
                <w:sz w:val="24"/>
                <w:szCs w:val="24"/>
              </w:rPr>
              <w:t xml:space="preserve"> daļa, un budžeta izdevumi ir kopējie nepieciešamie līdzekļi attiecīgajā gadā (izņemot </w:t>
            </w:r>
            <w:proofErr w:type="gramStart"/>
            <w:r w:rsidRPr="00970BC1">
              <w:rPr>
                <w:rFonts w:ascii="Times New Roman" w:hAnsi="Times New Roman" w:cs="Times New Roman"/>
                <w:sz w:val="24"/>
                <w:szCs w:val="24"/>
              </w:rPr>
              <w:t>2012.gadā</w:t>
            </w:r>
            <w:proofErr w:type="gramEnd"/>
            <w:r w:rsidRPr="00970BC1">
              <w:rPr>
                <w:rFonts w:ascii="Times New Roman" w:hAnsi="Times New Roman" w:cs="Times New Roman"/>
                <w:sz w:val="24"/>
                <w:szCs w:val="24"/>
              </w:rPr>
              <w:t xml:space="preserve">). ESF finansējuma </w:t>
            </w:r>
            <w:r w:rsidRPr="00551B31">
              <w:rPr>
                <w:rFonts w:ascii="Times New Roman" w:hAnsi="Times New Roman" w:cs="Times New Roman"/>
                <w:sz w:val="24"/>
                <w:szCs w:val="24"/>
              </w:rPr>
              <w:t>apmērs ir aptuveni 92,12% no kopējās</w:t>
            </w:r>
            <w:r w:rsidRPr="00970BC1">
              <w:rPr>
                <w:rFonts w:ascii="Times New Roman" w:hAnsi="Times New Roman" w:cs="Times New Roman"/>
                <w:sz w:val="24"/>
                <w:szCs w:val="24"/>
              </w:rPr>
              <w:t xml:space="preserve"> projekta attiecināmo izmaksu kopsummas. Ņemot vērā, ka piešķirtā finansējuma sadalījums starp ESF finansējumu un valsts budžet</w:t>
            </w:r>
            <w:r>
              <w:rPr>
                <w:rFonts w:ascii="Times New Roman" w:hAnsi="Times New Roman" w:cs="Times New Roman"/>
                <w:sz w:val="24"/>
                <w:szCs w:val="24"/>
              </w:rPr>
              <w:t>a finansējumu pa gadiem ir mainījies</w:t>
            </w:r>
            <w:r w:rsidRPr="00970BC1">
              <w:rPr>
                <w:rFonts w:ascii="Times New Roman" w:hAnsi="Times New Roman" w:cs="Times New Roman"/>
                <w:sz w:val="24"/>
                <w:szCs w:val="24"/>
              </w:rPr>
              <w:t>, procentuālais finansējuma sadalījums dažādos gados ir atšķirīgs.</w:t>
            </w:r>
          </w:p>
          <w:p w:rsidR="000E79FF" w:rsidRDefault="000E79FF" w:rsidP="000E79FF">
            <w:pPr>
              <w:autoSpaceDE w:val="0"/>
              <w:spacing w:after="0" w:line="240" w:lineRule="auto"/>
              <w:jc w:val="both"/>
              <w:rPr>
                <w:rFonts w:ascii="Times New Roman" w:eastAsia="PMingLiU" w:hAnsi="Times New Roman" w:cs="Times New Roman"/>
                <w:sz w:val="24"/>
                <w:szCs w:val="24"/>
              </w:rPr>
            </w:pPr>
            <w:r w:rsidRPr="00551B31">
              <w:rPr>
                <w:rFonts w:ascii="Times New Roman" w:eastAsia="PMingLiU" w:hAnsi="Times New Roman" w:cs="Times New Roman"/>
                <w:sz w:val="24"/>
                <w:szCs w:val="24"/>
              </w:rPr>
              <w:lastRenderedPageBreak/>
              <w:t xml:space="preserve">1.4.1.1.1.aktivitātei </w:t>
            </w:r>
            <w:r w:rsidR="000329ED">
              <w:rPr>
                <w:rFonts w:ascii="Times New Roman" w:eastAsia="PMingLiU" w:hAnsi="Times New Roman" w:cs="Times New Roman"/>
                <w:sz w:val="24"/>
                <w:szCs w:val="24"/>
              </w:rPr>
              <w:t xml:space="preserve">ar ierosinātajiem grozījumiem DPP plānotais </w:t>
            </w:r>
            <w:r w:rsidRPr="00551B31">
              <w:rPr>
                <w:rFonts w:ascii="Times New Roman" w:eastAsia="PMingLiU" w:hAnsi="Times New Roman" w:cs="Times New Roman"/>
                <w:sz w:val="24"/>
                <w:szCs w:val="24"/>
              </w:rPr>
              <w:t>pieejamais finansējums ir 18</w:t>
            </w:r>
            <w:r w:rsidR="002120C9" w:rsidRPr="00551B31">
              <w:rPr>
                <w:rFonts w:ascii="Times New Roman" w:eastAsia="PMingLiU" w:hAnsi="Times New Roman" w:cs="Times New Roman"/>
                <w:sz w:val="24"/>
                <w:szCs w:val="24"/>
              </w:rPr>
              <w:t> </w:t>
            </w:r>
            <w:r w:rsidRPr="00551B31">
              <w:rPr>
                <w:rFonts w:ascii="Times New Roman" w:eastAsia="PMingLiU" w:hAnsi="Times New Roman" w:cs="Times New Roman"/>
                <w:sz w:val="24"/>
                <w:szCs w:val="24"/>
              </w:rPr>
              <w:t>136</w:t>
            </w:r>
            <w:r w:rsidR="002120C9" w:rsidRPr="00551B31">
              <w:rPr>
                <w:rFonts w:ascii="Times New Roman" w:eastAsia="PMingLiU" w:hAnsi="Times New Roman" w:cs="Times New Roman"/>
                <w:sz w:val="24"/>
                <w:szCs w:val="24"/>
              </w:rPr>
              <w:t> </w:t>
            </w:r>
            <w:r w:rsidRPr="00551B31">
              <w:rPr>
                <w:rFonts w:ascii="Times New Roman" w:eastAsia="PMingLiU" w:hAnsi="Times New Roman" w:cs="Times New Roman"/>
                <w:sz w:val="24"/>
                <w:szCs w:val="24"/>
              </w:rPr>
              <w:t>721 EUR, tai skaitā ESF finansējums ir 16 707 386 EUR un valsts budžeta finansējums 1 429 335 EUR.</w:t>
            </w:r>
          </w:p>
          <w:p w:rsidR="00771F35" w:rsidRPr="00625809" w:rsidRDefault="00771F35" w:rsidP="00771F35">
            <w:pPr>
              <w:autoSpaceDE w:val="0"/>
              <w:spacing w:after="0" w:line="240" w:lineRule="auto"/>
              <w:jc w:val="both"/>
              <w:rPr>
                <w:rFonts w:ascii="Times New Roman" w:hAnsi="Times New Roman" w:cs="Times New Roman"/>
                <w:sz w:val="24"/>
                <w:szCs w:val="24"/>
              </w:rPr>
            </w:pPr>
            <w:r w:rsidRPr="00625809">
              <w:rPr>
                <w:rFonts w:ascii="Times New Roman" w:eastAsia="PMingLiU" w:hAnsi="Times New Roman" w:cs="Times New Roman"/>
                <w:sz w:val="24"/>
                <w:szCs w:val="24"/>
              </w:rPr>
              <w:t xml:space="preserve">Apakšaktivitātes ietvaros izveidojies attiecināmā finansējuma atlikums </w:t>
            </w:r>
            <w:r>
              <w:rPr>
                <w:rFonts w:ascii="Times New Roman" w:eastAsia="PMingLiU" w:hAnsi="Times New Roman" w:cs="Times New Roman"/>
                <w:sz w:val="24"/>
                <w:szCs w:val="24"/>
              </w:rPr>
              <w:t>3 </w:t>
            </w:r>
            <w:r>
              <w:rPr>
                <w:rFonts w:ascii="Times New Roman" w:eastAsia="PMingLiU" w:hAnsi="Times New Roman" w:cs="Times New Roman"/>
                <w:sz w:val="24"/>
                <w:szCs w:val="24"/>
              </w:rPr>
              <w:t>614</w:t>
            </w:r>
            <w:r w:rsidRPr="00625809">
              <w:rPr>
                <w:rFonts w:ascii="Times New Roman" w:eastAsia="PMingLiU" w:hAnsi="Times New Roman" w:cs="Times New Roman"/>
                <w:sz w:val="24"/>
                <w:szCs w:val="24"/>
              </w:rPr>
              <w:t xml:space="preserve"> EUR apmērā, tai skaitā pēc 08.05.2012 konstatētas neatbilstoši veiktas izmaksas </w:t>
            </w:r>
            <w:r>
              <w:rPr>
                <w:rFonts w:ascii="Times New Roman" w:eastAsia="PMingLiU" w:hAnsi="Times New Roman" w:cs="Times New Roman"/>
                <w:sz w:val="24"/>
                <w:szCs w:val="24"/>
              </w:rPr>
              <w:t>2 </w:t>
            </w:r>
            <w:r>
              <w:rPr>
                <w:rFonts w:ascii="Times New Roman" w:eastAsia="PMingLiU" w:hAnsi="Times New Roman" w:cs="Times New Roman"/>
                <w:sz w:val="24"/>
                <w:szCs w:val="24"/>
              </w:rPr>
              <w:t>745</w:t>
            </w:r>
            <w:r w:rsidRPr="00625809">
              <w:rPr>
                <w:rFonts w:ascii="Times New Roman" w:eastAsia="PMingLiU" w:hAnsi="Times New Roman" w:cs="Times New Roman"/>
                <w:sz w:val="24"/>
                <w:szCs w:val="24"/>
              </w:rPr>
              <w:t xml:space="preserve"> EUR apmērā (nepārdalāms atlikums) un pirms 08.05.2012 konstatētas neatbilstoši veiktas izmaksas </w:t>
            </w:r>
            <w:r>
              <w:rPr>
                <w:rFonts w:ascii="Times New Roman" w:eastAsia="PMingLiU" w:hAnsi="Times New Roman" w:cs="Times New Roman"/>
                <w:sz w:val="24"/>
                <w:szCs w:val="24"/>
              </w:rPr>
              <w:t>869</w:t>
            </w:r>
            <w:r w:rsidRPr="00625809">
              <w:rPr>
                <w:rFonts w:ascii="Times New Roman" w:eastAsia="PMingLiU" w:hAnsi="Times New Roman" w:cs="Times New Roman"/>
                <w:sz w:val="24"/>
                <w:szCs w:val="24"/>
              </w:rPr>
              <w:t xml:space="preserve"> EUR apmērā (pārdalāms atlikums</w:t>
            </w:r>
            <w:r>
              <w:rPr>
                <w:rFonts w:ascii="Times New Roman" w:eastAsia="PMingLiU" w:hAnsi="Times New Roman" w:cs="Times New Roman"/>
                <w:sz w:val="24"/>
                <w:szCs w:val="24"/>
              </w:rPr>
              <w:t>)</w:t>
            </w:r>
            <w:r w:rsidRPr="00625809">
              <w:rPr>
                <w:rFonts w:ascii="Times New Roman" w:eastAsia="PMingLiU" w:hAnsi="Times New Roman" w:cs="Times New Roman"/>
                <w:sz w:val="24"/>
                <w:szCs w:val="24"/>
              </w:rPr>
              <w:t>. Ar šiem grozījumiem finansējums no 1.4.1.1.1. apakšaktivitātes netiek pārdalīts.</w:t>
            </w:r>
          </w:p>
          <w:p w:rsidR="000E79FF" w:rsidRPr="00551B31" w:rsidRDefault="000E79FF" w:rsidP="000E79FF">
            <w:pPr>
              <w:pStyle w:val="naisf"/>
              <w:spacing w:before="0" w:beforeAutospacing="0" w:after="0" w:afterAutospacing="0"/>
              <w:jc w:val="both"/>
            </w:pPr>
            <w:r>
              <w:t>1.4.1.1.1.</w:t>
            </w:r>
            <w:r w:rsidRPr="00970BC1">
              <w:t xml:space="preserve">apakšaktivitātei papildus paredz attiecināmo </w:t>
            </w:r>
            <w:proofErr w:type="spellStart"/>
            <w:r w:rsidRPr="00970BC1">
              <w:t>virssaistību</w:t>
            </w:r>
            <w:proofErr w:type="spellEnd"/>
            <w:r w:rsidRPr="00970BC1">
              <w:t xml:space="preserve"> finansējumu (valsts budžeta attiecināmais fin</w:t>
            </w:r>
            <w:r>
              <w:t>ansējums, kas piešķirts papildus</w:t>
            </w:r>
            <w:r w:rsidRPr="00970BC1">
              <w:t xml:space="preserve"> 1.4.1.1.1.apakšaktivitātes </w:t>
            </w:r>
            <w:r>
              <w:t xml:space="preserve">DPP </w:t>
            </w:r>
            <w:r w:rsidRPr="00970BC1">
              <w:t>noteiktajam finansējumam) 2 161 998,22 EUR apmēr</w:t>
            </w:r>
            <w:r>
              <w:t xml:space="preserve">ā, tai skaitā ESF </w:t>
            </w:r>
            <w:r w:rsidRPr="00551B31">
              <w:t>finansējumu 1</w:t>
            </w:r>
            <w:r w:rsidR="00281E6C" w:rsidRPr="00551B31">
              <w:t> </w:t>
            </w:r>
            <w:r w:rsidRPr="00551B31">
              <w:t>991 632,76 EUR apmērā un valsts budžeta finansējumu 170</w:t>
            </w:r>
            <w:r w:rsidR="00281E6C" w:rsidRPr="00551B31">
              <w:t> </w:t>
            </w:r>
            <w:r w:rsidRPr="00551B31">
              <w:t>365,46 EUR apmērā.</w:t>
            </w:r>
          </w:p>
          <w:p w:rsidR="000E79FF" w:rsidRPr="00551B31" w:rsidRDefault="000E79FF" w:rsidP="000E79FF">
            <w:pPr>
              <w:spacing w:after="0" w:line="240" w:lineRule="auto"/>
              <w:jc w:val="both"/>
              <w:rPr>
                <w:rFonts w:ascii="Times New Roman" w:hAnsi="Times New Roman" w:cs="Times New Roman"/>
                <w:sz w:val="24"/>
                <w:szCs w:val="24"/>
              </w:rPr>
            </w:pPr>
            <w:r w:rsidRPr="00551B31">
              <w:rPr>
                <w:rFonts w:ascii="Times New Roman" w:hAnsi="Times New Roman" w:cs="Times New Roman"/>
                <w:sz w:val="24"/>
                <w:szCs w:val="24"/>
              </w:rPr>
              <w:t>Kopējais 1.4.1.1.1.apapkšaktivitātei piešķirtais attiecināmais finansējums ir 20</w:t>
            </w:r>
            <w:r w:rsidR="00295EA4" w:rsidRPr="00551B31">
              <w:rPr>
                <w:rFonts w:ascii="Times New Roman" w:hAnsi="Times New Roman" w:cs="Times New Roman"/>
                <w:sz w:val="24"/>
                <w:szCs w:val="24"/>
              </w:rPr>
              <w:t> </w:t>
            </w:r>
            <w:r w:rsidRPr="00551B31">
              <w:rPr>
                <w:rFonts w:ascii="Times New Roman" w:hAnsi="Times New Roman" w:cs="Times New Roman"/>
                <w:sz w:val="24"/>
                <w:szCs w:val="24"/>
              </w:rPr>
              <w:t>298 719,22 EUR, tai skaitā ESF finansējums 18</w:t>
            </w:r>
            <w:r w:rsidR="00295EA4" w:rsidRPr="00551B31">
              <w:rPr>
                <w:rFonts w:ascii="Times New Roman" w:hAnsi="Times New Roman" w:cs="Times New Roman"/>
                <w:sz w:val="24"/>
                <w:szCs w:val="24"/>
              </w:rPr>
              <w:t> </w:t>
            </w:r>
            <w:r w:rsidRPr="00551B31">
              <w:rPr>
                <w:rFonts w:ascii="Times New Roman" w:hAnsi="Times New Roman" w:cs="Times New Roman"/>
                <w:sz w:val="24"/>
                <w:szCs w:val="24"/>
              </w:rPr>
              <w:t>699 018,76 EUR un valsts budžeta finansējums 1</w:t>
            </w:r>
            <w:r w:rsidR="00295EA4" w:rsidRPr="00551B31">
              <w:rPr>
                <w:rFonts w:ascii="Times New Roman" w:hAnsi="Times New Roman" w:cs="Times New Roman"/>
                <w:sz w:val="24"/>
                <w:szCs w:val="24"/>
              </w:rPr>
              <w:t> </w:t>
            </w:r>
            <w:r w:rsidRPr="00551B31">
              <w:rPr>
                <w:rFonts w:ascii="Times New Roman" w:hAnsi="Times New Roman" w:cs="Times New Roman"/>
                <w:sz w:val="24"/>
                <w:szCs w:val="24"/>
              </w:rPr>
              <w:t>599 700,46 EUR.</w:t>
            </w:r>
          </w:p>
          <w:p w:rsidR="000E79FF" w:rsidRPr="00970BC1" w:rsidRDefault="000E79FF" w:rsidP="000E79FF">
            <w:pPr>
              <w:spacing w:after="0" w:line="240" w:lineRule="auto"/>
              <w:jc w:val="both"/>
              <w:rPr>
                <w:rFonts w:ascii="Times New Roman" w:hAnsi="Times New Roman" w:cs="Times New Roman"/>
                <w:sz w:val="24"/>
                <w:szCs w:val="24"/>
              </w:rPr>
            </w:pPr>
            <w:r w:rsidRPr="00551B31">
              <w:rPr>
                <w:rFonts w:ascii="Times New Roman" w:hAnsi="Times New Roman" w:cs="Times New Roman"/>
                <w:sz w:val="24"/>
                <w:szCs w:val="24"/>
                <w:u w:val="single"/>
              </w:rPr>
              <w:t xml:space="preserve">Līdz </w:t>
            </w:r>
            <w:proofErr w:type="gramStart"/>
            <w:r w:rsidRPr="00551B31">
              <w:rPr>
                <w:rFonts w:ascii="Times New Roman" w:hAnsi="Times New Roman" w:cs="Times New Roman"/>
                <w:sz w:val="24"/>
                <w:szCs w:val="24"/>
                <w:u w:val="single"/>
              </w:rPr>
              <w:t>2013.gada</w:t>
            </w:r>
            <w:proofErr w:type="gramEnd"/>
            <w:r w:rsidRPr="00551B31">
              <w:rPr>
                <w:rFonts w:ascii="Times New Roman" w:hAnsi="Times New Roman" w:cs="Times New Roman"/>
                <w:sz w:val="24"/>
                <w:szCs w:val="24"/>
                <w:u w:val="single"/>
              </w:rPr>
              <w:t xml:space="preserve"> 31.decembrim</w:t>
            </w:r>
            <w:r w:rsidRPr="00551B31">
              <w:rPr>
                <w:rFonts w:ascii="Times New Roman" w:hAnsi="Times New Roman" w:cs="Times New Roman"/>
                <w:sz w:val="24"/>
                <w:szCs w:val="24"/>
              </w:rPr>
              <w:t xml:space="preserve"> </w:t>
            </w:r>
            <w:r w:rsidRPr="00551B31">
              <w:rPr>
                <w:rFonts w:ascii="Times New Roman" w:hAnsi="Times New Roman" w:cs="Times New Roman"/>
                <w:color w:val="000000"/>
                <w:sz w:val="24"/>
                <w:szCs w:val="24"/>
              </w:rPr>
              <w:t>budžetā izlietoti 16 532 245 EUR</w:t>
            </w:r>
            <w:r w:rsidRPr="00551B31">
              <w:rPr>
                <w:rFonts w:ascii="Times New Roman" w:hAnsi="Times New Roman" w:cs="Times New Roman"/>
                <w:sz w:val="24"/>
                <w:szCs w:val="24"/>
              </w:rPr>
              <w:t>, no tām kopējās attiecināmās izmaksas 16</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405</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325 EUR, tai skaitā ESF finansējums 14</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950</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275 EUR, valsts budžeta attiecināmais finansējums 1</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455</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050 EUR, valsts budžeta neattiecināmās izmaksas 82</w:t>
            </w:r>
            <w:r w:rsidR="003F64F8" w:rsidRPr="00551B31">
              <w:rPr>
                <w:rFonts w:ascii="Times New Roman" w:hAnsi="Times New Roman" w:cs="Times New Roman"/>
                <w:sz w:val="24"/>
                <w:szCs w:val="24"/>
              </w:rPr>
              <w:t> </w:t>
            </w:r>
            <w:r w:rsidRPr="00551B31">
              <w:rPr>
                <w:rFonts w:ascii="Times New Roman" w:hAnsi="Times New Roman" w:cs="Times New Roman"/>
                <w:sz w:val="24"/>
                <w:szCs w:val="24"/>
              </w:rPr>
              <w:t xml:space="preserve">357 EUR un </w:t>
            </w:r>
            <w:r w:rsidR="003F64F8" w:rsidRPr="00551B31">
              <w:rPr>
                <w:rFonts w:ascii="Times New Roman" w:hAnsi="Times New Roman" w:cs="Times New Roman"/>
                <w:sz w:val="24"/>
                <w:szCs w:val="24"/>
              </w:rPr>
              <w:t xml:space="preserve">izmaksas </w:t>
            </w:r>
            <w:r w:rsidRPr="00551B31">
              <w:rPr>
                <w:rFonts w:ascii="Times New Roman" w:hAnsi="Times New Roman" w:cs="Times New Roman"/>
                <w:sz w:val="24"/>
                <w:szCs w:val="24"/>
              </w:rPr>
              <w:t xml:space="preserve">44 563 EUR </w:t>
            </w:r>
            <w:r w:rsidR="003F64F8" w:rsidRPr="00551B31">
              <w:rPr>
                <w:rFonts w:ascii="Times New Roman" w:hAnsi="Times New Roman" w:cs="Times New Roman"/>
                <w:sz w:val="24"/>
                <w:szCs w:val="24"/>
              </w:rPr>
              <w:t xml:space="preserve">apmērā, kas izmaksātas </w:t>
            </w:r>
            <w:r w:rsidRPr="00551B31">
              <w:rPr>
                <w:rFonts w:ascii="Times New Roman" w:hAnsi="Times New Roman" w:cs="Times New Roman"/>
                <w:sz w:val="24"/>
                <w:szCs w:val="24"/>
              </w:rPr>
              <w:t>no valsts budžeta projekta mērķa grupas darba devējiem, bet vēlāk atmaksāti budžetā kā neizlietoti.</w:t>
            </w:r>
            <w:r w:rsidRPr="003F64F8">
              <w:rPr>
                <w:rFonts w:ascii="Times New Roman" w:hAnsi="Times New Roman" w:cs="Times New Roman"/>
                <w:b/>
                <w:sz w:val="24"/>
                <w:szCs w:val="24"/>
              </w:rPr>
              <w:t xml:space="preserve"> </w:t>
            </w:r>
            <w:r>
              <w:rPr>
                <w:rFonts w:ascii="Times New Roman" w:hAnsi="Times New Roman" w:cs="Times New Roman"/>
                <w:sz w:val="24"/>
                <w:szCs w:val="24"/>
              </w:rPr>
              <w:t xml:space="preserve">Papildus projektā izmantots </w:t>
            </w:r>
            <w:r w:rsidRPr="00970BC1">
              <w:rPr>
                <w:rFonts w:ascii="Times New Roman" w:hAnsi="Times New Roman" w:cs="Times New Roman"/>
                <w:sz w:val="24"/>
                <w:szCs w:val="24"/>
              </w:rPr>
              <w:t xml:space="preserve">Pasaules bankas neattiecināmais līdzfinansējums </w:t>
            </w:r>
            <w:r>
              <w:rPr>
                <w:rFonts w:ascii="Times New Roman" w:hAnsi="Times New Roman" w:cs="Times New Roman"/>
                <w:sz w:val="24"/>
                <w:szCs w:val="24"/>
              </w:rPr>
              <w:t>30 000 USD (</w:t>
            </w:r>
            <w:r w:rsidRPr="00970BC1">
              <w:rPr>
                <w:rFonts w:ascii="Times New Roman" w:hAnsi="Times New Roman" w:cs="Times New Roman"/>
                <w:sz w:val="24"/>
                <w:szCs w:val="24"/>
              </w:rPr>
              <w:t>23</w:t>
            </w:r>
            <w:r>
              <w:rPr>
                <w:rFonts w:ascii="Times New Roman" w:hAnsi="Times New Roman" w:cs="Times New Roman"/>
                <w:sz w:val="24"/>
                <w:szCs w:val="24"/>
              </w:rPr>
              <w:t> </w:t>
            </w:r>
            <w:r w:rsidRPr="00970BC1">
              <w:rPr>
                <w:rFonts w:ascii="Times New Roman" w:hAnsi="Times New Roman" w:cs="Times New Roman"/>
                <w:sz w:val="24"/>
                <w:szCs w:val="24"/>
              </w:rPr>
              <w:t>007 EUR</w:t>
            </w:r>
            <w:r>
              <w:rPr>
                <w:rFonts w:ascii="Times New Roman" w:hAnsi="Times New Roman" w:cs="Times New Roman"/>
                <w:sz w:val="24"/>
                <w:szCs w:val="24"/>
              </w:rPr>
              <w:t>)</w:t>
            </w:r>
            <w:r w:rsidRPr="00970BC1">
              <w:rPr>
                <w:rFonts w:ascii="Times New Roman" w:hAnsi="Times New Roman" w:cs="Times New Roman"/>
                <w:sz w:val="24"/>
                <w:szCs w:val="24"/>
              </w:rPr>
              <w:t>, kurš neveido valsts budžeta izdevumus.</w:t>
            </w:r>
          </w:p>
          <w:p w:rsidR="000E79FF" w:rsidRPr="00551B31" w:rsidRDefault="000E79FF" w:rsidP="000E79FF">
            <w:pPr>
              <w:spacing w:after="0" w:line="240" w:lineRule="auto"/>
              <w:jc w:val="both"/>
              <w:rPr>
                <w:rFonts w:ascii="Times New Roman" w:hAnsi="Times New Roman" w:cs="Times New Roman"/>
                <w:sz w:val="24"/>
                <w:szCs w:val="24"/>
              </w:rPr>
            </w:pPr>
            <w:proofErr w:type="gramStart"/>
            <w:r w:rsidRPr="0053369D">
              <w:rPr>
                <w:rFonts w:ascii="Times New Roman" w:hAnsi="Times New Roman" w:cs="Times New Roman"/>
                <w:sz w:val="24"/>
                <w:szCs w:val="24"/>
                <w:u w:val="single"/>
              </w:rPr>
              <w:t>2014.gadam</w:t>
            </w:r>
            <w:proofErr w:type="gramEnd"/>
            <w:r w:rsidRPr="00970BC1">
              <w:rPr>
                <w:rFonts w:ascii="Times New Roman" w:hAnsi="Times New Roman" w:cs="Times New Roman"/>
                <w:sz w:val="24"/>
                <w:szCs w:val="24"/>
              </w:rPr>
              <w:t xml:space="preserve"> indikatīvi projekta </w:t>
            </w:r>
            <w:r>
              <w:rPr>
                <w:rFonts w:ascii="Times New Roman" w:hAnsi="Times New Roman" w:cs="Times New Roman"/>
                <w:sz w:val="24"/>
                <w:szCs w:val="24"/>
              </w:rPr>
              <w:t xml:space="preserve">kopējās </w:t>
            </w:r>
            <w:r w:rsidRPr="00551B31">
              <w:rPr>
                <w:rFonts w:ascii="Times New Roman" w:hAnsi="Times New Roman" w:cs="Times New Roman"/>
                <w:sz w:val="24"/>
                <w:szCs w:val="24"/>
              </w:rPr>
              <w:t>izmaksas 2</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927</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149 EUR, no tām kopējās attiecināmās izmaksas 2</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927</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149 EUR, tai skaitā ESF finansējums 2</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864</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449 EUR un valsts budžeta attiecināmais finansējums 62</w:t>
            </w:r>
            <w:r w:rsidR="009B7DBA" w:rsidRPr="00551B31">
              <w:rPr>
                <w:rFonts w:ascii="Times New Roman" w:hAnsi="Times New Roman" w:cs="Times New Roman"/>
                <w:sz w:val="24"/>
                <w:szCs w:val="24"/>
              </w:rPr>
              <w:t> </w:t>
            </w:r>
            <w:r w:rsidRPr="00551B31">
              <w:rPr>
                <w:rFonts w:ascii="Times New Roman" w:hAnsi="Times New Roman" w:cs="Times New Roman"/>
                <w:sz w:val="24"/>
                <w:szCs w:val="24"/>
              </w:rPr>
              <w:t>700 EUR.</w:t>
            </w:r>
          </w:p>
          <w:p w:rsidR="000E79FF" w:rsidRPr="00551B31" w:rsidRDefault="000E79FF" w:rsidP="000E79FF">
            <w:pPr>
              <w:spacing w:after="0" w:line="240" w:lineRule="auto"/>
              <w:jc w:val="both"/>
              <w:rPr>
                <w:rFonts w:ascii="Times New Roman" w:hAnsi="Times New Roman" w:cs="Times New Roman"/>
                <w:sz w:val="24"/>
                <w:szCs w:val="24"/>
              </w:rPr>
            </w:pPr>
            <w:r w:rsidRPr="00551B31">
              <w:rPr>
                <w:rFonts w:ascii="Times New Roman" w:hAnsi="Times New Roman" w:cs="Times New Roman"/>
                <w:sz w:val="24"/>
                <w:szCs w:val="24"/>
              </w:rPr>
              <w:t xml:space="preserve">Saskaņā ar </w:t>
            </w:r>
            <w:r w:rsidRPr="00551B31">
              <w:rPr>
                <w:rFonts w:ascii="Times New Roman" w:hAnsi="Times New Roman"/>
                <w:sz w:val="24"/>
                <w:szCs w:val="24"/>
              </w:rPr>
              <w:t xml:space="preserve">Saeimā </w:t>
            </w:r>
            <w:proofErr w:type="gramStart"/>
            <w:r w:rsidRPr="00551B31">
              <w:rPr>
                <w:rFonts w:ascii="Times New Roman" w:hAnsi="Times New Roman"/>
                <w:sz w:val="24"/>
                <w:szCs w:val="24"/>
              </w:rPr>
              <w:t>2013.gada</w:t>
            </w:r>
            <w:proofErr w:type="gramEnd"/>
            <w:r w:rsidRPr="00551B31">
              <w:rPr>
                <w:rFonts w:ascii="Times New Roman" w:hAnsi="Times New Roman"/>
                <w:sz w:val="24"/>
                <w:szCs w:val="24"/>
              </w:rPr>
              <w:t xml:space="preserve"> 7.novembrī pieņemto </w:t>
            </w:r>
            <w:r w:rsidRPr="00551B31">
              <w:rPr>
                <w:rFonts w:ascii="Times New Roman" w:hAnsi="Times New Roman" w:cs="Times New Roman"/>
                <w:sz w:val="24"/>
                <w:szCs w:val="24"/>
              </w:rPr>
              <w:t>likumu „Par valsts budžetu 2014.gadam” projekta ieviešanai paredzēts finansējums 1 770 055 EUR, un tas ir par 1</w:t>
            </w:r>
            <w:r w:rsidR="0051753C" w:rsidRPr="00551B31">
              <w:rPr>
                <w:rFonts w:ascii="Times New Roman" w:hAnsi="Times New Roman" w:cs="Times New Roman"/>
                <w:sz w:val="24"/>
                <w:szCs w:val="24"/>
              </w:rPr>
              <w:t> </w:t>
            </w:r>
            <w:r w:rsidRPr="00551B31">
              <w:rPr>
                <w:rFonts w:ascii="Times New Roman" w:hAnsi="Times New Roman" w:cs="Times New Roman"/>
                <w:sz w:val="24"/>
                <w:szCs w:val="24"/>
              </w:rPr>
              <w:t>157</w:t>
            </w:r>
            <w:r w:rsidR="0051753C" w:rsidRPr="00551B31">
              <w:rPr>
                <w:rFonts w:ascii="Times New Roman" w:hAnsi="Times New Roman" w:cs="Times New Roman"/>
                <w:sz w:val="24"/>
                <w:szCs w:val="24"/>
              </w:rPr>
              <w:t> </w:t>
            </w:r>
            <w:r w:rsidRPr="00551B31">
              <w:rPr>
                <w:rFonts w:ascii="Times New Roman" w:hAnsi="Times New Roman" w:cs="Times New Roman"/>
                <w:sz w:val="24"/>
                <w:szCs w:val="24"/>
              </w:rPr>
              <w:t xml:space="preserve">094 EUR mazāk kā paredzētie izdevumi projekta ietvaros. Starpību veido aktivitātei pārdalāmais papildu finansējums 1 141 067 EUR apmērā un </w:t>
            </w:r>
            <w:proofErr w:type="gramStart"/>
            <w:r w:rsidRPr="00551B31">
              <w:rPr>
                <w:rFonts w:ascii="Times New Roman" w:hAnsi="Times New Roman" w:cs="Times New Roman"/>
                <w:sz w:val="24"/>
                <w:szCs w:val="24"/>
              </w:rPr>
              <w:t>2013.gada</w:t>
            </w:r>
            <w:proofErr w:type="gramEnd"/>
            <w:r w:rsidRPr="00551B31">
              <w:rPr>
                <w:rFonts w:ascii="Times New Roman" w:hAnsi="Times New Roman" w:cs="Times New Roman"/>
                <w:sz w:val="24"/>
                <w:szCs w:val="24"/>
              </w:rPr>
              <w:t xml:space="preserve"> finansējuma atlikums 16 027 EUR apmērā.</w:t>
            </w:r>
          </w:p>
          <w:p w:rsidR="000E79FF" w:rsidRPr="00970BC1" w:rsidRDefault="000E79FF" w:rsidP="000E79FF">
            <w:pPr>
              <w:spacing w:after="0" w:line="240" w:lineRule="auto"/>
              <w:jc w:val="both"/>
              <w:rPr>
                <w:rFonts w:ascii="Times New Roman" w:hAnsi="Times New Roman" w:cs="Times New Roman"/>
                <w:sz w:val="24"/>
                <w:szCs w:val="24"/>
              </w:rPr>
            </w:pPr>
            <w:r w:rsidRPr="00551B31">
              <w:rPr>
                <w:rFonts w:ascii="Times New Roman" w:hAnsi="Times New Roman" w:cs="Times New Roman"/>
                <w:sz w:val="24"/>
                <w:szCs w:val="24"/>
              </w:rPr>
              <w:t xml:space="preserve">Saskaņā ar projekta aprakstā norādīto, </w:t>
            </w:r>
            <w:proofErr w:type="gramStart"/>
            <w:r w:rsidRPr="00551B31">
              <w:rPr>
                <w:rFonts w:ascii="Times New Roman" w:hAnsi="Times New Roman" w:cs="Times New Roman"/>
                <w:sz w:val="24"/>
                <w:szCs w:val="24"/>
                <w:u w:val="single"/>
              </w:rPr>
              <w:t>2015.gadam</w:t>
            </w:r>
            <w:proofErr w:type="gramEnd"/>
            <w:r w:rsidRPr="00551B31">
              <w:rPr>
                <w:rFonts w:ascii="Times New Roman" w:hAnsi="Times New Roman" w:cs="Times New Roman"/>
                <w:sz w:val="24"/>
                <w:szCs w:val="24"/>
              </w:rPr>
              <w:t xml:space="preserve"> projekta</w:t>
            </w:r>
            <w:r w:rsidRPr="00970BC1">
              <w:rPr>
                <w:rFonts w:ascii="Times New Roman" w:hAnsi="Times New Roman" w:cs="Times New Roman"/>
                <w:sz w:val="24"/>
                <w:szCs w:val="24"/>
              </w:rPr>
              <w:t xml:space="preserve"> kopējais finansējums indikatīvi paredzams 937 487 EUR, no tā attiecināmās izmaksas 937 487 EUR, tai skaitā ESF finansējums 858 642 EUR un valsts budžeta attiecināmais finansējums  78 845 EUR. Projekta finanšu plānā </w:t>
            </w:r>
            <w:proofErr w:type="gramStart"/>
            <w:r w:rsidRPr="00970BC1">
              <w:rPr>
                <w:rFonts w:ascii="Times New Roman" w:hAnsi="Times New Roman" w:cs="Times New Roman"/>
                <w:sz w:val="24"/>
                <w:szCs w:val="24"/>
              </w:rPr>
              <w:t>2015.gadam</w:t>
            </w:r>
            <w:proofErr w:type="gramEnd"/>
            <w:r w:rsidRPr="00970BC1">
              <w:rPr>
                <w:rFonts w:ascii="Times New Roman" w:hAnsi="Times New Roman" w:cs="Times New Roman"/>
                <w:sz w:val="24"/>
                <w:szCs w:val="24"/>
              </w:rPr>
              <w:t xml:space="preserve"> saskaņā ar vadošās iestādes metodikas „Metodika par netiešo izmaksu nemainīgās likmes plānošanu un piemērošanu” 3.5.1.punktu iekļauts finanšu ietaupīj</w:t>
            </w:r>
            <w:r>
              <w:rPr>
                <w:rFonts w:ascii="Times New Roman" w:hAnsi="Times New Roman" w:cs="Times New Roman"/>
                <w:sz w:val="24"/>
                <w:szCs w:val="24"/>
              </w:rPr>
              <w:t xml:space="preserve">ums </w:t>
            </w:r>
            <w:r w:rsidRPr="00970BC1">
              <w:rPr>
                <w:rFonts w:ascii="Times New Roman" w:hAnsi="Times New Roman" w:cs="Times New Roman"/>
                <w:sz w:val="24"/>
                <w:szCs w:val="24"/>
              </w:rPr>
              <w:t xml:space="preserve">no iepriekšējo gadu netiešo izmaksu nemainīgās likmes piemērošanas. Reālas projekta tiešās attiecināmās izmaksas </w:t>
            </w:r>
            <w:proofErr w:type="gramStart"/>
            <w:r w:rsidRPr="00970BC1">
              <w:rPr>
                <w:rFonts w:ascii="Times New Roman" w:hAnsi="Times New Roman" w:cs="Times New Roman"/>
                <w:sz w:val="24"/>
                <w:szCs w:val="24"/>
              </w:rPr>
              <w:t>2015.gadā</w:t>
            </w:r>
            <w:proofErr w:type="gramEnd"/>
            <w:r w:rsidRPr="00970BC1">
              <w:rPr>
                <w:rFonts w:ascii="Times New Roman" w:hAnsi="Times New Roman" w:cs="Times New Roman"/>
                <w:sz w:val="24"/>
                <w:szCs w:val="24"/>
              </w:rPr>
              <w:t xml:space="preserve"> nav plānotas, tāpēc atmaksas </w:t>
            </w:r>
            <w:r w:rsidRPr="00970BC1">
              <w:rPr>
                <w:rFonts w:ascii="Times New Roman" w:hAnsi="Times New Roman" w:cs="Times New Roman"/>
                <w:sz w:val="24"/>
                <w:szCs w:val="24"/>
              </w:rPr>
              <w:lastRenderedPageBreak/>
              <w:t xml:space="preserve">valsts budžetā netiks veiktas. Reālās projekta izmaksas </w:t>
            </w:r>
            <w:proofErr w:type="gramStart"/>
            <w:r w:rsidRPr="00970BC1">
              <w:rPr>
                <w:rFonts w:ascii="Times New Roman" w:hAnsi="Times New Roman" w:cs="Times New Roman"/>
                <w:sz w:val="24"/>
                <w:szCs w:val="24"/>
              </w:rPr>
              <w:t>2015.gadā</w:t>
            </w:r>
            <w:proofErr w:type="gramEnd"/>
            <w:r w:rsidRPr="00970BC1">
              <w:rPr>
                <w:rFonts w:ascii="Times New Roman" w:hAnsi="Times New Roman" w:cs="Times New Roman"/>
                <w:sz w:val="24"/>
                <w:szCs w:val="24"/>
              </w:rPr>
              <w:t xml:space="preserve"> sagaidāmas indikatīvi 28 457 EUR administratīvajām izmaksām projekta noslēgšanai.</w:t>
            </w:r>
          </w:p>
          <w:p w:rsidR="000E79FF" w:rsidRPr="00970BC1" w:rsidRDefault="000E79FF" w:rsidP="000E79FF">
            <w:pPr>
              <w:spacing w:after="0" w:line="240" w:lineRule="auto"/>
              <w:jc w:val="both"/>
              <w:rPr>
                <w:rFonts w:ascii="Times New Roman" w:hAnsi="Times New Roman" w:cs="Times New Roman"/>
                <w:sz w:val="24"/>
                <w:szCs w:val="24"/>
              </w:rPr>
            </w:pPr>
            <w:r w:rsidRPr="00970BC1">
              <w:rPr>
                <w:rFonts w:ascii="Times New Roman" w:hAnsi="Times New Roman" w:cs="Times New Roman"/>
                <w:sz w:val="24"/>
                <w:szCs w:val="24"/>
              </w:rPr>
              <w:t xml:space="preserve">Saskaņā ar likumu „Par vidēja termiņa budžeta ietvaru 2014., 2015. un </w:t>
            </w:r>
            <w:proofErr w:type="gramStart"/>
            <w:r w:rsidRPr="00970BC1">
              <w:rPr>
                <w:rFonts w:ascii="Times New Roman" w:hAnsi="Times New Roman" w:cs="Times New Roman"/>
                <w:sz w:val="24"/>
                <w:szCs w:val="24"/>
              </w:rPr>
              <w:t>2016.gadam</w:t>
            </w:r>
            <w:proofErr w:type="gramEnd"/>
            <w:r w:rsidRPr="00970BC1">
              <w:rPr>
                <w:rFonts w:ascii="Times New Roman" w:hAnsi="Times New Roman" w:cs="Times New Roman"/>
                <w:sz w:val="24"/>
                <w:szCs w:val="24"/>
              </w:rPr>
              <w:t>” finansējums projekta ieviešanai 2015.gadā šobrīd nav paredzēts.</w:t>
            </w:r>
          </w:p>
          <w:p w:rsidR="00820527" w:rsidRDefault="000E79FF" w:rsidP="00820527">
            <w:pPr>
              <w:spacing w:after="0" w:line="240" w:lineRule="auto"/>
              <w:jc w:val="both"/>
              <w:rPr>
                <w:rFonts w:ascii="Times New Roman" w:hAnsi="Times New Roman" w:cs="Times New Roman"/>
                <w:sz w:val="24"/>
                <w:szCs w:val="24"/>
              </w:rPr>
            </w:pPr>
            <w:r w:rsidRPr="00970BC1">
              <w:rPr>
                <w:rFonts w:ascii="Times New Roman" w:hAnsi="Times New Roman" w:cs="Times New Roman"/>
                <w:sz w:val="24"/>
                <w:szCs w:val="24"/>
              </w:rPr>
              <w:t xml:space="preserve">Precīzs finansējuma sadalījums 2014. un </w:t>
            </w:r>
            <w:proofErr w:type="gramStart"/>
            <w:r w:rsidRPr="00970BC1">
              <w:rPr>
                <w:rFonts w:ascii="Times New Roman" w:hAnsi="Times New Roman" w:cs="Times New Roman"/>
                <w:sz w:val="24"/>
                <w:szCs w:val="24"/>
              </w:rPr>
              <w:t>2015.gadam</w:t>
            </w:r>
            <w:proofErr w:type="gramEnd"/>
            <w:r w:rsidRPr="00970BC1">
              <w:rPr>
                <w:rFonts w:ascii="Times New Roman" w:hAnsi="Times New Roman" w:cs="Times New Roman"/>
                <w:sz w:val="24"/>
                <w:szCs w:val="24"/>
              </w:rPr>
              <w:t xml:space="preserve"> būs zināms pēc projekta grozījumu apstiprināšanas</w:t>
            </w:r>
            <w:r w:rsidR="00820527" w:rsidRPr="00B46D66">
              <w:rPr>
                <w:rFonts w:ascii="Times New Roman" w:hAnsi="Times New Roman" w:cs="Times New Roman"/>
                <w:sz w:val="24"/>
                <w:szCs w:val="24"/>
              </w:rPr>
              <w:t>.</w:t>
            </w:r>
          </w:p>
          <w:p w:rsidR="00324997" w:rsidRPr="00625809" w:rsidRDefault="00324997" w:rsidP="00324997">
            <w:pPr>
              <w:autoSpaceDE w:val="0"/>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Informācija apkopota uz 01.03.2014.</w:t>
            </w:r>
          </w:p>
          <w:p w:rsidR="00820527" w:rsidRPr="00B46D66" w:rsidRDefault="00820527" w:rsidP="00820527">
            <w:pPr>
              <w:spacing w:after="0" w:line="240" w:lineRule="auto"/>
              <w:jc w:val="both"/>
              <w:rPr>
                <w:rFonts w:ascii="Times New Roman" w:hAnsi="Times New Roman" w:cs="Times New Roman"/>
                <w:sz w:val="24"/>
                <w:szCs w:val="24"/>
              </w:rPr>
            </w:pPr>
          </w:p>
          <w:p w:rsidR="00820527" w:rsidRPr="00AF7AF4" w:rsidRDefault="00820527" w:rsidP="00820527">
            <w:pPr>
              <w:spacing w:after="0" w:line="240" w:lineRule="auto"/>
              <w:jc w:val="both"/>
              <w:rPr>
                <w:rFonts w:ascii="Times New Roman" w:hAnsi="Times New Roman" w:cs="Times New Roman"/>
                <w:b/>
                <w:sz w:val="24"/>
                <w:szCs w:val="24"/>
              </w:rPr>
            </w:pPr>
            <w:r w:rsidRPr="00AF7AF4">
              <w:rPr>
                <w:rFonts w:ascii="Times New Roman" w:hAnsi="Times New Roman" w:cs="Times New Roman"/>
                <w:b/>
                <w:sz w:val="24"/>
                <w:szCs w:val="24"/>
              </w:rPr>
              <w:t>1.4.1.2.4.apakšaktivitāte</w:t>
            </w:r>
          </w:p>
          <w:p w:rsidR="00820527" w:rsidRPr="00E673FB" w:rsidRDefault="00820527" w:rsidP="00820527">
            <w:pPr>
              <w:spacing w:after="0" w:line="240" w:lineRule="auto"/>
              <w:jc w:val="both"/>
              <w:rPr>
                <w:rFonts w:ascii="Times New Roman" w:hAnsi="Times New Roman" w:cs="Times New Roman"/>
                <w:sz w:val="24"/>
                <w:szCs w:val="24"/>
              </w:rPr>
            </w:pPr>
            <w:r w:rsidRPr="00E673FB">
              <w:rPr>
                <w:rFonts w:ascii="Times New Roman" w:hAnsi="Times New Roman" w:cs="Times New Roman"/>
                <w:sz w:val="24"/>
                <w:szCs w:val="24"/>
              </w:rPr>
              <w:t>Budžeta izdevumi ir kopējie maksājumi finansējuma saņēmējiem attiecīgajā gadā</w:t>
            </w:r>
            <w:r w:rsidR="00EB6441">
              <w:rPr>
                <w:rFonts w:ascii="Times New Roman" w:hAnsi="Times New Roman" w:cs="Times New Roman"/>
                <w:sz w:val="24"/>
                <w:szCs w:val="24"/>
              </w:rPr>
              <w:t>,</w:t>
            </w:r>
            <w:r w:rsidRPr="00E673FB">
              <w:rPr>
                <w:rFonts w:ascii="Times New Roman" w:hAnsi="Times New Roman" w:cs="Times New Roman"/>
                <w:sz w:val="24"/>
                <w:szCs w:val="24"/>
              </w:rPr>
              <w:t xml:space="preserve"> un budžeta ieņēmumi ir finansējuma ESF daļa. ESF finansējuma apmērs apakšaktivitātes pirmajai kārtai ir 85% no kopējām attiecināmajām projektu izmaksām un otrajai kārtai 100% no attiecināmajām izmaksām.</w:t>
            </w:r>
          </w:p>
          <w:p w:rsidR="00820527" w:rsidRPr="00B46D66" w:rsidRDefault="00820527" w:rsidP="00820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1.4.1.2.4.apakša</w:t>
            </w:r>
            <w:r w:rsidRPr="00B46D66">
              <w:rPr>
                <w:rFonts w:ascii="Times New Roman" w:hAnsi="Times New Roman" w:cs="Times New Roman"/>
                <w:sz w:val="24"/>
                <w:szCs w:val="24"/>
              </w:rPr>
              <w:t>ktivitātes 2.kārtas 1.</w:t>
            </w:r>
            <w:r>
              <w:rPr>
                <w:rFonts w:ascii="Times New Roman" w:hAnsi="Times New Roman" w:cs="Times New Roman"/>
                <w:sz w:val="24"/>
                <w:szCs w:val="24"/>
              </w:rPr>
              <w:t>apakškārtas</w:t>
            </w:r>
            <w:r w:rsidRPr="00B46D66">
              <w:rPr>
                <w:rFonts w:ascii="Times New Roman" w:hAnsi="Times New Roman" w:cs="Times New Roman"/>
                <w:sz w:val="24"/>
                <w:szCs w:val="24"/>
              </w:rPr>
              <w:t xml:space="preserve"> ESF finansējums ir 100% no projektu attiecināmajām izmaksām. Papildus finansējuma saņēmējiem no valsts budžeta tiek kompensēti zaudējumi, kuri radušies netiešo attiecināmo izmaksu nemainīgās likmes piemērošanas metodikas maiņas rezultātā.</w:t>
            </w:r>
          </w:p>
          <w:p w:rsidR="00820527" w:rsidRPr="00B46D66" w:rsidRDefault="00820527" w:rsidP="00820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1.4.1.2.4.apakša</w:t>
            </w:r>
            <w:r w:rsidRPr="00B46D66">
              <w:rPr>
                <w:rFonts w:ascii="Times New Roman" w:hAnsi="Times New Roman" w:cs="Times New Roman"/>
                <w:sz w:val="24"/>
                <w:szCs w:val="24"/>
              </w:rPr>
              <w:t>ktivitātes</w:t>
            </w:r>
            <w:r>
              <w:rPr>
                <w:rFonts w:ascii="Times New Roman" w:hAnsi="Times New Roman" w:cs="Times New Roman"/>
                <w:sz w:val="24"/>
                <w:szCs w:val="24"/>
              </w:rPr>
              <w:t xml:space="preserve"> 2.kārtas 2.apakškārtas</w:t>
            </w:r>
            <w:r w:rsidRPr="00B46D66">
              <w:rPr>
                <w:rFonts w:ascii="Times New Roman" w:hAnsi="Times New Roman" w:cs="Times New Roman"/>
                <w:sz w:val="24"/>
                <w:szCs w:val="24"/>
              </w:rPr>
              <w:t xml:space="preserve"> ESF finansējums ir 100% no </w:t>
            </w:r>
            <w:r>
              <w:rPr>
                <w:rFonts w:ascii="Times New Roman" w:hAnsi="Times New Roman" w:cs="Times New Roman"/>
                <w:sz w:val="24"/>
                <w:szCs w:val="24"/>
              </w:rPr>
              <w:t xml:space="preserve">projektu </w:t>
            </w:r>
            <w:r w:rsidRPr="00B46D66">
              <w:rPr>
                <w:rFonts w:ascii="Times New Roman" w:hAnsi="Times New Roman" w:cs="Times New Roman"/>
                <w:sz w:val="24"/>
                <w:szCs w:val="24"/>
              </w:rPr>
              <w:t>attiecināmajām izmaksām.</w:t>
            </w:r>
          </w:p>
          <w:p w:rsidR="00820527" w:rsidRPr="005955B6" w:rsidRDefault="00820527" w:rsidP="00820527">
            <w:pPr>
              <w:spacing w:after="0" w:line="240" w:lineRule="auto"/>
              <w:jc w:val="both"/>
              <w:rPr>
                <w:rFonts w:ascii="Times New Roman" w:hAnsi="Times New Roman" w:cs="Times New Roman"/>
                <w:sz w:val="24"/>
                <w:szCs w:val="24"/>
              </w:rPr>
            </w:pPr>
            <w:r w:rsidRPr="00E673FB">
              <w:rPr>
                <w:rFonts w:ascii="Times New Roman" w:hAnsi="Times New Roman" w:cs="Times New Roman"/>
                <w:sz w:val="24"/>
                <w:szCs w:val="24"/>
              </w:rPr>
              <w:t xml:space="preserve">Ar šiem grozījumiem </w:t>
            </w:r>
            <w:r w:rsidRPr="005955B6">
              <w:rPr>
                <w:rFonts w:ascii="Times New Roman" w:hAnsi="Times New Roman" w:cs="Times New Roman"/>
                <w:sz w:val="24"/>
                <w:szCs w:val="24"/>
              </w:rPr>
              <w:t xml:space="preserve">DPP 1.4.1.2.4.apakšaktivitātei pieejamais finansējums tiek samazināts par </w:t>
            </w:r>
            <w:r w:rsidR="000E79FF" w:rsidRPr="005955B6">
              <w:rPr>
                <w:rFonts w:ascii="Times New Roman" w:hAnsi="Times New Roman" w:cs="Times New Roman"/>
                <w:sz w:val="24"/>
                <w:szCs w:val="24"/>
              </w:rPr>
              <w:t>1</w:t>
            </w:r>
            <w:r w:rsidR="00946B53" w:rsidRPr="005955B6">
              <w:rPr>
                <w:rFonts w:ascii="Times New Roman" w:hAnsi="Times New Roman" w:cs="Times New Roman"/>
                <w:sz w:val="24"/>
                <w:szCs w:val="24"/>
              </w:rPr>
              <w:t> </w:t>
            </w:r>
            <w:r w:rsidR="000E79FF" w:rsidRPr="005955B6">
              <w:rPr>
                <w:rFonts w:ascii="Times New Roman" w:hAnsi="Times New Roman" w:cs="Times New Roman"/>
                <w:sz w:val="24"/>
                <w:szCs w:val="24"/>
              </w:rPr>
              <w:t>141</w:t>
            </w:r>
            <w:r w:rsidR="00946B53" w:rsidRPr="005955B6">
              <w:rPr>
                <w:rFonts w:ascii="Times New Roman" w:hAnsi="Times New Roman" w:cs="Times New Roman"/>
                <w:sz w:val="24"/>
                <w:szCs w:val="24"/>
              </w:rPr>
              <w:t> </w:t>
            </w:r>
            <w:r w:rsidR="000E79FF" w:rsidRPr="005955B6">
              <w:rPr>
                <w:rFonts w:ascii="Times New Roman" w:hAnsi="Times New Roman" w:cs="Times New Roman"/>
                <w:sz w:val="24"/>
                <w:szCs w:val="24"/>
              </w:rPr>
              <w:t>067</w:t>
            </w:r>
            <w:r w:rsidRPr="005955B6">
              <w:rPr>
                <w:rFonts w:ascii="Times New Roman" w:hAnsi="Times New Roman" w:cs="Times New Roman"/>
                <w:sz w:val="24"/>
                <w:szCs w:val="24"/>
              </w:rPr>
              <w:t xml:space="preserve"> EUR no 13 825 823 EUR uz </w:t>
            </w:r>
            <w:r w:rsidR="00B85672" w:rsidRPr="005955B6">
              <w:rPr>
                <w:rFonts w:ascii="Times New Roman" w:hAnsi="Times New Roman" w:cs="Times New Roman"/>
                <w:sz w:val="24"/>
                <w:szCs w:val="24"/>
              </w:rPr>
              <w:t>12</w:t>
            </w:r>
            <w:r w:rsidR="00946B53" w:rsidRPr="005955B6">
              <w:rPr>
                <w:rFonts w:ascii="Times New Roman" w:hAnsi="Times New Roman" w:cs="Times New Roman"/>
                <w:sz w:val="24"/>
                <w:szCs w:val="24"/>
              </w:rPr>
              <w:t> </w:t>
            </w:r>
            <w:r w:rsidR="00B85672" w:rsidRPr="005955B6">
              <w:rPr>
                <w:rFonts w:ascii="Times New Roman" w:hAnsi="Times New Roman" w:cs="Times New Roman"/>
                <w:sz w:val="24"/>
                <w:szCs w:val="24"/>
              </w:rPr>
              <w:t>684</w:t>
            </w:r>
            <w:r w:rsidR="00946B53" w:rsidRPr="005955B6">
              <w:rPr>
                <w:rFonts w:ascii="Times New Roman" w:hAnsi="Times New Roman" w:cs="Times New Roman"/>
                <w:sz w:val="24"/>
                <w:szCs w:val="24"/>
              </w:rPr>
              <w:t> </w:t>
            </w:r>
            <w:r w:rsidR="00B85672" w:rsidRPr="005955B6">
              <w:rPr>
                <w:rFonts w:ascii="Times New Roman" w:hAnsi="Times New Roman" w:cs="Times New Roman"/>
                <w:sz w:val="24"/>
                <w:szCs w:val="24"/>
              </w:rPr>
              <w:t>756</w:t>
            </w:r>
            <w:r w:rsidRPr="005955B6">
              <w:rPr>
                <w:rFonts w:ascii="Times New Roman" w:hAnsi="Times New Roman" w:cs="Times New Roman"/>
                <w:sz w:val="24"/>
                <w:szCs w:val="24"/>
              </w:rPr>
              <w:t xml:space="preserve"> EUR, tai skaitā ESF finansējums no 13 691 864 EUR uz </w:t>
            </w:r>
            <w:r w:rsidR="00B85672" w:rsidRPr="005955B6">
              <w:rPr>
                <w:rFonts w:ascii="Times New Roman" w:hAnsi="Times New Roman" w:cs="Times New Roman"/>
                <w:sz w:val="24"/>
                <w:szCs w:val="24"/>
              </w:rPr>
              <w:t>12</w:t>
            </w:r>
            <w:r w:rsidR="00946B53" w:rsidRPr="005955B6">
              <w:rPr>
                <w:rFonts w:ascii="Times New Roman" w:hAnsi="Times New Roman" w:cs="Times New Roman"/>
                <w:sz w:val="24"/>
                <w:szCs w:val="24"/>
              </w:rPr>
              <w:t> </w:t>
            </w:r>
            <w:r w:rsidR="00B85672" w:rsidRPr="005955B6">
              <w:rPr>
                <w:rFonts w:ascii="Times New Roman" w:hAnsi="Times New Roman" w:cs="Times New Roman"/>
                <w:sz w:val="24"/>
                <w:szCs w:val="24"/>
              </w:rPr>
              <w:t>550</w:t>
            </w:r>
            <w:r w:rsidR="00946B53" w:rsidRPr="005955B6">
              <w:rPr>
                <w:rFonts w:ascii="Times New Roman" w:hAnsi="Times New Roman" w:cs="Times New Roman"/>
                <w:sz w:val="24"/>
                <w:szCs w:val="24"/>
              </w:rPr>
              <w:t> </w:t>
            </w:r>
            <w:r w:rsidR="00B85672" w:rsidRPr="005955B6">
              <w:rPr>
                <w:rFonts w:ascii="Times New Roman" w:hAnsi="Times New Roman" w:cs="Times New Roman"/>
                <w:sz w:val="24"/>
                <w:szCs w:val="24"/>
              </w:rPr>
              <w:t>797</w:t>
            </w:r>
            <w:r w:rsidRPr="005955B6">
              <w:rPr>
                <w:rFonts w:ascii="Times New Roman" w:hAnsi="Times New Roman" w:cs="Times New Roman"/>
                <w:sz w:val="24"/>
                <w:szCs w:val="24"/>
              </w:rPr>
              <w:t xml:space="preserve"> EUR, bet valsts budžeta finansējums paliek nemainīgs – 133 959 EUR.</w:t>
            </w:r>
          </w:p>
          <w:p w:rsidR="00820527" w:rsidRPr="00E673FB" w:rsidRDefault="00820527" w:rsidP="00820527">
            <w:pPr>
              <w:spacing w:after="0" w:line="240" w:lineRule="auto"/>
              <w:jc w:val="both"/>
              <w:rPr>
                <w:rFonts w:ascii="Times New Roman" w:hAnsi="Times New Roman" w:cs="Times New Roman"/>
                <w:b/>
                <w:sz w:val="24"/>
                <w:szCs w:val="24"/>
              </w:rPr>
            </w:pPr>
            <w:r w:rsidRPr="00E673FB">
              <w:rPr>
                <w:rFonts w:ascii="Times New Roman" w:hAnsi="Times New Roman" w:cs="Times New Roman"/>
                <w:b/>
                <w:sz w:val="24"/>
                <w:szCs w:val="24"/>
              </w:rPr>
              <w:t>1.4.1.2.4.apakšaktivitātes 1.kārta</w:t>
            </w:r>
          </w:p>
          <w:p w:rsidR="00820527" w:rsidRPr="00B46D66" w:rsidRDefault="00820527" w:rsidP="00820527">
            <w:pPr>
              <w:spacing w:after="0" w:line="240" w:lineRule="auto"/>
              <w:jc w:val="both"/>
              <w:rPr>
                <w:rFonts w:ascii="Times New Roman" w:hAnsi="Times New Roman" w:cs="Times New Roman"/>
                <w:sz w:val="24"/>
                <w:szCs w:val="24"/>
              </w:rPr>
            </w:pPr>
            <w:r w:rsidRPr="00B46D66">
              <w:rPr>
                <w:rFonts w:ascii="Times New Roman" w:hAnsi="Times New Roman" w:cs="Times New Roman"/>
                <w:sz w:val="24"/>
                <w:szCs w:val="24"/>
              </w:rPr>
              <w:t>No 1.4.1.2.4.</w:t>
            </w:r>
            <w:r>
              <w:rPr>
                <w:rFonts w:ascii="Times New Roman" w:hAnsi="Times New Roman" w:cs="Times New Roman"/>
                <w:sz w:val="24"/>
                <w:szCs w:val="24"/>
              </w:rPr>
              <w:t>apakšaktivitātei</w:t>
            </w:r>
            <w:r w:rsidRPr="00B46D66">
              <w:rPr>
                <w:rFonts w:ascii="Times New Roman" w:hAnsi="Times New Roman" w:cs="Times New Roman"/>
                <w:sz w:val="24"/>
                <w:szCs w:val="24"/>
              </w:rPr>
              <w:t xml:space="preserve"> pieejamā finansējuma </w:t>
            </w:r>
            <w:r>
              <w:rPr>
                <w:rFonts w:ascii="Times New Roman" w:hAnsi="Times New Roman" w:cs="Times New Roman"/>
                <w:sz w:val="24"/>
                <w:szCs w:val="24"/>
              </w:rPr>
              <w:t>1.</w:t>
            </w:r>
            <w:r w:rsidRPr="00B46D66">
              <w:rPr>
                <w:rFonts w:ascii="Times New Roman" w:hAnsi="Times New Roman" w:cs="Times New Roman"/>
                <w:sz w:val="24"/>
                <w:szCs w:val="24"/>
              </w:rPr>
              <w:t xml:space="preserve">kārtas realizācijai </w:t>
            </w:r>
            <w:r>
              <w:rPr>
                <w:rFonts w:ascii="Times New Roman" w:hAnsi="Times New Roman" w:cs="Times New Roman"/>
                <w:sz w:val="24"/>
                <w:szCs w:val="24"/>
              </w:rPr>
              <w:t>paredzēts</w:t>
            </w:r>
            <w:r w:rsidRPr="00B46D66">
              <w:rPr>
                <w:rFonts w:ascii="Times New Roman" w:hAnsi="Times New Roman" w:cs="Times New Roman"/>
                <w:sz w:val="24"/>
                <w:szCs w:val="24"/>
              </w:rPr>
              <w:t xml:space="preserve"> finansējums 893 060 EUR</w:t>
            </w:r>
            <w:r>
              <w:rPr>
                <w:rFonts w:ascii="Times New Roman" w:hAnsi="Times New Roman" w:cs="Times New Roman"/>
                <w:sz w:val="24"/>
                <w:szCs w:val="24"/>
              </w:rPr>
              <w:t xml:space="preserve"> apmērā</w:t>
            </w:r>
            <w:r w:rsidRPr="00B46D66">
              <w:rPr>
                <w:rFonts w:ascii="Times New Roman" w:hAnsi="Times New Roman" w:cs="Times New Roman"/>
                <w:sz w:val="24"/>
                <w:szCs w:val="24"/>
              </w:rPr>
              <w:t>, tai skaitā ESF finansējums 759 101 EUR un valsts budžeta līdzfinansējums 133 959 EUR.</w:t>
            </w:r>
          </w:p>
          <w:p w:rsidR="00820527" w:rsidRPr="00B46D66" w:rsidRDefault="00820527" w:rsidP="00820527">
            <w:pPr>
              <w:spacing w:after="0" w:line="240" w:lineRule="auto"/>
              <w:jc w:val="both"/>
              <w:rPr>
                <w:rFonts w:ascii="Times New Roman" w:hAnsi="Times New Roman" w:cs="Times New Roman"/>
                <w:sz w:val="24"/>
                <w:szCs w:val="24"/>
              </w:rPr>
            </w:pPr>
            <w:r w:rsidRPr="00E673FB">
              <w:rPr>
                <w:rFonts w:ascii="Times New Roman" w:hAnsi="Times New Roman" w:cs="Times New Roman"/>
                <w:sz w:val="24"/>
                <w:szCs w:val="24"/>
              </w:rPr>
              <w:t xml:space="preserve">Budžeta </w:t>
            </w:r>
            <w:r w:rsidRPr="00B46D66">
              <w:rPr>
                <w:rFonts w:ascii="Times New Roman" w:hAnsi="Times New Roman" w:cs="Times New Roman"/>
                <w:sz w:val="24"/>
                <w:szCs w:val="24"/>
              </w:rPr>
              <w:t>ieņēmumi ir finansējuma ESF daļa, un budžeta izdevumi ir kopējie nepiecieš</w:t>
            </w:r>
            <w:r>
              <w:rPr>
                <w:rFonts w:ascii="Times New Roman" w:hAnsi="Times New Roman" w:cs="Times New Roman"/>
                <w:sz w:val="24"/>
                <w:szCs w:val="24"/>
              </w:rPr>
              <w:t>amie līdzekļi attiecīgajā gadā.</w:t>
            </w:r>
          </w:p>
          <w:p w:rsidR="00820527" w:rsidRPr="00E673FB" w:rsidRDefault="00820527" w:rsidP="00820527">
            <w:pPr>
              <w:spacing w:after="0" w:line="240" w:lineRule="auto"/>
              <w:jc w:val="both"/>
              <w:rPr>
                <w:rFonts w:ascii="Times New Roman" w:hAnsi="Times New Roman" w:cs="Times New Roman"/>
                <w:sz w:val="24"/>
                <w:szCs w:val="24"/>
              </w:rPr>
            </w:pPr>
            <w:r w:rsidRPr="00C51095">
              <w:rPr>
                <w:rFonts w:ascii="Times New Roman" w:hAnsi="Times New Roman" w:cs="Times New Roman"/>
                <w:sz w:val="24"/>
                <w:szCs w:val="24"/>
              </w:rPr>
              <w:t>1.4.1.2.4.apakšaktivitātes 1.kārtas</w:t>
            </w:r>
            <w:r w:rsidRPr="00B46D66">
              <w:rPr>
                <w:rFonts w:ascii="Times New Roman" w:hAnsi="Times New Roman" w:cs="Times New Roman"/>
                <w:sz w:val="24"/>
                <w:szCs w:val="24"/>
              </w:rPr>
              <w:t xml:space="preserve"> projektu ieviešana ir noslēgusies </w:t>
            </w:r>
            <w:proofErr w:type="gramStart"/>
            <w:r w:rsidRPr="00B46D66">
              <w:rPr>
                <w:rFonts w:ascii="Times New Roman" w:hAnsi="Times New Roman" w:cs="Times New Roman"/>
                <w:sz w:val="24"/>
                <w:szCs w:val="24"/>
              </w:rPr>
              <w:t>2010.gadā</w:t>
            </w:r>
            <w:proofErr w:type="gramEnd"/>
            <w:r w:rsidRPr="00B46D66">
              <w:rPr>
                <w:rFonts w:ascii="Times New Roman" w:hAnsi="Times New Roman" w:cs="Times New Roman"/>
                <w:sz w:val="24"/>
                <w:szCs w:val="24"/>
              </w:rPr>
              <w:t>.</w:t>
            </w:r>
          </w:p>
          <w:p w:rsidR="00820527" w:rsidRPr="00B46D66" w:rsidRDefault="00820527" w:rsidP="00820527">
            <w:pPr>
              <w:spacing w:after="0" w:line="240" w:lineRule="auto"/>
              <w:jc w:val="both"/>
              <w:rPr>
                <w:rFonts w:ascii="Times New Roman" w:hAnsi="Times New Roman" w:cs="Times New Roman"/>
                <w:sz w:val="24"/>
                <w:szCs w:val="24"/>
              </w:rPr>
            </w:pPr>
            <w:r w:rsidRPr="00B46D66">
              <w:rPr>
                <w:rFonts w:ascii="Times New Roman" w:hAnsi="Times New Roman" w:cs="Times New Roman"/>
                <w:sz w:val="24"/>
                <w:szCs w:val="24"/>
              </w:rPr>
              <w:t xml:space="preserve">Projektu kopējās izmaksas projektiem noslēdzoties </w:t>
            </w:r>
            <w:r w:rsidRPr="009913DE">
              <w:rPr>
                <w:rFonts w:ascii="Times New Roman" w:hAnsi="Times New Roman" w:cs="Times New Roman"/>
                <w:sz w:val="24"/>
                <w:szCs w:val="24"/>
              </w:rPr>
              <w:t>924 052</w:t>
            </w:r>
            <w:r w:rsidRPr="00B46D66">
              <w:rPr>
                <w:rFonts w:ascii="Times New Roman" w:hAnsi="Times New Roman" w:cs="Times New Roman"/>
                <w:sz w:val="24"/>
                <w:szCs w:val="24"/>
              </w:rPr>
              <w:t xml:space="preserve"> EUR, no tām attiecināmās izmaksas </w:t>
            </w:r>
            <w:r w:rsidRPr="009913DE">
              <w:rPr>
                <w:rFonts w:ascii="Times New Roman" w:hAnsi="Times New Roman" w:cs="Times New Roman"/>
                <w:sz w:val="24"/>
                <w:szCs w:val="24"/>
              </w:rPr>
              <w:t>893 058</w:t>
            </w:r>
            <w:r w:rsidRPr="00B46D66">
              <w:rPr>
                <w:rFonts w:ascii="Times New Roman" w:hAnsi="Times New Roman" w:cs="Times New Roman"/>
                <w:sz w:val="24"/>
                <w:szCs w:val="24"/>
              </w:rPr>
              <w:t xml:space="preserve"> EUR, tai skaitā ESF finansējums 759 </w:t>
            </w:r>
            <w:r>
              <w:rPr>
                <w:rFonts w:ascii="Times New Roman" w:hAnsi="Times New Roman" w:cs="Times New Roman"/>
                <w:sz w:val="24"/>
                <w:szCs w:val="24"/>
              </w:rPr>
              <w:t>099</w:t>
            </w:r>
            <w:r w:rsidRPr="00B46D66">
              <w:rPr>
                <w:rFonts w:ascii="Times New Roman" w:hAnsi="Times New Roman" w:cs="Times New Roman"/>
                <w:sz w:val="24"/>
                <w:szCs w:val="24"/>
              </w:rPr>
              <w:t xml:space="preserve"> EUR un valsts budžeta attiecināmais finansējums 133 959 EUR, un valsts budžeta neattiecināmās izmaksas 30 994 EUR.</w:t>
            </w:r>
          </w:p>
          <w:p w:rsidR="00820527" w:rsidRPr="00E673FB" w:rsidRDefault="00820527" w:rsidP="00820527">
            <w:pPr>
              <w:spacing w:after="0" w:line="240" w:lineRule="auto"/>
              <w:jc w:val="both"/>
              <w:rPr>
                <w:rFonts w:ascii="Times New Roman" w:hAnsi="Times New Roman" w:cs="Times New Roman"/>
                <w:b/>
                <w:sz w:val="24"/>
                <w:szCs w:val="24"/>
              </w:rPr>
            </w:pPr>
            <w:r w:rsidRPr="00E673FB">
              <w:rPr>
                <w:rFonts w:ascii="Times New Roman" w:hAnsi="Times New Roman" w:cs="Times New Roman"/>
                <w:b/>
                <w:sz w:val="24"/>
                <w:szCs w:val="24"/>
              </w:rPr>
              <w:t>1.4.1.2.4.apakšaktivitātes 2.kārta</w:t>
            </w:r>
          </w:p>
          <w:p w:rsidR="00820527" w:rsidRPr="00B46D66" w:rsidRDefault="00820527" w:rsidP="00820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1.4.1.2.4.a</w:t>
            </w:r>
            <w:r w:rsidRPr="00B46D66">
              <w:rPr>
                <w:rFonts w:ascii="Times New Roman" w:hAnsi="Times New Roman" w:cs="Times New Roman"/>
                <w:sz w:val="24"/>
                <w:szCs w:val="24"/>
              </w:rPr>
              <w:t xml:space="preserve">pakšaktivitātes </w:t>
            </w:r>
            <w:r>
              <w:rPr>
                <w:rFonts w:ascii="Times New Roman" w:hAnsi="Times New Roman" w:cs="Times New Roman"/>
                <w:sz w:val="24"/>
                <w:szCs w:val="24"/>
              </w:rPr>
              <w:t>2.</w:t>
            </w:r>
            <w:r w:rsidRPr="00B46D66">
              <w:rPr>
                <w:rFonts w:ascii="Times New Roman" w:hAnsi="Times New Roman" w:cs="Times New Roman"/>
                <w:sz w:val="24"/>
                <w:szCs w:val="24"/>
              </w:rPr>
              <w:t>kārta tiek ieviesta atklātu projekta iesniegumu atlas</w:t>
            </w:r>
            <w:r>
              <w:rPr>
                <w:rFonts w:ascii="Times New Roman" w:hAnsi="Times New Roman" w:cs="Times New Roman"/>
                <w:sz w:val="24"/>
                <w:szCs w:val="24"/>
              </w:rPr>
              <w:t>es veidā</w:t>
            </w:r>
            <w:r w:rsidRPr="00B46D66">
              <w:rPr>
                <w:rFonts w:ascii="Times New Roman" w:hAnsi="Times New Roman" w:cs="Times New Roman"/>
                <w:sz w:val="24"/>
                <w:szCs w:val="24"/>
              </w:rPr>
              <w:t xml:space="preserve"> un ir sadalīta div</w:t>
            </w:r>
            <w:r>
              <w:rPr>
                <w:rFonts w:ascii="Times New Roman" w:hAnsi="Times New Roman" w:cs="Times New Roman"/>
                <w:sz w:val="24"/>
                <w:szCs w:val="24"/>
              </w:rPr>
              <w:t>ās</w:t>
            </w:r>
            <w:r w:rsidRPr="00B46D66">
              <w:rPr>
                <w:rFonts w:ascii="Times New Roman" w:hAnsi="Times New Roman" w:cs="Times New Roman"/>
                <w:sz w:val="24"/>
                <w:szCs w:val="24"/>
              </w:rPr>
              <w:t xml:space="preserve"> </w:t>
            </w:r>
            <w:r>
              <w:rPr>
                <w:rFonts w:ascii="Times New Roman" w:hAnsi="Times New Roman" w:cs="Times New Roman"/>
                <w:sz w:val="24"/>
                <w:szCs w:val="24"/>
              </w:rPr>
              <w:t>apakškārtās</w:t>
            </w:r>
            <w:r w:rsidRPr="00B46D66">
              <w:rPr>
                <w:rFonts w:ascii="Times New Roman" w:hAnsi="Times New Roman" w:cs="Times New Roman"/>
                <w:sz w:val="24"/>
                <w:szCs w:val="24"/>
              </w:rPr>
              <w:t>.</w:t>
            </w:r>
          </w:p>
          <w:p w:rsidR="00820527" w:rsidRPr="00E673FB" w:rsidRDefault="00820527" w:rsidP="00820527">
            <w:pPr>
              <w:pStyle w:val="PlainText"/>
              <w:jc w:val="both"/>
              <w:rPr>
                <w:rFonts w:ascii="Times New Roman" w:eastAsiaTheme="minorHAnsi" w:hAnsi="Times New Roman"/>
                <w:sz w:val="24"/>
                <w:szCs w:val="24"/>
                <w:lang w:eastAsia="en-US"/>
              </w:rPr>
            </w:pPr>
            <w:r w:rsidRPr="00E673FB">
              <w:rPr>
                <w:rFonts w:ascii="Times New Roman" w:eastAsiaTheme="minorHAnsi" w:hAnsi="Times New Roman"/>
                <w:sz w:val="24"/>
                <w:szCs w:val="24"/>
                <w:lang w:eastAsia="en-US"/>
              </w:rPr>
              <w:t>Budžeta ieņēmumi ir ESF finansējums un budžeta izdevumi ir no valsts budžeta finansēto iestāžu nepieciešamie izdevumi projektu ieviešanai un citiem finansējuma saņēmējiem kopējie veicamie maksājumi attiecīgajā gadā.</w:t>
            </w:r>
          </w:p>
          <w:p w:rsidR="00280E3B" w:rsidRDefault="00820527" w:rsidP="00280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1.4.1.2.4.a</w:t>
            </w:r>
            <w:r w:rsidRPr="00B46D66">
              <w:rPr>
                <w:rFonts w:ascii="Times New Roman" w:hAnsi="Times New Roman" w:cs="Times New Roman"/>
                <w:sz w:val="24"/>
                <w:szCs w:val="24"/>
              </w:rPr>
              <w:t xml:space="preserve">pakšaktivitātes </w:t>
            </w:r>
            <w:r>
              <w:rPr>
                <w:rFonts w:ascii="Times New Roman" w:hAnsi="Times New Roman" w:cs="Times New Roman"/>
                <w:sz w:val="24"/>
                <w:szCs w:val="24"/>
              </w:rPr>
              <w:t>2.</w:t>
            </w:r>
            <w:r w:rsidRPr="00B46D66">
              <w:rPr>
                <w:rFonts w:ascii="Times New Roman" w:hAnsi="Times New Roman" w:cs="Times New Roman"/>
                <w:sz w:val="24"/>
                <w:szCs w:val="24"/>
              </w:rPr>
              <w:t>kārta</w:t>
            </w:r>
            <w:r>
              <w:rPr>
                <w:rFonts w:ascii="Times New Roman" w:hAnsi="Times New Roman" w:cs="Times New Roman"/>
                <w:sz w:val="24"/>
                <w:szCs w:val="24"/>
              </w:rPr>
              <w:t>s 1.apakškārtas</w:t>
            </w:r>
            <w:r w:rsidRPr="00B46D66">
              <w:rPr>
                <w:rFonts w:ascii="Times New Roman" w:hAnsi="Times New Roman" w:cs="Times New Roman"/>
                <w:sz w:val="24"/>
                <w:szCs w:val="24"/>
              </w:rPr>
              <w:t xml:space="preserve"> projektiem paredzēts attiecināmais finansējums </w:t>
            </w:r>
            <w:r w:rsidR="0084496D">
              <w:rPr>
                <w:rFonts w:ascii="Times New Roman" w:hAnsi="Times New Roman" w:cs="Times New Roman"/>
                <w:sz w:val="24"/>
                <w:szCs w:val="24"/>
              </w:rPr>
              <w:t>4 388</w:t>
            </w:r>
            <w:r>
              <w:rPr>
                <w:rFonts w:ascii="Times New Roman" w:hAnsi="Times New Roman" w:cs="Times New Roman"/>
                <w:sz w:val="24"/>
                <w:szCs w:val="24"/>
              </w:rPr>
              <w:t> 9</w:t>
            </w:r>
            <w:r w:rsidRPr="00B46D66">
              <w:rPr>
                <w:rFonts w:ascii="Times New Roman" w:hAnsi="Times New Roman" w:cs="Times New Roman"/>
                <w:sz w:val="24"/>
                <w:szCs w:val="24"/>
              </w:rPr>
              <w:t>47 EUR</w:t>
            </w:r>
            <w:r>
              <w:rPr>
                <w:rFonts w:ascii="Times New Roman" w:hAnsi="Times New Roman" w:cs="Times New Roman"/>
                <w:sz w:val="24"/>
                <w:szCs w:val="24"/>
              </w:rPr>
              <w:t xml:space="preserve"> apmērā</w:t>
            </w:r>
            <w:r w:rsidRPr="00B46D66">
              <w:rPr>
                <w:rFonts w:ascii="Times New Roman" w:hAnsi="Times New Roman" w:cs="Times New Roman"/>
                <w:sz w:val="24"/>
                <w:szCs w:val="24"/>
              </w:rPr>
              <w:t xml:space="preserve"> un </w:t>
            </w:r>
            <w:r>
              <w:rPr>
                <w:rFonts w:ascii="Times New Roman" w:hAnsi="Times New Roman" w:cs="Times New Roman"/>
                <w:sz w:val="24"/>
                <w:szCs w:val="24"/>
              </w:rPr>
              <w:t>1.4.1.2.4.</w:t>
            </w:r>
            <w:r w:rsidRPr="005955B6">
              <w:rPr>
                <w:rFonts w:ascii="Times New Roman" w:hAnsi="Times New Roman" w:cs="Times New Roman"/>
                <w:sz w:val="24"/>
                <w:szCs w:val="24"/>
              </w:rPr>
              <w:t xml:space="preserve">apakšaktivitātes 2.kārtas 2.apakškārtas projektiem paredzēts finansējums </w:t>
            </w:r>
            <w:r w:rsidR="00B85672" w:rsidRPr="005955B6">
              <w:rPr>
                <w:rFonts w:ascii="Times New Roman" w:hAnsi="Times New Roman" w:cs="Times New Roman"/>
                <w:sz w:val="24"/>
                <w:szCs w:val="24"/>
              </w:rPr>
              <w:t>7</w:t>
            </w:r>
            <w:r w:rsidR="0004643E" w:rsidRPr="005955B6">
              <w:rPr>
                <w:rFonts w:ascii="Times New Roman" w:hAnsi="Times New Roman" w:cs="Times New Roman"/>
                <w:sz w:val="24"/>
                <w:szCs w:val="24"/>
              </w:rPr>
              <w:t> </w:t>
            </w:r>
            <w:r w:rsidR="00B85672" w:rsidRPr="005955B6">
              <w:rPr>
                <w:rFonts w:ascii="Times New Roman" w:hAnsi="Times New Roman" w:cs="Times New Roman"/>
                <w:sz w:val="24"/>
                <w:szCs w:val="24"/>
              </w:rPr>
              <w:t>402</w:t>
            </w:r>
            <w:r w:rsidR="0004643E" w:rsidRPr="005955B6">
              <w:rPr>
                <w:rFonts w:ascii="Times New Roman" w:hAnsi="Times New Roman" w:cs="Times New Roman"/>
                <w:sz w:val="24"/>
                <w:szCs w:val="24"/>
              </w:rPr>
              <w:t> </w:t>
            </w:r>
            <w:r w:rsidR="00B85672" w:rsidRPr="005955B6">
              <w:rPr>
                <w:rFonts w:ascii="Times New Roman" w:hAnsi="Times New Roman" w:cs="Times New Roman"/>
                <w:sz w:val="24"/>
                <w:szCs w:val="24"/>
              </w:rPr>
              <w:t>749</w:t>
            </w:r>
            <w:r w:rsidRPr="005955B6">
              <w:rPr>
                <w:rFonts w:ascii="Times New Roman" w:hAnsi="Times New Roman" w:cs="Times New Roman"/>
                <w:sz w:val="24"/>
                <w:szCs w:val="24"/>
              </w:rPr>
              <w:t xml:space="preserve"> EUR apmērā.</w:t>
            </w:r>
          </w:p>
          <w:p w:rsidR="00820527" w:rsidRPr="00625809" w:rsidRDefault="00280E3B" w:rsidP="00820527">
            <w:pPr>
              <w:spacing w:after="0" w:line="240" w:lineRule="auto"/>
              <w:jc w:val="both"/>
              <w:rPr>
                <w:rFonts w:ascii="Times New Roman" w:hAnsi="Times New Roman" w:cs="Times New Roman"/>
                <w:sz w:val="24"/>
                <w:szCs w:val="24"/>
              </w:rPr>
            </w:pPr>
            <w:r w:rsidRPr="00625809">
              <w:rPr>
                <w:rFonts w:ascii="Times New Roman" w:hAnsi="Times New Roman" w:cs="Times New Roman"/>
                <w:sz w:val="24"/>
                <w:szCs w:val="24"/>
              </w:rPr>
              <w:t>Pirms finansējuma pārdales apakšaktivitātes otrajā kārtā ir attiecināmā finansējuma atlikums 1 411 403 EUR apmērā, tai skaitā nepārdalāmais atlikums 217 704 EUR apmērā (pēc 08.05.2012 konstatētas neatbilstoši veiktas izmaksas 5 376 EUR apmērā un lauzti līgumi 212 328 EUR apmērā) un pārdalāmais atlikums 1 193 699 EUR apmērā. Finansējums 1 141 067 EUR apmērā tiek pārdalīts uz 1.4.1.1.1. apakšaktivitāti. Nepārdalīts paliek pārdalāmais atlikums 52 632 EUR apmērā.</w:t>
            </w:r>
          </w:p>
          <w:p w:rsidR="00820527" w:rsidRPr="005955B6" w:rsidRDefault="00820527" w:rsidP="00820527">
            <w:pPr>
              <w:pStyle w:val="PlainText"/>
              <w:jc w:val="both"/>
              <w:rPr>
                <w:rFonts w:ascii="Times New Roman" w:eastAsiaTheme="minorHAnsi" w:hAnsi="Times New Roman"/>
                <w:sz w:val="24"/>
                <w:szCs w:val="24"/>
                <w:lang w:eastAsia="en-US"/>
              </w:rPr>
            </w:pPr>
            <w:r w:rsidRPr="005955B6">
              <w:rPr>
                <w:rFonts w:ascii="Times New Roman" w:eastAsiaTheme="minorHAnsi" w:hAnsi="Times New Roman"/>
                <w:sz w:val="24"/>
                <w:szCs w:val="24"/>
                <w:u w:val="single"/>
                <w:lang w:eastAsia="en-US"/>
              </w:rPr>
              <w:t xml:space="preserve">Līdz </w:t>
            </w:r>
            <w:proofErr w:type="gramStart"/>
            <w:r w:rsidR="00B85672" w:rsidRPr="005955B6">
              <w:rPr>
                <w:rFonts w:ascii="Times New Roman" w:eastAsiaTheme="minorHAnsi" w:hAnsi="Times New Roman"/>
                <w:sz w:val="24"/>
                <w:szCs w:val="24"/>
                <w:u w:val="single"/>
                <w:lang w:eastAsia="en-US"/>
              </w:rPr>
              <w:t>2013</w:t>
            </w:r>
            <w:r w:rsidRPr="005955B6">
              <w:rPr>
                <w:rFonts w:ascii="Times New Roman" w:eastAsiaTheme="minorHAnsi" w:hAnsi="Times New Roman"/>
                <w:sz w:val="24"/>
                <w:szCs w:val="24"/>
                <w:u w:val="single"/>
                <w:lang w:eastAsia="en-US"/>
              </w:rPr>
              <w:t>.gada</w:t>
            </w:r>
            <w:proofErr w:type="gramEnd"/>
            <w:r w:rsidRPr="005955B6">
              <w:rPr>
                <w:rFonts w:ascii="Times New Roman" w:eastAsiaTheme="minorHAnsi" w:hAnsi="Times New Roman"/>
                <w:sz w:val="24"/>
                <w:szCs w:val="24"/>
                <w:u w:val="single"/>
                <w:lang w:eastAsia="en-US"/>
              </w:rPr>
              <w:t xml:space="preserve"> 31.decembrim</w:t>
            </w:r>
            <w:r w:rsidRPr="005955B6">
              <w:rPr>
                <w:rFonts w:ascii="Times New Roman" w:eastAsiaTheme="minorHAnsi" w:hAnsi="Times New Roman"/>
                <w:sz w:val="24"/>
                <w:szCs w:val="24"/>
                <w:lang w:eastAsia="en-US"/>
              </w:rPr>
              <w:t xml:space="preserve"> kopējas izmaksas projektiem ir </w:t>
            </w:r>
            <w:r w:rsidR="00EB6441" w:rsidRPr="005955B6">
              <w:rPr>
                <w:rFonts w:ascii="Times New Roman" w:eastAsiaTheme="minorHAnsi" w:hAnsi="Times New Roman"/>
                <w:sz w:val="24"/>
                <w:szCs w:val="24"/>
                <w:lang w:eastAsia="en-US"/>
              </w:rPr>
              <w:t>11</w:t>
            </w:r>
            <w:r w:rsidR="0004643E"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135</w:t>
            </w:r>
            <w:r w:rsidR="0004643E"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189</w:t>
            </w:r>
            <w:r w:rsidRPr="005955B6">
              <w:rPr>
                <w:rFonts w:ascii="Times New Roman" w:eastAsiaTheme="minorHAnsi" w:hAnsi="Times New Roman"/>
                <w:sz w:val="24"/>
                <w:szCs w:val="24"/>
                <w:lang w:eastAsia="en-US"/>
              </w:rPr>
              <w:t xml:space="preserve"> EUR, no tām attiecināmās izmaksas </w:t>
            </w:r>
            <w:r w:rsidR="00EB6441" w:rsidRPr="005955B6">
              <w:rPr>
                <w:rFonts w:ascii="Times New Roman" w:eastAsiaTheme="minorHAnsi" w:hAnsi="Times New Roman"/>
                <w:sz w:val="24"/>
                <w:szCs w:val="24"/>
                <w:lang w:eastAsia="en-US"/>
              </w:rPr>
              <w:t>10</w:t>
            </w:r>
            <w:r w:rsidR="0004643E"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881</w:t>
            </w:r>
            <w:r w:rsidR="0004643E"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515</w:t>
            </w:r>
            <w:r w:rsidRPr="005955B6">
              <w:rPr>
                <w:rFonts w:ascii="Times New Roman" w:eastAsiaTheme="minorHAnsi" w:hAnsi="Times New Roman"/>
                <w:sz w:val="24"/>
                <w:szCs w:val="24"/>
                <w:lang w:eastAsia="en-US"/>
              </w:rPr>
              <w:t xml:space="preserve"> EUR, tai skaitā ESF finansējums </w:t>
            </w:r>
            <w:r w:rsidR="00EB6441" w:rsidRPr="005955B6">
              <w:rPr>
                <w:rFonts w:ascii="Times New Roman" w:eastAsiaTheme="minorHAnsi" w:hAnsi="Times New Roman"/>
                <w:sz w:val="24"/>
                <w:szCs w:val="24"/>
                <w:lang w:eastAsia="en-US"/>
              </w:rPr>
              <w:t>10</w:t>
            </w:r>
            <w:r w:rsidR="00FC5E70"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881</w:t>
            </w:r>
            <w:r w:rsidR="00FC5E70"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515</w:t>
            </w:r>
            <w:r w:rsidRPr="005955B6">
              <w:rPr>
                <w:rFonts w:ascii="Times New Roman" w:eastAsiaTheme="minorHAnsi" w:hAnsi="Times New Roman"/>
                <w:sz w:val="24"/>
                <w:szCs w:val="24"/>
                <w:lang w:eastAsia="en-US"/>
              </w:rPr>
              <w:t xml:space="preserve"> EUR un valsts budžeta izmaksas </w:t>
            </w:r>
            <w:r w:rsidR="00DF764C" w:rsidRPr="005955B6">
              <w:rPr>
                <w:rFonts w:ascii="Times New Roman" w:eastAsiaTheme="minorHAnsi" w:hAnsi="Times New Roman"/>
                <w:sz w:val="24"/>
                <w:szCs w:val="24"/>
                <w:lang w:eastAsia="en-US"/>
              </w:rPr>
              <w:t xml:space="preserve">147 268 EUR apmērā </w:t>
            </w:r>
            <w:r w:rsidRPr="005955B6">
              <w:rPr>
                <w:rFonts w:ascii="Times New Roman" w:eastAsiaTheme="minorHAnsi" w:hAnsi="Times New Roman"/>
                <w:sz w:val="24"/>
                <w:szCs w:val="24"/>
                <w:lang w:eastAsia="en-US"/>
              </w:rPr>
              <w:t>kompensācijām zaudējumiem, kas radušies netiešo attiecināmo izmaksu nemainīgās likmes piemēroš</w:t>
            </w:r>
            <w:r w:rsidR="00DF764C" w:rsidRPr="005955B6">
              <w:rPr>
                <w:rFonts w:ascii="Times New Roman" w:eastAsiaTheme="minorHAnsi" w:hAnsi="Times New Roman"/>
                <w:sz w:val="24"/>
                <w:szCs w:val="24"/>
                <w:lang w:eastAsia="en-US"/>
              </w:rPr>
              <w:t>anas metodikas maiņas rezultātā</w:t>
            </w:r>
            <w:r w:rsidRPr="005955B6">
              <w:rPr>
                <w:rFonts w:ascii="Times New Roman" w:eastAsiaTheme="minorHAnsi" w:hAnsi="Times New Roman"/>
                <w:sz w:val="24"/>
                <w:szCs w:val="24"/>
                <w:lang w:eastAsia="en-US"/>
              </w:rPr>
              <w:t>.</w:t>
            </w:r>
          </w:p>
          <w:p w:rsidR="00820527" w:rsidRPr="005955B6" w:rsidRDefault="00820527" w:rsidP="00820527">
            <w:pPr>
              <w:pStyle w:val="PlainText"/>
              <w:jc w:val="both"/>
              <w:rPr>
                <w:rFonts w:ascii="Times New Roman" w:eastAsiaTheme="minorHAnsi" w:hAnsi="Times New Roman"/>
                <w:sz w:val="24"/>
                <w:szCs w:val="24"/>
                <w:lang w:eastAsia="en-US"/>
              </w:rPr>
            </w:pPr>
            <w:r w:rsidRPr="005955B6">
              <w:rPr>
                <w:rFonts w:ascii="Times New Roman" w:eastAsiaTheme="minorHAnsi" w:hAnsi="Times New Roman"/>
                <w:sz w:val="24"/>
                <w:szCs w:val="24"/>
                <w:lang w:eastAsia="en-US"/>
              </w:rPr>
              <w:t xml:space="preserve">No budžeta līdz </w:t>
            </w:r>
            <w:proofErr w:type="gramStart"/>
            <w:r w:rsidR="00EB6441" w:rsidRPr="005955B6">
              <w:rPr>
                <w:rFonts w:ascii="Times New Roman" w:eastAsiaTheme="minorHAnsi" w:hAnsi="Times New Roman"/>
                <w:sz w:val="24"/>
                <w:szCs w:val="24"/>
                <w:lang w:eastAsia="en-US"/>
              </w:rPr>
              <w:t>2013</w:t>
            </w:r>
            <w:r w:rsidRPr="005955B6">
              <w:rPr>
                <w:rFonts w:ascii="Times New Roman" w:eastAsiaTheme="minorHAnsi" w:hAnsi="Times New Roman"/>
                <w:sz w:val="24"/>
                <w:szCs w:val="24"/>
                <w:lang w:eastAsia="en-US"/>
              </w:rPr>
              <w:t>.gada</w:t>
            </w:r>
            <w:proofErr w:type="gramEnd"/>
            <w:r w:rsidRPr="005955B6">
              <w:rPr>
                <w:rFonts w:ascii="Times New Roman" w:eastAsiaTheme="minorHAnsi" w:hAnsi="Times New Roman"/>
                <w:sz w:val="24"/>
                <w:szCs w:val="24"/>
                <w:lang w:eastAsia="en-US"/>
              </w:rPr>
              <w:t xml:space="preserve"> 31.decembrim izlietots par </w:t>
            </w:r>
            <w:r w:rsidR="00EB6441" w:rsidRPr="005955B6">
              <w:rPr>
                <w:rFonts w:ascii="Times New Roman" w:eastAsiaTheme="minorHAnsi" w:hAnsi="Times New Roman"/>
                <w:sz w:val="24"/>
                <w:szCs w:val="24"/>
                <w:lang w:eastAsia="en-US"/>
              </w:rPr>
              <w:t>106</w:t>
            </w:r>
            <w:r w:rsidR="005948BF"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406</w:t>
            </w:r>
            <w:r w:rsidRPr="005955B6">
              <w:rPr>
                <w:rFonts w:ascii="Times New Roman" w:eastAsiaTheme="minorHAnsi" w:hAnsi="Times New Roman"/>
                <w:sz w:val="24"/>
                <w:szCs w:val="24"/>
                <w:lang w:eastAsia="en-US"/>
              </w:rPr>
              <w:t xml:space="preserve"> EUR lielāks finansējums kā norādīts. Tas saistīts ar finansējuma saņēmējiem izmaksātiem avansiem, kas atmaksāti </w:t>
            </w:r>
            <w:r w:rsidR="005948BF" w:rsidRPr="005955B6">
              <w:rPr>
                <w:rFonts w:ascii="Times New Roman" w:eastAsiaTheme="minorHAnsi" w:hAnsi="Times New Roman"/>
                <w:sz w:val="24"/>
                <w:szCs w:val="24"/>
                <w:lang w:eastAsia="en-US"/>
              </w:rPr>
              <w:t xml:space="preserve">vai pieprasīti atmaksāt </w:t>
            </w:r>
            <w:r w:rsidRPr="005955B6">
              <w:rPr>
                <w:rFonts w:ascii="Times New Roman" w:eastAsiaTheme="minorHAnsi" w:hAnsi="Times New Roman"/>
                <w:sz w:val="24"/>
                <w:szCs w:val="24"/>
                <w:lang w:eastAsia="en-US"/>
              </w:rPr>
              <w:t>budžetā.</w:t>
            </w:r>
          </w:p>
          <w:p w:rsidR="00820527" w:rsidRPr="005955B6" w:rsidRDefault="00820527" w:rsidP="00820527">
            <w:pPr>
              <w:pStyle w:val="PlainText"/>
              <w:jc w:val="both"/>
              <w:rPr>
                <w:rFonts w:ascii="Times New Roman" w:eastAsiaTheme="minorHAnsi" w:hAnsi="Times New Roman"/>
                <w:sz w:val="24"/>
                <w:szCs w:val="24"/>
                <w:lang w:eastAsia="en-US"/>
              </w:rPr>
            </w:pPr>
            <w:proofErr w:type="gramStart"/>
            <w:r w:rsidRPr="005955B6">
              <w:rPr>
                <w:rFonts w:ascii="Times New Roman" w:eastAsiaTheme="minorHAnsi" w:hAnsi="Times New Roman"/>
                <w:sz w:val="24"/>
                <w:szCs w:val="24"/>
                <w:u w:val="single"/>
                <w:lang w:eastAsia="en-US"/>
              </w:rPr>
              <w:t>2014.gadā</w:t>
            </w:r>
            <w:proofErr w:type="gramEnd"/>
            <w:r w:rsidRPr="005955B6">
              <w:rPr>
                <w:rFonts w:ascii="Times New Roman" w:eastAsiaTheme="minorHAnsi" w:hAnsi="Times New Roman"/>
                <w:sz w:val="24"/>
                <w:szCs w:val="24"/>
                <w:lang w:eastAsia="en-US"/>
              </w:rPr>
              <w:t xml:space="preserve"> indikatīvi kopējās izmaksas 1.4.1.2.4.apakšaktivitātes 2.kārtas projektiem ir </w:t>
            </w:r>
            <w:r w:rsidR="00EB6441" w:rsidRPr="005955B6">
              <w:rPr>
                <w:rFonts w:ascii="Times New Roman" w:eastAsiaTheme="minorHAnsi" w:hAnsi="Times New Roman"/>
                <w:sz w:val="24"/>
                <w:szCs w:val="24"/>
                <w:lang w:eastAsia="en-US"/>
              </w:rPr>
              <w:t>629</w:t>
            </w:r>
            <w:r w:rsidR="00F65BA1" w:rsidRPr="005955B6">
              <w:rPr>
                <w:rFonts w:ascii="Times New Roman" w:eastAsiaTheme="minorHAnsi" w:hAnsi="Times New Roman"/>
                <w:sz w:val="24"/>
                <w:szCs w:val="24"/>
                <w:lang w:eastAsia="en-US"/>
              </w:rPr>
              <w:t> </w:t>
            </w:r>
            <w:r w:rsidR="00EB6441" w:rsidRPr="005955B6">
              <w:rPr>
                <w:rFonts w:ascii="Times New Roman" w:eastAsiaTheme="minorHAnsi" w:hAnsi="Times New Roman"/>
                <w:sz w:val="24"/>
                <w:szCs w:val="24"/>
                <w:lang w:eastAsia="en-US"/>
              </w:rPr>
              <w:t>194</w:t>
            </w:r>
            <w:r w:rsidRPr="005955B6">
              <w:rPr>
                <w:rFonts w:ascii="Times New Roman" w:eastAsiaTheme="minorHAnsi" w:hAnsi="Times New Roman"/>
                <w:sz w:val="24"/>
                <w:szCs w:val="24"/>
                <w:lang w:eastAsia="en-US"/>
              </w:rPr>
              <w:t xml:space="preserve"> EUR, no tām attiecināmā</w:t>
            </w:r>
            <w:r w:rsidRPr="00E673FB">
              <w:rPr>
                <w:rFonts w:ascii="Times New Roman" w:eastAsiaTheme="minorHAnsi" w:hAnsi="Times New Roman"/>
                <w:sz w:val="24"/>
                <w:szCs w:val="24"/>
                <w:lang w:eastAsia="en-US"/>
              </w:rPr>
              <w:t xml:space="preserve">s </w:t>
            </w:r>
            <w:r w:rsidRPr="005955B6">
              <w:rPr>
                <w:rFonts w:ascii="Times New Roman" w:eastAsiaTheme="minorHAnsi" w:hAnsi="Times New Roman"/>
                <w:sz w:val="24"/>
                <w:szCs w:val="24"/>
                <w:lang w:eastAsia="en-US"/>
              </w:rPr>
              <w:t xml:space="preserve">izmaksas </w:t>
            </w:r>
            <w:r w:rsidR="00A53A22" w:rsidRPr="005955B6">
              <w:rPr>
                <w:rFonts w:ascii="Times New Roman" w:eastAsiaTheme="minorHAnsi" w:hAnsi="Times New Roman"/>
                <w:sz w:val="24"/>
                <w:szCs w:val="24"/>
                <w:lang w:eastAsia="en-US"/>
              </w:rPr>
              <w:t>626</w:t>
            </w:r>
            <w:r w:rsidR="00F65BA1" w:rsidRPr="005955B6">
              <w:rPr>
                <w:rFonts w:ascii="Times New Roman" w:eastAsiaTheme="minorHAnsi" w:hAnsi="Times New Roman"/>
                <w:sz w:val="24"/>
                <w:szCs w:val="24"/>
                <w:lang w:eastAsia="en-US"/>
              </w:rPr>
              <w:t> </w:t>
            </w:r>
            <w:r w:rsidR="00A53A22" w:rsidRPr="005955B6">
              <w:rPr>
                <w:rFonts w:ascii="Times New Roman" w:eastAsiaTheme="minorHAnsi" w:hAnsi="Times New Roman"/>
                <w:sz w:val="24"/>
                <w:szCs w:val="24"/>
                <w:lang w:eastAsia="en-US"/>
              </w:rPr>
              <w:t>345</w:t>
            </w:r>
            <w:r w:rsidRPr="005955B6">
              <w:rPr>
                <w:rFonts w:ascii="Times New Roman" w:eastAsiaTheme="minorHAnsi" w:hAnsi="Times New Roman"/>
                <w:sz w:val="24"/>
                <w:szCs w:val="24"/>
                <w:lang w:eastAsia="en-US"/>
              </w:rPr>
              <w:t xml:space="preserve"> EUR, tai skaitā ESF finansējums </w:t>
            </w:r>
            <w:r w:rsidR="00A53A22" w:rsidRPr="005955B6">
              <w:rPr>
                <w:rFonts w:ascii="Times New Roman" w:eastAsiaTheme="minorHAnsi" w:hAnsi="Times New Roman"/>
                <w:sz w:val="24"/>
                <w:szCs w:val="24"/>
                <w:lang w:eastAsia="en-US"/>
              </w:rPr>
              <w:t>626</w:t>
            </w:r>
            <w:r w:rsidR="00F65BA1" w:rsidRPr="005955B6">
              <w:rPr>
                <w:rFonts w:ascii="Times New Roman" w:eastAsiaTheme="minorHAnsi" w:hAnsi="Times New Roman"/>
                <w:sz w:val="24"/>
                <w:szCs w:val="24"/>
                <w:lang w:eastAsia="en-US"/>
              </w:rPr>
              <w:t> </w:t>
            </w:r>
            <w:r w:rsidR="00A53A22" w:rsidRPr="005955B6">
              <w:rPr>
                <w:rFonts w:ascii="Times New Roman" w:eastAsiaTheme="minorHAnsi" w:hAnsi="Times New Roman"/>
                <w:sz w:val="24"/>
                <w:szCs w:val="24"/>
                <w:lang w:eastAsia="en-US"/>
              </w:rPr>
              <w:t>345</w:t>
            </w:r>
            <w:r w:rsidRPr="005955B6">
              <w:rPr>
                <w:rFonts w:ascii="Times New Roman" w:eastAsiaTheme="minorHAnsi" w:hAnsi="Times New Roman"/>
                <w:sz w:val="24"/>
                <w:szCs w:val="24"/>
                <w:lang w:eastAsia="en-US"/>
              </w:rPr>
              <w:t xml:space="preserve"> EUR un valsts budžeta izmaksas kompensācijām zaudējumiem, kas radušies netiešo attiecināmo izmaksu nemainīgās likmes piemērošanas metodikas maiņas rezultātā 2 849 EUR.</w:t>
            </w:r>
          </w:p>
          <w:p w:rsidR="00511D62" w:rsidRPr="00B46D66" w:rsidRDefault="00820527" w:rsidP="00511D62">
            <w:pPr>
              <w:pStyle w:val="PlainText"/>
              <w:jc w:val="both"/>
              <w:rPr>
                <w:rFonts w:ascii="Times New Roman" w:hAnsi="Times New Roman"/>
                <w:sz w:val="24"/>
                <w:szCs w:val="24"/>
              </w:rPr>
            </w:pPr>
            <w:r w:rsidRPr="005955B6">
              <w:rPr>
                <w:rFonts w:ascii="Times New Roman" w:eastAsiaTheme="minorHAnsi" w:hAnsi="Times New Roman"/>
                <w:sz w:val="24"/>
                <w:szCs w:val="24"/>
                <w:lang w:eastAsia="en-US"/>
              </w:rPr>
              <w:t xml:space="preserve">Saskaņā ar likumu “Par valsts budžetu </w:t>
            </w:r>
            <w:proofErr w:type="gramStart"/>
            <w:r w:rsidRPr="005955B6">
              <w:rPr>
                <w:rFonts w:ascii="Times New Roman" w:eastAsiaTheme="minorHAnsi" w:hAnsi="Times New Roman"/>
                <w:sz w:val="24"/>
                <w:szCs w:val="24"/>
                <w:lang w:eastAsia="en-US"/>
              </w:rPr>
              <w:t>2014.gadam</w:t>
            </w:r>
            <w:proofErr w:type="gramEnd"/>
            <w:r w:rsidRPr="005955B6">
              <w:rPr>
                <w:rFonts w:ascii="Times New Roman" w:eastAsiaTheme="minorHAnsi" w:hAnsi="Times New Roman"/>
                <w:sz w:val="24"/>
                <w:szCs w:val="24"/>
                <w:lang w:eastAsia="en-US"/>
              </w:rPr>
              <w:t xml:space="preserve">” 1.4.1.2.4.apakšaktivitātei paredzēts finansējums 573 820 EUR apmērā, un tas ir par </w:t>
            </w:r>
            <w:r w:rsidR="00A53A22" w:rsidRPr="005955B6">
              <w:rPr>
                <w:rFonts w:ascii="Times New Roman" w:eastAsiaTheme="minorHAnsi" w:hAnsi="Times New Roman"/>
                <w:sz w:val="24"/>
                <w:szCs w:val="24"/>
                <w:lang w:eastAsia="en-US"/>
              </w:rPr>
              <w:t>55</w:t>
            </w:r>
            <w:r w:rsidR="0039236F" w:rsidRPr="005955B6">
              <w:rPr>
                <w:rFonts w:ascii="Times New Roman" w:eastAsiaTheme="minorHAnsi" w:hAnsi="Times New Roman"/>
                <w:sz w:val="24"/>
                <w:szCs w:val="24"/>
                <w:lang w:eastAsia="en-US"/>
              </w:rPr>
              <w:t> </w:t>
            </w:r>
            <w:r w:rsidR="00A53A22" w:rsidRPr="005955B6">
              <w:rPr>
                <w:rFonts w:ascii="Times New Roman" w:eastAsiaTheme="minorHAnsi" w:hAnsi="Times New Roman"/>
                <w:sz w:val="24"/>
                <w:szCs w:val="24"/>
                <w:lang w:eastAsia="en-US"/>
              </w:rPr>
              <w:t>374</w:t>
            </w:r>
            <w:r w:rsidRPr="005955B6">
              <w:rPr>
                <w:rFonts w:ascii="Times New Roman" w:eastAsiaTheme="minorHAnsi" w:hAnsi="Times New Roman"/>
                <w:sz w:val="24"/>
                <w:szCs w:val="24"/>
                <w:lang w:eastAsia="en-US"/>
              </w:rPr>
              <w:t xml:space="preserve"> EUR mazāk kā šobrīd paredzamie maksājumi finansējuma saņēmējiem. </w:t>
            </w:r>
            <w:r w:rsidR="00511D62" w:rsidRPr="005955B6">
              <w:rPr>
                <w:rFonts w:ascii="Times New Roman" w:hAnsi="Times New Roman"/>
                <w:sz w:val="24"/>
                <w:szCs w:val="24"/>
              </w:rPr>
              <w:t>Nepieciešamības</w:t>
            </w:r>
            <w:r w:rsidR="00511D62" w:rsidRPr="00104ACF">
              <w:rPr>
                <w:rFonts w:ascii="Times New Roman" w:hAnsi="Times New Roman"/>
                <w:sz w:val="24"/>
                <w:szCs w:val="24"/>
              </w:rPr>
              <w:t xml:space="preserve"> gadījumā iztrūkstošais finansējums tiks pieprasīts no 74.resora „Gadskārtēja valsts budžeta izpildes procesā pārdalāmais finansējums” programmas 80.00.00 „Nesadalītais finansējums Eiropas Savienības politiku instrumentu un pārējās ārvalstu finanšu palīdzības līdzfinansēto projektu un pasākumu īstenošanai”. </w:t>
            </w:r>
            <w:proofErr w:type="gramStart"/>
            <w:r w:rsidR="00511D62" w:rsidRPr="00104ACF">
              <w:rPr>
                <w:rFonts w:ascii="Times New Roman" w:hAnsi="Times New Roman"/>
                <w:sz w:val="24"/>
                <w:szCs w:val="24"/>
              </w:rPr>
              <w:t>Ņemot vērā finansējuma atlikumus</w:t>
            </w:r>
            <w:proofErr w:type="gramEnd"/>
            <w:r w:rsidR="00511D62" w:rsidRPr="00104ACF">
              <w:rPr>
                <w:rFonts w:ascii="Times New Roman" w:hAnsi="Times New Roman"/>
                <w:sz w:val="24"/>
                <w:szCs w:val="24"/>
              </w:rPr>
              <w:t xml:space="preserve"> projektiem noslēdzoties, ir liela varbūtība, ka papildu finansējums budžetā apakškārtai nebūs nepieciešams.</w:t>
            </w:r>
          </w:p>
          <w:p w:rsidR="00820527" w:rsidRPr="00E673FB" w:rsidRDefault="00820527" w:rsidP="00820527">
            <w:pPr>
              <w:pStyle w:val="PlainText"/>
              <w:jc w:val="both"/>
              <w:rPr>
                <w:rFonts w:ascii="Times New Roman" w:eastAsiaTheme="minorHAnsi" w:hAnsi="Times New Roman"/>
                <w:sz w:val="24"/>
                <w:szCs w:val="24"/>
                <w:lang w:eastAsia="en-US"/>
              </w:rPr>
            </w:pPr>
            <w:proofErr w:type="gramStart"/>
            <w:r w:rsidRPr="009638E8">
              <w:rPr>
                <w:rFonts w:ascii="Times New Roman" w:eastAsiaTheme="minorHAnsi" w:hAnsi="Times New Roman"/>
                <w:sz w:val="24"/>
                <w:szCs w:val="24"/>
                <w:u w:val="single"/>
                <w:lang w:eastAsia="en-US"/>
              </w:rPr>
              <w:t>2015.gadā</w:t>
            </w:r>
            <w:proofErr w:type="gramEnd"/>
            <w:r w:rsidRPr="00E673FB">
              <w:rPr>
                <w:rFonts w:ascii="Times New Roman" w:eastAsiaTheme="minorHAnsi" w:hAnsi="Times New Roman"/>
                <w:sz w:val="24"/>
                <w:szCs w:val="24"/>
                <w:lang w:eastAsia="en-US"/>
              </w:rPr>
              <w:t xml:space="preserve"> indikatīvi kopējās izmaksas 1.4.1.2.4.apakšaktivitātes 2.kārtas projektiem ir 13 500 EUR, no tām attiecināmās izmaksas 13 500 EUR, tai skaitā ESF finansējums 13 500 EUR.</w:t>
            </w:r>
          </w:p>
          <w:p w:rsidR="00CC1A56" w:rsidRPr="00B63A5B" w:rsidRDefault="00820527" w:rsidP="00B63A5B">
            <w:pPr>
              <w:autoSpaceDE w:val="0"/>
              <w:spacing w:after="0" w:line="240" w:lineRule="auto"/>
              <w:jc w:val="both"/>
              <w:rPr>
                <w:rFonts w:ascii="Times New Roman" w:hAnsi="Times New Roman" w:cs="Times New Roman"/>
                <w:b/>
                <w:sz w:val="24"/>
                <w:szCs w:val="24"/>
              </w:rPr>
            </w:pPr>
            <w:r w:rsidRPr="00E673FB">
              <w:rPr>
                <w:rFonts w:ascii="Times New Roman" w:hAnsi="Times New Roman"/>
                <w:sz w:val="24"/>
                <w:szCs w:val="24"/>
              </w:rPr>
              <w:t xml:space="preserve">Saskaņā ar likumu „Par vidēja termiņa budžeta ietvaru 2014., 2015. un </w:t>
            </w:r>
            <w:proofErr w:type="gramStart"/>
            <w:r w:rsidRPr="00E673FB">
              <w:rPr>
                <w:rFonts w:ascii="Times New Roman" w:hAnsi="Times New Roman"/>
                <w:sz w:val="24"/>
                <w:szCs w:val="24"/>
              </w:rPr>
              <w:t>2016.gadā</w:t>
            </w:r>
            <w:proofErr w:type="gramEnd"/>
            <w:r w:rsidRPr="00E673FB">
              <w:rPr>
                <w:rFonts w:ascii="Times New Roman" w:hAnsi="Times New Roman"/>
                <w:sz w:val="24"/>
                <w:szCs w:val="24"/>
              </w:rPr>
              <w:t>” apakšaktivitātei 2015.gadā paredzēts finansējums 14 175 EUR apmērā un tas ir par 675 EUR vairāk kā paredzamās izmaksas finansējuma saņēmējiem 2015.gadā.</w:t>
            </w:r>
            <w:r w:rsidR="00B63A5B" w:rsidRPr="004F49E5">
              <w:rPr>
                <w:rFonts w:ascii="Times New Roman" w:hAnsi="Times New Roman" w:cs="Times New Roman"/>
                <w:b/>
                <w:sz w:val="24"/>
                <w:szCs w:val="24"/>
              </w:rPr>
              <w:t xml:space="preserve"> </w:t>
            </w:r>
            <w:r w:rsidR="00B63A5B" w:rsidRPr="00625809">
              <w:rPr>
                <w:rFonts w:ascii="Times New Roman" w:hAnsi="Times New Roman" w:cs="Times New Roman"/>
                <w:sz w:val="24"/>
                <w:szCs w:val="24"/>
              </w:rPr>
              <w:t>Informācija apkopota uz 01.03.2014.</w:t>
            </w: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trHeight w:val="556"/>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395" w:type="dxa"/>
            <w:gridSpan w:val="5"/>
          </w:tcPr>
          <w:p w:rsidR="00CC1A56" w:rsidRPr="00DD49B6" w:rsidRDefault="00CC1A56" w:rsidP="00CC1A56">
            <w:pPr>
              <w:pStyle w:val="naisf"/>
              <w:tabs>
                <w:tab w:val="left" w:pos="4644"/>
              </w:tabs>
              <w:spacing w:before="0" w:beforeAutospacing="0" w:after="0" w:afterAutospacing="0"/>
              <w:rPr>
                <w:b/>
                <w:i/>
              </w:rPr>
            </w:pPr>
            <w:r w:rsidRPr="00DD49B6">
              <w:t>Nav</w:t>
            </w:r>
            <w:r w:rsidR="00F00CD5">
              <w:t>.</w:t>
            </w:r>
          </w:p>
        </w:tc>
      </w:tr>
    </w:tbl>
    <w:p w:rsidR="00CC1A56" w:rsidRDefault="00CC1A56" w:rsidP="00CC1A56">
      <w:pPr>
        <w:spacing w:after="0" w:line="240" w:lineRule="auto"/>
        <w:rPr>
          <w:rFonts w:ascii="Times New Roman" w:hAnsi="Times New Roman" w:cs="Times New Roman"/>
          <w:sz w:val="24"/>
          <w:szCs w:val="24"/>
        </w:rPr>
      </w:pPr>
    </w:p>
    <w:p w:rsidR="00D45FFF" w:rsidRDefault="00D45FFF" w:rsidP="00CC1A56">
      <w:pPr>
        <w:spacing w:after="0" w:line="240" w:lineRule="auto"/>
        <w:rPr>
          <w:rFonts w:ascii="Times New Roman" w:hAnsi="Times New Roman" w:cs="Times New Roman"/>
          <w:sz w:val="24"/>
          <w:szCs w:val="24"/>
        </w:rPr>
      </w:pPr>
    </w:p>
    <w:p w:rsidR="001D2E5F" w:rsidRDefault="001D2E5F" w:rsidP="00CC1A56">
      <w:pPr>
        <w:spacing w:after="0" w:line="240" w:lineRule="auto"/>
        <w:rPr>
          <w:rFonts w:ascii="Times New Roman" w:hAnsi="Times New Roman" w:cs="Times New Roman"/>
          <w:sz w:val="24"/>
          <w:szCs w:val="24"/>
        </w:rPr>
      </w:pPr>
    </w:p>
    <w:p w:rsidR="001D2E5F" w:rsidRPr="00DD49B6" w:rsidRDefault="001D2E5F"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rsidTr="007D385B">
        <w:trPr>
          <w:trHeight w:val="461"/>
          <w:jc w:val="center"/>
        </w:trPr>
        <w:tc>
          <w:tcPr>
            <w:tcW w:w="9511" w:type="dxa"/>
            <w:gridSpan w:val="3"/>
            <w:vAlign w:val="center"/>
          </w:tcPr>
          <w:p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rsidTr="007D385B">
        <w:trPr>
          <w:jc w:val="center"/>
        </w:trPr>
        <w:tc>
          <w:tcPr>
            <w:tcW w:w="470" w:type="dxa"/>
          </w:tcPr>
          <w:p w:rsidR="00CC1A56" w:rsidRPr="008D13E2" w:rsidRDefault="00CC1A56" w:rsidP="007D385B">
            <w:pPr>
              <w:pStyle w:val="naiskr"/>
              <w:tabs>
                <w:tab w:val="left" w:pos="2628"/>
              </w:tabs>
              <w:spacing w:before="0" w:beforeAutospacing="0" w:after="0" w:afterAutospacing="0"/>
              <w:jc w:val="both"/>
              <w:rPr>
                <w:iCs/>
              </w:rPr>
            </w:pPr>
            <w:r w:rsidRPr="008D13E2">
              <w:rPr>
                <w:iCs/>
              </w:rPr>
              <w:t>1.</w:t>
            </w:r>
          </w:p>
        </w:tc>
        <w:tc>
          <w:tcPr>
            <w:tcW w:w="2728" w:type="dxa"/>
          </w:tcPr>
          <w:p w:rsidR="00CC1A56" w:rsidRPr="008D13E2" w:rsidRDefault="00CC1A56" w:rsidP="007D385B">
            <w:pPr>
              <w:pStyle w:val="naiskr"/>
              <w:tabs>
                <w:tab w:val="left" w:pos="2628"/>
              </w:tabs>
              <w:spacing w:before="0" w:beforeAutospacing="0" w:after="0" w:afterAutospacing="0"/>
              <w:jc w:val="both"/>
              <w:rPr>
                <w:iCs/>
              </w:rPr>
            </w:pPr>
            <w:r w:rsidRPr="008D13E2">
              <w:t>Nepieciešamie saistītie tiesību aktu projekti</w:t>
            </w:r>
          </w:p>
        </w:tc>
        <w:tc>
          <w:tcPr>
            <w:tcW w:w="6313" w:type="dxa"/>
          </w:tcPr>
          <w:p w:rsidR="00365B8E" w:rsidRPr="008D13E2" w:rsidRDefault="00365B8E" w:rsidP="00365B8E">
            <w:pPr>
              <w:shd w:val="clear" w:color="auto" w:fill="FFFFFF"/>
              <w:spacing w:after="0" w:line="240" w:lineRule="auto"/>
              <w:jc w:val="both"/>
              <w:rPr>
                <w:rFonts w:ascii="Times New Roman" w:hAnsi="Times New Roman" w:cs="Times New Roman"/>
                <w:sz w:val="24"/>
                <w:szCs w:val="24"/>
              </w:rPr>
            </w:pPr>
            <w:r w:rsidRPr="008D13E2">
              <w:rPr>
                <w:rFonts w:ascii="Times New Roman" w:hAnsi="Times New Roman" w:cs="Times New Roman"/>
                <w:sz w:val="24"/>
                <w:szCs w:val="24"/>
              </w:rPr>
              <w:t>MK rīkojuma projekts rada nepieciešamību veikt atbilstošus grozījumus:</w:t>
            </w:r>
          </w:p>
          <w:p w:rsidR="00365B8E" w:rsidRPr="008D13E2" w:rsidRDefault="00365B8E" w:rsidP="00365B8E">
            <w:pPr>
              <w:shd w:val="clear" w:color="auto" w:fill="FFFFFF"/>
              <w:spacing w:after="0" w:line="240" w:lineRule="auto"/>
              <w:jc w:val="both"/>
              <w:rPr>
                <w:rFonts w:ascii="Times New Roman" w:hAnsi="Times New Roman" w:cs="Times New Roman"/>
                <w:sz w:val="24"/>
                <w:szCs w:val="24"/>
              </w:rPr>
            </w:pPr>
            <w:r w:rsidRPr="008D13E2">
              <w:rPr>
                <w:rFonts w:ascii="Times New Roman" w:hAnsi="Times New Roman" w:cs="Times New Roman"/>
                <w:sz w:val="24"/>
                <w:szCs w:val="24"/>
              </w:rPr>
              <w:t xml:space="preserve">1) MK </w:t>
            </w:r>
            <w:proofErr w:type="gramStart"/>
            <w:r w:rsidRPr="008D13E2">
              <w:rPr>
                <w:rFonts w:ascii="Times New Roman" w:hAnsi="Times New Roman" w:cs="Times New Roman"/>
                <w:sz w:val="24"/>
                <w:szCs w:val="24"/>
              </w:rPr>
              <w:t>2011.gada</w:t>
            </w:r>
            <w:proofErr w:type="gramEnd"/>
            <w:r w:rsidRPr="008D13E2">
              <w:rPr>
                <w:rFonts w:ascii="Times New Roman" w:hAnsi="Times New Roman" w:cs="Times New Roman"/>
                <w:sz w:val="24"/>
                <w:szCs w:val="24"/>
              </w:rPr>
              <w:t xml:space="preserve"> 1.marta noteikumos Nr.170 „Noteikumi par darbības programmas „Cilvēkresursi un nodarbinātība” papildinājuma 1.4.1.1.1.apakšaktivitāti „Kompleksi atbalsta pasākumi iedzīvotāju integrēšanai sabiedrībā un darba tirgū””;</w:t>
            </w:r>
          </w:p>
          <w:p w:rsidR="00365B8E" w:rsidRPr="008D13E2" w:rsidRDefault="00365B8E" w:rsidP="00365B8E">
            <w:pPr>
              <w:shd w:val="clear" w:color="auto" w:fill="FFFFFF"/>
              <w:spacing w:after="0" w:line="240" w:lineRule="auto"/>
              <w:jc w:val="both"/>
              <w:rPr>
                <w:rFonts w:ascii="Times New Roman" w:hAnsi="Times New Roman" w:cs="Times New Roman"/>
                <w:sz w:val="24"/>
                <w:szCs w:val="24"/>
              </w:rPr>
            </w:pPr>
            <w:r w:rsidRPr="008D13E2">
              <w:rPr>
                <w:rFonts w:ascii="Times New Roman" w:hAnsi="Times New Roman" w:cs="Times New Roman"/>
                <w:sz w:val="24"/>
                <w:szCs w:val="24"/>
              </w:rPr>
              <w:t xml:space="preserve">2) MK </w:t>
            </w:r>
            <w:proofErr w:type="gramStart"/>
            <w:r w:rsidRPr="008D13E2">
              <w:rPr>
                <w:rFonts w:ascii="Times New Roman" w:hAnsi="Times New Roman" w:cs="Times New Roman"/>
                <w:sz w:val="24"/>
                <w:szCs w:val="24"/>
              </w:rPr>
              <w:t>2010.gada</w:t>
            </w:r>
            <w:proofErr w:type="gramEnd"/>
            <w:r w:rsidRPr="008D13E2">
              <w:rPr>
                <w:rFonts w:ascii="Times New Roman" w:hAnsi="Times New Roman" w:cs="Times New Roman"/>
                <w:sz w:val="24"/>
                <w:szCs w:val="24"/>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r w:rsidR="00A202EB">
              <w:rPr>
                <w:rFonts w:ascii="Times New Roman" w:hAnsi="Times New Roman" w:cs="Times New Roman"/>
                <w:sz w:val="24"/>
                <w:szCs w:val="24"/>
              </w:rPr>
              <w:t>”</w:t>
            </w:r>
            <w:r w:rsidRPr="008D13E2">
              <w:rPr>
                <w:rFonts w:ascii="Times New Roman" w:hAnsi="Times New Roman" w:cs="Times New Roman"/>
                <w:sz w:val="24"/>
                <w:szCs w:val="24"/>
              </w:rPr>
              <w:t>;</w:t>
            </w:r>
          </w:p>
          <w:p w:rsidR="00365B8E" w:rsidRPr="008D13E2" w:rsidRDefault="00365B8E" w:rsidP="00365B8E">
            <w:pPr>
              <w:shd w:val="clear" w:color="auto" w:fill="FFFFFF"/>
              <w:spacing w:after="0" w:line="240" w:lineRule="auto"/>
              <w:jc w:val="both"/>
              <w:rPr>
                <w:rFonts w:ascii="Times New Roman" w:hAnsi="Times New Roman" w:cs="Times New Roman"/>
                <w:sz w:val="24"/>
                <w:szCs w:val="24"/>
              </w:rPr>
            </w:pPr>
            <w:r w:rsidRPr="008D13E2">
              <w:rPr>
                <w:rFonts w:ascii="Times New Roman" w:hAnsi="Times New Roman" w:cs="Times New Roman"/>
                <w:sz w:val="24"/>
                <w:szCs w:val="24"/>
              </w:rPr>
              <w:t xml:space="preserve">3) MK </w:t>
            </w:r>
            <w:proofErr w:type="gramStart"/>
            <w:r w:rsidRPr="008D13E2">
              <w:rPr>
                <w:rFonts w:ascii="Times New Roman" w:hAnsi="Times New Roman" w:cs="Times New Roman"/>
                <w:sz w:val="24"/>
                <w:szCs w:val="24"/>
              </w:rPr>
              <w:t>2011.gada</w:t>
            </w:r>
            <w:proofErr w:type="gramEnd"/>
            <w:r w:rsidRPr="008D13E2">
              <w:rPr>
                <w:rFonts w:ascii="Times New Roman" w:hAnsi="Times New Roman" w:cs="Times New Roman"/>
                <w:sz w:val="24"/>
                <w:szCs w:val="24"/>
              </w:rPr>
              <w:t xml:space="preserve">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w:t>
            </w:r>
            <w:r w:rsidR="00A202EB">
              <w:rPr>
                <w:rFonts w:ascii="Times New Roman" w:hAnsi="Times New Roman" w:cs="Times New Roman"/>
                <w:sz w:val="24"/>
                <w:szCs w:val="24"/>
              </w:rPr>
              <w:t>”</w:t>
            </w:r>
            <w:r w:rsidRPr="008D13E2">
              <w:rPr>
                <w:rFonts w:ascii="Times New Roman" w:hAnsi="Times New Roman" w:cs="Times New Roman"/>
                <w:sz w:val="24"/>
                <w:szCs w:val="24"/>
              </w:rPr>
              <w:t>;</w:t>
            </w:r>
          </w:p>
          <w:p w:rsidR="00365B8E" w:rsidRPr="008D13E2" w:rsidRDefault="00AF7AF4" w:rsidP="00365B8E">
            <w:pPr>
              <w:shd w:val="clear" w:color="auto" w:fill="FFFFFF"/>
              <w:spacing w:after="0" w:line="240" w:lineRule="auto"/>
              <w:jc w:val="both"/>
              <w:rPr>
                <w:rFonts w:ascii="Times New Roman" w:hAnsi="Times New Roman" w:cs="Times New Roman"/>
                <w:sz w:val="24"/>
                <w:szCs w:val="24"/>
              </w:rPr>
            </w:pPr>
            <w:r w:rsidRPr="008D13E2">
              <w:rPr>
                <w:rFonts w:ascii="Times New Roman" w:hAnsi="Times New Roman" w:cs="Times New Roman"/>
                <w:sz w:val="24"/>
                <w:szCs w:val="24"/>
              </w:rPr>
              <w:t>4</w:t>
            </w:r>
            <w:r w:rsidR="00365B8E" w:rsidRPr="008D13E2">
              <w:rPr>
                <w:rFonts w:ascii="Times New Roman" w:hAnsi="Times New Roman" w:cs="Times New Roman"/>
                <w:sz w:val="24"/>
                <w:szCs w:val="24"/>
              </w:rPr>
              <w:t xml:space="preserve">) MK </w:t>
            </w:r>
            <w:proofErr w:type="gramStart"/>
            <w:r w:rsidR="00365B8E" w:rsidRPr="008D13E2">
              <w:rPr>
                <w:rFonts w:ascii="Times New Roman" w:hAnsi="Times New Roman" w:cs="Times New Roman"/>
                <w:sz w:val="24"/>
                <w:szCs w:val="24"/>
              </w:rPr>
              <w:t>2011.gada</w:t>
            </w:r>
            <w:proofErr w:type="gramEnd"/>
            <w:r w:rsidR="00365B8E" w:rsidRPr="008D13E2">
              <w:rPr>
                <w:rFonts w:ascii="Times New Roman" w:hAnsi="Times New Roman" w:cs="Times New Roman"/>
                <w:sz w:val="24"/>
                <w:szCs w:val="24"/>
              </w:rPr>
              <w:t xml:space="preserve"> 27.decembra noteikumos Nr.996 „Noteikumi par darbības programmas „Cilvēkresursi un nodarbinātība” papildinājuma 1.3.1.5.aktivitātes „Vietējo nodarbinātības veicināšanas pasākumu plānu ieviešanas atbalsts” otro kārtu”;</w:t>
            </w:r>
          </w:p>
          <w:p w:rsidR="004F6B68" w:rsidRPr="008D13E2" w:rsidRDefault="004F1F9A"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65B8E" w:rsidRPr="008D13E2">
              <w:rPr>
                <w:rFonts w:ascii="Times New Roman" w:hAnsi="Times New Roman" w:cs="Times New Roman"/>
                <w:sz w:val="24"/>
                <w:szCs w:val="24"/>
              </w:rPr>
              <w:t xml:space="preserve">) </w:t>
            </w:r>
            <w:r w:rsidR="004F6B68" w:rsidRPr="008D13E2">
              <w:rPr>
                <w:rFonts w:ascii="Times New Roman" w:hAnsi="Times New Roman" w:cs="Times New Roman"/>
                <w:sz w:val="24"/>
                <w:szCs w:val="24"/>
              </w:rPr>
              <w:t xml:space="preserve">MK </w:t>
            </w:r>
            <w:proofErr w:type="gramStart"/>
            <w:r w:rsidR="004F6B68" w:rsidRPr="008D13E2">
              <w:rPr>
                <w:rFonts w:ascii="Times New Roman" w:hAnsi="Times New Roman" w:cs="Times New Roman"/>
                <w:sz w:val="24"/>
                <w:szCs w:val="24"/>
              </w:rPr>
              <w:t>2007.gada</w:t>
            </w:r>
            <w:proofErr w:type="gramEnd"/>
            <w:r w:rsidR="004F6B68" w:rsidRPr="008D13E2">
              <w:rPr>
                <w:rFonts w:ascii="Times New Roman" w:hAnsi="Times New Roman" w:cs="Times New Roman"/>
                <w:sz w:val="24"/>
                <w:szCs w:val="24"/>
              </w:rPr>
              <w:t xml:space="preserve"> 30.oktobra noteikumos Nr.731 ”Noteikumi par darbības programmas ”Cilvēkresursi un nodarbinātība” papildinājuma aktivitāti ”Kapacitātes stiprināš</w:t>
            </w:r>
            <w:r w:rsidR="00A202EB">
              <w:rPr>
                <w:rFonts w:ascii="Times New Roman" w:hAnsi="Times New Roman" w:cs="Times New Roman"/>
                <w:sz w:val="24"/>
                <w:szCs w:val="24"/>
              </w:rPr>
              <w:t>ana darba tirgus institūcijām””</w:t>
            </w:r>
            <w:r w:rsidR="004F6B68" w:rsidRPr="008D13E2">
              <w:rPr>
                <w:rFonts w:ascii="Times New Roman" w:hAnsi="Times New Roman" w:cs="Times New Roman"/>
                <w:sz w:val="24"/>
                <w:szCs w:val="24"/>
              </w:rPr>
              <w:t>;</w:t>
            </w:r>
          </w:p>
          <w:p w:rsidR="00365B8E" w:rsidRPr="008D13E2" w:rsidRDefault="004F1F9A"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F6B68" w:rsidRPr="008D13E2">
              <w:rPr>
                <w:rFonts w:ascii="Times New Roman" w:hAnsi="Times New Roman" w:cs="Times New Roman"/>
                <w:sz w:val="24"/>
                <w:szCs w:val="24"/>
              </w:rPr>
              <w:t xml:space="preserve">) MK </w:t>
            </w:r>
            <w:proofErr w:type="gramStart"/>
            <w:r w:rsidR="004F6B68" w:rsidRPr="008D13E2">
              <w:rPr>
                <w:rFonts w:ascii="Times New Roman" w:hAnsi="Times New Roman" w:cs="Times New Roman"/>
                <w:sz w:val="24"/>
                <w:szCs w:val="24"/>
              </w:rPr>
              <w:t>2008.gada</w:t>
            </w:r>
            <w:proofErr w:type="gramEnd"/>
            <w:r w:rsidR="004F6B68" w:rsidRPr="008D13E2">
              <w:rPr>
                <w:rFonts w:ascii="Times New Roman" w:hAnsi="Times New Roman" w:cs="Times New Roman"/>
                <w:sz w:val="24"/>
                <w:szCs w:val="24"/>
              </w:rPr>
              <w:t xml:space="preserve"> 4.marta noteikumos Nr.152 „Noteikumi par darbības programmas „Cilvēkresursi un nodarbinātība” papildinājuma apakšaktivitāti „Darba attiecību un darba drošības normatīvo aktu praktiska piemērošana nozarēs un uzņēmumos”””;</w:t>
            </w:r>
          </w:p>
          <w:p w:rsidR="004F6B68" w:rsidRDefault="002D134D"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F6B68" w:rsidRPr="008D13E2">
              <w:rPr>
                <w:rFonts w:ascii="Times New Roman" w:hAnsi="Times New Roman" w:cs="Times New Roman"/>
                <w:sz w:val="24"/>
                <w:szCs w:val="24"/>
              </w:rPr>
              <w:t xml:space="preserve">) MK </w:t>
            </w:r>
            <w:proofErr w:type="gramStart"/>
            <w:r w:rsidR="004F6B68" w:rsidRPr="008D13E2">
              <w:rPr>
                <w:rFonts w:ascii="Times New Roman" w:hAnsi="Times New Roman" w:cs="Times New Roman"/>
                <w:sz w:val="24"/>
                <w:szCs w:val="24"/>
              </w:rPr>
              <w:t>2009.gada</w:t>
            </w:r>
            <w:proofErr w:type="gramEnd"/>
            <w:r w:rsidR="004F6B68" w:rsidRPr="008D13E2">
              <w:rPr>
                <w:rFonts w:ascii="Times New Roman" w:hAnsi="Times New Roman" w:cs="Times New Roman"/>
                <w:sz w:val="24"/>
                <w:szCs w:val="24"/>
              </w:rPr>
              <w:t xml:space="preserve"> 25.augusta noteikumos Nr.949 „Noteikumi par darbības programmas „Cilvēkresursi un nodarbinātība” papildinājuma 1.3.1.7.aktivitāti „Darba tirgus pieprasījuma īstermiņa un ilgtermiņa prognozēšanas un u</w:t>
            </w:r>
            <w:r w:rsidR="00A202EB">
              <w:rPr>
                <w:rFonts w:ascii="Times New Roman" w:hAnsi="Times New Roman" w:cs="Times New Roman"/>
                <w:sz w:val="24"/>
                <w:szCs w:val="24"/>
              </w:rPr>
              <w:t>zraudzības sistēmas attīstība””.</w:t>
            </w:r>
          </w:p>
          <w:p w:rsidR="002D134D" w:rsidRPr="008D13E2" w:rsidRDefault="002D134D" w:rsidP="00365B8E">
            <w:pPr>
              <w:shd w:val="clear" w:color="auto" w:fill="FFFFFF"/>
              <w:spacing w:after="0" w:line="240" w:lineRule="auto"/>
              <w:jc w:val="both"/>
              <w:rPr>
                <w:rFonts w:ascii="Times New Roman" w:hAnsi="Times New Roman" w:cs="Times New Roman"/>
                <w:sz w:val="24"/>
                <w:szCs w:val="24"/>
              </w:rPr>
            </w:pPr>
          </w:p>
          <w:p w:rsidR="00CC1A56" w:rsidRPr="00DD49B6" w:rsidRDefault="00365B8E" w:rsidP="004F1F9A">
            <w:pPr>
              <w:shd w:val="clear" w:color="auto" w:fill="FFFFFF"/>
              <w:spacing w:after="0" w:line="240" w:lineRule="auto"/>
              <w:jc w:val="both"/>
              <w:rPr>
                <w:rFonts w:ascii="Times New Roman" w:hAnsi="Times New Roman" w:cs="Times New Roman"/>
                <w:color w:val="000000"/>
                <w:sz w:val="24"/>
                <w:szCs w:val="24"/>
                <w:lang w:eastAsia="lv-LV"/>
              </w:rPr>
            </w:pPr>
            <w:r w:rsidRPr="008D13E2">
              <w:rPr>
                <w:rFonts w:ascii="Times New Roman" w:hAnsi="Times New Roman" w:cs="Times New Roman"/>
                <w:sz w:val="24"/>
                <w:szCs w:val="24"/>
              </w:rPr>
              <w:t xml:space="preserve">Minētie grozījumi tiesību aktos tiks iesniegti Valsts kancelejā </w:t>
            </w:r>
            <w:r w:rsidR="001F6B3E" w:rsidRPr="004F1F9A">
              <w:rPr>
                <w:rFonts w:ascii="Times New Roman" w:hAnsi="Times New Roman" w:cs="Times New Roman"/>
                <w:sz w:val="24"/>
                <w:szCs w:val="24"/>
              </w:rPr>
              <w:t>tālākai virzībai</w:t>
            </w:r>
            <w:r w:rsidRPr="004F1F9A">
              <w:rPr>
                <w:rFonts w:ascii="Times New Roman" w:hAnsi="Times New Roman" w:cs="Times New Roman"/>
                <w:sz w:val="24"/>
                <w:szCs w:val="24"/>
              </w:rPr>
              <w:t xml:space="preserve"> MK sēd</w:t>
            </w:r>
            <w:r w:rsidR="001F6B3E" w:rsidRPr="004F1F9A">
              <w:rPr>
                <w:rFonts w:ascii="Times New Roman" w:hAnsi="Times New Roman" w:cs="Times New Roman"/>
                <w:sz w:val="24"/>
                <w:szCs w:val="24"/>
              </w:rPr>
              <w:t xml:space="preserve">ē indikatīvi </w:t>
            </w:r>
            <w:proofErr w:type="gramStart"/>
            <w:r w:rsidR="001F6B3E" w:rsidRPr="004F1F9A">
              <w:rPr>
                <w:rFonts w:ascii="Times New Roman" w:hAnsi="Times New Roman" w:cs="Times New Roman"/>
                <w:sz w:val="24"/>
                <w:szCs w:val="24"/>
              </w:rPr>
              <w:t>2014.gada</w:t>
            </w:r>
            <w:proofErr w:type="gramEnd"/>
            <w:r w:rsidR="001F6B3E" w:rsidRPr="004F1F9A">
              <w:rPr>
                <w:rFonts w:ascii="Times New Roman" w:hAnsi="Times New Roman" w:cs="Times New Roman"/>
                <w:sz w:val="24"/>
                <w:szCs w:val="24"/>
              </w:rPr>
              <w:t xml:space="preserve"> </w:t>
            </w:r>
            <w:r w:rsidR="004F1F9A" w:rsidRPr="004F1F9A">
              <w:rPr>
                <w:rFonts w:ascii="Times New Roman" w:hAnsi="Times New Roman" w:cs="Times New Roman"/>
                <w:sz w:val="24"/>
                <w:szCs w:val="24"/>
              </w:rPr>
              <w:t>mart</w:t>
            </w:r>
            <w:r w:rsidR="004F1F9A" w:rsidRPr="006245FD">
              <w:rPr>
                <w:rFonts w:ascii="Times New Roman" w:hAnsi="Times New Roman" w:cs="Times New Roman"/>
                <w:sz w:val="24"/>
                <w:szCs w:val="24"/>
              </w:rPr>
              <w:t xml:space="preserve">ā </w:t>
            </w:r>
            <w:r w:rsidR="001F6B3E" w:rsidRPr="004F1F9A">
              <w:rPr>
                <w:rFonts w:ascii="Times New Roman" w:hAnsi="Times New Roman" w:cs="Times New Roman"/>
                <w:sz w:val="24"/>
                <w:szCs w:val="24"/>
              </w:rPr>
              <w:t xml:space="preserve">un var tikt virzīti izskatīšanai MK sēdē vienlaikus ar vai pēc šī rīkojuma projekta </w:t>
            </w:r>
            <w:r w:rsidR="002A4ADA" w:rsidRPr="004F1F9A">
              <w:rPr>
                <w:rFonts w:ascii="Times New Roman" w:hAnsi="Times New Roman" w:cs="Times New Roman"/>
                <w:sz w:val="24"/>
                <w:szCs w:val="24"/>
              </w:rPr>
              <w:t xml:space="preserve">izskatīšanas un </w:t>
            </w:r>
            <w:r w:rsidR="001F6B3E" w:rsidRPr="004F1F9A">
              <w:rPr>
                <w:rFonts w:ascii="Times New Roman" w:hAnsi="Times New Roman" w:cs="Times New Roman"/>
                <w:sz w:val="24"/>
                <w:szCs w:val="24"/>
              </w:rPr>
              <w:t>apstiprināšanas</w:t>
            </w:r>
            <w:r w:rsidR="002A4ADA" w:rsidRPr="004F1F9A">
              <w:rPr>
                <w:rFonts w:ascii="Times New Roman" w:hAnsi="Times New Roman" w:cs="Times New Roman"/>
                <w:sz w:val="24"/>
                <w:szCs w:val="24"/>
              </w:rPr>
              <w:t xml:space="preserve"> MK sēdē</w:t>
            </w:r>
            <w:r w:rsidR="001F6B3E" w:rsidRPr="004F1F9A">
              <w:rPr>
                <w:rFonts w:ascii="Times New Roman" w:hAnsi="Times New Roman" w:cs="Times New Roman"/>
                <w:sz w:val="24"/>
                <w:szCs w:val="24"/>
              </w:rPr>
              <w:t>.</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rsidR="00CC1A56" w:rsidRPr="00515286" w:rsidRDefault="006245FD" w:rsidP="007D385B">
            <w:pPr>
              <w:pStyle w:val="naiskr"/>
              <w:tabs>
                <w:tab w:val="left" w:pos="2628"/>
              </w:tabs>
              <w:spacing w:before="0" w:beforeAutospacing="0" w:after="0" w:afterAutospacing="0"/>
              <w:jc w:val="both"/>
              <w:rPr>
                <w:iCs/>
              </w:rPr>
            </w:pPr>
            <w:r w:rsidRPr="00515286">
              <w:rPr>
                <w:iCs/>
              </w:rPr>
              <w:t xml:space="preserve">Finansējuma pārdale tiek ierosināta, ņemot vērā </w:t>
            </w:r>
            <w:proofErr w:type="gramStart"/>
            <w:r w:rsidRPr="00515286">
              <w:rPr>
                <w:iCs/>
              </w:rPr>
              <w:t>2014.gada</w:t>
            </w:r>
            <w:proofErr w:type="gramEnd"/>
            <w:r w:rsidRPr="00515286">
              <w:rPr>
                <w:iCs/>
              </w:rPr>
              <w:t xml:space="preserve"> 19.februāra Koalīcijas partneru darba grupas Par ES struktūrfondu un Kohēzijas fonda jautājumiem protokola 1.3.apakšpunktā un 4.a) punktā noteikto.</w:t>
            </w:r>
          </w:p>
        </w:tc>
      </w:tr>
    </w:tbl>
    <w:p w:rsidR="00CC1A56" w:rsidRDefault="00CC1A56" w:rsidP="00CC1A56">
      <w:pPr>
        <w:spacing w:after="0" w:line="240" w:lineRule="auto"/>
        <w:rPr>
          <w:rFonts w:ascii="Times New Roman" w:hAnsi="Times New Roman" w:cs="Times New Roman"/>
          <w:sz w:val="24"/>
          <w:szCs w:val="24"/>
        </w:rPr>
      </w:pPr>
    </w:p>
    <w:p w:rsidR="00D94A3B" w:rsidRPr="00DD49B6" w:rsidDel="009D1634" w:rsidRDefault="00D94A3B"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7D385B">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rsidTr="007D385B">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 xml:space="preserve">Plānotās sabiedrības līdzdalības un </w:t>
            </w:r>
            <w:r w:rsidRPr="00DD49B6">
              <w:rPr>
                <w:rFonts w:ascii="Times New Roman" w:hAnsi="Times New Roman" w:cs="Times New Roman"/>
                <w:sz w:val="24"/>
                <w:szCs w:val="24"/>
                <w:lang w:eastAsia="lv-LV"/>
              </w:rPr>
              <w:lastRenderedPageBreak/>
              <w:t>komunikācijas aktivitātes saistībā ar projektu</w:t>
            </w:r>
          </w:p>
        </w:tc>
        <w:tc>
          <w:tcPr>
            <w:tcW w:w="6206" w:type="dxa"/>
          </w:tcPr>
          <w:p w:rsidR="002874DE" w:rsidRPr="002874DE" w:rsidRDefault="002874DE" w:rsidP="00B90D82">
            <w:pPr>
              <w:shd w:val="clear" w:color="auto" w:fill="FFFFFF"/>
              <w:spacing w:after="0" w:line="240" w:lineRule="auto"/>
              <w:ind w:left="169" w:right="83"/>
              <w:jc w:val="both"/>
              <w:rPr>
                <w:rFonts w:ascii="Times New Roman" w:hAnsi="Times New Roman" w:cs="Times New Roman"/>
                <w:sz w:val="24"/>
                <w:szCs w:val="24"/>
              </w:rPr>
            </w:pPr>
            <w:bookmarkStart w:id="2" w:name="p61"/>
            <w:bookmarkEnd w:id="2"/>
            <w:r w:rsidRPr="002874DE">
              <w:rPr>
                <w:rFonts w:ascii="Times New Roman" w:hAnsi="Times New Roman" w:cs="Times New Roman"/>
                <w:sz w:val="24"/>
                <w:szCs w:val="24"/>
              </w:rPr>
              <w:lastRenderedPageBreak/>
              <w:t>Sabiedrības līdzdalība nebija nepieciešama, jo:</w:t>
            </w:r>
          </w:p>
          <w:p w:rsidR="002874DE" w:rsidRPr="002874DE" w:rsidRDefault="002874DE" w:rsidP="00B90D82">
            <w:pPr>
              <w:shd w:val="clear" w:color="auto" w:fill="FFFFFF"/>
              <w:spacing w:after="0" w:line="240" w:lineRule="auto"/>
              <w:ind w:left="169" w:right="83"/>
              <w:jc w:val="both"/>
              <w:rPr>
                <w:rFonts w:ascii="Times New Roman" w:hAnsi="Times New Roman" w:cs="Times New Roman"/>
                <w:sz w:val="24"/>
                <w:szCs w:val="24"/>
              </w:rPr>
            </w:pPr>
            <w:r w:rsidRPr="002874DE">
              <w:rPr>
                <w:rFonts w:ascii="Times New Roman" w:hAnsi="Times New Roman" w:cs="Times New Roman"/>
                <w:sz w:val="24"/>
                <w:szCs w:val="24"/>
              </w:rPr>
              <w:lastRenderedPageBreak/>
              <w:t>1)</w:t>
            </w:r>
            <w:r w:rsidRPr="002874DE">
              <w:rPr>
                <w:rFonts w:ascii="Times New Roman" w:hAnsi="Times New Roman" w:cs="Times New Roman"/>
                <w:sz w:val="24"/>
                <w:szCs w:val="24"/>
              </w:rPr>
              <w:tab/>
            </w:r>
            <w:r w:rsidR="00C37B9A">
              <w:rPr>
                <w:rFonts w:ascii="Times New Roman" w:hAnsi="Times New Roman" w:cs="Times New Roman"/>
                <w:sz w:val="24"/>
                <w:szCs w:val="24"/>
              </w:rPr>
              <w:t xml:space="preserve">1.3.1.4., </w:t>
            </w:r>
            <w:r w:rsidR="00C37B9A" w:rsidRPr="002874DE">
              <w:rPr>
                <w:rFonts w:ascii="Times New Roman" w:hAnsi="Times New Roman" w:cs="Times New Roman"/>
                <w:sz w:val="24"/>
                <w:szCs w:val="24"/>
              </w:rPr>
              <w:t>1.3.1.5.</w:t>
            </w:r>
            <w:r w:rsidR="00C37B9A">
              <w:rPr>
                <w:rFonts w:ascii="Times New Roman" w:hAnsi="Times New Roman" w:cs="Times New Roman"/>
                <w:sz w:val="24"/>
                <w:szCs w:val="24"/>
              </w:rPr>
              <w:t xml:space="preserve"> un 1.3.1.7.</w:t>
            </w:r>
            <w:r w:rsidR="00C37B9A" w:rsidRPr="002874DE">
              <w:rPr>
                <w:rFonts w:ascii="Times New Roman" w:hAnsi="Times New Roman" w:cs="Times New Roman"/>
                <w:sz w:val="24"/>
                <w:szCs w:val="24"/>
              </w:rPr>
              <w:t xml:space="preserve">aktivitāte </w:t>
            </w:r>
            <w:r w:rsidR="00C37B9A">
              <w:rPr>
                <w:rFonts w:ascii="Times New Roman" w:hAnsi="Times New Roman" w:cs="Times New Roman"/>
                <w:sz w:val="24"/>
                <w:szCs w:val="24"/>
              </w:rPr>
              <w:t xml:space="preserve">un </w:t>
            </w:r>
            <w:r w:rsidR="00843389">
              <w:rPr>
                <w:rFonts w:ascii="Times New Roman" w:hAnsi="Times New Roman" w:cs="Times New Roman"/>
                <w:sz w:val="24"/>
                <w:szCs w:val="24"/>
              </w:rPr>
              <w:t>1.3.1.3.2.,</w:t>
            </w:r>
            <w:r w:rsidRPr="002874DE">
              <w:rPr>
                <w:rFonts w:ascii="Times New Roman" w:hAnsi="Times New Roman" w:cs="Times New Roman"/>
                <w:sz w:val="24"/>
                <w:szCs w:val="24"/>
              </w:rPr>
              <w:t xml:space="preserve"> 1.4.1.1.1.apakšaktivitāte tiek īstenotas ierobežotas projektu iesniegumu atlases veidā un to ietvaros jau ir noslēgti līgumi par projektu īstenošanu;</w:t>
            </w:r>
          </w:p>
          <w:p w:rsidR="00CC1A56" w:rsidRPr="00DD49B6" w:rsidRDefault="002874DE" w:rsidP="00B90D82">
            <w:pPr>
              <w:shd w:val="clear" w:color="auto" w:fill="FFFFFF"/>
              <w:spacing w:after="0" w:line="240" w:lineRule="auto"/>
              <w:ind w:left="169" w:right="83"/>
              <w:jc w:val="both"/>
              <w:rPr>
                <w:rFonts w:ascii="Times New Roman" w:hAnsi="Times New Roman" w:cs="Times New Roman"/>
                <w:sz w:val="24"/>
                <w:szCs w:val="24"/>
                <w:lang w:eastAsia="lv-LV"/>
              </w:rPr>
            </w:pPr>
            <w:r w:rsidRPr="002874DE">
              <w:rPr>
                <w:rFonts w:ascii="Times New Roman" w:hAnsi="Times New Roman" w:cs="Times New Roman"/>
                <w:sz w:val="24"/>
                <w:szCs w:val="24"/>
              </w:rPr>
              <w:t>2)</w:t>
            </w:r>
            <w:r w:rsidRPr="002874DE">
              <w:rPr>
                <w:rFonts w:ascii="Times New Roman" w:hAnsi="Times New Roman" w:cs="Times New Roman"/>
                <w:sz w:val="24"/>
                <w:szCs w:val="24"/>
              </w:rPr>
              <w:tab/>
              <w:t>1.4.1.2.4.apakšaktivitātes, kas tiek īstenotas atklātas projektu iesniegumu atlases veidā, ietvaros tiek veikta finanšu līdzekļu ietaupījuma pārdale (līgumiem nepiesaistītais finansējums) un šīs apakšaktivitātes ietvaros jauna projektu iesniegumu atlase netiek plānota.</w:t>
            </w:r>
          </w:p>
        </w:tc>
      </w:tr>
      <w:tr w:rsidR="00CC1A56" w:rsidRPr="00DD49B6" w:rsidTr="007D385B">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514DDD" w:rsidP="007D385B">
            <w:pPr>
              <w:shd w:val="clear" w:color="auto" w:fill="FFFFFF"/>
              <w:spacing w:after="0" w:line="240" w:lineRule="auto"/>
              <w:ind w:left="169"/>
              <w:jc w:val="both"/>
              <w:rPr>
                <w:rFonts w:ascii="Times New Roman" w:hAnsi="Times New Roman" w:cs="Times New Roman"/>
                <w:sz w:val="24"/>
                <w:szCs w:val="24"/>
                <w:lang w:eastAsia="lv-LV"/>
              </w:rPr>
            </w:pPr>
            <w:bookmarkStart w:id="3" w:name="p62"/>
            <w:bookmarkEnd w:id="3"/>
            <w:r w:rsidRPr="0093520F">
              <w:rPr>
                <w:rFonts w:ascii="Times New Roman" w:hAnsi="Times New Roman" w:cs="Times New Roman"/>
                <w:sz w:val="24"/>
                <w:szCs w:val="24"/>
              </w:rPr>
              <w:t>MK rīkojuma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514DDD" w:rsidP="007D385B">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MK rīkojuma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rsidTr="007D385B">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3615"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rsidR="00CC1A56" w:rsidRPr="00DD49B6" w:rsidRDefault="006E3024" w:rsidP="007D385B">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6E3024">
              <w:rPr>
                <w:rFonts w:ascii="Times New Roman" w:hAnsi="Times New Roman" w:cs="Times New Roman"/>
                <w:sz w:val="24"/>
                <w:szCs w:val="24"/>
              </w:rPr>
              <w:t>Labklājības ministrija kā E</w:t>
            </w:r>
            <w:r w:rsidR="00774AFB">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774AFB">
              <w:rPr>
                <w:rFonts w:ascii="Times New Roman" w:hAnsi="Times New Roman" w:cs="Times New Roman"/>
                <w:sz w:val="24"/>
                <w:szCs w:val="24"/>
              </w:rPr>
              <w:t>avienības</w:t>
            </w:r>
            <w:r w:rsidRPr="006E3024">
              <w:rPr>
                <w:rFonts w:ascii="Times New Roman" w:hAnsi="Times New Roman" w:cs="Times New Roman"/>
                <w:sz w:val="24"/>
                <w:szCs w:val="24"/>
              </w:rPr>
              <w:t xml:space="preserve"> fondu atbildīgā iestāde, Nodarbinātības valsts aģentūra kā E</w:t>
            </w:r>
            <w:r w:rsidR="00D44056">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D44056">
              <w:rPr>
                <w:rFonts w:ascii="Times New Roman" w:hAnsi="Times New Roman" w:cs="Times New Roman"/>
                <w:sz w:val="24"/>
                <w:szCs w:val="24"/>
              </w:rPr>
              <w:t>avienības</w:t>
            </w:r>
            <w:r w:rsidRPr="006E3024">
              <w:rPr>
                <w:rFonts w:ascii="Times New Roman" w:hAnsi="Times New Roman" w:cs="Times New Roman"/>
                <w:sz w:val="24"/>
                <w:szCs w:val="24"/>
              </w:rPr>
              <w:t xml:space="preserve"> fondu finansējuma saņēmējs.</w:t>
            </w:r>
          </w:p>
        </w:tc>
      </w:tr>
      <w:tr w:rsidR="00CC1A56" w:rsidRPr="00DD49B6" w:rsidTr="007D385B">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3615"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CC1A56" w:rsidRPr="00DD49B6" w:rsidRDefault="00232033" w:rsidP="007D385B">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MK rīkojuma projekts šo jomu neskar.</w:t>
            </w:r>
          </w:p>
        </w:tc>
      </w:tr>
      <w:tr w:rsidR="00CC1A56" w:rsidRPr="00DD49B6"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EF0EA7" w:rsidRPr="00843389" w:rsidRDefault="00EF0EA7" w:rsidP="00843389">
      <w:pPr>
        <w:spacing w:after="0" w:line="240" w:lineRule="auto"/>
        <w:rPr>
          <w:rFonts w:ascii="Times New Roman" w:hAnsi="Times New Roman" w:cs="Times New Roman"/>
          <w:sz w:val="24"/>
          <w:szCs w:val="24"/>
        </w:rPr>
      </w:pPr>
    </w:p>
    <w:p w:rsidR="00843389" w:rsidRPr="00EF0EA7" w:rsidRDefault="00843389" w:rsidP="00843389">
      <w:pPr>
        <w:spacing w:after="0" w:line="240" w:lineRule="auto"/>
        <w:rPr>
          <w:rFonts w:ascii="Times New Roman" w:hAnsi="Times New Roman" w:cs="Times New Roman"/>
          <w:sz w:val="28"/>
          <w:szCs w:val="28"/>
        </w:rPr>
      </w:pPr>
      <w:r w:rsidRPr="00EF0EA7">
        <w:rPr>
          <w:rFonts w:ascii="Times New Roman" w:hAnsi="Times New Roman" w:cs="Times New Roman"/>
          <w:sz w:val="28"/>
          <w:szCs w:val="28"/>
        </w:rPr>
        <w:t>Anotācijas V sadaļa – MK rīkojuma projekts šo jomu neskar.</w:t>
      </w:r>
    </w:p>
    <w:p w:rsidR="00D473ED" w:rsidRDefault="00D473ED" w:rsidP="00843389">
      <w:pPr>
        <w:spacing w:after="0" w:line="240" w:lineRule="auto"/>
        <w:rPr>
          <w:rFonts w:ascii="Times New Roman" w:hAnsi="Times New Roman" w:cs="Times New Roman"/>
          <w:sz w:val="24"/>
          <w:szCs w:val="24"/>
        </w:rPr>
      </w:pPr>
    </w:p>
    <w:p w:rsidR="00D473ED" w:rsidRDefault="00D473ED" w:rsidP="00843389">
      <w:pPr>
        <w:spacing w:after="0" w:line="240" w:lineRule="auto"/>
        <w:rPr>
          <w:rFonts w:ascii="Times New Roman" w:hAnsi="Times New Roman" w:cs="Times New Roman"/>
          <w:sz w:val="24"/>
          <w:szCs w:val="24"/>
        </w:rPr>
      </w:pPr>
    </w:p>
    <w:p w:rsidR="00D473ED" w:rsidRPr="00D473ED" w:rsidRDefault="00B72F7C" w:rsidP="00D473ED">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sidR="00D473ED" w:rsidRPr="00D473ED">
        <w:rPr>
          <w:rFonts w:ascii="Times New Roman" w:hAnsi="Times New Roman" w:cs="Times New Roman"/>
          <w:sz w:val="28"/>
          <w:szCs w:val="28"/>
        </w:rPr>
        <w:tab/>
      </w:r>
      <w:r>
        <w:rPr>
          <w:rFonts w:ascii="Times New Roman" w:hAnsi="Times New Roman" w:cs="Times New Roman"/>
          <w:sz w:val="28"/>
          <w:szCs w:val="28"/>
        </w:rPr>
        <w:t>U.Augulis</w:t>
      </w:r>
    </w:p>
    <w:p w:rsidR="00D473ED" w:rsidRPr="00D473ED" w:rsidRDefault="00D473ED" w:rsidP="00D473ED">
      <w:pPr>
        <w:spacing w:after="0" w:line="240" w:lineRule="auto"/>
        <w:rPr>
          <w:rFonts w:ascii="Times New Roman" w:hAnsi="Times New Roman" w:cs="Times New Roman"/>
          <w:sz w:val="24"/>
          <w:szCs w:val="24"/>
        </w:rPr>
      </w:pPr>
    </w:p>
    <w:p w:rsidR="00D473ED" w:rsidRPr="00D473ED" w:rsidRDefault="00D473ED" w:rsidP="00D473ED">
      <w:pPr>
        <w:spacing w:after="0" w:line="240" w:lineRule="auto"/>
        <w:rPr>
          <w:rFonts w:ascii="Times New Roman" w:hAnsi="Times New Roman" w:cs="Times New Roman"/>
          <w:sz w:val="24"/>
          <w:szCs w:val="24"/>
        </w:rPr>
      </w:pPr>
    </w:p>
    <w:p w:rsidR="0077679B" w:rsidRDefault="0077679B" w:rsidP="00D473ED">
      <w:pPr>
        <w:spacing w:after="0" w:line="240" w:lineRule="auto"/>
        <w:rPr>
          <w:rFonts w:ascii="Times New Roman" w:hAnsi="Times New Roman" w:cs="Times New Roman"/>
          <w:sz w:val="24"/>
          <w:szCs w:val="24"/>
        </w:rPr>
      </w:pPr>
    </w:p>
    <w:p w:rsidR="00C90CF2" w:rsidRDefault="00C90CF2" w:rsidP="00D473ED">
      <w:pPr>
        <w:spacing w:after="0" w:line="240" w:lineRule="auto"/>
        <w:rPr>
          <w:rFonts w:ascii="Times New Roman" w:hAnsi="Times New Roman" w:cs="Times New Roman"/>
          <w:sz w:val="24"/>
          <w:szCs w:val="24"/>
        </w:rPr>
      </w:pPr>
    </w:p>
    <w:p w:rsidR="00C90CF2" w:rsidRDefault="00C90CF2" w:rsidP="00D473ED">
      <w:pPr>
        <w:spacing w:after="0" w:line="240" w:lineRule="auto"/>
        <w:rPr>
          <w:rFonts w:ascii="Times New Roman" w:hAnsi="Times New Roman" w:cs="Times New Roman"/>
          <w:sz w:val="24"/>
          <w:szCs w:val="24"/>
        </w:rPr>
      </w:pPr>
    </w:p>
    <w:p w:rsidR="00C90CF2" w:rsidRDefault="00C90CF2" w:rsidP="00D473ED">
      <w:pPr>
        <w:spacing w:after="0" w:line="240" w:lineRule="auto"/>
        <w:rPr>
          <w:rFonts w:ascii="Times New Roman" w:hAnsi="Times New Roman" w:cs="Times New Roman"/>
          <w:sz w:val="24"/>
          <w:szCs w:val="24"/>
        </w:rPr>
      </w:pPr>
    </w:p>
    <w:p w:rsidR="0077679B" w:rsidRPr="00D473ED" w:rsidRDefault="0077679B" w:rsidP="00D473ED">
      <w:pPr>
        <w:spacing w:after="0" w:line="240" w:lineRule="auto"/>
        <w:rPr>
          <w:rFonts w:ascii="Times New Roman" w:hAnsi="Times New Roman" w:cs="Times New Roman"/>
          <w:sz w:val="24"/>
          <w:szCs w:val="24"/>
        </w:rPr>
      </w:pPr>
    </w:p>
    <w:p w:rsidR="00D473ED" w:rsidRPr="00D473ED" w:rsidRDefault="00C90CF2"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7A75B6">
        <w:rPr>
          <w:rFonts w:ascii="Times New Roman" w:hAnsi="Times New Roman" w:cs="Times New Roman"/>
          <w:sz w:val="20"/>
          <w:szCs w:val="20"/>
        </w:rPr>
        <w:t>.03</w:t>
      </w:r>
      <w:r w:rsidR="00CD64AE">
        <w:rPr>
          <w:rFonts w:ascii="Times New Roman" w:hAnsi="Times New Roman" w:cs="Times New Roman"/>
          <w:sz w:val="20"/>
          <w:szCs w:val="20"/>
        </w:rPr>
        <w:t>.</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sidR="00FB4165">
        <w:rPr>
          <w:rFonts w:ascii="Times New Roman" w:hAnsi="Times New Roman" w:cs="Times New Roman"/>
          <w:sz w:val="20"/>
          <w:szCs w:val="20"/>
        </w:rPr>
        <w:t>13:39</w:t>
      </w:r>
      <w:bookmarkStart w:id="8" w:name="_GoBack"/>
      <w:bookmarkEnd w:id="8"/>
    </w:p>
    <w:p w:rsidR="00D473ED" w:rsidRPr="00D473ED" w:rsidRDefault="00F55B97"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50</w:t>
      </w:r>
      <w:r w:rsidR="00FB4165">
        <w:rPr>
          <w:rFonts w:ascii="Times New Roman" w:hAnsi="Times New Roman" w:cs="Times New Roman"/>
          <w:sz w:val="20"/>
          <w:szCs w:val="20"/>
        </w:rPr>
        <w:t>05</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D.Zvaigzne, 67021660</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Dace.Zvaigzne@lm.gov.lv</w:t>
      </w:r>
    </w:p>
    <w:sectPr w:rsidR="00D473ED" w:rsidRPr="00D473ED"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ED" w:rsidRDefault="00A416ED" w:rsidP="006D6C82">
      <w:pPr>
        <w:spacing w:after="0" w:line="240" w:lineRule="auto"/>
      </w:pPr>
      <w:r>
        <w:separator/>
      </w:r>
    </w:p>
  </w:endnote>
  <w:endnote w:type="continuationSeparator" w:id="0">
    <w:p w:rsidR="00A416ED" w:rsidRDefault="00A416ED"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BE" w:rsidRPr="006E169E" w:rsidRDefault="00F161BE">
    <w:pPr>
      <w:pStyle w:val="Footer"/>
      <w:rPr>
        <w:rFonts w:ascii="Times New Roman" w:hAnsi="Times New Roman" w:cs="Times New Roman"/>
      </w:rPr>
    </w:pPr>
    <w:r w:rsidRPr="006E169E">
      <w:rPr>
        <w:rFonts w:ascii="Times New Roman" w:hAnsi="Times New Roman" w:cs="Times New Roman"/>
        <w:sz w:val="20"/>
        <w:szCs w:val="20"/>
      </w:rPr>
      <w:t>LMAnot_</w:t>
    </w:r>
    <w:r w:rsidR="001924F2">
      <w:rPr>
        <w:rFonts w:ascii="Times New Roman" w:hAnsi="Times New Roman" w:cs="Times New Roman"/>
        <w:sz w:val="20"/>
        <w:szCs w:val="20"/>
      </w:rPr>
      <w:t>24</w:t>
    </w:r>
    <w:r w:rsidR="00CD7EF5">
      <w:rPr>
        <w:rFonts w:ascii="Times New Roman" w:hAnsi="Times New Roman" w:cs="Times New Roman"/>
        <w:sz w:val="20"/>
        <w:szCs w:val="20"/>
      </w:rPr>
      <w:t>03</w:t>
    </w:r>
    <w:r>
      <w:rPr>
        <w:rFonts w:ascii="Times New Roman" w:hAnsi="Times New Roman" w:cs="Times New Roman"/>
        <w:sz w:val="20"/>
        <w:szCs w:val="20"/>
      </w:rPr>
      <w:t>14</w:t>
    </w:r>
    <w:r w:rsidRPr="006E169E">
      <w:rPr>
        <w:rFonts w:ascii="Times New Roman" w:hAnsi="Times New Roman" w:cs="Times New Roman"/>
        <w:sz w:val="20"/>
        <w:szCs w:val="20"/>
      </w:rPr>
      <w:t>_1DPP;</w:t>
    </w:r>
    <w:r w:rsidRPr="006E169E">
      <w:rPr>
        <w:rFonts w:ascii="Times New Roman" w:hAnsi="Times New Roman" w:cs="Times New Roman"/>
      </w:rPr>
      <w:t xml:space="preserve"> </w:t>
    </w:r>
    <w:r w:rsidRPr="006E169E">
      <w:rPr>
        <w:rFonts w:ascii="Times New Roman" w:hAnsi="Times New Roman" w:cs="Times New Roman"/>
        <w:bCs/>
        <w:sz w:val="20"/>
        <w:szCs w:val="20"/>
      </w:rPr>
      <w:t>Ministru kabineta rīkojuma „Grozījums darbības programmas „Cilvēkresursi un nodarbinātība” papildinājumā”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BE" w:rsidRPr="006E169E" w:rsidRDefault="00F161BE">
    <w:pPr>
      <w:pStyle w:val="Footer"/>
      <w:rPr>
        <w:rFonts w:ascii="Times New Roman" w:hAnsi="Times New Roman" w:cs="Times New Roman"/>
      </w:rPr>
    </w:pPr>
    <w:r w:rsidRPr="006E169E">
      <w:rPr>
        <w:rFonts w:ascii="Times New Roman" w:hAnsi="Times New Roman" w:cs="Times New Roman"/>
        <w:sz w:val="20"/>
        <w:szCs w:val="20"/>
      </w:rPr>
      <w:t>LMAnot_</w:t>
    </w:r>
    <w:r w:rsidR="009D0184">
      <w:rPr>
        <w:rFonts w:ascii="Times New Roman" w:hAnsi="Times New Roman" w:cs="Times New Roman"/>
        <w:sz w:val="20"/>
        <w:szCs w:val="20"/>
      </w:rPr>
      <w:t>24</w:t>
    </w:r>
    <w:r w:rsidR="00CD7EF5">
      <w:rPr>
        <w:rFonts w:ascii="Times New Roman" w:hAnsi="Times New Roman" w:cs="Times New Roman"/>
        <w:sz w:val="20"/>
        <w:szCs w:val="20"/>
      </w:rPr>
      <w:t>03</w:t>
    </w:r>
    <w:r>
      <w:rPr>
        <w:rFonts w:ascii="Times New Roman" w:hAnsi="Times New Roman" w:cs="Times New Roman"/>
        <w:sz w:val="20"/>
        <w:szCs w:val="20"/>
      </w:rPr>
      <w:t>14</w:t>
    </w:r>
    <w:r w:rsidRPr="006E169E">
      <w:rPr>
        <w:rFonts w:ascii="Times New Roman" w:hAnsi="Times New Roman" w:cs="Times New Roman"/>
        <w:sz w:val="20"/>
        <w:szCs w:val="20"/>
      </w:rPr>
      <w:t>_1DPP;</w:t>
    </w:r>
    <w:r w:rsidRPr="006E169E">
      <w:rPr>
        <w:rFonts w:ascii="Times New Roman" w:hAnsi="Times New Roman" w:cs="Times New Roman"/>
      </w:rPr>
      <w:t xml:space="preserve"> </w:t>
    </w:r>
    <w:r w:rsidRPr="006E169E">
      <w:rPr>
        <w:rFonts w:ascii="Times New Roman" w:hAnsi="Times New Roman" w:cs="Times New Roman"/>
        <w:bCs/>
        <w:sz w:val="20"/>
        <w:szCs w:val="20"/>
      </w:rPr>
      <w:t>Ministru kabineta rīkojuma „Grozījums darbības programmas „Cilvēkresursi un nodarbinātība” papildinājumā”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ED" w:rsidRDefault="00A416ED" w:rsidP="006D6C82">
      <w:pPr>
        <w:spacing w:after="0" w:line="240" w:lineRule="auto"/>
      </w:pPr>
      <w:r>
        <w:separator/>
      </w:r>
    </w:p>
  </w:footnote>
  <w:footnote w:type="continuationSeparator" w:id="0">
    <w:p w:rsidR="00A416ED" w:rsidRDefault="00A416ED"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F161BE" w:rsidRDefault="00F161BE">
        <w:pPr>
          <w:pStyle w:val="Header"/>
          <w:jc w:val="center"/>
        </w:pPr>
        <w:r>
          <w:fldChar w:fldCharType="begin"/>
        </w:r>
        <w:r>
          <w:instrText xml:space="preserve"> PAGE   \* MERGEFORMAT </w:instrText>
        </w:r>
        <w:r>
          <w:fldChar w:fldCharType="separate"/>
        </w:r>
        <w:r w:rsidR="00FB4165">
          <w:rPr>
            <w:noProof/>
          </w:rPr>
          <w:t>15</w:t>
        </w:r>
        <w:r>
          <w:rPr>
            <w:noProof/>
          </w:rPr>
          <w:fldChar w:fldCharType="end"/>
        </w:r>
      </w:p>
    </w:sdtContent>
  </w:sdt>
  <w:p w:rsidR="00F161BE" w:rsidRDefault="00F1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FB0E0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2706AA"/>
    <w:multiLevelType w:val="hybridMultilevel"/>
    <w:tmpl w:val="A878B4F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834763"/>
    <w:multiLevelType w:val="hybridMultilevel"/>
    <w:tmpl w:val="B978A512"/>
    <w:lvl w:ilvl="0" w:tplc="9FA04D5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F7B14AA"/>
    <w:multiLevelType w:val="hybridMultilevel"/>
    <w:tmpl w:val="5F828362"/>
    <w:lvl w:ilvl="0" w:tplc="E18A0976">
      <w:start w:val="10"/>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0533FF"/>
    <w:multiLevelType w:val="hybridMultilevel"/>
    <w:tmpl w:val="15E08B7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5730100C"/>
    <w:multiLevelType w:val="hybridMultilevel"/>
    <w:tmpl w:val="7A20A33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1">
    <w:nsid w:val="582E2ECB"/>
    <w:multiLevelType w:val="hybridMultilevel"/>
    <w:tmpl w:val="F146AD0C"/>
    <w:lvl w:ilvl="0" w:tplc="0FDA6C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7"/>
  </w:num>
  <w:num w:numId="4">
    <w:abstractNumId w:val="15"/>
  </w:num>
  <w:num w:numId="5">
    <w:abstractNumId w:val="12"/>
  </w:num>
  <w:num w:numId="6">
    <w:abstractNumId w:val="1"/>
  </w:num>
  <w:num w:numId="7">
    <w:abstractNumId w:val="14"/>
  </w:num>
  <w:num w:numId="8">
    <w:abstractNumId w:val="9"/>
  </w:num>
  <w:num w:numId="9">
    <w:abstractNumId w:val="0"/>
  </w:num>
  <w:num w:numId="10">
    <w:abstractNumId w:val="8"/>
  </w:num>
  <w:num w:numId="11">
    <w:abstractNumId w:val="13"/>
  </w:num>
  <w:num w:numId="12">
    <w:abstractNumId w:val="5"/>
  </w:num>
  <w:num w:numId="13">
    <w:abstractNumId w:val="10"/>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1FC0"/>
    <w:rsid w:val="00002103"/>
    <w:rsid w:val="000111FF"/>
    <w:rsid w:val="000112ED"/>
    <w:rsid w:val="000329ED"/>
    <w:rsid w:val="0003678C"/>
    <w:rsid w:val="000459D0"/>
    <w:rsid w:val="0004643E"/>
    <w:rsid w:val="000506F6"/>
    <w:rsid w:val="00051838"/>
    <w:rsid w:val="00053DE3"/>
    <w:rsid w:val="00062F3E"/>
    <w:rsid w:val="00065E19"/>
    <w:rsid w:val="0007201E"/>
    <w:rsid w:val="00072876"/>
    <w:rsid w:val="00074C69"/>
    <w:rsid w:val="00090D68"/>
    <w:rsid w:val="000938B5"/>
    <w:rsid w:val="00095132"/>
    <w:rsid w:val="000A50F4"/>
    <w:rsid w:val="000A556B"/>
    <w:rsid w:val="000A5A8A"/>
    <w:rsid w:val="000C6349"/>
    <w:rsid w:val="000C6DA7"/>
    <w:rsid w:val="000D11B7"/>
    <w:rsid w:val="000E4745"/>
    <w:rsid w:val="000E79FF"/>
    <w:rsid w:val="001021F5"/>
    <w:rsid w:val="00104816"/>
    <w:rsid w:val="00104ACF"/>
    <w:rsid w:val="0010641A"/>
    <w:rsid w:val="00110769"/>
    <w:rsid w:val="001144D9"/>
    <w:rsid w:val="0011559C"/>
    <w:rsid w:val="001160AD"/>
    <w:rsid w:val="0011756F"/>
    <w:rsid w:val="00125DF5"/>
    <w:rsid w:val="00126D51"/>
    <w:rsid w:val="001272F8"/>
    <w:rsid w:val="00132CEF"/>
    <w:rsid w:val="00134BDB"/>
    <w:rsid w:val="00140CF3"/>
    <w:rsid w:val="00152B5A"/>
    <w:rsid w:val="001540B9"/>
    <w:rsid w:val="00163649"/>
    <w:rsid w:val="00163F68"/>
    <w:rsid w:val="00166E6E"/>
    <w:rsid w:val="00167190"/>
    <w:rsid w:val="001761AE"/>
    <w:rsid w:val="00176916"/>
    <w:rsid w:val="00177F36"/>
    <w:rsid w:val="00181E0E"/>
    <w:rsid w:val="0018780A"/>
    <w:rsid w:val="001924F2"/>
    <w:rsid w:val="00192A2D"/>
    <w:rsid w:val="00197EC4"/>
    <w:rsid w:val="001B1214"/>
    <w:rsid w:val="001C30B9"/>
    <w:rsid w:val="001D2E5F"/>
    <w:rsid w:val="001D61A3"/>
    <w:rsid w:val="001E0C9B"/>
    <w:rsid w:val="001E645F"/>
    <w:rsid w:val="001F6B3E"/>
    <w:rsid w:val="00206F07"/>
    <w:rsid w:val="002120C9"/>
    <w:rsid w:val="002123C9"/>
    <w:rsid w:val="00212CFF"/>
    <w:rsid w:val="002141C0"/>
    <w:rsid w:val="00215683"/>
    <w:rsid w:val="00232033"/>
    <w:rsid w:val="00241546"/>
    <w:rsid w:val="002472FA"/>
    <w:rsid w:val="00253304"/>
    <w:rsid w:val="0025552A"/>
    <w:rsid w:val="002568F2"/>
    <w:rsid w:val="0026710C"/>
    <w:rsid w:val="00280E3B"/>
    <w:rsid w:val="00281E6C"/>
    <w:rsid w:val="00283E43"/>
    <w:rsid w:val="0028479A"/>
    <w:rsid w:val="00285FDD"/>
    <w:rsid w:val="002874DE"/>
    <w:rsid w:val="00295EA4"/>
    <w:rsid w:val="002A046C"/>
    <w:rsid w:val="002A161A"/>
    <w:rsid w:val="002A4ADA"/>
    <w:rsid w:val="002B0232"/>
    <w:rsid w:val="002B0D05"/>
    <w:rsid w:val="002B602F"/>
    <w:rsid w:val="002D134D"/>
    <w:rsid w:val="002D1F05"/>
    <w:rsid w:val="002D2016"/>
    <w:rsid w:val="002E105B"/>
    <w:rsid w:val="002E5587"/>
    <w:rsid w:val="002F1000"/>
    <w:rsid w:val="002F2310"/>
    <w:rsid w:val="002F7FDC"/>
    <w:rsid w:val="0030284F"/>
    <w:rsid w:val="00303FFC"/>
    <w:rsid w:val="003158E1"/>
    <w:rsid w:val="00320A19"/>
    <w:rsid w:val="00321D39"/>
    <w:rsid w:val="0032210B"/>
    <w:rsid w:val="00324997"/>
    <w:rsid w:val="00332A1D"/>
    <w:rsid w:val="00334CA9"/>
    <w:rsid w:val="00336B3A"/>
    <w:rsid w:val="00340D2B"/>
    <w:rsid w:val="0034223C"/>
    <w:rsid w:val="00344A09"/>
    <w:rsid w:val="00345771"/>
    <w:rsid w:val="00354E5C"/>
    <w:rsid w:val="0035641C"/>
    <w:rsid w:val="00361BA1"/>
    <w:rsid w:val="00363E94"/>
    <w:rsid w:val="00365B8E"/>
    <w:rsid w:val="00367421"/>
    <w:rsid w:val="003721D8"/>
    <w:rsid w:val="00376240"/>
    <w:rsid w:val="00377EB0"/>
    <w:rsid w:val="0038217F"/>
    <w:rsid w:val="00382C79"/>
    <w:rsid w:val="00385892"/>
    <w:rsid w:val="00386A7D"/>
    <w:rsid w:val="00390CD6"/>
    <w:rsid w:val="00390DA0"/>
    <w:rsid w:val="0039236F"/>
    <w:rsid w:val="00393D64"/>
    <w:rsid w:val="003970EF"/>
    <w:rsid w:val="00397EEE"/>
    <w:rsid w:val="003A3A21"/>
    <w:rsid w:val="003B0FBE"/>
    <w:rsid w:val="003B1B19"/>
    <w:rsid w:val="003C00B7"/>
    <w:rsid w:val="003D2EF5"/>
    <w:rsid w:val="003D58F4"/>
    <w:rsid w:val="003D7FCC"/>
    <w:rsid w:val="003E4689"/>
    <w:rsid w:val="003E6EBD"/>
    <w:rsid w:val="003E7876"/>
    <w:rsid w:val="003F64F8"/>
    <w:rsid w:val="00400D63"/>
    <w:rsid w:val="004144A3"/>
    <w:rsid w:val="004247E7"/>
    <w:rsid w:val="004279EC"/>
    <w:rsid w:val="00427EFE"/>
    <w:rsid w:val="0043187B"/>
    <w:rsid w:val="00450B0F"/>
    <w:rsid w:val="00454A54"/>
    <w:rsid w:val="00455C53"/>
    <w:rsid w:val="00466E9D"/>
    <w:rsid w:val="00470125"/>
    <w:rsid w:val="00474BEE"/>
    <w:rsid w:val="00477EA9"/>
    <w:rsid w:val="004926DA"/>
    <w:rsid w:val="004A0562"/>
    <w:rsid w:val="004B2C5B"/>
    <w:rsid w:val="004B4BC8"/>
    <w:rsid w:val="004C0127"/>
    <w:rsid w:val="004C55C1"/>
    <w:rsid w:val="004D24D9"/>
    <w:rsid w:val="004D2900"/>
    <w:rsid w:val="004D4A4C"/>
    <w:rsid w:val="004D654A"/>
    <w:rsid w:val="004D6C8E"/>
    <w:rsid w:val="004D758B"/>
    <w:rsid w:val="004E2B79"/>
    <w:rsid w:val="004F0F46"/>
    <w:rsid w:val="004F15BC"/>
    <w:rsid w:val="004F1BD2"/>
    <w:rsid w:val="004F1F9A"/>
    <w:rsid w:val="004F49E5"/>
    <w:rsid w:val="004F6B68"/>
    <w:rsid w:val="00501F1C"/>
    <w:rsid w:val="0050327A"/>
    <w:rsid w:val="00510A25"/>
    <w:rsid w:val="00511D62"/>
    <w:rsid w:val="00513962"/>
    <w:rsid w:val="00514DDD"/>
    <w:rsid w:val="00515286"/>
    <w:rsid w:val="0051753C"/>
    <w:rsid w:val="00521070"/>
    <w:rsid w:val="005346EE"/>
    <w:rsid w:val="00547074"/>
    <w:rsid w:val="00547218"/>
    <w:rsid w:val="00551B31"/>
    <w:rsid w:val="0055242A"/>
    <w:rsid w:val="00554121"/>
    <w:rsid w:val="00561D85"/>
    <w:rsid w:val="005820D6"/>
    <w:rsid w:val="005913E4"/>
    <w:rsid w:val="005948BF"/>
    <w:rsid w:val="005955B6"/>
    <w:rsid w:val="00597F2B"/>
    <w:rsid w:val="005A2D36"/>
    <w:rsid w:val="005A2EC2"/>
    <w:rsid w:val="005B104F"/>
    <w:rsid w:val="005C7004"/>
    <w:rsid w:val="005C718F"/>
    <w:rsid w:val="005C7804"/>
    <w:rsid w:val="005D0485"/>
    <w:rsid w:val="005D3E1C"/>
    <w:rsid w:val="005D6E48"/>
    <w:rsid w:val="005E2CDA"/>
    <w:rsid w:val="005E2E68"/>
    <w:rsid w:val="005E6929"/>
    <w:rsid w:val="005F0FD8"/>
    <w:rsid w:val="005F280E"/>
    <w:rsid w:val="005F403C"/>
    <w:rsid w:val="006074DC"/>
    <w:rsid w:val="00623854"/>
    <w:rsid w:val="006245FD"/>
    <w:rsid w:val="00625809"/>
    <w:rsid w:val="006409EE"/>
    <w:rsid w:val="00645EF3"/>
    <w:rsid w:val="00647162"/>
    <w:rsid w:val="00647F71"/>
    <w:rsid w:val="00654303"/>
    <w:rsid w:val="00654FBD"/>
    <w:rsid w:val="00655797"/>
    <w:rsid w:val="00662B35"/>
    <w:rsid w:val="006673B6"/>
    <w:rsid w:val="0067586A"/>
    <w:rsid w:val="00677F0A"/>
    <w:rsid w:val="00687767"/>
    <w:rsid w:val="00687780"/>
    <w:rsid w:val="00694F66"/>
    <w:rsid w:val="006952F4"/>
    <w:rsid w:val="00695A97"/>
    <w:rsid w:val="006A1A27"/>
    <w:rsid w:val="006A448C"/>
    <w:rsid w:val="006A6178"/>
    <w:rsid w:val="006A720A"/>
    <w:rsid w:val="006A7754"/>
    <w:rsid w:val="006B1DFB"/>
    <w:rsid w:val="006B616F"/>
    <w:rsid w:val="006B7133"/>
    <w:rsid w:val="006C1195"/>
    <w:rsid w:val="006D573E"/>
    <w:rsid w:val="006D6C82"/>
    <w:rsid w:val="006E169E"/>
    <w:rsid w:val="006E3024"/>
    <w:rsid w:val="006E6976"/>
    <w:rsid w:val="006E6A49"/>
    <w:rsid w:val="006F615E"/>
    <w:rsid w:val="006F6735"/>
    <w:rsid w:val="006F6CC7"/>
    <w:rsid w:val="006F6F3B"/>
    <w:rsid w:val="007032FF"/>
    <w:rsid w:val="00706F82"/>
    <w:rsid w:val="00710CCF"/>
    <w:rsid w:val="00712045"/>
    <w:rsid w:val="00712AE5"/>
    <w:rsid w:val="00750E0D"/>
    <w:rsid w:val="00754E15"/>
    <w:rsid w:val="00756ADA"/>
    <w:rsid w:val="0077161A"/>
    <w:rsid w:val="00771926"/>
    <w:rsid w:val="00771F35"/>
    <w:rsid w:val="00774AFB"/>
    <w:rsid w:val="0077679B"/>
    <w:rsid w:val="007831DA"/>
    <w:rsid w:val="00786082"/>
    <w:rsid w:val="007922A6"/>
    <w:rsid w:val="007A75B6"/>
    <w:rsid w:val="007B599D"/>
    <w:rsid w:val="007B5D78"/>
    <w:rsid w:val="007C480A"/>
    <w:rsid w:val="007C73B8"/>
    <w:rsid w:val="007D385B"/>
    <w:rsid w:val="007E0E1E"/>
    <w:rsid w:val="007F0D8C"/>
    <w:rsid w:val="007F44BF"/>
    <w:rsid w:val="007F5010"/>
    <w:rsid w:val="007F56E6"/>
    <w:rsid w:val="007F57E5"/>
    <w:rsid w:val="008026E4"/>
    <w:rsid w:val="00802AE9"/>
    <w:rsid w:val="00814B8D"/>
    <w:rsid w:val="008171AD"/>
    <w:rsid w:val="00820527"/>
    <w:rsid w:val="008422C0"/>
    <w:rsid w:val="008422D4"/>
    <w:rsid w:val="00843389"/>
    <w:rsid w:val="0084496D"/>
    <w:rsid w:val="008477DE"/>
    <w:rsid w:val="00857C5B"/>
    <w:rsid w:val="00870319"/>
    <w:rsid w:val="00874FAD"/>
    <w:rsid w:val="00885959"/>
    <w:rsid w:val="00891D72"/>
    <w:rsid w:val="0089308D"/>
    <w:rsid w:val="00894175"/>
    <w:rsid w:val="008A10C7"/>
    <w:rsid w:val="008C40F0"/>
    <w:rsid w:val="008C532A"/>
    <w:rsid w:val="008D13E2"/>
    <w:rsid w:val="008D51D3"/>
    <w:rsid w:val="008F01AC"/>
    <w:rsid w:val="009121E7"/>
    <w:rsid w:val="00916FE9"/>
    <w:rsid w:val="00922DFB"/>
    <w:rsid w:val="0093520F"/>
    <w:rsid w:val="0094080C"/>
    <w:rsid w:val="00942A6F"/>
    <w:rsid w:val="00944E1A"/>
    <w:rsid w:val="00946B53"/>
    <w:rsid w:val="00962BF1"/>
    <w:rsid w:val="009638E8"/>
    <w:rsid w:val="009665F6"/>
    <w:rsid w:val="009715A3"/>
    <w:rsid w:val="00975BC8"/>
    <w:rsid w:val="00980C4B"/>
    <w:rsid w:val="009818D4"/>
    <w:rsid w:val="009913DE"/>
    <w:rsid w:val="009945CD"/>
    <w:rsid w:val="009A0267"/>
    <w:rsid w:val="009A5F8B"/>
    <w:rsid w:val="009B252C"/>
    <w:rsid w:val="009B34D7"/>
    <w:rsid w:val="009B5EDB"/>
    <w:rsid w:val="009B7DBA"/>
    <w:rsid w:val="009C39B5"/>
    <w:rsid w:val="009C5386"/>
    <w:rsid w:val="009D0184"/>
    <w:rsid w:val="009D5CED"/>
    <w:rsid w:val="009D7F50"/>
    <w:rsid w:val="009F3C67"/>
    <w:rsid w:val="009F64F8"/>
    <w:rsid w:val="00A149DF"/>
    <w:rsid w:val="00A16654"/>
    <w:rsid w:val="00A202EB"/>
    <w:rsid w:val="00A219FD"/>
    <w:rsid w:val="00A33379"/>
    <w:rsid w:val="00A35D0D"/>
    <w:rsid w:val="00A37FE1"/>
    <w:rsid w:val="00A416ED"/>
    <w:rsid w:val="00A4348C"/>
    <w:rsid w:val="00A438D2"/>
    <w:rsid w:val="00A51A0A"/>
    <w:rsid w:val="00A523D9"/>
    <w:rsid w:val="00A53A22"/>
    <w:rsid w:val="00A55F33"/>
    <w:rsid w:val="00A62217"/>
    <w:rsid w:val="00A65273"/>
    <w:rsid w:val="00A66ECC"/>
    <w:rsid w:val="00A673AD"/>
    <w:rsid w:val="00A74718"/>
    <w:rsid w:val="00A76816"/>
    <w:rsid w:val="00A94ED9"/>
    <w:rsid w:val="00AA12B0"/>
    <w:rsid w:val="00AA3F24"/>
    <w:rsid w:val="00AA71B1"/>
    <w:rsid w:val="00AB049B"/>
    <w:rsid w:val="00AB4028"/>
    <w:rsid w:val="00AB70F9"/>
    <w:rsid w:val="00AC0C52"/>
    <w:rsid w:val="00AC0FA8"/>
    <w:rsid w:val="00AC6C18"/>
    <w:rsid w:val="00AD4143"/>
    <w:rsid w:val="00AE0DE2"/>
    <w:rsid w:val="00AE55A0"/>
    <w:rsid w:val="00AF7AF4"/>
    <w:rsid w:val="00B00F6C"/>
    <w:rsid w:val="00B06F07"/>
    <w:rsid w:val="00B105FC"/>
    <w:rsid w:val="00B13677"/>
    <w:rsid w:val="00B25D22"/>
    <w:rsid w:val="00B321EE"/>
    <w:rsid w:val="00B45123"/>
    <w:rsid w:val="00B46D66"/>
    <w:rsid w:val="00B56C3C"/>
    <w:rsid w:val="00B6063C"/>
    <w:rsid w:val="00B60913"/>
    <w:rsid w:val="00B62CA2"/>
    <w:rsid w:val="00B62FB7"/>
    <w:rsid w:val="00B63A5B"/>
    <w:rsid w:val="00B66033"/>
    <w:rsid w:val="00B72F7C"/>
    <w:rsid w:val="00B80868"/>
    <w:rsid w:val="00B85672"/>
    <w:rsid w:val="00B90401"/>
    <w:rsid w:val="00B90D82"/>
    <w:rsid w:val="00B96485"/>
    <w:rsid w:val="00B96944"/>
    <w:rsid w:val="00B9779F"/>
    <w:rsid w:val="00BB475A"/>
    <w:rsid w:val="00BB5814"/>
    <w:rsid w:val="00BC1631"/>
    <w:rsid w:val="00BC7A10"/>
    <w:rsid w:val="00BD76EA"/>
    <w:rsid w:val="00BD7D00"/>
    <w:rsid w:val="00BF1BDA"/>
    <w:rsid w:val="00BF1C90"/>
    <w:rsid w:val="00BF2461"/>
    <w:rsid w:val="00BF3151"/>
    <w:rsid w:val="00C03565"/>
    <w:rsid w:val="00C206AD"/>
    <w:rsid w:val="00C20F59"/>
    <w:rsid w:val="00C30C3B"/>
    <w:rsid w:val="00C3759C"/>
    <w:rsid w:val="00C37B9A"/>
    <w:rsid w:val="00C417D7"/>
    <w:rsid w:val="00C43430"/>
    <w:rsid w:val="00C51095"/>
    <w:rsid w:val="00C63E56"/>
    <w:rsid w:val="00C65180"/>
    <w:rsid w:val="00C66F2F"/>
    <w:rsid w:val="00C723C7"/>
    <w:rsid w:val="00C74646"/>
    <w:rsid w:val="00C80769"/>
    <w:rsid w:val="00C845E5"/>
    <w:rsid w:val="00C86B5F"/>
    <w:rsid w:val="00C87872"/>
    <w:rsid w:val="00C90B47"/>
    <w:rsid w:val="00C90CF2"/>
    <w:rsid w:val="00C91ABA"/>
    <w:rsid w:val="00C974D3"/>
    <w:rsid w:val="00CA74AB"/>
    <w:rsid w:val="00CB32B6"/>
    <w:rsid w:val="00CC1A56"/>
    <w:rsid w:val="00CD64AE"/>
    <w:rsid w:val="00CD7EF5"/>
    <w:rsid w:val="00CE6516"/>
    <w:rsid w:val="00D02B72"/>
    <w:rsid w:val="00D0337A"/>
    <w:rsid w:val="00D404FE"/>
    <w:rsid w:val="00D42462"/>
    <w:rsid w:val="00D44056"/>
    <w:rsid w:val="00D45FFF"/>
    <w:rsid w:val="00D473ED"/>
    <w:rsid w:val="00D5097F"/>
    <w:rsid w:val="00D57954"/>
    <w:rsid w:val="00D60002"/>
    <w:rsid w:val="00D61CB4"/>
    <w:rsid w:val="00D925B8"/>
    <w:rsid w:val="00D94A3B"/>
    <w:rsid w:val="00DA6448"/>
    <w:rsid w:val="00DB2814"/>
    <w:rsid w:val="00DB3052"/>
    <w:rsid w:val="00DC1B07"/>
    <w:rsid w:val="00DD3888"/>
    <w:rsid w:val="00DE0F62"/>
    <w:rsid w:val="00DE2DA0"/>
    <w:rsid w:val="00DE57EB"/>
    <w:rsid w:val="00DF764C"/>
    <w:rsid w:val="00E01564"/>
    <w:rsid w:val="00E02E53"/>
    <w:rsid w:val="00E10175"/>
    <w:rsid w:val="00E11944"/>
    <w:rsid w:val="00E24F81"/>
    <w:rsid w:val="00E25102"/>
    <w:rsid w:val="00E25952"/>
    <w:rsid w:val="00E2764C"/>
    <w:rsid w:val="00E452B1"/>
    <w:rsid w:val="00E50358"/>
    <w:rsid w:val="00E60388"/>
    <w:rsid w:val="00E61B13"/>
    <w:rsid w:val="00E673FB"/>
    <w:rsid w:val="00E74162"/>
    <w:rsid w:val="00E80428"/>
    <w:rsid w:val="00E83DA0"/>
    <w:rsid w:val="00E92018"/>
    <w:rsid w:val="00E93120"/>
    <w:rsid w:val="00E94723"/>
    <w:rsid w:val="00E9792E"/>
    <w:rsid w:val="00EA075D"/>
    <w:rsid w:val="00EA1E2D"/>
    <w:rsid w:val="00EA3033"/>
    <w:rsid w:val="00EB2256"/>
    <w:rsid w:val="00EB5CF7"/>
    <w:rsid w:val="00EB6441"/>
    <w:rsid w:val="00EC0598"/>
    <w:rsid w:val="00EC30B1"/>
    <w:rsid w:val="00EC3359"/>
    <w:rsid w:val="00ED4855"/>
    <w:rsid w:val="00ED56D4"/>
    <w:rsid w:val="00ED63AA"/>
    <w:rsid w:val="00EF0EA7"/>
    <w:rsid w:val="00EF7E11"/>
    <w:rsid w:val="00F0074B"/>
    <w:rsid w:val="00F00CD5"/>
    <w:rsid w:val="00F07BB7"/>
    <w:rsid w:val="00F11135"/>
    <w:rsid w:val="00F11F5B"/>
    <w:rsid w:val="00F14001"/>
    <w:rsid w:val="00F15C0D"/>
    <w:rsid w:val="00F161BE"/>
    <w:rsid w:val="00F16D63"/>
    <w:rsid w:val="00F36963"/>
    <w:rsid w:val="00F40BB1"/>
    <w:rsid w:val="00F456B9"/>
    <w:rsid w:val="00F46D1C"/>
    <w:rsid w:val="00F55B97"/>
    <w:rsid w:val="00F65BA1"/>
    <w:rsid w:val="00FA434C"/>
    <w:rsid w:val="00FA61E5"/>
    <w:rsid w:val="00FA6A4B"/>
    <w:rsid w:val="00FB4165"/>
    <w:rsid w:val="00FC0148"/>
    <w:rsid w:val="00FC5E70"/>
    <w:rsid w:val="00FC5F5E"/>
    <w:rsid w:val="00FC6CF7"/>
    <w:rsid w:val="00FD17A2"/>
    <w:rsid w:val="00FD22D1"/>
    <w:rsid w:val="00FD3C42"/>
    <w:rsid w:val="00FE25D4"/>
    <w:rsid w:val="00FE47D5"/>
    <w:rsid w:val="00FF589C"/>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7BFB8-3091-4F94-B46E-7DE98B29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uiPriority w:val="99"/>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paragraph" w:styleId="NoSpacing">
    <w:name w:val="No Spacing"/>
    <w:uiPriority w:val="1"/>
    <w:qFormat/>
    <w:rsid w:val="00597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9C3D-5893-4B9A-8D8F-BDCD4640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25391</Words>
  <Characters>14474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Ministru kabineta rīkojuma „Grozījumi darbības programmas „Cilvēkresursi un nodarbinātība” papildinājumā” projekta sākotnējās ietekmes novērtējuma ziņojums (anotācija)</vt:lpstr>
    </vt:vector>
  </TitlesOfParts>
  <Company>lm</Company>
  <LinksUpToDate>false</LinksUpToDate>
  <CharactersWithSpaces>39786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„Grozījumi darbības programmas „Cilvēkresursi un nodarbinātība” papildinājumā” projekta sākotnējās ietekmes novērtējuma ziņojums (anotācija)</dc:title>
  <dc:subject>Anotācija</dc:subject>
  <dc:creator>Dace Zvaigzne</dc:creator>
  <cp:keywords/>
  <dc:description>Dace Zvaigzne, dace.zvaigzne@lm.gov.lv_x000d_
t.67021660</dc:description>
  <cp:lastModifiedBy>Dace Zvaigzne</cp:lastModifiedBy>
  <cp:revision>16</cp:revision>
  <cp:lastPrinted>2014-03-24T09:55:00Z</cp:lastPrinted>
  <dcterms:created xsi:type="dcterms:W3CDTF">2014-03-24T09:53:00Z</dcterms:created>
  <dcterms:modified xsi:type="dcterms:W3CDTF">2014-03-24T11:39:00Z</dcterms:modified>
</cp:coreProperties>
</file>