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EE1BB2" w:rsidRDefault="00BD2307" w:rsidP="00BD2307">
      <w:pPr>
        <w:jc w:val="center"/>
        <w:rPr>
          <w:b/>
          <w:bCs/>
        </w:rPr>
      </w:pPr>
      <w:r w:rsidRPr="00EE1BB2">
        <w:t>Minis</w:t>
      </w:r>
      <w:r w:rsidR="00CD4F9C" w:rsidRPr="00EE1BB2">
        <w:t>tru kabineta noteikumu projekta</w:t>
      </w:r>
    </w:p>
    <w:p w:rsidR="00BC433A" w:rsidRDefault="00167AE7" w:rsidP="00BC433A">
      <w:pPr>
        <w:jc w:val="center"/>
        <w:rPr>
          <w:b/>
          <w:szCs w:val="28"/>
        </w:rPr>
      </w:pPr>
      <w:r w:rsidRPr="00CB5BAE">
        <w:rPr>
          <w:b/>
          <w:szCs w:val="28"/>
        </w:rPr>
        <w:t>„</w:t>
      </w:r>
      <w:r w:rsidR="00BC433A">
        <w:rPr>
          <w:b/>
          <w:szCs w:val="28"/>
        </w:rPr>
        <w:t>Grozījumi Ministru kabineta 2013.gada 27.augusta</w:t>
      </w:r>
    </w:p>
    <w:p w:rsidR="00BC433A" w:rsidRDefault="00BC433A" w:rsidP="00BC433A">
      <w:pPr>
        <w:jc w:val="center"/>
        <w:rPr>
          <w:b/>
          <w:szCs w:val="28"/>
        </w:rPr>
      </w:pPr>
      <w:r>
        <w:rPr>
          <w:b/>
          <w:szCs w:val="28"/>
        </w:rPr>
        <w:t>noteikumos Nr.665 „</w:t>
      </w:r>
      <w:r w:rsidRPr="002D372C">
        <w:rPr>
          <w:b/>
          <w:szCs w:val="28"/>
        </w:rPr>
        <w:t>Noteikumi par minimālo mēneša</w:t>
      </w:r>
    </w:p>
    <w:p w:rsidR="00D80882" w:rsidRPr="00EE1BB2" w:rsidRDefault="00BC433A" w:rsidP="00BC433A">
      <w:pPr>
        <w:jc w:val="center"/>
        <w:rPr>
          <w:b/>
          <w:szCs w:val="28"/>
        </w:rPr>
      </w:pPr>
      <w:r w:rsidRPr="002D372C">
        <w:rPr>
          <w:b/>
          <w:szCs w:val="28"/>
        </w:rPr>
        <w:t>darba algu un</w:t>
      </w:r>
      <w:r>
        <w:rPr>
          <w:b/>
          <w:szCs w:val="28"/>
        </w:rPr>
        <w:t xml:space="preserve"> </w:t>
      </w:r>
      <w:r w:rsidRPr="002D372C">
        <w:rPr>
          <w:b/>
          <w:szCs w:val="28"/>
        </w:rPr>
        <w:t>minimālo stundas tarifa likmi</w:t>
      </w:r>
      <w:r>
        <w:rPr>
          <w:b/>
          <w:szCs w:val="28"/>
        </w:rPr>
        <w:t>”</w:t>
      </w:r>
    </w:p>
    <w:p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rsidR="00CD4F9C" w:rsidRDefault="00CD4F9C" w:rsidP="00124129">
      <w:pPr>
        <w:rPr>
          <w:szCs w:val="28"/>
        </w:rPr>
      </w:pPr>
    </w:p>
    <w:p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F24D71" w:rsidRPr="00D42CC4" w:rsidTr="0090004D">
        <w:tc>
          <w:tcPr>
            <w:tcW w:w="0" w:type="auto"/>
            <w:gridSpan w:val="3"/>
            <w:tcBorders>
              <w:top w:val="outset" w:sz="6" w:space="0" w:color="auto"/>
              <w:bottom w:val="single" w:sz="4" w:space="0" w:color="auto"/>
            </w:tcBorders>
            <w:vAlign w:val="center"/>
          </w:tcPr>
          <w:p w:rsidR="00F24D71" w:rsidRPr="00D42CC4" w:rsidRDefault="00F24D71" w:rsidP="0090004D">
            <w:pPr>
              <w:pStyle w:val="naisnod"/>
              <w:ind w:left="360"/>
            </w:pPr>
            <w:r w:rsidRPr="00D42CC4">
              <w:t>I</w:t>
            </w:r>
            <w:r>
              <w:t>.</w:t>
            </w:r>
            <w:r w:rsidRPr="00D42CC4">
              <w:t xml:space="preserve"> Tiesību akta projekta izstrādes nepieciešamība</w:t>
            </w:r>
          </w:p>
        </w:tc>
      </w:tr>
      <w:tr w:rsidR="00F24D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0"/>
            </w:pPr>
            <w:r w:rsidRPr="00D42CC4">
              <w:t>Pamatojums</w:t>
            </w:r>
          </w:p>
        </w:tc>
        <w:tc>
          <w:tcPr>
            <w:tcW w:w="3340" w:type="pct"/>
            <w:tcBorders>
              <w:top w:val="single" w:sz="4" w:space="0" w:color="auto"/>
              <w:left w:val="single" w:sz="4" w:space="0" w:color="auto"/>
              <w:bottom w:val="single" w:sz="4" w:space="0" w:color="auto"/>
              <w:right w:val="single" w:sz="4" w:space="0" w:color="auto"/>
            </w:tcBorders>
          </w:tcPr>
          <w:p w:rsidR="00F24D71" w:rsidRPr="0089574E" w:rsidRDefault="0089574E" w:rsidP="008D4648">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rPr>
            </w:pPr>
            <w:r w:rsidRPr="0089574E">
              <w:rPr>
                <w:sz w:val="24"/>
              </w:rPr>
              <w:t xml:space="preserve">Saskaņā ar 2014.gada </w:t>
            </w:r>
            <w:r w:rsidR="00E60B8F">
              <w:rPr>
                <w:sz w:val="24"/>
              </w:rPr>
              <w:t>5</w:t>
            </w:r>
            <w:r w:rsidRPr="0089574E">
              <w:rPr>
                <w:sz w:val="24"/>
              </w:rPr>
              <w:t>.nove</w:t>
            </w:r>
            <w:r w:rsidR="00093558">
              <w:rPr>
                <w:sz w:val="24"/>
              </w:rPr>
              <w:t>m</w:t>
            </w:r>
            <w:r w:rsidRPr="0089574E">
              <w:rPr>
                <w:sz w:val="24"/>
              </w:rPr>
              <w:t xml:space="preserve">brī </w:t>
            </w:r>
            <w:r w:rsidR="00E60B8F">
              <w:rPr>
                <w:sz w:val="24"/>
              </w:rPr>
              <w:t>parakstīto</w:t>
            </w:r>
            <w:r w:rsidRPr="0089574E">
              <w:rPr>
                <w:sz w:val="24"/>
              </w:rPr>
              <w:t xml:space="preserve"> </w:t>
            </w:r>
            <w:r w:rsidRPr="0089574E">
              <w:rPr>
                <w:sz w:val="24"/>
                <w:lang w:eastAsia="lv-LV"/>
              </w:rPr>
              <w:t xml:space="preserve">Deklarācijas par Laimdotas </w:t>
            </w:r>
            <w:proofErr w:type="spellStart"/>
            <w:r w:rsidRPr="0089574E">
              <w:rPr>
                <w:sz w:val="24"/>
                <w:lang w:eastAsia="lv-LV"/>
              </w:rPr>
              <w:t>Straujumas</w:t>
            </w:r>
            <w:proofErr w:type="spellEnd"/>
            <w:r w:rsidRPr="0089574E">
              <w:rPr>
                <w:sz w:val="24"/>
                <w:lang w:eastAsia="lv-LV"/>
              </w:rPr>
              <w:t xml:space="preserve"> vadītā Ministru kabineta iecerēto darbību</w:t>
            </w:r>
            <w:r w:rsidRPr="0089574E">
              <w:rPr>
                <w:sz w:val="24"/>
              </w:rPr>
              <w:t xml:space="preserve"> 89.punktu minimālā mēneša darba alga valstī 2015.gadā ir jāpalielina par 40 </w:t>
            </w:r>
            <w:proofErr w:type="spellStart"/>
            <w:r w:rsidRPr="0089574E">
              <w:rPr>
                <w:i/>
                <w:sz w:val="24"/>
              </w:rPr>
              <w:t>euro</w:t>
            </w:r>
            <w:proofErr w:type="spellEnd"/>
            <w:r w:rsidRPr="0089574E">
              <w:rPr>
                <w:sz w:val="24"/>
              </w:rPr>
              <w:t xml:space="preserve"> un Ministru kabineta </w:t>
            </w:r>
            <w:r w:rsidRPr="00C02583">
              <w:rPr>
                <w:sz w:val="24"/>
              </w:rPr>
              <w:t>2014.gada 10.novembra ārkārtas sēdē nolemto</w:t>
            </w:r>
            <w:r w:rsidR="00D64BC0" w:rsidRPr="00C02583">
              <w:rPr>
                <w:sz w:val="24"/>
              </w:rPr>
              <w:t xml:space="preserve"> (Nr.61, 2</w:t>
            </w:r>
            <w:r w:rsidR="00C02583" w:rsidRPr="00C02583">
              <w:rPr>
                <w:sz w:val="24"/>
              </w:rPr>
              <w:t>9</w:t>
            </w:r>
            <w:r w:rsidR="00D64BC0" w:rsidRPr="00C02583">
              <w:rPr>
                <w:sz w:val="24"/>
              </w:rPr>
              <w:t>.§</w:t>
            </w:r>
            <w:r w:rsidR="00C02583" w:rsidRPr="00C02583">
              <w:rPr>
                <w:sz w:val="24"/>
              </w:rPr>
              <w:t xml:space="preserve"> 8.punkts</w:t>
            </w:r>
            <w:r w:rsidR="00D64BC0" w:rsidRPr="00C02583">
              <w:rPr>
                <w:sz w:val="24"/>
              </w:rPr>
              <w:t>)</w:t>
            </w:r>
            <w:r w:rsidRPr="00C02583">
              <w:rPr>
                <w:sz w:val="24"/>
              </w:rPr>
              <w:t xml:space="preserve">, </w:t>
            </w:r>
            <w:r w:rsidR="00C02583" w:rsidRPr="00C02583">
              <w:rPr>
                <w:color w:val="000000"/>
                <w:sz w:val="24"/>
                <w:lang w:eastAsia="lv-LV"/>
              </w:rPr>
              <w:t xml:space="preserve">Labklājības ministrijai </w:t>
            </w:r>
            <w:r w:rsidR="00C02583">
              <w:rPr>
                <w:color w:val="000000"/>
                <w:sz w:val="24"/>
                <w:lang w:eastAsia="lv-LV"/>
              </w:rPr>
              <w:t>jā</w:t>
            </w:r>
            <w:r w:rsidR="00C02583" w:rsidRPr="00C02583">
              <w:rPr>
                <w:color w:val="000000"/>
                <w:sz w:val="24"/>
                <w:lang w:eastAsia="lv-LV"/>
              </w:rPr>
              <w:t>sagatavo</w:t>
            </w:r>
            <w:r w:rsidR="00C02583">
              <w:rPr>
                <w:color w:val="000000"/>
                <w:sz w:val="24"/>
                <w:lang w:eastAsia="lv-LV"/>
              </w:rPr>
              <w:t xml:space="preserve"> un līdz 2014.gada 28.novembrim jāiesniedz </w:t>
            </w:r>
            <w:r w:rsidR="00C02583" w:rsidRPr="00C02583">
              <w:rPr>
                <w:color w:val="000000"/>
                <w:sz w:val="24"/>
                <w:lang w:eastAsia="lv-LV"/>
              </w:rPr>
              <w:t xml:space="preserve">izskatīšanai Ministru kabinetā </w:t>
            </w:r>
            <w:proofErr w:type="gramStart"/>
            <w:r w:rsidR="00C02583" w:rsidRPr="00C02583">
              <w:rPr>
                <w:color w:val="000000"/>
                <w:sz w:val="24"/>
                <w:lang w:eastAsia="lv-LV"/>
              </w:rPr>
              <w:t>atbilstošos Ministru kabineta noteikumus</w:t>
            </w:r>
            <w:proofErr w:type="gramEnd"/>
            <w:r w:rsidR="00C02583" w:rsidRPr="00C02583">
              <w:rPr>
                <w:color w:val="000000"/>
                <w:sz w:val="24"/>
                <w:lang w:eastAsia="lv-LV"/>
              </w:rPr>
              <w:t xml:space="preserve"> par minimālās mēneša darba alga palielināšanu valstī līdz 360 </w:t>
            </w:r>
            <w:proofErr w:type="spellStart"/>
            <w:r w:rsidR="004D3F44" w:rsidRPr="004D3F44">
              <w:rPr>
                <w:i/>
                <w:color w:val="000000"/>
                <w:sz w:val="24"/>
                <w:lang w:eastAsia="lv-LV"/>
              </w:rPr>
              <w:t>euro</w:t>
            </w:r>
            <w:proofErr w:type="spellEnd"/>
            <w:r w:rsidR="00C02583" w:rsidRPr="00C02583">
              <w:rPr>
                <w:color w:val="000000"/>
                <w:sz w:val="24"/>
                <w:lang w:eastAsia="lv-LV"/>
              </w:rPr>
              <w:t xml:space="preserve"> ar 2015.gada 1.janvāri.</w:t>
            </w:r>
          </w:p>
        </w:tc>
      </w:tr>
      <w:tr w:rsidR="00F24D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0"/>
            </w:pPr>
            <w:r w:rsidRPr="00DD49B6">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F24D71" w:rsidRPr="003317D9" w:rsidRDefault="00F24D71" w:rsidP="00F24D71">
            <w:pPr>
              <w:pStyle w:val="Footer"/>
              <w:tabs>
                <w:tab w:val="clear" w:pos="4153"/>
                <w:tab w:val="clear" w:pos="8306"/>
              </w:tabs>
              <w:jc w:val="both"/>
              <w:rPr>
                <w:sz w:val="24"/>
              </w:rPr>
            </w:pPr>
            <w:r w:rsidRPr="003317D9">
              <w:rPr>
                <w:sz w:val="24"/>
              </w:rPr>
              <w:t xml:space="preserve">Pašreiz Ministru kabineta 2013.gada 27.augusta noteikumi Nr.665 „Noteikumi par minimālo mēneša darba algu un minimālo stundas tarifa likmi” nosaka, ka minimālā mēneša darba alga ir 320 </w:t>
            </w:r>
            <w:proofErr w:type="spellStart"/>
            <w:r w:rsidRPr="003317D9">
              <w:rPr>
                <w:i/>
                <w:sz w:val="24"/>
              </w:rPr>
              <w:t>euro</w:t>
            </w:r>
            <w:proofErr w:type="spellEnd"/>
            <w:r w:rsidRPr="003317D9">
              <w:rPr>
                <w:sz w:val="24"/>
              </w:rPr>
              <w:t xml:space="preserve"> un minimālā stundas tarifa likme ir 1,933 </w:t>
            </w:r>
            <w:proofErr w:type="spellStart"/>
            <w:r w:rsidRPr="003317D9">
              <w:rPr>
                <w:i/>
                <w:sz w:val="24"/>
              </w:rPr>
              <w:t>euro</w:t>
            </w:r>
            <w:proofErr w:type="spellEnd"/>
            <w:r w:rsidRPr="003317D9">
              <w:rPr>
                <w:sz w:val="24"/>
              </w:rPr>
              <w:t>.</w:t>
            </w:r>
          </w:p>
          <w:p w:rsidR="00F24D71" w:rsidRPr="003317D9" w:rsidRDefault="00F24D71" w:rsidP="00F24D71">
            <w:pPr>
              <w:jc w:val="both"/>
              <w:rPr>
                <w:bCs/>
                <w:sz w:val="24"/>
              </w:rPr>
            </w:pPr>
            <w:r w:rsidRPr="003317D9">
              <w:rPr>
                <w:sz w:val="24"/>
              </w:rPr>
              <w:t xml:space="preserve">Saskaņā ar Ministru kabineta 2011.gada 17.maija noteikumu Nr.390 „Minimālās mēneša darba algas noteikšanas un pārskatīšanas kārtība” (turpmāk – MK noteikumi Nr.390) 2.punktu Labklājības ministrija kopīgi ar Finanšu ministriju un Ekonomikas ministriju izvērtēja ekonomisko situāciju valstī un izstrādāja priekšlikumus par minimālās mēneša darba algas apmēru (ar precizitāti līdz </w:t>
            </w:r>
            <w:proofErr w:type="spellStart"/>
            <w:r w:rsidRPr="003317D9">
              <w:rPr>
                <w:i/>
                <w:sz w:val="24"/>
              </w:rPr>
              <w:t>euro</w:t>
            </w:r>
            <w:proofErr w:type="spellEnd"/>
            <w:r w:rsidRPr="003317D9">
              <w:rPr>
                <w:sz w:val="24"/>
              </w:rPr>
              <w:t>), ņemot vērā Ekonomikas ministrijas sagatavotās makroekonomiskās prognozes un ekonomiskās situācijas izmaiņas iepriekšējā gadā, plānotās izmaiņas nodokļu sistēmā (iedzīvotāju ienākuma nodokļa likmes, ar iedzīvotāju ienākuma nodokli neapliekamā minimuma, obligātās valsts sociālās apdrošināšanas iemaksu likmju izmaiņas),</w:t>
            </w:r>
            <w:r w:rsidRPr="003317D9">
              <w:rPr>
                <w:bCs/>
                <w:sz w:val="24"/>
              </w:rPr>
              <w:t xml:space="preserve"> kā arī minimālās mēneša darba algas izmaiņas citās Baltijas valstīs (Igaunijā un Lietuvā).</w:t>
            </w:r>
          </w:p>
          <w:p w:rsidR="00F24D71" w:rsidRPr="003317D9" w:rsidRDefault="00F24D71" w:rsidP="00F24D71">
            <w:pPr>
              <w:autoSpaceDE w:val="0"/>
              <w:autoSpaceDN w:val="0"/>
              <w:adjustRightInd w:val="0"/>
              <w:jc w:val="both"/>
              <w:rPr>
                <w:sz w:val="24"/>
              </w:rPr>
            </w:pPr>
            <w:r w:rsidRPr="003317D9">
              <w:rPr>
                <w:sz w:val="24"/>
              </w:rPr>
              <w:t>Saskaņā ar MK noteikumu Nr.390 3.punktu Labklājības ministrija piedāvāja sociālajiem partneriem Nacionālajā trīspusējās sadarbības padomē (turpmāk - NTSP) izvērtēšanai priekšlikumu par minimālās mēneša darba algas paaugstināšanu 2015.gadā šādos divos variantos:</w:t>
            </w:r>
          </w:p>
          <w:p w:rsidR="00F24D71" w:rsidRPr="003317D9" w:rsidRDefault="00F24D71" w:rsidP="00F24D71">
            <w:pPr>
              <w:autoSpaceDE w:val="0"/>
              <w:autoSpaceDN w:val="0"/>
              <w:adjustRightInd w:val="0"/>
              <w:jc w:val="both"/>
              <w:rPr>
                <w:sz w:val="24"/>
              </w:rPr>
            </w:pPr>
            <w:r w:rsidRPr="003317D9">
              <w:rPr>
                <w:i/>
                <w:sz w:val="24"/>
              </w:rPr>
              <w:t>1.variants</w:t>
            </w:r>
            <w:r w:rsidRPr="003317D9">
              <w:rPr>
                <w:sz w:val="24"/>
              </w:rPr>
              <w:t xml:space="preserve"> – minimālā mēneša darba alga no 2015.gada 1.janvāra tiek paaugstināta no 320 </w:t>
            </w:r>
            <w:proofErr w:type="spellStart"/>
            <w:r w:rsidRPr="003317D9">
              <w:rPr>
                <w:i/>
                <w:sz w:val="24"/>
              </w:rPr>
              <w:t>euro</w:t>
            </w:r>
            <w:proofErr w:type="spellEnd"/>
            <w:r w:rsidRPr="003317D9">
              <w:rPr>
                <w:sz w:val="24"/>
              </w:rPr>
              <w:t xml:space="preserve"> līdz 330 </w:t>
            </w:r>
            <w:proofErr w:type="spellStart"/>
            <w:r w:rsidRPr="003317D9">
              <w:rPr>
                <w:i/>
                <w:sz w:val="24"/>
              </w:rPr>
              <w:t>euro</w:t>
            </w:r>
            <w:proofErr w:type="spellEnd"/>
            <w:r w:rsidRPr="003317D9">
              <w:rPr>
                <w:sz w:val="24"/>
              </w:rPr>
              <w:t xml:space="preserve"> jeb par 3,1%,</w:t>
            </w:r>
          </w:p>
          <w:p w:rsidR="00F24D71" w:rsidRPr="003317D9" w:rsidRDefault="00F24D71" w:rsidP="00F24D71">
            <w:pPr>
              <w:autoSpaceDE w:val="0"/>
              <w:autoSpaceDN w:val="0"/>
              <w:adjustRightInd w:val="0"/>
              <w:jc w:val="both"/>
              <w:rPr>
                <w:sz w:val="24"/>
              </w:rPr>
            </w:pPr>
            <w:r w:rsidRPr="003317D9">
              <w:rPr>
                <w:i/>
                <w:sz w:val="24"/>
              </w:rPr>
              <w:t>2.variants</w:t>
            </w:r>
            <w:r w:rsidRPr="003317D9">
              <w:rPr>
                <w:sz w:val="24"/>
              </w:rPr>
              <w:t xml:space="preserve"> – saglabāt minimālo mēneša darba algu 320 </w:t>
            </w:r>
            <w:proofErr w:type="spellStart"/>
            <w:r w:rsidRPr="003317D9">
              <w:rPr>
                <w:i/>
                <w:sz w:val="24"/>
              </w:rPr>
              <w:t>euro</w:t>
            </w:r>
            <w:proofErr w:type="spellEnd"/>
            <w:r w:rsidRPr="003317D9">
              <w:rPr>
                <w:sz w:val="24"/>
              </w:rPr>
              <w:t xml:space="preserve"> </w:t>
            </w:r>
            <w:r w:rsidRPr="003317D9">
              <w:rPr>
                <w:sz w:val="24"/>
              </w:rPr>
              <w:lastRenderedPageBreak/>
              <w:t>apmērā (0,0%).</w:t>
            </w:r>
          </w:p>
          <w:p w:rsidR="00F24D71" w:rsidRPr="003317D9" w:rsidRDefault="00F24D71" w:rsidP="00F24D71">
            <w:pPr>
              <w:autoSpaceDE w:val="0"/>
              <w:autoSpaceDN w:val="0"/>
              <w:adjustRightInd w:val="0"/>
              <w:jc w:val="both"/>
              <w:rPr>
                <w:sz w:val="24"/>
              </w:rPr>
            </w:pPr>
            <w:r w:rsidRPr="003317D9">
              <w:rPr>
                <w:sz w:val="24"/>
              </w:rPr>
              <w:t xml:space="preserve">NTSP 2014.gada </w:t>
            </w:r>
            <w:r w:rsidR="00AD4C2C" w:rsidRPr="003317D9">
              <w:rPr>
                <w:sz w:val="24"/>
              </w:rPr>
              <w:t>12.jūnija</w:t>
            </w:r>
            <w:r w:rsidRPr="003317D9">
              <w:rPr>
                <w:sz w:val="24"/>
              </w:rPr>
              <w:t xml:space="preserve"> sēdē NTSP locekļi </w:t>
            </w:r>
            <w:r w:rsidR="00AD4C2C" w:rsidRPr="003317D9">
              <w:rPr>
                <w:sz w:val="24"/>
              </w:rPr>
              <w:t>ne</w:t>
            </w:r>
            <w:r w:rsidRPr="003317D9">
              <w:rPr>
                <w:sz w:val="24"/>
              </w:rPr>
              <w:t>vienojās</w:t>
            </w:r>
            <w:r w:rsidR="00AD4C2C" w:rsidRPr="003317D9">
              <w:rPr>
                <w:sz w:val="24"/>
              </w:rPr>
              <w:t xml:space="preserve"> par</w:t>
            </w:r>
            <w:r w:rsidRPr="003317D9">
              <w:rPr>
                <w:sz w:val="24"/>
              </w:rPr>
              <w:t xml:space="preserve"> </w:t>
            </w:r>
            <w:r w:rsidRPr="003317D9">
              <w:rPr>
                <w:color w:val="000000"/>
                <w:sz w:val="24"/>
              </w:rPr>
              <w:t>minimālā mēneša darba alga</w:t>
            </w:r>
            <w:r w:rsidR="00AD4C2C" w:rsidRPr="003317D9">
              <w:rPr>
                <w:color w:val="000000"/>
                <w:sz w:val="24"/>
              </w:rPr>
              <w:t>s apmēru</w:t>
            </w:r>
            <w:r w:rsidRPr="003317D9">
              <w:rPr>
                <w:color w:val="000000"/>
                <w:sz w:val="24"/>
              </w:rPr>
              <w:t xml:space="preserve"> 2015.gadā</w:t>
            </w:r>
            <w:r w:rsidR="00AD4C2C" w:rsidRPr="003317D9">
              <w:rPr>
                <w:color w:val="000000"/>
                <w:sz w:val="24"/>
              </w:rPr>
              <w:t xml:space="preserve"> un nolēma šo jautājumu izskatīt nākošajā </w:t>
            </w:r>
            <w:r w:rsidR="00176AEA">
              <w:rPr>
                <w:color w:val="000000"/>
                <w:sz w:val="24"/>
              </w:rPr>
              <w:t>NTSP</w:t>
            </w:r>
            <w:r w:rsidR="00AD4C2C" w:rsidRPr="003317D9">
              <w:rPr>
                <w:color w:val="000000"/>
                <w:sz w:val="24"/>
              </w:rPr>
              <w:t xml:space="preserve"> sēdē kopā ar nodokļu sistēmas izmaiņām (neapliekamā minimuma, iedzīvotāju ienākuma nodokļa un sociālās apdrošināšanas iemaksu iespējamo apmēru 2015.gadā)</w:t>
            </w:r>
            <w:r w:rsidR="00AD4C2C" w:rsidRPr="003317D9">
              <w:rPr>
                <w:sz w:val="24"/>
              </w:rPr>
              <w:t>.</w:t>
            </w:r>
          </w:p>
          <w:p w:rsidR="00477249" w:rsidRDefault="003317D9" w:rsidP="00F24D71">
            <w:pPr>
              <w:jc w:val="both"/>
              <w:rPr>
                <w:color w:val="000000"/>
                <w:sz w:val="24"/>
                <w:lang w:eastAsia="lv-LV"/>
              </w:rPr>
            </w:pPr>
            <w:r w:rsidRPr="003317D9">
              <w:rPr>
                <w:iCs/>
                <w:sz w:val="24"/>
              </w:rPr>
              <w:t xml:space="preserve">Jaunā valdība </w:t>
            </w:r>
            <w:r w:rsidRPr="003317D9">
              <w:rPr>
                <w:sz w:val="24"/>
              </w:rPr>
              <w:t xml:space="preserve">2014.gada </w:t>
            </w:r>
            <w:r w:rsidR="00E87B85">
              <w:rPr>
                <w:sz w:val="24"/>
              </w:rPr>
              <w:t>5</w:t>
            </w:r>
            <w:r w:rsidRPr="003317D9">
              <w:rPr>
                <w:sz w:val="24"/>
              </w:rPr>
              <w:t>.nove</w:t>
            </w:r>
            <w:r w:rsidR="00093558">
              <w:rPr>
                <w:sz w:val="24"/>
              </w:rPr>
              <w:t>m</w:t>
            </w:r>
            <w:r w:rsidRPr="003317D9">
              <w:rPr>
                <w:sz w:val="24"/>
              </w:rPr>
              <w:t xml:space="preserve">brī </w:t>
            </w:r>
            <w:r w:rsidR="00E87B85">
              <w:rPr>
                <w:sz w:val="24"/>
              </w:rPr>
              <w:t>parakstīja</w:t>
            </w:r>
            <w:r w:rsidRPr="003317D9">
              <w:rPr>
                <w:sz w:val="24"/>
              </w:rPr>
              <w:t xml:space="preserve"> </w:t>
            </w:r>
            <w:r w:rsidRPr="003317D9">
              <w:rPr>
                <w:sz w:val="24"/>
                <w:lang w:eastAsia="lv-LV"/>
              </w:rPr>
              <w:t xml:space="preserve">Deklarāciju par Laimdotas </w:t>
            </w:r>
            <w:proofErr w:type="spellStart"/>
            <w:r w:rsidRPr="003317D9">
              <w:rPr>
                <w:sz w:val="24"/>
                <w:lang w:eastAsia="lv-LV"/>
              </w:rPr>
              <w:t>Straujumas</w:t>
            </w:r>
            <w:proofErr w:type="spellEnd"/>
            <w:r w:rsidRPr="003317D9">
              <w:rPr>
                <w:sz w:val="24"/>
                <w:lang w:eastAsia="lv-LV"/>
              </w:rPr>
              <w:t xml:space="preserve"> vadītā Ministru kabineta iecerēto darbību, kurā tika iekļauts 89.punkts par to, ka </w:t>
            </w:r>
            <w:r w:rsidRPr="003317D9">
              <w:rPr>
                <w:sz w:val="24"/>
              </w:rPr>
              <w:t xml:space="preserve">minimālā mēneša darba alga valstī 2015.gadā ir jāpalielina par 40 </w:t>
            </w:r>
            <w:proofErr w:type="spellStart"/>
            <w:r w:rsidRPr="003317D9">
              <w:rPr>
                <w:i/>
                <w:sz w:val="24"/>
              </w:rPr>
              <w:t>euro</w:t>
            </w:r>
            <w:proofErr w:type="spellEnd"/>
            <w:r w:rsidRPr="003317D9">
              <w:rPr>
                <w:sz w:val="24"/>
              </w:rPr>
              <w:t xml:space="preserve"> un Ministru kabineta 2014.gada 10.novembra ārkārtas sēdē tika nolemts (Nr.61, 2</w:t>
            </w:r>
            <w:r w:rsidR="005A1DA1">
              <w:rPr>
                <w:sz w:val="24"/>
              </w:rPr>
              <w:t>9</w:t>
            </w:r>
            <w:r w:rsidRPr="003317D9">
              <w:rPr>
                <w:sz w:val="24"/>
              </w:rPr>
              <w:t>.§)</w:t>
            </w:r>
            <w:r>
              <w:rPr>
                <w:sz w:val="24"/>
              </w:rPr>
              <w:t xml:space="preserve">, </w:t>
            </w:r>
            <w:r w:rsidR="00477249" w:rsidRPr="00C02583">
              <w:rPr>
                <w:color w:val="000000"/>
                <w:sz w:val="24"/>
                <w:lang w:eastAsia="lv-LV"/>
              </w:rPr>
              <w:t xml:space="preserve">Labklājības ministrijai </w:t>
            </w:r>
            <w:r w:rsidR="00477249">
              <w:rPr>
                <w:color w:val="000000"/>
                <w:sz w:val="24"/>
                <w:lang w:eastAsia="lv-LV"/>
              </w:rPr>
              <w:t>jā</w:t>
            </w:r>
            <w:r w:rsidR="00477249" w:rsidRPr="00C02583">
              <w:rPr>
                <w:color w:val="000000"/>
                <w:sz w:val="24"/>
                <w:lang w:eastAsia="lv-LV"/>
              </w:rPr>
              <w:t>sagatavo</w:t>
            </w:r>
            <w:r w:rsidR="00477249">
              <w:rPr>
                <w:color w:val="000000"/>
                <w:sz w:val="24"/>
                <w:lang w:eastAsia="lv-LV"/>
              </w:rPr>
              <w:t xml:space="preserve"> un līdz 2014.gada 28.novembrim jāiesniedz </w:t>
            </w:r>
            <w:r w:rsidR="00477249" w:rsidRPr="00C02583">
              <w:rPr>
                <w:color w:val="000000"/>
                <w:sz w:val="24"/>
                <w:lang w:eastAsia="lv-LV"/>
              </w:rPr>
              <w:t xml:space="preserve">izskatīšanai Ministru kabinetā </w:t>
            </w:r>
            <w:proofErr w:type="gramStart"/>
            <w:r w:rsidR="00477249" w:rsidRPr="00C02583">
              <w:rPr>
                <w:color w:val="000000"/>
                <w:sz w:val="24"/>
                <w:lang w:eastAsia="lv-LV"/>
              </w:rPr>
              <w:t>atbilstošos Ministru kabineta noteikumus</w:t>
            </w:r>
            <w:proofErr w:type="gramEnd"/>
            <w:r w:rsidR="00477249" w:rsidRPr="00C02583">
              <w:rPr>
                <w:color w:val="000000"/>
                <w:sz w:val="24"/>
                <w:lang w:eastAsia="lv-LV"/>
              </w:rPr>
              <w:t xml:space="preserve"> par minimālās mēneša darba alga palielināšanu valstī līdz 360 </w:t>
            </w:r>
            <w:proofErr w:type="spellStart"/>
            <w:r w:rsidR="00477249" w:rsidRPr="004D3F44">
              <w:rPr>
                <w:i/>
                <w:color w:val="000000"/>
                <w:sz w:val="24"/>
                <w:lang w:eastAsia="lv-LV"/>
              </w:rPr>
              <w:t>euro</w:t>
            </w:r>
            <w:proofErr w:type="spellEnd"/>
            <w:r w:rsidR="00477249" w:rsidRPr="00C02583">
              <w:rPr>
                <w:color w:val="000000"/>
                <w:sz w:val="24"/>
                <w:lang w:eastAsia="lv-LV"/>
              </w:rPr>
              <w:t xml:space="preserve"> ar 2015.gada 1.janvāri.</w:t>
            </w:r>
          </w:p>
          <w:p w:rsidR="00F24D71" w:rsidRPr="003317D9" w:rsidRDefault="00F24D71" w:rsidP="00F24D71">
            <w:pPr>
              <w:jc w:val="both"/>
              <w:rPr>
                <w:sz w:val="24"/>
              </w:rPr>
            </w:pPr>
            <w:r w:rsidRPr="003317D9">
              <w:rPr>
                <w:sz w:val="24"/>
              </w:rPr>
              <w:t>Lai nodrošinātu tiesisku pamatu minimālās mēneša darba algas un minimālās stundas tarifa likmes jaunajam apmēram nepieciešams izstrādāt grozījumus Ministru kabineta 2013.gada 27.augusta noteikumos Nr.665 „Noteikumi par minimālo mēneša darba algu un minimālo stundas tarifa likmi”</w:t>
            </w:r>
            <w:r w:rsidR="00F8335D" w:rsidRPr="003317D9">
              <w:rPr>
                <w:sz w:val="24"/>
              </w:rPr>
              <w:t xml:space="preserve">, kas noteiks minimālo mēneša darba algu 360 </w:t>
            </w:r>
            <w:proofErr w:type="spellStart"/>
            <w:r w:rsidR="00F8335D" w:rsidRPr="003317D9">
              <w:rPr>
                <w:i/>
                <w:sz w:val="24"/>
              </w:rPr>
              <w:t>euro</w:t>
            </w:r>
            <w:proofErr w:type="spellEnd"/>
            <w:r w:rsidR="00F8335D" w:rsidRPr="003317D9">
              <w:rPr>
                <w:sz w:val="24"/>
              </w:rPr>
              <w:t xml:space="preserve"> apmērā un minimālo stundas tarifa likmi </w:t>
            </w:r>
            <w:r w:rsidR="00391965" w:rsidRPr="003317D9">
              <w:rPr>
                <w:sz w:val="24"/>
              </w:rPr>
              <w:t xml:space="preserve">2,166 </w:t>
            </w:r>
            <w:proofErr w:type="spellStart"/>
            <w:r w:rsidR="00391965" w:rsidRPr="003317D9">
              <w:rPr>
                <w:i/>
                <w:sz w:val="24"/>
              </w:rPr>
              <w:t>euro</w:t>
            </w:r>
            <w:proofErr w:type="spellEnd"/>
            <w:r w:rsidR="00391965" w:rsidRPr="003317D9">
              <w:rPr>
                <w:sz w:val="24"/>
              </w:rPr>
              <w:t xml:space="preserve"> apmērā </w:t>
            </w:r>
            <w:r w:rsidR="00F8335D" w:rsidRPr="003317D9">
              <w:rPr>
                <w:sz w:val="24"/>
              </w:rPr>
              <w:t>atbilstoši 2015.gada darba laika kalendāram un jaunajai minimālajai mēneša darba algai.</w:t>
            </w:r>
          </w:p>
        </w:tc>
      </w:tr>
      <w:tr w:rsidR="00F24D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6047B8" w:rsidRDefault="00F24D71" w:rsidP="0090004D">
            <w:pPr>
              <w:pStyle w:val="naiskr"/>
              <w:ind w:left="180" w:hanging="10"/>
            </w:pPr>
            <w:r w:rsidRPr="006047B8">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F24D71" w:rsidRDefault="00F24D71" w:rsidP="00F24D71">
            <w:pPr>
              <w:jc w:val="both"/>
              <w:rPr>
                <w:sz w:val="24"/>
              </w:rPr>
            </w:pPr>
            <w:r>
              <w:rPr>
                <w:iCs/>
                <w:sz w:val="24"/>
              </w:rPr>
              <w:t>Projekta</w:t>
            </w:r>
            <w:r w:rsidRPr="00212896">
              <w:rPr>
                <w:iCs/>
                <w:sz w:val="24"/>
              </w:rPr>
              <w:t xml:space="preserve"> izstrādē piedalījās Finanšu ministrija, kas </w:t>
            </w:r>
            <w:r w:rsidR="00E84D9B">
              <w:rPr>
                <w:iCs/>
                <w:sz w:val="24"/>
              </w:rPr>
              <w:t xml:space="preserve">sakarā ar minimālās mēneša darba algas paaugstināšanu no 320 </w:t>
            </w:r>
            <w:proofErr w:type="spellStart"/>
            <w:r w:rsidR="00E84D9B" w:rsidRPr="00E84D9B">
              <w:rPr>
                <w:i/>
                <w:iCs/>
                <w:sz w:val="24"/>
              </w:rPr>
              <w:t>euro</w:t>
            </w:r>
            <w:proofErr w:type="spellEnd"/>
            <w:r w:rsidR="00E84D9B">
              <w:rPr>
                <w:iCs/>
                <w:sz w:val="24"/>
              </w:rPr>
              <w:t xml:space="preserve"> līdz 360 </w:t>
            </w:r>
            <w:proofErr w:type="spellStart"/>
            <w:r w:rsidR="00E84D9B" w:rsidRPr="00E84D9B">
              <w:rPr>
                <w:i/>
                <w:iCs/>
                <w:sz w:val="24"/>
              </w:rPr>
              <w:t>euro</w:t>
            </w:r>
            <w:proofErr w:type="spellEnd"/>
            <w:r w:rsidR="00E84D9B">
              <w:rPr>
                <w:iCs/>
                <w:sz w:val="24"/>
              </w:rPr>
              <w:t xml:space="preserve"> </w:t>
            </w:r>
            <w:r w:rsidR="000872B3">
              <w:rPr>
                <w:iCs/>
                <w:sz w:val="24"/>
              </w:rPr>
              <w:t xml:space="preserve">sākot ar 2015.gada 1.janvāri </w:t>
            </w:r>
            <w:r w:rsidRPr="00212896">
              <w:rPr>
                <w:sz w:val="24"/>
              </w:rPr>
              <w:t>veica finanšu aprēķinus par ietekmi uz valsts budžetu un pašvaldību budžetiem.</w:t>
            </w:r>
          </w:p>
          <w:p w:rsidR="009A542D" w:rsidRPr="00D42CC4" w:rsidRDefault="009A542D" w:rsidP="00F61081">
            <w:pPr>
              <w:jc w:val="both"/>
              <w:rPr>
                <w:sz w:val="24"/>
              </w:rPr>
            </w:pPr>
          </w:p>
        </w:tc>
      </w:tr>
      <w:tr w:rsidR="00F24D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90004D">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24D71" w:rsidRPr="00D42CC4" w:rsidRDefault="005E2436" w:rsidP="005E2436">
            <w:pPr>
              <w:jc w:val="both"/>
              <w:rPr>
                <w:iCs/>
                <w:sz w:val="24"/>
              </w:rPr>
            </w:pPr>
            <w:r>
              <w:rPr>
                <w:rFonts w:eastAsia="Batang"/>
                <w:color w:val="000000"/>
                <w:sz w:val="24"/>
                <w:lang w:eastAsia="ko-KR"/>
              </w:rPr>
              <w:t>Papildus noteikumu projekta izstrādē sabiedrības līdzdalība nebija nepieciešama, jo noteikumu projekts ir vērsts uz sabiedrības labvēlīgākas situācijas radīšanu (minimālās mēneša darba algas apmēra un minimālās stundas tarifa likmes apmēra paaugstināšanu).</w:t>
            </w:r>
          </w:p>
        </w:tc>
      </w:tr>
    </w:tbl>
    <w:p w:rsidR="00124F71" w:rsidRPr="00D42CC4" w:rsidRDefault="00124F71"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124F71" w:rsidRPr="00D42CC4" w:rsidTr="0090004D">
        <w:tc>
          <w:tcPr>
            <w:tcW w:w="5000" w:type="pct"/>
            <w:gridSpan w:val="3"/>
            <w:tcBorders>
              <w:top w:val="single" w:sz="4" w:space="0" w:color="auto"/>
              <w:left w:val="single" w:sz="4" w:space="0" w:color="auto"/>
              <w:bottom w:val="single" w:sz="4" w:space="0" w:color="auto"/>
              <w:right w:val="single" w:sz="4" w:space="0" w:color="auto"/>
            </w:tcBorders>
            <w:vAlign w:val="center"/>
          </w:tcPr>
          <w:p w:rsidR="00124F71" w:rsidRPr="0058204F" w:rsidRDefault="00124F71" w:rsidP="0090004D">
            <w:pPr>
              <w:pStyle w:val="naisnod"/>
              <w:spacing w:before="0" w:after="0"/>
              <w:ind w:left="57" w:right="57"/>
            </w:pPr>
            <w:r w:rsidRPr="0058204F">
              <w:t>II</w:t>
            </w:r>
            <w:r>
              <w:t>.</w:t>
            </w:r>
            <w:r w:rsidRPr="0058204F">
              <w:t xml:space="preserve"> Tiesību akta projekta ietekme uz sabiedrību, tautsaimniecības attīstību</w:t>
            </w:r>
          </w:p>
          <w:p w:rsidR="00124F71" w:rsidRPr="00D42CC4" w:rsidRDefault="00124F71" w:rsidP="0090004D">
            <w:pPr>
              <w:jc w:val="center"/>
              <w:rPr>
                <w:b/>
                <w:iCs/>
                <w:sz w:val="24"/>
              </w:rPr>
            </w:pPr>
            <w:r w:rsidRPr="0058204F">
              <w:rPr>
                <w:b/>
                <w:sz w:val="24"/>
              </w:rPr>
              <w:t>un administratīvo slogu</w:t>
            </w:r>
          </w:p>
        </w:tc>
      </w:tr>
      <w:tr w:rsidR="00124F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124129" w:rsidRDefault="00124F71" w:rsidP="0090004D">
            <w:pPr>
              <w:jc w:val="both"/>
              <w:rPr>
                <w:sz w:val="24"/>
                <w:u w:val="single"/>
              </w:rPr>
            </w:pPr>
            <w:r w:rsidRPr="00124129">
              <w:rPr>
                <w:sz w:val="24"/>
                <w:u w:val="single"/>
              </w:rPr>
              <w:t>Darba ņēmēji:</w:t>
            </w:r>
          </w:p>
          <w:p w:rsidR="00124F71" w:rsidRPr="004A45D7" w:rsidRDefault="00124F71" w:rsidP="0090004D">
            <w:pPr>
              <w:jc w:val="both"/>
              <w:rPr>
                <w:sz w:val="24"/>
              </w:rPr>
            </w:pPr>
            <w:r w:rsidRPr="00423EBD">
              <w:rPr>
                <w:sz w:val="24"/>
              </w:rPr>
              <w:t xml:space="preserve">Līdz 2009.gadam </w:t>
            </w:r>
            <w:r>
              <w:rPr>
                <w:sz w:val="24"/>
              </w:rPr>
              <w:t xml:space="preserve">Centrālā statistikas pārvalde (turpmāk – </w:t>
            </w:r>
            <w:r w:rsidRPr="00423EBD">
              <w:rPr>
                <w:sz w:val="24"/>
              </w:rPr>
              <w:t>CSP</w:t>
            </w:r>
            <w:r>
              <w:rPr>
                <w:sz w:val="24"/>
              </w:rPr>
              <w:t>)</w:t>
            </w:r>
            <w:r w:rsidRPr="00423EBD">
              <w:rPr>
                <w:sz w:val="24"/>
              </w:rPr>
              <w:t xml:space="preserve"> sniedza Labklājības ministrijai datus par darbinieku skaita sadalījumu pēc </w:t>
            </w:r>
            <w:r w:rsidRPr="00423EBD">
              <w:rPr>
                <w:i/>
                <w:sz w:val="24"/>
              </w:rPr>
              <w:t>mēneša bruto darba samaksas apmēra</w:t>
            </w:r>
            <w:r w:rsidRPr="00423EBD">
              <w:rPr>
                <w:sz w:val="24"/>
              </w:rPr>
              <w:t xml:space="preserve">, to salīdzinot ar minimālo mēneša darba algu. </w:t>
            </w:r>
            <w:r w:rsidRPr="00423EBD">
              <w:rPr>
                <w:bCs/>
                <w:sz w:val="24"/>
              </w:rPr>
              <w:t xml:space="preserve">Saskaņā ar </w:t>
            </w:r>
            <w:r w:rsidRPr="00423EBD">
              <w:rPr>
                <w:sz w:val="24"/>
              </w:rPr>
              <w:t>Ministru kabineta 2009.gada 15.decembra noteikumiem Nr.1428 „</w:t>
            </w:r>
            <w:r w:rsidRPr="00423EBD">
              <w:rPr>
                <w:bCs/>
                <w:sz w:val="24"/>
              </w:rPr>
              <w:t xml:space="preserve">Noteikumi par Valsts statistiskās informācijas </w:t>
            </w:r>
            <w:r w:rsidRPr="00423EBD">
              <w:rPr>
                <w:bCs/>
                <w:sz w:val="24"/>
              </w:rPr>
              <w:lastRenderedPageBreak/>
              <w:t xml:space="preserve">programmu 2010.gadam” </w:t>
            </w:r>
            <w:r w:rsidRPr="00423EBD">
              <w:rPr>
                <w:bCs/>
                <w:sz w:val="24"/>
                <w:u w:val="single"/>
              </w:rPr>
              <w:t>CSP vairs minētos datus nevāc un neapkopo.</w:t>
            </w:r>
            <w:r w:rsidRPr="00423EBD">
              <w:rPr>
                <w:bCs/>
                <w:sz w:val="24"/>
              </w:rPr>
              <w:t xml:space="preserve"> Tā vietā CSP var sniegt līdzvērtīgus datus par darba ņēmēju skaita sadalījumu pēc </w:t>
            </w:r>
            <w:r w:rsidRPr="00423EBD">
              <w:rPr>
                <w:bCs/>
                <w:i/>
                <w:sz w:val="24"/>
              </w:rPr>
              <w:t>mēneša bruto darba ienākumiem</w:t>
            </w:r>
            <w:r w:rsidRPr="00423EBD">
              <w:rPr>
                <w:bCs/>
                <w:sz w:val="24"/>
              </w:rPr>
              <w:t>,</w:t>
            </w:r>
            <w:r w:rsidRPr="00423EBD">
              <w:rPr>
                <w:sz w:val="24"/>
              </w:rPr>
              <w:t xml:space="preserve"> to salīdzinot ar minimālo mēneša darba algu. </w:t>
            </w:r>
            <w:r w:rsidRPr="004A45D7">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Pr>
                <w:sz w:val="24"/>
              </w:rPr>
              <w:t xml:space="preserve"> </w:t>
            </w:r>
            <w:r w:rsidRPr="004A45D7">
              <w:rPr>
                <w:sz w:val="24"/>
              </w:rPr>
              <w:t xml:space="preserve">Tā kā pēc darba devēju ikmēneša ziņojumiem par katru darba ņēmēju nevar noteikt, vai viņš strādā normālo vai nepilnu darba laiku, darba ņēmēju skaitā iekļauti visi darba ņēmēji, kuriem pārskata periodā aprēķināti darba ienākumi, neskatoties uz nostrādāto stundu skaitu. </w:t>
            </w:r>
            <w:proofErr w:type="gramStart"/>
            <w:r w:rsidRPr="004A45D7">
              <w:rPr>
                <w:sz w:val="24"/>
              </w:rPr>
              <w:t>Pie tam</w:t>
            </w:r>
            <w:proofErr w:type="gramEnd"/>
            <w:r w:rsidRPr="004A45D7">
              <w:rPr>
                <w:sz w:val="24"/>
              </w:rPr>
              <w:t>, viena persona iekļauta tikai vienu reizi, summējot ienākumus pie visiem darba devējiem.</w:t>
            </w:r>
          </w:p>
          <w:p w:rsidR="005C32ED" w:rsidRPr="005326E0" w:rsidRDefault="005C32ED" w:rsidP="005C32ED">
            <w:pPr>
              <w:jc w:val="both"/>
              <w:rPr>
                <w:sz w:val="24"/>
              </w:rPr>
            </w:pPr>
            <w:r>
              <w:rPr>
                <w:sz w:val="24"/>
              </w:rPr>
              <w:t xml:space="preserve">Uz </w:t>
            </w:r>
            <w:r w:rsidRPr="005326E0">
              <w:rPr>
                <w:sz w:val="24"/>
              </w:rPr>
              <w:t>201</w:t>
            </w:r>
            <w:r>
              <w:rPr>
                <w:sz w:val="24"/>
              </w:rPr>
              <w:t>4</w:t>
            </w:r>
            <w:r w:rsidRPr="005326E0">
              <w:rPr>
                <w:sz w:val="24"/>
              </w:rPr>
              <w:t xml:space="preserve">.gada </w:t>
            </w:r>
            <w:r>
              <w:rPr>
                <w:sz w:val="24"/>
              </w:rPr>
              <w:t>septembri</w:t>
            </w:r>
            <w:r w:rsidRPr="005326E0">
              <w:rPr>
                <w:sz w:val="24"/>
              </w:rPr>
              <w:t xml:space="preserve"> darba ņēmēju skaits, kuriem darba ienākumi </w:t>
            </w:r>
            <w:r>
              <w:rPr>
                <w:sz w:val="24"/>
              </w:rPr>
              <w:t xml:space="preserve">ir </w:t>
            </w:r>
            <w:r w:rsidRPr="005326E0">
              <w:rPr>
                <w:sz w:val="24"/>
              </w:rPr>
              <w:t xml:space="preserve">minimālās mēneša darba algas apmērā </w:t>
            </w:r>
            <w:r>
              <w:rPr>
                <w:sz w:val="24"/>
              </w:rPr>
              <w:t xml:space="preserve">320 </w:t>
            </w:r>
            <w:proofErr w:type="spellStart"/>
            <w:r w:rsidRPr="00F61081">
              <w:rPr>
                <w:i/>
                <w:sz w:val="24"/>
              </w:rPr>
              <w:t>euro</w:t>
            </w:r>
            <w:proofErr w:type="spellEnd"/>
            <w:r w:rsidRPr="005326E0">
              <w:rPr>
                <w:sz w:val="24"/>
              </w:rPr>
              <w:t xml:space="preserve"> un mazāk</w:t>
            </w:r>
            <w:r>
              <w:rPr>
                <w:sz w:val="24"/>
              </w:rPr>
              <w:t>,</w:t>
            </w:r>
            <w:r w:rsidRPr="005326E0">
              <w:rPr>
                <w:sz w:val="24"/>
              </w:rPr>
              <w:t xml:space="preserve"> bija </w:t>
            </w:r>
            <w:r>
              <w:rPr>
                <w:b/>
                <w:sz w:val="24"/>
              </w:rPr>
              <w:t>200</w:t>
            </w:r>
            <w:r w:rsidRPr="005326E0">
              <w:rPr>
                <w:b/>
                <w:sz w:val="24"/>
              </w:rPr>
              <w:t>,</w:t>
            </w:r>
            <w:r>
              <w:rPr>
                <w:b/>
                <w:sz w:val="24"/>
              </w:rPr>
              <w:t>1</w:t>
            </w:r>
            <w:r w:rsidRPr="005326E0">
              <w:rPr>
                <w:b/>
                <w:sz w:val="24"/>
              </w:rPr>
              <w:t xml:space="preserve"> tūkst. cilvēku</w:t>
            </w:r>
            <w:r w:rsidRPr="005326E0">
              <w:rPr>
                <w:bCs/>
                <w:sz w:val="24"/>
              </w:rPr>
              <w:t>,</w:t>
            </w:r>
            <w:r w:rsidRPr="005326E0">
              <w:rPr>
                <w:sz w:val="24"/>
              </w:rPr>
              <w:t xml:space="preserve"> tai skaitā privātajā sektorā – </w:t>
            </w:r>
            <w:r w:rsidRPr="005326E0">
              <w:rPr>
                <w:b/>
                <w:sz w:val="24"/>
              </w:rPr>
              <w:t>1</w:t>
            </w:r>
            <w:r>
              <w:rPr>
                <w:b/>
                <w:sz w:val="24"/>
              </w:rPr>
              <w:t>74</w:t>
            </w:r>
            <w:r w:rsidRPr="005326E0">
              <w:rPr>
                <w:b/>
                <w:sz w:val="24"/>
              </w:rPr>
              <w:t>,</w:t>
            </w:r>
            <w:r>
              <w:rPr>
                <w:b/>
                <w:sz w:val="24"/>
              </w:rPr>
              <w:t>6</w:t>
            </w:r>
            <w:r w:rsidRPr="005326E0">
              <w:rPr>
                <w:b/>
                <w:sz w:val="24"/>
              </w:rPr>
              <w:t xml:space="preserve"> tūkst.</w:t>
            </w:r>
            <w:r>
              <w:rPr>
                <w:b/>
                <w:sz w:val="24"/>
              </w:rPr>
              <w:t>,</w:t>
            </w:r>
            <w:r w:rsidRPr="005326E0">
              <w:rPr>
                <w:sz w:val="24"/>
              </w:rPr>
              <w:t xml:space="preserve"> </w:t>
            </w:r>
            <w:r>
              <w:rPr>
                <w:sz w:val="24"/>
              </w:rPr>
              <w:t>pašvaldību</w:t>
            </w:r>
            <w:r w:rsidRPr="005326E0">
              <w:rPr>
                <w:sz w:val="24"/>
              </w:rPr>
              <w:t xml:space="preserve"> sektorā – </w:t>
            </w:r>
            <w:r w:rsidRPr="005326E0">
              <w:rPr>
                <w:b/>
                <w:sz w:val="24"/>
              </w:rPr>
              <w:t>1</w:t>
            </w:r>
            <w:r>
              <w:rPr>
                <w:b/>
                <w:sz w:val="24"/>
              </w:rPr>
              <w:t>6,1</w:t>
            </w:r>
            <w:r w:rsidRPr="005326E0">
              <w:rPr>
                <w:b/>
                <w:sz w:val="24"/>
              </w:rPr>
              <w:t xml:space="preserve"> tūkst. </w:t>
            </w:r>
            <w:r w:rsidRPr="005326E0">
              <w:rPr>
                <w:sz w:val="24"/>
              </w:rPr>
              <w:t xml:space="preserve">un sabiedriskajā sektorā – </w:t>
            </w:r>
            <w:r w:rsidRPr="001D4AF7">
              <w:rPr>
                <w:b/>
                <w:sz w:val="24"/>
              </w:rPr>
              <w:t>9,</w:t>
            </w:r>
            <w:r>
              <w:rPr>
                <w:b/>
                <w:sz w:val="24"/>
              </w:rPr>
              <w:t>3</w:t>
            </w:r>
            <w:r w:rsidRPr="005326E0">
              <w:rPr>
                <w:b/>
                <w:sz w:val="24"/>
              </w:rPr>
              <w:t xml:space="preserve"> tūkst.</w:t>
            </w:r>
            <w:r w:rsidRPr="005326E0">
              <w:rPr>
                <w:sz w:val="24"/>
              </w:rPr>
              <w:t xml:space="preserve"> </w:t>
            </w:r>
            <w:r>
              <w:rPr>
                <w:sz w:val="24"/>
              </w:rPr>
              <w:t>Savukārt</w:t>
            </w:r>
            <w:r w:rsidRPr="005326E0">
              <w:rPr>
                <w:sz w:val="24"/>
              </w:rPr>
              <w:t xml:space="preserve"> darba ņēmēju skaits, kuriem darba ienākumi bija tieši minimālās mēneša darba algas apmērā</w:t>
            </w:r>
            <w:r>
              <w:rPr>
                <w:sz w:val="24"/>
              </w:rPr>
              <w:t xml:space="preserve">, uz </w:t>
            </w:r>
            <w:r w:rsidRPr="005326E0">
              <w:rPr>
                <w:sz w:val="24"/>
              </w:rPr>
              <w:t>201</w:t>
            </w:r>
            <w:r>
              <w:rPr>
                <w:sz w:val="24"/>
              </w:rPr>
              <w:t>4</w:t>
            </w:r>
            <w:r w:rsidRPr="005326E0">
              <w:rPr>
                <w:sz w:val="24"/>
              </w:rPr>
              <w:t xml:space="preserve">.gada </w:t>
            </w:r>
            <w:r>
              <w:rPr>
                <w:sz w:val="24"/>
              </w:rPr>
              <w:t>septembri</w:t>
            </w:r>
            <w:r w:rsidRPr="005326E0">
              <w:rPr>
                <w:sz w:val="24"/>
              </w:rPr>
              <w:t xml:space="preserve"> bija </w:t>
            </w:r>
            <w:r>
              <w:rPr>
                <w:sz w:val="24"/>
              </w:rPr>
              <w:t>35</w:t>
            </w:r>
            <w:r w:rsidRPr="005326E0">
              <w:rPr>
                <w:sz w:val="24"/>
              </w:rPr>
              <w:t>,</w:t>
            </w:r>
            <w:r>
              <w:rPr>
                <w:sz w:val="24"/>
              </w:rPr>
              <w:t>8</w:t>
            </w:r>
            <w:r w:rsidRPr="005326E0">
              <w:rPr>
                <w:sz w:val="24"/>
              </w:rPr>
              <w:t xml:space="preserve"> tūkst, tai skaitā privātajā sektorā – </w:t>
            </w:r>
            <w:r>
              <w:rPr>
                <w:sz w:val="24"/>
              </w:rPr>
              <w:t>29</w:t>
            </w:r>
            <w:r w:rsidRPr="005326E0">
              <w:rPr>
                <w:sz w:val="24"/>
              </w:rPr>
              <w:t>,</w:t>
            </w:r>
            <w:r>
              <w:rPr>
                <w:sz w:val="24"/>
              </w:rPr>
              <w:t>4</w:t>
            </w:r>
            <w:r w:rsidRPr="005326E0">
              <w:rPr>
                <w:sz w:val="24"/>
              </w:rPr>
              <w:t xml:space="preserve"> tūkst.</w:t>
            </w:r>
            <w:r>
              <w:rPr>
                <w:sz w:val="24"/>
              </w:rPr>
              <w:t>,</w:t>
            </w:r>
            <w:r w:rsidRPr="005326E0">
              <w:rPr>
                <w:sz w:val="24"/>
              </w:rPr>
              <w:t xml:space="preserve"> </w:t>
            </w:r>
            <w:r>
              <w:rPr>
                <w:sz w:val="24"/>
              </w:rPr>
              <w:t>pašvaldību</w:t>
            </w:r>
            <w:r w:rsidRPr="005326E0">
              <w:rPr>
                <w:sz w:val="24"/>
              </w:rPr>
              <w:t xml:space="preserve"> sektorā – </w:t>
            </w:r>
            <w:r>
              <w:rPr>
                <w:sz w:val="24"/>
              </w:rPr>
              <w:t xml:space="preserve">5,5 tūkst. </w:t>
            </w:r>
            <w:r w:rsidRPr="005326E0">
              <w:rPr>
                <w:sz w:val="24"/>
              </w:rPr>
              <w:t xml:space="preserve">un sabiedriskajā sektorā – </w:t>
            </w:r>
            <w:r>
              <w:rPr>
                <w:sz w:val="24"/>
              </w:rPr>
              <w:t>0</w:t>
            </w:r>
            <w:r w:rsidRPr="005326E0">
              <w:rPr>
                <w:sz w:val="24"/>
              </w:rPr>
              <w:t>,</w:t>
            </w:r>
            <w:r>
              <w:rPr>
                <w:sz w:val="24"/>
              </w:rPr>
              <w:t>9</w:t>
            </w:r>
            <w:r w:rsidRPr="005326E0">
              <w:rPr>
                <w:sz w:val="24"/>
              </w:rPr>
              <w:t xml:space="preserve"> tūkst.</w:t>
            </w:r>
          </w:p>
          <w:p w:rsidR="00124F71" w:rsidRDefault="00124F71" w:rsidP="0090004D">
            <w:pPr>
              <w:jc w:val="both"/>
              <w:rPr>
                <w:sz w:val="24"/>
              </w:rPr>
            </w:pPr>
          </w:p>
          <w:p w:rsidR="00124F71" w:rsidRPr="00124129" w:rsidRDefault="00124F71" w:rsidP="0090004D">
            <w:pPr>
              <w:jc w:val="both"/>
              <w:rPr>
                <w:sz w:val="24"/>
                <w:u w:val="single"/>
              </w:rPr>
            </w:pPr>
            <w:r w:rsidRPr="00124129">
              <w:rPr>
                <w:sz w:val="24"/>
                <w:u w:val="single"/>
              </w:rPr>
              <w:t>Darba devēji:</w:t>
            </w:r>
          </w:p>
          <w:p w:rsidR="00124F71" w:rsidRPr="00423EBD" w:rsidRDefault="00124F71" w:rsidP="0090004D">
            <w:pPr>
              <w:jc w:val="both"/>
              <w:rPr>
                <w:iCs/>
                <w:sz w:val="24"/>
              </w:rPr>
            </w:pPr>
            <w:r>
              <w:rPr>
                <w:iCs/>
                <w:sz w:val="24"/>
              </w:rPr>
              <w:t>Noteikumi attiecas arī uz darba devējiem. Saskaņā ar CSP pielietoto metodoloģiju nav konkrēti aprēķināms darba devēju skaits, kas nodarbina darbiniekus un nosaka tiem algu minimālās mēneša darba algas apmērā.</w:t>
            </w:r>
          </w:p>
        </w:tc>
      </w:tr>
      <w:tr w:rsidR="00124F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27908" w:rsidRDefault="00427908" w:rsidP="0090004D">
            <w:pPr>
              <w:jc w:val="both"/>
              <w:rPr>
                <w:iCs/>
                <w:sz w:val="24"/>
              </w:rPr>
            </w:pPr>
            <w:r w:rsidRPr="00976ACB">
              <w:rPr>
                <w:sz w:val="24"/>
              </w:rPr>
              <w:t xml:space="preserve">Paaugstinot minimālo mēneša darba algu, pieaugs darba devēju izdevumi darbinieku darba algas paaugstināšanai (no darbinieku darba algas </w:t>
            </w:r>
            <w:r>
              <w:rPr>
                <w:sz w:val="24"/>
              </w:rPr>
              <w:t>3</w:t>
            </w:r>
            <w:r w:rsidR="00170B28">
              <w:rPr>
                <w:sz w:val="24"/>
              </w:rPr>
              <w:t>6</w:t>
            </w:r>
            <w:r>
              <w:rPr>
                <w:sz w:val="24"/>
              </w:rPr>
              <w:t xml:space="preserve">0 </w:t>
            </w:r>
            <w:proofErr w:type="spellStart"/>
            <w:r w:rsidRPr="00E91D46">
              <w:rPr>
                <w:i/>
                <w:sz w:val="24"/>
              </w:rPr>
              <w:t>euro</w:t>
            </w:r>
            <w:proofErr w:type="spellEnd"/>
            <w:r>
              <w:rPr>
                <w:sz w:val="24"/>
              </w:rPr>
              <w:t xml:space="preserve"> </w:t>
            </w:r>
            <w:r w:rsidRPr="00976ACB">
              <w:rPr>
                <w:sz w:val="24"/>
              </w:rPr>
              <w:t>apmērā darba devējam paaugstināsies nodokļu maksājumi – sociālās apdrošināšanas iemaksas (2</w:t>
            </w:r>
            <w:r w:rsidR="00E91D46">
              <w:rPr>
                <w:sz w:val="24"/>
              </w:rPr>
              <w:t>3</w:t>
            </w:r>
            <w:r w:rsidRPr="00976ACB">
              <w:rPr>
                <w:sz w:val="24"/>
              </w:rPr>
              <w:t>,</w:t>
            </w:r>
            <w:r w:rsidR="00E91D46">
              <w:rPr>
                <w:sz w:val="24"/>
              </w:rPr>
              <w:t>5</w:t>
            </w:r>
            <w:r w:rsidRPr="00976ACB">
              <w:rPr>
                <w:sz w:val="24"/>
              </w:rPr>
              <w:t xml:space="preserve">9 %) </w:t>
            </w:r>
            <w:r w:rsidRPr="00B60F7D">
              <w:rPr>
                <w:sz w:val="24"/>
              </w:rPr>
              <w:t xml:space="preserve">par </w:t>
            </w:r>
            <w:r w:rsidR="00170B28">
              <w:rPr>
                <w:sz w:val="24"/>
              </w:rPr>
              <w:t>30</w:t>
            </w:r>
            <w:r w:rsidR="00E91D46">
              <w:rPr>
                <w:sz w:val="24"/>
              </w:rPr>
              <w:t>,</w:t>
            </w:r>
            <w:r w:rsidR="00170B28">
              <w:rPr>
                <w:sz w:val="24"/>
              </w:rPr>
              <w:t>5</w:t>
            </w:r>
            <w:r w:rsidR="00E91D46">
              <w:rPr>
                <w:sz w:val="24"/>
              </w:rPr>
              <w:t xml:space="preserve">6 </w:t>
            </w:r>
            <w:proofErr w:type="spellStart"/>
            <w:r w:rsidR="00E91D46" w:rsidRPr="00E91D46">
              <w:rPr>
                <w:i/>
                <w:sz w:val="24"/>
              </w:rPr>
              <w:t>euro</w:t>
            </w:r>
            <w:proofErr w:type="spellEnd"/>
            <w:r>
              <w:rPr>
                <w:sz w:val="24"/>
              </w:rPr>
              <w:t xml:space="preserve"> </w:t>
            </w:r>
            <w:r w:rsidRPr="00B60F7D">
              <w:rPr>
                <w:sz w:val="24"/>
              </w:rPr>
              <w:t xml:space="preserve">un papildus darba algas izmaksas darbiniekam – par </w:t>
            </w:r>
            <w:r w:rsidR="00170B28">
              <w:rPr>
                <w:sz w:val="24"/>
              </w:rPr>
              <w:t>40</w:t>
            </w:r>
            <w:r w:rsidR="00E91D46">
              <w:rPr>
                <w:sz w:val="24"/>
              </w:rPr>
              <w:t>,00</w:t>
            </w:r>
            <w:r>
              <w:rPr>
                <w:sz w:val="24"/>
              </w:rPr>
              <w:t xml:space="preserve"> </w:t>
            </w:r>
            <w:proofErr w:type="spellStart"/>
            <w:r w:rsidRPr="00E91D46">
              <w:rPr>
                <w:i/>
                <w:sz w:val="24"/>
              </w:rPr>
              <w:t>euro</w:t>
            </w:r>
            <w:proofErr w:type="spellEnd"/>
            <w:r w:rsidR="00E91D46">
              <w:rPr>
                <w:sz w:val="24"/>
              </w:rPr>
              <w:t>)</w:t>
            </w:r>
            <w:r w:rsidRPr="00B60F7D">
              <w:rPr>
                <w:sz w:val="24"/>
              </w:rPr>
              <w:t>.</w:t>
            </w:r>
          </w:p>
          <w:p w:rsidR="00427908" w:rsidRDefault="00364F93" w:rsidP="0090004D">
            <w:pPr>
              <w:jc w:val="both"/>
              <w:rPr>
                <w:iCs/>
                <w:sz w:val="24"/>
              </w:rPr>
            </w:pPr>
            <w:r w:rsidRPr="00976ACB">
              <w:rPr>
                <w:sz w:val="24"/>
              </w:rPr>
              <w:t xml:space="preserve">Minimālās mēneša darba algas paaugstināšana uzlabos konkurētspēju tiem komersantiem, kapitālsabiedrībām, kuri maksā nodokļus </w:t>
            </w:r>
            <w:r w:rsidR="00965D88">
              <w:rPr>
                <w:sz w:val="24"/>
              </w:rPr>
              <w:t xml:space="preserve">no darba algas, kas augstāka par minimālo mēneša darba algu un </w:t>
            </w:r>
            <w:r w:rsidRPr="00976ACB">
              <w:rPr>
                <w:sz w:val="24"/>
              </w:rPr>
              <w:t>no visas darba algas</w:t>
            </w:r>
            <w:r w:rsidR="00965D88">
              <w:rPr>
                <w:sz w:val="24"/>
              </w:rPr>
              <w:t xml:space="preserve"> (bez „aplokšņu algām”)</w:t>
            </w:r>
            <w:r w:rsidRPr="00976ACB">
              <w:rPr>
                <w:sz w:val="24"/>
              </w:rPr>
              <w:t>, salīdzinot ar tiem, kuri maksā nodokļus no minimālās mēneša darba algas, bet pārējo atalgojumu izsniedz „aploksnēs”.</w:t>
            </w:r>
          </w:p>
          <w:p w:rsidR="00427908" w:rsidRPr="004471AA" w:rsidRDefault="00427908" w:rsidP="0090004D">
            <w:pPr>
              <w:jc w:val="both"/>
              <w:rPr>
                <w:iCs/>
                <w:sz w:val="24"/>
              </w:rPr>
            </w:pPr>
          </w:p>
          <w:p w:rsidR="00124F71" w:rsidRPr="002F7733" w:rsidRDefault="00124F71" w:rsidP="0090004D">
            <w:pPr>
              <w:jc w:val="both"/>
              <w:rPr>
                <w:sz w:val="24"/>
              </w:rPr>
            </w:pPr>
            <w:r w:rsidRPr="004471AA">
              <w:rPr>
                <w:sz w:val="24"/>
              </w:rPr>
              <w:t xml:space="preserve">Ministru kabineta </w:t>
            </w:r>
            <w:r w:rsidRPr="002F7733">
              <w:rPr>
                <w:sz w:val="24"/>
              </w:rPr>
              <w:t xml:space="preserve">2010.gada 7.septembra noteikumu Nr.827 </w:t>
            </w:r>
            <w:r w:rsidRPr="002F7733">
              <w:rPr>
                <w:sz w:val="24"/>
              </w:rPr>
              <w:lastRenderedPageBreak/>
              <w:t>„Noteikumi par valsts sociālās apdrošināšanas obligāto iemaksu veicēju reģistrāciju un ziņojumiem par valsts sociālās apdrošināšanas obligātajām iemaksām un iedzīvotāju ienākuma nodokli” 8.</w:t>
            </w:r>
            <w:r w:rsidRPr="002F7733">
              <w:rPr>
                <w:sz w:val="24"/>
                <w:vertAlign w:val="superscript"/>
              </w:rPr>
              <w:t>4</w:t>
            </w:r>
            <w:r w:rsidRPr="002F7733">
              <w:rPr>
                <w:sz w:val="24"/>
              </w:rPr>
              <w:t xml:space="preserve"> punkts nosaka, ka darba devējs, reģistrējot katru darba ņēmēju Valsts ieņēmumu dienestā, sniedzot ziņas par darba ņēmējiem. Ja mainās darba ņēmēja </w:t>
            </w:r>
            <w:r w:rsidR="00585F33">
              <w:rPr>
                <w:sz w:val="24"/>
              </w:rPr>
              <w:t>darba alga</w:t>
            </w:r>
            <w:r w:rsidRPr="002F7733">
              <w:rPr>
                <w:sz w:val="24"/>
              </w:rPr>
              <w:t xml:space="preserve">, darba devējs nākamajā mēnesī līdz datumam, kas noteikts kā ikmēneša obligāto iemaksu veikšanas termiņš, iesniedz Valsts ieņēmumu dienestā informāciju par jauno darbinieka </w:t>
            </w:r>
            <w:r w:rsidR="00585F33">
              <w:rPr>
                <w:sz w:val="24"/>
              </w:rPr>
              <w:t>darba algu</w:t>
            </w:r>
            <w:r w:rsidRPr="002F7733">
              <w:rPr>
                <w:sz w:val="24"/>
              </w:rPr>
              <w:t>.</w:t>
            </w:r>
          </w:p>
          <w:p w:rsidR="00124F71" w:rsidRPr="002F7733" w:rsidRDefault="00124F71" w:rsidP="002F166F">
            <w:pPr>
              <w:jc w:val="both"/>
              <w:rPr>
                <w:sz w:val="24"/>
              </w:rPr>
            </w:pPr>
            <w:r w:rsidRPr="002F7733">
              <w:rPr>
                <w:sz w:val="24"/>
              </w:rPr>
              <w:t xml:space="preserve">Tātad jau tagad darba devējiem ir jāsniedz informācija par darba ņēmēja </w:t>
            </w:r>
            <w:r w:rsidR="00585F33">
              <w:rPr>
                <w:sz w:val="24"/>
              </w:rPr>
              <w:t>darba algu</w:t>
            </w:r>
            <w:r w:rsidRPr="002F7733">
              <w:rPr>
                <w:sz w:val="24"/>
              </w:rPr>
              <w:t xml:space="preserve">. To, ka, </w:t>
            </w:r>
            <w:r w:rsidR="00585F33">
              <w:rPr>
                <w:sz w:val="24"/>
              </w:rPr>
              <w:t>mainās minimālās mēneša darba algas apmērs</w:t>
            </w:r>
            <w:r w:rsidRPr="002F7733">
              <w:rPr>
                <w:sz w:val="24"/>
              </w:rPr>
              <w:t xml:space="preserve">, nevar uzskatīt par darba devēja administratīvā sloga palielinājumu, jo, </w:t>
            </w:r>
            <w:r w:rsidR="002F166F">
              <w:rPr>
                <w:sz w:val="24"/>
              </w:rPr>
              <w:t xml:space="preserve">informācija par darba ņēmēju </w:t>
            </w:r>
            <w:r w:rsidR="002F166F" w:rsidRPr="002F7733">
              <w:rPr>
                <w:sz w:val="24"/>
              </w:rPr>
              <w:t>Valsts ieņēmumu dienest</w:t>
            </w:r>
            <w:r w:rsidR="002F166F">
              <w:rPr>
                <w:sz w:val="24"/>
              </w:rPr>
              <w:t>am ir jāsniedz katru mēnesi</w:t>
            </w:r>
            <w:r w:rsidRPr="002F7733">
              <w:rPr>
                <w:sz w:val="24"/>
              </w:rPr>
              <w:t>. Savukārt</w:t>
            </w:r>
            <w:r w:rsidR="002F166F">
              <w:rPr>
                <w:sz w:val="24"/>
              </w:rPr>
              <w:t>,</w:t>
            </w:r>
            <w:r w:rsidRPr="002F7733">
              <w:rPr>
                <w:sz w:val="24"/>
              </w:rPr>
              <w:t xml:space="preserve"> pēc </w:t>
            </w:r>
            <w:r w:rsidR="002F166F">
              <w:rPr>
                <w:sz w:val="24"/>
              </w:rPr>
              <w:t>jaunās minimālās mēneša darba algas apmēra</w:t>
            </w:r>
            <w:r w:rsidRPr="002F7733">
              <w:rPr>
                <w:sz w:val="24"/>
              </w:rPr>
              <w:t xml:space="preserve"> spēkā stāšanās, slēdzot darba līgumu </w:t>
            </w:r>
            <w:r w:rsidR="002F166F">
              <w:rPr>
                <w:sz w:val="24"/>
              </w:rPr>
              <w:t xml:space="preserve">ar </w:t>
            </w:r>
            <w:r w:rsidRPr="002F7733">
              <w:rPr>
                <w:sz w:val="24"/>
              </w:rPr>
              <w:t xml:space="preserve">jauno </w:t>
            </w:r>
            <w:r w:rsidR="002F166F">
              <w:rPr>
                <w:sz w:val="24"/>
              </w:rPr>
              <w:t>darba ņēmēju</w:t>
            </w:r>
            <w:r w:rsidRPr="002F7733">
              <w:rPr>
                <w:sz w:val="24"/>
              </w:rPr>
              <w:t xml:space="preserve">, darba devējam, kā par jebkuru citu darba ņēmēja </w:t>
            </w:r>
            <w:r w:rsidR="002F166F">
              <w:rPr>
                <w:sz w:val="24"/>
              </w:rPr>
              <w:t xml:space="preserve">darba algu </w:t>
            </w:r>
            <w:r w:rsidRPr="002F7733">
              <w:rPr>
                <w:sz w:val="24"/>
              </w:rPr>
              <w:t>būs jāpaziņo Valsts ieņēmumu dienestam.</w:t>
            </w:r>
          </w:p>
        </w:tc>
      </w:tr>
      <w:tr w:rsidR="00124F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ind w:left="180" w:hanging="10"/>
            </w:pPr>
            <w:r w:rsidRPr="006A7D0B">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jc w:val="both"/>
              <w:rPr>
                <w:iCs/>
                <w:sz w:val="24"/>
              </w:rPr>
            </w:pPr>
            <w:r w:rsidRPr="00D42CC4">
              <w:rPr>
                <w:iCs/>
                <w:sz w:val="24"/>
              </w:rPr>
              <w:t>Projekts šo jomu neskar.</w:t>
            </w:r>
          </w:p>
        </w:tc>
      </w:tr>
      <w:tr w:rsidR="00124F71"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spacing w:before="0" w:after="0"/>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pStyle w:val="naiskr"/>
              <w:spacing w:before="0" w:after="0"/>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90004D">
            <w:pPr>
              <w:rPr>
                <w:sz w:val="24"/>
              </w:rPr>
            </w:pPr>
            <w:r w:rsidRPr="00D42CC4">
              <w:rPr>
                <w:iCs/>
                <w:sz w:val="24"/>
              </w:rPr>
              <w:t>Nav.</w:t>
            </w:r>
          </w:p>
        </w:tc>
      </w:tr>
    </w:tbl>
    <w:p w:rsidR="00124129" w:rsidRPr="00EE1BB2" w:rsidRDefault="00124129"/>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281"/>
      </w:tblGrid>
      <w:tr w:rsidR="00696DE8" w:rsidRPr="00696DE8" w:rsidTr="00032E7D">
        <w:tc>
          <w:tcPr>
            <w:tcW w:w="5000" w:type="pct"/>
            <w:tcBorders>
              <w:top w:val="single" w:sz="4" w:space="0" w:color="auto"/>
              <w:left w:val="single" w:sz="4" w:space="0" w:color="auto"/>
              <w:bottom w:val="single" w:sz="4" w:space="0" w:color="auto"/>
              <w:right w:val="single" w:sz="4" w:space="0" w:color="auto"/>
            </w:tcBorders>
            <w:vAlign w:val="center"/>
          </w:tcPr>
          <w:p w:rsidR="00032E7D" w:rsidRPr="00696DE8" w:rsidRDefault="00032E7D" w:rsidP="00D6423D">
            <w:pPr>
              <w:jc w:val="center"/>
              <w:rPr>
                <w:b/>
                <w:sz w:val="24"/>
              </w:rPr>
            </w:pPr>
            <w:r w:rsidRPr="00696DE8">
              <w:rPr>
                <w:b/>
                <w:sz w:val="24"/>
              </w:rPr>
              <w:br w:type="page"/>
              <w:t xml:space="preserve">III Tiesību </w:t>
            </w:r>
            <w:smartTag w:uri="schemas-tilde-lv/tildestengine" w:element="veidnes">
              <w:smartTagPr>
                <w:attr w:name="baseform" w:val="akt|s"/>
                <w:attr w:name="id" w:val="-1"/>
                <w:attr w:name="text" w:val="akta"/>
              </w:smartTagPr>
              <w:r w:rsidRPr="00696DE8">
                <w:rPr>
                  <w:b/>
                  <w:sz w:val="24"/>
                </w:rPr>
                <w:t>akta</w:t>
              </w:r>
            </w:smartTag>
            <w:r w:rsidRPr="00696DE8">
              <w:rPr>
                <w:b/>
                <w:sz w:val="24"/>
              </w:rPr>
              <w:t xml:space="preserve"> projekta ietekme uz valsts budžetu un pašvaldību budžetiem</w:t>
            </w:r>
          </w:p>
        </w:tc>
      </w:tr>
    </w:tbl>
    <w:p w:rsidR="00695C94" w:rsidRPr="00695C94" w:rsidRDefault="00695C94" w:rsidP="00695C9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364"/>
        <w:gridCol w:w="1134"/>
        <w:gridCol w:w="1206"/>
        <w:gridCol w:w="933"/>
        <w:gridCol w:w="590"/>
        <w:gridCol w:w="1523"/>
        <w:gridCol w:w="1525"/>
      </w:tblGrid>
      <w:tr w:rsidR="00032E7D" w:rsidRPr="00EE1BB2" w:rsidTr="00B07024">
        <w:tc>
          <w:tcPr>
            <w:tcW w:w="4716" w:type="dxa"/>
            <w:gridSpan w:val="4"/>
            <w:shd w:val="clear" w:color="auto" w:fill="auto"/>
          </w:tcPr>
          <w:p w:rsidR="00032E7D" w:rsidRPr="00EE1BB2" w:rsidRDefault="00032E7D" w:rsidP="00695C94">
            <w:pPr>
              <w:jc w:val="center"/>
            </w:pPr>
          </w:p>
        </w:tc>
        <w:tc>
          <w:tcPr>
            <w:tcW w:w="4571" w:type="dxa"/>
            <w:gridSpan w:val="4"/>
            <w:shd w:val="clear" w:color="auto" w:fill="auto"/>
            <w:vAlign w:val="center"/>
          </w:tcPr>
          <w:p w:rsidR="00032E7D" w:rsidRPr="00EE1BB2" w:rsidRDefault="002749B5" w:rsidP="002749B5">
            <w:pPr>
              <w:jc w:val="center"/>
            </w:pPr>
            <w:proofErr w:type="spellStart"/>
            <w:r>
              <w:rPr>
                <w:sz w:val="22"/>
                <w:szCs w:val="22"/>
              </w:rPr>
              <w:t>euro</w:t>
            </w:r>
            <w:proofErr w:type="spellEnd"/>
          </w:p>
        </w:tc>
      </w:tr>
      <w:tr w:rsidR="00032E7D" w:rsidRPr="00EE1BB2" w:rsidTr="00B07024">
        <w:tc>
          <w:tcPr>
            <w:tcW w:w="2376" w:type="dxa"/>
            <w:gridSpan w:val="2"/>
            <w:vMerge w:val="restart"/>
            <w:shd w:val="clear" w:color="auto" w:fill="auto"/>
            <w:vAlign w:val="center"/>
          </w:tcPr>
          <w:p w:rsidR="00032E7D" w:rsidRPr="00EE1BB2" w:rsidRDefault="00032E7D" w:rsidP="00695C94">
            <w:pPr>
              <w:jc w:val="center"/>
            </w:pPr>
            <w:r w:rsidRPr="00695C94">
              <w:rPr>
                <w:b/>
                <w:sz w:val="22"/>
                <w:szCs w:val="22"/>
              </w:rPr>
              <w:t>Rādītāji</w:t>
            </w:r>
          </w:p>
        </w:tc>
        <w:tc>
          <w:tcPr>
            <w:tcW w:w="2340" w:type="dxa"/>
            <w:gridSpan w:val="2"/>
            <w:vMerge w:val="restart"/>
            <w:shd w:val="clear" w:color="auto" w:fill="auto"/>
            <w:vAlign w:val="center"/>
          </w:tcPr>
          <w:p w:rsidR="00032E7D" w:rsidRPr="00EE1BB2" w:rsidRDefault="00032E7D" w:rsidP="00296EB9">
            <w:pPr>
              <w:jc w:val="center"/>
            </w:pPr>
            <w:r w:rsidRPr="00695C94">
              <w:rPr>
                <w:b/>
                <w:sz w:val="22"/>
                <w:szCs w:val="22"/>
              </w:rPr>
              <w:t>201</w:t>
            </w:r>
            <w:r w:rsidR="00296EB9">
              <w:rPr>
                <w:b/>
                <w:sz w:val="22"/>
                <w:szCs w:val="22"/>
              </w:rPr>
              <w:t>4</w:t>
            </w:r>
          </w:p>
        </w:tc>
        <w:tc>
          <w:tcPr>
            <w:tcW w:w="4571" w:type="dxa"/>
            <w:gridSpan w:val="4"/>
            <w:shd w:val="clear" w:color="auto" w:fill="auto"/>
            <w:vAlign w:val="center"/>
          </w:tcPr>
          <w:p w:rsidR="00032E7D" w:rsidRPr="00EE1BB2" w:rsidRDefault="00032E7D" w:rsidP="00695C94">
            <w:pPr>
              <w:jc w:val="center"/>
            </w:pPr>
            <w:r w:rsidRPr="00695C94">
              <w:rPr>
                <w:sz w:val="22"/>
                <w:szCs w:val="22"/>
              </w:rPr>
              <w:t>Turpmākie trīs gadi</w:t>
            </w:r>
          </w:p>
        </w:tc>
      </w:tr>
      <w:tr w:rsidR="00032E7D" w:rsidRPr="00695C94" w:rsidTr="00B07024">
        <w:tc>
          <w:tcPr>
            <w:tcW w:w="2376" w:type="dxa"/>
            <w:gridSpan w:val="2"/>
            <w:vMerge/>
            <w:shd w:val="clear" w:color="auto" w:fill="auto"/>
          </w:tcPr>
          <w:p w:rsidR="00032E7D" w:rsidRPr="00EE1BB2" w:rsidRDefault="00032E7D" w:rsidP="00695C94">
            <w:pPr>
              <w:jc w:val="center"/>
            </w:pPr>
          </w:p>
        </w:tc>
        <w:tc>
          <w:tcPr>
            <w:tcW w:w="2340" w:type="dxa"/>
            <w:gridSpan w:val="2"/>
            <w:vMerge/>
            <w:shd w:val="clear" w:color="auto" w:fill="auto"/>
          </w:tcPr>
          <w:p w:rsidR="00032E7D" w:rsidRPr="00695C94" w:rsidRDefault="00032E7D" w:rsidP="00695C94">
            <w:pPr>
              <w:jc w:val="center"/>
              <w:rPr>
                <w:b/>
                <w:sz w:val="22"/>
                <w:szCs w:val="22"/>
              </w:rPr>
            </w:pPr>
          </w:p>
        </w:tc>
        <w:tc>
          <w:tcPr>
            <w:tcW w:w="1523" w:type="dxa"/>
            <w:gridSpan w:val="2"/>
            <w:shd w:val="clear" w:color="auto" w:fill="auto"/>
            <w:vAlign w:val="bottom"/>
          </w:tcPr>
          <w:p w:rsidR="00032E7D" w:rsidRPr="00695C94" w:rsidRDefault="00032E7D" w:rsidP="00296EB9">
            <w:pPr>
              <w:pStyle w:val="naisf"/>
              <w:spacing w:before="0" w:after="0"/>
              <w:jc w:val="center"/>
              <w:rPr>
                <w:b/>
                <w:i/>
                <w:sz w:val="22"/>
                <w:szCs w:val="22"/>
                <w:lang w:val="lv-LV"/>
              </w:rPr>
            </w:pPr>
            <w:r w:rsidRPr="00695C94">
              <w:rPr>
                <w:b/>
                <w:bCs/>
                <w:sz w:val="22"/>
                <w:szCs w:val="22"/>
                <w:lang w:val="lv-LV"/>
              </w:rPr>
              <w:t>201</w:t>
            </w:r>
            <w:r w:rsidR="00296EB9">
              <w:rPr>
                <w:b/>
                <w:bCs/>
                <w:sz w:val="22"/>
                <w:szCs w:val="22"/>
                <w:lang w:val="lv-LV"/>
              </w:rPr>
              <w:t>5</w:t>
            </w:r>
          </w:p>
        </w:tc>
        <w:tc>
          <w:tcPr>
            <w:tcW w:w="1523" w:type="dxa"/>
            <w:shd w:val="clear" w:color="auto" w:fill="auto"/>
            <w:vAlign w:val="bottom"/>
          </w:tcPr>
          <w:p w:rsidR="00032E7D" w:rsidRPr="00695C94" w:rsidRDefault="00032E7D" w:rsidP="00296EB9">
            <w:pPr>
              <w:pStyle w:val="naisf"/>
              <w:spacing w:before="0" w:after="0"/>
              <w:jc w:val="center"/>
              <w:rPr>
                <w:b/>
                <w:i/>
                <w:sz w:val="22"/>
                <w:szCs w:val="22"/>
                <w:lang w:val="lv-LV"/>
              </w:rPr>
            </w:pPr>
            <w:r w:rsidRPr="00695C94">
              <w:rPr>
                <w:b/>
                <w:bCs/>
                <w:sz w:val="22"/>
                <w:szCs w:val="22"/>
                <w:lang w:val="lv-LV"/>
              </w:rPr>
              <w:t>201</w:t>
            </w:r>
            <w:r w:rsidR="00296EB9">
              <w:rPr>
                <w:b/>
                <w:bCs/>
                <w:sz w:val="22"/>
                <w:szCs w:val="22"/>
                <w:lang w:val="lv-LV"/>
              </w:rPr>
              <w:t>6</w:t>
            </w:r>
          </w:p>
        </w:tc>
        <w:tc>
          <w:tcPr>
            <w:tcW w:w="1525" w:type="dxa"/>
            <w:shd w:val="clear" w:color="auto" w:fill="auto"/>
            <w:vAlign w:val="bottom"/>
          </w:tcPr>
          <w:p w:rsidR="00032E7D" w:rsidRPr="00695C94" w:rsidRDefault="00032E7D" w:rsidP="00296EB9">
            <w:pPr>
              <w:pStyle w:val="naisf"/>
              <w:spacing w:before="0" w:after="0"/>
              <w:jc w:val="center"/>
              <w:rPr>
                <w:b/>
                <w:i/>
                <w:sz w:val="22"/>
                <w:szCs w:val="22"/>
                <w:lang w:val="lv-LV"/>
              </w:rPr>
            </w:pPr>
            <w:r w:rsidRPr="00695C94">
              <w:rPr>
                <w:b/>
                <w:bCs/>
                <w:sz w:val="22"/>
                <w:szCs w:val="22"/>
                <w:lang w:val="lv-LV"/>
              </w:rPr>
              <w:t>201</w:t>
            </w:r>
            <w:r w:rsidR="00296EB9">
              <w:rPr>
                <w:b/>
                <w:bCs/>
                <w:sz w:val="22"/>
                <w:szCs w:val="22"/>
                <w:lang w:val="lv-LV"/>
              </w:rPr>
              <w:t>7</w:t>
            </w:r>
          </w:p>
        </w:tc>
      </w:tr>
      <w:tr w:rsidR="00032E7D" w:rsidRPr="00695C94" w:rsidTr="00B07024">
        <w:tc>
          <w:tcPr>
            <w:tcW w:w="2376" w:type="dxa"/>
            <w:gridSpan w:val="2"/>
            <w:vMerge/>
            <w:shd w:val="clear" w:color="auto" w:fill="auto"/>
            <w:vAlign w:val="bottom"/>
          </w:tcPr>
          <w:p w:rsidR="00032E7D" w:rsidRPr="00695C94" w:rsidRDefault="00032E7D" w:rsidP="00695C94">
            <w:pPr>
              <w:jc w:val="center"/>
              <w:rPr>
                <w:sz w:val="22"/>
                <w:szCs w:val="22"/>
              </w:rPr>
            </w:pPr>
          </w:p>
        </w:tc>
        <w:tc>
          <w:tcPr>
            <w:tcW w:w="1134" w:type="dxa"/>
            <w:shd w:val="clear" w:color="auto" w:fill="auto"/>
            <w:vAlign w:val="bottom"/>
          </w:tcPr>
          <w:p w:rsidR="00032E7D" w:rsidRPr="00695C94" w:rsidRDefault="00032E7D" w:rsidP="00695C94">
            <w:pPr>
              <w:jc w:val="center"/>
              <w:rPr>
                <w:sz w:val="22"/>
                <w:szCs w:val="22"/>
              </w:rPr>
            </w:pPr>
            <w:r w:rsidRPr="00695C94">
              <w:rPr>
                <w:sz w:val="22"/>
                <w:szCs w:val="22"/>
              </w:rPr>
              <w:t>Saskaņā ar valsts budžetu kārtējam gadam</w:t>
            </w:r>
          </w:p>
        </w:tc>
        <w:tc>
          <w:tcPr>
            <w:tcW w:w="1206" w:type="dxa"/>
            <w:shd w:val="clear" w:color="auto" w:fill="auto"/>
            <w:vAlign w:val="bottom"/>
          </w:tcPr>
          <w:p w:rsidR="00032E7D" w:rsidRPr="00695C94" w:rsidRDefault="00032E7D" w:rsidP="00695C94">
            <w:pPr>
              <w:jc w:val="center"/>
              <w:rPr>
                <w:sz w:val="22"/>
                <w:szCs w:val="22"/>
              </w:rPr>
            </w:pPr>
            <w:r w:rsidRPr="00695C94">
              <w:rPr>
                <w:sz w:val="22"/>
                <w:szCs w:val="22"/>
              </w:rPr>
              <w:t>Izmaiņas kārtējā gadā salīdzinot ar budžetu kārtējam gadam</w:t>
            </w:r>
          </w:p>
        </w:tc>
        <w:tc>
          <w:tcPr>
            <w:tcW w:w="1523" w:type="dxa"/>
            <w:gridSpan w:val="2"/>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c>
          <w:tcPr>
            <w:tcW w:w="1523" w:type="dxa"/>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c>
          <w:tcPr>
            <w:tcW w:w="1525" w:type="dxa"/>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r>
      <w:tr w:rsidR="00032E7D" w:rsidRPr="00695C94" w:rsidTr="00B07024">
        <w:tc>
          <w:tcPr>
            <w:tcW w:w="2376" w:type="dxa"/>
            <w:gridSpan w:val="2"/>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1</w:t>
            </w:r>
          </w:p>
        </w:tc>
        <w:tc>
          <w:tcPr>
            <w:tcW w:w="1134" w:type="dxa"/>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2</w:t>
            </w:r>
          </w:p>
        </w:tc>
        <w:tc>
          <w:tcPr>
            <w:tcW w:w="1206" w:type="dxa"/>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3</w:t>
            </w:r>
          </w:p>
        </w:tc>
        <w:tc>
          <w:tcPr>
            <w:tcW w:w="1523" w:type="dxa"/>
            <w:gridSpan w:val="2"/>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4</w:t>
            </w:r>
          </w:p>
        </w:tc>
        <w:tc>
          <w:tcPr>
            <w:tcW w:w="1523" w:type="dxa"/>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5</w:t>
            </w:r>
          </w:p>
        </w:tc>
        <w:tc>
          <w:tcPr>
            <w:tcW w:w="1525" w:type="dxa"/>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6</w:t>
            </w:r>
          </w:p>
        </w:tc>
      </w:tr>
      <w:tr w:rsidR="000E17FF" w:rsidRPr="00695C94" w:rsidTr="00B07024">
        <w:tc>
          <w:tcPr>
            <w:tcW w:w="2376" w:type="dxa"/>
            <w:gridSpan w:val="2"/>
            <w:shd w:val="clear" w:color="auto" w:fill="auto"/>
          </w:tcPr>
          <w:p w:rsidR="000E17FF" w:rsidRPr="004A54BF" w:rsidRDefault="000E17FF" w:rsidP="000E17FF">
            <w:pPr>
              <w:rPr>
                <w:b/>
                <w:sz w:val="24"/>
              </w:rPr>
            </w:pPr>
            <w:r w:rsidRPr="004A54BF">
              <w:rPr>
                <w:b/>
                <w:sz w:val="24"/>
              </w:rPr>
              <w:t>1. Budžeta ieņēmumi</w:t>
            </w:r>
          </w:p>
        </w:tc>
        <w:tc>
          <w:tcPr>
            <w:tcW w:w="1134" w:type="dxa"/>
            <w:shd w:val="clear" w:color="auto" w:fill="auto"/>
            <w:vAlign w:val="center"/>
          </w:tcPr>
          <w:p w:rsidR="000E17FF" w:rsidRPr="004A54BF" w:rsidRDefault="000E17FF" w:rsidP="006626E4">
            <w:pPr>
              <w:jc w:val="center"/>
              <w:rPr>
                <w:b/>
                <w:sz w:val="24"/>
              </w:rPr>
            </w:pPr>
            <w:r w:rsidRPr="004A54BF">
              <w:rPr>
                <w:b/>
                <w:sz w:val="24"/>
              </w:rPr>
              <w:t>0</w:t>
            </w:r>
          </w:p>
        </w:tc>
        <w:tc>
          <w:tcPr>
            <w:tcW w:w="1206" w:type="dxa"/>
            <w:shd w:val="clear" w:color="auto" w:fill="auto"/>
            <w:vAlign w:val="center"/>
          </w:tcPr>
          <w:p w:rsidR="000E17FF" w:rsidRPr="004A54BF" w:rsidRDefault="000E17FF" w:rsidP="006626E4">
            <w:pPr>
              <w:jc w:val="center"/>
              <w:rPr>
                <w:b/>
                <w:sz w:val="24"/>
              </w:rPr>
            </w:pPr>
            <w:r w:rsidRPr="004A54BF">
              <w:rPr>
                <w:b/>
                <w:sz w:val="24"/>
              </w:rPr>
              <w:t>0</w:t>
            </w:r>
          </w:p>
        </w:tc>
        <w:tc>
          <w:tcPr>
            <w:tcW w:w="1523" w:type="dxa"/>
            <w:gridSpan w:val="2"/>
            <w:shd w:val="clear" w:color="auto" w:fill="auto"/>
            <w:vAlign w:val="center"/>
          </w:tcPr>
          <w:p w:rsidR="000E17FF" w:rsidRPr="004A54BF" w:rsidRDefault="000E17FF" w:rsidP="006626E4">
            <w:pPr>
              <w:jc w:val="center"/>
              <w:rPr>
                <w:b/>
                <w:sz w:val="24"/>
              </w:rPr>
            </w:pPr>
            <w:r>
              <w:rPr>
                <w:b/>
                <w:sz w:val="24"/>
              </w:rPr>
              <w:t>21 769 061</w:t>
            </w:r>
          </w:p>
        </w:tc>
        <w:tc>
          <w:tcPr>
            <w:tcW w:w="1523" w:type="dxa"/>
            <w:shd w:val="clear" w:color="auto" w:fill="auto"/>
            <w:vAlign w:val="center"/>
          </w:tcPr>
          <w:p w:rsidR="000E17FF" w:rsidRPr="004A54BF" w:rsidRDefault="000E17FF" w:rsidP="006626E4">
            <w:pPr>
              <w:jc w:val="center"/>
              <w:rPr>
                <w:b/>
                <w:sz w:val="24"/>
              </w:rPr>
            </w:pPr>
            <w:r>
              <w:rPr>
                <w:b/>
                <w:sz w:val="24"/>
              </w:rPr>
              <w:t>21 769 061</w:t>
            </w:r>
          </w:p>
        </w:tc>
        <w:tc>
          <w:tcPr>
            <w:tcW w:w="1525" w:type="dxa"/>
            <w:shd w:val="clear" w:color="auto" w:fill="auto"/>
            <w:vAlign w:val="center"/>
          </w:tcPr>
          <w:p w:rsidR="000E17FF" w:rsidRPr="004A54BF" w:rsidRDefault="000E17FF" w:rsidP="006626E4">
            <w:pPr>
              <w:jc w:val="center"/>
              <w:rPr>
                <w:b/>
                <w:sz w:val="24"/>
              </w:rPr>
            </w:pPr>
            <w:r>
              <w:rPr>
                <w:b/>
                <w:sz w:val="24"/>
              </w:rPr>
              <w:t>21 769 061</w:t>
            </w:r>
          </w:p>
        </w:tc>
      </w:tr>
      <w:tr w:rsidR="00041B4A" w:rsidRPr="00695C94" w:rsidTr="00B07024">
        <w:tc>
          <w:tcPr>
            <w:tcW w:w="2376" w:type="dxa"/>
            <w:gridSpan w:val="2"/>
            <w:shd w:val="clear" w:color="auto" w:fill="auto"/>
          </w:tcPr>
          <w:p w:rsidR="00041B4A" w:rsidRPr="00695C94" w:rsidRDefault="00041B4A" w:rsidP="00D6423D">
            <w:pPr>
              <w:rPr>
                <w:sz w:val="22"/>
                <w:szCs w:val="22"/>
              </w:rPr>
            </w:pPr>
            <w:r w:rsidRPr="00695C94">
              <w:rPr>
                <w:sz w:val="22"/>
                <w:szCs w:val="22"/>
              </w:rPr>
              <w:t>1.1. valsts pamatbudžets, tai skaitā ieņēmumi no maksas pakalpojumiem un citi pašu ieņēmumi</w:t>
            </w:r>
          </w:p>
        </w:tc>
        <w:tc>
          <w:tcPr>
            <w:tcW w:w="1134" w:type="dxa"/>
            <w:shd w:val="clear" w:color="auto" w:fill="auto"/>
            <w:vAlign w:val="center"/>
          </w:tcPr>
          <w:p w:rsidR="00041B4A" w:rsidRPr="007D27AF" w:rsidRDefault="00041B4A" w:rsidP="001D4AF7">
            <w:pPr>
              <w:jc w:val="center"/>
              <w:rPr>
                <w:sz w:val="22"/>
                <w:szCs w:val="22"/>
              </w:rPr>
            </w:pPr>
            <w:r>
              <w:rPr>
                <w:sz w:val="22"/>
                <w:szCs w:val="22"/>
              </w:rPr>
              <w:t>0</w:t>
            </w:r>
          </w:p>
        </w:tc>
        <w:tc>
          <w:tcPr>
            <w:tcW w:w="1206" w:type="dxa"/>
            <w:shd w:val="clear" w:color="auto" w:fill="auto"/>
            <w:vAlign w:val="center"/>
          </w:tcPr>
          <w:p w:rsidR="00041B4A" w:rsidRPr="007D27AF" w:rsidRDefault="00041B4A" w:rsidP="001D4AF7">
            <w:pPr>
              <w:jc w:val="center"/>
              <w:rPr>
                <w:sz w:val="22"/>
                <w:szCs w:val="22"/>
              </w:rPr>
            </w:pPr>
            <w:r>
              <w:rPr>
                <w:sz w:val="22"/>
                <w:szCs w:val="22"/>
              </w:rPr>
              <w:t>0</w:t>
            </w:r>
          </w:p>
        </w:tc>
        <w:tc>
          <w:tcPr>
            <w:tcW w:w="1523" w:type="dxa"/>
            <w:gridSpan w:val="2"/>
            <w:shd w:val="clear" w:color="auto" w:fill="auto"/>
            <w:vAlign w:val="center"/>
          </w:tcPr>
          <w:p w:rsidR="00041B4A" w:rsidRPr="007C608E" w:rsidRDefault="00041B4A" w:rsidP="0095305E">
            <w:pPr>
              <w:pStyle w:val="BodyText2"/>
              <w:jc w:val="center"/>
              <w:rPr>
                <w:sz w:val="22"/>
                <w:szCs w:val="22"/>
              </w:rPr>
            </w:pPr>
            <w:r>
              <w:rPr>
                <w:sz w:val="22"/>
                <w:szCs w:val="22"/>
              </w:rPr>
              <w:t>4 070 200</w:t>
            </w:r>
          </w:p>
        </w:tc>
        <w:tc>
          <w:tcPr>
            <w:tcW w:w="1523" w:type="dxa"/>
            <w:shd w:val="clear" w:color="auto" w:fill="auto"/>
            <w:vAlign w:val="center"/>
          </w:tcPr>
          <w:p w:rsidR="00041B4A" w:rsidRPr="007C608E" w:rsidRDefault="00041B4A" w:rsidP="0095305E">
            <w:pPr>
              <w:pStyle w:val="BodyText2"/>
              <w:jc w:val="center"/>
              <w:rPr>
                <w:sz w:val="22"/>
                <w:szCs w:val="22"/>
              </w:rPr>
            </w:pPr>
            <w:r>
              <w:rPr>
                <w:sz w:val="22"/>
                <w:szCs w:val="22"/>
              </w:rPr>
              <w:t>4 070 200</w:t>
            </w:r>
          </w:p>
        </w:tc>
        <w:tc>
          <w:tcPr>
            <w:tcW w:w="1525" w:type="dxa"/>
            <w:shd w:val="clear" w:color="auto" w:fill="auto"/>
            <w:vAlign w:val="center"/>
          </w:tcPr>
          <w:p w:rsidR="00041B4A" w:rsidRPr="007C608E" w:rsidRDefault="00041B4A" w:rsidP="0095305E">
            <w:pPr>
              <w:pStyle w:val="BodyText2"/>
              <w:jc w:val="center"/>
              <w:rPr>
                <w:sz w:val="22"/>
                <w:szCs w:val="22"/>
              </w:rPr>
            </w:pPr>
            <w:r>
              <w:rPr>
                <w:sz w:val="22"/>
                <w:szCs w:val="22"/>
              </w:rPr>
              <w:t>4 070 200</w:t>
            </w:r>
          </w:p>
        </w:tc>
      </w:tr>
      <w:tr w:rsidR="000E17FF" w:rsidRPr="00695C94" w:rsidTr="00B07024">
        <w:tc>
          <w:tcPr>
            <w:tcW w:w="2376" w:type="dxa"/>
            <w:gridSpan w:val="2"/>
            <w:shd w:val="clear" w:color="auto" w:fill="auto"/>
          </w:tcPr>
          <w:p w:rsidR="000E17FF" w:rsidRPr="00695C94" w:rsidRDefault="000E17FF" w:rsidP="00695C94">
            <w:pPr>
              <w:pStyle w:val="naisf"/>
              <w:spacing w:before="0" w:after="0"/>
              <w:jc w:val="left"/>
              <w:rPr>
                <w:i/>
                <w:sz w:val="22"/>
                <w:szCs w:val="22"/>
                <w:lang w:val="lv-LV"/>
              </w:rPr>
            </w:pPr>
            <w:r w:rsidRPr="00695C94">
              <w:rPr>
                <w:sz w:val="22"/>
                <w:szCs w:val="22"/>
                <w:lang w:val="lv-LV"/>
              </w:rPr>
              <w:t>1.2. valsts speciālais budžets</w:t>
            </w:r>
          </w:p>
        </w:tc>
        <w:tc>
          <w:tcPr>
            <w:tcW w:w="1134" w:type="dxa"/>
            <w:shd w:val="clear" w:color="auto" w:fill="auto"/>
            <w:vAlign w:val="center"/>
          </w:tcPr>
          <w:p w:rsidR="000E17FF" w:rsidRPr="007D27AF" w:rsidRDefault="006626E4" w:rsidP="001D4AF7">
            <w:pPr>
              <w:jc w:val="center"/>
              <w:rPr>
                <w:sz w:val="22"/>
                <w:szCs w:val="22"/>
              </w:rPr>
            </w:pPr>
            <w:r>
              <w:rPr>
                <w:sz w:val="22"/>
                <w:szCs w:val="22"/>
              </w:rPr>
              <w:t>0</w:t>
            </w:r>
          </w:p>
        </w:tc>
        <w:tc>
          <w:tcPr>
            <w:tcW w:w="1206" w:type="dxa"/>
            <w:shd w:val="clear" w:color="auto" w:fill="auto"/>
            <w:vAlign w:val="center"/>
          </w:tcPr>
          <w:p w:rsidR="000E17FF" w:rsidRPr="007D27AF" w:rsidRDefault="006626E4" w:rsidP="001D4AF7">
            <w:pPr>
              <w:jc w:val="center"/>
              <w:rPr>
                <w:sz w:val="22"/>
                <w:szCs w:val="22"/>
              </w:rPr>
            </w:pPr>
            <w:r>
              <w:rPr>
                <w:sz w:val="22"/>
                <w:szCs w:val="22"/>
              </w:rPr>
              <w:t>0</w:t>
            </w:r>
          </w:p>
        </w:tc>
        <w:tc>
          <w:tcPr>
            <w:tcW w:w="1523" w:type="dxa"/>
            <w:gridSpan w:val="2"/>
            <w:shd w:val="clear" w:color="auto" w:fill="auto"/>
            <w:vAlign w:val="center"/>
          </w:tcPr>
          <w:p w:rsidR="000E17FF" w:rsidRPr="007D27AF" w:rsidRDefault="000E17FF" w:rsidP="001D4AF7">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c>
          <w:tcPr>
            <w:tcW w:w="1523" w:type="dxa"/>
            <w:shd w:val="clear" w:color="auto" w:fill="auto"/>
            <w:vAlign w:val="center"/>
          </w:tcPr>
          <w:p w:rsidR="000E17FF" w:rsidRPr="007D27AF" w:rsidRDefault="000E17FF" w:rsidP="001D4AF7">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c>
          <w:tcPr>
            <w:tcW w:w="1525" w:type="dxa"/>
            <w:shd w:val="clear" w:color="auto" w:fill="auto"/>
            <w:vAlign w:val="center"/>
          </w:tcPr>
          <w:p w:rsidR="000E17FF" w:rsidRPr="007D27AF" w:rsidRDefault="000E17FF" w:rsidP="001D4AF7">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r>
      <w:tr w:rsidR="00041B4A" w:rsidRPr="00EE1BB2" w:rsidTr="00B07024">
        <w:tc>
          <w:tcPr>
            <w:tcW w:w="2376" w:type="dxa"/>
            <w:gridSpan w:val="2"/>
            <w:shd w:val="clear" w:color="auto" w:fill="auto"/>
          </w:tcPr>
          <w:p w:rsidR="00041B4A" w:rsidRPr="00EE1BB2" w:rsidRDefault="00041B4A" w:rsidP="00D6423D">
            <w:r w:rsidRPr="00695C94">
              <w:rPr>
                <w:sz w:val="22"/>
                <w:szCs w:val="22"/>
              </w:rPr>
              <w:t>1.3. pašvaldību budžets</w:t>
            </w:r>
          </w:p>
        </w:tc>
        <w:tc>
          <w:tcPr>
            <w:tcW w:w="1134" w:type="dxa"/>
            <w:shd w:val="clear" w:color="auto" w:fill="auto"/>
            <w:vAlign w:val="center"/>
          </w:tcPr>
          <w:p w:rsidR="00041B4A" w:rsidRPr="007D27AF" w:rsidRDefault="00041B4A" w:rsidP="001D4AF7">
            <w:pPr>
              <w:jc w:val="center"/>
              <w:rPr>
                <w:sz w:val="22"/>
                <w:szCs w:val="22"/>
              </w:rPr>
            </w:pPr>
            <w:r>
              <w:rPr>
                <w:sz w:val="22"/>
                <w:szCs w:val="22"/>
              </w:rPr>
              <w:t>0</w:t>
            </w:r>
          </w:p>
        </w:tc>
        <w:tc>
          <w:tcPr>
            <w:tcW w:w="1206" w:type="dxa"/>
            <w:shd w:val="clear" w:color="auto" w:fill="auto"/>
            <w:vAlign w:val="center"/>
          </w:tcPr>
          <w:p w:rsidR="00041B4A" w:rsidRPr="007D27AF" w:rsidRDefault="00041B4A" w:rsidP="001D4AF7">
            <w:pPr>
              <w:jc w:val="center"/>
              <w:rPr>
                <w:sz w:val="22"/>
                <w:szCs w:val="22"/>
              </w:rPr>
            </w:pPr>
            <w:r>
              <w:rPr>
                <w:sz w:val="22"/>
                <w:szCs w:val="22"/>
              </w:rPr>
              <w:t>0</w:t>
            </w:r>
          </w:p>
        </w:tc>
        <w:tc>
          <w:tcPr>
            <w:tcW w:w="1523" w:type="dxa"/>
            <w:gridSpan w:val="2"/>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c>
          <w:tcPr>
            <w:tcW w:w="1523" w:type="dxa"/>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c>
          <w:tcPr>
            <w:tcW w:w="1525" w:type="dxa"/>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r>
      <w:tr w:rsidR="000E17FF" w:rsidRPr="00EE1BB2" w:rsidTr="00B07024">
        <w:tc>
          <w:tcPr>
            <w:tcW w:w="2376" w:type="dxa"/>
            <w:gridSpan w:val="2"/>
            <w:shd w:val="clear" w:color="auto" w:fill="auto"/>
          </w:tcPr>
          <w:p w:rsidR="000E17FF" w:rsidRPr="004A54BF" w:rsidRDefault="000E17FF" w:rsidP="000E17FF">
            <w:pPr>
              <w:rPr>
                <w:b/>
                <w:sz w:val="24"/>
              </w:rPr>
            </w:pPr>
            <w:r w:rsidRPr="004A54BF">
              <w:rPr>
                <w:b/>
                <w:sz w:val="24"/>
              </w:rPr>
              <w:t>2. Budžeta izdevumi:</w:t>
            </w:r>
          </w:p>
        </w:tc>
        <w:tc>
          <w:tcPr>
            <w:tcW w:w="1134" w:type="dxa"/>
            <w:shd w:val="clear" w:color="auto" w:fill="auto"/>
            <w:vAlign w:val="center"/>
          </w:tcPr>
          <w:p w:rsidR="000E17FF" w:rsidRPr="006626E4" w:rsidRDefault="000E17FF" w:rsidP="006626E4">
            <w:pPr>
              <w:jc w:val="center"/>
              <w:rPr>
                <w:b/>
                <w:sz w:val="24"/>
              </w:rPr>
            </w:pPr>
            <w:r w:rsidRPr="006626E4">
              <w:rPr>
                <w:b/>
                <w:sz w:val="24"/>
              </w:rPr>
              <w:t>0</w:t>
            </w:r>
          </w:p>
        </w:tc>
        <w:tc>
          <w:tcPr>
            <w:tcW w:w="1206" w:type="dxa"/>
            <w:shd w:val="clear" w:color="auto" w:fill="auto"/>
            <w:vAlign w:val="center"/>
          </w:tcPr>
          <w:p w:rsidR="000E17FF" w:rsidRPr="006626E4" w:rsidRDefault="000E17FF" w:rsidP="006626E4">
            <w:pPr>
              <w:jc w:val="center"/>
              <w:rPr>
                <w:b/>
                <w:sz w:val="24"/>
              </w:rPr>
            </w:pPr>
            <w:r w:rsidRPr="006626E4">
              <w:rPr>
                <w:b/>
                <w:sz w:val="24"/>
              </w:rPr>
              <w:t>0</w:t>
            </w:r>
          </w:p>
        </w:tc>
        <w:tc>
          <w:tcPr>
            <w:tcW w:w="1523" w:type="dxa"/>
            <w:gridSpan w:val="2"/>
            <w:shd w:val="clear" w:color="auto" w:fill="auto"/>
            <w:vAlign w:val="center"/>
          </w:tcPr>
          <w:p w:rsidR="000E17FF" w:rsidRPr="006626E4" w:rsidRDefault="000E17FF" w:rsidP="001D4AF7">
            <w:pPr>
              <w:jc w:val="center"/>
              <w:rPr>
                <w:b/>
                <w:color w:val="000000" w:themeColor="text1"/>
                <w:sz w:val="24"/>
              </w:rPr>
            </w:pPr>
            <w:r w:rsidRPr="006626E4">
              <w:rPr>
                <w:b/>
                <w:color w:val="000000" w:themeColor="text1"/>
                <w:sz w:val="24"/>
              </w:rPr>
              <w:t xml:space="preserve">16 064 997 </w:t>
            </w:r>
          </w:p>
        </w:tc>
        <w:tc>
          <w:tcPr>
            <w:tcW w:w="1523" w:type="dxa"/>
            <w:shd w:val="clear" w:color="auto" w:fill="auto"/>
            <w:vAlign w:val="center"/>
          </w:tcPr>
          <w:p w:rsidR="000E17FF" w:rsidRPr="006626E4" w:rsidRDefault="000E17FF" w:rsidP="001D4AF7">
            <w:pPr>
              <w:jc w:val="center"/>
              <w:rPr>
                <w:b/>
                <w:color w:val="000000" w:themeColor="text1"/>
                <w:sz w:val="24"/>
              </w:rPr>
            </w:pPr>
            <w:r w:rsidRPr="006626E4">
              <w:rPr>
                <w:b/>
                <w:color w:val="000000" w:themeColor="text1"/>
                <w:sz w:val="24"/>
              </w:rPr>
              <w:t>16 064 997</w:t>
            </w:r>
          </w:p>
        </w:tc>
        <w:tc>
          <w:tcPr>
            <w:tcW w:w="1525" w:type="dxa"/>
            <w:shd w:val="clear" w:color="auto" w:fill="auto"/>
            <w:vAlign w:val="center"/>
          </w:tcPr>
          <w:p w:rsidR="000E17FF" w:rsidRPr="006626E4" w:rsidRDefault="000E17FF" w:rsidP="001D4AF7">
            <w:pPr>
              <w:jc w:val="center"/>
              <w:rPr>
                <w:b/>
                <w:color w:val="000000" w:themeColor="text1"/>
                <w:sz w:val="24"/>
              </w:rPr>
            </w:pPr>
            <w:r w:rsidRPr="006626E4">
              <w:rPr>
                <w:b/>
                <w:color w:val="000000" w:themeColor="text1"/>
                <w:sz w:val="24"/>
              </w:rPr>
              <w:t>16 064 997</w:t>
            </w:r>
          </w:p>
        </w:tc>
      </w:tr>
      <w:tr w:rsidR="006626E4" w:rsidRPr="00EE1BB2" w:rsidTr="00B07024">
        <w:tc>
          <w:tcPr>
            <w:tcW w:w="2376" w:type="dxa"/>
            <w:gridSpan w:val="2"/>
            <w:shd w:val="clear" w:color="auto" w:fill="auto"/>
          </w:tcPr>
          <w:p w:rsidR="006626E4" w:rsidRPr="00695C94" w:rsidRDefault="006626E4" w:rsidP="00D6423D">
            <w:pPr>
              <w:rPr>
                <w:sz w:val="22"/>
                <w:szCs w:val="22"/>
              </w:rPr>
            </w:pPr>
            <w:r w:rsidRPr="00695C94">
              <w:rPr>
                <w:sz w:val="22"/>
                <w:szCs w:val="22"/>
              </w:rPr>
              <w:t>2.1. valsts pamatbudžets</w:t>
            </w:r>
          </w:p>
        </w:tc>
        <w:tc>
          <w:tcPr>
            <w:tcW w:w="1134" w:type="dxa"/>
            <w:shd w:val="clear" w:color="auto" w:fill="auto"/>
            <w:vAlign w:val="center"/>
          </w:tcPr>
          <w:p w:rsidR="006626E4" w:rsidRPr="00695C94" w:rsidRDefault="006626E4" w:rsidP="00695C94">
            <w:pPr>
              <w:jc w:val="center"/>
              <w:rPr>
                <w:sz w:val="22"/>
                <w:szCs w:val="22"/>
              </w:rPr>
            </w:pPr>
            <w:r w:rsidRPr="00695C94">
              <w:rPr>
                <w:sz w:val="22"/>
                <w:szCs w:val="22"/>
              </w:rPr>
              <w:t>0</w:t>
            </w:r>
          </w:p>
        </w:tc>
        <w:tc>
          <w:tcPr>
            <w:tcW w:w="1206" w:type="dxa"/>
            <w:shd w:val="clear" w:color="auto" w:fill="auto"/>
            <w:vAlign w:val="center"/>
          </w:tcPr>
          <w:p w:rsidR="006626E4" w:rsidRPr="00695C94" w:rsidRDefault="006626E4" w:rsidP="00695C94">
            <w:pPr>
              <w:jc w:val="center"/>
              <w:rPr>
                <w:sz w:val="22"/>
                <w:szCs w:val="22"/>
              </w:rPr>
            </w:pPr>
            <w:r w:rsidRPr="00695C94">
              <w:rPr>
                <w:sz w:val="22"/>
                <w:szCs w:val="22"/>
              </w:rPr>
              <w:t>0</w:t>
            </w:r>
          </w:p>
        </w:tc>
        <w:tc>
          <w:tcPr>
            <w:tcW w:w="1523" w:type="dxa"/>
            <w:gridSpan w:val="2"/>
            <w:shd w:val="clear" w:color="auto" w:fill="auto"/>
            <w:vAlign w:val="center"/>
          </w:tcPr>
          <w:p w:rsidR="006626E4" w:rsidRPr="0038450A" w:rsidRDefault="006626E4" w:rsidP="001D4AF7">
            <w:pPr>
              <w:pStyle w:val="BodyText2"/>
              <w:jc w:val="center"/>
              <w:rPr>
                <w:color w:val="000000" w:themeColor="text1"/>
                <w:sz w:val="22"/>
                <w:szCs w:val="22"/>
              </w:rPr>
            </w:pPr>
            <w:r>
              <w:rPr>
                <w:color w:val="000000" w:themeColor="text1"/>
                <w:sz w:val="22"/>
                <w:szCs w:val="22"/>
              </w:rPr>
              <w:t>16 064 997</w:t>
            </w:r>
          </w:p>
        </w:tc>
        <w:tc>
          <w:tcPr>
            <w:tcW w:w="1523" w:type="dxa"/>
            <w:shd w:val="clear" w:color="auto" w:fill="auto"/>
            <w:vAlign w:val="center"/>
          </w:tcPr>
          <w:p w:rsidR="006626E4" w:rsidRPr="0038450A" w:rsidRDefault="006626E4" w:rsidP="001D4AF7">
            <w:pPr>
              <w:pStyle w:val="BodyText2"/>
              <w:jc w:val="center"/>
              <w:rPr>
                <w:color w:val="000000" w:themeColor="text1"/>
                <w:sz w:val="22"/>
                <w:szCs w:val="22"/>
              </w:rPr>
            </w:pPr>
            <w:r>
              <w:rPr>
                <w:color w:val="000000" w:themeColor="text1"/>
                <w:sz w:val="22"/>
                <w:szCs w:val="22"/>
              </w:rPr>
              <w:t>16 064 997</w:t>
            </w:r>
          </w:p>
        </w:tc>
        <w:tc>
          <w:tcPr>
            <w:tcW w:w="1525" w:type="dxa"/>
            <w:shd w:val="clear" w:color="auto" w:fill="auto"/>
            <w:vAlign w:val="center"/>
          </w:tcPr>
          <w:p w:rsidR="006626E4" w:rsidRPr="0038450A" w:rsidRDefault="006626E4" w:rsidP="001D4AF7">
            <w:pPr>
              <w:pStyle w:val="BodyText2"/>
              <w:jc w:val="center"/>
              <w:rPr>
                <w:color w:val="000000" w:themeColor="text1"/>
                <w:sz w:val="22"/>
                <w:szCs w:val="22"/>
              </w:rPr>
            </w:pPr>
            <w:r>
              <w:rPr>
                <w:color w:val="000000" w:themeColor="text1"/>
                <w:sz w:val="22"/>
                <w:szCs w:val="22"/>
              </w:rPr>
              <w:t>16 064 997</w:t>
            </w:r>
          </w:p>
        </w:tc>
      </w:tr>
      <w:tr w:rsidR="000E17FF" w:rsidRPr="00695C94" w:rsidTr="00B07024">
        <w:tc>
          <w:tcPr>
            <w:tcW w:w="2376" w:type="dxa"/>
            <w:gridSpan w:val="2"/>
            <w:shd w:val="clear" w:color="auto" w:fill="auto"/>
          </w:tcPr>
          <w:p w:rsidR="000E17FF" w:rsidRPr="00695C94" w:rsidRDefault="000E17FF" w:rsidP="00D6423D">
            <w:pPr>
              <w:rPr>
                <w:sz w:val="22"/>
                <w:szCs w:val="22"/>
              </w:rPr>
            </w:pPr>
            <w:r w:rsidRPr="00695C94">
              <w:rPr>
                <w:sz w:val="22"/>
                <w:szCs w:val="22"/>
              </w:rPr>
              <w:lastRenderedPageBreak/>
              <w:t>2.2. valsts speciālais budžets</w:t>
            </w:r>
          </w:p>
        </w:tc>
        <w:tc>
          <w:tcPr>
            <w:tcW w:w="1134" w:type="dxa"/>
            <w:shd w:val="clear" w:color="auto" w:fill="auto"/>
            <w:vAlign w:val="center"/>
          </w:tcPr>
          <w:p w:rsidR="000E17FF" w:rsidRPr="00695C94" w:rsidRDefault="000E17FF" w:rsidP="00695C94">
            <w:pPr>
              <w:jc w:val="center"/>
              <w:rPr>
                <w:sz w:val="22"/>
                <w:szCs w:val="22"/>
              </w:rPr>
            </w:pPr>
            <w:r w:rsidRPr="00695C94">
              <w:rPr>
                <w:sz w:val="22"/>
                <w:szCs w:val="22"/>
              </w:rPr>
              <w:t>0</w:t>
            </w:r>
          </w:p>
        </w:tc>
        <w:tc>
          <w:tcPr>
            <w:tcW w:w="1206" w:type="dxa"/>
            <w:shd w:val="clear" w:color="auto" w:fill="auto"/>
            <w:vAlign w:val="center"/>
          </w:tcPr>
          <w:p w:rsidR="000E17FF" w:rsidRPr="00695C94" w:rsidRDefault="000E17FF" w:rsidP="00695C94">
            <w:pPr>
              <w:jc w:val="center"/>
              <w:rPr>
                <w:sz w:val="22"/>
                <w:szCs w:val="22"/>
              </w:rPr>
            </w:pPr>
            <w:r w:rsidRPr="00695C94">
              <w:rPr>
                <w:sz w:val="22"/>
                <w:szCs w:val="22"/>
              </w:rPr>
              <w:t>0</w:t>
            </w:r>
          </w:p>
        </w:tc>
        <w:tc>
          <w:tcPr>
            <w:tcW w:w="1523" w:type="dxa"/>
            <w:gridSpan w:val="2"/>
            <w:shd w:val="clear" w:color="auto" w:fill="auto"/>
          </w:tcPr>
          <w:p w:rsidR="000E17FF" w:rsidRPr="006626E4" w:rsidRDefault="006626E4" w:rsidP="009D61CB">
            <w:pPr>
              <w:pStyle w:val="BodyText2"/>
              <w:jc w:val="center"/>
              <w:rPr>
                <w:sz w:val="24"/>
              </w:rPr>
            </w:pPr>
            <w:r w:rsidRPr="006626E4">
              <w:rPr>
                <w:sz w:val="24"/>
              </w:rPr>
              <w:t>-</w:t>
            </w:r>
          </w:p>
        </w:tc>
        <w:tc>
          <w:tcPr>
            <w:tcW w:w="1523" w:type="dxa"/>
            <w:shd w:val="clear" w:color="auto" w:fill="auto"/>
          </w:tcPr>
          <w:p w:rsidR="000E17FF" w:rsidRPr="006626E4" w:rsidRDefault="006626E4" w:rsidP="009D61CB">
            <w:pPr>
              <w:pStyle w:val="BodyText2"/>
              <w:jc w:val="center"/>
              <w:rPr>
                <w:sz w:val="24"/>
              </w:rPr>
            </w:pPr>
            <w:r w:rsidRPr="006626E4">
              <w:rPr>
                <w:sz w:val="24"/>
              </w:rPr>
              <w:t>-</w:t>
            </w:r>
          </w:p>
        </w:tc>
        <w:tc>
          <w:tcPr>
            <w:tcW w:w="1525" w:type="dxa"/>
            <w:shd w:val="clear" w:color="auto" w:fill="auto"/>
          </w:tcPr>
          <w:p w:rsidR="000E17FF" w:rsidRPr="006626E4" w:rsidRDefault="006626E4" w:rsidP="009D61CB">
            <w:pPr>
              <w:pStyle w:val="BodyText2"/>
              <w:jc w:val="center"/>
              <w:rPr>
                <w:sz w:val="24"/>
              </w:rPr>
            </w:pPr>
            <w:r w:rsidRPr="006626E4">
              <w:rPr>
                <w:sz w:val="24"/>
              </w:rPr>
              <w:t>-</w:t>
            </w:r>
          </w:p>
        </w:tc>
      </w:tr>
      <w:tr w:rsidR="000E17FF" w:rsidRPr="00EE1BB2" w:rsidTr="00B07024">
        <w:tc>
          <w:tcPr>
            <w:tcW w:w="2376" w:type="dxa"/>
            <w:gridSpan w:val="2"/>
            <w:shd w:val="clear" w:color="auto" w:fill="auto"/>
          </w:tcPr>
          <w:p w:rsidR="000E17FF" w:rsidRPr="00695C94" w:rsidRDefault="000E17FF" w:rsidP="00D6423D">
            <w:pPr>
              <w:rPr>
                <w:sz w:val="22"/>
                <w:szCs w:val="22"/>
              </w:rPr>
            </w:pPr>
            <w:r w:rsidRPr="00695C94">
              <w:rPr>
                <w:sz w:val="22"/>
                <w:szCs w:val="22"/>
              </w:rPr>
              <w:t xml:space="preserve">2.3. pašvaldību budžets </w:t>
            </w:r>
          </w:p>
        </w:tc>
        <w:tc>
          <w:tcPr>
            <w:tcW w:w="1134" w:type="dxa"/>
            <w:shd w:val="clear" w:color="auto" w:fill="auto"/>
            <w:vAlign w:val="center"/>
          </w:tcPr>
          <w:p w:rsidR="000E17FF" w:rsidRPr="00695C94" w:rsidRDefault="000E17FF" w:rsidP="00695C94">
            <w:pPr>
              <w:jc w:val="center"/>
              <w:rPr>
                <w:sz w:val="22"/>
                <w:szCs w:val="22"/>
              </w:rPr>
            </w:pPr>
            <w:r w:rsidRPr="00695C94">
              <w:rPr>
                <w:sz w:val="22"/>
                <w:szCs w:val="22"/>
              </w:rPr>
              <w:t>0</w:t>
            </w:r>
          </w:p>
        </w:tc>
        <w:tc>
          <w:tcPr>
            <w:tcW w:w="1206" w:type="dxa"/>
            <w:shd w:val="clear" w:color="auto" w:fill="auto"/>
            <w:vAlign w:val="center"/>
          </w:tcPr>
          <w:p w:rsidR="000E17FF" w:rsidRPr="00695C94" w:rsidRDefault="000E17FF" w:rsidP="00695C94">
            <w:pPr>
              <w:jc w:val="center"/>
              <w:rPr>
                <w:sz w:val="22"/>
                <w:szCs w:val="22"/>
              </w:rPr>
            </w:pPr>
            <w:r w:rsidRPr="00695C94">
              <w:rPr>
                <w:sz w:val="22"/>
                <w:szCs w:val="22"/>
              </w:rPr>
              <w:t>0</w:t>
            </w:r>
          </w:p>
        </w:tc>
        <w:tc>
          <w:tcPr>
            <w:tcW w:w="1523" w:type="dxa"/>
            <w:gridSpan w:val="2"/>
            <w:shd w:val="clear" w:color="auto" w:fill="auto"/>
          </w:tcPr>
          <w:p w:rsidR="000E17FF" w:rsidRPr="001675C5" w:rsidRDefault="000E17FF" w:rsidP="009D61CB">
            <w:pPr>
              <w:pStyle w:val="BodyText2"/>
              <w:jc w:val="center"/>
              <w:rPr>
                <w:sz w:val="24"/>
              </w:rPr>
            </w:pPr>
            <w:r w:rsidRPr="001675C5">
              <w:rPr>
                <w:sz w:val="24"/>
              </w:rPr>
              <w:t>-</w:t>
            </w:r>
          </w:p>
        </w:tc>
        <w:tc>
          <w:tcPr>
            <w:tcW w:w="1523" w:type="dxa"/>
            <w:shd w:val="clear" w:color="auto" w:fill="auto"/>
          </w:tcPr>
          <w:p w:rsidR="000E17FF" w:rsidRPr="001675C5" w:rsidRDefault="000E17FF" w:rsidP="009D61CB">
            <w:pPr>
              <w:pStyle w:val="BodyText2"/>
              <w:jc w:val="center"/>
              <w:rPr>
                <w:sz w:val="24"/>
              </w:rPr>
            </w:pPr>
            <w:r w:rsidRPr="001675C5">
              <w:rPr>
                <w:sz w:val="24"/>
              </w:rPr>
              <w:t>-</w:t>
            </w:r>
          </w:p>
        </w:tc>
        <w:tc>
          <w:tcPr>
            <w:tcW w:w="1525" w:type="dxa"/>
            <w:shd w:val="clear" w:color="auto" w:fill="auto"/>
          </w:tcPr>
          <w:p w:rsidR="000E17FF" w:rsidRPr="001675C5" w:rsidRDefault="000E17FF" w:rsidP="009D61CB">
            <w:pPr>
              <w:pStyle w:val="BodyText2"/>
              <w:jc w:val="center"/>
              <w:rPr>
                <w:sz w:val="24"/>
              </w:rPr>
            </w:pPr>
            <w:r w:rsidRPr="001675C5">
              <w:rPr>
                <w:sz w:val="24"/>
              </w:rPr>
              <w:t>-</w:t>
            </w:r>
          </w:p>
        </w:tc>
      </w:tr>
      <w:tr w:rsidR="006626E4" w:rsidRPr="00EE1BB2" w:rsidTr="00B07024">
        <w:tc>
          <w:tcPr>
            <w:tcW w:w="2376" w:type="dxa"/>
            <w:gridSpan w:val="2"/>
            <w:shd w:val="clear" w:color="auto" w:fill="auto"/>
          </w:tcPr>
          <w:p w:rsidR="006626E4" w:rsidRPr="004A54BF" w:rsidRDefault="006626E4" w:rsidP="006626E4">
            <w:pPr>
              <w:rPr>
                <w:b/>
                <w:sz w:val="24"/>
              </w:rPr>
            </w:pPr>
            <w:r w:rsidRPr="004A54BF">
              <w:rPr>
                <w:b/>
                <w:sz w:val="24"/>
              </w:rPr>
              <w:t>3. Finansiālā ietekme:</w:t>
            </w:r>
          </w:p>
        </w:tc>
        <w:tc>
          <w:tcPr>
            <w:tcW w:w="1134" w:type="dxa"/>
            <w:shd w:val="clear" w:color="auto" w:fill="auto"/>
            <w:vAlign w:val="center"/>
          </w:tcPr>
          <w:p w:rsidR="006626E4" w:rsidRPr="004A54BF" w:rsidRDefault="006626E4" w:rsidP="006626E4">
            <w:pPr>
              <w:jc w:val="center"/>
              <w:rPr>
                <w:b/>
                <w:sz w:val="24"/>
              </w:rPr>
            </w:pPr>
            <w:r w:rsidRPr="004A54BF">
              <w:rPr>
                <w:b/>
                <w:sz w:val="24"/>
              </w:rPr>
              <w:t>0</w:t>
            </w:r>
          </w:p>
        </w:tc>
        <w:tc>
          <w:tcPr>
            <w:tcW w:w="1206" w:type="dxa"/>
            <w:shd w:val="clear" w:color="auto" w:fill="auto"/>
            <w:vAlign w:val="center"/>
          </w:tcPr>
          <w:p w:rsidR="006626E4" w:rsidRPr="004A54BF" w:rsidRDefault="006626E4" w:rsidP="006626E4">
            <w:pPr>
              <w:jc w:val="center"/>
              <w:rPr>
                <w:b/>
                <w:sz w:val="24"/>
              </w:rPr>
            </w:pPr>
            <w:r w:rsidRPr="004A54BF">
              <w:rPr>
                <w:b/>
                <w:sz w:val="24"/>
              </w:rPr>
              <w:t>0</w:t>
            </w:r>
          </w:p>
        </w:tc>
        <w:tc>
          <w:tcPr>
            <w:tcW w:w="1523" w:type="dxa"/>
            <w:gridSpan w:val="2"/>
            <w:shd w:val="clear" w:color="auto" w:fill="auto"/>
            <w:vAlign w:val="center"/>
          </w:tcPr>
          <w:p w:rsidR="006626E4" w:rsidRPr="004A54BF" w:rsidRDefault="006626E4" w:rsidP="001D4AF7">
            <w:pPr>
              <w:jc w:val="center"/>
              <w:rPr>
                <w:b/>
                <w:sz w:val="24"/>
              </w:rPr>
            </w:pPr>
            <w:r>
              <w:rPr>
                <w:b/>
                <w:sz w:val="24"/>
              </w:rPr>
              <w:t>5 704 064</w:t>
            </w:r>
          </w:p>
        </w:tc>
        <w:tc>
          <w:tcPr>
            <w:tcW w:w="1523" w:type="dxa"/>
            <w:shd w:val="clear" w:color="auto" w:fill="auto"/>
            <w:vAlign w:val="center"/>
          </w:tcPr>
          <w:p w:rsidR="006626E4" w:rsidRPr="004A54BF" w:rsidRDefault="006626E4" w:rsidP="001D4AF7">
            <w:pPr>
              <w:jc w:val="center"/>
              <w:rPr>
                <w:b/>
                <w:sz w:val="24"/>
              </w:rPr>
            </w:pPr>
            <w:r>
              <w:rPr>
                <w:b/>
                <w:sz w:val="24"/>
              </w:rPr>
              <w:t>5 704 064</w:t>
            </w:r>
          </w:p>
        </w:tc>
        <w:tc>
          <w:tcPr>
            <w:tcW w:w="1525" w:type="dxa"/>
            <w:shd w:val="clear" w:color="auto" w:fill="auto"/>
            <w:vAlign w:val="center"/>
          </w:tcPr>
          <w:p w:rsidR="006626E4" w:rsidRPr="004A54BF" w:rsidRDefault="006626E4" w:rsidP="001D4AF7">
            <w:pPr>
              <w:jc w:val="center"/>
              <w:rPr>
                <w:b/>
                <w:sz w:val="24"/>
              </w:rPr>
            </w:pPr>
            <w:r>
              <w:rPr>
                <w:b/>
                <w:sz w:val="24"/>
              </w:rPr>
              <w:t>5 704 064</w:t>
            </w:r>
          </w:p>
        </w:tc>
      </w:tr>
      <w:tr w:rsidR="00041B4A" w:rsidRPr="00695C94" w:rsidTr="00B07024">
        <w:tc>
          <w:tcPr>
            <w:tcW w:w="2376" w:type="dxa"/>
            <w:gridSpan w:val="2"/>
            <w:shd w:val="clear" w:color="auto" w:fill="auto"/>
          </w:tcPr>
          <w:p w:rsidR="00041B4A" w:rsidRPr="00695C94" w:rsidRDefault="00041B4A" w:rsidP="00695C94">
            <w:pPr>
              <w:jc w:val="both"/>
              <w:rPr>
                <w:sz w:val="22"/>
                <w:szCs w:val="22"/>
              </w:rPr>
            </w:pPr>
            <w:r w:rsidRPr="00695C94">
              <w:rPr>
                <w:sz w:val="22"/>
                <w:szCs w:val="22"/>
              </w:rPr>
              <w:t>3.1. valsts pamatbudžets</w:t>
            </w:r>
          </w:p>
        </w:tc>
        <w:tc>
          <w:tcPr>
            <w:tcW w:w="1134"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206"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523" w:type="dxa"/>
            <w:gridSpan w:val="2"/>
            <w:shd w:val="clear" w:color="auto" w:fill="auto"/>
            <w:vAlign w:val="center"/>
          </w:tcPr>
          <w:p w:rsidR="00041B4A" w:rsidRPr="007D27AF" w:rsidRDefault="00041B4A" w:rsidP="0095305E">
            <w:pPr>
              <w:pStyle w:val="BodyText2"/>
              <w:jc w:val="center"/>
              <w:rPr>
                <w:sz w:val="22"/>
                <w:szCs w:val="22"/>
              </w:rPr>
            </w:pPr>
            <w:r>
              <w:rPr>
                <w:sz w:val="22"/>
                <w:szCs w:val="22"/>
              </w:rPr>
              <w:t>-11 994 797</w:t>
            </w:r>
          </w:p>
        </w:tc>
        <w:tc>
          <w:tcPr>
            <w:tcW w:w="1523" w:type="dxa"/>
            <w:shd w:val="clear" w:color="auto" w:fill="auto"/>
            <w:vAlign w:val="center"/>
          </w:tcPr>
          <w:p w:rsidR="00041B4A" w:rsidRPr="007D27AF" w:rsidRDefault="00041B4A" w:rsidP="0095305E">
            <w:pPr>
              <w:pStyle w:val="BodyText2"/>
              <w:jc w:val="center"/>
              <w:rPr>
                <w:sz w:val="22"/>
                <w:szCs w:val="22"/>
              </w:rPr>
            </w:pPr>
            <w:r>
              <w:rPr>
                <w:sz w:val="22"/>
                <w:szCs w:val="22"/>
              </w:rPr>
              <w:t>-11 994 797</w:t>
            </w:r>
          </w:p>
        </w:tc>
        <w:tc>
          <w:tcPr>
            <w:tcW w:w="1525" w:type="dxa"/>
            <w:shd w:val="clear" w:color="auto" w:fill="auto"/>
            <w:vAlign w:val="center"/>
          </w:tcPr>
          <w:p w:rsidR="00041B4A" w:rsidRPr="007D27AF" w:rsidRDefault="00041B4A" w:rsidP="0095305E">
            <w:pPr>
              <w:pStyle w:val="BodyText2"/>
              <w:jc w:val="center"/>
              <w:rPr>
                <w:sz w:val="22"/>
                <w:szCs w:val="22"/>
              </w:rPr>
            </w:pPr>
            <w:r>
              <w:rPr>
                <w:sz w:val="22"/>
                <w:szCs w:val="22"/>
              </w:rPr>
              <w:t>-11 994 797</w:t>
            </w:r>
          </w:p>
        </w:tc>
      </w:tr>
      <w:tr w:rsidR="00041B4A" w:rsidRPr="00695C94" w:rsidTr="00B07024">
        <w:tc>
          <w:tcPr>
            <w:tcW w:w="2376" w:type="dxa"/>
            <w:gridSpan w:val="2"/>
            <w:shd w:val="clear" w:color="auto" w:fill="auto"/>
          </w:tcPr>
          <w:p w:rsidR="00041B4A" w:rsidRPr="00695C94" w:rsidRDefault="00041B4A" w:rsidP="00695C94">
            <w:pPr>
              <w:jc w:val="both"/>
              <w:rPr>
                <w:sz w:val="22"/>
                <w:szCs w:val="22"/>
              </w:rPr>
            </w:pPr>
            <w:r w:rsidRPr="00695C94">
              <w:rPr>
                <w:sz w:val="22"/>
                <w:szCs w:val="22"/>
              </w:rPr>
              <w:t>3.2. speciālais budžets</w:t>
            </w:r>
          </w:p>
        </w:tc>
        <w:tc>
          <w:tcPr>
            <w:tcW w:w="1134"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206"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523" w:type="dxa"/>
            <w:gridSpan w:val="2"/>
            <w:shd w:val="clear" w:color="auto" w:fill="auto"/>
            <w:vAlign w:val="center"/>
          </w:tcPr>
          <w:p w:rsidR="00041B4A" w:rsidRPr="007D27AF" w:rsidRDefault="00041B4A" w:rsidP="0095305E">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c>
          <w:tcPr>
            <w:tcW w:w="1523" w:type="dxa"/>
            <w:shd w:val="clear" w:color="auto" w:fill="auto"/>
            <w:vAlign w:val="center"/>
          </w:tcPr>
          <w:p w:rsidR="00041B4A" w:rsidRPr="007D27AF" w:rsidRDefault="00041B4A" w:rsidP="0095305E">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c>
          <w:tcPr>
            <w:tcW w:w="1525" w:type="dxa"/>
            <w:shd w:val="clear" w:color="auto" w:fill="auto"/>
            <w:vAlign w:val="center"/>
          </w:tcPr>
          <w:p w:rsidR="00041B4A" w:rsidRPr="007D27AF" w:rsidRDefault="00041B4A" w:rsidP="0095305E">
            <w:pPr>
              <w:pStyle w:val="BodyText2"/>
              <w:jc w:val="center"/>
              <w:rPr>
                <w:sz w:val="22"/>
                <w:szCs w:val="22"/>
              </w:rPr>
            </w:pPr>
            <w:r>
              <w:rPr>
                <w:sz w:val="22"/>
                <w:szCs w:val="22"/>
              </w:rPr>
              <w:t>11 </w:t>
            </w:r>
            <w:r w:rsidRPr="00964F76">
              <w:rPr>
                <w:sz w:val="22"/>
                <w:szCs w:val="22"/>
              </w:rPr>
              <w:t>394</w:t>
            </w:r>
            <w:r>
              <w:rPr>
                <w:sz w:val="22"/>
                <w:szCs w:val="22"/>
              </w:rPr>
              <w:t xml:space="preserve"> </w:t>
            </w:r>
            <w:r w:rsidRPr="00964F76">
              <w:rPr>
                <w:sz w:val="22"/>
                <w:szCs w:val="22"/>
              </w:rPr>
              <w:t>061</w:t>
            </w:r>
          </w:p>
        </w:tc>
      </w:tr>
      <w:tr w:rsidR="00041B4A" w:rsidRPr="00695C94" w:rsidTr="00B07024">
        <w:tc>
          <w:tcPr>
            <w:tcW w:w="2376" w:type="dxa"/>
            <w:gridSpan w:val="2"/>
            <w:shd w:val="clear" w:color="auto" w:fill="auto"/>
          </w:tcPr>
          <w:p w:rsidR="00041B4A" w:rsidRPr="00695C94" w:rsidRDefault="00041B4A" w:rsidP="00695C94">
            <w:pPr>
              <w:jc w:val="both"/>
              <w:rPr>
                <w:sz w:val="22"/>
                <w:szCs w:val="22"/>
              </w:rPr>
            </w:pPr>
            <w:r w:rsidRPr="00695C94">
              <w:rPr>
                <w:sz w:val="22"/>
                <w:szCs w:val="22"/>
              </w:rPr>
              <w:t xml:space="preserve">3.3. pašvaldību budžets </w:t>
            </w:r>
          </w:p>
        </w:tc>
        <w:tc>
          <w:tcPr>
            <w:tcW w:w="1134"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206" w:type="dxa"/>
            <w:shd w:val="clear" w:color="auto" w:fill="auto"/>
            <w:vAlign w:val="center"/>
          </w:tcPr>
          <w:p w:rsidR="00041B4A" w:rsidRPr="00695C94" w:rsidRDefault="00041B4A" w:rsidP="00695C94">
            <w:pPr>
              <w:jc w:val="center"/>
              <w:rPr>
                <w:sz w:val="22"/>
                <w:szCs w:val="22"/>
              </w:rPr>
            </w:pPr>
            <w:r w:rsidRPr="00695C94">
              <w:rPr>
                <w:sz w:val="22"/>
                <w:szCs w:val="22"/>
              </w:rPr>
              <w:t>0</w:t>
            </w:r>
          </w:p>
        </w:tc>
        <w:tc>
          <w:tcPr>
            <w:tcW w:w="1523" w:type="dxa"/>
            <w:gridSpan w:val="2"/>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c>
          <w:tcPr>
            <w:tcW w:w="1523" w:type="dxa"/>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c>
          <w:tcPr>
            <w:tcW w:w="1525" w:type="dxa"/>
            <w:shd w:val="clear" w:color="auto" w:fill="auto"/>
            <w:vAlign w:val="center"/>
          </w:tcPr>
          <w:p w:rsidR="00041B4A" w:rsidRPr="007D27AF" w:rsidRDefault="00041B4A" w:rsidP="0095305E">
            <w:pPr>
              <w:pStyle w:val="BodyText2"/>
              <w:jc w:val="center"/>
              <w:rPr>
                <w:sz w:val="22"/>
                <w:szCs w:val="22"/>
              </w:rPr>
            </w:pPr>
            <w:r>
              <w:rPr>
                <w:sz w:val="22"/>
                <w:szCs w:val="22"/>
              </w:rPr>
              <w:t>6 </w:t>
            </w:r>
            <w:r w:rsidRPr="00964F76">
              <w:rPr>
                <w:sz w:val="22"/>
                <w:szCs w:val="22"/>
              </w:rPr>
              <w:t>30</w:t>
            </w:r>
            <w:r>
              <w:rPr>
                <w:sz w:val="22"/>
                <w:szCs w:val="22"/>
              </w:rPr>
              <w:t>4 800</w:t>
            </w:r>
          </w:p>
        </w:tc>
      </w:tr>
      <w:tr w:rsidR="006626E4" w:rsidRPr="00EE1BB2" w:rsidTr="00B07024">
        <w:tc>
          <w:tcPr>
            <w:tcW w:w="2376" w:type="dxa"/>
            <w:gridSpan w:val="2"/>
            <w:shd w:val="clear" w:color="auto" w:fill="auto"/>
          </w:tcPr>
          <w:p w:rsidR="006626E4" w:rsidRPr="00EE1BB2" w:rsidRDefault="006626E4" w:rsidP="00D6423D">
            <w:r w:rsidRPr="00695C94">
              <w:rPr>
                <w:sz w:val="22"/>
                <w:szCs w:val="22"/>
              </w:rPr>
              <w:t>4. Finanšu līdzekļi papildu izdevumu finansēšanai (kompensējošu izdevumu samazinājumu norāda ar "+" zīmi)</w:t>
            </w:r>
          </w:p>
        </w:tc>
        <w:tc>
          <w:tcPr>
            <w:tcW w:w="1134" w:type="dxa"/>
            <w:shd w:val="clear" w:color="auto" w:fill="auto"/>
            <w:vAlign w:val="center"/>
          </w:tcPr>
          <w:p w:rsidR="006626E4" w:rsidRPr="00695C94" w:rsidRDefault="006626E4" w:rsidP="00695C94">
            <w:pPr>
              <w:jc w:val="center"/>
              <w:rPr>
                <w:b/>
                <w:sz w:val="24"/>
              </w:rPr>
            </w:pPr>
            <w:r w:rsidRPr="00695C94">
              <w:rPr>
                <w:b/>
                <w:sz w:val="24"/>
              </w:rPr>
              <w:t>x</w:t>
            </w:r>
          </w:p>
        </w:tc>
        <w:tc>
          <w:tcPr>
            <w:tcW w:w="1206" w:type="dxa"/>
            <w:shd w:val="clear" w:color="auto" w:fill="auto"/>
            <w:vAlign w:val="center"/>
          </w:tcPr>
          <w:p w:rsidR="006626E4" w:rsidRPr="00695C94" w:rsidRDefault="006626E4" w:rsidP="00695C94">
            <w:pPr>
              <w:jc w:val="center"/>
              <w:rPr>
                <w:sz w:val="22"/>
                <w:szCs w:val="22"/>
              </w:rPr>
            </w:pPr>
            <w:r w:rsidRPr="00AB5262">
              <w:rPr>
                <w:iCs/>
                <w:sz w:val="24"/>
              </w:rPr>
              <w:t>Projekts šo jomu neskar.</w:t>
            </w:r>
          </w:p>
        </w:tc>
        <w:tc>
          <w:tcPr>
            <w:tcW w:w="1523" w:type="dxa"/>
            <w:gridSpan w:val="2"/>
            <w:shd w:val="clear" w:color="auto" w:fill="auto"/>
            <w:vAlign w:val="center"/>
          </w:tcPr>
          <w:p w:rsidR="006626E4" w:rsidRPr="00EE1BB2" w:rsidRDefault="006626E4" w:rsidP="00695C94">
            <w:pPr>
              <w:jc w:val="center"/>
            </w:pPr>
            <w:r w:rsidRPr="00AB5262">
              <w:rPr>
                <w:iCs/>
                <w:sz w:val="24"/>
              </w:rPr>
              <w:t>Projekts šo jomu neskar.</w:t>
            </w:r>
          </w:p>
        </w:tc>
        <w:tc>
          <w:tcPr>
            <w:tcW w:w="1523" w:type="dxa"/>
            <w:shd w:val="clear" w:color="auto" w:fill="auto"/>
            <w:vAlign w:val="center"/>
          </w:tcPr>
          <w:p w:rsidR="006626E4" w:rsidRPr="00EE1BB2" w:rsidRDefault="006626E4" w:rsidP="00695C94">
            <w:pPr>
              <w:jc w:val="center"/>
            </w:pPr>
            <w:r w:rsidRPr="00AB5262">
              <w:rPr>
                <w:iCs/>
                <w:sz w:val="24"/>
              </w:rPr>
              <w:t>Projekts šo jomu neskar.</w:t>
            </w:r>
          </w:p>
        </w:tc>
        <w:tc>
          <w:tcPr>
            <w:tcW w:w="1525" w:type="dxa"/>
            <w:shd w:val="clear" w:color="auto" w:fill="auto"/>
            <w:vAlign w:val="center"/>
          </w:tcPr>
          <w:p w:rsidR="006626E4" w:rsidRPr="00EE1BB2" w:rsidRDefault="006626E4" w:rsidP="00695C94">
            <w:pPr>
              <w:jc w:val="center"/>
            </w:pPr>
            <w:r w:rsidRPr="00AB5262">
              <w:rPr>
                <w:iCs/>
                <w:sz w:val="24"/>
              </w:rPr>
              <w:t>Projekts šo jomu neskar.</w:t>
            </w:r>
          </w:p>
        </w:tc>
      </w:tr>
      <w:tr w:rsidR="006626E4" w:rsidRPr="00EE1BB2" w:rsidTr="00B07024">
        <w:tc>
          <w:tcPr>
            <w:tcW w:w="2376" w:type="dxa"/>
            <w:gridSpan w:val="2"/>
            <w:shd w:val="clear" w:color="auto" w:fill="auto"/>
          </w:tcPr>
          <w:p w:rsidR="006626E4" w:rsidRPr="00EE1BB2" w:rsidRDefault="006626E4" w:rsidP="00D6423D">
            <w:r w:rsidRPr="00695C94">
              <w:rPr>
                <w:sz w:val="22"/>
                <w:szCs w:val="22"/>
              </w:rPr>
              <w:t>5. Precizēta finansiālā ietekme:</w:t>
            </w:r>
          </w:p>
        </w:tc>
        <w:tc>
          <w:tcPr>
            <w:tcW w:w="1134" w:type="dxa"/>
            <w:vMerge w:val="restart"/>
            <w:shd w:val="clear" w:color="auto" w:fill="auto"/>
            <w:vAlign w:val="center"/>
          </w:tcPr>
          <w:p w:rsidR="006626E4" w:rsidRPr="00695C94" w:rsidRDefault="006626E4" w:rsidP="00695C94">
            <w:pPr>
              <w:jc w:val="center"/>
              <w:rPr>
                <w:sz w:val="24"/>
              </w:rPr>
            </w:pPr>
            <w:r w:rsidRPr="00695C94">
              <w:rPr>
                <w:b/>
                <w:sz w:val="24"/>
              </w:rPr>
              <w:t>x</w:t>
            </w:r>
          </w:p>
        </w:tc>
        <w:tc>
          <w:tcPr>
            <w:tcW w:w="5777" w:type="dxa"/>
            <w:gridSpan w:val="5"/>
            <w:shd w:val="clear" w:color="auto" w:fill="auto"/>
            <w:vAlign w:val="center"/>
          </w:tcPr>
          <w:p w:rsidR="006626E4" w:rsidRPr="00EE1BB2" w:rsidRDefault="006626E4" w:rsidP="00695C94">
            <w:pPr>
              <w:jc w:val="center"/>
            </w:pPr>
            <w:r w:rsidRPr="00AB5262">
              <w:rPr>
                <w:iCs/>
                <w:sz w:val="24"/>
              </w:rPr>
              <w:t>Projekts šo jomu neskar.</w:t>
            </w:r>
          </w:p>
        </w:tc>
      </w:tr>
      <w:tr w:rsidR="006626E4" w:rsidRPr="00EE1BB2" w:rsidTr="00B07024">
        <w:tc>
          <w:tcPr>
            <w:tcW w:w="2376" w:type="dxa"/>
            <w:gridSpan w:val="2"/>
            <w:shd w:val="clear" w:color="auto" w:fill="auto"/>
          </w:tcPr>
          <w:p w:rsidR="006626E4" w:rsidRPr="00695C94" w:rsidRDefault="006626E4" w:rsidP="00695C94">
            <w:pPr>
              <w:jc w:val="both"/>
              <w:rPr>
                <w:sz w:val="22"/>
                <w:szCs w:val="22"/>
              </w:rPr>
            </w:pPr>
            <w:r w:rsidRPr="00695C94">
              <w:rPr>
                <w:sz w:val="22"/>
                <w:szCs w:val="22"/>
              </w:rPr>
              <w:t>5.1. valsts pamatbudžets</w:t>
            </w:r>
          </w:p>
        </w:tc>
        <w:tc>
          <w:tcPr>
            <w:tcW w:w="1134" w:type="dxa"/>
            <w:vMerge/>
            <w:shd w:val="clear" w:color="auto" w:fill="auto"/>
          </w:tcPr>
          <w:p w:rsidR="006626E4" w:rsidRPr="00EE1BB2" w:rsidRDefault="006626E4" w:rsidP="00695C94">
            <w:pPr>
              <w:jc w:val="center"/>
            </w:pPr>
          </w:p>
        </w:tc>
        <w:tc>
          <w:tcPr>
            <w:tcW w:w="1206" w:type="dxa"/>
            <w:shd w:val="clear" w:color="auto" w:fill="auto"/>
            <w:vAlign w:val="center"/>
          </w:tcPr>
          <w:p w:rsidR="006626E4" w:rsidRPr="00EE1BB2" w:rsidRDefault="006626E4" w:rsidP="00695C94">
            <w:pPr>
              <w:jc w:val="center"/>
            </w:pPr>
            <w:r w:rsidRPr="00AB5262">
              <w:rPr>
                <w:iCs/>
                <w:sz w:val="24"/>
              </w:rPr>
              <w:t>Projekts šo jomu neskar.</w:t>
            </w:r>
          </w:p>
        </w:tc>
        <w:tc>
          <w:tcPr>
            <w:tcW w:w="1523" w:type="dxa"/>
            <w:gridSpan w:val="2"/>
            <w:shd w:val="clear" w:color="auto" w:fill="auto"/>
            <w:vAlign w:val="center"/>
          </w:tcPr>
          <w:p w:rsidR="006626E4" w:rsidRPr="00EE1BB2" w:rsidRDefault="006626E4" w:rsidP="00695C94">
            <w:pPr>
              <w:jc w:val="center"/>
            </w:pPr>
            <w:r w:rsidRPr="00AB5262">
              <w:rPr>
                <w:iCs/>
                <w:sz w:val="24"/>
              </w:rPr>
              <w:t>Projekts šo jomu neskar.</w:t>
            </w:r>
          </w:p>
        </w:tc>
        <w:tc>
          <w:tcPr>
            <w:tcW w:w="1523" w:type="dxa"/>
            <w:shd w:val="clear" w:color="auto" w:fill="auto"/>
            <w:vAlign w:val="center"/>
          </w:tcPr>
          <w:p w:rsidR="006626E4" w:rsidRPr="00EE1BB2" w:rsidRDefault="006626E4" w:rsidP="00695C94">
            <w:pPr>
              <w:jc w:val="center"/>
            </w:pPr>
            <w:r w:rsidRPr="00AB5262">
              <w:rPr>
                <w:iCs/>
                <w:sz w:val="24"/>
              </w:rPr>
              <w:t>Projekts šo jomu neskar.</w:t>
            </w:r>
          </w:p>
        </w:tc>
        <w:tc>
          <w:tcPr>
            <w:tcW w:w="1525" w:type="dxa"/>
            <w:shd w:val="clear" w:color="auto" w:fill="auto"/>
            <w:vAlign w:val="center"/>
          </w:tcPr>
          <w:p w:rsidR="006626E4" w:rsidRPr="00EE1BB2" w:rsidRDefault="006626E4" w:rsidP="00695C94">
            <w:pPr>
              <w:jc w:val="center"/>
            </w:pPr>
            <w:r w:rsidRPr="00AB5262">
              <w:rPr>
                <w:iCs/>
                <w:sz w:val="24"/>
              </w:rPr>
              <w:t>Projekts šo jomu neskar.</w:t>
            </w:r>
          </w:p>
        </w:tc>
      </w:tr>
      <w:tr w:rsidR="006626E4" w:rsidRPr="00EE1BB2" w:rsidTr="00B07024">
        <w:tc>
          <w:tcPr>
            <w:tcW w:w="2376" w:type="dxa"/>
            <w:gridSpan w:val="2"/>
            <w:shd w:val="clear" w:color="auto" w:fill="auto"/>
          </w:tcPr>
          <w:p w:rsidR="006626E4" w:rsidRPr="00695C94" w:rsidRDefault="006626E4" w:rsidP="00695C94">
            <w:pPr>
              <w:jc w:val="both"/>
              <w:rPr>
                <w:sz w:val="22"/>
                <w:szCs w:val="22"/>
              </w:rPr>
            </w:pPr>
            <w:r w:rsidRPr="00695C94">
              <w:rPr>
                <w:sz w:val="22"/>
                <w:szCs w:val="22"/>
              </w:rPr>
              <w:t>5.2. speciālais budžets</w:t>
            </w:r>
          </w:p>
        </w:tc>
        <w:tc>
          <w:tcPr>
            <w:tcW w:w="1134" w:type="dxa"/>
            <w:vMerge/>
            <w:shd w:val="clear" w:color="auto" w:fill="auto"/>
          </w:tcPr>
          <w:p w:rsidR="006626E4" w:rsidRPr="00EE1BB2" w:rsidRDefault="006626E4" w:rsidP="00695C94">
            <w:pPr>
              <w:jc w:val="center"/>
            </w:pPr>
          </w:p>
        </w:tc>
        <w:tc>
          <w:tcPr>
            <w:tcW w:w="1206" w:type="dxa"/>
            <w:shd w:val="clear" w:color="auto" w:fill="auto"/>
            <w:vAlign w:val="center"/>
          </w:tcPr>
          <w:p w:rsidR="006626E4" w:rsidRPr="00EE1BB2" w:rsidRDefault="006626E4" w:rsidP="00695C94">
            <w:pPr>
              <w:jc w:val="center"/>
            </w:pPr>
            <w:r w:rsidRPr="00AB5262">
              <w:rPr>
                <w:iCs/>
                <w:sz w:val="24"/>
              </w:rPr>
              <w:t>Projekts šo jomu neskar.</w:t>
            </w:r>
          </w:p>
        </w:tc>
        <w:tc>
          <w:tcPr>
            <w:tcW w:w="1523" w:type="dxa"/>
            <w:gridSpan w:val="2"/>
            <w:shd w:val="clear" w:color="auto" w:fill="auto"/>
            <w:vAlign w:val="center"/>
          </w:tcPr>
          <w:p w:rsidR="006626E4" w:rsidRPr="00EE1BB2" w:rsidRDefault="006626E4" w:rsidP="00695C94">
            <w:pPr>
              <w:jc w:val="center"/>
            </w:pPr>
            <w:r w:rsidRPr="00AB5262">
              <w:rPr>
                <w:iCs/>
                <w:sz w:val="24"/>
              </w:rPr>
              <w:t>Projekts šo jomu neskar.</w:t>
            </w:r>
          </w:p>
        </w:tc>
        <w:tc>
          <w:tcPr>
            <w:tcW w:w="1523" w:type="dxa"/>
            <w:shd w:val="clear" w:color="auto" w:fill="auto"/>
            <w:vAlign w:val="center"/>
          </w:tcPr>
          <w:p w:rsidR="006626E4" w:rsidRPr="00EE1BB2" w:rsidRDefault="006626E4" w:rsidP="00695C94">
            <w:pPr>
              <w:jc w:val="center"/>
            </w:pPr>
            <w:r w:rsidRPr="00AB5262">
              <w:rPr>
                <w:iCs/>
                <w:sz w:val="24"/>
              </w:rPr>
              <w:t>Projekts šo jomu neskar.</w:t>
            </w:r>
          </w:p>
        </w:tc>
        <w:tc>
          <w:tcPr>
            <w:tcW w:w="1525" w:type="dxa"/>
            <w:shd w:val="clear" w:color="auto" w:fill="auto"/>
            <w:vAlign w:val="center"/>
          </w:tcPr>
          <w:p w:rsidR="006626E4" w:rsidRPr="00EE1BB2" w:rsidRDefault="006626E4" w:rsidP="00695C94">
            <w:pPr>
              <w:jc w:val="center"/>
            </w:pPr>
            <w:r w:rsidRPr="00AB5262">
              <w:rPr>
                <w:iCs/>
                <w:sz w:val="24"/>
              </w:rPr>
              <w:t>Projekts šo jomu neskar.</w:t>
            </w:r>
          </w:p>
        </w:tc>
      </w:tr>
      <w:tr w:rsidR="006626E4" w:rsidRPr="00EE1BB2" w:rsidTr="00B07024">
        <w:tc>
          <w:tcPr>
            <w:tcW w:w="2376" w:type="dxa"/>
            <w:gridSpan w:val="2"/>
            <w:shd w:val="clear" w:color="auto" w:fill="auto"/>
          </w:tcPr>
          <w:p w:rsidR="006626E4" w:rsidRPr="00695C94" w:rsidRDefault="006626E4" w:rsidP="00695C94">
            <w:pPr>
              <w:jc w:val="both"/>
              <w:rPr>
                <w:sz w:val="22"/>
                <w:szCs w:val="22"/>
              </w:rPr>
            </w:pPr>
            <w:r w:rsidRPr="00695C94">
              <w:rPr>
                <w:sz w:val="22"/>
                <w:szCs w:val="22"/>
              </w:rPr>
              <w:t xml:space="preserve">5.3. pašvaldību budžets </w:t>
            </w:r>
          </w:p>
        </w:tc>
        <w:tc>
          <w:tcPr>
            <w:tcW w:w="1134" w:type="dxa"/>
            <w:vMerge/>
            <w:shd w:val="clear" w:color="auto" w:fill="auto"/>
          </w:tcPr>
          <w:p w:rsidR="006626E4" w:rsidRPr="00EE1BB2" w:rsidRDefault="006626E4" w:rsidP="00695C94">
            <w:pPr>
              <w:jc w:val="center"/>
            </w:pPr>
          </w:p>
        </w:tc>
        <w:tc>
          <w:tcPr>
            <w:tcW w:w="1206" w:type="dxa"/>
            <w:shd w:val="clear" w:color="auto" w:fill="auto"/>
            <w:vAlign w:val="center"/>
          </w:tcPr>
          <w:p w:rsidR="006626E4" w:rsidRPr="00EE1BB2" w:rsidRDefault="006626E4" w:rsidP="00695C94">
            <w:pPr>
              <w:jc w:val="center"/>
            </w:pPr>
            <w:r w:rsidRPr="00AB5262">
              <w:rPr>
                <w:iCs/>
                <w:sz w:val="24"/>
              </w:rPr>
              <w:t>Projekts šo jomu neskar.</w:t>
            </w:r>
          </w:p>
        </w:tc>
        <w:tc>
          <w:tcPr>
            <w:tcW w:w="1523" w:type="dxa"/>
            <w:gridSpan w:val="2"/>
            <w:shd w:val="clear" w:color="auto" w:fill="auto"/>
            <w:vAlign w:val="center"/>
          </w:tcPr>
          <w:p w:rsidR="006626E4" w:rsidRPr="00EE1BB2" w:rsidRDefault="006626E4" w:rsidP="00695C94">
            <w:pPr>
              <w:jc w:val="center"/>
            </w:pPr>
            <w:r w:rsidRPr="00AB5262">
              <w:rPr>
                <w:iCs/>
                <w:sz w:val="24"/>
              </w:rPr>
              <w:t>Projekts šo jomu neskar.</w:t>
            </w:r>
          </w:p>
        </w:tc>
        <w:tc>
          <w:tcPr>
            <w:tcW w:w="1523" w:type="dxa"/>
            <w:shd w:val="clear" w:color="auto" w:fill="auto"/>
            <w:vAlign w:val="center"/>
          </w:tcPr>
          <w:p w:rsidR="006626E4" w:rsidRPr="00EE1BB2" w:rsidRDefault="006626E4" w:rsidP="00695C94">
            <w:pPr>
              <w:jc w:val="center"/>
            </w:pPr>
            <w:r w:rsidRPr="00AB5262">
              <w:rPr>
                <w:iCs/>
                <w:sz w:val="24"/>
              </w:rPr>
              <w:t>Projekts šo jomu neskar.</w:t>
            </w:r>
          </w:p>
        </w:tc>
        <w:tc>
          <w:tcPr>
            <w:tcW w:w="1525" w:type="dxa"/>
            <w:shd w:val="clear" w:color="auto" w:fill="auto"/>
            <w:vAlign w:val="center"/>
          </w:tcPr>
          <w:p w:rsidR="006626E4" w:rsidRPr="00EE1BB2" w:rsidRDefault="006626E4" w:rsidP="00695C94">
            <w:pPr>
              <w:jc w:val="center"/>
            </w:pPr>
            <w:r w:rsidRPr="00AB5262">
              <w:rPr>
                <w:iCs/>
                <w:sz w:val="24"/>
              </w:rPr>
              <w:t>Projekts šo jomu neskar.</w:t>
            </w:r>
          </w:p>
        </w:tc>
      </w:tr>
      <w:tr w:rsidR="006626E4" w:rsidRPr="00EE1BB2" w:rsidTr="00B07024">
        <w:tc>
          <w:tcPr>
            <w:tcW w:w="9287" w:type="dxa"/>
            <w:gridSpan w:val="8"/>
            <w:shd w:val="clear" w:color="auto" w:fill="auto"/>
          </w:tcPr>
          <w:p w:rsidR="006626E4" w:rsidRPr="00EE1BB2" w:rsidRDefault="006626E4" w:rsidP="00D6423D">
            <w:r w:rsidRPr="00695C94">
              <w:rPr>
                <w:sz w:val="22"/>
                <w:szCs w:val="22"/>
              </w:rPr>
              <w:t>6. Detalizēts ieņēmumu un izdevumu aprēķins (ja nepieciešams, detalizētu ieņēmumu un izdevumu aprēķinu var pievienot anotācijas pielikumā):</w:t>
            </w:r>
          </w:p>
        </w:tc>
      </w:tr>
      <w:tr w:rsidR="006626E4" w:rsidRPr="00EE1BB2" w:rsidTr="00B07024">
        <w:tc>
          <w:tcPr>
            <w:tcW w:w="5649" w:type="dxa"/>
            <w:gridSpan w:val="5"/>
            <w:shd w:val="clear" w:color="auto" w:fill="auto"/>
          </w:tcPr>
          <w:p w:rsidR="006626E4" w:rsidRPr="003D4287" w:rsidRDefault="006626E4" w:rsidP="009D61CB">
            <w:pPr>
              <w:ind w:left="426"/>
              <w:rPr>
                <w:sz w:val="22"/>
                <w:szCs w:val="22"/>
              </w:rPr>
            </w:pPr>
            <w:r w:rsidRPr="00695C94">
              <w:rPr>
                <w:sz w:val="22"/>
                <w:szCs w:val="22"/>
              </w:rPr>
              <w:t>6.1. Detalizēts izdevumu un ieņēmumu aprēķins</w:t>
            </w:r>
            <w:r>
              <w:rPr>
                <w:sz w:val="22"/>
                <w:szCs w:val="22"/>
              </w:rPr>
              <w:t>:</w:t>
            </w:r>
          </w:p>
        </w:tc>
        <w:tc>
          <w:tcPr>
            <w:tcW w:w="3638" w:type="dxa"/>
            <w:gridSpan w:val="3"/>
            <w:shd w:val="clear" w:color="auto" w:fill="auto"/>
          </w:tcPr>
          <w:p w:rsidR="006626E4" w:rsidRPr="003D4287" w:rsidRDefault="006626E4" w:rsidP="009D61CB">
            <w:pPr>
              <w:pStyle w:val="BodyText2"/>
              <w:jc w:val="center"/>
              <w:rPr>
                <w:sz w:val="22"/>
                <w:szCs w:val="22"/>
              </w:rPr>
            </w:pPr>
          </w:p>
        </w:tc>
      </w:tr>
      <w:tr w:rsidR="006626E4" w:rsidRPr="00EE1BB2" w:rsidTr="00B07024">
        <w:tc>
          <w:tcPr>
            <w:tcW w:w="5649" w:type="dxa"/>
            <w:gridSpan w:val="5"/>
            <w:shd w:val="clear" w:color="auto" w:fill="auto"/>
          </w:tcPr>
          <w:p w:rsidR="006626E4" w:rsidRPr="00C43BE8" w:rsidRDefault="006626E4" w:rsidP="0090004D">
            <w:pPr>
              <w:rPr>
                <w:b/>
                <w:sz w:val="22"/>
                <w:szCs w:val="22"/>
              </w:rPr>
            </w:pPr>
            <w:r>
              <w:rPr>
                <w:b/>
                <w:sz w:val="22"/>
                <w:szCs w:val="22"/>
              </w:rPr>
              <w:t>6</w:t>
            </w:r>
            <w:r w:rsidRPr="00C43BE8">
              <w:rPr>
                <w:b/>
                <w:sz w:val="22"/>
                <w:szCs w:val="22"/>
              </w:rPr>
              <w:t>. Detalizēts ieņēmumu un izdevumu aprēķins</w:t>
            </w:r>
            <w:r>
              <w:rPr>
                <w:b/>
                <w:sz w:val="22"/>
                <w:szCs w:val="22"/>
              </w:rPr>
              <w:t>*</w:t>
            </w:r>
            <w:r w:rsidRPr="00C43BE8">
              <w:rPr>
                <w:b/>
                <w:sz w:val="22"/>
                <w:szCs w:val="22"/>
              </w:rPr>
              <w:t>:</w:t>
            </w:r>
          </w:p>
        </w:tc>
        <w:tc>
          <w:tcPr>
            <w:tcW w:w="3638" w:type="dxa"/>
            <w:gridSpan w:val="3"/>
            <w:shd w:val="clear" w:color="auto" w:fill="auto"/>
          </w:tcPr>
          <w:p w:rsidR="006626E4" w:rsidRPr="00C43BE8" w:rsidRDefault="006626E4" w:rsidP="0090004D">
            <w:pPr>
              <w:pStyle w:val="BodyText2"/>
              <w:jc w:val="center"/>
              <w:rPr>
                <w:sz w:val="22"/>
                <w:szCs w:val="22"/>
              </w:rPr>
            </w:pPr>
          </w:p>
        </w:tc>
      </w:tr>
      <w:tr w:rsidR="006626E4" w:rsidRPr="00EE1BB2" w:rsidTr="00B07024">
        <w:tc>
          <w:tcPr>
            <w:tcW w:w="9287" w:type="dxa"/>
            <w:gridSpan w:val="8"/>
            <w:shd w:val="clear" w:color="auto" w:fill="auto"/>
          </w:tcPr>
          <w:p w:rsidR="006626E4" w:rsidRDefault="006626E4" w:rsidP="006626E4">
            <w:pPr>
              <w:rPr>
                <w:sz w:val="24"/>
              </w:rPr>
            </w:pPr>
          </w:p>
          <w:p w:rsidR="006626E4" w:rsidRDefault="006626E4" w:rsidP="006626E4">
            <w:pPr>
              <w:rPr>
                <w:sz w:val="24"/>
              </w:rPr>
            </w:pPr>
            <w:r w:rsidRPr="00405238">
              <w:rPr>
                <w:sz w:val="24"/>
              </w:rPr>
              <w:t xml:space="preserve">Minimālās algas </w:t>
            </w:r>
            <w:r>
              <w:rPr>
                <w:sz w:val="24"/>
              </w:rPr>
              <w:t xml:space="preserve">fiskālās ietekmes </w:t>
            </w:r>
            <w:r w:rsidRPr="00405238">
              <w:rPr>
                <w:sz w:val="24"/>
              </w:rPr>
              <w:t>aprēķinos par pamatu ņemti Centrālās statistikas pārvaldes</w:t>
            </w:r>
            <w:r>
              <w:rPr>
                <w:sz w:val="24"/>
              </w:rPr>
              <w:t xml:space="preserve"> </w:t>
            </w:r>
            <w:r w:rsidRPr="00405238">
              <w:rPr>
                <w:sz w:val="24"/>
              </w:rPr>
              <w:t xml:space="preserve">dati par nodarbinātā skaita sadalījumu pa algu grupām un Finanšu ministrijas pieņēmumi par darba algas pieaugumu. </w:t>
            </w:r>
            <w:r>
              <w:rPr>
                <w:sz w:val="24"/>
              </w:rPr>
              <w:t>Aprēķini balstīti valsts un privātajā sektorā strādājošiem. Kā arī a</w:t>
            </w:r>
            <w:r w:rsidRPr="00405238">
              <w:rPr>
                <w:sz w:val="24"/>
              </w:rPr>
              <w:t xml:space="preserve">prēķinot pievienotās vērtības nodokļa (turpmāk PVN) atgriezenisko efektu no minimālās algas palielinājuma par 40 </w:t>
            </w:r>
            <w:proofErr w:type="spellStart"/>
            <w:r w:rsidRPr="00553F6F">
              <w:rPr>
                <w:i/>
                <w:sz w:val="24"/>
              </w:rPr>
              <w:t>euro</w:t>
            </w:r>
            <w:proofErr w:type="spellEnd"/>
            <w:r w:rsidRPr="00405238">
              <w:rPr>
                <w:sz w:val="24"/>
              </w:rPr>
              <w:t xml:space="preserve"> mēnes</w:t>
            </w:r>
            <w:r>
              <w:rPr>
                <w:sz w:val="24"/>
              </w:rPr>
              <w:t>ī</w:t>
            </w:r>
            <w:r w:rsidRPr="00405238">
              <w:rPr>
                <w:sz w:val="24"/>
              </w:rPr>
              <w:t>,</w:t>
            </w:r>
            <w:r>
              <w:rPr>
                <w:sz w:val="24"/>
              </w:rPr>
              <w:t xml:space="preserve"> tiek pieņemts, ka PVN tiks tērēti  55</w:t>
            </w:r>
            <w:r w:rsidRPr="00405238">
              <w:rPr>
                <w:sz w:val="24"/>
              </w:rPr>
              <w:t>% no iegūtās summas x 17% (aptuvenā likme no cenu patēriņa groza)</w:t>
            </w:r>
            <w:r>
              <w:rPr>
                <w:sz w:val="24"/>
              </w:rPr>
              <w:t>.</w:t>
            </w:r>
          </w:p>
          <w:p w:rsidR="006626E4" w:rsidRDefault="006626E4" w:rsidP="006626E4">
            <w:pPr>
              <w:rPr>
                <w:sz w:val="24"/>
              </w:rPr>
            </w:pPr>
          </w:p>
          <w:tbl>
            <w:tblPr>
              <w:tblW w:w="7960" w:type="dxa"/>
              <w:tblLayout w:type="fixed"/>
              <w:tblLook w:val="04A0" w:firstRow="1" w:lastRow="0" w:firstColumn="1" w:lastColumn="0" w:noHBand="0" w:noVBand="1"/>
            </w:tblPr>
            <w:tblGrid>
              <w:gridCol w:w="2859"/>
              <w:gridCol w:w="1701"/>
              <w:gridCol w:w="1701"/>
              <w:gridCol w:w="1699"/>
            </w:tblGrid>
            <w:tr w:rsidR="006626E4" w:rsidRPr="00FA2181" w:rsidTr="00B07024">
              <w:trPr>
                <w:trHeight w:val="345"/>
              </w:trPr>
              <w:tc>
                <w:tcPr>
                  <w:tcW w:w="2859" w:type="dxa"/>
                  <w:tcBorders>
                    <w:top w:val="single" w:sz="8" w:space="0" w:color="auto"/>
                    <w:left w:val="single" w:sz="4" w:space="0" w:color="auto"/>
                    <w:bottom w:val="single" w:sz="4" w:space="0" w:color="auto"/>
                    <w:right w:val="single" w:sz="4" w:space="0" w:color="auto"/>
                  </w:tcBorders>
                  <w:shd w:val="clear" w:color="auto" w:fill="auto"/>
                  <w:noWrap/>
                  <w:vAlign w:val="bottom"/>
                </w:tcPr>
                <w:p w:rsidR="006626E4" w:rsidRDefault="006626E4" w:rsidP="001D4AF7">
                  <w:pPr>
                    <w:rPr>
                      <w:b/>
                      <w:bCs/>
                      <w:color w:val="000000"/>
                      <w:sz w:val="24"/>
                      <w:lang w:eastAsia="lv-LV"/>
                    </w:rPr>
                  </w:pP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6626E4" w:rsidRPr="00FA2181" w:rsidRDefault="006626E4" w:rsidP="001D4AF7">
                  <w:pPr>
                    <w:jc w:val="center"/>
                    <w:rPr>
                      <w:iCs/>
                      <w:color w:val="000000"/>
                      <w:sz w:val="20"/>
                      <w:szCs w:val="20"/>
                      <w:lang w:eastAsia="lv-LV"/>
                    </w:rPr>
                  </w:pPr>
                  <w:r w:rsidRPr="00FA2181">
                    <w:rPr>
                      <w:iCs/>
                      <w:color w:val="000000"/>
                      <w:sz w:val="20"/>
                      <w:szCs w:val="20"/>
                      <w:lang w:eastAsia="lv-LV"/>
                    </w:rPr>
                    <w:t>2015.gads</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6626E4" w:rsidRPr="00FA2181" w:rsidRDefault="006626E4" w:rsidP="001D4AF7">
                  <w:pPr>
                    <w:jc w:val="center"/>
                    <w:rPr>
                      <w:iCs/>
                      <w:color w:val="000000"/>
                      <w:sz w:val="20"/>
                      <w:szCs w:val="20"/>
                      <w:lang w:eastAsia="lv-LV"/>
                    </w:rPr>
                  </w:pPr>
                  <w:r w:rsidRPr="00FA2181">
                    <w:rPr>
                      <w:iCs/>
                      <w:color w:val="000000"/>
                      <w:sz w:val="20"/>
                      <w:szCs w:val="20"/>
                      <w:lang w:eastAsia="lv-LV"/>
                    </w:rPr>
                    <w:t>2016.gads</w:t>
                  </w:r>
                </w:p>
              </w:tc>
              <w:tc>
                <w:tcPr>
                  <w:tcW w:w="1699" w:type="dxa"/>
                  <w:tcBorders>
                    <w:top w:val="single" w:sz="8" w:space="0" w:color="auto"/>
                    <w:left w:val="nil"/>
                    <w:bottom w:val="single" w:sz="4" w:space="0" w:color="auto"/>
                    <w:right w:val="single" w:sz="8" w:space="0" w:color="auto"/>
                  </w:tcBorders>
                  <w:shd w:val="clear" w:color="auto" w:fill="auto"/>
                  <w:noWrap/>
                  <w:vAlign w:val="bottom"/>
                </w:tcPr>
                <w:p w:rsidR="006626E4" w:rsidRPr="00FA2181" w:rsidRDefault="006626E4" w:rsidP="001D4AF7">
                  <w:pPr>
                    <w:jc w:val="center"/>
                    <w:rPr>
                      <w:iCs/>
                      <w:color w:val="000000"/>
                      <w:sz w:val="20"/>
                      <w:szCs w:val="20"/>
                      <w:lang w:eastAsia="lv-LV"/>
                    </w:rPr>
                  </w:pPr>
                  <w:r w:rsidRPr="00FA2181">
                    <w:rPr>
                      <w:iCs/>
                      <w:color w:val="000000"/>
                      <w:sz w:val="20"/>
                      <w:szCs w:val="20"/>
                      <w:lang w:eastAsia="lv-LV"/>
                    </w:rPr>
                    <w:t>2017.gads</w:t>
                  </w:r>
                </w:p>
              </w:tc>
            </w:tr>
            <w:tr w:rsidR="006626E4" w:rsidRPr="00FA2181" w:rsidTr="00B07024">
              <w:trPr>
                <w:trHeight w:val="345"/>
              </w:trPr>
              <w:tc>
                <w:tcPr>
                  <w:tcW w:w="28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rPr>
                      <w:b/>
                      <w:bCs/>
                      <w:color w:val="000000"/>
                      <w:sz w:val="24"/>
                      <w:lang w:eastAsia="lv-LV"/>
                    </w:rPr>
                  </w:pPr>
                  <w:r>
                    <w:rPr>
                      <w:b/>
                      <w:bCs/>
                      <w:color w:val="000000"/>
                      <w:sz w:val="24"/>
                      <w:lang w:eastAsia="lv-LV"/>
                    </w:rPr>
                    <w:t>Nodokļu i</w:t>
                  </w:r>
                  <w:r w:rsidRPr="00FA2181">
                    <w:rPr>
                      <w:b/>
                      <w:bCs/>
                      <w:color w:val="000000"/>
                      <w:sz w:val="24"/>
                      <w:lang w:eastAsia="lv-LV"/>
                    </w:rPr>
                    <w:t>eņēmumi</w:t>
                  </w:r>
                  <w:r>
                    <w:rPr>
                      <w:b/>
                      <w:bCs/>
                      <w:color w:val="000000"/>
                      <w:sz w:val="24"/>
                      <w:lang w:eastAsia="lv-LV"/>
                    </w:rPr>
                    <w:t>*</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626E4" w:rsidRPr="00FA2181" w:rsidRDefault="006626E4" w:rsidP="001D4AF7">
                  <w:pPr>
                    <w:jc w:val="center"/>
                    <w:rPr>
                      <w:b/>
                      <w:i/>
                      <w:iCs/>
                      <w:color w:val="000000"/>
                      <w:sz w:val="20"/>
                      <w:szCs w:val="20"/>
                      <w:lang w:eastAsia="lv-LV"/>
                    </w:rPr>
                  </w:pPr>
                  <w:r>
                    <w:rPr>
                      <w:b/>
                      <w:i/>
                      <w:iCs/>
                      <w:color w:val="000000"/>
                      <w:sz w:val="20"/>
                      <w:szCs w:val="20"/>
                      <w:lang w:eastAsia="lv-LV"/>
                    </w:rPr>
                    <w:t>+23 </w:t>
                  </w:r>
                  <w:r w:rsidRPr="00FA2181">
                    <w:rPr>
                      <w:b/>
                      <w:i/>
                      <w:iCs/>
                      <w:color w:val="000000"/>
                      <w:sz w:val="20"/>
                      <w:szCs w:val="20"/>
                      <w:lang w:eastAsia="lv-LV"/>
                    </w:rPr>
                    <w:t>426</w:t>
                  </w:r>
                  <w:r>
                    <w:rPr>
                      <w:b/>
                      <w:i/>
                      <w:iCs/>
                      <w:color w:val="000000"/>
                      <w:sz w:val="20"/>
                      <w:szCs w:val="20"/>
                      <w:lang w:eastAsia="lv-LV"/>
                    </w:rPr>
                    <w:t xml:space="preserve"> </w:t>
                  </w:r>
                  <w:r w:rsidRPr="00FA2181">
                    <w:rPr>
                      <w:b/>
                      <w:i/>
                      <w:iCs/>
                      <w:color w:val="000000"/>
                      <w:sz w:val="20"/>
                      <w:szCs w:val="20"/>
                      <w:lang w:eastAsia="lv-LV"/>
                    </w:rPr>
                    <w:t>000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626E4" w:rsidRPr="00FA2181" w:rsidRDefault="006626E4" w:rsidP="001D4AF7">
                  <w:pPr>
                    <w:jc w:val="center"/>
                    <w:rPr>
                      <w:b/>
                      <w:i/>
                      <w:iCs/>
                      <w:color w:val="000000"/>
                      <w:sz w:val="20"/>
                      <w:szCs w:val="20"/>
                      <w:lang w:eastAsia="lv-LV"/>
                    </w:rPr>
                  </w:pPr>
                  <w:r>
                    <w:rPr>
                      <w:b/>
                      <w:i/>
                      <w:iCs/>
                      <w:color w:val="000000"/>
                      <w:sz w:val="20"/>
                      <w:szCs w:val="20"/>
                      <w:lang w:eastAsia="lv-LV"/>
                    </w:rPr>
                    <w:t>+23 </w:t>
                  </w:r>
                  <w:r w:rsidRPr="00FA2181">
                    <w:rPr>
                      <w:b/>
                      <w:i/>
                      <w:iCs/>
                      <w:color w:val="000000"/>
                      <w:sz w:val="20"/>
                      <w:szCs w:val="20"/>
                      <w:lang w:eastAsia="lv-LV"/>
                    </w:rPr>
                    <w:t>426</w:t>
                  </w:r>
                  <w:r>
                    <w:rPr>
                      <w:b/>
                      <w:i/>
                      <w:iCs/>
                      <w:color w:val="000000"/>
                      <w:sz w:val="20"/>
                      <w:szCs w:val="20"/>
                      <w:lang w:eastAsia="lv-LV"/>
                    </w:rPr>
                    <w:t xml:space="preserve"> </w:t>
                  </w:r>
                  <w:r w:rsidRPr="00FA2181">
                    <w:rPr>
                      <w:b/>
                      <w:i/>
                      <w:iCs/>
                      <w:color w:val="000000"/>
                      <w:sz w:val="20"/>
                      <w:szCs w:val="20"/>
                      <w:lang w:eastAsia="lv-LV"/>
                    </w:rPr>
                    <w:t>000</w:t>
                  </w:r>
                </w:p>
              </w:tc>
              <w:tc>
                <w:tcPr>
                  <w:tcW w:w="1699" w:type="dxa"/>
                  <w:tcBorders>
                    <w:top w:val="single" w:sz="8" w:space="0" w:color="auto"/>
                    <w:left w:val="nil"/>
                    <w:bottom w:val="single" w:sz="4" w:space="0" w:color="auto"/>
                    <w:right w:val="single" w:sz="8" w:space="0" w:color="auto"/>
                  </w:tcBorders>
                  <w:shd w:val="clear" w:color="auto" w:fill="auto"/>
                  <w:noWrap/>
                  <w:vAlign w:val="bottom"/>
                  <w:hideMark/>
                </w:tcPr>
                <w:p w:rsidR="006626E4" w:rsidRPr="00FA2181" w:rsidRDefault="006626E4" w:rsidP="001D4AF7">
                  <w:pPr>
                    <w:jc w:val="center"/>
                    <w:rPr>
                      <w:b/>
                      <w:i/>
                      <w:iCs/>
                      <w:color w:val="000000"/>
                      <w:sz w:val="20"/>
                      <w:szCs w:val="20"/>
                      <w:lang w:eastAsia="lv-LV"/>
                    </w:rPr>
                  </w:pPr>
                  <w:r>
                    <w:rPr>
                      <w:b/>
                      <w:i/>
                      <w:iCs/>
                      <w:color w:val="000000"/>
                      <w:sz w:val="20"/>
                      <w:szCs w:val="20"/>
                      <w:lang w:eastAsia="lv-LV"/>
                    </w:rPr>
                    <w:t>+23 </w:t>
                  </w:r>
                  <w:r w:rsidRPr="00FA2181">
                    <w:rPr>
                      <w:b/>
                      <w:i/>
                      <w:iCs/>
                      <w:color w:val="000000"/>
                      <w:sz w:val="20"/>
                      <w:szCs w:val="20"/>
                      <w:lang w:eastAsia="lv-LV"/>
                    </w:rPr>
                    <w:t>426</w:t>
                  </w:r>
                  <w:r>
                    <w:rPr>
                      <w:b/>
                      <w:i/>
                      <w:iCs/>
                      <w:color w:val="000000"/>
                      <w:sz w:val="20"/>
                      <w:szCs w:val="20"/>
                      <w:lang w:eastAsia="lv-LV"/>
                    </w:rPr>
                    <w:t xml:space="preserve"> </w:t>
                  </w:r>
                  <w:r w:rsidRPr="00FA2181">
                    <w:rPr>
                      <w:b/>
                      <w:i/>
                      <w:iCs/>
                      <w:color w:val="000000"/>
                      <w:sz w:val="20"/>
                      <w:szCs w:val="20"/>
                      <w:lang w:eastAsia="lv-LV"/>
                    </w:rPr>
                    <w:t>000</w:t>
                  </w:r>
                </w:p>
              </w:tc>
            </w:tr>
            <w:tr w:rsidR="006626E4"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rPr>
                      <w:color w:val="000000"/>
                      <w:sz w:val="24"/>
                      <w:lang w:eastAsia="lv-LV"/>
                    </w:rPr>
                  </w:pPr>
                  <w:r>
                    <w:rPr>
                      <w:color w:val="000000"/>
                      <w:sz w:val="24"/>
                      <w:lang w:eastAsia="lv-LV"/>
                    </w:rPr>
                    <w:t>Iedzīvotāju ienākuma nodoklis</w:t>
                  </w:r>
                  <w:r w:rsidRPr="00FA2181">
                    <w:rPr>
                      <w:color w:val="000000"/>
                      <w:sz w:val="24"/>
                      <w:lang w:eastAsia="lv-LV"/>
                    </w:rPr>
                    <w:t>, t.sk.:</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color w:val="000000"/>
                      <w:sz w:val="20"/>
                      <w:szCs w:val="20"/>
                      <w:lang w:eastAsia="lv-LV"/>
                    </w:rPr>
                  </w:pPr>
                  <w:r>
                    <w:rPr>
                      <w:iCs/>
                      <w:color w:val="000000"/>
                      <w:sz w:val="20"/>
                      <w:szCs w:val="20"/>
                      <w:lang w:eastAsia="lv-LV"/>
                    </w:rPr>
                    <w:t>+7 </w:t>
                  </w:r>
                  <w:r w:rsidRPr="00FA2181">
                    <w:rPr>
                      <w:iCs/>
                      <w:color w:val="000000"/>
                      <w:sz w:val="20"/>
                      <w:szCs w:val="20"/>
                      <w:lang w:eastAsia="lv-LV"/>
                    </w:rPr>
                    <w:t>881</w:t>
                  </w:r>
                  <w:r>
                    <w:rPr>
                      <w:iCs/>
                      <w:color w:val="000000"/>
                      <w:sz w:val="20"/>
                      <w:szCs w:val="20"/>
                      <w:lang w:eastAsia="lv-LV"/>
                    </w:rPr>
                    <w:t> </w:t>
                  </w:r>
                  <w:r w:rsidRPr="00FA2181">
                    <w:rPr>
                      <w:iCs/>
                      <w:color w:val="000000"/>
                      <w:sz w:val="20"/>
                      <w:szCs w:val="20"/>
                      <w:lang w:eastAsia="lv-LV"/>
                    </w:rPr>
                    <w:t>000</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color w:val="000000"/>
                      <w:sz w:val="20"/>
                      <w:szCs w:val="20"/>
                      <w:lang w:eastAsia="lv-LV"/>
                    </w:rPr>
                  </w:pPr>
                  <w:r>
                    <w:rPr>
                      <w:iCs/>
                      <w:color w:val="000000"/>
                      <w:sz w:val="20"/>
                      <w:szCs w:val="20"/>
                      <w:lang w:eastAsia="lv-LV"/>
                    </w:rPr>
                    <w:t>+7 </w:t>
                  </w:r>
                  <w:r w:rsidRPr="00FA2181">
                    <w:rPr>
                      <w:iCs/>
                      <w:color w:val="000000"/>
                      <w:sz w:val="20"/>
                      <w:szCs w:val="20"/>
                      <w:lang w:eastAsia="lv-LV"/>
                    </w:rPr>
                    <w:t>881</w:t>
                  </w:r>
                  <w:r>
                    <w:rPr>
                      <w:iCs/>
                      <w:color w:val="000000"/>
                      <w:sz w:val="20"/>
                      <w:szCs w:val="20"/>
                      <w:lang w:eastAsia="lv-LV"/>
                    </w:rPr>
                    <w:t> </w:t>
                  </w:r>
                  <w:r w:rsidRPr="00FA2181">
                    <w:rPr>
                      <w:iCs/>
                      <w:color w:val="000000"/>
                      <w:sz w:val="20"/>
                      <w:szCs w:val="20"/>
                      <w:lang w:eastAsia="lv-LV"/>
                    </w:rPr>
                    <w:t>000</w:t>
                  </w:r>
                </w:p>
              </w:tc>
              <w:tc>
                <w:tcPr>
                  <w:tcW w:w="1699"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color w:val="000000"/>
                      <w:sz w:val="20"/>
                      <w:szCs w:val="20"/>
                      <w:lang w:eastAsia="lv-LV"/>
                    </w:rPr>
                  </w:pPr>
                  <w:r>
                    <w:rPr>
                      <w:iCs/>
                      <w:color w:val="000000"/>
                      <w:sz w:val="20"/>
                      <w:szCs w:val="20"/>
                      <w:lang w:eastAsia="lv-LV"/>
                    </w:rPr>
                    <w:t>+7 </w:t>
                  </w:r>
                  <w:r w:rsidRPr="00FA2181">
                    <w:rPr>
                      <w:iCs/>
                      <w:color w:val="000000"/>
                      <w:sz w:val="20"/>
                      <w:szCs w:val="20"/>
                      <w:lang w:eastAsia="lv-LV"/>
                    </w:rPr>
                    <w:t>881</w:t>
                  </w:r>
                  <w:r>
                    <w:rPr>
                      <w:iCs/>
                      <w:color w:val="000000"/>
                      <w:sz w:val="20"/>
                      <w:szCs w:val="20"/>
                      <w:lang w:eastAsia="lv-LV"/>
                    </w:rPr>
                    <w:t> </w:t>
                  </w:r>
                  <w:r w:rsidRPr="00FA2181">
                    <w:rPr>
                      <w:iCs/>
                      <w:color w:val="000000"/>
                      <w:sz w:val="20"/>
                      <w:szCs w:val="20"/>
                      <w:lang w:eastAsia="lv-LV"/>
                    </w:rPr>
                    <w:t>000</w:t>
                  </w:r>
                </w:p>
              </w:tc>
            </w:tr>
            <w:tr w:rsidR="00041B4A"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041B4A" w:rsidRPr="00FA2181" w:rsidRDefault="00041B4A" w:rsidP="001D4AF7">
                  <w:pPr>
                    <w:jc w:val="right"/>
                    <w:rPr>
                      <w:i/>
                      <w:iCs/>
                      <w:color w:val="000000"/>
                      <w:sz w:val="20"/>
                      <w:szCs w:val="20"/>
                      <w:lang w:eastAsia="lv-LV"/>
                    </w:rPr>
                  </w:pPr>
                  <w:r w:rsidRPr="00FA2181">
                    <w:rPr>
                      <w:i/>
                      <w:iCs/>
                      <w:color w:val="000000"/>
                      <w:sz w:val="20"/>
                      <w:szCs w:val="20"/>
                      <w:lang w:eastAsia="lv-LV"/>
                    </w:rPr>
                    <w:t>valsts pamatbudžets</w:t>
                  </w:r>
                </w:p>
              </w:tc>
              <w:tc>
                <w:tcPr>
                  <w:tcW w:w="1701"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+1 </w:t>
                  </w:r>
                  <w:r w:rsidRPr="00FA2181">
                    <w:rPr>
                      <w:i/>
                      <w:iCs/>
                      <w:sz w:val="20"/>
                      <w:szCs w:val="20"/>
                      <w:lang w:eastAsia="lv-LV"/>
                    </w:rPr>
                    <w:t>576</w:t>
                  </w:r>
                  <w:r>
                    <w:rPr>
                      <w:i/>
                      <w:iCs/>
                      <w:sz w:val="20"/>
                      <w:szCs w:val="20"/>
                      <w:lang w:eastAsia="lv-LV"/>
                    </w:rPr>
                    <w:t> 2</w:t>
                  </w:r>
                  <w:r w:rsidRPr="00FA2181">
                    <w:rPr>
                      <w:i/>
                      <w:iCs/>
                      <w:sz w:val="20"/>
                      <w:szCs w:val="20"/>
                      <w:lang w:eastAsia="lv-LV"/>
                    </w:rPr>
                    <w:t>00</w:t>
                  </w:r>
                </w:p>
              </w:tc>
              <w:tc>
                <w:tcPr>
                  <w:tcW w:w="1701"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+1 </w:t>
                  </w:r>
                  <w:r w:rsidRPr="00FA2181">
                    <w:rPr>
                      <w:i/>
                      <w:iCs/>
                      <w:sz w:val="20"/>
                      <w:szCs w:val="20"/>
                      <w:lang w:eastAsia="lv-LV"/>
                    </w:rPr>
                    <w:t>576</w:t>
                  </w:r>
                  <w:r>
                    <w:rPr>
                      <w:i/>
                      <w:iCs/>
                      <w:sz w:val="20"/>
                      <w:szCs w:val="20"/>
                      <w:lang w:eastAsia="lv-LV"/>
                    </w:rPr>
                    <w:t> 2</w:t>
                  </w:r>
                  <w:r w:rsidRPr="00FA2181">
                    <w:rPr>
                      <w:i/>
                      <w:iCs/>
                      <w:sz w:val="20"/>
                      <w:szCs w:val="20"/>
                      <w:lang w:eastAsia="lv-LV"/>
                    </w:rPr>
                    <w:t>00</w:t>
                  </w:r>
                </w:p>
              </w:tc>
              <w:tc>
                <w:tcPr>
                  <w:tcW w:w="1699"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+1 </w:t>
                  </w:r>
                  <w:r w:rsidRPr="00FA2181">
                    <w:rPr>
                      <w:i/>
                      <w:iCs/>
                      <w:sz w:val="20"/>
                      <w:szCs w:val="20"/>
                      <w:lang w:eastAsia="lv-LV"/>
                    </w:rPr>
                    <w:t>576</w:t>
                  </w:r>
                  <w:r>
                    <w:rPr>
                      <w:i/>
                      <w:iCs/>
                      <w:sz w:val="20"/>
                      <w:szCs w:val="20"/>
                      <w:lang w:eastAsia="lv-LV"/>
                    </w:rPr>
                    <w:t> 2</w:t>
                  </w:r>
                  <w:r w:rsidRPr="00FA2181">
                    <w:rPr>
                      <w:i/>
                      <w:iCs/>
                      <w:sz w:val="20"/>
                      <w:szCs w:val="20"/>
                      <w:lang w:eastAsia="lv-LV"/>
                    </w:rPr>
                    <w:t>00</w:t>
                  </w:r>
                </w:p>
              </w:tc>
            </w:tr>
            <w:tr w:rsidR="00041B4A"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041B4A" w:rsidRPr="00FA2181" w:rsidRDefault="00041B4A" w:rsidP="001D4AF7">
                  <w:pPr>
                    <w:jc w:val="right"/>
                    <w:rPr>
                      <w:i/>
                      <w:iCs/>
                      <w:color w:val="000000"/>
                      <w:sz w:val="20"/>
                      <w:szCs w:val="20"/>
                      <w:lang w:eastAsia="lv-LV"/>
                    </w:rPr>
                  </w:pPr>
                  <w:r w:rsidRPr="00FA2181">
                    <w:rPr>
                      <w:i/>
                      <w:iCs/>
                      <w:color w:val="000000"/>
                      <w:sz w:val="20"/>
                      <w:szCs w:val="20"/>
                      <w:lang w:eastAsia="lv-LV"/>
                    </w:rPr>
                    <w:t>pašvaldību budžeti</w:t>
                  </w:r>
                </w:p>
              </w:tc>
              <w:tc>
                <w:tcPr>
                  <w:tcW w:w="1701"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+6 </w:t>
                  </w:r>
                  <w:r w:rsidRPr="00FA2181">
                    <w:rPr>
                      <w:i/>
                      <w:iCs/>
                      <w:sz w:val="20"/>
                      <w:szCs w:val="20"/>
                      <w:lang w:eastAsia="lv-LV"/>
                    </w:rPr>
                    <w:t>30</w:t>
                  </w:r>
                  <w:r>
                    <w:rPr>
                      <w:i/>
                      <w:iCs/>
                      <w:sz w:val="20"/>
                      <w:szCs w:val="20"/>
                      <w:lang w:eastAsia="lv-LV"/>
                    </w:rPr>
                    <w:t>4 8</w:t>
                  </w:r>
                  <w:r w:rsidRPr="00FA2181">
                    <w:rPr>
                      <w:i/>
                      <w:iCs/>
                      <w:sz w:val="20"/>
                      <w:szCs w:val="20"/>
                      <w:lang w:eastAsia="lv-LV"/>
                    </w:rPr>
                    <w:t>00</w:t>
                  </w:r>
                </w:p>
              </w:tc>
              <w:tc>
                <w:tcPr>
                  <w:tcW w:w="1701"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+6 </w:t>
                  </w:r>
                  <w:r w:rsidRPr="00FA2181">
                    <w:rPr>
                      <w:i/>
                      <w:iCs/>
                      <w:sz w:val="20"/>
                      <w:szCs w:val="20"/>
                      <w:lang w:eastAsia="lv-LV"/>
                    </w:rPr>
                    <w:t>30</w:t>
                  </w:r>
                  <w:r>
                    <w:rPr>
                      <w:i/>
                      <w:iCs/>
                      <w:sz w:val="20"/>
                      <w:szCs w:val="20"/>
                      <w:lang w:eastAsia="lv-LV"/>
                    </w:rPr>
                    <w:t>4 8</w:t>
                  </w:r>
                  <w:r w:rsidRPr="00FA2181">
                    <w:rPr>
                      <w:i/>
                      <w:iCs/>
                      <w:sz w:val="20"/>
                      <w:szCs w:val="20"/>
                      <w:lang w:eastAsia="lv-LV"/>
                    </w:rPr>
                    <w:t>00</w:t>
                  </w:r>
                </w:p>
              </w:tc>
              <w:tc>
                <w:tcPr>
                  <w:tcW w:w="1699" w:type="dxa"/>
                  <w:tcBorders>
                    <w:top w:val="nil"/>
                    <w:left w:val="nil"/>
                    <w:bottom w:val="single" w:sz="4" w:space="0" w:color="auto"/>
                    <w:right w:val="single" w:sz="8" w:space="0" w:color="auto"/>
                  </w:tcBorders>
                  <w:shd w:val="clear" w:color="auto" w:fill="auto"/>
                  <w:noWrap/>
                  <w:vAlign w:val="bottom"/>
                  <w:hideMark/>
                </w:tcPr>
                <w:p w:rsidR="00041B4A" w:rsidRPr="00FA2181" w:rsidRDefault="00041B4A" w:rsidP="0095305E">
                  <w:pPr>
                    <w:jc w:val="right"/>
                    <w:rPr>
                      <w:i/>
                      <w:iCs/>
                      <w:sz w:val="20"/>
                      <w:szCs w:val="20"/>
                      <w:lang w:eastAsia="lv-LV"/>
                    </w:rPr>
                  </w:pPr>
                  <w:r>
                    <w:rPr>
                      <w:i/>
                      <w:iCs/>
                      <w:sz w:val="20"/>
                      <w:szCs w:val="20"/>
                      <w:lang w:eastAsia="lv-LV"/>
                    </w:rPr>
                    <w:t>+6 </w:t>
                  </w:r>
                  <w:r w:rsidRPr="00FA2181">
                    <w:rPr>
                      <w:i/>
                      <w:iCs/>
                      <w:sz w:val="20"/>
                      <w:szCs w:val="20"/>
                      <w:lang w:eastAsia="lv-LV"/>
                    </w:rPr>
                    <w:t>30</w:t>
                  </w:r>
                  <w:r>
                    <w:rPr>
                      <w:i/>
                      <w:iCs/>
                      <w:sz w:val="20"/>
                      <w:szCs w:val="20"/>
                      <w:lang w:eastAsia="lv-LV"/>
                    </w:rPr>
                    <w:t>4 8</w:t>
                  </w:r>
                  <w:r w:rsidRPr="00FA2181">
                    <w:rPr>
                      <w:i/>
                      <w:iCs/>
                      <w:sz w:val="20"/>
                      <w:szCs w:val="20"/>
                      <w:lang w:eastAsia="lv-LV"/>
                    </w:rPr>
                    <w:t>00</w:t>
                  </w:r>
                </w:p>
              </w:tc>
            </w:tr>
            <w:tr w:rsidR="006626E4"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rPr>
                      <w:color w:val="000000"/>
                      <w:sz w:val="24"/>
                      <w:lang w:eastAsia="lv-LV"/>
                    </w:rPr>
                  </w:pPr>
                  <w:r>
                    <w:rPr>
                      <w:color w:val="000000"/>
                      <w:sz w:val="24"/>
                      <w:lang w:eastAsia="lv-LV"/>
                    </w:rPr>
                    <w:t>VSAOI**</w:t>
                  </w:r>
                  <w:r w:rsidRPr="00FA2181">
                    <w:rPr>
                      <w:color w:val="000000"/>
                      <w:sz w:val="24"/>
                      <w:lang w:eastAsia="lv-LV"/>
                    </w:rPr>
                    <w:t>, t.sk.:</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+13 </w:t>
                  </w:r>
                  <w:r w:rsidRPr="00FA2181">
                    <w:rPr>
                      <w:iCs/>
                      <w:sz w:val="20"/>
                      <w:szCs w:val="20"/>
                      <w:lang w:eastAsia="lv-LV"/>
                    </w:rPr>
                    <w:t>051</w:t>
                  </w:r>
                  <w:r>
                    <w:rPr>
                      <w:iCs/>
                      <w:sz w:val="20"/>
                      <w:szCs w:val="20"/>
                      <w:lang w:eastAsia="lv-LV"/>
                    </w:rPr>
                    <w:t> </w:t>
                  </w:r>
                  <w:r w:rsidRPr="00FA2181">
                    <w:rPr>
                      <w:iCs/>
                      <w:sz w:val="20"/>
                      <w:szCs w:val="20"/>
                      <w:lang w:eastAsia="lv-LV"/>
                    </w:rPr>
                    <w:t>000</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+13 </w:t>
                  </w:r>
                  <w:r w:rsidRPr="00FA2181">
                    <w:rPr>
                      <w:iCs/>
                      <w:sz w:val="20"/>
                      <w:szCs w:val="20"/>
                      <w:lang w:eastAsia="lv-LV"/>
                    </w:rPr>
                    <w:t>051</w:t>
                  </w:r>
                  <w:r>
                    <w:rPr>
                      <w:iCs/>
                      <w:sz w:val="20"/>
                      <w:szCs w:val="20"/>
                      <w:lang w:eastAsia="lv-LV"/>
                    </w:rPr>
                    <w:t> </w:t>
                  </w:r>
                  <w:r w:rsidRPr="00FA2181">
                    <w:rPr>
                      <w:iCs/>
                      <w:sz w:val="20"/>
                      <w:szCs w:val="20"/>
                      <w:lang w:eastAsia="lv-LV"/>
                    </w:rPr>
                    <w:t>000</w:t>
                  </w:r>
                </w:p>
              </w:tc>
              <w:tc>
                <w:tcPr>
                  <w:tcW w:w="1699"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+13 </w:t>
                  </w:r>
                  <w:r w:rsidRPr="00FA2181">
                    <w:rPr>
                      <w:iCs/>
                      <w:sz w:val="20"/>
                      <w:szCs w:val="20"/>
                      <w:lang w:eastAsia="lv-LV"/>
                    </w:rPr>
                    <w:t>051</w:t>
                  </w:r>
                  <w:r>
                    <w:rPr>
                      <w:iCs/>
                      <w:sz w:val="20"/>
                      <w:szCs w:val="20"/>
                      <w:lang w:eastAsia="lv-LV"/>
                    </w:rPr>
                    <w:t> </w:t>
                  </w:r>
                  <w:r w:rsidRPr="00FA2181">
                    <w:rPr>
                      <w:iCs/>
                      <w:sz w:val="20"/>
                      <w:szCs w:val="20"/>
                      <w:lang w:eastAsia="lv-LV"/>
                    </w:rPr>
                    <w:t>000</w:t>
                  </w:r>
                </w:p>
              </w:tc>
            </w:tr>
            <w:tr w:rsidR="006626E4"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jc w:val="right"/>
                    <w:rPr>
                      <w:i/>
                      <w:iCs/>
                      <w:color w:val="000000"/>
                      <w:sz w:val="20"/>
                      <w:szCs w:val="20"/>
                      <w:lang w:eastAsia="lv-LV"/>
                    </w:rPr>
                  </w:pPr>
                  <w:r w:rsidRPr="00FA2181">
                    <w:rPr>
                      <w:i/>
                      <w:iCs/>
                      <w:color w:val="000000"/>
                      <w:sz w:val="20"/>
                      <w:szCs w:val="20"/>
                      <w:lang w:eastAsia="lv-LV"/>
                    </w:rPr>
                    <w:t>valsts fondēto pensiju shēma</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+1 </w:t>
                  </w:r>
                  <w:r w:rsidRPr="00FA2181">
                    <w:rPr>
                      <w:i/>
                      <w:iCs/>
                      <w:sz w:val="20"/>
                      <w:szCs w:val="20"/>
                      <w:lang w:eastAsia="lv-LV"/>
                    </w:rPr>
                    <w:t>656</w:t>
                  </w:r>
                  <w:r>
                    <w:rPr>
                      <w:i/>
                      <w:iCs/>
                      <w:sz w:val="20"/>
                      <w:szCs w:val="20"/>
                      <w:lang w:eastAsia="lv-LV"/>
                    </w:rPr>
                    <w:t> </w:t>
                  </w:r>
                  <w:r w:rsidRPr="00FA2181">
                    <w:rPr>
                      <w:i/>
                      <w:iCs/>
                      <w:sz w:val="20"/>
                      <w:szCs w:val="20"/>
                      <w:lang w:eastAsia="lv-LV"/>
                    </w:rPr>
                    <w:t>939</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+1 </w:t>
                  </w:r>
                  <w:r w:rsidRPr="00FA2181">
                    <w:rPr>
                      <w:i/>
                      <w:iCs/>
                      <w:sz w:val="20"/>
                      <w:szCs w:val="20"/>
                      <w:lang w:eastAsia="lv-LV"/>
                    </w:rPr>
                    <w:t>656</w:t>
                  </w:r>
                  <w:r>
                    <w:rPr>
                      <w:i/>
                      <w:iCs/>
                      <w:sz w:val="20"/>
                      <w:szCs w:val="20"/>
                      <w:lang w:eastAsia="lv-LV"/>
                    </w:rPr>
                    <w:t> </w:t>
                  </w:r>
                  <w:r w:rsidRPr="00FA2181">
                    <w:rPr>
                      <w:i/>
                      <w:iCs/>
                      <w:sz w:val="20"/>
                      <w:szCs w:val="20"/>
                      <w:lang w:eastAsia="lv-LV"/>
                    </w:rPr>
                    <w:t>939</w:t>
                  </w:r>
                </w:p>
              </w:tc>
              <w:tc>
                <w:tcPr>
                  <w:tcW w:w="1699"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+1 </w:t>
                  </w:r>
                  <w:r w:rsidRPr="00FA2181">
                    <w:rPr>
                      <w:i/>
                      <w:iCs/>
                      <w:sz w:val="20"/>
                      <w:szCs w:val="20"/>
                      <w:lang w:eastAsia="lv-LV"/>
                    </w:rPr>
                    <w:t>656</w:t>
                  </w:r>
                  <w:r>
                    <w:rPr>
                      <w:i/>
                      <w:iCs/>
                      <w:sz w:val="20"/>
                      <w:szCs w:val="20"/>
                      <w:lang w:eastAsia="lv-LV"/>
                    </w:rPr>
                    <w:t> </w:t>
                  </w:r>
                  <w:r w:rsidRPr="00FA2181">
                    <w:rPr>
                      <w:i/>
                      <w:iCs/>
                      <w:sz w:val="20"/>
                      <w:szCs w:val="20"/>
                      <w:lang w:eastAsia="lv-LV"/>
                    </w:rPr>
                    <w:t>939</w:t>
                  </w:r>
                </w:p>
              </w:tc>
            </w:tr>
            <w:tr w:rsidR="006626E4"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jc w:val="right"/>
                    <w:rPr>
                      <w:i/>
                      <w:iCs/>
                      <w:color w:val="000000"/>
                      <w:sz w:val="20"/>
                      <w:szCs w:val="20"/>
                      <w:lang w:eastAsia="lv-LV"/>
                    </w:rPr>
                  </w:pPr>
                  <w:r w:rsidRPr="00FA2181">
                    <w:rPr>
                      <w:i/>
                      <w:iCs/>
                      <w:color w:val="000000"/>
                      <w:sz w:val="20"/>
                      <w:szCs w:val="20"/>
                      <w:lang w:eastAsia="lv-LV"/>
                    </w:rPr>
                    <w:t>speciālais budžets</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+11 </w:t>
                  </w:r>
                  <w:r w:rsidRPr="00FA2181">
                    <w:rPr>
                      <w:i/>
                      <w:iCs/>
                      <w:sz w:val="20"/>
                      <w:szCs w:val="20"/>
                      <w:lang w:eastAsia="lv-LV"/>
                    </w:rPr>
                    <w:t>394</w:t>
                  </w:r>
                  <w:r>
                    <w:rPr>
                      <w:i/>
                      <w:iCs/>
                      <w:sz w:val="20"/>
                      <w:szCs w:val="20"/>
                      <w:lang w:eastAsia="lv-LV"/>
                    </w:rPr>
                    <w:t> </w:t>
                  </w:r>
                  <w:r w:rsidRPr="00FA2181">
                    <w:rPr>
                      <w:i/>
                      <w:iCs/>
                      <w:sz w:val="20"/>
                      <w:szCs w:val="20"/>
                      <w:lang w:eastAsia="lv-LV"/>
                    </w:rPr>
                    <w:t>061</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+11 </w:t>
                  </w:r>
                  <w:r w:rsidRPr="00FA2181">
                    <w:rPr>
                      <w:i/>
                      <w:iCs/>
                      <w:sz w:val="20"/>
                      <w:szCs w:val="20"/>
                      <w:lang w:eastAsia="lv-LV"/>
                    </w:rPr>
                    <w:t>394</w:t>
                  </w:r>
                  <w:r>
                    <w:rPr>
                      <w:i/>
                      <w:iCs/>
                      <w:sz w:val="20"/>
                      <w:szCs w:val="20"/>
                      <w:lang w:eastAsia="lv-LV"/>
                    </w:rPr>
                    <w:t> </w:t>
                  </w:r>
                  <w:r w:rsidRPr="00FA2181">
                    <w:rPr>
                      <w:i/>
                      <w:iCs/>
                      <w:sz w:val="20"/>
                      <w:szCs w:val="20"/>
                      <w:lang w:eastAsia="lv-LV"/>
                    </w:rPr>
                    <w:t>061</w:t>
                  </w:r>
                </w:p>
              </w:tc>
              <w:tc>
                <w:tcPr>
                  <w:tcW w:w="1699"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
                      <w:iCs/>
                      <w:sz w:val="20"/>
                      <w:szCs w:val="20"/>
                      <w:lang w:eastAsia="lv-LV"/>
                    </w:rPr>
                  </w:pPr>
                  <w:r>
                    <w:rPr>
                      <w:i/>
                      <w:iCs/>
                      <w:sz w:val="20"/>
                      <w:szCs w:val="20"/>
                      <w:lang w:eastAsia="lv-LV"/>
                    </w:rPr>
                    <w:t>+11 </w:t>
                  </w:r>
                  <w:r w:rsidRPr="00FA2181">
                    <w:rPr>
                      <w:i/>
                      <w:iCs/>
                      <w:sz w:val="20"/>
                      <w:szCs w:val="20"/>
                      <w:lang w:eastAsia="lv-LV"/>
                    </w:rPr>
                    <w:t>394</w:t>
                  </w:r>
                  <w:r>
                    <w:rPr>
                      <w:i/>
                      <w:iCs/>
                      <w:sz w:val="20"/>
                      <w:szCs w:val="20"/>
                      <w:lang w:eastAsia="lv-LV"/>
                    </w:rPr>
                    <w:t> </w:t>
                  </w:r>
                  <w:r w:rsidRPr="00FA2181">
                    <w:rPr>
                      <w:i/>
                      <w:iCs/>
                      <w:sz w:val="20"/>
                      <w:szCs w:val="20"/>
                      <w:lang w:eastAsia="lv-LV"/>
                    </w:rPr>
                    <w:t>061</w:t>
                  </w:r>
                </w:p>
              </w:tc>
            </w:tr>
            <w:tr w:rsidR="006626E4" w:rsidRPr="00FA2181" w:rsidTr="00B07024">
              <w:trPr>
                <w:trHeight w:val="31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6626E4" w:rsidRPr="00FA2181" w:rsidRDefault="006626E4" w:rsidP="001D4AF7">
                  <w:pPr>
                    <w:rPr>
                      <w:color w:val="000000"/>
                      <w:sz w:val="24"/>
                      <w:lang w:eastAsia="lv-LV"/>
                    </w:rPr>
                  </w:pPr>
                  <w:r w:rsidRPr="00FA2181">
                    <w:rPr>
                      <w:color w:val="000000"/>
                      <w:sz w:val="24"/>
                      <w:lang w:eastAsia="lv-LV"/>
                    </w:rPr>
                    <w:t>PVN</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+2 </w:t>
                  </w:r>
                  <w:r w:rsidRPr="00FA2181">
                    <w:rPr>
                      <w:iCs/>
                      <w:sz w:val="20"/>
                      <w:szCs w:val="20"/>
                      <w:lang w:eastAsia="lv-LV"/>
                    </w:rPr>
                    <w:t>494</w:t>
                  </w:r>
                  <w:r>
                    <w:rPr>
                      <w:iCs/>
                      <w:sz w:val="20"/>
                      <w:szCs w:val="20"/>
                      <w:lang w:eastAsia="lv-LV"/>
                    </w:rPr>
                    <w:t> </w:t>
                  </w:r>
                  <w:r w:rsidRPr="00FA2181">
                    <w:rPr>
                      <w:iCs/>
                      <w:sz w:val="20"/>
                      <w:szCs w:val="20"/>
                      <w:lang w:eastAsia="lv-LV"/>
                    </w:rPr>
                    <w:t>000</w:t>
                  </w:r>
                </w:p>
              </w:tc>
              <w:tc>
                <w:tcPr>
                  <w:tcW w:w="1701"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+2 </w:t>
                  </w:r>
                  <w:r w:rsidRPr="00FA2181">
                    <w:rPr>
                      <w:iCs/>
                      <w:sz w:val="20"/>
                      <w:szCs w:val="20"/>
                      <w:lang w:eastAsia="lv-LV"/>
                    </w:rPr>
                    <w:t>494</w:t>
                  </w:r>
                  <w:r>
                    <w:rPr>
                      <w:iCs/>
                      <w:sz w:val="20"/>
                      <w:szCs w:val="20"/>
                      <w:lang w:eastAsia="lv-LV"/>
                    </w:rPr>
                    <w:t> </w:t>
                  </w:r>
                  <w:r w:rsidRPr="00FA2181">
                    <w:rPr>
                      <w:iCs/>
                      <w:sz w:val="20"/>
                      <w:szCs w:val="20"/>
                      <w:lang w:eastAsia="lv-LV"/>
                    </w:rPr>
                    <w:t>000</w:t>
                  </w:r>
                </w:p>
              </w:tc>
              <w:tc>
                <w:tcPr>
                  <w:tcW w:w="1699" w:type="dxa"/>
                  <w:tcBorders>
                    <w:top w:val="nil"/>
                    <w:left w:val="nil"/>
                    <w:bottom w:val="single" w:sz="4" w:space="0" w:color="auto"/>
                    <w:right w:val="single" w:sz="8" w:space="0" w:color="auto"/>
                  </w:tcBorders>
                  <w:shd w:val="clear" w:color="auto" w:fill="auto"/>
                  <w:noWrap/>
                  <w:vAlign w:val="bottom"/>
                  <w:hideMark/>
                </w:tcPr>
                <w:p w:rsidR="006626E4" w:rsidRPr="00FA2181" w:rsidRDefault="006626E4" w:rsidP="001D4AF7">
                  <w:pPr>
                    <w:jc w:val="right"/>
                    <w:rPr>
                      <w:iCs/>
                      <w:sz w:val="20"/>
                      <w:szCs w:val="20"/>
                      <w:lang w:eastAsia="lv-LV"/>
                    </w:rPr>
                  </w:pPr>
                  <w:r>
                    <w:rPr>
                      <w:iCs/>
                      <w:sz w:val="20"/>
                      <w:szCs w:val="20"/>
                      <w:lang w:eastAsia="lv-LV"/>
                    </w:rPr>
                    <w:t>+2 </w:t>
                  </w:r>
                  <w:r w:rsidRPr="00FA2181">
                    <w:rPr>
                      <w:iCs/>
                      <w:sz w:val="20"/>
                      <w:szCs w:val="20"/>
                      <w:lang w:eastAsia="lv-LV"/>
                    </w:rPr>
                    <w:t>494</w:t>
                  </w:r>
                  <w:r>
                    <w:rPr>
                      <w:iCs/>
                      <w:sz w:val="20"/>
                      <w:szCs w:val="20"/>
                      <w:lang w:eastAsia="lv-LV"/>
                    </w:rPr>
                    <w:t> </w:t>
                  </w:r>
                  <w:r w:rsidRPr="00FA2181">
                    <w:rPr>
                      <w:iCs/>
                      <w:sz w:val="20"/>
                      <w:szCs w:val="20"/>
                      <w:lang w:eastAsia="lv-LV"/>
                    </w:rPr>
                    <w:t>000</w:t>
                  </w:r>
                </w:p>
              </w:tc>
            </w:tr>
          </w:tbl>
          <w:p w:rsidR="006626E4" w:rsidRDefault="006626E4" w:rsidP="006626E4">
            <w:pPr>
              <w:rPr>
                <w:sz w:val="24"/>
              </w:rPr>
            </w:pPr>
            <w:r>
              <w:rPr>
                <w:sz w:val="24"/>
              </w:rPr>
              <w:t>*</w:t>
            </w:r>
            <w:r w:rsidRPr="0011703F">
              <w:rPr>
                <w:i/>
                <w:sz w:val="22"/>
                <w:szCs w:val="22"/>
              </w:rPr>
              <w:t xml:space="preserve">ieskaitot iemaksas </w:t>
            </w:r>
            <w:r>
              <w:rPr>
                <w:i/>
                <w:sz w:val="22"/>
                <w:szCs w:val="22"/>
              </w:rPr>
              <w:t>valsts fondēto pensiju shēmā</w:t>
            </w:r>
          </w:p>
          <w:p w:rsidR="006626E4" w:rsidRPr="00C43BE8" w:rsidRDefault="006626E4" w:rsidP="00824DEB">
            <w:pPr>
              <w:rPr>
                <w:b/>
                <w:sz w:val="22"/>
                <w:szCs w:val="22"/>
              </w:rPr>
            </w:pPr>
            <w:r>
              <w:rPr>
                <w:sz w:val="24"/>
              </w:rPr>
              <w:t>**</w:t>
            </w:r>
            <w:r>
              <w:rPr>
                <w:i/>
                <w:sz w:val="22"/>
                <w:szCs w:val="22"/>
              </w:rPr>
              <w:t>VSAOI no darba ņēmējiem</w:t>
            </w:r>
            <w:r w:rsidRPr="00E576A3">
              <w:rPr>
                <w:i/>
                <w:sz w:val="22"/>
                <w:szCs w:val="22"/>
              </w:rPr>
              <w:t xml:space="preserve"> </w:t>
            </w:r>
            <w:r>
              <w:rPr>
                <w:i/>
                <w:sz w:val="22"/>
                <w:szCs w:val="22"/>
              </w:rPr>
              <w:t>+</w:t>
            </w:r>
            <w:r w:rsidRPr="00E576A3">
              <w:rPr>
                <w:i/>
                <w:sz w:val="22"/>
                <w:szCs w:val="22"/>
              </w:rPr>
              <w:t xml:space="preserve"> 4 019</w:t>
            </w:r>
            <w:r>
              <w:rPr>
                <w:i/>
                <w:sz w:val="22"/>
                <w:szCs w:val="22"/>
              </w:rPr>
              <w:t> 000 </w:t>
            </w:r>
            <w:proofErr w:type="spellStart"/>
            <w:r w:rsidRPr="00E576A3">
              <w:rPr>
                <w:i/>
                <w:sz w:val="22"/>
                <w:szCs w:val="22"/>
              </w:rPr>
              <w:t>euro</w:t>
            </w:r>
            <w:proofErr w:type="spellEnd"/>
            <w:r w:rsidRPr="00E576A3">
              <w:rPr>
                <w:i/>
                <w:sz w:val="22"/>
                <w:szCs w:val="22"/>
              </w:rPr>
              <w:t xml:space="preserve"> un no darba devējiem </w:t>
            </w:r>
            <w:r>
              <w:rPr>
                <w:i/>
                <w:sz w:val="22"/>
                <w:szCs w:val="22"/>
              </w:rPr>
              <w:t>+</w:t>
            </w:r>
            <w:r w:rsidRPr="00E576A3">
              <w:rPr>
                <w:i/>
                <w:sz w:val="22"/>
                <w:szCs w:val="22"/>
              </w:rPr>
              <w:t>9 032 000 </w:t>
            </w:r>
            <w:proofErr w:type="spellStart"/>
            <w:r w:rsidRPr="00E576A3">
              <w:rPr>
                <w:i/>
                <w:sz w:val="22"/>
                <w:szCs w:val="22"/>
              </w:rPr>
              <w:t>euro</w:t>
            </w:r>
            <w:proofErr w:type="spellEnd"/>
          </w:p>
        </w:tc>
      </w:tr>
      <w:tr w:rsidR="006626E4" w:rsidRPr="00695C94" w:rsidTr="00B07024">
        <w:tc>
          <w:tcPr>
            <w:tcW w:w="2012" w:type="dxa"/>
            <w:shd w:val="clear" w:color="auto" w:fill="auto"/>
          </w:tcPr>
          <w:p w:rsidR="006626E4" w:rsidRPr="00EE1BB2" w:rsidRDefault="006626E4" w:rsidP="00C0142A">
            <w:pPr>
              <w:jc w:val="both"/>
              <w:rPr>
                <w:sz w:val="22"/>
                <w:szCs w:val="22"/>
              </w:rPr>
            </w:pPr>
            <w:r w:rsidRPr="00EE1BB2">
              <w:rPr>
                <w:sz w:val="22"/>
                <w:szCs w:val="22"/>
              </w:rPr>
              <w:lastRenderedPageBreak/>
              <w:t>7. Cita informācija</w:t>
            </w:r>
          </w:p>
        </w:tc>
        <w:tc>
          <w:tcPr>
            <w:tcW w:w="7275" w:type="dxa"/>
            <w:gridSpan w:val="7"/>
            <w:shd w:val="clear" w:color="auto" w:fill="auto"/>
          </w:tcPr>
          <w:p w:rsidR="006626E4" w:rsidRPr="00695C94" w:rsidRDefault="006626E4" w:rsidP="00696DE8">
            <w:pPr>
              <w:jc w:val="both"/>
              <w:rPr>
                <w:sz w:val="24"/>
              </w:rPr>
            </w:pPr>
            <w:r w:rsidRPr="00695C94">
              <w:rPr>
                <w:b/>
                <w:bCs/>
                <w:sz w:val="24"/>
              </w:rPr>
              <w:t xml:space="preserve">Finanšu ministrijas aprēķins par papildus nepieciešamo finansējumu minimālās mēneša darba algas paaugstināšanai no </w:t>
            </w:r>
            <w:r>
              <w:rPr>
                <w:b/>
                <w:bCs/>
                <w:sz w:val="24"/>
              </w:rPr>
              <w:t>320</w:t>
            </w:r>
            <w:r w:rsidRPr="00695C94">
              <w:rPr>
                <w:b/>
                <w:bCs/>
                <w:sz w:val="24"/>
              </w:rPr>
              <w:t xml:space="preserve"> </w:t>
            </w:r>
            <w:proofErr w:type="spellStart"/>
            <w:r>
              <w:rPr>
                <w:b/>
                <w:bCs/>
                <w:sz w:val="24"/>
              </w:rPr>
              <w:t>euro</w:t>
            </w:r>
            <w:proofErr w:type="spellEnd"/>
            <w:r w:rsidRPr="00695C94">
              <w:rPr>
                <w:b/>
                <w:bCs/>
                <w:sz w:val="24"/>
              </w:rPr>
              <w:t xml:space="preserve"> līdz </w:t>
            </w:r>
            <w:r>
              <w:rPr>
                <w:b/>
                <w:bCs/>
                <w:sz w:val="24"/>
              </w:rPr>
              <w:t xml:space="preserve">360 </w:t>
            </w:r>
            <w:proofErr w:type="spellStart"/>
            <w:r w:rsidRPr="00D2236A">
              <w:rPr>
                <w:b/>
                <w:bCs/>
                <w:i/>
                <w:sz w:val="24"/>
              </w:rPr>
              <w:t>euro</w:t>
            </w:r>
            <w:proofErr w:type="spellEnd"/>
            <w:r w:rsidRPr="00695C94">
              <w:rPr>
                <w:b/>
                <w:bCs/>
                <w:sz w:val="24"/>
              </w:rPr>
              <w:t xml:space="preserve"> </w:t>
            </w:r>
            <w:r>
              <w:rPr>
                <w:b/>
                <w:bCs/>
                <w:sz w:val="24"/>
              </w:rPr>
              <w:t>ir</w:t>
            </w:r>
            <w:r w:rsidRPr="00695C94">
              <w:rPr>
                <w:b/>
                <w:bCs/>
                <w:sz w:val="24"/>
              </w:rPr>
              <w:t xml:space="preserve"> </w:t>
            </w:r>
            <w:r w:rsidRPr="00695C94">
              <w:rPr>
                <w:b/>
                <w:sz w:val="24"/>
              </w:rPr>
              <w:t>saskaņo</w:t>
            </w:r>
            <w:r>
              <w:rPr>
                <w:b/>
                <w:sz w:val="24"/>
              </w:rPr>
              <w:t>t</w:t>
            </w:r>
            <w:r w:rsidRPr="00695C94">
              <w:rPr>
                <w:b/>
                <w:sz w:val="24"/>
              </w:rPr>
              <w:t>s ar nozaru ministrijām un iekļauts likumprojektā „Par valsts budžetu 201</w:t>
            </w:r>
            <w:r>
              <w:rPr>
                <w:b/>
                <w:sz w:val="24"/>
              </w:rPr>
              <w:t>5</w:t>
            </w:r>
            <w:r w:rsidRPr="00695C94">
              <w:rPr>
                <w:b/>
                <w:sz w:val="24"/>
              </w:rPr>
              <w:t>.gadam”</w:t>
            </w:r>
            <w:r w:rsidRPr="00695C94">
              <w:rPr>
                <w:b/>
                <w:bCs/>
                <w:sz w:val="24"/>
              </w:rPr>
              <w:t>.</w:t>
            </w:r>
          </w:p>
        </w:tc>
      </w:tr>
    </w:tbl>
    <w:p w:rsidR="009D61CB" w:rsidRDefault="009D61C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5D7681" w:rsidRPr="00695C94" w:rsidTr="0090004D">
        <w:tc>
          <w:tcPr>
            <w:tcW w:w="9321" w:type="dxa"/>
            <w:gridSpan w:val="3"/>
            <w:shd w:val="clear" w:color="auto" w:fill="auto"/>
          </w:tcPr>
          <w:p w:rsidR="005D7681" w:rsidRDefault="005D7681" w:rsidP="0090004D">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rsidR="005D7681" w:rsidRPr="00695C94" w:rsidRDefault="005D7681" w:rsidP="0090004D">
            <w:pPr>
              <w:jc w:val="center"/>
              <w:rPr>
                <w:b/>
                <w:sz w:val="24"/>
              </w:rPr>
            </w:pPr>
          </w:p>
        </w:tc>
      </w:tr>
      <w:tr w:rsidR="005D7681" w:rsidRPr="00695C94" w:rsidTr="0090004D">
        <w:tc>
          <w:tcPr>
            <w:tcW w:w="851" w:type="dxa"/>
            <w:shd w:val="clear" w:color="auto" w:fill="auto"/>
          </w:tcPr>
          <w:p w:rsidR="005D7681" w:rsidRPr="00695C94" w:rsidRDefault="005D7681" w:rsidP="0090004D">
            <w:pPr>
              <w:rPr>
                <w:sz w:val="24"/>
              </w:rPr>
            </w:pPr>
            <w:r w:rsidRPr="00695C94">
              <w:rPr>
                <w:sz w:val="24"/>
              </w:rPr>
              <w:t>1.</w:t>
            </w:r>
          </w:p>
        </w:tc>
        <w:tc>
          <w:tcPr>
            <w:tcW w:w="2268" w:type="dxa"/>
            <w:shd w:val="clear" w:color="auto" w:fill="auto"/>
          </w:tcPr>
          <w:p w:rsidR="005D7681" w:rsidRPr="00695C94" w:rsidRDefault="005D7681" w:rsidP="0090004D">
            <w:pPr>
              <w:rPr>
                <w:sz w:val="24"/>
              </w:rPr>
            </w:pPr>
            <w:r w:rsidRPr="00695C94">
              <w:rPr>
                <w:sz w:val="24"/>
              </w:rPr>
              <w:t>Nepieciešamie saistītie tiesību akta projekti</w:t>
            </w:r>
          </w:p>
        </w:tc>
        <w:tc>
          <w:tcPr>
            <w:tcW w:w="6202" w:type="dxa"/>
            <w:shd w:val="clear" w:color="auto" w:fill="auto"/>
          </w:tcPr>
          <w:p w:rsidR="005D7681" w:rsidRPr="00695C94" w:rsidRDefault="005D7681" w:rsidP="005D7681">
            <w:pPr>
              <w:pStyle w:val="Footer"/>
              <w:tabs>
                <w:tab w:val="clear" w:pos="4153"/>
                <w:tab w:val="clear" w:pos="8306"/>
              </w:tabs>
              <w:jc w:val="both"/>
              <w:rPr>
                <w:sz w:val="24"/>
              </w:rPr>
            </w:pPr>
            <w:r w:rsidRPr="00695C94">
              <w:rPr>
                <w:sz w:val="24"/>
              </w:rPr>
              <w:t xml:space="preserve">Pēc šo noteikumu pieņemšanas Ministru kabinetā un saskaņā ar </w:t>
            </w:r>
            <w:r w:rsidRPr="005627C6">
              <w:rPr>
                <w:sz w:val="24"/>
              </w:rPr>
              <w:t>Ministru kabineta 2011.gada 17.maija noteikumi Nr.390</w:t>
            </w:r>
            <w:r w:rsidRPr="00695C94">
              <w:rPr>
                <w:sz w:val="24"/>
              </w:rPr>
              <w:t xml:space="preserve"> „</w:t>
            </w:r>
            <w:r>
              <w:rPr>
                <w:sz w:val="24"/>
              </w:rPr>
              <w:t>Minimālās mēneša darba algas noteikšanas un pārskatīšanas kārtība</w:t>
            </w:r>
            <w:r w:rsidRPr="00695C94">
              <w:rPr>
                <w:sz w:val="24"/>
              </w:rPr>
              <w:t>”</w:t>
            </w:r>
            <w:r>
              <w:rPr>
                <w:sz w:val="24"/>
              </w:rPr>
              <w:t xml:space="preserve"> </w:t>
            </w:r>
            <w:r w:rsidRPr="00695C94">
              <w:rPr>
                <w:b/>
                <w:sz w:val="24"/>
              </w:rPr>
              <w:t>līdz 201</w:t>
            </w:r>
            <w:r>
              <w:rPr>
                <w:b/>
                <w:sz w:val="24"/>
              </w:rPr>
              <w:t>4</w:t>
            </w:r>
            <w:r w:rsidRPr="00695C94">
              <w:rPr>
                <w:b/>
                <w:sz w:val="24"/>
              </w:rPr>
              <w:t xml:space="preserve">.gada </w:t>
            </w:r>
            <w:r w:rsidR="00DA2A6F">
              <w:rPr>
                <w:b/>
                <w:sz w:val="24"/>
              </w:rPr>
              <w:t>10.decembrim</w:t>
            </w:r>
            <w:r w:rsidRPr="00695C94">
              <w:rPr>
                <w:b/>
                <w:sz w:val="24"/>
              </w:rPr>
              <w:t xml:space="preserve"> ir jāizstrādā </w:t>
            </w:r>
            <w:r>
              <w:rPr>
                <w:b/>
                <w:sz w:val="24"/>
              </w:rPr>
              <w:t>divi</w:t>
            </w:r>
            <w:r w:rsidRPr="00695C94">
              <w:rPr>
                <w:b/>
                <w:sz w:val="24"/>
              </w:rPr>
              <w:t xml:space="preserve"> tiesību aktu projekti</w:t>
            </w:r>
            <w:r w:rsidRPr="00695C94">
              <w:rPr>
                <w:sz w:val="24"/>
              </w:rPr>
              <w:t xml:space="preserve"> par nepieciešamajiem grozījumiem Ministru kabineta noteikumos, kas saistīti ar darba samaksas jautājumiem:</w:t>
            </w:r>
          </w:p>
          <w:p w:rsidR="005D7681" w:rsidRPr="00695C94" w:rsidRDefault="005D7681" w:rsidP="005D7681">
            <w:pPr>
              <w:pStyle w:val="naiskr"/>
              <w:tabs>
                <w:tab w:val="left" w:pos="2628"/>
              </w:tabs>
              <w:spacing w:before="0" w:after="0"/>
              <w:jc w:val="both"/>
              <w:rPr>
                <w:iCs/>
              </w:rPr>
            </w:pPr>
            <w:r w:rsidRPr="00695C94">
              <w:rPr>
                <w:iCs/>
              </w:rPr>
              <w:t>1) Grozījumi Ministru kabineta 20</w:t>
            </w:r>
            <w:r w:rsidR="006665D0">
              <w:rPr>
                <w:iCs/>
              </w:rPr>
              <w:t>13</w:t>
            </w:r>
            <w:r w:rsidRPr="00695C94">
              <w:rPr>
                <w:iCs/>
              </w:rPr>
              <w:t xml:space="preserve">.gada </w:t>
            </w:r>
            <w:r w:rsidR="006665D0">
              <w:rPr>
                <w:iCs/>
              </w:rPr>
              <w:t>29.janvāra</w:t>
            </w:r>
            <w:r w:rsidRPr="00695C94">
              <w:rPr>
                <w:iCs/>
              </w:rPr>
              <w:t xml:space="preserve"> noteikumos Nr.</w:t>
            </w:r>
            <w:r w:rsidR="006665D0">
              <w:rPr>
                <w:iCs/>
              </w:rPr>
              <w:t>66</w:t>
            </w:r>
            <w:r w:rsidRPr="00695C94">
              <w:rPr>
                <w:iCs/>
              </w:rPr>
              <w:t xml:space="preserve"> „</w:t>
            </w:r>
            <w:r w:rsidR="006665D0">
              <w:t>Noteikumi par valsts un pašvaldību institūciju amatpersonu un darbinieku darba samaksu un tās noteikšanas kārtību</w:t>
            </w:r>
            <w:r w:rsidRPr="00695C94">
              <w:rPr>
                <w:bCs/>
              </w:rPr>
              <w:t>”;</w:t>
            </w:r>
          </w:p>
          <w:p w:rsidR="005D7681" w:rsidRPr="00695C94" w:rsidRDefault="005D7681" w:rsidP="005D7681">
            <w:pPr>
              <w:pStyle w:val="naiskr"/>
              <w:tabs>
                <w:tab w:val="left" w:pos="2628"/>
              </w:tabs>
              <w:spacing w:before="0" w:after="0"/>
              <w:jc w:val="both"/>
              <w:rPr>
                <w:iCs/>
              </w:rPr>
            </w:pPr>
            <w:r>
              <w:rPr>
                <w:bCs/>
              </w:rPr>
              <w:t>2</w:t>
            </w:r>
            <w:r w:rsidRPr="00695C94">
              <w:rPr>
                <w:bCs/>
              </w:rPr>
              <w:t>) Grozījumi Ministru kabineta 2010.gada 29.jūnija noteikumos Nr.595 „Noteikumi par zemāko mēnešalgu un speciālo piemaksu ārstniecības personām”,</w:t>
            </w:r>
          </w:p>
          <w:p w:rsidR="005D7681" w:rsidRPr="00C76DE9" w:rsidRDefault="00C76DE9" w:rsidP="006E3677">
            <w:pPr>
              <w:pStyle w:val="Footer"/>
              <w:tabs>
                <w:tab w:val="clear" w:pos="4153"/>
                <w:tab w:val="clear" w:pos="8306"/>
              </w:tabs>
              <w:jc w:val="both"/>
              <w:rPr>
                <w:iCs/>
                <w:sz w:val="24"/>
              </w:rPr>
            </w:pPr>
            <w:r w:rsidRPr="00C76DE9">
              <w:rPr>
                <w:sz w:val="24"/>
              </w:rPr>
              <w:t xml:space="preserve">kuros jāparedz zemākās mēneša darba algas (mēnešalgas) apmēra paaugstināšana no 320 </w:t>
            </w:r>
            <w:proofErr w:type="spellStart"/>
            <w:r w:rsidRPr="00C76DE9">
              <w:rPr>
                <w:sz w:val="24"/>
              </w:rPr>
              <w:t>euro</w:t>
            </w:r>
            <w:proofErr w:type="spellEnd"/>
            <w:r w:rsidRPr="00C76DE9">
              <w:rPr>
                <w:sz w:val="24"/>
              </w:rPr>
              <w:t xml:space="preserve"> līdz 360 </w:t>
            </w:r>
            <w:proofErr w:type="spellStart"/>
            <w:r w:rsidRPr="00C76DE9">
              <w:rPr>
                <w:i/>
                <w:sz w:val="24"/>
              </w:rPr>
              <w:t>euro</w:t>
            </w:r>
            <w:proofErr w:type="spellEnd"/>
            <w:r w:rsidRPr="00C76DE9">
              <w:rPr>
                <w:sz w:val="24"/>
              </w:rPr>
              <w:t xml:space="preserve"> (kā arī mēnešalgu skalu izlīdzināšana) un, </w:t>
            </w:r>
            <w:r w:rsidRPr="00C76DE9">
              <w:rPr>
                <w:b/>
                <w:sz w:val="24"/>
              </w:rPr>
              <w:t>lai tie stātos spēkā ar 2015.gada 1.janvāri.</w:t>
            </w:r>
          </w:p>
        </w:tc>
      </w:tr>
      <w:tr w:rsidR="005D7681" w:rsidRPr="00695C94" w:rsidTr="0090004D">
        <w:tc>
          <w:tcPr>
            <w:tcW w:w="851" w:type="dxa"/>
            <w:shd w:val="clear" w:color="auto" w:fill="auto"/>
          </w:tcPr>
          <w:p w:rsidR="005D7681" w:rsidRPr="00695C94" w:rsidRDefault="005D7681" w:rsidP="0090004D">
            <w:pPr>
              <w:rPr>
                <w:sz w:val="24"/>
              </w:rPr>
            </w:pPr>
            <w:r w:rsidRPr="00695C94">
              <w:rPr>
                <w:sz w:val="24"/>
              </w:rPr>
              <w:t xml:space="preserve">2. </w:t>
            </w:r>
          </w:p>
        </w:tc>
        <w:tc>
          <w:tcPr>
            <w:tcW w:w="2268" w:type="dxa"/>
            <w:shd w:val="clear" w:color="auto" w:fill="auto"/>
          </w:tcPr>
          <w:p w:rsidR="005D7681" w:rsidRPr="00E17337" w:rsidRDefault="005D7681" w:rsidP="0090004D">
            <w:pPr>
              <w:rPr>
                <w:sz w:val="24"/>
              </w:rPr>
            </w:pPr>
            <w:r w:rsidRPr="00E17337">
              <w:rPr>
                <w:sz w:val="24"/>
              </w:rPr>
              <w:t>Atbildīgā institūcija</w:t>
            </w:r>
          </w:p>
        </w:tc>
        <w:tc>
          <w:tcPr>
            <w:tcW w:w="6202" w:type="dxa"/>
            <w:shd w:val="clear" w:color="auto" w:fill="auto"/>
          </w:tcPr>
          <w:p w:rsidR="005D7681" w:rsidRPr="00695C94" w:rsidRDefault="005D7681" w:rsidP="00EA7AB3">
            <w:pPr>
              <w:jc w:val="both"/>
              <w:rPr>
                <w:sz w:val="24"/>
              </w:rPr>
            </w:pPr>
            <w:r>
              <w:rPr>
                <w:sz w:val="24"/>
              </w:rPr>
              <w:t>Finanšu ministrija</w:t>
            </w:r>
            <w:r w:rsidR="00E8430A">
              <w:rPr>
                <w:sz w:val="24"/>
              </w:rPr>
              <w:t xml:space="preserve"> </w:t>
            </w:r>
            <w:r w:rsidR="00DA2A6F">
              <w:rPr>
                <w:sz w:val="24"/>
              </w:rPr>
              <w:t xml:space="preserve">atbildīga </w:t>
            </w:r>
            <w:r w:rsidR="00E8430A">
              <w:rPr>
                <w:sz w:val="24"/>
              </w:rPr>
              <w:t xml:space="preserve">par pirmo grozījumu Ministru kabineta noteikumos un Veselības ministrija </w:t>
            </w:r>
            <w:r w:rsidR="00DA2A6F">
              <w:rPr>
                <w:sz w:val="24"/>
              </w:rPr>
              <w:t xml:space="preserve">atbildīga </w:t>
            </w:r>
            <w:r w:rsidR="00E8430A">
              <w:rPr>
                <w:sz w:val="24"/>
              </w:rPr>
              <w:t>par otro grozījumu Ministru kabineta noteikumos</w:t>
            </w:r>
            <w:r w:rsidR="00DA2A6F">
              <w:rPr>
                <w:sz w:val="24"/>
              </w:rPr>
              <w:t>.</w:t>
            </w:r>
          </w:p>
        </w:tc>
      </w:tr>
      <w:tr w:rsidR="005D7681" w:rsidRPr="00695C94" w:rsidTr="0090004D">
        <w:tc>
          <w:tcPr>
            <w:tcW w:w="851" w:type="dxa"/>
            <w:shd w:val="clear" w:color="auto" w:fill="auto"/>
          </w:tcPr>
          <w:p w:rsidR="005D7681" w:rsidRPr="00695C94" w:rsidRDefault="005D7681" w:rsidP="0090004D">
            <w:pPr>
              <w:rPr>
                <w:sz w:val="24"/>
              </w:rPr>
            </w:pPr>
            <w:r>
              <w:rPr>
                <w:sz w:val="24"/>
              </w:rPr>
              <w:t>3.</w:t>
            </w:r>
          </w:p>
        </w:tc>
        <w:tc>
          <w:tcPr>
            <w:tcW w:w="2268" w:type="dxa"/>
            <w:shd w:val="clear" w:color="auto" w:fill="auto"/>
          </w:tcPr>
          <w:p w:rsidR="005D7681" w:rsidRPr="00695C94" w:rsidRDefault="005D7681" w:rsidP="0090004D">
            <w:pPr>
              <w:rPr>
                <w:sz w:val="24"/>
              </w:rPr>
            </w:pPr>
            <w:r w:rsidRPr="00695C94">
              <w:rPr>
                <w:sz w:val="24"/>
              </w:rPr>
              <w:t>Cita informācija</w:t>
            </w:r>
          </w:p>
        </w:tc>
        <w:tc>
          <w:tcPr>
            <w:tcW w:w="6202" w:type="dxa"/>
            <w:shd w:val="clear" w:color="auto" w:fill="auto"/>
          </w:tcPr>
          <w:p w:rsidR="005D7681" w:rsidRPr="00695C94" w:rsidRDefault="005D7681" w:rsidP="0090004D">
            <w:pPr>
              <w:jc w:val="both"/>
              <w:rPr>
                <w:sz w:val="24"/>
              </w:rPr>
            </w:pPr>
            <w:r w:rsidRPr="00695C94">
              <w:rPr>
                <w:sz w:val="24"/>
              </w:rPr>
              <w:t>Nav.</w:t>
            </w:r>
          </w:p>
        </w:tc>
      </w:tr>
    </w:tbl>
    <w:p w:rsidR="00124129" w:rsidRPr="00EE1BB2" w:rsidRDefault="00124129" w:rsidP="00BD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202"/>
      </w:tblGrid>
      <w:tr w:rsidR="00032E7D" w:rsidRPr="00EE1BB2" w:rsidTr="00695C94">
        <w:tc>
          <w:tcPr>
            <w:tcW w:w="9287" w:type="dxa"/>
            <w:gridSpan w:val="3"/>
            <w:shd w:val="clear" w:color="auto" w:fill="auto"/>
          </w:tcPr>
          <w:p w:rsidR="00032E7D" w:rsidRPr="00695C94" w:rsidRDefault="00032E7D" w:rsidP="00695C94">
            <w:pPr>
              <w:jc w:val="center"/>
              <w:rPr>
                <w:b/>
                <w:sz w:val="24"/>
              </w:rPr>
            </w:pPr>
            <w:r w:rsidRPr="00695C94">
              <w:rPr>
                <w:b/>
                <w:sz w:val="24"/>
              </w:rPr>
              <w:t>V Tiesību akta projekta atbilstība Latvijas Republikas starptautiskajām saistībām</w:t>
            </w:r>
          </w:p>
        </w:tc>
      </w:tr>
      <w:tr w:rsidR="00032E7D" w:rsidRPr="00EE1BB2" w:rsidTr="00BC420F">
        <w:tc>
          <w:tcPr>
            <w:tcW w:w="817" w:type="dxa"/>
            <w:shd w:val="clear" w:color="auto" w:fill="auto"/>
          </w:tcPr>
          <w:p w:rsidR="00032E7D" w:rsidRPr="00695C94" w:rsidRDefault="00032E7D" w:rsidP="00695C94">
            <w:pPr>
              <w:jc w:val="center"/>
              <w:rPr>
                <w:sz w:val="22"/>
                <w:szCs w:val="22"/>
              </w:rPr>
            </w:pPr>
            <w:r w:rsidRPr="00695C94">
              <w:rPr>
                <w:sz w:val="22"/>
                <w:szCs w:val="22"/>
              </w:rPr>
              <w:t>1.</w:t>
            </w:r>
          </w:p>
        </w:tc>
        <w:tc>
          <w:tcPr>
            <w:tcW w:w="2268" w:type="dxa"/>
            <w:shd w:val="clear" w:color="auto" w:fill="auto"/>
          </w:tcPr>
          <w:p w:rsidR="00032E7D" w:rsidRPr="00695C94" w:rsidRDefault="00032E7D" w:rsidP="00695C94">
            <w:pPr>
              <w:tabs>
                <w:tab w:val="left" w:pos="2628"/>
              </w:tabs>
              <w:rPr>
                <w:iCs/>
                <w:sz w:val="22"/>
                <w:szCs w:val="22"/>
              </w:rPr>
            </w:pPr>
            <w:r w:rsidRPr="00695C94">
              <w:rPr>
                <w:sz w:val="22"/>
                <w:szCs w:val="22"/>
              </w:rPr>
              <w:t>Saistības pret Eiropas Savienību</w:t>
            </w:r>
          </w:p>
        </w:tc>
        <w:tc>
          <w:tcPr>
            <w:tcW w:w="6202" w:type="dxa"/>
            <w:shd w:val="clear" w:color="auto" w:fill="auto"/>
          </w:tcPr>
          <w:p w:rsidR="00032E7D" w:rsidRPr="00695C94" w:rsidRDefault="00FC198B" w:rsidP="00695C94">
            <w:pPr>
              <w:pStyle w:val="naiskr"/>
              <w:tabs>
                <w:tab w:val="left" w:pos="2628"/>
              </w:tabs>
              <w:spacing w:before="0" w:after="0"/>
              <w:jc w:val="both"/>
              <w:rPr>
                <w:sz w:val="22"/>
                <w:szCs w:val="22"/>
              </w:rPr>
            </w:pPr>
            <w:r w:rsidRPr="00695C94">
              <w:rPr>
                <w:sz w:val="22"/>
                <w:szCs w:val="22"/>
              </w:rPr>
              <w:t>Nav.</w:t>
            </w:r>
          </w:p>
          <w:p w:rsidR="00FC198B" w:rsidRPr="00695C94" w:rsidRDefault="00FC198B" w:rsidP="00695C94">
            <w:pPr>
              <w:pStyle w:val="naiskr"/>
              <w:tabs>
                <w:tab w:val="left" w:pos="2628"/>
              </w:tabs>
              <w:spacing w:before="0" w:after="0"/>
              <w:jc w:val="both"/>
              <w:rPr>
                <w:iCs/>
              </w:rPr>
            </w:pPr>
          </w:p>
        </w:tc>
      </w:tr>
      <w:tr w:rsidR="00032E7D" w:rsidRPr="00EE1BB2" w:rsidTr="00BC420F">
        <w:tc>
          <w:tcPr>
            <w:tcW w:w="817" w:type="dxa"/>
            <w:shd w:val="clear" w:color="auto" w:fill="auto"/>
          </w:tcPr>
          <w:p w:rsidR="00032E7D" w:rsidRPr="00695C94" w:rsidRDefault="00032E7D" w:rsidP="00695C94">
            <w:pPr>
              <w:jc w:val="center"/>
              <w:rPr>
                <w:sz w:val="22"/>
                <w:szCs w:val="22"/>
              </w:rPr>
            </w:pPr>
            <w:r w:rsidRPr="00695C94">
              <w:rPr>
                <w:sz w:val="22"/>
                <w:szCs w:val="22"/>
              </w:rPr>
              <w:t>2.</w:t>
            </w:r>
          </w:p>
        </w:tc>
        <w:tc>
          <w:tcPr>
            <w:tcW w:w="2268" w:type="dxa"/>
            <w:shd w:val="clear" w:color="auto" w:fill="auto"/>
          </w:tcPr>
          <w:p w:rsidR="00032E7D" w:rsidRPr="00695C94" w:rsidRDefault="00032E7D" w:rsidP="00695C94">
            <w:pPr>
              <w:tabs>
                <w:tab w:val="left" w:pos="2628"/>
              </w:tabs>
              <w:rPr>
                <w:iCs/>
                <w:sz w:val="22"/>
                <w:szCs w:val="22"/>
              </w:rPr>
            </w:pPr>
            <w:r w:rsidRPr="00695C94">
              <w:rPr>
                <w:sz w:val="22"/>
                <w:szCs w:val="22"/>
              </w:rPr>
              <w:t>Citas starptautiskās saistības</w:t>
            </w:r>
          </w:p>
        </w:tc>
        <w:tc>
          <w:tcPr>
            <w:tcW w:w="6202" w:type="dxa"/>
            <w:shd w:val="clear" w:color="auto" w:fill="auto"/>
          </w:tcPr>
          <w:p w:rsidR="00032E7D" w:rsidRPr="00695C94" w:rsidRDefault="00FC198B" w:rsidP="00695C94">
            <w:pPr>
              <w:pStyle w:val="naiskr"/>
              <w:tabs>
                <w:tab w:val="left" w:pos="2628"/>
              </w:tabs>
              <w:spacing w:before="0" w:after="0"/>
              <w:jc w:val="both"/>
              <w:rPr>
                <w:szCs w:val="28"/>
              </w:rPr>
            </w:pPr>
            <w:r w:rsidRPr="00695C94">
              <w:rPr>
                <w:szCs w:val="28"/>
              </w:rPr>
              <w:t>Latvija izpildīs saistības pret Starptautisko darba organizāciju.</w:t>
            </w:r>
          </w:p>
          <w:p w:rsidR="00FC198B" w:rsidRPr="00695C94" w:rsidRDefault="00FC198B" w:rsidP="00695C94">
            <w:pPr>
              <w:pStyle w:val="naiskr"/>
              <w:tabs>
                <w:tab w:val="left" w:pos="2628"/>
              </w:tabs>
              <w:spacing w:before="0" w:after="0"/>
              <w:jc w:val="both"/>
              <w:rPr>
                <w:i/>
                <w:iCs/>
              </w:rPr>
            </w:pPr>
            <w:r w:rsidRPr="00695C94">
              <w:rPr>
                <w:szCs w:val="28"/>
              </w:rPr>
              <w:t>Starptautiskās darba organizācij</w:t>
            </w:r>
            <w:r w:rsidR="00454145">
              <w:rPr>
                <w:szCs w:val="28"/>
              </w:rPr>
              <w:t>as 1970.gada konvencija Nr.131 „</w:t>
            </w:r>
            <w:r w:rsidRPr="00695C94">
              <w:rPr>
                <w:szCs w:val="28"/>
              </w:rPr>
              <w:t>Par minimālās darba algas noteikšanu”, ratificēta ar Augstākās Padomes 1993.gada 12.janvāra lēmumu “Par Starptautiskās darba organizācijas konvenciju ratifikāciju”.</w:t>
            </w:r>
          </w:p>
        </w:tc>
      </w:tr>
      <w:tr w:rsidR="00032E7D" w:rsidRPr="00EE1BB2" w:rsidTr="00BC420F">
        <w:tc>
          <w:tcPr>
            <w:tcW w:w="817" w:type="dxa"/>
            <w:shd w:val="clear" w:color="auto" w:fill="auto"/>
          </w:tcPr>
          <w:p w:rsidR="00032E7D" w:rsidRPr="00695C94" w:rsidRDefault="00032E7D" w:rsidP="00695C94">
            <w:pPr>
              <w:jc w:val="center"/>
              <w:rPr>
                <w:sz w:val="22"/>
                <w:szCs w:val="22"/>
              </w:rPr>
            </w:pPr>
            <w:r w:rsidRPr="00695C94">
              <w:rPr>
                <w:sz w:val="22"/>
                <w:szCs w:val="22"/>
              </w:rPr>
              <w:t>3.</w:t>
            </w:r>
          </w:p>
        </w:tc>
        <w:tc>
          <w:tcPr>
            <w:tcW w:w="2268" w:type="dxa"/>
            <w:shd w:val="clear" w:color="auto" w:fill="auto"/>
          </w:tcPr>
          <w:p w:rsidR="00032E7D" w:rsidRPr="00695C94" w:rsidRDefault="00032E7D" w:rsidP="00695C94">
            <w:pPr>
              <w:tabs>
                <w:tab w:val="left" w:pos="2628"/>
              </w:tabs>
              <w:rPr>
                <w:sz w:val="22"/>
                <w:szCs w:val="22"/>
              </w:rPr>
            </w:pPr>
            <w:r w:rsidRPr="00695C94">
              <w:rPr>
                <w:sz w:val="22"/>
                <w:szCs w:val="22"/>
              </w:rPr>
              <w:t>Cita informācija</w:t>
            </w:r>
          </w:p>
        </w:tc>
        <w:tc>
          <w:tcPr>
            <w:tcW w:w="6202" w:type="dxa"/>
            <w:shd w:val="clear" w:color="auto" w:fill="auto"/>
          </w:tcPr>
          <w:p w:rsidR="00032E7D" w:rsidRDefault="00FC198B" w:rsidP="00695C94">
            <w:pPr>
              <w:pStyle w:val="naiskr"/>
              <w:tabs>
                <w:tab w:val="left" w:pos="2628"/>
              </w:tabs>
              <w:spacing w:before="0" w:after="0"/>
              <w:jc w:val="both"/>
            </w:pPr>
            <w:r>
              <w:t>Nav.</w:t>
            </w:r>
          </w:p>
          <w:p w:rsidR="00FC198B" w:rsidRPr="00695C94" w:rsidRDefault="00FC198B" w:rsidP="00695C94">
            <w:pPr>
              <w:pStyle w:val="naiskr"/>
              <w:tabs>
                <w:tab w:val="left" w:pos="2628"/>
              </w:tabs>
              <w:spacing w:before="0" w:after="0"/>
              <w:jc w:val="both"/>
              <w:rPr>
                <w:i/>
                <w:iCs/>
                <w:sz w:val="22"/>
                <w:szCs w:val="22"/>
              </w:rPr>
            </w:pPr>
          </w:p>
        </w:tc>
      </w:tr>
    </w:tbl>
    <w:p w:rsidR="00032E7D" w:rsidRDefault="00032E7D"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D0CCF" w:rsidTr="00695C94">
        <w:tc>
          <w:tcPr>
            <w:tcW w:w="9287" w:type="dxa"/>
            <w:shd w:val="clear" w:color="auto" w:fill="auto"/>
          </w:tcPr>
          <w:p w:rsidR="00ED0CCF" w:rsidRPr="00607C11" w:rsidRDefault="00ED0CCF" w:rsidP="00695C94">
            <w:pPr>
              <w:pStyle w:val="naisnod"/>
              <w:spacing w:before="0" w:after="0"/>
            </w:pPr>
            <w:r w:rsidRPr="00607C11">
              <w:t>1.tabula</w:t>
            </w:r>
          </w:p>
          <w:p w:rsidR="00ED0CCF" w:rsidRDefault="00ED0CCF" w:rsidP="00695C94">
            <w:pPr>
              <w:jc w:val="center"/>
            </w:pPr>
            <w:r w:rsidRPr="00695C94">
              <w:rPr>
                <w:b/>
                <w:sz w:val="24"/>
              </w:rPr>
              <w:t>Tiesību akta projekta atbilstība ES tiesību aktiem</w:t>
            </w:r>
          </w:p>
        </w:tc>
      </w:tr>
      <w:tr w:rsidR="00ED0CCF" w:rsidRPr="00695C94" w:rsidTr="00695C94">
        <w:tc>
          <w:tcPr>
            <w:tcW w:w="9287" w:type="dxa"/>
            <w:shd w:val="clear" w:color="auto" w:fill="auto"/>
          </w:tcPr>
          <w:p w:rsidR="00ED0CCF" w:rsidRPr="00695C94" w:rsidRDefault="00ED0CCF" w:rsidP="00695C94">
            <w:pPr>
              <w:jc w:val="center"/>
              <w:rPr>
                <w:sz w:val="24"/>
              </w:rPr>
            </w:pPr>
            <w:r w:rsidRPr="00695C94">
              <w:rPr>
                <w:sz w:val="24"/>
              </w:rPr>
              <w:t>Nav attiecināms.</w:t>
            </w:r>
          </w:p>
          <w:p w:rsidR="00ED0CCF" w:rsidRPr="00607C11" w:rsidRDefault="00ED0CCF" w:rsidP="00695C94">
            <w:pPr>
              <w:pStyle w:val="naisnod"/>
              <w:spacing w:before="0" w:after="0"/>
            </w:pPr>
          </w:p>
        </w:tc>
      </w:tr>
    </w:tbl>
    <w:p w:rsidR="00BD6C2C" w:rsidRPr="00EE1BB2" w:rsidRDefault="00BD6C2C"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032E7D" w:rsidRPr="00EE1BB2" w:rsidTr="00695C94">
        <w:tc>
          <w:tcPr>
            <w:tcW w:w="9287" w:type="dxa"/>
            <w:gridSpan w:val="3"/>
            <w:shd w:val="clear" w:color="auto" w:fill="auto"/>
          </w:tcPr>
          <w:p w:rsidR="00032E7D" w:rsidRPr="00EE1BB2" w:rsidRDefault="00FC198B" w:rsidP="00695C94">
            <w:pPr>
              <w:pStyle w:val="naisnod"/>
              <w:spacing w:before="0" w:after="0"/>
            </w:pPr>
            <w:r>
              <w:t>2.tabula</w:t>
            </w:r>
          </w:p>
          <w:p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rsidR="00032E7D" w:rsidRPr="00695C94" w:rsidRDefault="00032E7D" w:rsidP="00695C94">
            <w:pPr>
              <w:jc w:val="center"/>
              <w:rPr>
                <w:b/>
                <w:sz w:val="24"/>
              </w:rPr>
            </w:pPr>
            <w:r w:rsidRPr="00695C94">
              <w:rPr>
                <w:b/>
                <w:sz w:val="24"/>
              </w:rPr>
              <w:t>Pasākumi šo saistību izpildei</w:t>
            </w:r>
          </w:p>
        </w:tc>
      </w:tr>
      <w:tr w:rsidR="00032E7D" w:rsidRPr="00EE1BB2" w:rsidTr="00695C94">
        <w:tc>
          <w:tcPr>
            <w:tcW w:w="3095" w:type="dxa"/>
            <w:shd w:val="clear" w:color="auto" w:fill="auto"/>
          </w:tcPr>
          <w:p w:rsidR="00032E7D" w:rsidRPr="00EE1BB2" w:rsidRDefault="00032E7D" w:rsidP="00D6423D">
            <w:r w:rsidRPr="00695C94">
              <w:rPr>
                <w:sz w:val="22"/>
                <w:szCs w:val="22"/>
              </w:rPr>
              <w:lastRenderedPageBreak/>
              <w:t>Attiecīgā starptautiskā tiesību akta vai starptautiskas institūcijas vai organizācijas dokumenta (turpmāk – starptautiskais dokuments) datums, numurs un nosaukums</w:t>
            </w:r>
          </w:p>
        </w:tc>
        <w:tc>
          <w:tcPr>
            <w:tcW w:w="6192" w:type="dxa"/>
            <w:gridSpan w:val="2"/>
            <w:shd w:val="clear" w:color="auto" w:fill="auto"/>
          </w:tcPr>
          <w:p w:rsidR="00FC198B" w:rsidRPr="00FC198B" w:rsidRDefault="00FC198B" w:rsidP="00695C94">
            <w:pPr>
              <w:pStyle w:val="naiskr"/>
              <w:tabs>
                <w:tab w:val="left" w:pos="2628"/>
              </w:tabs>
              <w:spacing w:before="0" w:after="0"/>
              <w:jc w:val="both"/>
            </w:pPr>
            <w:r w:rsidRPr="00FC198B">
              <w:t>Latvija izpildīs saistības pret Starptautisko darba organizāciju.</w:t>
            </w:r>
          </w:p>
          <w:p w:rsidR="00032E7D" w:rsidRPr="00695C94" w:rsidRDefault="00FC198B" w:rsidP="00695C94">
            <w:pPr>
              <w:tabs>
                <w:tab w:val="left" w:pos="325"/>
              </w:tabs>
              <w:jc w:val="both"/>
              <w:rPr>
                <w:i/>
                <w:sz w:val="24"/>
              </w:rPr>
            </w:pPr>
            <w:r w:rsidRPr="00695C94">
              <w:rPr>
                <w:sz w:val="24"/>
              </w:rPr>
              <w:t>Starptautiskās darba organizācijas 1970.gada konvencija Nr.131 “Par minimālās darba algas noteikšanu”, ratificēta ar Augstākās Padomes 1993.gada 12.janvāra lēmumu “Par Starptautiskās darba organizācijas konvenciju ratifikāciju”.</w:t>
            </w:r>
          </w:p>
        </w:tc>
      </w:tr>
      <w:tr w:rsidR="00032E7D" w:rsidRPr="00EE1BB2" w:rsidTr="00695C94">
        <w:tc>
          <w:tcPr>
            <w:tcW w:w="3095" w:type="dxa"/>
            <w:shd w:val="clear" w:color="auto" w:fill="auto"/>
          </w:tcPr>
          <w:p w:rsidR="00032E7D" w:rsidRPr="00EE1BB2" w:rsidRDefault="00032E7D" w:rsidP="00695C94">
            <w:pPr>
              <w:jc w:val="center"/>
            </w:pPr>
            <w:r w:rsidRPr="00EE1BB2">
              <w:t>A</w:t>
            </w:r>
          </w:p>
        </w:tc>
        <w:tc>
          <w:tcPr>
            <w:tcW w:w="3096" w:type="dxa"/>
            <w:shd w:val="clear" w:color="auto" w:fill="auto"/>
          </w:tcPr>
          <w:p w:rsidR="00032E7D" w:rsidRPr="00EE1BB2" w:rsidRDefault="00032E7D" w:rsidP="00695C94">
            <w:pPr>
              <w:jc w:val="center"/>
            </w:pPr>
            <w:r w:rsidRPr="00EE1BB2">
              <w:t>B</w:t>
            </w:r>
          </w:p>
        </w:tc>
        <w:tc>
          <w:tcPr>
            <w:tcW w:w="3096" w:type="dxa"/>
            <w:shd w:val="clear" w:color="auto" w:fill="auto"/>
          </w:tcPr>
          <w:p w:rsidR="00032E7D" w:rsidRPr="00EE1BB2" w:rsidRDefault="00032E7D" w:rsidP="00695C94">
            <w:pPr>
              <w:jc w:val="center"/>
            </w:pPr>
            <w:r w:rsidRPr="00EE1BB2">
              <w:t>C</w:t>
            </w:r>
          </w:p>
        </w:tc>
      </w:tr>
      <w:tr w:rsidR="00032E7D" w:rsidRPr="00EE1BB2" w:rsidTr="00695C94">
        <w:tc>
          <w:tcPr>
            <w:tcW w:w="3095" w:type="dxa"/>
            <w:shd w:val="clear" w:color="auto" w:fill="auto"/>
          </w:tcPr>
          <w:p w:rsidR="00032E7D" w:rsidRPr="00695C94" w:rsidRDefault="00032E7D" w:rsidP="00695C94">
            <w:pPr>
              <w:pStyle w:val="naiskr"/>
              <w:spacing w:before="0" w:after="0"/>
              <w:rPr>
                <w:sz w:val="22"/>
                <w:szCs w:val="22"/>
              </w:rPr>
            </w:pPr>
            <w:r w:rsidRPr="00695C94">
              <w:rPr>
                <w:sz w:val="22"/>
                <w:szCs w:val="22"/>
              </w:rPr>
              <w:t>Starptautiskās saistības (pēc būtības), kas izriet no norādītā starptautiskā dokumenta.</w:t>
            </w:r>
          </w:p>
          <w:p w:rsidR="00032E7D" w:rsidRPr="00EE1BB2" w:rsidRDefault="00032E7D" w:rsidP="00D6423D">
            <w:r w:rsidRPr="00695C94">
              <w:rPr>
                <w:sz w:val="22"/>
                <w:szCs w:val="22"/>
              </w:rPr>
              <w:t>Konkrēti veicamie pasākumi vai uzdevumi, kas nepieciešami šo starptautisko saistību izpildei</w:t>
            </w:r>
          </w:p>
        </w:tc>
        <w:tc>
          <w:tcPr>
            <w:tcW w:w="3096" w:type="dxa"/>
            <w:shd w:val="clear" w:color="auto" w:fill="auto"/>
          </w:tcPr>
          <w:p w:rsidR="00032E7D" w:rsidRPr="00695C94" w:rsidRDefault="00032E7D" w:rsidP="00695C94">
            <w:pPr>
              <w:pStyle w:val="naiskr"/>
              <w:spacing w:before="0" w:after="0"/>
              <w:rPr>
                <w:sz w:val="22"/>
                <w:szCs w:val="22"/>
              </w:rPr>
            </w:pPr>
            <w:r w:rsidRPr="00695C94">
              <w:rPr>
                <w:sz w:val="22"/>
                <w:szCs w:val="22"/>
              </w:rPr>
              <w:t>Ja pasākumi vai uzdevumi, ar ko tiks izpildītas starptautiskās saistības, tiek noteikti projektā, norāda attiecīgo projekta vienību.</w:t>
            </w:r>
          </w:p>
          <w:p w:rsidR="00032E7D" w:rsidRPr="00EE1BB2" w:rsidRDefault="00032E7D" w:rsidP="00D6423D">
            <w:r w:rsidRPr="00695C94">
              <w:rPr>
                <w:sz w:val="22"/>
                <w:szCs w:val="22"/>
              </w:rPr>
              <w:t>Vai arī norāda dokumentu, kurā sniegts izvērsts skaidrojums, kādā veidā tiks nodrošināta starptautisko saistību izpilde</w:t>
            </w:r>
          </w:p>
        </w:tc>
        <w:tc>
          <w:tcPr>
            <w:tcW w:w="3096" w:type="dxa"/>
            <w:shd w:val="clear" w:color="auto" w:fill="auto"/>
          </w:tcPr>
          <w:p w:rsidR="00032E7D" w:rsidRPr="00695C94" w:rsidRDefault="00032E7D" w:rsidP="00695C94">
            <w:pPr>
              <w:pStyle w:val="naiskr"/>
              <w:spacing w:before="0" w:after="0"/>
              <w:rPr>
                <w:sz w:val="22"/>
                <w:szCs w:val="22"/>
              </w:rPr>
            </w:pPr>
            <w:r w:rsidRPr="00695C94">
              <w:rPr>
                <w:sz w:val="22"/>
                <w:szCs w:val="22"/>
              </w:rPr>
              <w:t>Informācija par to, vai starptautiskās saistības, kas minētas šīs tabulas A ailē, tiek izpildītas pilnībā vai daļēji.</w:t>
            </w:r>
          </w:p>
          <w:p w:rsidR="00032E7D" w:rsidRPr="00695C94" w:rsidRDefault="00032E7D" w:rsidP="00695C94">
            <w:pPr>
              <w:pStyle w:val="naiskr"/>
              <w:spacing w:before="0" w:after="0"/>
              <w:rPr>
                <w:sz w:val="22"/>
                <w:szCs w:val="22"/>
              </w:rPr>
            </w:pPr>
            <w:r w:rsidRPr="00695C94">
              <w:rPr>
                <w:sz w:val="22"/>
                <w:szCs w:val="22"/>
              </w:rPr>
              <w:t>Ja attiecīgās starptautiskās saistības tiek izpildītas daļēji, sniedz attiecīgu skaidrojumu, kā arī precīzi norāda, kad un kādā veidā starptautiskās saistības tiks izpildītas pilnībā.</w:t>
            </w:r>
          </w:p>
          <w:p w:rsidR="00032E7D" w:rsidRPr="00EE1BB2" w:rsidRDefault="00032E7D" w:rsidP="00D6423D">
            <w:r w:rsidRPr="00695C94">
              <w:rPr>
                <w:sz w:val="22"/>
                <w:szCs w:val="22"/>
              </w:rPr>
              <w:t>Norāda institūciju, kas ir atbildīga par šo saistību izpildi pilnībā</w:t>
            </w:r>
          </w:p>
        </w:tc>
      </w:tr>
      <w:tr w:rsidR="006367CB" w:rsidRPr="00EE1BB2" w:rsidTr="00695C94">
        <w:tc>
          <w:tcPr>
            <w:tcW w:w="3095" w:type="dxa"/>
            <w:shd w:val="clear" w:color="auto" w:fill="auto"/>
          </w:tcPr>
          <w:p w:rsidR="006367CB" w:rsidRPr="00695C94" w:rsidRDefault="00146A94" w:rsidP="00D6423D">
            <w:pPr>
              <w:rPr>
                <w:sz w:val="24"/>
              </w:rPr>
            </w:pPr>
            <w:r w:rsidRPr="00695C94">
              <w:rPr>
                <w:sz w:val="24"/>
              </w:rPr>
              <w:t>Latvijas valsts ir ratificējusi Starptautiskās darba organizācijas, par kuras biedri kļuva 1921.gadā (darbību tajā atjaunojot 1991.gadā), 1970.gada konvenciju Nr.</w:t>
            </w:r>
            <w:r w:rsidRPr="00695C94" w:rsidDel="00526E30">
              <w:rPr>
                <w:sz w:val="24"/>
              </w:rPr>
              <w:t xml:space="preserve"> </w:t>
            </w:r>
            <w:r w:rsidRPr="00695C94">
              <w:rPr>
                <w:sz w:val="24"/>
              </w:rPr>
              <w:t>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rsidR="006367CB" w:rsidRPr="00695C94" w:rsidRDefault="007C5780" w:rsidP="00D6423D">
            <w:pPr>
              <w:rPr>
                <w:sz w:val="24"/>
              </w:rPr>
            </w:pPr>
            <w:r w:rsidRPr="00695C94">
              <w:rPr>
                <w:sz w:val="24"/>
              </w:rPr>
              <w:t>Noteikumu 2.punkts.</w:t>
            </w:r>
          </w:p>
          <w:p w:rsidR="00D94347" w:rsidRPr="005627C6" w:rsidRDefault="00146A94" w:rsidP="00D6423D">
            <w:pPr>
              <w:rPr>
                <w:sz w:val="24"/>
              </w:rPr>
            </w:pPr>
            <w:r w:rsidRPr="00695C94">
              <w:rPr>
                <w:sz w:val="24"/>
              </w:rPr>
              <w:t>20</w:t>
            </w:r>
            <w:r w:rsidR="005627C6">
              <w:rPr>
                <w:sz w:val="24"/>
              </w:rPr>
              <w:t>11</w:t>
            </w:r>
            <w:r w:rsidRPr="00695C94">
              <w:rPr>
                <w:sz w:val="24"/>
              </w:rPr>
              <w:t xml:space="preserve">.gada </w:t>
            </w:r>
            <w:r w:rsidR="005627C6">
              <w:rPr>
                <w:sz w:val="24"/>
              </w:rPr>
              <w:t>16.martā</w:t>
            </w:r>
            <w:r w:rsidRPr="00695C94">
              <w:rPr>
                <w:sz w:val="24"/>
              </w:rPr>
              <w:t xml:space="preserve"> Ministru </w:t>
            </w:r>
            <w:r w:rsidRPr="005627C6">
              <w:rPr>
                <w:sz w:val="24"/>
              </w:rPr>
              <w:t>kabinetā akceptētā koncepcija „</w:t>
            </w:r>
            <w:r w:rsidR="005627C6" w:rsidRPr="005627C6">
              <w:rPr>
                <w:sz w:val="24"/>
              </w:rPr>
              <w:t>Koncepcija par minimālās mēneša darba algas noteikšanu turpmākajiem gadiem</w:t>
            </w:r>
            <w:r w:rsidRPr="005627C6">
              <w:rPr>
                <w:sz w:val="24"/>
              </w:rPr>
              <w:t>”.</w:t>
            </w:r>
          </w:p>
          <w:p w:rsidR="00146A94" w:rsidRPr="00695C94" w:rsidRDefault="00146A94" w:rsidP="00FD463F">
            <w:pPr>
              <w:rPr>
                <w:sz w:val="24"/>
              </w:rPr>
            </w:pPr>
            <w:r w:rsidRPr="005627C6">
              <w:rPr>
                <w:sz w:val="24"/>
              </w:rPr>
              <w:t>Ministru kabineta 20</w:t>
            </w:r>
            <w:r w:rsidR="00C0142A" w:rsidRPr="005627C6">
              <w:rPr>
                <w:sz w:val="24"/>
              </w:rPr>
              <w:t>11</w:t>
            </w:r>
            <w:r w:rsidRPr="005627C6">
              <w:rPr>
                <w:sz w:val="24"/>
              </w:rPr>
              <w:t xml:space="preserve">.gada </w:t>
            </w:r>
            <w:r w:rsidR="00C0142A" w:rsidRPr="005627C6">
              <w:rPr>
                <w:sz w:val="24"/>
              </w:rPr>
              <w:t>17.maija</w:t>
            </w:r>
            <w:r w:rsidRPr="005627C6">
              <w:rPr>
                <w:sz w:val="24"/>
              </w:rPr>
              <w:t xml:space="preserve"> noteikumi Nr.</w:t>
            </w:r>
            <w:r w:rsidR="00C0142A" w:rsidRPr="005627C6">
              <w:rPr>
                <w:sz w:val="24"/>
              </w:rPr>
              <w:t>390</w:t>
            </w:r>
            <w:r w:rsidRPr="00695C94">
              <w:rPr>
                <w:sz w:val="24"/>
              </w:rPr>
              <w:t xml:space="preserve"> „</w:t>
            </w:r>
            <w:r w:rsidR="00FD463F">
              <w:rPr>
                <w:sz w:val="24"/>
              </w:rPr>
              <w:t>Minimālās mēneša darba algas noteikšanas un pārskatīšanas kārtība</w:t>
            </w:r>
            <w:r w:rsidRPr="00695C94">
              <w:rPr>
                <w:sz w:val="24"/>
              </w:rPr>
              <w:t>”.</w:t>
            </w:r>
          </w:p>
        </w:tc>
        <w:tc>
          <w:tcPr>
            <w:tcW w:w="3096" w:type="dxa"/>
            <w:shd w:val="clear" w:color="auto" w:fill="auto"/>
          </w:tcPr>
          <w:p w:rsidR="006367CB" w:rsidRPr="00803D33" w:rsidRDefault="00D94347" w:rsidP="00D60F55">
            <w:r w:rsidRPr="00695C94">
              <w:rPr>
                <w:sz w:val="24"/>
              </w:rPr>
              <w:t>P</w:t>
            </w:r>
            <w:r w:rsidR="007C5780" w:rsidRPr="00695C94">
              <w:rPr>
                <w:sz w:val="24"/>
              </w:rPr>
              <w:t>ilnībā ir pārņemta</w:t>
            </w:r>
            <w:r w:rsidRPr="00695C94">
              <w:rPr>
                <w:sz w:val="24"/>
              </w:rPr>
              <w:t>s starptautiskās saistības</w:t>
            </w:r>
            <w:r>
              <w:t>.</w:t>
            </w:r>
          </w:p>
        </w:tc>
      </w:tr>
      <w:tr w:rsidR="006367CB" w:rsidRPr="00EE1BB2" w:rsidTr="00695C94">
        <w:tc>
          <w:tcPr>
            <w:tcW w:w="3095" w:type="dxa"/>
            <w:shd w:val="clear" w:color="auto" w:fill="auto"/>
          </w:tcPr>
          <w:p w:rsidR="006367CB" w:rsidRPr="00EE1BB2" w:rsidRDefault="006367CB" w:rsidP="00D6423D">
            <w:r w:rsidRPr="00695C94">
              <w:rPr>
                <w:sz w:val="22"/>
                <w:szCs w:val="22"/>
              </w:rPr>
              <w:t xml:space="preserve">Vai starptautiskajā dokumentā paredzētās saistības nav </w:t>
            </w:r>
            <w:r w:rsidRPr="00695C94">
              <w:rPr>
                <w:sz w:val="22"/>
                <w:szCs w:val="22"/>
              </w:rPr>
              <w:lastRenderedPageBreak/>
              <w:t>pretrunā ar jau esošajām Latvijas Republikas starptautiskajām saistībām</w:t>
            </w:r>
          </w:p>
        </w:tc>
        <w:tc>
          <w:tcPr>
            <w:tcW w:w="6192" w:type="dxa"/>
            <w:gridSpan w:val="2"/>
            <w:shd w:val="clear" w:color="auto" w:fill="auto"/>
          </w:tcPr>
          <w:p w:rsidR="006367CB" w:rsidRPr="00695C94" w:rsidRDefault="00803D33" w:rsidP="00D6423D">
            <w:pPr>
              <w:rPr>
                <w:i/>
              </w:rPr>
            </w:pPr>
            <w:r w:rsidRPr="00695C94">
              <w:rPr>
                <w:sz w:val="24"/>
              </w:rPr>
              <w:lastRenderedPageBreak/>
              <w:t>No</w:t>
            </w:r>
            <w:r w:rsidR="004D3DFF" w:rsidRPr="00695C94">
              <w:rPr>
                <w:sz w:val="24"/>
              </w:rPr>
              <w:t xml:space="preserve">teikumi nav pretrunā ar Starptautiskās darba organizācijas 1970.gada konvenciju Nr.131 </w:t>
            </w:r>
            <w:r w:rsidR="00454145">
              <w:rPr>
                <w:sz w:val="24"/>
              </w:rPr>
              <w:t>„</w:t>
            </w:r>
            <w:r w:rsidR="004D3DFF" w:rsidRPr="00695C94">
              <w:rPr>
                <w:sz w:val="24"/>
              </w:rPr>
              <w:t xml:space="preserve">Par minimālās darba algas </w:t>
            </w:r>
            <w:r w:rsidR="004D3DFF" w:rsidRPr="00695C94">
              <w:rPr>
                <w:sz w:val="24"/>
              </w:rPr>
              <w:lastRenderedPageBreak/>
              <w:t>noteikšanu”.</w:t>
            </w:r>
          </w:p>
        </w:tc>
      </w:tr>
      <w:tr w:rsidR="006367CB" w:rsidRPr="00EE1BB2" w:rsidTr="00695C94">
        <w:tc>
          <w:tcPr>
            <w:tcW w:w="3095" w:type="dxa"/>
            <w:shd w:val="clear" w:color="auto" w:fill="auto"/>
          </w:tcPr>
          <w:p w:rsidR="006367CB" w:rsidRPr="00EE1BB2" w:rsidRDefault="006367CB" w:rsidP="00D6423D">
            <w:r w:rsidRPr="00695C94">
              <w:rPr>
                <w:sz w:val="22"/>
                <w:szCs w:val="22"/>
              </w:rPr>
              <w:lastRenderedPageBreak/>
              <w:t>Cita informācija</w:t>
            </w:r>
          </w:p>
        </w:tc>
        <w:tc>
          <w:tcPr>
            <w:tcW w:w="6192" w:type="dxa"/>
            <w:gridSpan w:val="2"/>
            <w:shd w:val="clear" w:color="auto" w:fill="auto"/>
          </w:tcPr>
          <w:p w:rsidR="006367CB" w:rsidRPr="00695C94" w:rsidRDefault="006367CB" w:rsidP="00D6423D">
            <w:pPr>
              <w:rPr>
                <w:sz w:val="24"/>
              </w:rPr>
            </w:pPr>
            <w:r w:rsidRPr="00695C94">
              <w:rPr>
                <w:sz w:val="24"/>
              </w:rPr>
              <w:t>Nav.</w:t>
            </w:r>
          </w:p>
          <w:p w:rsidR="006367CB" w:rsidRPr="00695C94" w:rsidRDefault="006367CB" w:rsidP="00D6423D">
            <w:pPr>
              <w:rPr>
                <w:sz w:val="24"/>
              </w:rPr>
            </w:pPr>
          </w:p>
        </w:tc>
      </w:tr>
    </w:tbl>
    <w:p w:rsidR="00BC420F" w:rsidRPr="00D42CC4" w:rsidRDefault="00BC420F"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BC420F" w:rsidRPr="00D42CC4" w:rsidTr="0090004D">
        <w:tc>
          <w:tcPr>
            <w:tcW w:w="5000" w:type="pct"/>
            <w:gridSpan w:val="3"/>
            <w:tcBorders>
              <w:top w:val="single" w:sz="4" w:space="0" w:color="auto"/>
              <w:left w:val="single" w:sz="4" w:space="0" w:color="auto"/>
              <w:bottom w:val="single" w:sz="4" w:space="0" w:color="auto"/>
              <w:right w:val="single" w:sz="4" w:space="0" w:color="auto"/>
            </w:tcBorders>
            <w:vAlign w:val="center"/>
          </w:tcPr>
          <w:p w:rsidR="00BC420F" w:rsidRPr="0058204F" w:rsidRDefault="00BC420F" w:rsidP="0090004D">
            <w:pPr>
              <w:jc w:val="center"/>
              <w:rPr>
                <w:b/>
                <w:sz w:val="24"/>
              </w:rPr>
            </w:pPr>
            <w:r w:rsidRPr="0058204F">
              <w:rPr>
                <w:b/>
                <w:sz w:val="24"/>
              </w:rPr>
              <w:t>VII. Tiesību akta projekta izpildes nodrošināšana un tās ietekme uz institūcijām</w:t>
            </w:r>
          </w:p>
        </w:tc>
      </w:tr>
      <w:tr w:rsidR="00BC420F"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pStyle w:val="naiskr"/>
              <w:ind w:left="180" w:hanging="180"/>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BC420F">
            <w:pPr>
              <w:jc w:val="both"/>
              <w:rPr>
                <w:sz w:val="24"/>
              </w:rPr>
            </w:pPr>
            <w:r w:rsidRPr="00D42CC4">
              <w:rPr>
                <w:sz w:val="24"/>
              </w:rPr>
              <w:t xml:space="preserve">Noteikumu projekta normu ievērošanu </w:t>
            </w:r>
            <w:r w:rsidRPr="0067501B">
              <w:rPr>
                <w:sz w:val="24"/>
              </w:rPr>
              <w:t xml:space="preserve">darba tiesisko attiecību jomā </w:t>
            </w:r>
            <w:r w:rsidRPr="00D42CC4">
              <w:rPr>
                <w:sz w:val="24"/>
              </w:rPr>
              <w:t>uzraudzīs Labklājības ministrijas padotības iestāde Valsts darba inspekcija</w:t>
            </w:r>
            <w:r>
              <w:rPr>
                <w:sz w:val="24"/>
              </w:rPr>
              <w:t>, bet darba ņēmēju darba algu norādīšanu ziņās par darba ņēmējiem – Valsts ieņēmumu dienests</w:t>
            </w:r>
            <w:r w:rsidRPr="00D42CC4">
              <w:rPr>
                <w:sz w:val="24"/>
              </w:rPr>
              <w:t>.</w:t>
            </w:r>
          </w:p>
        </w:tc>
      </w:tr>
      <w:tr w:rsidR="00BC420F"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pStyle w:val="naiskr"/>
              <w:ind w:left="180" w:hanging="180"/>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142DD9" w:rsidRDefault="00BC420F" w:rsidP="0090004D">
            <w:pPr>
              <w:rPr>
                <w:sz w:val="24"/>
              </w:rPr>
            </w:pPr>
            <w:r w:rsidRPr="00142DD9">
              <w:rPr>
                <w:sz w:val="24"/>
              </w:rPr>
              <w:t>Projekta izpildes ietekme uz pārvaldes funkcijām un institucionālo struktūru.</w:t>
            </w:r>
          </w:p>
          <w:p w:rsidR="00BC420F" w:rsidRPr="00142DD9" w:rsidRDefault="00BC420F" w:rsidP="0090004D">
            <w:pPr>
              <w:pStyle w:val="naiskr"/>
              <w:spacing w:before="0" w:after="0"/>
              <w:ind w:hanging="10"/>
            </w:pPr>
            <w:r w:rsidRPr="00142DD9">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jc w:val="both"/>
              <w:rPr>
                <w:sz w:val="24"/>
              </w:rPr>
            </w:pPr>
            <w:r w:rsidRPr="00D42CC4">
              <w:rPr>
                <w:sz w:val="24"/>
              </w:rPr>
              <w:t xml:space="preserve">Noteikumu projekts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tc>
      </w:tr>
      <w:tr w:rsidR="00BC420F" w:rsidRPr="00D42CC4" w:rsidTr="0090004D">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pStyle w:val="naiskr"/>
              <w:ind w:left="180" w:hanging="180"/>
            </w:pPr>
            <w:r>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90004D">
            <w:pPr>
              <w:rPr>
                <w:sz w:val="24"/>
              </w:rPr>
            </w:pPr>
            <w:r w:rsidRPr="00D42CC4">
              <w:rPr>
                <w:sz w:val="24"/>
              </w:rPr>
              <w:t>Nav.</w:t>
            </w:r>
          </w:p>
        </w:tc>
      </w:tr>
    </w:tbl>
    <w:p w:rsidR="00BC420F" w:rsidRPr="00D42CC4" w:rsidRDefault="00BC420F" w:rsidP="00BC420F">
      <w:pPr>
        <w:jc w:val="both"/>
      </w:pPr>
    </w:p>
    <w:p w:rsidR="00AF42C7" w:rsidRPr="00EE1BB2" w:rsidRDefault="00AF42C7" w:rsidP="00CF46BE">
      <w:pPr>
        <w:jc w:val="both"/>
      </w:pPr>
    </w:p>
    <w:p w:rsidR="007B3ED7" w:rsidRPr="007313FC" w:rsidRDefault="007B3ED7" w:rsidP="007B3ED7">
      <w:pPr>
        <w:rPr>
          <w:i/>
          <w:sz w:val="24"/>
        </w:rPr>
      </w:pPr>
      <w:r w:rsidRPr="007313FC">
        <w:rPr>
          <w:i/>
          <w:sz w:val="24"/>
        </w:rPr>
        <w:t>Anotācijas VI sadaļa – projekts šo jomu neskar.</w:t>
      </w:r>
    </w:p>
    <w:p w:rsidR="00A26246" w:rsidRDefault="00A26246" w:rsidP="00CF46BE">
      <w:pPr>
        <w:jc w:val="both"/>
      </w:pPr>
    </w:p>
    <w:p w:rsidR="00124129" w:rsidRPr="00EE1BB2" w:rsidRDefault="00124129" w:rsidP="00CF46BE">
      <w:pPr>
        <w:jc w:val="both"/>
      </w:pPr>
    </w:p>
    <w:p w:rsidR="003B2A64" w:rsidRPr="001A1DF2" w:rsidRDefault="00E660F6" w:rsidP="000825F3">
      <w:pPr>
        <w:pStyle w:val="Header"/>
        <w:tabs>
          <w:tab w:val="left" w:pos="1080"/>
          <w:tab w:val="left" w:pos="6840"/>
        </w:tabs>
        <w:jc w:val="both"/>
        <w:rPr>
          <w:szCs w:val="28"/>
        </w:rPr>
      </w:pPr>
      <w:r>
        <w:rPr>
          <w:szCs w:val="28"/>
        </w:rPr>
        <w:t>Labklājības ministrs</w:t>
      </w:r>
      <w:r w:rsidR="003B2A64" w:rsidRPr="001A1DF2">
        <w:rPr>
          <w:szCs w:val="28"/>
        </w:rPr>
        <w:tab/>
      </w:r>
      <w:r w:rsidR="000825F3">
        <w:rPr>
          <w:szCs w:val="28"/>
        </w:rPr>
        <w:tab/>
      </w:r>
      <w:proofErr w:type="gramStart"/>
      <w:r>
        <w:rPr>
          <w:szCs w:val="28"/>
        </w:rPr>
        <w:t xml:space="preserve">         </w:t>
      </w:r>
      <w:proofErr w:type="gramEnd"/>
      <w:r>
        <w:rPr>
          <w:szCs w:val="28"/>
        </w:rPr>
        <w:t>U.Augulis</w:t>
      </w:r>
    </w:p>
    <w:p w:rsidR="00603139" w:rsidRPr="00EE1BB2" w:rsidRDefault="00603139" w:rsidP="00BD2307">
      <w:pPr>
        <w:pStyle w:val="BodyText"/>
        <w:jc w:val="both"/>
      </w:pPr>
    </w:p>
    <w:p w:rsidR="00124129" w:rsidRDefault="00124129" w:rsidP="00BD2307">
      <w:pPr>
        <w:pStyle w:val="BodyText"/>
        <w:jc w:val="both"/>
      </w:pPr>
    </w:p>
    <w:p w:rsidR="002A0815" w:rsidRDefault="002A0815" w:rsidP="00BD2307">
      <w:pPr>
        <w:pStyle w:val="BodyText"/>
        <w:jc w:val="both"/>
      </w:pPr>
    </w:p>
    <w:p w:rsidR="002A0815" w:rsidRDefault="002A0815" w:rsidP="00BD2307">
      <w:pPr>
        <w:pStyle w:val="BodyText"/>
        <w:jc w:val="both"/>
      </w:pPr>
    </w:p>
    <w:p w:rsidR="002A0815" w:rsidRDefault="002A0815" w:rsidP="00BD2307">
      <w:pPr>
        <w:pStyle w:val="BodyText"/>
        <w:jc w:val="both"/>
      </w:pPr>
    </w:p>
    <w:p w:rsidR="00D60F55" w:rsidRPr="00EE1BB2" w:rsidRDefault="00D60F55" w:rsidP="00BD2307">
      <w:pPr>
        <w:pStyle w:val="BodyText"/>
        <w:jc w:val="both"/>
      </w:pPr>
    </w:p>
    <w:p w:rsidR="004C0095" w:rsidRPr="00EE1BB2" w:rsidRDefault="004C0095" w:rsidP="00BD2307">
      <w:pPr>
        <w:pStyle w:val="BodyText"/>
        <w:jc w:val="both"/>
      </w:pPr>
    </w:p>
    <w:p w:rsidR="00576F61" w:rsidRPr="00EE1BB2" w:rsidRDefault="00B058A0" w:rsidP="00576F61">
      <w:pPr>
        <w:jc w:val="both"/>
        <w:rPr>
          <w:sz w:val="24"/>
        </w:rPr>
      </w:pPr>
      <w:r>
        <w:rPr>
          <w:sz w:val="24"/>
        </w:rPr>
        <w:t>2</w:t>
      </w:r>
      <w:r w:rsidR="00DF1A39">
        <w:rPr>
          <w:sz w:val="24"/>
        </w:rPr>
        <w:t>6</w:t>
      </w:r>
      <w:r w:rsidR="00D651BF" w:rsidRPr="00EE1BB2">
        <w:rPr>
          <w:sz w:val="24"/>
        </w:rPr>
        <w:t>.</w:t>
      </w:r>
      <w:r w:rsidR="00713BE5">
        <w:rPr>
          <w:sz w:val="24"/>
        </w:rPr>
        <w:t>11</w:t>
      </w:r>
      <w:r w:rsidR="00576F61" w:rsidRPr="00EE1BB2">
        <w:rPr>
          <w:sz w:val="24"/>
        </w:rPr>
        <w:t>.20</w:t>
      </w:r>
      <w:r w:rsidR="00C8418C" w:rsidRPr="00EE1BB2">
        <w:rPr>
          <w:sz w:val="24"/>
        </w:rPr>
        <w:t>1</w:t>
      </w:r>
      <w:r w:rsidR="00BC420F">
        <w:rPr>
          <w:sz w:val="24"/>
        </w:rPr>
        <w:t>4</w:t>
      </w:r>
      <w:r w:rsidR="00576F61" w:rsidRPr="00EE1BB2">
        <w:rPr>
          <w:sz w:val="24"/>
        </w:rPr>
        <w:t>.</w:t>
      </w:r>
      <w:proofErr w:type="gramStart"/>
      <w:r w:rsidR="008E52A6" w:rsidRPr="00EE1BB2">
        <w:rPr>
          <w:sz w:val="24"/>
        </w:rPr>
        <w:t xml:space="preserve">  </w:t>
      </w:r>
      <w:proofErr w:type="gramEnd"/>
      <w:r w:rsidR="00E660F6">
        <w:rPr>
          <w:sz w:val="24"/>
        </w:rPr>
        <w:t>1</w:t>
      </w:r>
      <w:r w:rsidR="00387CA7">
        <w:rPr>
          <w:sz w:val="24"/>
        </w:rPr>
        <w:t>0</w:t>
      </w:r>
      <w:r w:rsidR="00D17BC0" w:rsidRPr="00EE1BB2">
        <w:rPr>
          <w:sz w:val="24"/>
        </w:rPr>
        <w:t>:</w:t>
      </w:r>
      <w:r w:rsidR="00230E52">
        <w:rPr>
          <w:sz w:val="24"/>
        </w:rPr>
        <w:t>54</w:t>
      </w:r>
      <w:bookmarkStart w:id="0" w:name="_GoBack"/>
      <w:bookmarkEnd w:id="0"/>
    </w:p>
    <w:p w:rsidR="00576F61" w:rsidRPr="00EE1BB2" w:rsidRDefault="006626E4" w:rsidP="00576F61">
      <w:pPr>
        <w:jc w:val="both"/>
        <w:rPr>
          <w:sz w:val="24"/>
        </w:rPr>
      </w:pPr>
      <w:r>
        <w:rPr>
          <w:sz w:val="24"/>
        </w:rPr>
        <w:t>23</w:t>
      </w:r>
      <w:r w:rsidR="0038454B">
        <w:rPr>
          <w:sz w:val="24"/>
        </w:rPr>
        <w:t>62</w:t>
      </w:r>
    </w:p>
    <w:p w:rsidR="0043022A" w:rsidRPr="00EE1BB2" w:rsidRDefault="00576F61" w:rsidP="00182635">
      <w:pPr>
        <w:rPr>
          <w:bCs/>
          <w:sz w:val="24"/>
        </w:rPr>
      </w:pPr>
      <w:r w:rsidRPr="00EE1BB2">
        <w:rPr>
          <w:bCs/>
          <w:sz w:val="24"/>
        </w:rPr>
        <w:t>A</w:t>
      </w:r>
      <w:r w:rsidR="00070CCC" w:rsidRPr="00EE1BB2">
        <w:rPr>
          <w:bCs/>
          <w:sz w:val="24"/>
        </w:rPr>
        <w:t>.</w:t>
      </w:r>
      <w:r w:rsidR="009D3B54">
        <w:rPr>
          <w:bCs/>
          <w:sz w:val="24"/>
        </w:rPr>
        <w:t>Liepiņa</w:t>
      </w:r>
      <w:r w:rsidR="0043022A" w:rsidRPr="00EE1BB2">
        <w:rPr>
          <w:bCs/>
          <w:sz w:val="24"/>
        </w:rPr>
        <w:t>,</w:t>
      </w:r>
    </w:p>
    <w:p w:rsidR="00BD2307" w:rsidRPr="00EE1BB2" w:rsidRDefault="00780169" w:rsidP="00182635">
      <w:pPr>
        <w:rPr>
          <w:sz w:val="24"/>
        </w:rPr>
      </w:pPr>
      <w:r w:rsidRPr="00EE1BB2">
        <w:rPr>
          <w:sz w:val="24"/>
        </w:rPr>
        <w:t>6</w:t>
      </w:r>
      <w:r w:rsidR="00576F61" w:rsidRPr="00EE1BB2">
        <w:rPr>
          <w:sz w:val="24"/>
        </w:rPr>
        <w:t>7021519, Aina.</w:t>
      </w:r>
      <w:r w:rsidR="009D3B54">
        <w:rPr>
          <w:sz w:val="24"/>
        </w:rPr>
        <w:t>Liepina</w:t>
      </w:r>
      <w:r w:rsidR="00576F61" w:rsidRPr="00EE1BB2">
        <w:rPr>
          <w:sz w:val="24"/>
        </w:rPr>
        <w:t>@lm.gov.lv</w:t>
      </w:r>
    </w:p>
    <w:sectPr w:rsidR="00BD2307" w:rsidRPr="00EE1BB2" w:rsidSect="00A26246">
      <w:headerReference w:type="even" r:id="rId9"/>
      <w:headerReference w:type="default" r:id="rId10"/>
      <w:footerReference w:type="default" r:id="rId11"/>
      <w:footerReference w:type="first" r:id="rId12"/>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C4" w:rsidRDefault="000E5CC4">
      <w:r>
        <w:separator/>
      </w:r>
    </w:p>
  </w:endnote>
  <w:endnote w:type="continuationSeparator" w:id="0">
    <w:p w:rsidR="000E5CC4" w:rsidRDefault="000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1F" w:rsidRPr="00D80882" w:rsidRDefault="00343382" w:rsidP="00D80882">
    <w:pPr>
      <w:pStyle w:val="Subtitle"/>
      <w:spacing w:after="0"/>
      <w:jc w:val="both"/>
      <w:rPr>
        <w:b w:val="0"/>
        <w:sz w:val="20"/>
      </w:rPr>
    </w:pPr>
    <w:r w:rsidRPr="00D80882">
      <w:rPr>
        <w:b w:val="0"/>
        <w:sz w:val="20"/>
      </w:rPr>
      <w:t>LMAnot_</w:t>
    </w:r>
    <w:r w:rsidR="00E8430A">
      <w:rPr>
        <w:b w:val="0"/>
        <w:sz w:val="20"/>
      </w:rPr>
      <w:t>2</w:t>
    </w:r>
    <w:r w:rsidR="00DF1A39">
      <w:rPr>
        <w:b w:val="0"/>
        <w:sz w:val="20"/>
      </w:rPr>
      <w:t>6</w:t>
    </w:r>
    <w:r w:rsidR="00E84D9B">
      <w:rPr>
        <w:b w:val="0"/>
        <w:sz w:val="20"/>
      </w:rPr>
      <w:t>11</w:t>
    </w:r>
    <w:r>
      <w:rPr>
        <w:b w:val="0"/>
        <w:sz w:val="20"/>
      </w:rPr>
      <w:t>14</w:t>
    </w:r>
    <w:r w:rsidRPr="00D80882">
      <w:rPr>
        <w:b w:val="0"/>
        <w:sz w:val="20"/>
      </w:rPr>
      <w:t xml:space="preserve">; </w:t>
    </w:r>
    <w:r w:rsidRPr="00343382">
      <w:rPr>
        <w:b w:val="0"/>
        <w:sz w:val="20"/>
      </w:rPr>
      <w:t>Grozījumi Ministru kabineta 2013.gada 27.augusta noteikumos Nr.665 „Noteikumi par minimālo mēneša darba algu un minimālo stundas tarifa likmi”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1F" w:rsidRPr="00343382" w:rsidRDefault="006C061F" w:rsidP="00167AE7">
    <w:pPr>
      <w:pStyle w:val="Subtitle"/>
      <w:spacing w:after="0"/>
      <w:jc w:val="both"/>
      <w:rPr>
        <w:b w:val="0"/>
        <w:sz w:val="20"/>
      </w:rPr>
    </w:pPr>
    <w:r w:rsidRPr="00D80882">
      <w:rPr>
        <w:b w:val="0"/>
        <w:sz w:val="20"/>
      </w:rPr>
      <w:t>LMAnot_</w:t>
    </w:r>
    <w:r w:rsidR="00E8430A">
      <w:rPr>
        <w:b w:val="0"/>
        <w:sz w:val="20"/>
      </w:rPr>
      <w:t>2</w:t>
    </w:r>
    <w:r w:rsidR="00DF1A39">
      <w:rPr>
        <w:b w:val="0"/>
        <w:sz w:val="20"/>
      </w:rPr>
      <w:t>6</w:t>
    </w:r>
    <w:r w:rsidR="00E84D9B">
      <w:rPr>
        <w:b w:val="0"/>
        <w:sz w:val="20"/>
      </w:rPr>
      <w:t>11</w:t>
    </w:r>
    <w:r w:rsidR="00343382">
      <w:rPr>
        <w:b w:val="0"/>
        <w:sz w:val="20"/>
      </w:rPr>
      <w:t>14</w:t>
    </w:r>
    <w:r w:rsidRPr="00D80882">
      <w:rPr>
        <w:b w:val="0"/>
        <w:sz w:val="20"/>
      </w:rPr>
      <w:t xml:space="preserve">; </w:t>
    </w:r>
    <w:r w:rsidR="00343382" w:rsidRPr="00343382">
      <w:rPr>
        <w:b w:val="0"/>
        <w:sz w:val="20"/>
      </w:rPr>
      <w:t>Grozījumi Ministru kabineta 2013.gada 27.augusta noteikumos Nr.665 „Noteikumi par minimālo mēneša darba algu un minimālo stundas tarifa likmi”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C4" w:rsidRDefault="000E5CC4">
      <w:r>
        <w:separator/>
      </w:r>
    </w:p>
  </w:footnote>
  <w:footnote w:type="continuationSeparator" w:id="0">
    <w:p w:rsidR="000E5CC4" w:rsidRDefault="000E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1F" w:rsidRDefault="006C061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61F" w:rsidRDefault="006C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1F" w:rsidRDefault="006C061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E52">
      <w:rPr>
        <w:rStyle w:val="PageNumber"/>
        <w:noProof/>
      </w:rPr>
      <w:t>8</w:t>
    </w:r>
    <w:r>
      <w:rPr>
        <w:rStyle w:val="PageNumber"/>
      </w:rPr>
      <w:fldChar w:fldCharType="end"/>
    </w:r>
  </w:p>
  <w:p w:rsidR="006C061F" w:rsidRDefault="006C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1">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A9C"/>
    <w:rsid w:val="0000125E"/>
    <w:rsid w:val="00004205"/>
    <w:rsid w:val="00004D14"/>
    <w:rsid w:val="00007A9D"/>
    <w:rsid w:val="00010EF3"/>
    <w:rsid w:val="0001150F"/>
    <w:rsid w:val="00012046"/>
    <w:rsid w:val="000131D4"/>
    <w:rsid w:val="00013542"/>
    <w:rsid w:val="000155D7"/>
    <w:rsid w:val="0002351D"/>
    <w:rsid w:val="000235DC"/>
    <w:rsid w:val="00024D2B"/>
    <w:rsid w:val="00025CED"/>
    <w:rsid w:val="00030013"/>
    <w:rsid w:val="00031426"/>
    <w:rsid w:val="000329E7"/>
    <w:rsid w:val="00032E7D"/>
    <w:rsid w:val="00033476"/>
    <w:rsid w:val="00036F86"/>
    <w:rsid w:val="0004039E"/>
    <w:rsid w:val="0004150E"/>
    <w:rsid w:val="00041B4A"/>
    <w:rsid w:val="00045B2C"/>
    <w:rsid w:val="00064E71"/>
    <w:rsid w:val="00065397"/>
    <w:rsid w:val="00066392"/>
    <w:rsid w:val="000702BD"/>
    <w:rsid w:val="00070CCC"/>
    <w:rsid w:val="00071E26"/>
    <w:rsid w:val="00076F58"/>
    <w:rsid w:val="0008046F"/>
    <w:rsid w:val="000819C3"/>
    <w:rsid w:val="000825F3"/>
    <w:rsid w:val="00085D1A"/>
    <w:rsid w:val="00086251"/>
    <w:rsid w:val="00086ADC"/>
    <w:rsid w:val="000872B3"/>
    <w:rsid w:val="000917B9"/>
    <w:rsid w:val="00092F63"/>
    <w:rsid w:val="00093296"/>
    <w:rsid w:val="00093558"/>
    <w:rsid w:val="00094D3D"/>
    <w:rsid w:val="00096697"/>
    <w:rsid w:val="000A0445"/>
    <w:rsid w:val="000A0A96"/>
    <w:rsid w:val="000A100A"/>
    <w:rsid w:val="000A42FA"/>
    <w:rsid w:val="000A73C1"/>
    <w:rsid w:val="000B19E1"/>
    <w:rsid w:val="000C2648"/>
    <w:rsid w:val="000C3D1A"/>
    <w:rsid w:val="000C4CB8"/>
    <w:rsid w:val="000D0A5D"/>
    <w:rsid w:val="000D1FFE"/>
    <w:rsid w:val="000D4A1E"/>
    <w:rsid w:val="000D7DE8"/>
    <w:rsid w:val="000E01AA"/>
    <w:rsid w:val="000E17FF"/>
    <w:rsid w:val="000E2E4E"/>
    <w:rsid w:val="000E5CC4"/>
    <w:rsid w:val="000F033F"/>
    <w:rsid w:val="000F16B2"/>
    <w:rsid w:val="000F322A"/>
    <w:rsid w:val="000F4B9A"/>
    <w:rsid w:val="000F5DB0"/>
    <w:rsid w:val="000F7EFB"/>
    <w:rsid w:val="00103030"/>
    <w:rsid w:val="00106F9B"/>
    <w:rsid w:val="001071E2"/>
    <w:rsid w:val="00112F66"/>
    <w:rsid w:val="0011565C"/>
    <w:rsid w:val="001158F2"/>
    <w:rsid w:val="0011759A"/>
    <w:rsid w:val="00120BFC"/>
    <w:rsid w:val="00121FDE"/>
    <w:rsid w:val="00124129"/>
    <w:rsid w:val="00124F71"/>
    <w:rsid w:val="00125BDF"/>
    <w:rsid w:val="00130445"/>
    <w:rsid w:val="00130509"/>
    <w:rsid w:val="00134C64"/>
    <w:rsid w:val="00135478"/>
    <w:rsid w:val="0014120F"/>
    <w:rsid w:val="00141FF9"/>
    <w:rsid w:val="00145737"/>
    <w:rsid w:val="00146A94"/>
    <w:rsid w:val="0014723C"/>
    <w:rsid w:val="00147E05"/>
    <w:rsid w:val="00152613"/>
    <w:rsid w:val="00152786"/>
    <w:rsid w:val="00152A8A"/>
    <w:rsid w:val="001532EC"/>
    <w:rsid w:val="00153CD1"/>
    <w:rsid w:val="00156BAB"/>
    <w:rsid w:val="0015732F"/>
    <w:rsid w:val="00157E52"/>
    <w:rsid w:val="001606C6"/>
    <w:rsid w:val="0016117B"/>
    <w:rsid w:val="00164ADD"/>
    <w:rsid w:val="00164DAB"/>
    <w:rsid w:val="0016742E"/>
    <w:rsid w:val="001675C5"/>
    <w:rsid w:val="00167AE7"/>
    <w:rsid w:val="00170B28"/>
    <w:rsid w:val="00171098"/>
    <w:rsid w:val="00172E2B"/>
    <w:rsid w:val="00175522"/>
    <w:rsid w:val="001756E3"/>
    <w:rsid w:val="00176AEA"/>
    <w:rsid w:val="001802CB"/>
    <w:rsid w:val="00182635"/>
    <w:rsid w:val="00182D5F"/>
    <w:rsid w:val="00183295"/>
    <w:rsid w:val="00183485"/>
    <w:rsid w:val="00187A95"/>
    <w:rsid w:val="00191701"/>
    <w:rsid w:val="001924E6"/>
    <w:rsid w:val="00194A10"/>
    <w:rsid w:val="00194B68"/>
    <w:rsid w:val="001A41B8"/>
    <w:rsid w:val="001A6C52"/>
    <w:rsid w:val="001B3263"/>
    <w:rsid w:val="001C063B"/>
    <w:rsid w:val="001D06F5"/>
    <w:rsid w:val="001D5745"/>
    <w:rsid w:val="001E1301"/>
    <w:rsid w:val="001E30DF"/>
    <w:rsid w:val="001E6027"/>
    <w:rsid w:val="001E62D8"/>
    <w:rsid w:val="001E6CE3"/>
    <w:rsid w:val="001E7522"/>
    <w:rsid w:val="001F0022"/>
    <w:rsid w:val="001F201E"/>
    <w:rsid w:val="001F437A"/>
    <w:rsid w:val="001F4473"/>
    <w:rsid w:val="001F7D0C"/>
    <w:rsid w:val="0020276F"/>
    <w:rsid w:val="00203DB7"/>
    <w:rsid w:val="00203F69"/>
    <w:rsid w:val="002046E9"/>
    <w:rsid w:val="002053B6"/>
    <w:rsid w:val="00205EA2"/>
    <w:rsid w:val="002067DA"/>
    <w:rsid w:val="00206DAB"/>
    <w:rsid w:val="00212896"/>
    <w:rsid w:val="00213CC8"/>
    <w:rsid w:val="0021406A"/>
    <w:rsid w:val="00214CA8"/>
    <w:rsid w:val="00215414"/>
    <w:rsid w:val="00216516"/>
    <w:rsid w:val="00221D26"/>
    <w:rsid w:val="00223483"/>
    <w:rsid w:val="00224F95"/>
    <w:rsid w:val="00227AC9"/>
    <w:rsid w:val="00230E52"/>
    <w:rsid w:val="00232FCC"/>
    <w:rsid w:val="00235116"/>
    <w:rsid w:val="0023678F"/>
    <w:rsid w:val="00242563"/>
    <w:rsid w:val="00242D34"/>
    <w:rsid w:val="0024383A"/>
    <w:rsid w:val="00246E61"/>
    <w:rsid w:val="00247E55"/>
    <w:rsid w:val="00253E98"/>
    <w:rsid w:val="00255B43"/>
    <w:rsid w:val="0026274E"/>
    <w:rsid w:val="00262EE4"/>
    <w:rsid w:val="00263512"/>
    <w:rsid w:val="00265536"/>
    <w:rsid w:val="00265E05"/>
    <w:rsid w:val="00266C9D"/>
    <w:rsid w:val="00266EC9"/>
    <w:rsid w:val="002708D3"/>
    <w:rsid w:val="00270A94"/>
    <w:rsid w:val="0027173E"/>
    <w:rsid w:val="00274603"/>
    <w:rsid w:val="002749B5"/>
    <w:rsid w:val="00274C68"/>
    <w:rsid w:val="00275B14"/>
    <w:rsid w:val="00276441"/>
    <w:rsid w:val="002764DA"/>
    <w:rsid w:val="00277168"/>
    <w:rsid w:val="00277794"/>
    <w:rsid w:val="00281973"/>
    <w:rsid w:val="00282644"/>
    <w:rsid w:val="00296EB9"/>
    <w:rsid w:val="002A0815"/>
    <w:rsid w:val="002A0D84"/>
    <w:rsid w:val="002A13C0"/>
    <w:rsid w:val="002A39E3"/>
    <w:rsid w:val="002B1999"/>
    <w:rsid w:val="002B3F7A"/>
    <w:rsid w:val="002C1610"/>
    <w:rsid w:val="002C20D2"/>
    <w:rsid w:val="002C43CA"/>
    <w:rsid w:val="002C6694"/>
    <w:rsid w:val="002C7E44"/>
    <w:rsid w:val="002D506F"/>
    <w:rsid w:val="002D7658"/>
    <w:rsid w:val="002E1B15"/>
    <w:rsid w:val="002E5A2B"/>
    <w:rsid w:val="002F018A"/>
    <w:rsid w:val="002F166F"/>
    <w:rsid w:val="002F3690"/>
    <w:rsid w:val="002F5214"/>
    <w:rsid w:val="002F584F"/>
    <w:rsid w:val="002F5EF9"/>
    <w:rsid w:val="00310E77"/>
    <w:rsid w:val="00311D84"/>
    <w:rsid w:val="00312CF1"/>
    <w:rsid w:val="00315358"/>
    <w:rsid w:val="00315D69"/>
    <w:rsid w:val="00321BE9"/>
    <w:rsid w:val="0032225B"/>
    <w:rsid w:val="00322B84"/>
    <w:rsid w:val="0032304B"/>
    <w:rsid w:val="00324469"/>
    <w:rsid w:val="003317D9"/>
    <w:rsid w:val="00331EC9"/>
    <w:rsid w:val="00333772"/>
    <w:rsid w:val="00333B12"/>
    <w:rsid w:val="00334379"/>
    <w:rsid w:val="003345D1"/>
    <w:rsid w:val="00343382"/>
    <w:rsid w:val="003435CF"/>
    <w:rsid w:val="00344621"/>
    <w:rsid w:val="00344816"/>
    <w:rsid w:val="00347B0A"/>
    <w:rsid w:val="00350340"/>
    <w:rsid w:val="00357D0A"/>
    <w:rsid w:val="00362650"/>
    <w:rsid w:val="003630BE"/>
    <w:rsid w:val="00364F93"/>
    <w:rsid w:val="00364FB0"/>
    <w:rsid w:val="00374DAF"/>
    <w:rsid w:val="00375548"/>
    <w:rsid w:val="003763FF"/>
    <w:rsid w:val="00377942"/>
    <w:rsid w:val="0038454B"/>
    <w:rsid w:val="00387CA7"/>
    <w:rsid w:val="00387E0B"/>
    <w:rsid w:val="00391965"/>
    <w:rsid w:val="00391F90"/>
    <w:rsid w:val="00392EF8"/>
    <w:rsid w:val="00393D7E"/>
    <w:rsid w:val="00395772"/>
    <w:rsid w:val="00396891"/>
    <w:rsid w:val="003A34B4"/>
    <w:rsid w:val="003A7BBD"/>
    <w:rsid w:val="003B2A64"/>
    <w:rsid w:val="003B318A"/>
    <w:rsid w:val="003C052A"/>
    <w:rsid w:val="003C0E09"/>
    <w:rsid w:val="003C2D58"/>
    <w:rsid w:val="003C4606"/>
    <w:rsid w:val="003C4C0E"/>
    <w:rsid w:val="003C5196"/>
    <w:rsid w:val="003D0F4B"/>
    <w:rsid w:val="003D2A6C"/>
    <w:rsid w:val="003D2E0F"/>
    <w:rsid w:val="003D50B8"/>
    <w:rsid w:val="003D7BB6"/>
    <w:rsid w:val="003E0C21"/>
    <w:rsid w:val="003E4ADB"/>
    <w:rsid w:val="003E67A8"/>
    <w:rsid w:val="003F01CB"/>
    <w:rsid w:val="003F1710"/>
    <w:rsid w:val="003F2313"/>
    <w:rsid w:val="003F51F3"/>
    <w:rsid w:val="004047AB"/>
    <w:rsid w:val="00404CE8"/>
    <w:rsid w:val="00411427"/>
    <w:rsid w:val="0041198E"/>
    <w:rsid w:val="00412954"/>
    <w:rsid w:val="00412B55"/>
    <w:rsid w:val="0041317F"/>
    <w:rsid w:val="0041554D"/>
    <w:rsid w:val="004171AE"/>
    <w:rsid w:val="00417BA6"/>
    <w:rsid w:val="00421C4C"/>
    <w:rsid w:val="00421CFC"/>
    <w:rsid w:val="00423EBD"/>
    <w:rsid w:val="00427908"/>
    <w:rsid w:val="00427A5B"/>
    <w:rsid w:val="0043022A"/>
    <w:rsid w:val="00430303"/>
    <w:rsid w:val="00430DCC"/>
    <w:rsid w:val="00430EB1"/>
    <w:rsid w:val="0043139E"/>
    <w:rsid w:val="004319BD"/>
    <w:rsid w:val="00431E41"/>
    <w:rsid w:val="00431F55"/>
    <w:rsid w:val="00432607"/>
    <w:rsid w:val="00434F35"/>
    <w:rsid w:val="00435494"/>
    <w:rsid w:val="00437CAD"/>
    <w:rsid w:val="004412DC"/>
    <w:rsid w:val="00441430"/>
    <w:rsid w:val="00441E81"/>
    <w:rsid w:val="004445EE"/>
    <w:rsid w:val="00445279"/>
    <w:rsid w:val="00445A06"/>
    <w:rsid w:val="00445B0F"/>
    <w:rsid w:val="00445D5F"/>
    <w:rsid w:val="004471AA"/>
    <w:rsid w:val="00452375"/>
    <w:rsid w:val="00452DF5"/>
    <w:rsid w:val="004538C6"/>
    <w:rsid w:val="00453DCE"/>
    <w:rsid w:val="00454145"/>
    <w:rsid w:val="004569F5"/>
    <w:rsid w:val="00457DDD"/>
    <w:rsid w:val="00461501"/>
    <w:rsid w:val="0046284B"/>
    <w:rsid w:val="00471008"/>
    <w:rsid w:val="00474283"/>
    <w:rsid w:val="00476DE2"/>
    <w:rsid w:val="00477249"/>
    <w:rsid w:val="00490609"/>
    <w:rsid w:val="004948A2"/>
    <w:rsid w:val="004A342B"/>
    <w:rsid w:val="004A3EB2"/>
    <w:rsid w:val="004A45D7"/>
    <w:rsid w:val="004A68C3"/>
    <w:rsid w:val="004A7DAA"/>
    <w:rsid w:val="004B009D"/>
    <w:rsid w:val="004B0AEA"/>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71CA"/>
    <w:rsid w:val="004D0808"/>
    <w:rsid w:val="004D1510"/>
    <w:rsid w:val="004D3CBD"/>
    <w:rsid w:val="004D3DFF"/>
    <w:rsid w:val="004D3F44"/>
    <w:rsid w:val="004D7002"/>
    <w:rsid w:val="004D70CD"/>
    <w:rsid w:val="004D7B8C"/>
    <w:rsid w:val="004E15E4"/>
    <w:rsid w:val="004E36CF"/>
    <w:rsid w:val="004E3DFA"/>
    <w:rsid w:val="004E4D98"/>
    <w:rsid w:val="004E5CD0"/>
    <w:rsid w:val="004E6380"/>
    <w:rsid w:val="004F16F5"/>
    <w:rsid w:val="004F2B50"/>
    <w:rsid w:val="004F312D"/>
    <w:rsid w:val="004F50FA"/>
    <w:rsid w:val="004F776E"/>
    <w:rsid w:val="0050293B"/>
    <w:rsid w:val="00504AC1"/>
    <w:rsid w:val="00505C92"/>
    <w:rsid w:val="00507DF8"/>
    <w:rsid w:val="00510C5F"/>
    <w:rsid w:val="005131B0"/>
    <w:rsid w:val="00514D2D"/>
    <w:rsid w:val="00516DA0"/>
    <w:rsid w:val="00523D4E"/>
    <w:rsid w:val="00525970"/>
    <w:rsid w:val="00526CA6"/>
    <w:rsid w:val="005326E0"/>
    <w:rsid w:val="00532C66"/>
    <w:rsid w:val="00534F8D"/>
    <w:rsid w:val="005355DC"/>
    <w:rsid w:val="00537322"/>
    <w:rsid w:val="00537709"/>
    <w:rsid w:val="005418C1"/>
    <w:rsid w:val="00545BAC"/>
    <w:rsid w:val="00545D92"/>
    <w:rsid w:val="005462AA"/>
    <w:rsid w:val="00552267"/>
    <w:rsid w:val="0055271A"/>
    <w:rsid w:val="0055418A"/>
    <w:rsid w:val="00554882"/>
    <w:rsid w:val="00555FB9"/>
    <w:rsid w:val="0056273C"/>
    <w:rsid w:val="005627C6"/>
    <w:rsid w:val="00563727"/>
    <w:rsid w:val="005650F7"/>
    <w:rsid w:val="00567006"/>
    <w:rsid w:val="0057026B"/>
    <w:rsid w:val="00572727"/>
    <w:rsid w:val="00572876"/>
    <w:rsid w:val="00576F61"/>
    <w:rsid w:val="00577C3A"/>
    <w:rsid w:val="005831DF"/>
    <w:rsid w:val="005846B7"/>
    <w:rsid w:val="00585F33"/>
    <w:rsid w:val="0058643B"/>
    <w:rsid w:val="00586618"/>
    <w:rsid w:val="00587804"/>
    <w:rsid w:val="00587DFC"/>
    <w:rsid w:val="0059334D"/>
    <w:rsid w:val="00593432"/>
    <w:rsid w:val="0059589A"/>
    <w:rsid w:val="00595984"/>
    <w:rsid w:val="00597D9E"/>
    <w:rsid w:val="00597F15"/>
    <w:rsid w:val="00597F7E"/>
    <w:rsid w:val="005A0623"/>
    <w:rsid w:val="005A0BB4"/>
    <w:rsid w:val="005A1DA1"/>
    <w:rsid w:val="005A1DA3"/>
    <w:rsid w:val="005A302B"/>
    <w:rsid w:val="005A3479"/>
    <w:rsid w:val="005A448A"/>
    <w:rsid w:val="005A4EC8"/>
    <w:rsid w:val="005A5CFC"/>
    <w:rsid w:val="005A618A"/>
    <w:rsid w:val="005A6D01"/>
    <w:rsid w:val="005A726A"/>
    <w:rsid w:val="005B0D50"/>
    <w:rsid w:val="005B2B0D"/>
    <w:rsid w:val="005B35FE"/>
    <w:rsid w:val="005B51E9"/>
    <w:rsid w:val="005C08A0"/>
    <w:rsid w:val="005C303F"/>
    <w:rsid w:val="005C32ED"/>
    <w:rsid w:val="005C6891"/>
    <w:rsid w:val="005C7112"/>
    <w:rsid w:val="005D3AF3"/>
    <w:rsid w:val="005D3BF6"/>
    <w:rsid w:val="005D70A1"/>
    <w:rsid w:val="005D756E"/>
    <w:rsid w:val="005D7681"/>
    <w:rsid w:val="005D7B7D"/>
    <w:rsid w:val="005E05AB"/>
    <w:rsid w:val="005E2436"/>
    <w:rsid w:val="005E2BB0"/>
    <w:rsid w:val="005E6470"/>
    <w:rsid w:val="005E6FD6"/>
    <w:rsid w:val="005E7D93"/>
    <w:rsid w:val="005F25F9"/>
    <w:rsid w:val="005F2C55"/>
    <w:rsid w:val="005F3EDB"/>
    <w:rsid w:val="005F631A"/>
    <w:rsid w:val="005F7441"/>
    <w:rsid w:val="00603139"/>
    <w:rsid w:val="00607C11"/>
    <w:rsid w:val="00612498"/>
    <w:rsid w:val="00612950"/>
    <w:rsid w:val="00612EE8"/>
    <w:rsid w:val="00613449"/>
    <w:rsid w:val="0061789D"/>
    <w:rsid w:val="00617C35"/>
    <w:rsid w:val="00620E5E"/>
    <w:rsid w:val="006230A3"/>
    <w:rsid w:val="00624B73"/>
    <w:rsid w:val="006335EF"/>
    <w:rsid w:val="006367CB"/>
    <w:rsid w:val="006368B6"/>
    <w:rsid w:val="006428BE"/>
    <w:rsid w:val="00647A46"/>
    <w:rsid w:val="00647D07"/>
    <w:rsid w:val="0065016F"/>
    <w:rsid w:val="006540C2"/>
    <w:rsid w:val="006573CA"/>
    <w:rsid w:val="006626E4"/>
    <w:rsid w:val="006665D0"/>
    <w:rsid w:val="006723EA"/>
    <w:rsid w:val="006762E5"/>
    <w:rsid w:val="0067712F"/>
    <w:rsid w:val="00677520"/>
    <w:rsid w:val="00687F89"/>
    <w:rsid w:val="006902A8"/>
    <w:rsid w:val="00691570"/>
    <w:rsid w:val="00695C94"/>
    <w:rsid w:val="00696DE8"/>
    <w:rsid w:val="006A681E"/>
    <w:rsid w:val="006A6E6D"/>
    <w:rsid w:val="006B4D2B"/>
    <w:rsid w:val="006B5940"/>
    <w:rsid w:val="006B79F7"/>
    <w:rsid w:val="006C061F"/>
    <w:rsid w:val="006C39E8"/>
    <w:rsid w:val="006C3F97"/>
    <w:rsid w:val="006C523C"/>
    <w:rsid w:val="006C5478"/>
    <w:rsid w:val="006C5676"/>
    <w:rsid w:val="006C71E6"/>
    <w:rsid w:val="006D002F"/>
    <w:rsid w:val="006D1F12"/>
    <w:rsid w:val="006D242B"/>
    <w:rsid w:val="006D2C49"/>
    <w:rsid w:val="006D459F"/>
    <w:rsid w:val="006D5199"/>
    <w:rsid w:val="006D60F7"/>
    <w:rsid w:val="006D7E20"/>
    <w:rsid w:val="006E0DE9"/>
    <w:rsid w:val="006E2C11"/>
    <w:rsid w:val="006E3677"/>
    <w:rsid w:val="006E3E1F"/>
    <w:rsid w:val="006F0E56"/>
    <w:rsid w:val="006F550E"/>
    <w:rsid w:val="006F55AA"/>
    <w:rsid w:val="006F686C"/>
    <w:rsid w:val="00700613"/>
    <w:rsid w:val="007010A5"/>
    <w:rsid w:val="007037F8"/>
    <w:rsid w:val="00704167"/>
    <w:rsid w:val="00705E2D"/>
    <w:rsid w:val="007062FC"/>
    <w:rsid w:val="00711FAA"/>
    <w:rsid w:val="00713275"/>
    <w:rsid w:val="00713BE5"/>
    <w:rsid w:val="00714D9D"/>
    <w:rsid w:val="00720E0B"/>
    <w:rsid w:val="00722580"/>
    <w:rsid w:val="00722A4A"/>
    <w:rsid w:val="007248FC"/>
    <w:rsid w:val="00730D8C"/>
    <w:rsid w:val="00730F6A"/>
    <w:rsid w:val="007313FC"/>
    <w:rsid w:val="00731A28"/>
    <w:rsid w:val="00734921"/>
    <w:rsid w:val="00735181"/>
    <w:rsid w:val="00735D0C"/>
    <w:rsid w:val="00735F1B"/>
    <w:rsid w:val="007364C7"/>
    <w:rsid w:val="00736C54"/>
    <w:rsid w:val="00737D6C"/>
    <w:rsid w:val="00740E81"/>
    <w:rsid w:val="007428D2"/>
    <w:rsid w:val="007452A2"/>
    <w:rsid w:val="00746B1F"/>
    <w:rsid w:val="00753561"/>
    <w:rsid w:val="00760C12"/>
    <w:rsid w:val="00762C94"/>
    <w:rsid w:val="0076379D"/>
    <w:rsid w:val="00763E85"/>
    <w:rsid w:val="0076771B"/>
    <w:rsid w:val="00767D53"/>
    <w:rsid w:val="0077060B"/>
    <w:rsid w:val="0077467F"/>
    <w:rsid w:val="007772F1"/>
    <w:rsid w:val="007777DD"/>
    <w:rsid w:val="00777C3F"/>
    <w:rsid w:val="00780169"/>
    <w:rsid w:val="00780381"/>
    <w:rsid w:val="007808D9"/>
    <w:rsid w:val="00781DF0"/>
    <w:rsid w:val="007852AE"/>
    <w:rsid w:val="00785F78"/>
    <w:rsid w:val="00786685"/>
    <w:rsid w:val="007877F5"/>
    <w:rsid w:val="00790689"/>
    <w:rsid w:val="00792535"/>
    <w:rsid w:val="00792ADA"/>
    <w:rsid w:val="00793573"/>
    <w:rsid w:val="00796EA0"/>
    <w:rsid w:val="007A1A4B"/>
    <w:rsid w:val="007A1B34"/>
    <w:rsid w:val="007A4D8B"/>
    <w:rsid w:val="007A6556"/>
    <w:rsid w:val="007A6B3D"/>
    <w:rsid w:val="007A7296"/>
    <w:rsid w:val="007B3ED7"/>
    <w:rsid w:val="007B495E"/>
    <w:rsid w:val="007B5DFC"/>
    <w:rsid w:val="007B6BF5"/>
    <w:rsid w:val="007C035F"/>
    <w:rsid w:val="007C4C57"/>
    <w:rsid w:val="007C54E7"/>
    <w:rsid w:val="007C5780"/>
    <w:rsid w:val="007C5D57"/>
    <w:rsid w:val="007C7377"/>
    <w:rsid w:val="007C7CF0"/>
    <w:rsid w:val="007D0C7C"/>
    <w:rsid w:val="007D10D6"/>
    <w:rsid w:val="007D277F"/>
    <w:rsid w:val="007D461F"/>
    <w:rsid w:val="007D5E7C"/>
    <w:rsid w:val="007D62CE"/>
    <w:rsid w:val="007D6658"/>
    <w:rsid w:val="007E095B"/>
    <w:rsid w:val="007E214B"/>
    <w:rsid w:val="007E507A"/>
    <w:rsid w:val="007E50BD"/>
    <w:rsid w:val="007E5467"/>
    <w:rsid w:val="007E7045"/>
    <w:rsid w:val="007E7A07"/>
    <w:rsid w:val="007E7DA6"/>
    <w:rsid w:val="007F42E0"/>
    <w:rsid w:val="007F5D62"/>
    <w:rsid w:val="007F61D0"/>
    <w:rsid w:val="007F7760"/>
    <w:rsid w:val="00800102"/>
    <w:rsid w:val="00803D33"/>
    <w:rsid w:val="00805A6E"/>
    <w:rsid w:val="00820D56"/>
    <w:rsid w:val="00822DE4"/>
    <w:rsid w:val="00823A49"/>
    <w:rsid w:val="00824DEB"/>
    <w:rsid w:val="00825112"/>
    <w:rsid w:val="008269F8"/>
    <w:rsid w:val="00827DB4"/>
    <w:rsid w:val="00831F81"/>
    <w:rsid w:val="0083248E"/>
    <w:rsid w:val="008342D7"/>
    <w:rsid w:val="00840487"/>
    <w:rsid w:val="00841B1E"/>
    <w:rsid w:val="00847499"/>
    <w:rsid w:val="008476E7"/>
    <w:rsid w:val="00856FB3"/>
    <w:rsid w:val="008602A4"/>
    <w:rsid w:val="00860930"/>
    <w:rsid w:val="00861024"/>
    <w:rsid w:val="0086511D"/>
    <w:rsid w:val="00865340"/>
    <w:rsid w:val="00866E50"/>
    <w:rsid w:val="008752B2"/>
    <w:rsid w:val="0088719B"/>
    <w:rsid w:val="00891A44"/>
    <w:rsid w:val="0089574E"/>
    <w:rsid w:val="00897928"/>
    <w:rsid w:val="008A2020"/>
    <w:rsid w:val="008A228E"/>
    <w:rsid w:val="008A37F3"/>
    <w:rsid w:val="008A599D"/>
    <w:rsid w:val="008A628E"/>
    <w:rsid w:val="008B133A"/>
    <w:rsid w:val="008B1FC6"/>
    <w:rsid w:val="008B514B"/>
    <w:rsid w:val="008B7044"/>
    <w:rsid w:val="008C07E3"/>
    <w:rsid w:val="008C46CA"/>
    <w:rsid w:val="008C4C30"/>
    <w:rsid w:val="008C6101"/>
    <w:rsid w:val="008D27E7"/>
    <w:rsid w:val="008D30AD"/>
    <w:rsid w:val="008D3327"/>
    <w:rsid w:val="008D411F"/>
    <w:rsid w:val="008D4648"/>
    <w:rsid w:val="008D490D"/>
    <w:rsid w:val="008D53D2"/>
    <w:rsid w:val="008E23D6"/>
    <w:rsid w:val="008E2BC1"/>
    <w:rsid w:val="008E4334"/>
    <w:rsid w:val="008E52A6"/>
    <w:rsid w:val="008F2EFB"/>
    <w:rsid w:val="008F3690"/>
    <w:rsid w:val="008F3924"/>
    <w:rsid w:val="008F6209"/>
    <w:rsid w:val="0090143D"/>
    <w:rsid w:val="009047EF"/>
    <w:rsid w:val="00904BE6"/>
    <w:rsid w:val="00907385"/>
    <w:rsid w:val="009136C7"/>
    <w:rsid w:val="00914575"/>
    <w:rsid w:val="00924897"/>
    <w:rsid w:val="00924B82"/>
    <w:rsid w:val="00931107"/>
    <w:rsid w:val="00931DB5"/>
    <w:rsid w:val="00935816"/>
    <w:rsid w:val="00937321"/>
    <w:rsid w:val="00937601"/>
    <w:rsid w:val="00940ED6"/>
    <w:rsid w:val="009419DF"/>
    <w:rsid w:val="009502BE"/>
    <w:rsid w:val="0095461A"/>
    <w:rsid w:val="009555E1"/>
    <w:rsid w:val="00957959"/>
    <w:rsid w:val="00957C18"/>
    <w:rsid w:val="00965D88"/>
    <w:rsid w:val="00967E0C"/>
    <w:rsid w:val="009765F2"/>
    <w:rsid w:val="00976ACB"/>
    <w:rsid w:val="00981590"/>
    <w:rsid w:val="00984FB2"/>
    <w:rsid w:val="0098669A"/>
    <w:rsid w:val="009866FE"/>
    <w:rsid w:val="00986D24"/>
    <w:rsid w:val="009941F1"/>
    <w:rsid w:val="009946DE"/>
    <w:rsid w:val="009973B2"/>
    <w:rsid w:val="00997FA6"/>
    <w:rsid w:val="009A2F1C"/>
    <w:rsid w:val="009A542D"/>
    <w:rsid w:val="009B2033"/>
    <w:rsid w:val="009B253D"/>
    <w:rsid w:val="009B339B"/>
    <w:rsid w:val="009B4F96"/>
    <w:rsid w:val="009B4FC0"/>
    <w:rsid w:val="009B5161"/>
    <w:rsid w:val="009C044F"/>
    <w:rsid w:val="009C2401"/>
    <w:rsid w:val="009C318B"/>
    <w:rsid w:val="009C376D"/>
    <w:rsid w:val="009C5C9D"/>
    <w:rsid w:val="009C6665"/>
    <w:rsid w:val="009C670A"/>
    <w:rsid w:val="009D0DC5"/>
    <w:rsid w:val="009D1C12"/>
    <w:rsid w:val="009D334C"/>
    <w:rsid w:val="009D3B54"/>
    <w:rsid w:val="009D43A8"/>
    <w:rsid w:val="009D55B1"/>
    <w:rsid w:val="009D5F49"/>
    <w:rsid w:val="009D61CB"/>
    <w:rsid w:val="009E0380"/>
    <w:rsid w:val="009E3C7A"/>
    <w:rsid w:val="009F7938"/>
    <w:rsid w:val="00A01CEF"/>
    <w:rsid w:val="00A07DB2"/>
    <w:rsid w:val="00A1074A"/>
    <w:rsid w:val="00A111DE"/>
    <w:rsid w:val="00A13B3B"/>
    <w:rsid w:val="00A16212"/>
    <w:rsid w:val="00A17155"/>
    <w:rsid w:val="00A21BE1"/>
    <w:rsid w:val="00A23158"/>
    <w:rsid w:val="00A24A3E"/>
    <w:rsid w:val="00A25D97"/>
    <w:rsid w:val="00A26246"/>
    <w:rsid w:val="00A31FB3"/>
    <w:rsid w:val="00A32208"/>
    <w:rsid w:val="00A326E9"/>
    <w:rsid w:val="00A35486"/>
    <w:rsid w:val="00A371BB"/>
    <w:rsid w:val="00A4104B"/>
    <w:rsid w:val="00A4253D"/>
    <w:rsid w:val="00A42986"/>
    <w:rsid w:val="00A4469D"/>
    <w:rsid w:val="00A45329"/>
    <w:rsid w:val="00A47556"/>
    <w:rsid w:val="00A47C0B"/>
    <w:rsid w:val="00A501F4"/>
    <w:rsid w:val="00A50961"/>
    <w:rsid w:val="00A557B1"/>
    <w:rsid w:val="00A57ECC"/>
    <w:rsid w:val="00A65644"/>
    <w:rsid w:val="00A663DB"/>
    <w:rsid w:val="00A713D0"/>
    <w:rsid w:val="00A755C9"/>
    <w:rsid w:val="00A80253"/>
    <w:rsid w:val="00A82A0B"/>
    <w:rsid w:val="00A83650"/>
    <w:rsid w:val="00A913EC"/>
    <w:rsid w:val="00A941B8"/>
    <w:rsid w:val="00A96644"/>
    <w:rsid w:val="00A96C81"/>
    <w:rsid w:val="00AA0B7E"/>
    <w:rsid w:val="00AB0FC9"/>
    <w:rsid w:val="00AB2790"/>
    <w:rsid w:val="00AB5CFA"/>
    <w:rsid w:val="00AB64A9"/>
    <w:rsid w:val="00AC02B5"/>
    <w:rsid w:val="00AC5F90"/>
    <w:rsid w:val="00AC62FD"/>
    <w:rsid w:val="00AC6C26"/>
    <w:rsid w:val="00AC6EE6"/>
    <w:rsid w:val="00AC7B55"/>
    <w:rsid w:val="00AC7DBA"/>
    <w:rsid w:val="00AD0028"/>
    <w:rsid w:val="00AD4C2C"/>
    <w:rsid w:val="00AD6A9B"/>
    <w:rsid w:val="00AD6EEA"/>
    <w:rsid w:val="00AD7AAE"/>
    <w:rsid w:val="00AE0146"/>
    <w:rsid w:val="00AE0ECD"/>
    <w:rsid w:val="00AE376B"/>
    <w:rsid w:val="00AE4A9F"/>
    <w:rsid w:val="00AE5558"/>
    <w:rsid w:val="00AE6799"/>
    <w:rsid w:val="00AE67F7"/>
    <w:rsid w:val="00AF2190"/>
    <w:rsid w:val="00AF26CD"/>
    <w:rsid w:val="00AF34A4"/>
    <w:rsid w:val="00AF42C7"/>
    <w:rsid w:val="00AF7C00"/>
    <w:rsid w:val="00B037BE"/>
    <w:rsid w:val="00B056FC"/>
    <w:rsid w:val="00B058A0"/>
    <w:rsid w:val="00B0633A"/>
    <w:rsid w:val="00B06842"/>
    <w:rsid w:val="00B07024"/>
    <w:rsid w:val="00B07F6B"/>
    <w:rsid w:val="00B11539"/>
    <w:rsid w:val="00B167B1"/>
    <w:rsid w:val="00B16C42"/>
    <w:rsid w:val="00B22183"/>
    <w:rsid w:val="00B24627"/>
    <w:rsid w:val="00B2531B"/>
    <w:rsid w:val="00B27B78"/>
    <w:rsid w:val="00B33C26"/>
    <w:rsid w:val="00B3788B"/>
    <w:rsid w:val="00B422DB"/>
    <w:rsid w:val="00B42733"/>
    <w:rsid w:val="00B45BF4"/>
    <w:rsid w:val="00B460A7"/>
    <w:rsid w:val="00B47476"/>
    <w:rsid w:val="00B47EE5"/>
    <w:rsid w:val="00B500A0"/>
    <w:rsid w:val="00B507EE"/>
    <w:rsid w:val="00B50D85"/>
    <w:rsid w:val="00B52ABA"/>
    <w:rsid w:val="00B53423"/>
    <w:rsid w:val="00B60F7D"/>
    <w:rsid w:val="00B62CA5"/>
    <w:rsid w:val="00B633EF"/>
    <w:rsid w:val="00B63F17"/>
    <w:rsid w:val="00B66F12"/>
    <w:rsid w:val="00B67019"/>
    <w:rsid w:val="00B67ED5"/>
    <w:rsid w:val="00B70219"/>
    <w:rsid w:val="00B75342"/>
    <w:rsid w:val="00B76F8D"/>
    <w:rsid w:val="00B77EA7"/>
    <w:rsid w:val="00B81568"/>
    <w:rsid w:val="00B82592"/>
    <w:rsid w:val="00B862D7"/>
    <w:rsid w:val="00B86F24"/>
    <w:rsid w:val="00B91D86"/>
    <w:rsid w:val="00B924D6"/>
    <w:rsid w:val="00B948A7"/>
    <w:rsid w:val="00B9552E"/>
    <w:rsid w:val="00B97814"/>
    <w:rsid w:val="00BA0B52"/>
    <w:rsid w:val="00BA2DC0"/>
    <w:rsid w:val="00BA3958"/>
    <w:rsid w:val="00BA5FBC"/>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2046"/>
    <w:rsid w:val="00BD2307"/>
    <w:rsid w:val="00BD35D3"/>
    <w:rsid w:val="00BD4813"/>
    <w:rsid w:val="00BD618C"/>
    <w:rsid w:val="00BD6C2C"/>
    <w:rsid w:val="00BE32EE"/>
    <w:rsid w:val="00BE455A"/>
    <w:rsid w:val="00BE5296"/>
    <w:rsid w:val="00BE6DD5"/>
    <w:rsid w:val="00BF664A"/>
    <w:rsid w:val="00BF7B5F"/>
    <w:rsid w:val="00C0142A"/>
    <w:rsid w:val="00C02583"/>
    <w:rsid w:val="00C04AAD"/>
    <w:rsid w:val="00C12252"/>
    <w:rsid w:val="00C1233C"/>
    <w:rsid w:val="00C1358F"/>
    <w:rsid w:val="00C14200"/>
    <w:rsid w:val="00C20D75"/>
    <w:rsid w:val="00C24067"/>
    <w:rsid w:val="00C2709A"/>
    <w:rsid w:val="00C27D07"/>
    <w:rsid w:val="00C34239"/>
    <w:rsid w:val="00C3464A"/>
    <w:rsid w:val="00C43A0A"/>
    <w:rsid w:val="00C459E9"/>
    <w:rsid w:val="00C467D0"/>
    <w:rsid w:val="00C51797"/>
    <w:rsid w:val="00C54EC7"/>
    <w:rsid w:val="00C566FE"/>
    <w:rsid w:val="00C56A0B"/>
    <w:rsid w:val="00C6058D"/>
    <w:rsid w:val="00C62A49"/>
    <w:rsid w:val="00C64060"/>
    <w:rsid w:val="00C6462C"/>
    <w:rsid w:val="00C676F6"/>
    <w:rsid w:val="00C67A2C"/>
    <w:rsid w:val="00C70165"/>
    <w:rsid w:val="00C72439"/>
    <w:rsid w:val="00C73E4D"/>
    <w:rsid w:val="00C75AE4"/>
    <w:rsid w:val="00C7693B"/>
    <w:rsid w:val="00C76DE9"/>
    <w:rsid w:val="00C82F8C"/>
    <w:rsid w:val="00C8418C"/>
    <w:rsid w:val="00C918AD"/>
    <w:rsid w:val="00C92608"/>
    <w:rsid w:val="00CA446D"/>
    <w:rsid w:val="00CA77B5"/>
    <w:rsid w:val="00CB3A49"/>
    <w:rsid w:val="00CB5BAE"/>
    <w:rsid w:val="00CC072A"/>
    <w:rsid w:val="00CC1B05"/>
    <w:rsid w:val="00CC201E"/>
    <w:rsid w:val="00CD00E7"/>
    <w:rsid w:val="00CD14DD"/>
    <w:rsid w:val="00CD4F9C"/>
    <w:rsid w:val="00CD6C43"/>
    <w:rsid w:val="00CE1058"/>
    <w:rsid w:val="00CE1285"/>
    <w:rsid w:val="00CE250E"/>
    <w:rsid w:val="00CE5DF3"/>
    <w:rsid w:val="00CE655C"/>
    <w:rsid w:val="00CF2A99"/>
    <w:rsid w:val="00CF3C8D"/>
    <w:rsid w:val="00CF46BE"/>
    <w:rsid w:val="00CF5D7A"/>
    <w:rsid w:val="00CF7EB7"/>
    <w:rsid w:val="00D01EEC"/>
    <w:rsid w:val="00D036E6"/>
    <w:rsid w:val="00D10259"/>
    <w:rsid w:val="00D103AE"/>
    <w:rsid w:val="00D114AF"/>
    <w:rsid w:val="00D127AB"/>
    <w:rsid w:val="00D1678D"/>
    <w:rsid w:val="00D17BC0"/>
    <w:rsid w:val="00D2203A"/>
    <w:rsid w:val="00D2211A"/>
    <w:rsid w:val="00D2236A"/>
    <w:rsid w:val="00D253F1"/>
    <w:rsid w:val="00D27C00"/>
    <w:rsid w:val="00D3066A"/>
    <w:rsid w:val="00D32DA8"/>
    <w:rsid w:val="00D32FAD"/>
    <w:rsid w:val="00D34CCF"/>
    <w:rsid w:val="00D459BC"/>
    <w:rsid w:val="00D4747A"/>
    <w:rsid w:val="00D52079"/>
    <w:rsid w:val="00D52101"/>
    <w:rsid w:val="00D5364C"/>
    <w:rsid w:val="00D569AE"/>
    <w:rsid w:val="00D60F55"/>
    <w:rsid w:val="00D6423D"/>
    <w:rsid w:val="00D64BC0"/>
    <w:rsid w:val="00D651BF"/>
    <w:rsid w:val="00D6536F"/>
    <w:rsid w:val="00D71D9C"/>
    <w:rsid w:val="00D7228D"/>
    <w:rsid w:val="00D72552"/>
    <w:rsid w:val="00D73AC0"/>
    <w:rsid w:val="00D741F3"/>
    <w:rsid w:val="00D74CE6"/>
    <w:rsid w:val="00D76B1F"/>
    <w:rsid w:val="00D779C9"/>
    <w:rsid w:val="00D80882"/>
    <w:rsid w:val="00D8090F"/>
    <w:rsid w:val="00D811EC"/>
    <w:rsid w:val="00D828EE"/>
    <w:rsid w:val="00D91AF7"/>
    <w:rsid w:val="00D9216D"/>
    <w:rsid w:val="00D9356A"/>
    <w:rsid w:val="00D94347"/>
    <w:rsid w:val="00D97C3A"/>
    <w:rsid w:val="00DA06FE"/>
    <w:rsid w:val="00DA13EF"/>
    <w:rsid w:val="00DA23E1"/>
    <w:rsid w:val="00DA245E"/>
    <w:rsid w:val="00DA2A6F"/>
    <w:rsid w:val="00DA7F5A"/>
    <w:rsid w:val="00DC0379"/>
    <w:rsid w:val="00DC27A4"/>
    <w:rsid w:val="00DD2973"/>
    <w:rsid w:val="00DD739F"/>
    <w:rsid w:val="00DE1B2D"/>
    <w:rsid w:val="00DE2539"/>
    <w:rsid w:val="00DE5ED6"/>
    <w:rsid w:val="00DE624E"/>
    <w:rsid w:val="00DF0975"/>
    <w:rsid w:val="00DF11A1"/>
    <w:rsid w:val="00DF1A39"/>
    <w:rsid w:val="00DF2C4C"/>
    <w:rsid w:val="00DF3CE1"/>
    <w:rsid w:val="00E03E32"/>
    <w:rsid w:val="00E053F4"/>
    <w:rsid w:val="00E07342"/>
    <w:rsid w:val="00E0767C"/>
    <w:rsid w:val="00E1022F"/>
    <w:rsid w:val="00E1234D"/>
    <w:rsid w:val="00E12850"/>
    <w:rsid w:val="00E12B5E"/>
    <w:rsid w:val="00E133E7"/>
    <w:rsid w:val="00E134FF"/>
    <w:rsid w:val="00E13768"/>
    <w:rsid w:val="00E164E5"/>
    <w:rsid w:val="00E204C4"/>
    <w:rsid w:val="00E262B7"/>
    <w:rsid w:val="00E35961"/>
    <w:rsid w:val="00E4018E"/>
    <w:rsid w:val="00E4212E"/>
    <w:rsid w:val="00E42D5F"/>
    <w:rsid w:val="00E430D5"/>
    <w:rsid w:val="00E4526D"/>
    <w:rsid w:val="00E454F8"/>
    <w:rsid w:val="00E52E02"/>
    <w:rsid w:val="00E56CE6"/>
    <w:rsid w:val="00E56D6B"/>
    <w:rsid w:val="00E60B8F"/>
    <w:rsid w:val="00E61158"/>
    <w:rsid w:val="00E61350"/>
    <w:rsid w:val="00E61977"/>
    <w:rsid w:val="00E6213A"/>
    <w:rsid w:val="00E660F6"/>
    <w:rsid w:val="00E67A91"/>
    <w:rsid w:val="00E70486"/>
    <w:rsid w:val="00E711A9"/>
    <w:rsid w:val="00E73893"/>
    <w:rsid w:val="00E74468"/>
    <w:rsid w:val="00E81E52"/>
    <w:rsid w:val="00E82D07"/>
    <w:rsid w:val="00E84128"/>
    <w:rsid w:val="00E8430A"/>
    <w:rsid w:val="00E84D9B"/>
    <w:rsid w:val="00E86C11"/>
    <w:rsid w:val="00E87B85"/>
    <w:rsid w:val="00E91D46"/>
    <w:rsid w:val="00E91D6A"/>
    <w:rsid w:val="00E9316B"/>
    <w:rsid w:val="00E94257"/>
    <w:rsid w:val="00E94480"/>
    <w:rsid w:val="00E94C71"/>
    <w:rsid w:val="00E96156"/>
    <w:rsid w:val="00EA355A"/>
    <w:rsid w:val="00EA6F8D"/>
    <w:rsid w:val="00EA7AB3"/>
    <w:rsid w:val="00EB06D1"/>
    <w:rsid w:val="00EB1B93"/>
    <w:rsid w:val="00EB69A1"/>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82B"/>
    <w:rsid w:val="00F12763"/>
    <w:rsid w:val="00F14190"/>
    <w:rsid w:val="00F160DC"/>
    <w:rsid w:val="00F22257"/>
    <w:rsid w:val="00F23720"/>
    <w:rsid w:val="00F24D71"/>
    <w:rsid w:val="00F26884"/>
    <w:rsid w:val="00F326FF"/>
    <w:rsid w:val="00F327D9"/>
    <w:rsid w:val="00F329ED"/>
    <w:rsid w:val="00F335D1"/>
    <w:rsid w:val="00F336AA"/>
    <w:rsid w:val="00F3565D"/>
    <w:rsid w:val="00F36FDF"/>
    <w:rsid w:val="00F41029"/>
    <w:rsid w:val="00F43BFF"/>
    <w:rsid w:val="00F44932"/>
    <w:rsid w:val="00F470C1"/>
    <w:rsid w:val="00F472C7"/>
    <w:rsid w:val="00F47AD6"/>
    <w:rsid w:val="00F47E33"/>
    <w:rsid w:val="00F50B22"/>
    <w:rsid w:val="00F5285C"/>
    <w:rsid w:val="00F52ED3"/>
    <w:rsid w:val="00F52F76"/>
    <w:rsid w:val="00F53643"/>
    <w:rsid w:val="00F5629F"/>
    <w:rsid w:val="00F5634B"/>
    <w:rsid w:val="00F5650E"/>
    <w:rsid w:val="00F61081"/>
    <w:rsid w:val="00F61CD2"/>
    <w:rsid w:val="00F63E2F"/>
    <w:rsid w:val="00F664EE"/>
    <w:rsid w:val="00F715CC"/>
    <w:rsid w:val="00F72645"/>
    <w:rsid w:val="00F741BE"/>
    <w:rsid w:val="00F77029"/>
    <w:rsid w:val="00F80540"/>
    <w:rsid w:val="00F812AE"/>
    <w:rsid w:val="00F8335D"/>
    <w:rsid w:val="00F85D04"/>
    <w:rsid w:val="00F85D08"/>
    <w:rsid w:val="00F862BE"/>
    <w:rsid w:val="00F86B6F"/>
    <w:rsid w:val="00F87947"/>
    <w:rsid w:val="00F91184"/>
    <w:rsid w:val="00F916F5"/>
    <w:rsid w:val="00F92880"/>
    <w:rsid w:val="00F93FDB"/>
    <w:rsid w:val="00F96E47"/>
    <w:rsid w:val="00F97B3A"/>
    <w:rsid w:val="00FA142B"/>
    <w:rsid w:val="00FA27CF"/>
    <w:rsid w:val="00FA2B1B"/>
    <w:rsid w:val="00FA2C89"/>
    <w:rsid w:val="00FA33B2"/>
    <w:rsid w:val="00FA5EEC"/>
    <w:rsid w:val="00FB557C"/>
    <w:rsid w:val="00FB5911"/>
    <w:rsid w:val="00FB7AE7"/>
    <w:rsid w:val="00FC198B"/>
    <w:rsid w:val="00FC36D9"/>
    <w:rsid w:val="00FC44CD"/>
    <w:rsid w:val="00FC4D4E"/>
    <w:rsid w:val="00FC7B6D"/>
    <w:rsid w:val="00FD0BD7"/>
    <w:rsid w:val="00FD15AB"/>
    <w:rsid w:val="00FD3244"/>
    <w:rsid w:val="00FD3F81"/>
    <w:rsid w:val="00FD463F"/>
    <w:rsid w:val="00FD6544"/>
    <w:rsid w:val="00FD7524"/>
    <w:rsid w:val="00FE2D93"/>
    <w:rsid w:val="00FE7D40"/>
    <w:rsid w:val="00FF2EA2"/>
    <w:rsid w:val="00FF5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6F5C-EC5F-46E4-A113-0FC08E0A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11213</Words>
  <Characters>6392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Liepiņa</cp:lastModifiedBy>
  <cp:revision>143</cp:revision>
  <cp:lastPrinted>2014-11-26T08:52:00Z</cp:lastPrinted>
  <dcterms:created xsi:type="dcterms:W3CDTF">2014-09-19T07:17:00Z</dcterms:created>
  <dcterms:modified xsi:type="dcterms:W3CDTF">2014-11-26T08:54:00Z</dcterms:modified>
</cp:coreProperties>
</file>