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A56" w:rsidRPr="00857C5B" w:rsidRDefault="00CC1434" w:rsidP="00F23F1D">
      <w:pPr>
        <w:pStyle w:val="tv2121"/>
        <w:spacing w:before="0" w:line="240" w:lineRule="auto"/>
        <w:rPr>
          <w:rFonts w:ascii="Times New Roman" w:hAnsi="Times New Roman"/>
          <w:sz w:val="28"/>
          <w:szCs w:val="28"/>
        </w:rPr>
      </w:pPr>
      <w:r w:rsidRPr="00CC1434">
        <w:rPr>
          <w:rFonts w:ascii="Times New Roman" w:hAnsi="Times New Roman"/>
          <w:bCs w:val="0"/>
          <w:sz w:val="28"/>
          <w:szCs w:val="28"/>
        </w:rPr>
        <w:t xml:space="preserve">Ministru kabineta noteikumu „Grozījumi Ministru kabineta </w:t>
      </w:r>
      <w:proofErr w:type="gramStart"/>
      <w:r w:rsidRPr="00CC1434">
        <w:rPr>
          <w:rFonts w:ascii="Times New Roman" w:hAnsi="Times New Roman"/>
          <w:bCs w:val="0"/>
          <w:sz w:val="28"/>
          <w:szCs w:val="28"/>
        </w:rPr>
        <w:t>2011.gada</w:t>
      </w:r>
      <w:proofErr w:type="gramEnd"/>
      <w:r w:rsidRPr="00CC1434">
        <w:rPr>
          <w:rFonts w:ascii="Times New Roman" w:hAnsi="Times New Roman"/>
          <w:bCs w:val="0"/>
          <w:sz w:val="28"/>
          <w:szCs w:val="28"/>
        </w:rPr>
        <w:t xml:space="preserve"> 1.marta noteikumos Nr.170 „Noteikumi par darbības programmas „Cilvēkresursi un nodarbinātība” papildinājuma 1.4.1.1.1.apakšaktivitāti „Kompleksi atbalsta pasākumi iedzīvotāju integrēšanai sabiedrībā un darba tirgū”” projekta sākotnējās ietekmes novērtējuma ziņojums (anotācija)</w:t>
      </w:r>
    </w:p>
    <w:p w:rsidR="00CC1A56" w:rsidRPr="00584A0C" w:rsidRDefault="00CC1A56" w:rsidP="00CC1A56">
      <w:pPr>
        <w:pStyle w:val="naisf"/>
        <w:spacing w:before="0" w:beforeAutospacing="0" w:after="0" w:afterAutospacing="0"/>
        <w:jc w:val="right"/>
        <w:rPr>
          <w:sz w:val="28"/>
          <w:szCs w:val="28"/>
        </w:rPr>
      </w:pPr>
    </w:p>
    <w:tbl>
      <w:tblPr>
        <w:tblpPr w:leftFromText="180" w:rightFromText="180" w:vertAnchor="text" w:horzAnchor="margin" w:tblpXSpec="center" w:tblpY="149"/>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7"/>
        <w:gridCol w:w="2669"/>
        <w:gridCol w:w="6502"/>
      </w:tblGrid>
      <w:tr w:rsidR="00CC1A56" w:rsidRPr="00DD49B6" w:rsidTr="008D2450">
        <w:trPr>
          <w:trHeight w:val="419"/>
        </w:trPr>
        <w:tc>
          <w:tcPr>
            <w:tcW w:w="5000" w:type="pct"/>
            <w:gridSpan w:val="3"/>
            <w:vAlign w:val="center"/>
          </w:tcPr>
          <w:p w:rsidR="00CC1A56" w:rsidRPr="00DD49B6" w:rsidRDefault="00CC1A56" w:rsidP="007D385B">
            <w:pPr>
              <w:pStyle w:val="naisnod"/>
              <w:spacing w:before="0" w:beforeAutospacing="0" w:after="0" w:afterAutospacing="0"/>
              <w:ind w:left="57" w:right="57"/>
              <w:jc w:val="center"/>
              <w:rPr>
                <w:b/>
              </w:rPr>
            </w:pPr>
            <w:r w:rsidRPr="00DD49B6">
              <w:rPr>
                <w:b/>
              </w:rPr>
              <w:t>I. Tiesību akta projekta izstrādes nepieciešamība</w:t>
            </w:r>
          </w:p>
        </w:tc>
      </w:tr>
      <w:tr w:rsidR="00CC1A56" w:rsidRPr="00DD49B6" w:rsidTr="008D2450">
        <w:trPr>
          <w:trHeight w:val="415"/>
        </w:trPr>
        <w:tc>
          <w:tcPr>
            <w:tcW w:w="162" w:type="pct"/>
          </w:tcPr>
          <w:p w:rsidR="00CC1A56" w:rsidRPr="00DD49B6" w:rsidRDefault="00CC1A56" w:rsidP="007D385B">
            <w:pPr>
              <w:pStyle w:val="naiskr"/>
              <w:spacing w:before="0" w:beforeAutospacing="0" w:after="0" w:afterAutospacing="0"/>
              <w:ind w:left="57" w:right="57"/>
              <w:jc w:val="center"/>
            </w:pPr>
            <w:r w:rsidRPr="00DD49B6">
              <w:t>1.</w:t>
            </w:r>
          </w:p>
        </w:tc>
        <w:tc>
          <w:tcPr>
            <w:tcW w:w="1408" w:type="pct"/>
          </w:tcPr>
          <w:p w:rsidR="00CC1A56" w:rsidRPr="00DD49B6" w:rsidRDefault="00CC1A56" w:rsidP="007D385B">
            <w:pPr>
              <w:pStyle w:val="naiskr"/>
              <w:spacing w:before="0" w:beforeAutospacing="0" w:after="0" w:afterAutospacing="0"/>
              <w:ind w:left="57" w:right="57"/>
            </w:pPr>
            <w:r w:rsidRPr="00DD49B6">
              <w:t>Pamatojums</w:t>
            </w:r>
          </w:p>
        </w:tc>
        <w:tc>
          <w:tcPr>
            <w:tcW w:w="3430" w:type="pct"/>
          </w:tcPr>
          <w:p w:rsidR="00CC1A56" w:rsidRPr="006D573E" w:rsidRDefault="004A42DE" w:rsidP="009C3E68">
            <w:pPr>
              <w:spacing w:after="0" w:line="240" w:lineRule="auto"/>
              <w:ind w:left="57" w:right="57"/>
              <w:jc w:val="both"/>
              <w:rPr>
                <w:rFonts w:ascii="Times New Roman" w:hAnsi="Times New Roman" w:cs="Times New Roman"/>
                <w:sz w:val="24"/>
                <w:szCs w:val="24"/>
                <w:shd w:val="clear" w:color="auto" w:fill="FFFFFF"/>
              </w:rPr>
            </w:pPr>
            <w:r w:rsidRPr="004A42DE">
              <w:rPr>
                <w:rFonts w:ascii="Times New Roman" w:hAnsi="Times New Roman" w:cs="Times New Roman"/>
                <w:sz w:val="24"/>
                <w:szCs w:val="24"/>
              </w:rPr>
              <w:t xml:space="preserve">Ministru kabineta noteikumu projekts „Grozījumi Ministru kabineta </w:t>
            </w:r>
            <w:proofErr w:type="gramStart"/>
            <w:r w:rsidRPr="004A42DE">
              <w:rPr>
                <w:rFonts w:ascii="Times New Roman" w:hAnsi="Times New Roman" w:cs="Times New Roman"/>
                <w:sz w:val="24"/>
                <w:szCs w:val="24"/>
              </w:rPr>
              <w:t>2011.gada</w:t>
            </w:r>
            <w:proofErr w:type="gramEnd"/>
            <w:r w:rsidRPr="004A42DE">
              <w:rPr>
                <w:rFonts w:ascii="Times New Roman" w:hAnsi="Times New Roman" w:cs="Times New Roman"/>
                <w:sz w:val="24"/>
                <w:szCs w:val="24"/>
              </w:rPr>
              <w:t xml:space="preserve"> 1.marta noteikumos Nr.170 „Noteikumi par darbības programmas „Cilvēkresursi un nodarbinātība” papildinājuma 1.4.1.1.1.apakšaktivitāti „Kompleksi atbalsta pasākumi iedzīvotāju integrēšanai sabiedrībā un darba tirgū””” (turpmāk – MK noteikumu projekts) izstrādāts saskaņā ar Labklājības ministrijas (turpmāk – LM) rosinātajiem grozījumiem darbības programmas „Cilvēkresursi un nodarbinātība” papildinājumā</w:t>
            </w:r>
            <w:r>
              <w:rPr>
                <w:rFonts w:ascii="Times New Roman" w:hAnsi="Times New Roman" w:cs="Times New Roman"/>
                <w:sz w:val="24"/>
                <w:szCs w:val="24"/>
              </w:rPr>
              <w:t xml:space="preserve"> (turpmāk – DPP)</w:t>
            </w:r>
            <w:r w:rsidRPr="004A42DE">
              <w:rPr>
                <w:rFonts w:ascii="Times New Roman" w:hAnsi="Times New Roman" w:cs="Times New Roman"/>
                <w:sz w:val="24"/>
                <w:szCs w:val="24"/>
              </w:rPr>
              <w:t xml:space="preserve"> un Ministru kabineta 17.12.2013. sēdes protokola Nr.67 92.§ </w:t>
            </w:r>
            <w:r w:rsidR="00FB472B">
              <w:rPr>
                <w:rFonts w:ascii="Times New Roman" w:hAnsi="Times New Roman" w:cs="Times New Roman"/>
                <w:sz w:val="24"/>
                <w:szCs w:val="24"/>
              </w:rPr>
              <w:t>2.</w:t>
            </w:r>
            <w:r w:rsidR="009C3E68">
              <w:rPr>
                <w:rFonts w:ascii="Times New Roman" w:hAnsi="Times New Roman" w:cs="Times New Roman"/>
                <w:sz w:val="24"/>
                <w:szCs w:val="24"/>
              </w:rPr>
              <w:t>,</w:t>
            </w:r>
            <w:r w:rsidR="00FB472B">
              <w:rPr>
                <w:rFonts w:ascii="Times New Roman" w:hAnsi="Times New Roman" w:cs="Times New Roman"/>
                <w:sz w:val="24"/>
                <w:szCs w:val="24"/>
              </w:rPr>
              <w:t xml:space="preserve"> </w:t>
            </w:r>
            <w:r w:rsidRPr="004A42DE">
              <w:rPr>
                <w:rFonts w:ascii="Times New Roman" w:hAnsi="Times New Roman" w:cs="Times New Roman"/>
                <w:sz w:val="24"/>
                <w:szCs w:val="24"/>
              </w:rPr>
              <w:t>5.</w:t>
            </w:r>
            <w:r w:rsidR="009C3E68">
              <w:rPr>
                <w:rFonts w:ascii="Times New Roman" w:hAnsi="Times New Roman" w:cs="Times New Roman"/>
                <w:sz w:val="24"/>
                <w:szCs w:val="24"/>
              </w:rPr>
              <w:t>un 6.</w:t>
            </w:r>
            <w:r w:rsidRPr="004A42DE">
              <w:rPr>
                <w:rFonts w:ascii="Times New Roman" w:hAnsi="Times New Roman" w:cs="Times New Roman"/>
                <w:sz w:val="24"/>
                <w:szCs w:val="24"/>
              </w:rPr>
              <w:t>punktu.</w:t>
            </w:r>
          </w:p>
        </w:tc>
      </w:tr>
      <w:tr w:rsidR="00CC1A56" w:rsidRPr="00DD49B6" w:rsidTr="008D2450">
        <w:trPr>
          <w:trHeight w:val="472"/>
        </w:trPr>
        <w:tc>
          <w:tcPr>
            <w:tcW w:w="162" w:type="pct"/>
          </w:tcPr>
          <w:p w:rsidR="00CC1A56" w:rsidRPr="00DD49B6" w:rsidRDefault="00CC1A56" w:rsidP="007D385B">
            <w:pPr>
              <w:pStyle w:val="naiskr"/>
              <w:spacing w:before="0" w:beforeAutospacing="0" w:after="0" w:afterAutospacing="0"/>
              <w:ind w:left="57" w:right="57"/>
              <w:jc w:val="center"/>
            </w:pPr>
            <w:r w:rsidRPr="00DD49B6">
              <w:t>2.</w:t>
            </w:r>
          </w:p>
        </w:tc>
        <w:tc>
          <w:tcPr>
            <w:tcW w:w="1408" w:type="pct"/>
          </w:tcPr>
          <w:p w:rsidR="00CC1A56" w:rsidRPr="00DD49B6" w:rsidRDefault="00CC1A56" w:rsidP="007D385B">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tc>
        <w:tc>
          <w:tcPr>
            <w:tcW w:w="3430" w:type="pct"/>
          </w:tcPr>
          <w:p w:rsidR="0065160D" w:rsidRDefault="009A4238" w:rsidP="0065160D">
            <w:pPr>
              <w:tabs>
                <w:tab w:val="left" w:pos="6444"/>
              </w:tabs>
              <w:spacing w:after="0" w:line="240" w:lineRule="auto"/>
              <w:ind w:left="142" w:right="14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w:t>
            </w:r>
            <w:r w:rsidR="00376507" w:rsidRPr="00376507">
              <w:rPr>
                <w:rFonts w:ascii="Times New Roman" w:hAnsi="Times New Roman" w:cs="Times New Roman"/>
                <w:sz w:val="24"/>
                <w:szCs w:val="24"/>
                <w:shd w:val="clear" w:color="auto" w:fill="FFFFFF"/>
              </w:rPr>
              <w:t>Lai nodrošinātu Ministru kabineta 17.12.2013. sēdes protokola Nr.67 92.§</w:t>
            </w:r>
            <w:r w:rsidR="0065160D">
              <w:rPr>
                <w:rFonts w:ascii="Times New Roman" w:hAnsi="Times New Roman" w:cs="Times New Roman"/>
                <w:sz w:val="24"/>
                <w:szCs w:val="24"/>
                <w:shd w:val="clear" w:color="auto" w:fill="FFFFFF"/>
              </w:rPr>
              <w:t>:</w:t>
            </w:r>
          </w:p>
          <w:p w:rsidR="0024102C" w:rsidRPr="00F003BF" w:rsidRDefault="0065160D" w:rsidP="0045019D">
            <w:pPr>
              <w:pStyle w:val="ListParagraph"/>
              <w:numPr>
                <w:ilvl w:val="0"/>
                <w:numId w:val="14"/>
              </w:numPr>
              <w:tabs>
                <w:tab w:val="left" w:pos="6444"/>
              </w:tabs>
              <w:spacing w:after="0" w:line="240" w:lineRule="auto"/>
              <w:ind w:right="141"/>
              <w:jc w:val="both"/>
              <w:rPr>
                <w:rFonts w:ascii="Times New Roman" w:hAnsi="Times New Roman" w:cs="Times New Roman"/>
                <w:sz w:val="24"/>
                <w:szCs w:val="24"/>
                <w:shd w:val="clear" w:color="auto" w:fill="FFFFFF"/>
              </w:rPr>
            </w:pPr>
            <w:r w:rsidRPr="001415BF">
              <w:rPr>
                <w:rFonts w:ascii="Times New Roman" w:hAnsi="Times New Roman" w:cs="Times New Roman"/>
                <w:sz w:val="24"/>
                <w:szCs w:val="24"/>
                <w:u w:val="single"/>
                <w:shd w:val="clear" w:color="auto" w:fill="FFFFFF"/>
              </w:rPr>
              <w:t>5.punktā noteiktā</w:t>
            </w:r>
            <w:r w:rsidRPr="00DA2D55">
              <w:rPr>
                <w:rFonts w:ascii="Times New Roman" w:hAnsi="Times New Roman" w:cs="Times New Roman"/>
                <w:sz w:val="24"/>
                <w:szCs w:val="24"/>
                <w:shd w:val="clear" w:color="auto" w:fill="FFFFFF"/>
              </w:rPr>
              <w:t xml:space="preserve"> (</w:t>
            </w:r>
            <w:r w:rsidR="00376507" w:rsidRPr="00DA2D55">
              <w:rPr>
                <w:rFonts w:ascii="Times New Roman" w:hAnsi="Times New Roman" w:cs="Times New Roman"/>
                <w:sz w:val="24"/>
                <w:szCs w:val="24"/>
                <w:shd w:val="clear" w:color="auto" w:fill="FFFFFF"/>
              </w:rPr>
              <w:t xml:space="preserve">Labklājības ministrijai līdz </w:t>
            </w:r>
            <w:proofErr w:type="gramStart"/>
            <w:r w:rsidR="00376507" w:rsidRPr="00DA2D55">
              <w:rPr>
                <w:rFonts w:ascii="Times New Roman" w:hAnsi="Times New Roman" w:cs="Times New Roman"/>
                <w:sz w:val="24"/>
                <w:szCs w:val="24"/>
                <w:shd w:val="clear" w:color="auto" w:fill="FFFFFF"/>
              </w:rPr>
              <w:t>2014.gada</w:t>
            </w:r>
            <w:proofErr w:type="gramEnd"/>
            <w:r w:rsidR="00376507" w:rsidRPr="00DA2D55">
              <w:rPr>
                <w:rFonts w:ascii="Times New Roman" w:hAnsi="Times New Roman" w:cs="Times New Roman"/>
                <w:sz w:val="24"/>
                <w:szCs w:val="24"/>
                <w:shd w:val="clear" w:color="auto" w:fill="FFFFFF"/>
              </w:rPr>
              <w:t xml:space="preserve"> 1.oktobrim organizēt zinātniska pētījuma īstenošanu par jauniešu, kas nemācās, nestrādā un neiegūst arodu, profilu un aktivizācijas iespējām, piesaistot Ekonomiskās sadarbības un attīstības organizācijas (</w:t>
            </w:r>
            <w:r w:rsidR="00456D14">
              <w:rPr>
                <w:rFonts w:ascii="Times New Roman" w:hAnsi="Times New Roman" w:cs="Times New Roman"/>
                <w:sz w:val="24"/>
                <w:szCs w:val="24"/>
                <w:shd w:val="clear" w:color="auto" w:fill="FFFFFF"/>
              </w:rPr>
              <w:t xml:space="preserve">turpmāk </w:t>
            </w:r>
            <w:r w:rsidR="00456D14">
              <w:rPr>
                <w:rFonts w:ascii="Times New Roman" w:hAnsi="Times New Roman" w:cs="Times New Roman"/>
                <w:sz w:val="24"/>
                <w:szCs w:val="24"/>
                <w:shd w:val="clear" w:color="auto" w:fill="FFFFFF"/>
              </w:rPr>
              <w:noBreakHyphen/>
              <w:t xml:space="preserve"> </w:t>
            </w:r>
            <w:r w:rsidR="00376507" w:rsidRPr="00DA2D55">
              <w:rPr>
                <w:rFonts w:ascii="Times New Roman" w:hAnsi="Times New Roman" w:cs="Times New Roman"/>
                <w:sz w:val="24"/>
                <w:szCs w:val="24"/>
                <w:shd w:val="clear" w:color="auto" w:fill="FFFFFF"/>
              </w:rPr>
              <w:t>OECD) ekspertīzi)</w:t>
            </w:r>
            <w:r w:rsidR="00383EAB">
              <w:rPr>
                <w:rFonts w:ascii="Times New Roman" w:hAnsi="Times New Roman" w:cs="Times New Roman"/>
                <w:sz w:val="24"/>
                <w:szCs w:val="24"/>
                <w:shd w:val="clear" w:color="auto" w:fill="FFFFFF"/>
              </w:rPr>
              <w:t xml:space="preserve"> un </w:t>
            </w:r>
            <w:r w:rsidR="00383EAB" w:rsidRPr="001415BF">
              <w:rPr>
                <w:rFonts w:ascii="Times New Roman" w:hAnsi="Times New Roman" w:cs="Times New Roman"/>
                <w:sz w:val="24"/>
                <w:szCs w:val="24"/>
                <w:u w:val="single"/>
                <w:shd w:val="clear" w:color="auto" w:fill="FFFFFF"/>
              </w:rPr>
              <w:t>6.punktā noteiktā</w:t>
            </w:r>
            <w:r w:rsidR="006256BC">
              <w:rPr>
                <w:rFonts w:ascii="Times New Roman" w:hAnsi="Times New Roman" w:cs="Times New Roman"/>
                <w:sz w:val="24"/>
                <w:szCs w:val="24"/>
                <w:shd w:val="clear" w:color="auto" w:fill="FFFFFF"/>
              </w:rPr>
              <w:t xml:space="preserve"> (atbalstīt</w:t>
            </w:r>
            <w:r w:rsidR="00383EAB">
              <w:rPr>
                <w:rFonts w:ascii="Times New Roman" w:hAnsi="Times New Roman" w:cs="Times New Roman"/>
                <w:sz w:val="24"/>
                <w:szCs w:val="24"/>
                <w:shd w:val="clear" w:color="auto" w:fill="FFFFFF"/>
              </w:rPr>
              <w:t xml:space="preserve"> zinātniskā</w:t>
            </w:r>
            <w:r w:rsidR="00383EAB" w:rsidRPr="00DA2D55">
              <w:rPr>
                <w:rFonts w:ascii="Times New Roman" w:hAnsi="Times New Roman" w:cs="Times New Roman"/>
                <w:sz w:val="24"/>
                <w:szCs w:val="24"/>
                <w:shd w:val="clear" w:color="auto" w:fill="FFFFFF"/>
              </w:rPr>
              <w:t xml:space="preserve"> pētījuma </w:t>
            </w:r>
            <w:r w:rsidR="00383EAB">
              <w:rPr>
                <w:rFonts w:ascii="Times New Roman" w:hAnsi="Times New Roman" w:cs="Times New Roman"/>
                <w:sz w:val="24"/>
                <w:szCs w:val="24"/>
                <w:shd w:val="clear" w:color="auto" w:fill="FFFFFF"/>
              </w:rPr>
              <w:t>finansēšanu no Labklājības ministrijai pieejamiem Eiropas Sociālā fonda līdzekļiem un Labklājības ministrijai līdz 2014.gada 14.februārim iesniegt izskatīšanai Ministru kabinetā grozījumus DPP un attiecīgajos normatīvajos aktos, kas nosaka Eiropas Sociālā fonda finansēto aktivitāšu īstenošanas kārtība)</w:t>
            </w:r>
            <w:r w:rsidR="00376507" w:rsidRPr="00DA2D55">
              <w:rPr>
                <w:rFonts w:ascii="Times New Roman" w:hAnsi="Times New Roman" w:cs="Times New Roman"/>
                <w:sz w:val="24"/>
                <w:szCs w:val="24"/>
                <w:shd w:val="clear" w:color="auto" w:fill="FFFFFF"/>
              </w:rPr>
              <w:t xml:space="preserve"> izpildi, nepieciešams </w:t>
            </w:r>
            <w:r w:rsidR="009A4238" w:rsidRPr="00DA2D55">
              <w:rPr>
                <w:rFonts w:ascii="Times New Roman" w:hAnsi="Times New Roman" w:cs="Times New Roman"/>
                <w:sz w:val="24"/>
                <w:szCs w:val="24"/>
                <w:shd w:val="clear" w:color="auto" w:fill="FFFFFF"/>
              </w:rPr>
              <w:t>p</w:t>
            </w:r>
            <w:r w:rsidR="00380C43">
              <w:rPr>
                <w:rFonts w:ascii="Times New Roman" w:hAnsi="Times New Roman" w:cs="Times New Roman"/>
                <w:sz w:val="24"/>
                <w:szCs w:val="24"/>
                <w:shd w:val="clear" w:color="auto" w:fill="FFFFFF"/>
              </w:rPr>
              <w:t>apildināt</w:t>
            </w:r>
            <w:r w:rsidR="00376507" w:rsidRPr="00DA2D55">
              <w:rPr>
                <w:rFonts w:ascii="Times New Roman" w:hAnsi="Times New Roman" w:cs="Times New Roman"/>
                <w:sz w:val="24"/>
                <w:szCs w:val="24"/>
                <w:shd w:val="clear" w:color="auto" w:fill="FFFFFF"/>
              </w:rPr>
              <w:t xml:space="preserve"> Ministru kabi</w:t>
            </w:r>
            <w:r w:rsidR="00380C43">
              <w:rPr>
                <w:rFonts w:ascii="Times New Roman" w:hAnsi="Times New Roman" w:cs="Times New Roman"/>
                <w:sz w:val="24"/>
                <w:szCs w:val="24"/>
                <w:shd w:val="clear" w:color="auto" w:fill="FFFFFF"/>
              </w:rPr>
              <w:t>neta 2011.gada 1.marta noteikumu</w:t>
            </w:r>
            <w:r w:rsidR="00376507" w:rsidRPr="00DA2D55">
              <w:rPr>
                <w:rFonts w:ascii="Times New Roman" w:hAnsi="Times New Roman" w:cs="Times New Roman"/>
                <w:sz w:val="24"/>
                <w:szCs w:val="24"/>
                <w:shd w:val="clear" w:color="auto" w:fill="FFFFFF"/>
              </w:rPr>
              <w:t xml:space="preserve">s Nr.170 „Noteikumi par darbības programmas „Cilvēkresursi un nodarbinātība” papildinājuma 1.4.1.1.1.apakšaktivitāti „Kompleksi atbalsta pasākumi iedzīvotāju integrēšanai sabiedrībā un darba tirgū” (turpmāk – MK noteikumi Nr.170) </w:t>
            </w:r>
            <w:r w:rsidR="00380C43">
              <w:rPr>
                <w:rFonts w:ascii="Times New Roman" w:hAnsi="Times New Roman" w:cs="Times New Roman"/>
                <w:sz w:val="24"/>
                <w:szCs w:val="24"/>
                <w:shd w:val="clear" w:color="auto" w:fill="FFFFFF"/>
              </w:rPr>
              <w:t xml:space="preserve">ar </w:t>
            </w:r>
            <w:r w:rsidR="00DF0F3A">
              <w:rPr>
                <w:rFonts w:ascii="Times New Roman" w:hAnsi="Times New Roman" w:cs="Times New Roman"/>
                <w:sz w:val="24"/>
                <w:szCs w:val="24"/>
                <w:shd w:val="clear" w:color="auto" w:fill="FFFFFF"/>
              </w:rPr>
              <w:t xml:space="preserve">jaunu </w:t>
            </w:r>
            <w:r w:rsidR="00376507" w:rsidRPr="00DA2D55">
              <w:rPr>
                <w:rFonts w:ascii="Times New Roman" w:hAnsi="Times New Roman" w:cs="Times New Roman"/>
                <w:sz w:val="24"/>
                <w:szCs w:val="24"/>
                <w:shd w:val="clear" w:color="auto" w:fill="FFFFFF"/>
              </w:rPr>
              <w:t>atbalstām</w:t>
            </w:r>
            <w:r w:rsidR="00380C43">
              <w:rPr>
                <w:rFonts w:ascii="Times New Roman" w:hAnsi="Times New Roman" w:cs="Times New Roman"/>
                <w:sz w:val="24"/>
                <w:szCs w:val="24"/>
                <w:shd w:val="clear" w:color="auto" w:fill="FFFFFF"/>
              </w:rPr>
              <w:t>o</w:t>
            </w:r>
            <w:r w:rsidR="009229DE">
              <w:rPr>
                <w:rFonts w:ascii="Times New Roman" w:hAnsi="Times New Roman" w:cs="Times New Roman"/>
                <w:sz w:val="24"/>
                <w:szCs w:val="24"/>
                <w:shd w:val="clear" w:color="auto" w:fill="FFFFFF"/>
              </w:rPr>
              <w:t xml:space="preserve"> darbīb</w:t>
            </w:r>
            <w:r w:rsidR="00380C43">
              <w:rPr>
                <w:rFonts w:ascii="Times New Roman" w:hAnsi="Times New Roman" w:cs="Times New Roman"/>
                <w:sz w:val="24"/>
                <w:szCs w:val="24"/>
                <w:shd w:val="clear" w:color="auto" w:fill="FFFFFF"/>
              </w:rPr>
              <w:t>u</w:t>
            </w:r>
            <w:r w:rsidR="009229DE">
              <w:rPr>
                <w:rFonts w:ascii="Times New Roman" w:hAnsi="Times New Roman" w:cs="Times New Roman"/>
                <w:sz w:val="24"/>
                <w:szCs w:val="24"/>
                <w:shd w:val="clear" w:color="auto" w:fill="FFFFFF"/>
              </w:rPr>
              <w:t xml:space="preserve"> – zinātnisks pētījums </w:t>
            </w:r>
            <w:r w:rsidR="00380C43">
              <w:rPr>
                <w:rFonts w:ascii="Times New Roman" w:hAnsi="Times New Roman" w:cs="Times New Roman"/>
                <w:sz w:val="24"/>
                <w:szCs w:val="24"/>
                <w:shd w:val="clear" w:color="auto" w:fill="FFFFFF"/>
              </w:rPr>
              <w:t>par</w:t>
            </w:r>
            <w:r w:rsidR="00376507" w:rsidRPr="00DA2D55">
              <w:rPr>
                <w:rFonts w:ascii="Times New Roman" w:hAnsi="Times New Roman" w:cs="Times New Roman"/>
                <w:sz w:val="24"/>
                <w:szCs w:val="24"/>
                <w:shd w:val="clear" w:color="auto" w:fill="FFFFFF"/>
              </w:rPr>
              <w:t xml:space="preserve"> jauniešu, k</w:t>
            </w:r>
            <w:r w:rsidR="00380C43">
              <w:rPr>
                <w:rFonts w:ascii="Times New Roman" w:hAnsi="Times New Roman" w:cs="Times New Roman"/>
                <w:sz w:val="24"/>
                <w:szCs w:val="24"/>
                <w:shd w:val="clear" w:color="auto" w:fill="FFFFFF"/>
              </w:rPr>
              <w:t>as</w:t>
            </w:r>
            <w:r w:rsidR="00376507" w:rsidRPr="00DA2D55">
              <w:rPr>
                <w:rFonts w:ascii="Times New Roman" w:hAnsi="Times New Roman" w:cs="Times New Roman"/>
                <w:sz w:val="24"/>
                <w:szCs w:val="24"/>
                <w:shd w:val="clear" w:color="auto" w:fill="FFFFFF"/>
              </w:rPr>
              <w:t xml:space="preserve"> nemācās, nestrādā un ne</w:t>
            </w:r>
            <w:r w:rsidR="009229DE">
              <w:rPr>
                <w:rFonts w:ascii="Times New Roman" w:hAnsi="Times New Roman" w:cs="Times New Roman"/>
                <w:sz w:val="24"/>
                <w:szCs w:val="24"/>
                <w:shd w:val="clear" w:color="auto" w:fill="FFFFFF"/>
              </w:rPr>
              <w:t>ap</w:t>
            </w:r>
            <w:r w:rsidR="00376507" w:rsidRPr="00DA2D55">
              <w:rPr>
                <w:rFonts w:ascii="Times New Roman" w:hAnsi="Times New Roman" w:cs="Times New Roman"/>
                <w:sz w:val="24"/>
                <w:szCs w:val="24"/>
                <w:shd w:val="clear" w:color="auto" w:fill="FFFFFF"/>
              </w:rPr>
              <w:t>gūst arodu, profila un aktivizācijas iespēj</w:t>
            </w:r>
            <w:r w:rsidR="00380C43">
              <w:rPr>
                <w:rFonts w:ascii="Times New Roman" w:hAnsi="Times New Roman" w:cs="Times New Roman"/>
                <w:sz w:val="24"/>
                <w:szCs w:val="24"/>
                <w:shd w:val="clear" w:color="auto" w:fill="FFFFFF"/>
              </w:rPr>
              <w:t>ām, vienlaikus</w:t>
            </w:r>
            <w:r w:rsidR="00376507" w:rsidRPr="00DA2D55">
              <w:rPr>
                <w:rFonts w:ascii="Times New Roman" w:hAnsi="Times New Roman" w:cs="Times New Roman"/>
                <w:sz w:val="24"/>
                <w:szCs w:val="24"/>
                <w:shd w:val="clear" w:color="auto" w:fill="FFFFFF"/>
              </w:rPr>
              <w:t xml:space="preserve"> nosakot </w:t>
            </w:r>
            <w:r w:rsidR="001B5B45" w:rsidRPr="00DA2D55">
              <w:rPr>
                <w:rFonts w:ascii="Times New Roman" w:hAnsi="Times New Roman" w:cs="Times New Roman"/>
                <w:sz w:val="24"/>
                <w:szCs w:val="24"/>
                <w:shd w:val="clear" w:color="auto" w:fill="FFFFFF"/>
              </w:rPr>
              <w:t>minēt</w:t>
            </w:r>
            <w:r w:rsidR="00380C43">
              <w:rPr>
                <w:rFonts w:ascii="Times New Roman" w:hAnsi="Times New Roman" w:cs="Times New Roman"/>
                <w:sz w:val="24"/>
                <w:szCs w:val="24"/>
                <w:shd w:val="clear" w:color="auto" w:fill="FFFFFF"/>
              </w:rPr>
              <w:t>ā</w:t>
            </w:r>
            <w:r w:rsidR="001B5B45" w:rsidRPr="00DA2D55">
              <w:rPr>
                <w:rFonts w:ascii="Times New Roman" w:hAnsi="Times New Roman" w:cs="Times New Roman"/>
                <w:sz w:val="24"/>
                <w:szCs w:val="24"/>
                <w:shd w:val="clear" w:color="auto" w:fill="FFFFFF"/>
              </w:rPr>
              <w:t xml:space="preserve"> </w:t>
            </w:r>
            <w:r w:rsidR="00380C43">
              <w:rPr>
                <w:rFonts w:ascii="Times New Roman" w:hAnsi="Times New Roman" w:cs="Times New Roman"/>
                <w:sz w:val="24"/>
                <w:szCs w:val="24"/>
                <w:shd w:val="clear" w:color="auto" w:fill="FFFFFF"/>
              </w:rPr>
              <w:t>pētījuma</w:t>
            </w:r>
            <w:r w:rsidR="00376507" w:rsidRPr="00DA2D55">
              <w:rPr>
                <w:rFonts w:ascii="Times New Roman" w:hAnsi="Times New Roman" w:cs="Times New Roman"/>
                <w:sz w:val="24"/>
                <w:szCs w:val="24"/>
                <w:shd w:val="clear" w:color="auto" w:fill="FFFFFF"/>
              </w:rPr>
              <w:t xml:space="preserve"> </w:t>
            </w:r>
            <w:r w:rsidR="00B876BE">
              <w:rPr>
                <w:rFonts w:ascii="Times New Roman" w:hAnsi="Times New Roman" w:cs="Times New Roman"/>
                <w:sz w:val="24"/>
                <w:szCs w:val="24"/>
                <w:shd w:val="clear" w:color="auto" w:fill="FFFFFF"/>
              </w:rPr>
              <w:t>izmaksu</w:t>
            </w:r>
            <w:r w:rsidRPr="00DA2D55">
              <w:rPr>
                <w:rFonts w:ascii="Times New Roman" w:hAnsi="Times New Roman" w:cs="Times New Roman"/>
                <w:sz w:val="24"/>
                <w:szCs w:val="24"/>
                <w:shd w:val="clear" w:color="auto" w:fill="FFFFFF"/>
              </w:rPr>
              <w:t xml:space="preserve"> nosacījumus</w:t>
            </w:r>
            <w:r w:rsidR="00380C43">
              <w:rPr>
                <w:rFonts w:ascii="Times New Roman" w:hAnsi="Times New Roman" w:cs="Times New Roman"/>
                <w:sz w:val="24"/>
                <w:szCs w:val="24"/>
                <w:shd w:val="clear" w:color="auto" w:fill="FFFFFF"/>
              </w:rPr>
              <w:t>.</w:t>
            </w:r>
            <w:r w:rsidR="00864AEA">
              <w:rPr>
                <w:rFonts w:ascii="Times New Roman" w:hAnsi="Times New Roman" w:cs="Times New Roman"/>
                <w:sz w:val="24"/>
                <w:szCs w:val="24"/>
                <w:shd w:val="clear" w:color="auto" w:fill="FFFFFF"/>
              </w:rPr>
              <w:t xml:space="preserve"> Zinātniskā pētījuma</w:t>
            </w:r>
            <w:r w:rsidR="00350EE7">
              <w:rPr>
                <w:rFonts w:ascii="Times New Roman" w:hAnsi="Times New Roman" w:cs="Times New Roman"/>
                <w:sz w:val="24"/>
                <w:szCs w:val="24"/>
                <w:shd w:val="clear" w:color="auto" w:fill="FFFFFF"/>
              </w:rPr>
              <w:t xml:space="preserve"> </w:t>
            </w:r>
            <w:r w:rsidR="00350EE7" w:rsidRPr="004E6B6A">
              <w:rPr>
                <w:rFonts w:ascii="Times New Roman" w:hAnsi="Times New Roman" w:cs="Times New Roman"/>
                <w:sz w:val="24"/>
                <w:szCs w:val="24"/>
                <w:shd w:val="clear" w:color="auto" w:fill="FFFFFF"/>
              </w:rPr>
              <w:t>(</w:t>
            </w:r>
            <w:r w:rsidR="009344E7" w:rsidRPr="004E6B6A">
              <w:rPr>
                <w:rFonts w:ascii="Times New Roman" w:hAnsi="Times New Roman" w:cs="Times New Roman"/>
                <w:sz w:val="24"/>
                <w:szCs w:val="24"/>
                <w:shd w:val="clear" w:color="auto" w:fill="FFFFFF"/>
              </w:rPr>
              <w:t>plānotais</w:t>
            </w:r>
            <w:r w:rsidR="00350EE7" w:rsidRPr="004E6B6A">
              <w:rPr>
                <w:rFonts w:ascii="Times New Roman" w:hAnsi="Times New Roman" w:cs="Times New Roman"/>
                <w:sz w:val="24"/>
                <w:szCs w:val="24"/>
                <w:shd w:val="clear" w:color="auto" w:fill="FFFFFF"/>
              </w:rPr>
              <w:t xml:space="preserve"> nosaukums „</w:t>
            </w:r>
            <w:proofErr w:type="spellStart"/>
            <w:r w:rsidR="00350EE7" w:rsidRPr="004E6B6A">
              <w:rPr>
                <w:rFonts w:ascii="Times New Roman" w:hAnsi="Times New Roman" w:cs="Times New Roman"/>
                <w:sz w:val="24"/>
                <w:szCs w:val="24"/>
                <w:shd w:val="clear" w:color="auto" w:fill="FFFFFF"/>
              </w:rPr>
              <w:t>Social</w:t>
            </w:r>
            <w:proofErr w:type="spellEnd"/>
            <w:r w:rsidR="00350EE7" w:rsidRPr="004E6B6A">
              <w:rPr>
                <w:rFonts w:ascii="Times New Roman" w:hAnsi="Times New Roman" w:cs="Times New Roman"/>
                <w:sz w:val="24"/>
                <w:szCs w:val="24"/>
                <w:shd w:val="clear" w:color="auto" w:fill="FFFFFF"/>
              </w:rPr>
              <w:t xml:space="preserve"> </w:t>
            </w:r>
            <w:proofErr w:type="spellStart"/>
            <w:r w:rsidR="00350EE7" w:rsidRPr="004E6B6A">
              <w:rPr>
                <w:rFonts w:ascii="Times New Roman" w:hAnsi="Times New Roman" w:cs="Times New Roman"/>
                <w:sz w:val="24"/>
                <w:szCs w:val="24"/>
                <w:shd w:val="clear" w:color="auto" w:fill="FFFFFF"/>
              </w:rPr>
              <w:t>policies</w:t>
            </w:r>
            <w:proofErr w:type="spellEnd"/>
            <w:r w:rsidR="00350EE7" w:rsidRPr="004E6B6A">
              <w:rPr>
                <w:rFonts w:ascii="Times New Roman" w:hAnsi="Times New Roman" w:cs="Times New Roman"/>
                <w:sz w:val="24"/>
                <w:szCs w:val="24"/>
                <w:shd w:val="clear" w:color="auto" w:fill="FFFFFF"/>
              </w:rPr>
              <w:t xml:space="preserve"> </w:t>
            </w:r>
            <w:proofErr w:type="spellStart"/>
            <w:r w:rsidR="00350EE7" w:rsidRPr="004E6B6A">
              <w:rPr>
                <w:rFonts w:ascii="Times New Roman" w:hAnsi="Times New Roman" w:cs="Times New Roman"/>
                <w:sz w:val="24"/>
                <w:szCs w:val="24"/>
                <w:shd w:val="clear" w:color="auto" w:fill="FFFFFF"/>
              </w:rPr>
              <w:t>for</w:t>
            </w:r>
            <w:proofErr w:type="spellEnd"/>
            <w:r w:rsidR="00350EE7" w:rsidRPr="004E6B6A">
              <w:rPr>
                <w:rFonts w:ascii="Times New Roman" w:hAnsi="Times New Roman" w:cs="Times New Roman"/>
                <w:sz w:val="24"/>
                <w:szCs w:val="24"/>
                <w:shd w:val="clear" w:color="auto" w:fill="FFFFFF"/>
              </w:rPr>
              <w:t xml:space="preserve"> </w:t>
            </w:r>
            <w:proofErr w:type="spellStart"/>
            <w:r w:rsidR="00350EE7" w:rsidRPr="004E6B6A">
              <w:rPr>
                <w:rFonts w:ascii="Times New Roman" w:hAnsi="Times New Roman" w:cs="Times New Roman"/>
                <w:sz w:val="24"/>
                <w:szCs w:val="24"/>
                <w:shd w:val="clear" w:color="auto" w:fill="FFFFFF"/>
              </w:rPr>
              <w:t>youth</w:t>
            </w:r>
            <w:proofErr w:type="spellEnd"/>
            <w:r w:rsidR="00350EE7" w:rsidRPr="004E6B6A">
              <w:rPr>
                <w:rFonts w:ascii="Times New Roman" w:hAnsi="Times New Roman" w:cs="Times New Roman"/>
                <w:sz w:val="24"/>
                <w:szCs w:val="24"/>
                <w:shd w:val="clear" w:color="auto" w:fill="FFFFFF"/>
              </w:rPr>
              <w:t>”)</w:t>
            </w:r>
            <w:r w:rsidR="00864AEA">
              <w:rPr>
                <w:rFonts w:ascii="Times New Roman" w:hAnsi="Times New Roman" w:cs="Times New Roman"/>
                <w:sz w:val="24"/>
                <w:szCs w:val="24"/>
                <w:shd w:val="clear" w:color="auto" w:fill="FFFFFF"/>
              </w:rPr>
              <w:t xml:space="preserve"> ietvaros ir plānots novērtēt jauniešu profilu (tai skaitā sociālās problēmas, ar kurām jauniešiem nākas saskarties, ienākot darba tirgū vai izglītības sistēmā), jauniešu garantijas ietvaros īstenoto pasākumu ietekmi uz jauniešu spēju iekārtoties darbā vai atgriezties izglītības sistēmā, jauniešu garantijas ietekmi uz darba tirgu, izveidoto partnerību sadarbības modeli, kā arī minēto pasākumu </w:t>
            </w:r>
            <w:r w:rsidR="00864AEA">
              <w:rPr>
                <w:rFonts w:ascii="Times New Roman" w:hAnsi="Times New Roman" w:cs="Times New Roman"/>
                <w:sz w:val="24"/>
                <w:szCs w:val="24"/>
                <w:shd w:val="clear" w:color="auto" w:fill="FFFFFF"/>
              </w:rPr>
              <w:lastRenderedPageBreak/>
              <w:t>īstenošanas efektivitāti. Papildus tiks vērtēti jauniešu garantijas pasākumu īstenošanas nosacījumi un to atbilstība mērķa grupas jauniešu</w:t>
            </w:r>
            <w:r w:rsidR="00864AEA" w:rsidRPr="00A54166">
              <w:rPr>
                <w:rFonts w:ascii="Times New Roman" w:hAnsi="Times New Roman"/>
                <w:sz w:val="24"/>
              </w:rPr>
              <w:t>, kas nemācās, nestrādā un neapgūst arodu</w:t>
            </w:r>
            <w:r w:rsidR="00864AEA">
              <w:rPr>
                <w:rFonts w:ascii="Times New Roman" w:hAnsi="Times New Roman"/>
                <w:sz w:val="24"/>
              </w:rPr>
              <w:t>,</w:t>
            </w:r>
            <w:r w:rsidR="00864AEA" w:rsidRPr="00A54166">
              <w:rPr>
                <w:rFonts w:ascii="Times New Roman" w:hAnsi="Times New Roman"/>
                <w:sz w:val="24"/>
              </w:rPr>
              <w:t xml:space="preserve"> </w:t>
            </w:r>
            <w:r w:rsidR="00864AEA">
              <w:rPr>
                <w:rFonts w:ascii="Times New Roman" w:hAnsi="Times New Roman" w:cs="Times New Roman"/>
                <w:sz w:val="24"/>
                <w:szCs w:val="24"/>
                <w:shd w:val="clear" w:color="auto" w:fill="FFFFFF"/>
              </w:rPr>
              <w:t>vajadzībām, kā arī piedāvāti risinājumi jauniešu garantijas efektīvākai īstenošanai un uzraudzībai. Šāda pētījuma nepieciešamība ir saistīta ar paredzēto atbalstu jauniešu garantijas pasākumu īstenošanai 2014.-</w:t>
            </w:r>
            <w:proofErr w:type="gramStart"/>
            <w:r w:rsidR="00864AEA">
              <w:rPr>
                <w:rFonts w:ascii="Times New Roman" w:hAnsi="Times New Roman" w:cs="Times New Roman"/>
                <w:sz w:val="24"/>
                <w:szCs w:val="24"/>
                <w:shd w:val="clear" w:color="auto" w:fill="FFFFFF"/>
              </w:rPr>
              <w:t>2020.gada</w:t>
            </w:r>
            <w:proofErr w:type="gramEnd"/>
            <w:r w:rsidR="00864AEA">
              <w:rPr>
                <w:rFonts w:ascii="Times New Roman" w:hAnsi="Times New Roman" w:cs="Times New Roman"/>
                <w:sz w:val="24"/>
                <w:szCs w:val="24"/>
                <w:shd w:val="clear" w:color="auto" w:fill="FFFFFF"/>
              </w:rPr>
              <w:t xml:space="preserve"> plānošanas perioda ietvaros un tā rezultātus plānots izmantot jauniešu garantijas pasākumu ieviešanas nosacījumu pārskatīšanā, jauniešu aktivizācijas iespēju noteikšanā, pasākumu ieviešanas kontrolē un uzraudzībā </w:t>
            </w:r>
            <w:proofErr w:type="spellStart"/>
            <w:r w:rsidR="00864AEA">
              <w:rPr>
                <w:rFonts w:ascii="Times New Roman" w:hAnsi="Times New Roman" w:cs="Times New Roman"/>
                <w:sz w:val="24"/>
                <w:szCs w:val="24"/>
                <w:shd w:val="clear" w:color="auto" w:fill="FFFFFF"/>
              </w:rPr>
              <w:t>utml</w:t>
            </w:r>
            <w:proofErr w:type="spellEnd"/>
            <w:r w:rsidR="00864AEA">
              <w:rPr>
                <w:rFonts w:ascii="Times New Roman" w:hAnsi="Times New Roman" w:cs="Times New Roman"/>
                <w:sz w:val="24"/>
                <w:szCs w:val="24"/>
                <w:shd w:val="clear" w:color="auto" w:fill="FFFFFF"/>
              </w:rPr>
              <w:t>. Ņemot vērā, ka 1.4.1.1.1.apakšaktivitātes mērķis ir vērsts uz personu iekļaušanos darba tirgū, motivācijas u</w:t>
            </w:r>
            <w:r w:rsidR="003530FE">
              <w:rPr>
                <w:rFonts w:ascii="Times New Roman" w:hAnsi="Times New Roman" w:cs="Times New Roman"/>
                <w:sz w:val="24"/>
                <w:szCs w:val="24"/>
                <w:shd w:val="clear" w:color="auto" w:fill="FFFFFF"/>
              </w:rPr>
              <w:t>n konkurētspējas paaugstināšanu</w:t>
            </w:r>
            <w:r w:rsidR="00864AEA">
              <w:rPr>
                <w:rFonts w:ascii="Times New Roman" w:hAnsi="Times New Roman" w:cs="Times New Roman"/>
                <w:sz w:val="24"/>
                <w:szCs w:val="24"/>
                <w:shd w:val="clear" w:color="auto" w:fill="FFFFFF"/>
              </w:rPr>
              <w:t xml:space="preserve"> un tās ietvaros 2007.-2013.gada plānošanas periodā tika īstenoti jauniešu nodarbinātības veicināšanas atbalsta pasākumi, kā arī īstenots cits zinātniskais pētījums „Latvija: kurš ir bezdarbnieks, ekonomiski neaktīvais vai trūcīgais?”, pētījuma par jauniešu, kas nemācās, nestrādā un neapgūst arodu, profilu un aktivizācijas iespējām veikšanu </w:t>
            </w:r>
            <w:r w:rsidR="0020583D">
              <w:rPr>
                <w:rFonts w:ascii="Times New Roman" w:hAnsi="Times New Roman" w:cs="Times New Roman"/>
                <w:sz w:val="24"/>
                <w:szCs w:val="24"/>
                <w:shd w:val="clear" w:color="auto" w:fill="FFFFFF"/>
              </w:rPr>
              <w:t xml:space="preserve">ierosināts </w:t>
            </w:r>
            <w:r w:rsidR="00864AEA">
              <w:rPr>
                <w:rFonts w:ascii="Times New Roman" w:hAnsi="Times New Roman" w:cs="Times New Roman"/>
                <w:sz w:val="24"/>
                <w:szCs w:val="24"/>
                <w:shd w:val="clear" w:color="auto" w:fill="FFFFFF"/>
              </w:rPr>
              <w:t>organizēt 1.4.1.1.1.</w:t>
            </w:r>
            <w:r w:rsidR="00864AEA" w:rsidRPr="00117A88">
              <w:rPr>
                <w:rFonts w:ascii="Times New Roman" w:hAnsi="Times New Roman" w:cs="Times New Roman"/>
                <w:sz w:val="24"/>
                <w:szCs w:val="24"/>
                <w:shd w:val="clear" w:color="auto" w:fill="FFFFFF"/>
              </w:rPr>
              <w:t xml:space="preserve">apakšaktivitātes ietvaros. </w:t>
            </w:r>
            <w:r w:rsidR="00F2624D" w:rsidRPr="00117A88">
              <w:rPr>
                <w:rFonts w:ascii="Times New Roman" w:hAnsi="Times New Roman" w:cs="Times New Roman"/>
                <w:sz w:val="24"/>
                <w:szCs w:val="24"/>
                <w:shd w:val="clear" w:color="auto" w:fill="FFFFFF"/>
              </w:rPr>
              <w:t>Zinātniskā pētījuma izmaksu kopsumma plānota</w:t>
            </w:r>
            <w:r w:rsidR="0045019D" w:rsidRPr="00117A88">
              <w:rPr>
                <w:rFonts w:ascii="Times New Roman" w:hAnsi="Times New Roman" w:cs="Times New Roman"/>
                <w:sz w:val="24"/>
                <w:szCs w:val="24"/>
                <w:shd w:val="clear" w:color="auto" w:fill="FFFFFF"/>
              </w:rPr>
              <w:t xml:space="preserve"> 103 0</w:t>
            </w:r>
            <w:r w:rsidR="00776CB2" w:rsidRPr="00117A88">
              <w:rPr>
                <w:rFonts w:ascii="Times New Roman" w:hAnsi="Times New Roman" w:cs="Times New Roman"/>
                <w:sz w:val="24"/>
                <w:szCs w:val="24"/>
                <w:shd w:val="clear" w:color="auto" w:fill="FFFFFF"/>
              </w:rPr>
              <w:t>00</w:t>
            </w:r>
            <w:r w:rsidR="0045019D" w:rsidRPr="00117A88">
              <w:rPr>
                <w:rFonts w:ascii="Times New Roman" w:hAnsi="Times New Roman" w:cs="Times New Roman"/>
                <w:sz w:val="24"/>
                <w:szCs w:val="24"/>
                <w:shd w:val="clear" w:color="auto" w:fill="FFFFFF"/>
              </w:rPr>
              <w:t xml:space="preserve"> EUR apmērā.</w:t>
            </w:r>
            <w:r w:rsidR="0045019D" w:rsidRPr="00117A88">
              <w:t xml:space="preserve"> </w:t>
            </w:r>
            <w:r w:rsidR="0045019D" w:rsidRPr="00117A88">
              <w:rPr>
                <w:rFonts w:ascii="Times New Roman" w:hAnsi="Times New Roman" w:cs="Times New Roman"/>
                <w:sz w:val="24"/>
                <w:szCs w:val="24"/>
                <w:shd w:val="clear" w:color="auto" w:fill="FFFFFF"/>
              </w:rPr>
              <w:t>Papildus (kā neattiecināmās izmaksas) tiek plānots starptautiskas institūcijas līdzfinansējums ne vairāk kā 6 300 EUR apmērā</w:t>
            </w:r>
            <w:r w:rsidR="0024102C">
              <w:rPr>
                <w:rFonts w:ascii="Times New Roman" w:hAnsi="Times New Roman" w:cs="Times New Roman"/>
                <w:sz w:val="24"/>
                <w:szCs w:val="24"/>
                <w:shd w:val="clear" w:color="auto" w:fill="FFFFFF"/>
              </w:rPr>
              <w:t>.</w:t>
            </w:r>
          </w:p>
          <w:p w:rsidR="0065160D" w:rsidRPr="006757A3" w:rsidRDefault="00EC15E2" w:rsidP="0024102C">
            <w:pPr>
              <w:pStyle w:val="ListParagraph"/>
              <w:tabs>
                <w:tab w:val="left" w:pos="6444"/>
              </w:tabs>
              <w:spacing w:after="0" w:line="240" w:lineRule="auto"/>
              <w:ind w:left="502" w:right="141"/>
              <w:jc w:val="both"/>
              <w:rPr>
                <w:rFonts w:ascii="Times New Roman" w:hAnsi="Times New Roman" w:cs="Times New Roman"/>
                <w:sz w:val="24"/>
                <w:szCs w:val="24"/>
                <w:shd w:val="clear" w:color="auto" w:fill="FFFFFF"/>
              </w:rPr>
            </w:pPr>
            <w:r w:rsidRPr="007A14CD">
              <w:rPr>
                <w:rFonts w:ascii="Times New Roman" w:hAnsi="Times New Roman" w:cs="Times New Roman"/>
                <w:sz w:val="24"/>
                <w:szCs w:val="24"/>
                <w:shd w:val="clear" w:color="auto" w:fill="FFFFFF"/>
              </w:rPr>
              <w:t xml:space="preserve">Nodarbinātības valsts aģentūrai un Labklājības ministrijai ir nepieciešams augsti kvalificētu pētnieku veikts zinātnisks pētījums par jauniešu, kas nemācās, nestrādā un neapgūst arodu, profilu un aktivizācijas iespējām. OECD ir pasaulē atzīta pētījumu par sociālajiem procesiem valstīs, bezdarbniekiem un darba meklētājiem, veicēja. Šo iemeslu dēļ un </w:t>
            </w:r>
            <w:r w:rsidR="00CA4AC9" w:rsidRPr="007A14CD">
              <w:rPr>
                <w:rFonts w:ascii="Times New Roman" w:hAnsi="Times New Roman" w:cs="Times New Roman"/>
                <w:sz w:val="24"/>
                <w:szCs w:val="24"/>
                <w:shd w:val="clear" w:color="auto" w:fill="FFFFFF"/>
              </w:rPr>
              <w:t>s</w:t>
            </w:r>
            <w:r w:rsidRPr="007A14CD">
              <w:rPr>
                <w:rFonts w:ascii="Times New Roman" w:hAnsi="Times New Roman" w:cs="Times New Roman"/>
                <w:sz w:val="24"/>
                <w:szCs w:val="24"/>
                <w:shd w:val="clear" w:color="auto" w:fill="FFFFFF"/>
              </w:rPr>
              <w:t xml:space="preserve">askaņā ar Ministru kabineta 17.12.2013. sēdes lēmumu (protokols Nr.67 92.§. 5.punkts) plānots, ka zinātnisko pētījuma par jauniešu, kas nemācās, nestrādā un neapgūst arodu, profilu un aktivizācijas iespējām veiks OECD. Pētījuma veikšanu ir paredzēts finansēt no ESF līdzekļiem. Pēc vispārējā principa līgumiem, kurus veic ESF finansētu projektu ietvaros, pilnībā jāatbilst Ministru kabineta </w:t>
            </w:r>
            <w:proofErr w:type="gramStart"/>
            <w:r w:rsidRPr="007A14CD">
              <w:rPr>
                <w:rFonts w:ascii="Times New Roman" w:hAnsi="Times New Roman" w:cs="Times New Roman"/>
                <w:sz w:val="24"/>
                <w:szCs w:val="24"/>
                <w:shd w:val="clear" w:color="auto" w:fill="FFFFFF"/>
              </w:rPr>
              <w:t>2013.gada</w:t>
            </w:r>
            <w:proofErr w:type="gramEnd"/>
            <w:r w:rsidRPr="007A14CD">
              <w:rPr>
                <w:rFonts w:ascii="Times New Roman" w:hAnsi="Times New Roman" w:cs="Times New Roman"/>
                <w:sz w:val="24"/>
                <w:szCs w:val="24"/>
                <w:shd w:val="clear" w:color="auto" w:fill="FFFFFF"/>
              </w:rPr>
              <w:t xml:space="preserve"> 2.jūlija instrukcijai</w:t>
            </w:r>
            <w:r w:rsidR="00D055D9">
              <w:rPr>
                <w:rFonts w:ascii="Times New Roman" w:hAnsi="Times New Roman" w:cs="Times New Roman"/>
                <w:sz w:val="24"/>
                <w:szCs w:val="24"/>
                <w:shd w:val="clear" w:color="auto" w:fill="FFFFFF"/>
              </w:rPr>
              <w:t xml:space="preserve"> Nr.7</w:t>
            </w:r>
            <w:r w:rsidRPr="007A14CD">
              <w:rPr>
                <w:rFonts w:ascii="Times New Roman" w:hAnsi="Times New Roman" w:cs="Times New Roman"/>
                <w:sz w:val="24"/>
                <w:szCs w:val="24"/>
                <w:shd w:val="clear" w:color="auto" w:fill="FFFFFF"/>
              </w:rPr>
              <w:t xml:space="preserve"> „Ārvalstu finanšu instrumentu finansētu civiltiesisku līgumu izstrādes un slēgšanas instrukcija valsts tiešās pārvaldes iestādēs”</w:t>
            </w:r>
            <w:r w:rsidR="00CD09DC" w:rsidRPr="007A14CD">
              <w:rPr>
                <w:rFonts w:ascii="Times New Roman" w:hAnsi="Times New Roman" w:cs="Times New Roman"/>
                <w:sz w:val="24"/>
                <w:szCs w:val="24"/>
                <w:shd w:val="clear" w:color="auto" w:fill="FFFFFF"/>
              </w:rPr>
              <w:t xml:space="preserve"> (turpmāk – MK instrukcija)</w:t>
            </w:r>
            <w:r w:rsidRPr="007A14CD">
              <w:rPr>
                <w:rFonts w:ascii="Times New Roman" w:hAnsi="Times New Roman" w:cs="Times New Roman"/>
                <w:sz w:val="24"/>
                <w:szCs w:val="24"/>
                <w:shd w:val="clear" w:color="auto" w:fill="FFFFFF"/>
              </w:rPr>
              <w:t xml:space="preserve">. Pētījumu veikšanai OECD izmanto tikai pašas izstrādātās līgumu </w:t>
            </w:r>
            <w:proofErr w:type="spellStart"/>
            <w:r w:rsidRPr="00883800">
              <w:rPr>
                <w:rFonts w:ascii="Times New Roman" w:hAnsi="Times New Roman" w:cs="Times New Roman"/>
                <w:sz w:val="24"/>
                <w:szCs w:val="24"/>
                <w:shd w:val="clear" w:color="auto" w:fill="FFFFFF"/>
              </w:rPr>
              <w:t>standartformas</w:t>
            </w:r>
            <w:proofErr w:type="spellEnd"/>
            <w:r w:rsidR="007A14CD" w:rsidRPr="00883800">
              <w:rPr>
                <w:rFonts w:ascii="Times New Roman" w:hAnsi="Times New Roman" w:cs="Times New Roman"/>
                <w:sz w:val="24"/>
                <w:szCs w:val="24"/>
                <w:shd w:val="clear" w:color="auto" w:fill="FFFFFF"/>
              </w:rPr>
              <w:t xml:space="preserve"> jeb tipveida līgumus. OECD līgumslēgšanas praksē neatkāpjas no līguma tipveida formām un nepieļauj šo līgumu </w:t>
            </w:r>
            <w:r w:rsidR="00D111AE">
              <w:rPr>
                <w:rFonts w:ascii="Times New Roman" w:hAnsi="Times New Roman" w:cs="Times New Roman"/>
                <w:sz w:val="24"/>
                <w:szCs w:val="24"/>
                <w:shd w:val="clear" w:color="auto" w:fill="FFFFFF"/>
              </w:rPr>
              <w:t>noteikumu izmaiņas. T</w:t>
            </w:r>
            <w:r w:rsidRPr="00883800">
              <w:rPr>
                <w:rFonts w:ascii="Times New Roman" w:hAnsi="Times New Roman" w:cs="Times New Roman"/>
                <w:sz w:val="24"/>
                <w:szCs w:val="24"/>
                <w:shd w:val="clear" w:color="auto" w:fill="FFFFFF"/>
              </w:rPr>
              <w:t>ādēļ ir nepieciešams paredzēt izņēmumu</w:t>
            </w:r>
            <w:r w:rsidRPr="007A14CD">
              <w:rPr>
                <w:rFonts w:ascii="Times New Roman" w:hAnsi="Times New Roman" w:cs="Times New Roman"/>
                <w:sz w:val="24"/>
                <w:szCs w:val="24"/>
                <w:shd w:val="clear" w:color="auto" w:fill="FFFFFF"/>
              </w:rPr>
              <w:t xml:space="preserve"> no vispārējā principa par minētās </w:t>
            </w:r>
            <w:r w:rsidR="00CD09DC" w:rsidRPr="007A14CD">
              <w:rPr>
                <w:rFonts w:ascii="Times New Roman" w:hAnsi="Times New Roman" w:cs="Times New Roman"/>
                <w:sz w:val="24"/>
                <w:szCs w:val="24"/>
                <w:shd w:val="clear" w:color="auto" w:fill="FFFFFF"/>
              </w:rPr>
              <w:t>MK</w:t>
            </w:r>
            <w:r w:rsidRPr="007A14CD">
              <w:rPr>
                <w:rFonts w:ascii="Times New Roman" w:hAnsi="Times New Roman" w:cs="Times New Roman"/>
                <w:sz w:val="24"/>
                <w:szCs w:val="24"/>
                <w:shd w:val="clear" w:color="auto" w:fill="FFFFFF"/>
              </w:rPr>
              <w:t xml:space="preserve"> instrukcijas piemērošanu attiecībā uz līgumu ar OECD par pētījuma veikšanu un noteikt, ka finansējuma </w:t>
            </w:r>
            <w:r w:rsidR="00CD09DC" w:rsidRPr="007A14CD">
              <w:rPr>
                <w:rFonts w:ascii="Times New Roman" w:hAnsi="Times New Roman" w:cs="Times New Roman"/>
                <w:sz w:val="24"/>
                <w:szCs w:val="24"/>
                <w:shd w:val="clear" w:color="auto" w:fill="FFFFFF"/>
              </w:rPr>
              <w:t>saņēmējs</w:t>
            </w:r>
            <w:r w:rsidRPr="007A14CD">
              <w:rPr>
                <w:rFonts w:ascii="Times New Roman" w:hAnsi="Times New Roman" w:cs="Times New Roman"/>
                <w:sz w:val="24"/>
                <w:szCs w:val="24"/>
                <w:shd w:val="clear" w:color="auto" w:fill="FFFFFF"/>
              </w:rPr>
              <w:t xml:space="preserve"> minēto</w:t>
            </w:r>
            <w:r w:rsidR="00CD09DC" w:rsidRPr="007A14CD">
              <w:rPr>
                <w:rFonts w:ascii="Times New Roman" w:hAnsi="Times New Roman" w:cs="Times New Roman"/>
                <w:sz w:val="24"/>
                <w:szCs w:val="24"/>
                <w:shd w:val="clear" w:color="auto" w:fill="FFFFFF"/>
              </w:rPr>
              <w:t xml:space="preserve"> MK </w:t>
            </w:r>
            <w:r w:rsidRPr="007A14CD">
              <w:rPr>
                <w:rFonts w:ascii="Times New Roman" w:hAnsi="Times New Roman" w:cs="Times New Roman"/>
                <w:sz w:val="24"/>
                <w:szCs w:val="24"/>
                <w:shd w:val="clear" w:color="auto" w:fill="FFFFFF"/>
              </w:rPr>
              <w:t xml:space="preserve">instrukciju attiecībā uz līgumu ar OECD piemēro tiktāl, ciktāl OECD piekrīt līguma papildināšanai ar saistībām, kas minētas </w:t>
            </w:r>
            <w:r w:rsidR="00CD09DC" w:rsidRPr="007A14CD">
              <w:rPr>
                <w:rFonts w:ascii="Times New Roman" w:hAnsi="Times New Roman" w:cs="Times New Roman"/>
                <w:sz w:val="24"/>
                <w:szCs w:val="24"/>
                <w:shd w:val="clear" w:color="auto" w:fill="FFFFFF"/>
              </w:rPr>
              <w:t>MK</w:t>
            </w:r>
            <w:r w:rsidRPr="007A14CD">
              <w:rPr>
                <w:rFonts w:ascii="Times New Roman" w:hAnsi="Times New Roman" w:cs="Times New Roman"/>
                <w:sz w:val="24"/>
                <w:szCs w:val="24"/>
                <w:shd w:val="clear" w:color="auto" w:fill="FFFFFF"/>
              </w:rPr>
              <w:t xml:space="preserve"> </w:t>
            </w:r>
            <w:r w:rsidRPr="007A14CD">
              <w:rPr>
                <w:rFonts w:ascii="Times New Roman" w:hAnsi="Times New Roman" w:cs="Times New Roman"/>
                <w:sz w:val="24"/>
                <w:szCs w:val="24"/>
                <w:shd w:val="clear" w:color="auto" w:fill="FFFFFF"/>
              </w:rPr>
              <w:lastRenderedPageBreak/>
              <w:t>instrukcijā. Šāda pieeja daļēji atbilstu arī minētās instrukcijas 15.punktā norādītajam, ka līgumu izpildē var piemērot ārvalsts likumu, ja slēdz tipveida līgumu un to paredz</w:t>
            </w:r>
            <w:r w:rsidR="00101F23" w:rsidRPr="007A14CD">
              <w:rPr>
                <w:rFonts w:ascii="Times New Roman" w:hAnsi="Times New Roman" w:cs="Times New Roman"/>
                <w:sz w:val="24"/>
                <w:szCs w:val="24"/>
                <w:shd w:val="clear" w:color="auto" w:fill="FFFFFF"/>
              </w:rPr>
              <w:t xml:space="preserve"> šāda līguma noslēgšanas prakse</w:t>
            </w:r>
            <w:r w:rsidR="00D111AE" w:rsidRPr="006757A3">
              <w:rPr>
                <w:rFonts w:ascii="Times New Roman" w:hAnsi="Times New Roman" w:cs="Times New Roman"/>
                <w:sz w:val="24"/>
                <w:szCs w:val="24"/>
                <w:shd w:val="clear" w:color="auto" w:fill="FFFFFF"/>
              </w:rPr>
              <w:t xml:space="preserve">, kā arī MK instrukcijas anotācijā </w:t>
            </w:r>
            <w:r w:rsidR="005A0581" w:rsidRPr="006757A3">
              <w:rPr>
                <w:rFonts w:ascii="Times New Roman" w:hAnsi="Times New Roman" w:cs="Times New Roman"/>
                <w:sz w:val="24"/>
                <w:szCs w:val="24"/>
                <w:shd w:val="clear" w:color="auto" w:fill="FFFFFF"/>
              </w:rPr>
              <w:t>minētais</w:t>
            </w:r>
            <w:r w:rsidR="00D111AE" w:rsidRPr="006757A3">
              <w:rPr>
                <w:rFonts w:ascii="Times New Roman" w:hAnsi="Times New Roman" w:cs="Times New Roman"/>
                <w:sz w:val="24"/>
                <w:szCs w:val="24"/>
                <w:shd w:val="clear" w:color="auto" w:fill="FFFFFF"/>
              </w:rPr>
              <w:t xml:space="preserve"> par iespēju izmantot vispārpieņemtos tipveida līgumus</w:t>
            </w:r>
            <w:r w:rsidR="0065160D" w:rsidRPr="006757A3">
              <w:rPr>
                <w:rFonts w:ascii="Times New Roman" w:hAnsi="Times New Roman" w:cs="Times New Roman"/>
                <w:sz w:val="24"/>
                <w:szCs w:val="24"/>
                <w:shd w:val="clear" w:color="auto" w:fill="FFFFFF"/>
              </w:rPr>
              <w:t>;</w:t>
            </w:r>
          </w:p>
          <w:p w:rsidR="0065160D" w:rsidRPr="007877B7" w:rsidRDefault="0065160D" w:rsidP="007877B7">
            <w:pPr>
              <w:pStyle w:val="ListParagraph"/>
              <w:numPr>
                <w:ilvl w:val="0"/>
                <w:numId w:val="14"/>
              </w:numPr>
              <w:tabs>
                <w:tab w:val="left" w:pos="6444"/>
              </w:tabs>
              <w:spacing w:after="0" w:line="240" w:lineRule="auto"/>
              <w:ind w:right="141"/>
              <w:jc w:val="both"/>
              <w:rPr>
                <w:rFonts w:ascii="Times New Roman" w:hAnsi="Times New Roman" w:cs="Times New Roman"/>
                <w:sz w:val="24"/>
                <w:szCs w:val="24"/>
                <w:shd w:val="clear" w:color="auto" w:fill="FFFFFF"/>
              </w:rPr>
            </w:pPr>
            <w:r w:rsidRPr="001415BF">
              <w:rPr>
                <w:rFonts w:ascii="Times New Roman" w:hAnsi="Times New Roman" w:cs="Times New Roman"/>
                <w:sz w:val="24"/>
                <w:szCs w:val="24"/>
                <w:u w:val="single"/>
                <w:shd w:val="clear" w:color="auto" w:fill="FFFFFF"/>
              </w:rPr>
              <w:t>2.punktā noteiktā</w:t>
            </w:r>
            <w:r w:rsidRPr="00DA2D55">
              <w:rPr>
                <w:rFonts w:ascii="Times New Roman" w:hAnsi="Times New Roman" w:cs="Times New Roman"/>
                <w:sz w:val="24"/>
                <w:szCs w:val="24"/>
                <w:shd w:val="clear" w:color="auto" w:fill="FFFFFF"/>
              </w:rPr>
              <w:t xml:space="preserve"> (</w:t>
            </w:r>
            <w:r w:rsidR="00461148" w:rsidRPr="00DA2D55">
              <w:rPr>
                <w:rFonts w:ascii="Times New Roman" w:hAnsi="Times New Roman" w:cs="Times New Roman"/>
                <w:sz w:val="24"/>
                <w:szCs w:val="24"/>
                <w:shd w:val="clear" w:color="auto" w:fill="FFFFFF"/>
              </w:rPr>
              <w:t>atbalstīt informatīvajā ziņojumā „Par jauniešu garantijas īstenošanu Latvijā 2014.-</w:t>
            </w:r>
            <w:proofErr w:type="gramStart"/>
            <w:r w:rsidR="00461148" w:rsidRPr="00DA2D55">
              <w:rPr>
                <w:rFonts w:ascii="Times New Roman" w:hAnsi="Times New Roman" w:cs="Times New Roman"/>
                <w:sz w:val="24"/>
                <w:szCs w:val="24"/>
                <w:shd w:val="clear" w:color="auto" w:fill="FFFFFF"/>
              </w:rPr>
              <w:t>2018.gadā</w:t>
            </w:r>
            <w:proofErr w:type="gramEnd"/>
            <w:r w:rsidR="00461148" w:rsidRPr="00DA2D55">
              <w:rPr>
                <w:rFonts w:ascii="Times New Roman" w:hAnsi="Times New Roman" w:cs="Times New Roman"/>
                <w:sz w:val="24"/>
                <w:szCs w:val="24"/>
                <w:shd w:val="clear" w:color="auto" w:fill="FFFFFF"/>
              </w:rPr>
              <w:t>” iekļauto pasākumu īstenošanu, lai veicinātu jauniešu, kas nemācās, nestrādā un ne</w:t>
            </w:r>
            <w:r w:rsidR="00CB64C7">
              <w:rPr>
                <w:rFonts w:ascii="Times New Roman" w:hAnsi="Times New Roman" w:cs="Times New Roman"/>
                <w:sz w:val="24"/>
                <w:szCs w:val="24"/>
                <w:shd w:val="clear" w:color="auto" w:fill="FFFFFF"/>
              </w:rPr>
              <w:t>ap</w:t>
            </w:r>
            <w:r w:rsidR="00461148" w:rsidRPr="00DA2D55">
              <w:rPr>
                <w:rFonts w:ascii="Times New Roman" w:hAnsi="Times New Roman" w:cs="Times New Roman"/>
                <w:sz w:val="24"/>
                <w:szCs w:val="24"/>
                <w:shd w:val="clear" w:color="auto" w:fill="FFFFFF"/>
              </w:rPr>
              <w:t xml:space="preserve">gūst arodu, aktivizāciju, iesaisti profesionālajā izglītībā vai aktīvajos nodarbinātības pasākumos) </w:t>
            </w:r>
            <w:r w:rsidR="00223CAA" w:rsidRPr="00DA2D55">
              <w:rPr>
                <w:rFonts w:ascii="Times New Roman" w:hAnsi="Times New Roman" w:cs="Times New Roman"/>
                <w:sz w:val="24"/>
                <w:szCs w:val="24"/>
                <w:shd w:val="clear" w:color="auto" w:fill="FFFFFF"/>
              </w:rPr>
              <w:t>īstenošanu, nepieciešams veikt bezdarbnieku uzskaites un reģistrēto vakanču informācijas sistēmas</w:t>
            </w:r>
            <w:r w:rsidR="0026591A">
              <w:rPr>
                <w:rFonts w:ascii="Times New Roman" w:hAnsi="Times New Roman" w:cs="Times New Roman"/>
                <w:sz w:val="24"/>
                <w:szCs w:val="24"/>
                <w:shd w:val="clear" w:color="auto" w:fill="FFFFFF"/>
              </w:rPr>
              <w:t xml:space="preserve"> </w:t>
            </w:r>
            <w:r w:rsidR="007777A7">
              <w:rPr>
                <w:rFonts w:ascii="Times New Roman" w:hAnsi="Times New Roman" w:cs="Times New Roman"/>
                <w:sz w:val="24"/>
                <w:szCs w:val="24"/>
                <w:shd w:val="clear" w:color="auto" w:fill="FFFFFF"/>
              </w:rPr>
              <w:t>(turpmāk – BURVIS)</w:t>
            </w:r>
            <w:r w:rsidR="00223CAA" w:rsidRPr="00DA2D55">
              <w:rPr>
                <w:rFonts w:ascii="Times New Roman" w:hAnsi="Times New Roman" w:cs="Times New Roman"/>
                <w:sz w:val="24"/>
                <w:szCs w:val="24"/>
                <w:shd w:val="clear" w:color="auto" w:fill="FFFFFF"/>
              </w:rPr>
              <w:t xml:space="preserve"> </w:t>
            </w:r>
            <w:r w:rsidR="00864443">
              <w:rPr>
                <w:rFonts w:ascii="Times New Roman" w:hAnsi="Times New Roman" w:cs="Times New Roman"/>
                <w:sz w:val="24"/>
                <w:szCs w:val="24"/>
                <w:shd w:val="clear" w:color="auto" w:fill="FFFFFF"/>
              </w:rPr>
              <w:t xml:space="preserve">pielāgošanu, </w:t>
            </w:r>
            <w:r w:rsidR="008A0EDD">
              <w:rPr>
                <w:rFonts w:ascii="Times New Roman" w:hAnsi="Times New Roman" w:cs="Times New Roman"/>
                <w:sz w:val="24"/>
                <w:szCs w:val="24"/>
                <w:shd w:val="clear" w:color="auto" w:fill="FFFFFF"/>
              </w:rPr>
              <w:t xml:space="preserve">kas nepieciešama 2014.-2020.gada plānošanas perioda ietvaros plānoto jauniešu garantijas pasākumu </w:t>
            </w:r>
            <w:r w:rsidR="008A0EDD" w:rsidRPr="00A523D9">
              <w:rPr>
                <w:rFonts w:ascii="Times New Roman" w:hAnsi="Times New Roman" w:cs="Times New Roman"/>
                <w:sz w:val="24"/>
                <w:szCs w:val="24"/>
                <w:shd w:val="clear" w:color="auto" w:fill="FFFFFF"/>
              </w:rPr>
              <w:t xml:space="preserve">īstenošanai (atbilstoši MK 2013.gada 17.decembra sēdē izskatītajam </w:t>
            </w:r>
            <w:r w:rsidR="008A0EDD" w:rsidRPr="00750E0D">
              <w:rPr>
                <w:rFonts w:ascii="Times New Roman" w:hAnsi="Times New Roman" w:cs="Times New Roman"/>
              </w:rPr>
              <w:t>i</w:t>
            </w:r>
            <w:r w:rsidR="008A0EDD" w:rsidRPr="00A523D9">
              <w:rPr>
                <w:rFonts w:ascii="Times New Roman" w:hAnsi="Times New Roman" w:cs="Times New Roman"/>
                <w:sz w:val="24"/>
                <w:szCs w:val="24"/>
                <w:shd w:val="clear" w:color="auto" w:fill="FFFFFF"/>
              </w:rPr>
              <w:t>nformatīva</w:t>
            </w:r>
            <w:r w:rsidR="008A0EDD">
              <w:rPr>
                <w:rFonts w:ascii="Times New Roman" w:hAnsi="Times New Roman" w:cs="Times New Roman"/>
                <w:sz w:val="24"/>
                <w:szCs w:val="24"/>
                <w:shd w:val="clear" w:color="auto" w:fill="FFFFFF"/>
              </w:rPr>
              <w:t>jam</w:t>
            </w:r>
            <w:r w:rsidR="008A0EDD" w:rsidRPr="00A523D9">
              <w:rPr>
                <w:rFonts w:ascii="Times New Roman" w:hAnsi="Times New Roman" w:cs="Times New Roman"/>
                <w:sz w:val="24"/>
                <w:szCs w:val="24"/>
                <w:shd w:val="clear" w:color="auto" w:fill="FFFFFF"/>
              </w:rPr>
              <w:t xml:space="preserve"> ziņojum</w:t>
            </w:r>
            <w:r w:rsidR="008A0EDD">
              <w:rPr>
                <w:rFonts w:ascii="Times New Roman" w:hAnsi="Times New Roman" w:cs="Times New Roman"/>
                <w:sz w:val="24"/>
                <w:szCs w:val="24"/>
                <w:shd w:val="clear" w:color="auto" w:fill="FFFFFF"/>
              </w:rPr>
              <w:t>am „</w:t>
            </w:r>
            <w:r w:rsidR="008A0EDD" w:rsidRPr="00A523D9">
              <w:rPr>
                <w:rFonts w:ascii="Times New Roman" w:hAnsi="Times New Roman" w:cs="Times New Roman"/>
                <w:sz w:val="24"/>
                <w:szCs w:val="24"/>
                <w:shd w:val="clear" w:color="auto" w:fill="FFFFFF"/>
              </w:rPr>
              <w:t>Par jauniešu garantijas īst</w:t>
            </w:r>
            <w:r w:rsidR="008A0EDD">
              <w:rPr>
                <w:rFonts w:ascii="Times New Roman" w:hAnsi="Times New Roman" w:cs="Times New Roman"/>
                <w:sz w:val="24"/>
                <w:szCs w:val="24"/>
                <w:shd w:val="clear" w:color="auto" w:fill="FFFFFF"/>
              </w:rPr>
              <w:t>enošanu Latvijā 2014.-2018.gadā” un „</w:t>
            </w:r>
            <w:r w:rsidR="008A0EDD" w:rsidRPr="00A523D9">
              <w:rPr>
                <w:rFonts w:ascii="Times New Roman" w:hAnsi="Times New Roman" w:cs="Times New Roman"/>
                <w:sz w:val="24"/>
                <w:szCs w:val="24"/>
                <w:shd w:val="clear" w:color="auto" w:fill="FFFFFF"/>
              </w:rPr>
              <w:t>Par Eiropas Savien</w:t>
            </w:r>
            <w:r w:rsidR="008A0EDD">
              <w:rPr>
                <w:rFonts w:ascii="Times New Roman" w:hAnsi="Times New Roman" w:cs="Times New Roman"/>
                <w:sz w:val="24"/>
                <w:szCs w:val="24"/>
                <w:shd w:val="clear" w:color="auto" w:fill="FFFFFF"/>
              </w:rPr>
              <w:t>ības fondu darbības programmas „</w:t>
            </w:r>
            <w:r w:rsidR="008A0EDD" w:rsidRPr="00A523D9">
              <w:rPr>
                <w:rFonts w:ascii="Times New Roman" w:hAnsi="Times New Roman" w:cs="Times New Roman"/>
                <w:sz w:val="24"/>
                <w:szCs w:val="24"/>
                <w:shd w:val="clear" w:color="auto" w:fill="FFFFFF"/>
              </w:rPr>
              <w:t>Izaugsme un nodarbinātība</w:t>
            </w:r>
            <w:r w:rsidR="008A0EDD">
              <w:rPr>
                <w:rFonts w:ascii="Times New Roman" w:hAnsi="Times New Roman" w:cs="Times New Roman"/>
                <w:sz w:val="24"/>
                <w:szCs w:val="24"/>
                <w:shd w:val="clear" w:color="auto" w:fill="FFFFFF"/>
              </w:rPr>
              <w:t>”</w:t>
            </w:r>
            <w:r w:rsidR="008A0EDD" w:rsidRPr="00A523D9">
              <w:rPr>
                <w:rFonts w:ascii="Times New Roman" w:hAnsi="Times New Roman" w:cs="Times New Roman"/>
                <w:sz w:val="24"/>
                <w:szCs w:val="24"/>
                <w:shd w:val="clear" w:color="auto" w:fill="FFFFFF"/>
              </w:rPr>
              <w:t xml:space="preserve"> 7</w:t>
            </w:r>
            <w:r w:rsidR="008A0EDD">
              <w:rPr>
                <w:rFonts w:ascii="Times New Roman" w:hAnsi="Times New Roman" w:cs="Times New Roman"/>
                <w:sz w:val="24"/>
                <w:szCs w:val="24"/>
                <w:shd w:val="clear" w:color="auto" w:fill="FFFFFF"/>
              </w:rPr>
              <w:t>.2.1.specifiskā atbalsta mērķa „</w:t>
            </w:r>
            <w:r w:rsidR="008A0EDD" w:rsidRPr="00A523D9">
              <w:rPr>
                <w:rFonts w:ascii="Times New Roman" w:hAnsi="Times New Roman" w:cs="Times New Roman"/>
                <w:sz w:val="24"/>
                <w:szCs w:val="24"/>
                <w:shd w:val="clear" w:color="auto" w:fill="FFFFFF"/>
              </w:rPr>
              <w:t>Veicināt nodarbinātībā, izglītībā vai apmācībās neiesaistītu jauniešu nodarbinātību Jauniešu garantijas ietvaro</w:t>
            </w:r>
            <w:r w:rsidR="008A0EDD">
              <w:rPr>
                <w:rFonts w:ascii="Times New Roman" w:hAnsi="Times New Roman" w:cs="Times New Roman"/>
                <w:sz w:val="24"/>
                <w:szCs w:val="24"/>
                <w:shd w:val="clear" w:color="auto" w:fill="FFFFFF"/>
              </w:rPr>
              <w:t>s”</w:t>
            </w:r>
            <w:r w:rsidR="008A0EDD" w:rsidRPr="00A523D9">
              <w:rPr>
                <w:rFonts w:ascii="Times New Roman" w:hAnsi="Times New Roman" w:cs="Times New Roman"/>
                <w:sz w:val="24"/>
                <w:szCs w:val="24"/>
                <w:shd w:val="clear" w:color="auto" w:fill="FFFFFF"/>
              </w:rPr>
              <w:t xml:space="preserve"> 1. un 2.kārtas īstenošanu</w:t>
            </w:r>
            <w:r w:rsidR="008A0EDD">
              <w:rPr>
                <w:rFonts w:ascii="Times New Roman" w:hAnsi="Times New Roman" w:cs="Times New Roman"/>
                <w:sz w:val="24"/>
                <w:szCs w:val="24"/>
                <w:shd w:val="clear" w:color="auto" w:fill="FFFFFF"/>
              </w:rPr>
              <w:t xml:space="preserve">”). </w:t>
            </w:r>
            <w:r w:rsidR="00EA38EB">
              <w:rPr>
                <w:rFonts w:ascii="Times New Roman" w:hAnsi="Times New Roman" w:cs="Times New Roman"/>
                <w:sz w:val="24"/>
                <w:szCs w:val="24"/>
                <w:shd w:val="clear" w:color="auto" w:fill="FFFFFF"/>
              </w:rPr>
              <w:t xml:space="preserve">Ņemot vērā, ka 1.4.1.1.1.apakšaktivitātes ietvaros tiek īstenoti atbalsta pasākumi jauniešu nodarbinātības veicināšanai un šī atbalsta secīgs turpinājums ir jauniešu garantijas pasākumi 2014.-2020.gada plānošanas perioda ietvaros un to, ka BURVIS pielāgojumi ir nepieciešami kā sagatavošanās aktivitāte jauniešu garantijas 2.kārtas projektam </w:t>
            </w:r>
            <w:r w:rsidR="00EA38EB" w:rsidRPr="00687780">
              <w:rPr>
                <w:rFonts w:ascii="Times New Roman" w:hAnsi="Times New Roman" w:cs="Times New Roman"/>
                <w:sz w:val="24"/>
                <w:szCs w:val="24"/>
                <w:shd w:val="clear" w:color="auto" w:fill="FFFFFF"/>
              </w:rPr>
              <w:t>„Sākotnējās profesionālās izglītības programmu īstenošana garantijas jauniešiem ietvaros”</w:t>
            </w:r>
            <w:r w:rsidR="00EA38EB">
              <w:rPr>
                <w:rFonts w:ascii="Times New Roman" w:hAnsi="Times New Roman" w:cs="Times New Roman"/>
                <w:sz w:val="24"/>
                <w:szCs w:val="24"/>
                <w:shd w:val="clear" w:color="auto" w:fill="FFFFFF"/>
              </w:rPr>
              <w:t xml:space="preserve"> (īstenos Valsts izglītības attīstības aģentūra (turpmāk – VIAA)) pirms tā īstenošanas uzsākšanas</w:t>
            </w:r>
            <w:r w:rsidR="00F23EE8">
              <w:rPr>
                <w:rFonts w:ascii="Times New Roman" w:hAnsi="Times New Roman" w:cs="Times New Roman"/>
                <w:sz w:val="24"/>
                <w:szCs w:val="24"/>
                <w:shd w:val="clear" w:color="auto" w:fill="FFFFFF"/>
              </w:rPr>
              <w:t>,</w:t>
            </w:r>
            <w:r w:rsidR="00EA38EB">
              <w:rPr>
                <w:rFonts w:ascii="Times New Roman" w:hAnsi="Times New Roman" w:cs="Times New Roman"/>
                <w:sz w:val="24"/>
                <w:szCs w:val="24"/>
                <w:shd w:val="clear" w:color="auto" w:fill="FFFFFF"/>
              </w:rPr>
              <w:t xml:space="preserve"> BURVIS pielāgojumu </w:t>
            </w:r>
            <w:r w:rsidR="00F23EE8">
              <w:rPr>
                <w:rFonts w:ascii="Times New Roman" w:hAnsi="Times New Roman" w:cs="Times New Roman"/>
                <w:sz w:val="24"/>
                <w:szCs w:val="24"/>
                <w:shd w:val="clear" w:color="auto" w:fill="FFFFFF"/>
              </w:rPr>
              <w:t xml:space="preserve">veikšana </w:t>
            </w:r>
            <w:r w:rsidR="00EA38EB">
              <w:rPr>
                <w:rFonts w:ascii="Times New Roman" w:hAnsi="Times New Roman" w:cs="Times New Roman"/>
                <w:sz w:val="24"/>
                <w:szCs w:val="24"/>
                <w:shd w:val="clear" w:color="auto" w:fill="FFFFFF"/>
              </w:rPr>
              <w:t>tiek paredzēta 1.4.1.1.1.apakšaktivitātes ietvaros.</w:t>
            </w:r>
            <w:r w:rsidR="00E9316A">
              <w:rPr>
                <w:rFonts w:ascii="Times New Roman" w:hAnsi="Times New Roman" w:cs="Times New Roman"/>
                <w:sz w:val="24"/>
                <w:szCs w:val="24"/>
                <w:shd w:val="clear" w:color="auto" w:fill="FFFFFF"/>
              </w:rPr>
              <w:t xml:space="preserve"> Minētie pielāgojumi paredzēs</w:t>
            </w:r>
            <w:r w:rsidR="00864443">
              <w:rPr>
                <w:rFonts w:ascii="Times New Roman" w:hAnsi="Times New Roman" w:cs="Times New Roman"/>
                <w:sz w:val="24"/>
                <w:szCs w:val="24"/>
                <w:shd w:val="clear" w:color="auto" w:fill="FFFFFF"/>
              </w:rPr>
              <w:t xml:space="preserve"> iespēju </w:t>
            </w:r>
            <w:r w:rsidR="00F57D93">
              <w:rPr>
                <w:rFonts w:ascii="Times New Roman" w:hAnsi="Times New Roman" w:cs="Times New Roman"/>
                <w:sz w:val="24"/>
                <w:szCs w:val="24"/>
                <w:shd w:val="clear" w:color="auto" w:fill="FFFFFF"/>
              </w:rPr>
              <w:t>VIAA</w:t>
            </w:r>
            <w:r w:rsidR="007877B7">
              <w:rPr>
                <w:rFonts w:ascii="Times New Roman" w:hAnsi="Times New Roman" w:cs="Times New Roman"/>
                <w:sz w:val="24"/>
                <w:szCs w:val="24"/>
                <w:shd w:val="clear" w:color="auto" w:fill="FFFFFF"/>
              </w:rPr>
              <w:t xml:space="preserve"> darbiniek</w:t>
            </w:r>
            <w:r w:rsidR="00864443">
              <w:rPr>
                <w:rFonts w:ascii="Times New Roman" w:hAnsi="Times New Roman" w:cs="Times New Roman"/>
                <w:sz w:val="24"/>
                <w:szCs w:val="24"/>
                <w:shd w:val="clear" w:color="auto" w:fill="FFFFFF"/>
              </w:rPr>
              <w:t>iem</w:t>
            </w:r>
            <w:r w:rsidR="007877B7">
              <w:rPr>
                <w:rFonts w:ascii="Times New Roman" w:hAnsi="Times New Roman" w:cs="Times New Roman"/>
                <w:sz w:val="24"/>
                <w:szCs w:val="24"/>
                <w:shd w:val="clear" w:color="auto" w:fill="FFFFFF"/>
              </w:rPr>
              <w:t xml:space="preserve"> attālināti pieslēgties</w:t>
            </w:r>
            <w:r w:rsidR="007877B7" w:rsidRPr="00DA2D55">
              <w:rPr>
                <w:rFonts w:ascii="Times New Roman" w:hAnsi="Times New Roman" w:cs="Times New Roman"/>
                <w:sz w:val="24"/>
                <w:szCs w:val="24"/>
                <w:shd w:val="clear" w:color="auto" w:fill="FFFFFF"/>
              </w:rPr>
              <w:t xml:space="preserve"> </w:t>
            </w:r>
            <w:r w:rsidR="009350F3">
              <w:rPr>
                <w:rFonts w:ascii="Times New Roman" w:hAnsi="Times New Roman" w:cs="Times New Roman"/>
                <w:sz w:val="24"/>
                <w:szCs w:val="24"/>
                <w:shd w:val="clear" w:color="auto" w:fill="FFFFFF"/>
              </w:rPr>
              <w:t>BURVIS</w:t>
            </w:r>
            <w:r w:rsidR="007877B7">
              <w:rPr>
                <w:rFonts w:ascii="Times New Roman" w:hAnsi="Times New Roman" w:cs="Times New Roman"/>
                <w:sz w:val="24"/>
                <w:szCs w:val="24"/>
                <w:shd w:val="clear" w:color="auto" w:fill="FFFFFF"/>
              </w:rPr>
              <w:t xml:space="preserve"> un </w:t>
            </w:r>
            <w:r w:rsidR="007877B7" w:rsidRPr="007877B7">
              <w:rPr>
                <w:rFonts w:ascii="Times New Roman" w:hAnsi="Times New Roman" w:cs="Times New Roman"/>
                <w:color w:val="000000"/>
                <w:sz w:val="24"/>
                <w:szCs w:val="24"/>
              </w:rPr>
              <w:t xml:space="preserve">ievadīt </w:t>
            </w:r>
            <w:r w:rsidR="00170095">
              <w:rPr>
                <w:rFonts w:ascii="Times New Roman" w:hAnsi="Times New Roman" w:cs="Times New Roman"/>
                <w:color w:val="000000"/>
                <w:sz w:val="24"/>
                <w:szCs w:val="24"/>
              </w:rPr>
              <w:t>datus</w:t>
            </w:r>
            <w:r w:rsidR="007877B7" w:rsidRPr="007877B7">
              <w:rPr>
                <w:rFonts w:ascii="Times New Roman" w:hAnsi="Times New Roman" w:cs="Times New Roman"/>
                <w:color w:val="000000"/>
                <w:sz w:val="24"/>
                <w:szCs w:val="24"/>
              </w:rPr>
              <w:t xml:space="preserve"> par </w:t>
            </w:r>
            <w:r w:rsidR="007877B7">
              <w:rPr>
                <w:rFonts w:ascii="Times New Roman" w:hAnsi="Times New Roman" w:cs="Times New Roman"/>
                <w:sz w:val="24"/>
                <w:szCs w:val="24"/>
                <w:shd w:val="clear" w:color="auto" w:fill="FFFFFF"/>
              </w:rPr>
              <w:t>jauniešiem</w:t>
            </w:r>
            <w:r w:rsidR="007877B7" w:rsidRPr="00DA2D55">
              <w:rPr>
                <w:rFonts w:ascii="Times New Roman" w:hAnsi="Times New Roman" w:cs="Times New Roman"/>
                <w:sz w:val="24"/>
                <w:szCs w:val="24"/>
                <w:shd w:val="clear" w:color="auto" w:fill="FFFFFF"/>
              </w:rPr>
              <w:t>, k</w:t>
            </w:r>
            <w:r w:rsidR="00864443">
              <w:rPr>
                <w:rFonts w:ascii="Times New Roman" w:hAnsi="Times New Roman" w:cs="Times New Roman"/>
                <w:sz w:val="24"/>
                <w:szCs w:val="24"/>
                <w:shd w:val="clear" w:color="auto" w:fill="FFFFFF"/>
              </w:rPr>
              <w:t>as</w:t>
            </w:r>
            <w:r w:rsidR="007877B7" w:rsidRPr="00DA2D55">
              <w:rPr>
                <w:rFonts w:ascii="Times New Roman" w:hAnsi="Times New Roman" w:cs="Times New Roman"/>
                <w:sz w:val="24"/>
                <w:szCs w:val="24"/>
                <w:shd w:val="clear" w:color="auto" w:fill="FFFFFF"/>
              </w:rPr>
              <w:t xml:space="preserve"> </w:t>
            </w:r>
            <w:r w:rsidR="00033FAA">
              <w:rPr>
                <w:rFonts w:ascii="Times New Roman" w:hAnsi="Times New Roman" w:cs="Times New Roman"/>
                <w:sz w:val="24"/>
                <w:szCs w:val="24"/>
                <w:shd w:val="clear" w:color="auto" w:fill="FFFFFF"/>
              </w:rPr>
              <w:t>tiek iesaistīti VI</w:t>
            </w:r>
            <w:r w:rsidR="000C55AD">
              <w:rPr>
                <w:rFonts w:ascii="Times New Roman" w:hAnsi="Times New Roman" w:cs="Times New Roman"/>
                <w:sz w:val="24"/>
                <w:szCs w:val="24"/>
                <w:shd w:val="clear" w:color="auto" w:fill="FFFFFF"/>
              </w:rPr>
              <w:t>AA īstenotajās 1-gadīgajās un 1,</w:t>
            </w:r>
            <w:r w:rsidR="00033FAA">
              <w:rPr>
                <w:rFonts w:ascii="Times New Roman" w:hAnsi="Times New Roman" w:cs="Times New Roman"/>
                <w:sz w:val="24"/>
                <w:szCs w:val="24"/>
                <w:shd w:val="clear" w:color="auto" w:fill="FFFFFF"/>
              </w:rPr>
              <w:t>5-gadīgajās profesionālās izglītības programmās</w:t>
            </w:r>
            <w:r w:rsidR="007877B7">
              <w:rPr>
                <w:rFonts w:ascii="Times New Roman" w:hAnsi="Times New Roman" w:cs="Times New Roman"/>
                <w:sz w:val="24"/>
                <w:szCs w:val="24"/>
                <w:shd w:val="clear" w:color="auto" w:fill="FFFFFF"/>
              </w:rPr>
              <w:t xml:space="preserve">, </w:t>
            </w:r>
            <w:r w:rsidR="00C75B31">
              <w:rPr>
                <w:rFonts w:ascii="Times New Roman" w:hAnsi="Times New Roman" w:cs="Times New Roman"/>
                <w:sz w:val="24"/>
                <w:szCs w:val="24"/>
                <w:shd w:val="clear" w:color="auto" w:fill="FFFFFF"/>
              </w:rPr>
              <w:t xml:space="preserve">tādējādi </w:t>
            </w:r>
            <w:r w:rsidR="007877B7">
              <w:rPr>
                <w:rFonts w:ascii="Times New Roman" w:hAnsi="Times New Roman" w:cs="Times New Roman"/>
                <w:sz w:val="24"/>
                <w:szCs w:val="24"/>
                <w:shd w:val="clear" w:color="auto" w:fill="FFFFFF"/>
              </w:rPr>
              <w:t xml:space="preserve">nodrošinot </w:t>
            </w:r>
            <w:r w:rsidR="00223CAA" w:rsidRPr="007877B7">
              <w:rPr>
                <w:rFonts w:ascii="Times New Roman" w:hAnsi="Times New Roman" w:cs="Times New Roman"/>
                <w:sz w:val="24"/>
                <w:szCs w:val="24"/>
                <w:shd w:val="clear" w:color="auto" w:fill="FFFFFF"/>
              </w:rPr>
              <w:t xml:space="preserve">minētās mērķa grupas bezdarbnieku </w:t>
            </w:r>
            <w:r w:rsidR="00A2299B" w:rsidRPr="007877B7">
              <w:rPr>
                <w:rFonts w:ascii="Times New Roman" w:hAnsi="Times New Roman" w:cs="Times New Roman"/>
                <w:sz w:val="24"/>
                <w:szCs w:val="24"/>
                <w:shd w:val="clear" w:color="auto" w:fill="FFFFFF"/>
              </w:rPr>
              <w:t>uzskaiti</w:t>
            </w:r>
            <w:r w:rsidR="00E2767E">
              <w:rPr>
                <w:rFonts w:ascii="Times New Roman" w:hAnsi="Times New Roman" w:cs="Times New Roman"/>
                <w:sz w:val="24"/>
                <w:szCs w:val="24"/>
                <w:shd w:val="clear" w:color="auto" w:fill="FFFFFF"/>
              </w:rPr>
              <w:t xml:space="preserve"> (paredzēts, ka dalību šajās programmās 2014.-</w:t>
            </w:r>
            <w:proofErr w:type="gramStart"/>
            <w:r w:rsidR="00E2767E">
              <w:rPr>
                <w:rFonts w:ascii="Times New Roman" w:hAnsi="Times New Roman" w:cs="Times New Roman"/>
                <w:sz w:val="24"/>
                <w:szCs w:val="24"/>
                <w:shd w:val="clear" w:color="auto" w:fill="FFFFFF"/>
              </w:rPr>
              <w:t>2020.gadā</w:t>
            </w:r>
            <w:proofErr w:type="gramEnd"/>
            <w:r w:rsidR="00E2767E">
              <w:rPr>
                <w:rFonts w:ascii="Times New Roman" w:hAnsi="Times New Roman" w:cs="Times New Roman"/>
                <w:sz w:val="24"/>
                <w:szCs w:val="24"/>
                <w:shd w:val="clear" w:color="auto" w:fill="FFFFFF"/>
              </w:rPr>
              <w:t xml:space="preserve"> uzsāks aptuveni 8 tūkstoši jauniešu, kas veido 24% no visiem jauniešiem, kas tiks iesaistīti jauniešu garantijas pasākumos)</w:t>
            </w:r>
            <w:r w:rsidR="00A2299B" w:rsidRPr="007877B7">
              <w:rPr>
                <w:rFonts w:ascii="Times New Roman" w:hAnsi="Times New Roman" w:cs="Times New Roman"/>
                <w:sz w:val="24"/>
                <w:szCs w:val="24"/>
                <w:shd w:val="clear" w:color="auto" w:fill="FFFFFF"/>
              </w:rPr>
              <w:t>. Līdz ar to</w:t>
            </w:r>
            <w:r w:rsidR="00223CAA" w:rsidRPr="007877B7">
              <w:rPr>
                <w:rFonts w:ascii="Times New Roman" w:hAnsi="Times New Roman" w:cs="Times New Roman"/>
                <w:sz w:val="24"/>
                <w:szCs w:val="24"/>
                <w:shd w:val="clear" w:color="auto" w:fill="FFFFFF"/>
              </w:rPr>
              <w:t xml:space="preserve"> MK noteikumus Nr.170 nepieciešams papildināt ar nosacījumu, ka Eiropas Reģionālās attīstības fonda atbalsta izmaksas atbilstoši Padomes regulas Nr. 1083/2006 </w:t>
            </w:r>
            <w:proofErr w:type="gramStart"/>
            <w:r w:rsidR="00223CAA" w:rsidRPr="007877B7">
              <w:rPr>
                <w:rFonts w:ascii="Times New Roman" w:hAnsi="Times New Roman" w:cs="Times New Roman"/>
                <w:sz w:val="24"/>
                <w:szCs w:val="24"/>
                <w:shd w:val="clear" w:color="auto" w:fill="FFFFFF"/>
              </w:rPr>
              <w:t>34.panta</w:t>
            </w:r>
            <w:proofErr w:type="gramEnd"/>
            <w:r w:rsidR="00223CAA" w:rsidRPr="007877B7">
              <w:rPr>
                <w:rFonts w:ascii="Times New Roman" w:hAnsi="Times New Roman" w:cs="Times New Roman"/>
                <w:sz w:val="24"/>
                <w:szCs w:val="24"/>
                <w:shd w:val="clear" w:color="auto" w:fill="FFFFFF"/>
              </w:rPr>
              <w:t xml:space="preserve"> 2.punktam (</w:t>
            </w:r>
            <w:r w:rsidR="0084401C" w:rsidRPr="007877B7">
              <w:rPr>
                <w:rFonts w:ascii="Times New Roman" w:hAnsi="Times New Roman" w:cs="Times New Roman"/>
                <w:sz w:val="24"/>
                <w:szCs w:val="24"/>
                <w:shd w:val="clear" w:color="auto" w:fill="FFFFFF"/>
              </w:rPr>
              <w:t xml:space="preserve">turpmāk </w:t>
            </w:r>
            <w:r w:rsidR="0084401C" w:rsidRPr="007877B7">
              <w:rPr>
                <w:rFonts w:ascii="Times New Roman" w:hAnsi="Times New Roman" w:cs="Times New Roman"/>
                <w:sz w:val="24"/>
                <w:szCs w:val="24"/>
                <w:shd w:val="clear" w:color="auto" w:fill="FFFFFF"/>
              </w:rPr>
              <w:noBreakHyphen/>
              <w:t xml:space="preserve"> </w:t>
            </w:r>
            <w:proofErr w:type="spellStart"/>
            <w:r w:rsidR="00223CAA" w:rsidRPr="007877B7">
              <w:rPr>
                <w:rFonts w:ascii="Times New Roman" w:hAnsi="Times New Roman" w:cs="Times New Roman"/>
                <w:sz w:val="24"/>
                <w:szCs w:val="24"/>
                <w:shd w:val="clear" w:color="auto" w:fill="FFFFFF"/>
              </w:rPr>
              <w:t>šķērsfinansējums</w:t>
            </w:r>
            <w:proofErr w:type="spellEnd"/>
            <w:r w:rsidR="00223CAA" w:rsidRPr="007877B7">
              <w:rPr>
                <w:rFonts w:ascii="Times New Roman" w:hAnsi="Times New Roman" w:cs="Times New Roman"/>
                <w:sz w:val="24"/>
                <w:szCs w:val="24"/>
                <w:shd w:val="clear" w:color="auto" w:fill="FFFFFF"/>
              </w:rPr>
              <w:t>) 1.4.1.1.1.apakšaktivitātes ietvaros var tikt plānot</w:t>
            </w:r>
            <w:r w:rsidR="00603DA3" w:rsidRPr="007877B7">
              <w:rPr>
                <w:rFonts w:ascii="Times New Roman" w:hAnsi="Times New Roman" w:cs="Times New Roman"/>
                <w:sz w:val="24"/>
                <w:szCs w:val="24"/>
                <w:shd w:val="clear" w:color="auto" w:fill="FFFFFF"/>
              </w:rPr>
              <w:t>a</w:t>
            </w:r>
            <w:r w:rsidR="00223CAA" w:rsidRPr="007877B7">
              <w:rPr>
                <w:rFonts w:ascii="Times New Roman" w:hAnsi="Times New Roman" w:cs="Times New Roman"/>
                <w:sz w:val="24"/>
                <w:szCs w:val="24"/>
                <w:shd w:val="clear" w:color="auto" w:fill="FFFFFF"/>
              </w:rPr>
              <w:t xml:space="preserve">s arī </w:t>
            </w:r>
            <w:r w:rsidR="000C02CB" w:rsidRPr="007877B7">
              <w:rPr>
                <w:rFonts w:ascii="Times New Roman" w:hAnsi="Times New Roman" w:cs="Times New Roman"/>
                <w:sz w:val="24"/>
                <w:szCs w:val="24"/>
                <w:shd w:val="clear" w:color="auto" w:fill="FFFFFF"/>
              </w:rPr>
              <w:t xml:space="preserve">bezdarbnieku uzskaites un reģistrēto vakanču informācijas sistēmas </w:t>
            </w:r>
            <w:r w:rsidR="00223CAA" w:rsidRPr="007877B7">
              <w:rPr>
                <w:rFonts w:ascii="Times New Roman" w:hAnsi="Times New Roman" w:cs="Times New Roman"/>
                <w:sz w:val="24"/>
                <w:szCs w:val="24"/>
                <w:shd w:val="clear" w:color="auto" w:fill="FFFFFF"/>
              </w:rPr>
              <w:t>pielāgošanai.</w:t>
            </w:r>
          </w:p>
          <w:p w:rsidR="00376507" w:rsidRPr="00376507" w:rsidRDefault="00376507" w:rsidP="00376507">
            <w:pPr>
              <w:tabs>
                <w:tab w:val="left" w:pos="6444"/>
              </w:tabs>
              <w:spacing w:after="0" w:line="240" w:lineRule="auto"/>
              <w:ind w:left="142" w:right="141"/>
              <w:jc w:val="both"/>
              <w:rPr>
                <w:rFonts w:ascii="Times New Roman" w:hAnsi="Times New Roman" w:cs="Times New Roman"/>
                <w:sz w:val="24"/>
                <w:szCs w:val="24"/>
                <w:shd w:val="clear" w:color="auto" w:fill="FFFFFF"/>
              </w:rPr>
            </w:pPr>
          </w:p>
          <w:p w:rsidR="00376507" w:rsidRPr="008F1B02" w:rsidRDefault="00376507" w:rsidP="00376507">
            <w:pPr>
              <w:tabs>
                <w:tab w:val="left" w:pos="6444"/>
              </w:tabs>
              <w:spacing w:after="0" w:line="240" w:lineRule="auto"/>
              <w:ind w:left="142" w:right="141"/>
              <w:jc w:val="both"/>
              <w:rPr>
                <w:rFonts w:ascii="Times New Roman" w:hAnsi="Times New Roman" w:cs="Times New Roman"/>
                <w:sz w:val="24"/>
                <w:szCs w:val="24"/>
                <w:shd w:val="clear" w:color="auto" w:fill="FFFFFF"/>
              </w:rPr>
            </w:pPr>
            <w:proofErr w:type="gramStart"/>
            <w:r w:rsidRPr="00376507">
              <w:rPr>
                <w:rFonts w:ascii="Times New Roman" w:hAnsi="Times New Roman" w:cs="Times New Roman"/>
                <w:sz w:val="24"/>
                <w:szCs w:val="24"/>
                <w:shd w:val="clear" w:color="auto" w:fill="FFFFFF"/>
              </w:rPr>
              <w:lastRenderedPageBreak/>
              <w:t>2.</w:t>
            </w:r>
            <w:r w:rsidR="00CE3CCD">
              <w:rPr>
                <w:rFonts w:ascii="Times New Roman" w:hAnsi="Times New Roman" w:cs="Times New Roman"/>
                <w:sz w:val="24"/>
                <w:szCs w:val="24"/>
                <w:shd w:val="clear" w:color="auto" w:fill="FFFFFF"/>
              </w:rPr>
              <w:t> </w:t>
            </w:r>
            <w:r w:rsidRPr="00376507">
              <w:rPr>
                <w:rFonts w:ascii="Times New Roman" w:hAnsi="Times New Roman" w:cs="Times New Roman"/>
                <w:sz w:val="24"/>
                <w:szCs w:val="24"/>
                <w:shd w:val="clear" w:color="auto" w:fill="FFFFFF"/>
              </w:rPr>
              <w:t xml:space="preserve">Ar LM rosinātajiem grozījumiem </w:t>
            </w:r>
            <w:r w:rsidR="00CE3CCD">
              <w:rPr>
                <w:rFonts w:ascii="Times New Roman" w:hAnsi="Times New Roman" w:cs="Times New Roman"/>
                <w:sz w:val="24"/>
                <w:szCs w:val="24"/>
                <w:shd w:val="clear" w:color="auto" w:fill="FFFFFF"/>
              </w:rPr>
              <w:t>DPP</w:t>
            </w:r>
            <w:proofErr w:type="gramEnd"/>
            <w:r w:rsidRPr="00376507">
              <w:rPr>
                <w:rFonts w:ascii="Times New Roman" w:hAnsi="Times New Roman" w:cs="Times New Roman"/>
                <w:sz w:val="24"/>
                <w:szCs w:val="24"/>
                <w:shd w:val="clear" w:color="auto" w:fill="FFFFFF"/>
              </w:rPr>
              <w:t xml:space="preserve"> 1.4.1.1.1.apakšaktivitātei „Kompleksi atbalsta pasākumi iedzīvotāju integrēšanai sabiedrībā un darba tirgū” (turpmāk – 1.4.1.1.1.apakšaktivitāte) tiek palielināts pieejamais kopējais attiecināmai</w:t>
            </w:r>
            <w:r w:rsidR="008F1727">
              <w:rPr>
                <w:rFonts w:ascii="Times New Roman" w:hAnsi="Times New Roman" w:cs="Times New Roman"/>
                <w:sz w:val="24"/>
                <w:szCs w:val="24"/>
                <w:shd w:val="clear" w:color="auto" w:fill="FFFFFF"/>
              </w:rPr>
              <w:t xml:space="preserve">s </w:t>
            </w:r>
            <w:r w:rsidR="008F1727" w:rsidRPr="008F1B02">
              <w:rPr>
                <w:rFonts w:ascii="Times New Roman" w:hAnsi="Times New Roman" w:cs="Times New Roman"/>
                <w:sz w:val="24"/>
                <w:szCs w:val="24"/>
                <w:shd w:val="clear" w:color="auto" w:fill="FFFFFF"/>
              </w:rPr>
              <w:t>finansējums</w:t>
            </w:r>
            <w:r w:rsidR="00A2299B" w:rsidRPr="008F1B02">
              <w:rPr>
                <w:rFonts w:ascii="Times New Roman" w:hAnsi="Times New Roman" w:cs="Times New Roman"/>
                <w:sz w:val="24"/>
                <w:szCs w:val="24"/>
                <w:shd w:val="clear" w:color="auto" w:fill="FFFFFF"/>
              </w:rPr>
              <w:t xml:space="preserve"> par </w:t>
            </w:r>
            <w:r w:rsidR="00F306E3" w:rsidRPr="008F1B02">
              <w:rPr>
                <w:rFonts w:ascii="Times New Roman" w:hAnsi="Times New Roman" w:cs="Times New Roman"/>
                <w:sz w:val="24"/>
                <w:szCs w:val="24"/>
                <w:shd w:val="clear" w:color="auto" w:fill="FFFFFF"/>
              </w:rPr>
              <w:t>1 141 067</w:t>
            </w:r>
            <w:r w:rsidR="00A2299B" w:rsidRPr="008F1B02">
              <w:rPr>
                <w:rFonts w:ascii="Times New Roman" w:hAnsi="Times New Roman" w:cs="Times New Roman"/>
                <w:sz w:val="24"/>
                <w:szCs w:val="24"/>
                <w:shd w:val="clear" w:color="auto" w:fill="FFFFFF"/>
              </w:rPr>
              <w:t xml:space="preserve"> EUR (no 16 995 654 EUR uz </w:t>
            </w:r>
            <w:r w:rsidR="00F306E3" w:rsidRPr="008F1B02">
              <w:rPr>
                <w:rFonts w:ascii="Times New Roman" w:hAnsi="Times New Roman" w:cs="Times New Roman"/>
                <w:sz w:val="24"/>
                <w:szCs w:val="24"/>
                <w:shd w:val="clear" w:color="auto" w:fill="FFFFFF"/>
              </w:rPr>
              <w:t>18 136 721</w:t>
            </w:r>
            <w:r w:rsidR="00A2299B" w:rsidRPr="008F1B02">
              <w:rPr>
                <w:rFonts w:ascii="Times New Roman" w:hAnsi="Times New Roman" w:cs="Times New Roman"/>
                <w:sz w:val="24"/>
                <w:szCs w:val="24"/>
                <w:shd w:val="clear" w:color="auto" w:fill="FFFFFF"/>
              </w:rPr>
              <w:t xml:space="preserve"> EUR)</w:t>
            </w:r>
            <w:r w:rsidR="008F1727" w:rsidRPr="008F1B02">
              <w:rPr>
                <w:rFonts w:ascii="Times New Roman" w:hAnsi="Times New Roman" w:cs="Times New Roman"/>
                <w:sz w:val="24"/>
                <w:szCs w:val="24"/>
                <w:shd w:val="clear" w:color="auto" w:fill="FFFFFF"/>
              </w:rPr>
              <w:t xml:space="preserve">, tai skaitā </w:t>
            </w:r>
            <w:r w:rsidRPr="008F1B02">
              <w:rPr>
                <w:rFonts w:ascii="Times New Roman" w:hAnsi="Times New Roman" w:cs="Times New Roman"/>
                <w:sz w:val="24"/>
                <w:szCs w:val="24"/>
                <w:shd w:val="clear" w:color="auto" w:fill="FFFFFF"/>
              </w:rPr>
              <w:t>Eiropas Sociālā fonda (</w:t>
            </w:r>
            <w:r w:rsidR="008F1727" w:rsidRPr="008F1B02">
              <w:rPr>
                <w:rFonts w:ascii="Times New Roman" w:hAnsi="Times New Roman" w:cs="Times New Roman"/>
                <w:sz w:val="24"/>
                <w:szCs w:val="24"/>
                <w:shd w:val="clear" w:color="auto" w:fill="FFFFFF"/>
              </w:rPr>
              <w:t xml:space="preserve">turpmāk </w:t>
            </w:r>
            <w:r w:rsidR="008F1727" w:rsidRPr="008F1B02">
              <w:rPr>
                <w:rFonts w:ascii="Times New Roman" w:hAnsi="Times New Roman" w:cs="Times New Roman"/>
                <w:sz w:val="24"/>
                <w:szCs w:val="24"/>
                <w:shd w:val="clear" w:color="auto" w:fill="FFFFFF"/>
              </w:rPr>
              <w:noBreakHyphen/>
              <w:t xml:space="preserve"> </w:t>
            </w:r>
            <w:r w:rsidR="00561A66" w:rsidRPr="008F1B02">
              <w:rPr>
                <w:rFonts w:ascii="Times New Roman" w:hAnsi="Times New Roman" w:cs="Times New Roman"/>
                <w:sz w:val="24"/>
                <w:szCs w:val="24"/>
                <w:shd w:val="clear" w:color="auto" w:fill="FFFFFF"/>
              </w:rPr>
              <w:t xml:space="preserve">ESF) finansējums par </w:t>
            </w:r>
            <w:r w:rsidR="005573C3" w:rsidRPr="008F1B02">
              <w:rPr>
                <w:rFonts w:ascii="Times New Roman" w:hAnsi="Times New Roman" w:cs="Times New Roman"/>
                <w:sz w:val="24"/>
                <w:szCs w:val="24"/>
                <w:shd w:val="clear" w:color="auto" w:fill="FFFFFF"/>
              </w:rPr>
              <w:t xml:space="preserve">1 141 067 </w:t>
            </w:r>
            <w:r w:rsidR="00561A66" w:rsidRPr="008F1B02">
              <w:rPr>
                <w:rFonts w:ascii="Times New Roman" w:hAnsi="Times New Roman" w:cs="Times New Roman"/>
                <w:sz w:val="24"/>
                <w:szCs w:val="24"/>
                <w:shd w:val="clear" w:color="auto" w:fill="FFFFFF"/>
              </w:rPr>
              <w:t xml:space="preserve">EUR (no 15 566 319 EUR uz </w:t>
            </w:r>
            <w:r w:rsidR="005573C3" w:rsidRPr="008F1B02">
              <w:rPr>
                <w:rFonts w:ascii="Times New Roman" w:hAnsi="Times New Roman" w:cs="Times New Roman"/>
                <w:sz w:val="24"/>
                <w:szCs w:val="24"/>
                <w:shd w:val="clear" w:color="auto" w:fill="FFFFFF"/>
              </w:rPr>
              <w:t xml:space="preserve">16 707 386 </w:t>
            </w:r>
            <w:r w:rsidR="00561A66" w:rsidRPr="008F1B02">
              <w:rPr>
                <w:rFonts w:ascii="Times New Roman" w:hAnsi="Times New Roman" w:cs="Times New Roman"/>
                <w:sz w:val="24"/>
                <w:szCs w:val="24"/>
                <w:shd w:val="clear" w:color="auto" w:fill="FFFFFF"/>
              </w:rPr>
              <w:t>EUR)</w:t>
            </w:r>
            <w:r w:rsidR="000F549B" w:rsidRPr="008F1B02">
              <w:rPr>
                <w:rFonts w:ascii="Times New Roman" w:hAnsi="Times New Roman" w:cs="Times New Roman"/>
                <w:sz w:val="24"/>
                <w:szCs w:val="24"/>
                <w:shd w:val="clear" w:color="auto" w:fill="FFFFFF"/>
              </w:rPr>
              <w:t>. V</w:t>
            </w:r>
            <w:r w:rsidR="00222A90" w:rsidRPr="008F1B02">
              <w:rPr>
                <w:rFonts w:ascii="Times New Roman" w:hAnsi="Times New Roman" w:cs="Times New Roman"/>
                <w:sz w:val="24"/>
                <w:szCs w:val="24"/>
                <w:shd w:val="clear" w:color="auto" w:fill="FFFFFF"/>
              </w:rPr>
              <w:t>alsts budžeta finansējums</w:t>
            </w:r>
            <w:r w:rsidR="005B6A2A" w:rsidRPr="008F1B02">
              <w:rPr>
                <w:rFonts w:ascii="Times New Roman" w:hAnsi="Times New Roman" w:cs="Times New Roman"/>
                <w:sz w:val="24"/>
                <w:szCs w:val="24"/>
                <w:shd w:val="clear" w:color="auto" w:fill="FFFFFF"/>
              </w:rPr>
              <w:t xml:space="preserve"> </w:t>
            </w:r>
            <w:r w:rsidR="000F549B" w:rsidRPr="008F1B02">
              <w:rPr>
                <w:rFonts w:ascii="Times New Roman" w:hAnsi="Times New Roman" w:cs="Times New Roman"/>
                <w:sz w:val="24"/>
                <w:szCs w:val="24"/>
                <w:shd w:val="clear" w:color="auto" w:fill="FFFFFF"/>
              </w:rPr>
              <w:t>paliek nemainīgs</w:t>
            </w:r>
            <w:r w:rsidR="009F682A" w:rsidRPr="008F1B02">
              <w:rPr>
                <w:rFonts w:ascii="Times New Roman" w:hAnsi="Times New Roman" w:cs="Times New Roman"/>
                <w:sz w:val="24"/>
                <w:szCs w:val="24"/>
                <w:shd w:val="clear" w:color="auto" w:fill="FFFFFF"/>
              </w:rPr>
              <w:t xml:space="preserve"> 1 429 335 EUR</w:t>
            </w:r>
            <w:r w:rsidR="000F549B" w:rsidRPr="008F1B02">
              <w:rPr>
                <w:rFonts w:ascii="Times New Roman" w:hAnsi="Times New Roman" w:cs="Times New Roman"/>
                <w:sz w:val="24"/>
                <w:szCs w:val="24"/>
                <w:shd w:val="clear" w:color="auto" w:fill="FFFFFF"/>
              </w:rPr>
              <w:t>. A</w:t>
            </w:r>
            <w:r w:rsidRPr="008F1B02">
              <w:rPr>
                <w:rFonts w:ascii="Times New Roman" w:hAnsi="Times New Roman" w:cs="Times New Roman"/>
                <w:sz w:val="24"/>
                <w:szCs w:val="24"/>
                <w:shd w:val="clear" w:color="auto" w:fill="FFFFFF"/>
              </w:rPr>
              <w:t xml:space="preserve">tbilstoši </w:t>
            </w:r>
            <w:r w:rsidR="000F549B" w:rsidRPr="008F1B02">
              <w:rPr>
                <w:rFonts w:ascii="Times New Roman" w:hAnsi="Times New Roman" w:cs="Times New Roman"/>
                <w:sz w:val="24"/>
                <w:szCs w:val="24"/>
                <w:shd w:val="clear" w:color="auto" w:fill="FFFFFF"/>
              </w:rPr>
              <w:t>tiek palielinā</w:t>
            </w:r>
            <w:r w:rsidRPr="008F1B02">
              <w:rPr>
                <w:rFonts w:ascii="Times New Roman" w:hAnsi="Times New Roman" w:cs="Times New Roman"/>
                <w:sz w:val="24"/>
                <w:szCs w:val="24"/>
                <w:shd w:val="clear" w:color="auto" w:fill="FFFFFF"/>
              </w:rPr>
              <w:t>t</w:t>
            </w:r>
            <w:r w:rsidR="000F549B" w:rsidRPr="008F1B02">
              <w:rPr>
                <w:rFonts w:ascii="Times New Roman" w:hAnsi="Times New Roman" w:cs="Times New Roman"/>
                <w:sz w:val="24"/>
                <w:szCs w:val="24"/>
                <w:shd w:val="clear" w:color="auto" w:fill="FFFFFF"/>
              </w:rPr>
              <w:t>a ESF atbalsta intensitāte</w:t>
            </w:r>
            <w:r w:rsidRPr="008F1B02">
              <w:rPr>
                <w:rFonts w:ascii="Times New Roman" w:hAnsi="Times New Roman" w:cs="Times New Roman"/>
                <w:sz w:val="24"/>
                <w:szCs w:val="24"/>
                <w:shd w:val="clear" w:color="auto" w:fill="FFFFFF"/>
              </w:rPr>
              <w:t xml:space="preserve"> 1.4.1.1.1.apakšaktivitātes ietvaros</w:t>
            </w:r>
            <w:r w:rsidR="009F682A" w:rsidRPr="008F1B02">
              <w:rPr>
                <w:rFonts w:ascii="Times New Roman" w:hAnsi="Times New Roman" w:cs="Times New Roman"/>
                <w:sz w:val="24"/>
                <w:szCs w:val="24"/>
                <w:shd w:val="clear" w:color="auto" w:fill="FFFFFF"/>
              </w:rPr>
              <w:t xml:space="preserve"> no 91,59 % uz 92,1</w:t>
            </w:r>
            <w:r w:rsidR="000F549B" w:rsidRPr="008F1B02">
              <w:rPr>
                <w:rFonts w:ascii="Times New Roman" w:hAnsi="Times New Roman" w:cs="Times New Roman"/>
                <w:sz w:val="24"/>
                <w:szCs w:val="24"/>
                <w:shd w:val="clear" w:color="auto" w:fill="FFFFFF"/>
              </w:rPr>
              <w:t>2</w:t>
            </w:r>
            <w:r w:rsidR="009F682A" w:rsidRPr="008F1B02">
              <w:rPr>
                <w:rFonts w:ascii="Times New Roman" w:hAnsi="Times New Roman" w:cs="Times New Roman"/>
                <w:sz w:val="24"/>
                <w:szCs w:val="24"/>
                <w:shd w:val="clear" w:color="auto" w:fill="FFFFFF"/>
              </w:rPr>
              <w:t> % no projekta attiecināmo izmaksu kopsummas</w:t>
            </w:r>
            <w:r w:rsidRPr="008F1B02">
              <w:rPr>
                <w:rFonts w:ascii="Times New Roman" w:hAnsi="Times New Roman" w:cs="Times New Roman"/>
                <w:sz w:val="24"/>
                <w:szCs w:val="24"/>
                <w:shd w:val="clear" w:color="auto" w:fill="FFFFFF"/>
              </w:rPr>
              <w:t>.</w:t>
            </w:r>
          </w:p>
          <w:p w:rsidR="00F64FE0" w:rsidRDefault="00ED1DB5" w:rsidP="00635AA8">
            <w:pPr>
              <w:tabs>
                <w:tab w:val="left" w:pos="6444"/>
              </w:tabs>
              <w:spacing w:after="0" w:line="240" w:lineRule="auto"/>
              <w:ind w:left="142" w:right="141"/>
              <w:jc w:val="both"/>
              <w:rPr>
                <w:rFonts w:ascii="Times New Roman" w:hAnsi="Times New Roman" w:cs="Times New Roman"/>
                <w:sz w:val="24"/>
                <w:szCs w:val="24"/>
                <w:shd w:val="clear" w:color="auto" w:fill="FFFFFF"/>
              </w:rPr>
            </w:pPr>
            <w:r w:rsidRPr="008F1B02">
              <w:rPr>
                <w:rFonts w:ascii="Times New Roman" w:hAnsi="Times New Roman" w:cs="Times New Roman"/>
                <w:sz w:val="24"/>
                <w:szCs w:val="24"/>
                <w:shd w:val="clear" w:color="auto" w:fill="FFFFFF"/>
              </w:rPr>
              <w:t xml:space="preserve">Papildu finansējums </w:t>
            </w:r>
            <w:r w:rsidR="00C73469" w:rsidRPr="008F1B02">
              <w:rPr>
                <w:rFonts w:ascii="Times New Roman" w:hAnsi="Times New Roman" w:cs="Times New Roman"/>
                <w:sz w:val="24"/>
                <w:szCs w:val="24"/>
                <w:shd w:val="clear" w:color="auto" w:fill="FFFFFF"/>
              </w:rPr>
              <w:t xml:space="preserve">1 141 067 EUR apmērā </w:t>
            </w:r>
            <w:r w:rsidR="00376507" w:rsidRPr="008F1B02">
              <w:rPr>
                <w:rFonts w:ascii="Times New Roman" w:hAnsi="Times New Roman" w:cs="Times New Roman"/>
                <w:sz w:val="24"/>
                <w:szCs w:val="24"/>
                <w:shd w:val="clear" w:color="auto" w:fill="FFFFFF"/>
              </w:rPr>
              <w:t>pārdalīts no DPP 1.4.1.2.4.apakšaktivitātes „Sociālās rehabilitācijas</w:t>
            </w:r>
            <w:r w:rsidR="00376507" w:rsidRPr="00376507">
              <w:rPr>
                <w:rFonts w:ascii="Times New Roman" w:hAnsi="Times New Roman" w:cs="Times New Roman"/>
                <w:sz w:val="24"/>
                <w:szCs w:val="24"/>
                <w:shd w:val="clear" w:color="auto" w:fill="FFFFFF"/>
              </w:rPr>
              <w:t xml:space="preserve"> un institūcijām alternatīvu sociālās aprūpes pak</w:t>
            </w:r>
            <w:r>
              <w:rPr>
                <w:rFonts w:ascii="Times New Roman" w:hAnsi="Times New Roman" w:cs="Times New Roman"/>
                <w:sz w:val="24"/>
                <w:szCs w:val="24"/>
                <w:shd w:val="clear" w:color="auto" w:fill="FFFFFF"/>
              </w:rPr>
              <w:t xml:space="preserve">alpojumu attīstība reģionos” </w:t>
            </w:r>
            <w:r w:rsidR="0081594B">
              <w:rPr>
                <w:rFonts w:ascii="Times New Roman" w:hAnsi="Times New Roman" w:cs="Times New Roman"/>
                <w:sz w:val="24"/>
                <w:szCs w:val="24"/>
                <w:shd w:val="clear" w:color="auto" w:fill="FFFFFF"/>
              </w:rPr>
              <w:t xml:space="preserve">(turpmāk – 1.4.1.2.4.apakšaktivitāte) </w:t>
            </w:r>
            <w:r w:rsidR="00376507" w:rsidRPr="00376507">
              <w:rPr>
                <w:rFonts w:ascii="Times New Roman" w:hAnsi="Times New Roman" w:cs="Times New Roman"/>
                <w:sz w:val="24"/>
                <w:szCs w:val="24"/>
                <w:shd w:val="clear" w:color="auto" w:fill="FFFFFF"/>
              </w:rPr>
              <w:t>un tiks izmantots</w:t>
            </w:r>
            <w:r w:rsidR="00F64FE0">
              <w:rPr>
                <w:rFonts w:ascii="Times New Roman" w:hAnsi="Times New Roman" w:cs="Times New Roman"/>
                <w:sz w:val="24"/>
                <w:szCs w:val="24"/>
                <w:shd w:val="clear" w:color="auto" w:fill="FFFFFF"/>
              </w:rPr>
              <w:t>:</w:t>
            </w:r>
          </w:p>
          <w:p w:rsidR="00F64FE0" w:rsidRPr="00E74134" w:rsidRDefault="00376507" w:rsidP="00646073">
            <w:pPr>
              <w:pStyle w:val="ListParagraph"/>
              <w:numPr>
                <w:ilvl w:val="0"/>
                <w:numId w:val="14"/>
              </w:numPr>
              <w:tabs>
                <w:tab w:val="left" w:pos="6444"/>
              </w:tabs>
              <w:spacing w:after="0" w:line="240" w:lineRule="auto"/>
              <w:ind w:right="141"/>
              <w:jc w:val="both"/>
              <w:rPr>
                <w:rFonts w:ascii="Times New Roman" w:hAnsi="Times New Roman" w:cs="Times New Roman"/>
                <w:sz w:val="24"/>
                <w:szCs w:val="24"/>
                <w:shd w:val="clear" w:color="auto" w:fill="FFFFFF"/>
              </w:rPr>
            </w:pPr>
            <w:r w:rsidRPr="00F64FE0">
              <w:rPr>
                <w:rFonts w:ascii="Times New Roman" w:hAnsi="Times New Roman" w:cs="Times New Roman"/>
                <w:sz w:val="24"/>
                <w:szCs w:val="24"/>
                <w:shd w:val="clear" w:color="auto" w:fill="FFFFFF"/>
              </w:rPr>
              <w:t>pabalsta par asistenta izmantošanu nodrošināšanai cilvēkiem ar I grupas</w:t>
            </w:r>
            <w:r w:rsidR="00F64FE0">
              <w:rPr>
                <w:rFonts w:ascii="Times New Roman" w:hAnsi="Times New Roman" w:cs="Times New Roman"/>
                <w:sz w:val="24"/>
                <w:szCs w:val="24"/>
                <w:shd w:val="clear" w:color="auto" w:fill="FFFFFF"/>
              </w:rPr>
              <w:t xml:space="preserve"> redzes invaliditāti </w:t>
            </w:r>
            <w:proofErr w:type="gramStart"/>
            <w:r w:rsidR="00F64FE0">
              <w:rPr>
                <w:rFonts w:ascii="Times New Roman" w:hAnsi="Times New Roman" w:cs="Times New Roman"/>
                <w:sz w:val="24"/>
                <w:szCs w:val="24"/>
                <w:shd w:val="clear" w:color="auto" w:fill="FFFFFF"/>
              </w:rPr>
              <w:t>2014.gadā</w:t>
            </w:r>
            <w:proofErr w:type="gramEnd"/>
            <w:r w:rsidR="00CF1990">
              <w:rPr>
                <w:rFonts w:ascii="Times New Roman" w:hAnsi="Times New Roman" w:cs="Times New Roman"/>
                <w:sz w:val="24"/>
                <w:szCs w:val="24"/>
                <w:shd w:val="clear" w:color="auto" w:fill="FFFFFF"/>
              </w:rPr>
              <w:t xml:space="preserve"> </w:t>
            </w:r>
            <w:r w:rsidR="0080357C">
              <w:rPr>
                <w:rFonts w:ascii="Times New Roman" w:hAnsi="Times New Roman" w:cs="Times New Roman"/>
                <w:sz w:val="24"/>
                <w:szCs w:val="24"/>
                <w:shd w:val="clear" w:color="auto" w:fill="FFFFFF"/>
              </w:rPr>
              <w:t>atbilstoši</w:t>
            </w:r>
            <w:r w:rsidR="00CF1990">
              <w:rPr>
                <w:rFonts w:ascii="Times New Roman" w:hAnsi="Times New Roman" w:cs="Times New Roman"/>
                <w:sz w:val="24"/>
                <w:szCs w:val="24"/>
                <w:shd w:val="clear" w:color="auto" w:fill="FFFFFF"/>
              </w:rPr>
              <w:t xml:space="preserve"> </w:t>
            </w:r>
            <w:r w:rsidR="00CF1990" w:rsidRPr="009715A3">
              <w:rPr>
                <w:rFonts w:ascii="Times New Roman" w:hAnsi="Times New Roman"/>
                <w:sz w:val="24"/>
                <w:szCs w:val="24"/>
              </w:rPr>
              <w:t>2013.gada 6</w:t>
            </w:r>
            <w:r w:rsidR="00CF1990">
              <w:rPr>
                <w:rFonts w:ascii="Times New Roman" w:hAnsi="Times New Roman"/>
                <w:sz w:val="24"/>
                <w:szCs w:val="24"/>
              </w:rPr>
              <w:t xml:space="preserve">.augusta MK sēdes </w:t>
            </w:r>
            <w:proofErr w:type="spellStart"/>
            <w:r w:rsidR="00CF1990">
              <w:rPr>
                <w:rFonts w:ascii="Times New Roman" w:hAnsi="Times New Roman"/>
                <w:sz w:val="24"/>
                <w:szCs w:val="24"/>
              </w:rPr>
              <w:t>protokollēmumā</w:t>
            </w:r>
            <w:proofErr w:type="spellEnd"/>
            <w:r w:rsidR="00CF1990" w:rsidRPr="009715A3">
              <w:rPr>
                <w:rFonts w:ascii="Times New Roman" w:hAnsi="Times New Roman"/>
                <w:sz w:val="24"/>
                <w:szCs w:val="24"/>
              </w:rPr>
              <w:t xml:space="preserve"> Nr.42 84.§ „Informatīvais ziņojums „Par Eiropas Savienības fondu 2007.-2013.gada un 2014.-2020.gada plānošanas perioda pārejas posmā papildu nepieciešamo finansējumu aktīvo nodarbinātības pasākumu nepārtrauktai nodrošināšanai””</w:t>
            </w:r>
            <w:r w:rsidR="00CF1990">
              <w:rPr>
                <w:rFonts w:ascii="Times New Roman" w:hAnsi="Times New Roman"/>
                <w:sz w:val="24"/>
                <w:szCs w:val="24"/>
              </w:rPr>
              <w:t xml:space="preserve"> minēt</w:t>
            </w:r>
            <w:r w:rsidR="0080357C">
              <w:rPr>
                <w:rFonts w:ascii="Times New Roman" w:hAnsi="Times New Roman"/>
                <w:sz w:val="24"/>
                <w:szCs w:val="24"/>
              </w:rPr>
              <w:t>ā</w:t>
            </w:r>
            <w:r w:rsidR="00CF1990">
              <w:rPr>
                <w:rFonts w:ascii="Times New Roman" w:hAnsi="Times New Roman"/>
                <w:sz w:val="24"/>
                <w:szCs w:val="24"/>
              </w:rPr>
              <w:t xml:space="preserve"> finansējuma nepieciešamības pabalstu izmaksai izvērtējum</w:t>
            </w:r>
            <w:r w:rsidR="0080357C">
              <w:rPr>
                <w:rFonts w:ascii="Times New Roman" w:hAnsi="Times New Roman"/>
                <w:sz w:val="24"/>
                <w:szCs w:val="24"/>
              </w:rPr>
              <w:t>am</w:t>
            </w:r>
            <w:r w:rsidR="00CF1990">
              <w:rPr>
                <w:rFonts w:ascii="Times New Roman" w:hAnsi="Times New Roman"/>
                <w:sz w:val="24"/>
                <w:szCs w:val="24"/>
              </w:rPr>
              <w:t xml:space="preserve"> un piedāvāt</w:t>
            </w:r>
            <w:r w:rsidR="0080357C">
              <w:rPr>
                <w:rFonts w:ascii="Times New Roman" w:hAnsi="Times New Roman"/>
                <w:sz w:val="24"/>
                <w:szCs w:val="24"/>
              </w:rPr>
              <w:t xml:space="preserve">ajām </w:t>
            </w:r>
            <w:r w:rsidR="0080357C" w:rsidRPr="00E74134">
              <w:rPr>
                <w:rFonts w:ascii="Times New Roman" w:hAnsi="Times New Roman"/>
                <w:sz w:val="24"/>
                <w:szCs w:val="24"/>
              </w:rPr>
              <w:t>rīcībām</w:t>
            </w:r>
            <w:r w:rsidR="00617944" w:rsidRPr="00E74134">
              <w:rPr>
                <w:rFonts w:ascii="Times New Roman" w:hAnsi="Times New Roman"/>
                <w:sz w:val="24"/>
                <w:szCs w:val="24"/>
              </w:rPr>
              <w:t xml:space="preserve"> (indikatīvi </w:t>
            </w:r>
            <w:r w:rsidR="00646073" w:rsidRPr="00E74134">
              <w:t xml:space="preserve"> </w:t>
            </w:r>
            <w:r w:rsidR="00194122" w:rsidRPr="00E74134">
              <w:rPr>
                <w:rFonts w:ascii="Times New Roman" w:hAnsi="Times New Roman"/>
                <w:sz w:val="24"/>
                <w:szCs w:val="24"/>
              </w:rPr>
              <w:t>1 020 850</w:t>
            </w:r>
            <w:r w:rsidR="00646073" w:rsidRPr="00E74134">
              <w:rPr>
                <w:rFonts w:ascii="Times New Roman" w:hAnsi="Times New Roman"/>
                <w:sz w:val="24"/>
                <w:szCs w:val="24"/>
              </w:rPr>
              <w:t xml:space="preserve"> </w:t>
            </w:r>
            <w:r w:rsidR="00617944" w:rsidRPr="00E74134">
              <w:rPr>
                <w:rFonts w:ascii="Times New Roman" w:hAnsi="Times New Roman"/>
                <w:sz w:val="24"/>
                <w:szCs w:val="24"/>
              </w:rPr>
              <w:t>EUR)</w:t>
            </w:r>
            <w:r w:rsidR="00F64FE0" w:rsidRPr="00E74134">
              <w:rPr>
                <w:rFonts w:ascii="Times New Roman" w:hAnsi="Times New Roman" w:cs="Times New Roman"/>
                <w:sz w:val="24"/>
                <w:szCs w:val="24"/>
                <w:shd w:val="clear" w:color="auto" w:fill="FFFFFF"/>
              </w:rPr>
              <w:t>;</w:t>
            </w:r>
          </w:p>
          <w:p w:rsidR="00327458" w:rsidRPr="00631DFA" w:rsidRDefault="00F64FE0" w:rsidP="0094682C">
            <w:pPr>
              <w:pStyle w:val="ListParagraph"/>
              <w:numPr>
                <w:ilvl w:val="0"/>
                <w:numId w:val="14"/>
              </w:numPr>
              <w:tabs>
                <w:tab w:val="left" w:pos="6444"/>
              </w:tabs>
              <w:spacing w:after="0" w:line="240" w:lineRule="auto"/>
              <w:ind w:right="141"/>
              <w:jc w:val="both"/>
              <w:rPr>
                <w:rFonts w:ascii="Times New Roman" w:hAnsi="Times New Roman" w:cs="Times New Roman"/>
                <w:sz w:val="24"/>
                <w:szCs w:val="24"/>
                <w:shd w:val="clear" w:color="auto" w:fill="FFFFFF"/>
              </w:rPr>
            </w:pPr>
            <w:r w:rsidRPr="00F64FE0">
              <w:rPr>
                <w:rFonts w:ascii="Times New Roman" w:hAnsi="Times New Roman" w:cs="Times New Roman"/>
                <w:sz w:val="24"/>
                <w:szCs w:val="24"/>
                <w:shd w:val="clear" w:color="auto" w:fill="FFFFFF"/>
              </w:rPr>
              <w:t>zinātnisk</w:t>
            </w:r>
            <w:r>
              <w:rPr>
                <w:rFonts w:ascii="Times New Roman" w:hAnsi="Times New Roman" w:cs="Times New Roman"/>
                <w:sz w:val="24"/>
                <w:szCs w:val="24"/>
                <w:shd w:val="clear" w:color="auto" w:fill="FFFFFF"/>
              </w:rPr>
              <w:t>a</w:t>
            </w:r>
            <w:r w:rsidRPr="00F64FE0">
              <w:rPr>
                <w:rFonts w:ascii="Times New Roman" w:hAnsi="Times New Roman" w:cs="Times New Roman"/>
                <w:sz w:val="24"/>
                <w:szCs w:val="24"/>
                <w:shd w:val="clear" w:color="auto" w:fill="FFFFFF"/>
              </w:rPr>
              <w:t xml:space="preserve"> pētījum</w:t>
            </w:r>
            <w:r>
              <w:rPr>
                <w:rFonts w:ascii="Times New Roman" w:hAnsi="Times New Roman" w:cs="Times New Roman"/>
                <w:sz w:val="24"/>
                <w:szCs w:val="24"/>
                <w:shd w:val="clear" w:color="auto" w:fill="FFFFFF"/>
              </w:rPr>
              <w:t>a</w:t>
            </w:r>
            <w:r w:rsidRPr="00F64FE0">
              <w:rPr>
                <w:rFonts w:ascii="Times New Roman" w:hAnsi="Times New Roman" w:cs="Times New Roman"/>
                <w:sz w:val="24"/>
                <w:szCs w:val="24"/>
                <w:shd w:val="clear" w:color="auto" w:fill="FFFFFF"/>
              </w:rPr>
              <w:t xml:space="preserve"> par jauniešu, kas nemācās, nestrādā un neapgūst arodu, profilu un aktivizācijas iespējām, piesaistot </w:t>
            </w:r>
            <w:r w:rsidR="006F3BAD">
              <w:rPr>
                <w:rFonts w:ascii="Times New Roman" w:hAnsi="Times New Roman" w:cs="Times New Roman"/>
                <w:sz w:val="24"/>
                <w:szCs w:val="24"/>
                <w:shd w:val="clear" w:color="auto" w:fill="FFFFFF"/>
              </w:rPr>
              <w:t xml:space="preserve">OECD </w:t>
            </w:r>
            <w:r w:rsidRPr="00F64FE0">
              <w:rPr>
                <w:rFonts w:ascii="Times New Roman" w:hAnsi="Times New Roman" w:cs="Times New Roman"/>
                <w:sz w:val="24"/>
                <w:szCs w:val="24"/>
                <w:shd w:val="clear" w:color="auto" w:fill="FFFFFF"/>
              </w:rPr>
              <w:t>ekspertīzi</w:t>
            </w:r>
            <w:r>
              <w:rPr>
                <w:rFonts w:ascii="Times New Roman" w:hAnsi="Times New Roman" w:cs="Times New Roman"/>
                <w:sz w:val="24"/>
                <w:szCs w:val="24"/>
                <w:shd w:val="clear" w:color="auto" w:fill="FFFFFF"/>
              </w:rPr>
              <w:t>, organizēšanai</w:t>
            </w:r>
            <w:r w:rsidR="006F0620">
              <w:rPr>
                <w:rFonts w:ascii="Times New Roman" w:hAnsi="Times New Roman" w:cs="Times New Roman"/>
                <w:sz w:val="24"/>
                <w:szCs w:val="24"/>
                <w:shd w:val="clear" w:color="auto" w:fill="FFFFFF"/>
              </w:rPr>
              <w:t xml:space="preserve"> </w:t>
            </w:r>
            <w:r w:rsidR="0088181F" w:rsidRPr="00631DFA">
              <w:rPr>
                <w:rFonts w:ascii="Times New Roman" w:hAnsi="Times New Roman" w:cs="Times New Roman"/>
                <w:sz w:val="24"/>
                <w:szCs w:val="24"/>
                <w:shd w:val="clear" w:color="auto" w:fill="FFFFFF"/>
              </w:rPr>
              <w:t>(indikatīvi 103 0</w:t>
            </w:r>
            <w:r w:rsidR="006F0620" w:rsidRPr="00631DFA">
              <w:rPr>
                <w:rFonts w:ascii="Times New Roman" w:hAnsi="Times New Roman" w:cs="Times New Roman"/>
                <w:sz w:val="24"/>
                <w:szCs w:val="24"/>
                <w:shd w:val="clear" w:color="auto" w:fill="FFFFFF"/>
              </w:rPr>
              <w:t>00 EUR pētījuma izmaksas</w:t>
            </w:r>
            <w:r w:rsidR="0088181F" w:rsidRPr="00631DFA">
              <w:rPr>
                <w:rFonts w:ascii="Times New Roman" w:hAnsi="Times New Roman" w:cs="Times New Roman"/>
                <w:sz w:val="24"/>
                <w:szCs w:val="24"/>
                <w:shd w:val="clear" w:color="auto" w:fill="FFFFFF"/>
              </w:rPr>
              <w:t>, t.sk.</w:t>
            </w:r>
            <w:r w:rsidR="006F0620" w:rsidRPr="00631DFA">
              <w:rPr>
                <w:rFonts w:ascii="Times New Roman" w:hAnsi="Times New Roman" w:cs="Times New Roman"/>
                <w:sz w:val="24"/>
                <w:szCs w:val="24"/>
                <w:shd w:val="clear" w:color="auto" w:fill="FFFFFF"/>
              </w:rPr>
              <w:t xml:space="preserve"> 3</w:t>
            </w:r>
            <w:r w:rsidR="007D6B62" w:rsidRPr="00631DFA">
              <w:rPr>
                <w:rFonts w:ascii="Times New Roman" w:hAnsi="Times New Roman" w:cs="Times New Roman"/>
                <w:sz w:val="24"/>
                <w:szCs w:val="24"/>
                <w:shd w:val="clear" w:color="auto" w:fill="FFFFFF"/>
              </w:rPr>
              <w:t> </w:t>
            </w:r>
            <w:r w:rsidR="006F0620" w:rsidRPr="00631DFA">
              <w:rPr>
                <w:rFonts w:ascii="Times New Roman" w:hAnsi="Times New Roman" w:cs="Times New Roman"/>
                <w:sz w:val="24"/>
                <w:szCs w:val="24"/>
                <w:shd w:val="clear" w:color="auto" w:fill="FFFFFF"/>
              </w:rPr>
              <w:t>000 EUR pētījuma tulkošanas izmaksas)</w:t>
            </w:r>
            <w:r w:rsidRPr="00631DFA">
              <w:rPr>
                <w:rFonts w:ascii="Times New Roman" w:hAnsi="Times New Roman" w:cs="Times New Roman"/>
                <w:sz w:val="24"/>
                <w:szCs w:val="24"/>
                <w:shd w:val="clear" w:color="auto" w:fill="FFFFFF"/>
              </w:rPr>
              <w:t>;</w:t>
            </w:r>
          </w:p>
          <w:p w:rsidR="00376507" w:rsidRPr="00631DFA" w:rsidRDefault="00F64FE0" w:rsidP="00F64FE0">
            <w:pPr>
              <w:pStyle w:val="ListParagraph"/>
              <w:numPr>
                <w:ilvl w:val="0"/>
                <w:numId w:val="14"/>
              </w:numPr>
              <w:tabs>
                <w:tab w:val="left" w:pos="6444"/>
              </w:tabs>
              <w:spacing w:after="0" w:line="240" w:lineRule="auto"/>
              <w:ind w:right="141"/>
              <w:jc w:val="both"/>
              <w:rPr>
                <w:rFonts w:ascii="Times New Roman" w:hAnsi="Times New Roman" w:cs="Times New Roman"/>
                <w:sz w:val="24"/>
                <w:szCs w:val="24"/>
                <w:shd w:val="clear" w:color="auto" w:fill="FFFFFF"/>
              </w:rPr>
            </w:pPr>
            <w:r w:rsidRPr="00F64FE0">
              <w:rPr>
                <w:rFonts w:ascii="Times New Roman" w:hAnsi="Times New Roman" w:cs="Times New Roman"/>
                <w:sz w:val="24"/>
                <w:szCs w:val="24"/>
                <w:shd w:val="clear" w:color="auto" w:fill="FFFFFF"/>
              </w:rPr>
              <w:t>bezdarbnieku uzskaites un reģistrēto vakanču informācijas sistēmas pielāgošana</w:t>
            </w:r>
            <w:r>
              <w:rPr>
                <w:rFonts w:ascii="Times New Roman" w:hAnsi="Times New Roman" w:cs="Times New Roman"/>
                <w:sz w:val="24"/>
                <w:szCs w:val="24"/>
                <w:shd w:val="clear" w:color="auto" w:fill="FFFFFF"/>
              </w:rPr>
              <w:t>i</w:t>
            </w:r>
            <w:r w:rsidRPr="00F64FE0">
              <w:rPr>
                <w:rFonts w:ascii="Times New Roman" w:hAnsi="Times New Roman" w:cs="Times New Roman"/>
                <w:sz w:val="24"/>
                <w:szCs w:val="24"/>
                <w:shd w:val="clear" w:color="auto" w:fill="FFFFFF"/>
              </w:rPr>
              <w:t xml:space="preserve">, lai nodrošinātu iespēju </w:t>
            </w:r>
            <w:r>
              <w:rPr>
                <w:rFonts w:ascii="Times New Roman" w:hAnsi="Times New Roman" w:cs="Times New Roman"/>
                <w:sz w:val="24"/>
                <w:szCs w:val="24"/>
                <w:shd w:val="clear" w:color="auto" w:fill="FFFFFF"/>
              </w:rPr>
              <w:t>VIAA</w:t>
            </w:r>
            <w:r w:rsidRPr="00F64FE0">
              <w:rPr>
                <w:rFonts w:ascii="Times New Roman" w:hAnsi="Times New Roman" w:cs="Times New Roman"/>
                <w:sz w:val="24"/>
                <w:szCs w:val="24"/>
                <w:shd w:val="clear" w:color="auto" w:fill="FFFFFF"/>
              </w:rPr>
              <w:t xml:space="preserve"> darbiniekiem attālināti pieslēgties </w:t>
            </w:r>
            <w:r w:rsidR="00EA06AE">
              <w:rPr>
                <w:rFonts w:ascii="Times New Roman" w:hAnsi="Times New Roman" w:cs="Times New Roman"/>
                <w:sz w:val="24"/>
                <w:szCs w:val="24"/>
                <w:shd w:val="clear" w:color="auto" w:fill="FFFFFF"/>
              </w:rPr>
              <w:t>minētai</w:t>
            </w:r>
            <w:r w:rsidRPr="00F64FE0">
              <w:rPr>
                <w:rFonts w:ascii="Times New Roman" w:hAnsi="Times New Roman" w:cs="Times New Roman"/>
                <w:sz w:val="24"/>
                <w:szCs w:val="24"/>
                <w:shd w:val="clear" w:color="auto" w:fill="FFFFFF"/>
              </w:rPr>
              <w:t xml:space="preserve"> sistēmai un </w:t>
            </w:r>
            <w:r w:rsidRPr="00F64FE0">
              <w:rPr>
                <w:rFonts w:ascii="Times New Roman" w:hAnsi="Times New Roman" w:cs="Times New Roman"/>
                <w:color w:val="000000"/>
                <w:sz w:val="24"/>
                <w:szCs w:val="24"/>
              </w:rPr>
              <w:t xml:space="preserve">ievadīt </w:t>
            </w:r>
            <w:r w:rsidRPr="00631DFA">
              <w:rPr>
                <w:rFonts w:ascii="Times New Roman" w:hAnsi="Times New Roman" w:cs="Times New Roman"/>
                <w:color w:val="000000"/>
                <w:sz w:val="24"/>
                <w:szCs w:val="24"/>
              </w:rPr>
              <w:t>datus</w:t>
            </w:r>
            <w:r w:rsidR="00327458" w:rsidRPr="00631DFA">
              <w:rPr>
                <w:rFonts w:ascii="Times New Roman" w:hAnsi="Times New Roman" w:cs="Times New Roman"/>
                <w:color w:val="000000"/>
                <w:sz w:val="24"/>
                <w:szCs w:val="24"/>
              </w:rPr>
              <w:t xml:space="preserve"> (indikatīvi 17 217 EUR)</w:t>
            </w:r>
            <w:r w:rsidR="00EA06AE" w:rsidRPr="00631DFA">
              <w:rPr>
                <w:rFonts w:ascii="Times New Roman" w:hAnsi="Times New Roman" w:cs="Times New Roman"/>
                <w:color w:val="000000"/>
                <w:sz w:val="24"/>
                <w:szCs w:val="24"/>
              </w:rPr>
              <w:t>.</w:t>
            </w:r>
          </w:p>
          <w:p w:rsidR="00376507" w:rsidRDefault="00376507" w:rsidP="00376507">
            <w:pPr>
              <w:tabs>
                <w:tab w:val="left" w:pos="6444"/>
              </w:tabs>
              <w:spacing w:after="0" w:line="240" w:lineRule="auto"/>
              <w:ind w:left="142" w:right="141"/>
              <w:jc w:val="both"/>
              <w:rPr>
                <w:rFonts w:ascii="Times New Roman" w:hAnsi="Times New Roman" w:cs="Times New Roman"/>
                <w:sz w:val="24"/>
                <w:szCs w:val="24"/>
                <w:shd w:val="clear" w:color="auto" w:fill="FFFFFF"/>
              </w:rPr>
            </w:pPr>
            <w:r w:rsidRPr="00185516">
              <w:rPr>
                <w:rFonts w:ascii="Times New Roman" w:hAnsi="Times New Roman" w:cs="Times New Roman"/>
                <w:sz w:val="24"/>
                <w:szCs w:val="24"/>
                <w:shd w:val="clear" w:color="auto" w:fill="FFFFFF"/>
              </w:rPr>
              <w:t xml:space="preserve">Finansējuma palielinājums </w:t>
            </w:r>
            <w:r w:rsidR="00185516" w:rsidRPr="00185516">
              <w:rPr>
                <w:rFonts w:ascii="Times New Roman" w:hAnsi="Times New Roman" w:cs="Times New Roman"/>
                <w:sz w:val="24"/>
                <w:szCs w:val="24"/>
                <w:shd w:val="clear" w:color="auto" w:fill="FFFFFF"/>
              </w:rPr>
              <w:t xml:space="preserve">1.4.1.1.1.apakšaktivitātes ietvaros </w:t>
            </w:r>
            <w:r w:rsidRPr="00185516">
              <w:rPr>
                <w:rFonts w:ascii="Times New Roman" w:hAnsi="Times New Roman" w:cs="Times New Roman"/>
                <w:sz w:val="24"/>
                <w:szCs w:val="24"/>
                <w:shd w:val="clear" w:color="auto" w:fill="FFFFFF"/>
              </w:rPr>
              <w:t xml:space="preserve">neietekmēs uzraudzības rādītāju sasniegšanu, jo papildu finansējums tiks izmantots pabalsta izmaksas nodrošināšanai personām ar I grupas redzes invaliditāti </w:t>
            </w:r>
            <w:proofErr w:type="gramStart"/>
            <w:r w:rsidRPr="00185516">
              <w:rPr>
                <w:rFonts w:ascii="Times New Roman" w:hAnsi="Times New Roman" w:cs="Times New Roman"/>
                <w:sz w:val="24"/>
                <w:szCs w:val="24"/>
                <w:shd w:val="clear" w:color="auto" w:fill="FFFFFF"/>
              </w:rPr>
              <w:t>2014.gadā</w:t>
            </w:r>
            <w:proofErr w:type="gramEnd"/>
            <w:r w:rsidRPr="00185516">
              <w:rPr>
                <w:rFonts w:ascii="Times New Roman" w:hAnsi="Times New Roman" w:cs="Times New Roman"/>
                <w:sz w:val="24"/>
                <w:szCs w:val="24"/>
                <w:shd w:val="clear" w:color="auto" w:fill="FFFFFF"/>
              </w:rPr>
              <w:t xml:space="preserve"> un šo pabalstu turpinās saņemt tās pašas personas, kas pabalstu saņem šobrīd, līdz ar to iznākuma rādītājs netiek palielināts. MK noteikumos Nr.170 noteikto rezultāta rādītāju personas ar I grupas</w:t>
            </w:r>
            <w:r w:rsidR="00635AA8">
              <w:rPr>
                <w:rFonts w:ascii="Times New Roman" w:hAnsi="Times New Roman" w:cs="Times New Roman"/>
                <w:sz w:val="24"/>
                <w:szCs w:val="24"/>
                <w:shd w:val="clear" w:color="auto" w:fill="FFFFFF"/>
              </w:rPr>
              <w:t xml:space="preserve"> redzes invaliditāti neietekmē.</w:t>
            </w:r>
          </w:p>
          <w:p w:rsidR="00D4671E" w:rsidRPr="0059661A" w:rsidRDefault="00A80586" w:rsidP="00376507">
            <w:pPr>
              <w:tabs>
                <w:tab w:val="left" w:pos="6444"/>
              </w:tabs>
              <w:spacing w:after="0" w:line="240" w:lineRule="auto"/>
              <w:ind w:left="142" w:right="141"/>
              <w:jc w:val="both"/>
              <w:rPr>
                <w:rFonts w:ascii="Times New Roman" w:hAnsi="Times New Roman" w:cs="Times New Roman"/>
                <w:sz w:val="24"/>
                <w:szCs w:val="24"/>
                <w:shd w:val="clear" w:color="auto" w:fill="FFFFFF"/>
              </w:rPr>
            </w:pPr>
            <w:r w:rsidRPr="00894981">
              <w:rPr>
                <w:rFonts w:ascii="Times New Roman" w:eastAsia="PMingLiU" w:hAnsi="Times New Roman" w:cs="Times New Roman"/>
                <w:sz w:val="24"/>
                <w:szCs w:val="24"/>
              </w:rPr>
              <w:t>1.4.1.2.4.apakšaktivit</w:t>
            </w:r>
            <w:r w:rsidR="00C71824" w:rsidRPr="00894981">
              <w:rPr>
                <w:rFonts w:ascii="Times New Roman" w:eastAsia="PMingLiU" w:hAnsi="Times New Roman" w:cs="Times New Roman"/>
                <w:sz w:val="24"/>
                <w:szCs w:val="24"/>
              </w:rPr>
              <w:t>ātes ietvaros</w:t>
            </w:r>
            <w:r w:rsidRPr="00894981">
              <w:rPr>
                <w:rFonts w:ascii="Times New Roman" w:hAnsi="Times New Roman" w:cs="Times New Roman"/>
                <w:sz w:val="24"/>
                <w:szCs w:val="24"/>
                <w:shd w:val="clear" w:color="auto" w:fill="FFFFFF"/>
              </w:rPr>
              <w:t xml:space="preserve"> finanšu līdzekļu ietaupījums</w:t>
            </w:r>
            <w:r w:rsidRPr="00A80586">
              <w:rPr>
                <w:rFonts w:ascii="Times New Roman" w:hAnsi="Times New Roman" w:cs="Times New Roman"/>
                <w:b/>
                <w:sz w:val="24"/>
                <w:szCs w:val="24"/>
                <w:shd w:val="clear" w:color="auto" w:fill="FFFFFF"/>
              </w:rPr>
              <w:t xml:space="preserve"> </w:t>
            </w:r>
            <w:r w:rsidR="00894981" w:rsidRPr="00E74134">
              <w:rPr>
                <w:rFonts w:ascii="Times New Roman" w:hAnsi="Times New Roman" w:cs="Times New Roman"/>
                <w:sz w:val="24"/>
                <w:szCs w:val="24"/>
                <w:shd w:val="clear" w:color="auto" w:fill="FFFFFF"/>
              </w:rPr>
              <w:t xml:space="preserve">1 141 067 </w:t>
            </w:r>
            <w:r w:rsidRPr="00E74134">
              <w:rPr>
                <w:rFonts w:ascii="Times New Roman" w:hAnsi="Times New Roman" w:cs="Times New Roman"/>
                <w:sz w:val="24"/>
                <w:szCs w:val="24"/>
                <w:shd w:val="clear" w:color="auto" w:fill="FFFFFF"/>
              </w:rPr>
              <w:t>EUR</w:t>
            </w:r>
            <w:r w:rsidRPr="00894981">
              <w:rPr>
                <w:rFonts w:ascii="Times New Roman" w:hAnsi="Times New Roman" w:cs="Times New Roman"/>
                <w:sz w:val="24"/>
                <w:szCs w:val="24"/>
                <w:shd w:val="clear" w:color="auto" w:fill="FFFFFF"/>
              </w:rPr>
              <w:t xml:space="preserve"> apmērā radies, noslēdzoties 1.4.1.2.4.apakšaktivitātes 2.kārtas projektiem (pārsvarā ietaupījumi iekšzemes transporta izdevumu pozīcijā sociālās rehabilitācijas, motivācijas un alternatīvās sociālās aprūpes programmu ieviešanas ietvaros), un atbilstoši MK </w:t>
            </w:r>
            <w:proofErr w:type="gramStart"/>
            <w:r w:rsidRPr="00894981">
              <w:rPr>
                <w:rFonts w:ascii="Times New Roman" w:hAnsi="Times New Roman" w:cs="Times New Roman"/>
                <w:sz w:val="24"/>
                <w:szCs w:val="24"/>
                <w:shd w:val="clear" w:color="auto" w:fill="FFFFFF"/>
              </w:rPr>
              <w:t>2012.gada</w:t>
            </w:r>
            <w:proofErr w:type="gramEnd"/>
            <w:r w:rsidRPr="00894981">
              <w:rPr>
                <w:rFonts w:ascii="Times New Roman" w:hAnsi="Times New Roman" w:cs="Times New Roman"/>
                <w:sz w:val="24"/>
                <w:szCs w:val="24"/>
                <w:shd w:val="clear" w:color="auto" w:fill="FFFFFF"/>
              </w:rPr>
              <w:t xml:space="preserve"> 8.maija lēmuma (Nr.25, 26.§) 7.punktā noteiktajam minētais </w:t>
            </w:r>
            <w:r w:rsidRPr="00894981">
              <w:rPr>
                <w:rFonts w:ascii="Times New Roman" w:hAnsi="Times New Roman" w:cs="Times New Roman"/>
                <w:sz w:val="24"/>
                <w:szCs w:val="24"/>
                <w:shd w:val="clear" w:color="auto" w:fill="FFFFFF"/>
              </w:rPr>
              <w:lastRenderedPageBreak/>
              <w:t>finanšu līdzekļu ietaupījums nav radies projektos konstatēto neatbilstību vai lauzto līgumu rezultātā.</w:t>
            </w:r>
          </w:p>
          <w:p w:rsidR="0081594B" w:rsidRDefault="0081594B" w:rsidP="00376507">
            <w:pPr>
              <w:tabs>
                <w:tab w:val="left" w:pos="6444"/>
              </w:tabs>
              <w:spacing w:after="0" w:line="240" w:lineRule="auto"/>
              <w:ind w:left="142" w:right="141"/>
              <w:jc w:val="both"/>
              <w:rPr>
                <w:rFonts w:ascii="Times New Roman" w:hAnsi="Times New Roman" w:cs="Times New Roman"/>
                <w:sz w:val="24"/>
                <w:szCs w:val="24"/>
                <w:shd w:val="clear" w:color="auto" w:fill="FFFFFF"/>
              </w:rPr>
            </w:pPr>
          </w:p>
          <w:p w:rsidR="00D81F53" w:rsidRPr="00B13C4E" w:rsidRDefault="00DC45C2" w:rsidP="00B13C4E">
            <w:pPr>
              <w:tabs>
                <w:tab w:val="left" w:pos="6444"/>
              </w:tabs>
              <w:spacing w:after="0" w:line="240" w:lineRule="auto"/>
              <w:ind w:left="142" w:right="141"/>
              <w:jc w:val="both"/>
              <w:rPr>
                <w:rFonts w:ascii="Times New Roman" w:hAnsi="Times New Roman" w:cs="Times New Roman"/>
                <w:b/>
                <w:sz w:val="24"/>
                <w:szCs w:val="24"/>
                <w:shd w:val="clear" w:color="auto" w:fill="FFFFFF"/>
              </w:rPr>
            </w:pPr>
            <w:r w:rsidRPr="00C36511">
              <w:rPr>
                <w:rFonts w:ascii="Times New Roman" w:hAnsi="Times New Roman" w:cs="Times New Roman"/>
                <w:sz w:val="24"/>
                <w:szCs w:val="24"/>
                <w:shd w:val="clear" w:color="auto" w:fill="FFFFFF"/>
              </w:rPr>
              <w:t>3. </w:t>
            </w:r>
            <w:r w:rsidR="00D3623D" w:rsidRPr="00C36511">
              <w:rPr>
                <w:rFonts w:ascii="Times New Roman" w:hAnsi="Times New Roman" w:cs="Times New Roman"/>
                <w:sz w:val="24"/>
                <w:szCs w:val="24"/>
                <w:shd w:val="clear" w:color="auto" w:fill="FFFFFF"/>
              </w:rPr>
              <w:t xml:space="preserve">Lai nodrošinātu zinātniskā pētījuma īstenošanu par jauniešu, kas nemācās, nestrādā un neiegūst arodu, profilu un aktivizācijas iespējām, piesaistot OECD ekspertīzi, ir </w:t>
            </w:r>
            <w:r w:rsidR="00F863F3" w:rsidRPr="00C36511">
              <w:rPr>
                <w:rFonts w:ascii="Times New Roman" w:hAnsi="Times New Roman" w:cs="Times New Roman"/>
                <w:sz w:val="24"/>
                <w:szCs w:val="24"/>
                <w:shd w:val="clear" w:color="auto" w:fill="FFFFFF"/>
              </w:rPr>
              <w:t>nepieciešams noteikt avansa maksājuma apmēru.</w:t>
            </w:r>
            <w:r w:rsidR="00B13C4E" w:rsidRPr="00C36511">
              <w:rPr>
                <w:rFonts w:ascii="Times New Roman" w:hAnsi="Times New Roman" w:cs="Times New Roman"/>
                <w:sz w:val="24"/>
                <w:szCs w:val="24"/>
                <w:shd w:val="clear" w:color="auto" w:fill="FFFFFF"/>
              </w:rPr>
              <w:t xml:space="preserve"> </w:t>
            </w:r>
            <w:r w:rsidR="00B13C4E" w:rsidRPr="00C36511">
              <w:rPr>
                <w:rFonts w:ascii="Times New Roman" w:hAnsi="Times New Roman" w:cs="Times New Roman"/>
                <w:color w:val="000000"/>
                <w:sz w:val="24"/>
                <w:szCs w:val="24"/>
              </w:rPr>
              <w:t xml:space="preserve">Ministru kabinets </w:t>
            </w:r>
            <w:proofErr w:type="gramStart"/>
            <w:r w:rsidR="00B13C4E" w:rsidRPr="00C36511">
              <w:rPr>
                <w:rFonts w:ascii="Times New Roman" w:hAnsi="Times New Roman" w:cs="Times New Roman"/>
                <w:color w:val="000000"/>
                <w:sz w:val="24"/>
                <w:szCs w:val="24"/>
              </w:rPr>
              <w:t>2013.gada</w:t>
            </w:r>
            <w:proofErr w:type="gramEnd"/>
            <w:r w:rsidR="00B13C4E" w:rsidRPr="00C36511">
              <w:rPr>
                <w:rFonts w:ascii="Times New Roman" w:hAnsi="Times New Roman" w:cs="Times New Roman"/>
                <w:color w:val="000000"/>
                <w:sz w:val="24"/>
                <w:szCs w:val="24"/>
              </w:rPr>
              <w:t xml:space="preserve"> 2.jūlija instrukcijā Nr.7 „Ārvalstu finanšu instrumentu finansētu civiltiesisku līgumu izstrādes un slēgšanas instrukcija tiešās pārvaldes iestādēs” (turpmāk – instrukcija) ir paredzēti galvenie nosacījumi, kas jāievēro, izstrādājot līgumus, kuru izpildi pilnībā vai daļēji finansē Eiropas Savienības struktūrfondi vai Kohēzijas fonds un līgumu slēdz tiešās pārvaldes iestāde. Instrukcija līguma cenas avansa maksājumus neparedz, izņemot gadījumu, kad avansa maksājums un tā apmērs ir noteikts normatīvajos aktos par attiecīgā ārvalstu finanšu instrumenta īstenošanu. Avansa maksājumu paredzēšana </w:t>
            </w:r>
            <w:r w:rsidR="002B40A8" w:rsidRPr="00C36511">
              <w:rPr>
                <w:rFonts w:ascii="Times New Roman" w:hAnsi="Times New Roman" w:cs="Times New Roman"/>
                <w:color w:val="000000"/>
                <w:sz w:val="24"/>
                <w:szCs w:val="24"/>
              </w:rPr>
              <w:t>līgum</w:t>
            </w:r>
            <w:r w:rsidR="008E0F72" w:rsidRPr="00C36511">
              <w:rPr>
                <w:rFonts w:ascii="Times New Roman" w:hAnsi="Times New Roman" w:cs="Times New Roman"/>
                <w:color w:val="000000"/>
                <w:sz w:val="24"/>
                <w:szCs w:val="24"/>
              </w:rPr>
              <w:t>os</w:t>
            </w:r>
            <w:r w:rsidR="00B13C4E" w:rsidRPr="00C36511">
              <w:rPr>
                <w:rFonts w:ascii="Times New Roman" w:hAnsi="Times New Roman" w:cs="Times New Roman"/>
                <w:color w:val="000000"/>
                <w:sz w:val="24"/>
                <w:szCs w:val="24"/>
              </w:rPr>
              <w:t xml:space="preserve"> ir būtiska, jo pakalpojuma sniedzējam var nebūt brīvu finanšu līdzekļu, lai nodrošinātu kvalitatīvu pakalpojuma sniegšanas procesu. </w:t>
            </w:r>
            <w:r w:rsidR="00301E4A" w:rsidRPr="00C36511">
              <w:rPr>
                <w:rFonts w:ascii="Times New Roman" w:hAnsi="Times New Roman" w:cs="Times New Roman"/>
                <w:color w:val="000000"/>
                <w:sz w:val="24"/>
                <w:szCs w:val="24"/>
              </w:rPr>
              <w:t>Avansa maksājumu apmēru</w:t>
            </w:r>
            <w:r w:rsidR="00B13C4E" w:rsidRPr="00C36511">
              <w:rPr>
                <w:rFonts w:ascii="Times New Roman" w:hAnsi="Times New Roman" w:cs="Times New Roman"/>
                <w:color w:val="000000"/>
                <w:sz w:val="24"/>
                <w:szCs w:val="24"/>
              </w:rPr>
              <w:t xml:space="preserve"> 1.4.1.1.1.apakšaktivitātes ietvaros atbilstoši līdzšinējai praksei ir nepieciešams </w:t>
            </w:r>
            <w:r w:rsidR="00B13C4E" w:rsidRPr="00F26726">
              <w:rPr>
                <w:rFonts w:ascii="Times New Roman" w:hAnsi="Times New Roman" w:cs="Times New Roman"/>
                <w:color w:val="000000"/>
                <w:sz w:val="24"/>
                <w:szCs w:val="24"/>
              </w:rPr>
              <w:t>noteikt</w:t>
            </w:r>
            <w:r w:rsidR="00B13C4E" w:rsidRPr="00301E4A">
              <w:rPr>
                <w:rFonts w:ascii="Times New Roman" w:hAnsi="Times New Roman" w:cs="Times New Roman"/>
                <w:b/>
                <w:color w:val="000000"/>
                <w:sz w:val="24"/>
                <w:szCs w:val="24"/>
              </w:rPr>
              <w:t xml:space="preserve"> </w:t>
            </w:r>
            <w:r w:rsidR="00B13C4E" w:rsidRPr="00F26726">
              <w:rPr>
                <w:rFonts w:ascii="Times New Roman" w:hAnsi="Times New Roman" w:cs="Times New Roman"/>
                <w:color w:val="000000"/>
                <w:sz w:val="24"/>
                <w:szCs w:val="24"/>
              </w:rPr>
              <w:t>50%</w:t>
            </w:r>
            <w:r w:rsidR="00B13C4E" w:rsidRPr="00301E4A">
              <w:rPr>
                <w:rFonts w:ascii="Times New Roman" w:hAnsi="Times New Roman" w:cs="Times New Roman"/>
                <w:b/>
                <w:color w:val="000000"/>
                <w:sz w:val="24"/>
                <w:szCs w:val="24"/>
              </w:rPr>
              <w:t xml:space="preserve"> </w:t>
            </w:r>
            <w:r w:rsidR="00B13C4E" w:rsidRPr="00F26726">
              <w:rPr>
                <w:rFonts w:ascii="Times New Roman" w:hAnsi="Times New Roman" w:cs="Times New Roman"/>
                <w:color w:val="000000"/>
                <w:sz w:val="24"/>
                <w:szCs w:val="24"/>
              </w:rPr>
              <w:t>apmērā, jo tieši ar šādu avansa apmēru par pakalpojumu sniegšanu tiek nodrošināta kvalitatīva pakalpojuma saņemšana un projekta aktivitāšu īstenošana. Avansa noteikšana 50% apmērā</w:t>
            </w:r>
            <w:r w:rsidR="00B13C4E" w:rsidRPr="003075D0">
              <w:rPr>
                <w:rFonts w:ascii="Times New Roman" w:hAnsi="Times New Roman" w:cs="Times New Roman"/>
                <w:color w:val="000000"/>
                <w:sz w:val="24"/>
                <w:szCs w:val="24"/>
              </w:rPr>
              <w:t xml:space="preserve"> pozitīvi ietekmēs arī noslēgtā līguma mērķa sasniegšanu paredzētajā apjomā un kvalitātē. Ņemot vērā, ka projekta ietvaros slēgtajos līgumos tiek atrunāti līguma izpildes nosacījumi</w:t>
            </w:r>
            <w:r w:rsidR="00275687" w:rsidRPr="003075D0">
              <w:rPr>
                <w:rFonts w:ascii="Times New Roman" w:hAnsi="Times New Roman" w:cs="Times New Roman"/>
                <w:color w:val="000000"/>
                <w:sz w:val="24"/>
                <w:szCs w:val="24"/>
              </w:rPr>
              <w:t>,</w:t>
            </w:r>
            <w:r w:rsidR="00B13C4E" w:rsidRPr="003075D0">
              <w:rPr>
                <w:rFonts w:ascii="Times New Roman" w:hAnsi="Times New Roman" w:cs="Times New Roman"/>
                <w:color w:val="000000"/>
                <w:sz w:val="24"/>
                <w:szCs w:val="24"/>
              </w:rPr>
              <w:t xml:space="preserve"> un pārsvarā gadījumu pilna līguma summas apmaksa ir iespējama tikai pēc līgumsaistību izpildes pilnā apjomā, kā arī to, ka līguma neizpildes gadījumā pakalpojuma sniedzējam ir jāatgriež avansa veidā samaksātie finanšu līdzekļi, nepastāv risks neatgūt izmaksātos līdzekļus gadījumos, ja līguma mērķis netiek sasniegts pilnā apmērā.</w:t>
            </w:r>
          </w:p>
          <w:p w:rsidR="00D81F53" w:rsidRDefault="00D81F53" w:rsidP="00376507">
            <w:pPr>
              <w:tabs>
                <w:tab w:val="left" w:pos="6444"/>
              </w:tabs>
              <w:spacing w:after="0" w:line="240" w:lineRule="auto"/>
              <w:ind w:left="142" w:right="141"/>
              <w:jc w:val="both"/>
              <w:rPr>
                <w:rFonts w:ascii="Times New Roman" w:hAnsi="Times New Roman" w:cs="Times New Roman"/>
                <w:sz w:val="24"/>
                <w:szCs w:val="24"/>
                <w:shd w:val="clear" w:color="auto" w:fill="FFFFFF"/>
              </w:rPr>
            </w:pPr>
          </w:p>
          <w:p w:rsidR="004514B3" w:rsidRPr="004245F7" w:rsidRDefault="004514B3" w:rsidP="00376507">
            <w:pPr>
              <w:tabs>
                <w:tab w:val="left" w:pos="6444"/>
              </w:tabs>
              <w:spacing w:after="0" w:line="240" w:lineRule="auto"/>
              <w:ind w:left="142" w:right="141"/>
              <w:jc w:val="both"/>
              <w:rPr>
                <w:rFonts w:ascii="Times New Roman" w:hAnsi="Times New Roman" w:cs="Times New Roman"/>
                <w:sz w:val="24"/>
                <w:szCs w:val="24"/>
                <w:shd w:val="clear" w:color="auto" w:fill="FFFFFF"/>
              </w:rPr>
            </w:pPr>
            <w:r w:rsidRPr="004245F7">
              <w:rPr>
                <w:rFonts w:ascii="Times New Roman" w:hAnsi="Times New Roman" w:cs="Times New Roman"/>
                <w:sz w:val="24"/>
                <w:szCs w:val="24"/>
                <w:shd w:val="clear" w:color="auto" w:fill="FFFFFF"/>
              </w:rPr>
              <w:t>4. Nepieciešams tehniski precizēt MK noteikumu Nr.170 51.1.4. un 51.2.4.</w:t>
            </w:r>
            <w:r w:rsidR="00925F97" w:rsidRPr="004245F7">
              <w:rPr>
                <w:rFonts w:ascii="Times New Roman" w:hAnsi="Times New Roman" w:cs="Times New Roman"/>
                <w:sz w:val="24"/>
                <w:szCs w:val="24"/>
                <w:shd w:val="clear" w:color="auto" w:fill="FFFFFF"/>
              </w:rPr>
              <w:t xml:space="preserve">apakšpunkta redakciju, vārdu „izmaksas” aizstājot ar vārdu „dotācija”, </w:t>
            </w:r>
            <w:proofErr w:type="gramStart"/>
            <w:r w:rsidR="00925F97" w:rsidRPr="004245F7">
              <w:rPr>
                <w:rFonts w:ascii="Times New Roman" w:hAnsi="Times New Roman" w:cs="Times New Roman"/>
                <w:sz w:val="24"/>
                <w:szCs w:val="24"/>
                <w:shd w:val="clear" w:color="auto" w:fill="FFFFFF"/>
              </w:rPr>
              <w:t>jo 1.4.1.1.1.apakšaktivitātes ietvaros asistenta pakalpojumu mērķa grupas bezdarbniekiem nodrošina darba devējs un ar to saistītās izmaksas</w:t>
            </w:r>
            <w:proofErr w:type="gramEnd"/>
            <w:r w:rsidR="00925F97" w:rsidRPr="004245F7">
              <w:rPr>
                <w:rFonts w:ascii="Times New Roman" w:hAnsi="Times New Roman" w:cs="Times New Roman"/>
                <w:sz w:val="24"/>
                <w:szCs w:val="24"/>
                <w:shd w:val="clear" w:color="auto" w:fill="FFFFFF"/>
              </w:rPr>
              <w:t xml:space="preserve"> tiek dotētas.</w:t>
            </w:r>
          </w:p>
          <w:p w:rsidR="004514B3" w:rsidRDefault="004514B3" w:rsidP="00925F97">
            <w:pPr>
              <w:tabs>
                <w:tab w:val="left" w:pos="6444"/>
              </w:tabs>
              <w:spacing w:after="0" w:line="240" w:lineRule="auto"/>
              <w:ind w:right="141"/>
              <w:jc w:val="both"/>
              <w:rPr>
                <w:rFonts w:ascii="Times New Roman" w:hAnsi="Times New Roman" w:cs="Times New Roman"/>
                <w:sz w:val="24"/>
                <w:szCs w:val="24"/>
                <w:shd w:val="clear" w:color="auto" w:fill="FFFFFF"/>
              </w:rPr>
            </w:pPr>
          </w:p>
          <w:p w:rsidR="00020CC8" w:rsidRPr="00376507" w:rsidRDefault="00020CC8" w:rsidP="00925F97">
            <w:pPr>
              <w:tabs>
                <w:tab w:val="left" w:pos="6444"/>
              </w:tabs>
              <w:spacing w:after="0" w:line="240" w:lineRule="auto"/>
              <w:ind w:right="141"/>
              <w:jc w:val="both"/>
              <w:rPr>
                <w:rFonts w:ascii="Times New Roman" w:hAnsi="Times New Roman" w:cs="Times New Roman"/>
                <w:sz w:val="24"/>
                <w:szCs w:val="24"/>
                <w:shd w:val="clear" w:color="auto" w:fill="FFFFFF"/>
              </w:rPr>
            </w:pPr>
          </w:p>
          <w:p w:rsidR="002C3BF3" w:rsidRDefault="00376507" w:rsidP="002C3BF3">
            <w:pPr>
              <w:tabs>
                <w:tab w:val="left" w:pos="6444"/>
              </w:tabs>
              <w:spacing w:after="0" w:line="240" w:lineRule="auto"/>
              <w:ind w:left="142" w:right="141"/>
              <w:jc w:val="both"/>
              <w:rPr>
                <w:rFonts w:ascii="Times New Roman" w:hAnsi="Times New Roman" w:cs="Times New Roman"/>
                <w:sz w:val="24"/>
                <w:szCs w:val="24"/>
                <w:shd w:val="clear" w:color="auto" w:fill="FFFFFF"/>
              </w:rPr>
            </w:pPr>
            <w:r w:rsidRPr="00376507">
              <w:rPr>
                <w:rFonts w:ascii="Times New Roman" w:hAnsi="Times New Roman" w:cs="Times New Roman"/>
                <w:sz w:val="24"/>
                <w:szCs w:val="24"/>
                <w:shd w:val="clear" w:color="auto" w:fill="FFFFFF"/>
              </w:rPr>
              <w:t xml:space="preserve">Lai nodrošinātu MK noteikumu Nr.170 atbilstību DPP </w:t>
            </w:r>
            <w:r w:rsidR="00FB472B">
              <w:rPr>
                <w:rFonts w:ascii="Times New Roman" w:hAnsi="Times New Roman" w:cs="Times New Roman"/>
                <w:sz w:val="24"/>
                <w:szCs w:val="24"/>
                <w:shd w:val="clear" w:color="auto" w:fill="FFFFFF"/>
              </w:rPr>
              <w:t>un</w:t>
            </w:r>
            <w:r w:rsidR="00FB472B" w:rsidRPr="004A42DE">
              <w:rPr>
                <w:rFonts w:ascii="Times New Roman" w:hAnsi="Times New Roman" w:cs="Times New Roman"/>
                <w:sz w:val="24"/>
                <w:szCs w:val="24"/>
              </w:rPr>
              <w:t xml:space="preserve"> Ministru kabineta 17.12.2013. sēdes protokola Nr.67 92.§ </w:t>
            </w:r>
            <w:r w:rsidR="003A61AD">
              <w:rPr>
                <w:rFonts w:ascii="Times New Roman" w:hAnsi="Times New Roman" w:cs="Times New Roman"/>
                <w:sz w:val="24"/>
                <w:szCs w:val="24"/>
              </w:rPr>
              <w:t xml:space="preserve">2., 5. </w:t>
            </w:r>
            <w:r w:rsidR="00FB472B">
              <w:rPr>
                <w:rFonts w:ascii="Times New Roman" w:hAnsi="Times New Roman" w:cs="Times New Roman"/>
                <w:sz w:val="24"/>
                <w:szCs w:val="24"/>
              </w:rPr>
              <w:t xml:space="preserve">un </w:t>
            </w:r>
            <w:r w:rsidR="003A61AD">
              <w:rPr>
                <w:rFonts w:ascii="Times New Roman" w:hAnsi="Times New Roman" w:cs="Times New Roman"/>
                <w:sz w:val="24"/>
                <w:szCs w:val="24"/>
              </w:rPr>
              <w:t>6</w:t>
            </w:r>
            <w:r w:rsidR="00FB472B" w:rsidRPr="004A42DE">
              <w:rPr>
                <w:rFonts w:ascii="Times New Roman" w:hAnsi="Times New Roman" w:cs="Times New Roman"/>
                <w:sz w:val="24"/>
                <w:szCs w:val="24"/>
              </w:rPr>
              <w:t>.punkt</w:t>
            </w:r>
            <w:r w:rsidR="003A61AD">
              <w:rPr>
                <w:rFonts w:ascii="Times New Roman" w:hAnsi="Times New Roman" w:cs="Times New Roman"/>
                <w:sz w:val="24"/>
                <w:szCs w:val="24"/>
              </w:rPr>
              <w:t xml:space="preserve">a </w:t>
            </w:r>
            <w:r w:rsidR="00887DEA">
              <w:rPr>
                <w:rFonts w:ascii="Times New Roman" w:hAnsi="Times New Roman" w:cs="Times New Roman"/>
                <w:sz w:val="24"/>
                <w:szCs w:val="24"/>
                <w:shd w:val="clear" w:color="auto" w:fill="FFFFFF"/>
              </w:rPr>
              <w:t>īstenošanu</w:t>
            </w:r>
            <w:r w:rsidRPr="00376507">
              <w:rPr>
                <w:rFonts w:ascii="Times New Roman" w:hAnsi="Times New Roman" w:cs="Times New Roman"/>
                <w:sz w:val="24"/>
                <w:szCs w:val="24"/>
                <w:shd w:val="clear" w:color="auto" w:fill="FFFFFF"/>
              </w:rPr>
              <w:t>, nepieciešams veikt atbilstošus grozījumus MK notiekumos Nr.170</w:t>
            </w:r>
            <w:r w:rsidR="00FB472B">
              <w:rPr>
                <w:rFonts w:ascii="Times New Roman" w:hAnsi="Times New Roman" w:cs="Times New Roman"/>
                <w:sz w:val="24"/>
                <w:szCs w:val="24"/>
                <w:shd w:val="clear" w:color="auto" w:fill="FFFFFF"/>
              </w:rPr>
              <w:t>:</w:t>
            </w:r>
          </w:p>
          <w:p w:rsidR="00D77DAE" w:rsidRPr="004C58AE" w:rsidRDefault="00FB472B" w:rsidP="004C58AE">
            <w:pPr>
              <w:pStyle w:val="ListParagraph"/>
              <w:numPr>
                <w:ilvl w:val="0"/>
                <w:numId w:val="16"/>
              </w:numPr>
              <w:tabs>
                <w:tab w:val="left" w:pos="6444"/>
              </w:tabs>
              <w:spacing w:after="0" w:line="240" w:lineRule="auto"/>
              <w:ind w:left="566" w:right="14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papildinot atbalstāmās darbības ar</w:t>
            </w:r>
            <w:r w:rsidRPr="00DA2D55">
              <w:rPr>
                <w:rFonts w:ascii="Times New Roman" w:hAnsi="Times New Roman" w:cs="Times New Roman"/>
                <w:sz w:val="24"/>
                <w:szCs w:val="24"/>
                <w:shd w:val="clear" w:color="auto" w:fill="FFFFFF"/>
              </w:rPr>
              <w:t xml:space="preserve"> </w:t>
            </w:r>
            <w:r w:rsidR="00435F49">
              <w:rPr>
                <w:rFonts w:ascii="Times New Roman" w:hAnsi="Times New Roman" w:cs="Times New Roman"/>
                <w:sz w:val="24"/>
                <w:szCs w:val="24"/>
                <w:shd w:val="clear" w:color="auto" w:fill="FFFFFF"/>
              </w:rPr>
              <w:t xml:space="preserve">zinātnisku </w:t>
            </w:r>
            <w:r>
              <w:rPr>
                <w:rFonts w:ascii="Times New Roman" w:hAnsi="Times New Roman" w:cs="Times New Roman"/>
                <w:sz w:val="24"/>
                <w:szCs w:val="24"/>
                <w:shd w:val="clear" w:color="auto" w:fill="FFFFFF"/>
              </w:rPr>
              <w:t xml:space="preserve">pētījumu par </w:t>
            </w:r>
            <w:r w:rsidRPr="00DA2D55">
              <w:rPr>
                <w:rFonts w:ascii="Times New Roman" w:hAnsi="Times New Roman" w:cs="Times New Roman"/>
                <w:sz w:val="24"/>
                <w:szCs w:val="24"/>
                <w:shd w:val="clear" w:color="auto" w:fill="FFFFFF"/>
              </w:rPr>
              <w:t>jauniešu, k</w:t>
            </w:r>
            <w:r w:rsidR="004439F4">
              <w:rPr>
                <w:rFonts w:ascii="Times New Roman" w:hAnsi="Times New Roman" w:cs="Times New Roman"/>
                <w:sz w:val="24"/>
                <w:szCs w:val="24"/>
                <w:shd w:val="clear" w:color="auto" w:fill="FFFFFF"/>
              </w:rPr>
              <w:t>as</w:t>
            </w:r>
            <w:r w:rsidRPr="00DA2D55">
              <w:rPr>
                <w:rFonts w:ascii="Times New Roman" w:hAnsi="Times New Roman" w:cs="Times New Roman"/>
                <w:sz w:val="24"/>
                <w:szCs w:val="24"/>
                <w:shd w:val="clear" w:color="auto" w:fill="FFFFFF"/>
              </w:rPr>
              <w:t xml:space="preserve"> nemācās, nestrādā un ne</w:t>
            </w:r>
            <w:r w:rsidR="00A83E54">
              <w:rPr>
                <w:rFonts w:ascii="Times New Roman" w:hAnsi="Times New Roman" w:cs="Times New Roman"/>
                <w:sz w:val="24"/>
                <w:szCs w:val="24"/>
                <w:shd w:val="clear" w:color="auto" w:fill="FFFFFF"/>
              </w:rPr>
              <w:t>ap</w:t>
            </w:r>
            <w:r w:rsidRPr="00DA2D55">
              <w:rPr>
                <w:rFonts w:ascii="Times New Roman" w:hAnsi="Times New Roman" w:cs="Times New Roman"/>
                <w:sz w:val="24"/>
                <w:szCs w:val="24"/>
                <w:shd w:val="clear" w:color="auto" w:fill="FFFFFF"/>
              </w:rPr>
              <w:t>gūst arodu, profil</w:t>
            </w:r>
            <w:r>
              <w:rPr>
                <w:rFonts w:ascii="Times New Roman" w:hAnsi="Times New Roman" w:cs="Times New Roman"/>
                <w:sz w:val="24"/>
                <w:szCs w:val="24"/>
                <w:shd w:val="clear" w:color="auto" w:fill="FFFFFF"/>
              </w:rPr>
              <w:t>u un aktivizācijas iespējām,</w:t>
            </w:r>
            <w:r w:rsidRPr="00DA2D55">
              <w:rPr>
                <w:rFonts w:ascii="Times New Roman" w:hAnsi="Times New Roman" w:cs="Times New Roman"/>
                <w:sz w:val="24"/>
                <w:szCs w:val="24"/>
                <w:shd w:val="clear" w:color="auto" w:fill="FFFFFF"/>
              </w:rPr>
              <w:t xml:space="preserve"> kā arī nosakot </w:t>
            </w:r>
            <w:r w:rsidR="00215066">
              <w:rPr>
                <w:rFonts w:ascii="Times New Roman" w:hAnsi="Times New Roman" w:cs="Times New Roman"/>
                <w:sz w:val="24"/>
                <w:szCs w:val="24"/>
                <w:shd w:val="clear" w:color="auto" w:fill="FFFFFF"/>
              </w:rPr>
              <w:t xml:space="preserve">pētījuma </w:t>
            </w:r>
            <w:r w:rsidR="00887DEA">
              <w:rPr>
                <w:rFonts w:ascii="Times New Roman" w:hAnsi="Times New Roman" w:cs="Times New Roman"/>
                <w:sz w:val="24"/>
                <w:szCs w:val="24"/>
                <w:shd w:val="clear" w:color="auto" w:fill="FFFFFF"/>
              </w:rPr>
              <w:t>izmaksu</w:t>
            </w:r>
            <w:r w:rsidRPr="00DA2D55">
              <w:rPr>
                <w:rFonts w:ascii="Times New Roman" w:hAnsi="Times New Roman" w:cs="Times New Roman"/>
                <w:sz w:val="24"/>
                <w:szCs w:val="24"/>
                <w:shd w:val="clear" w:color="auto" w:fill="FFFFFF"/>
              </w:rPr>
              <w:t xml:space="preserve"> nosacījumus</w:t>
            </w:r>
            <w:r>
              <w:rPr>
                <w:rFonts w:ascii="Times New Roman" w:hAnsi="Times New Roman" w:cs="Times New Roman"/>
                <w:sz w:val="24"/>
                <w:szCs w:val="24"/>
                <w:shd w:val="clear" w:color="auto" w:fill="FFFFFF"/>
              </w:rPr>
              <w:t>;</w:t>
            </w:r>
          </w:p>
          <w:p w:rsidR="00832983" w:rsidRDefault="000C02CB" w:rsidP="00832983">
            <w:pPr>
              <w:pStyle w:val="ListParagraph"/>
              <w:numPr>
                <w:ilvl w:val="0"/>
                <w:numId w:val="16"/>
              </w:numPr>
              <w:tabs>
                <w:tab w:val="left" w:pos="6444"/>
              </w:tabs>
              <w:spacing w:after="0" w:line="240" w:lineRule="auto"/>
              <w:ind w:left="566" w:right="14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papildinot </w:t>
            </w:r>
            <w:proofErr w:type="spellStart"/>
            <w:r>
              <w:rPr>
                <w:rFonts w:ascii="Times New Roman" w:hAnsi="Times New Roman" w:cs="Times New Roman"/>
                <w:sz w:val="24"/>
                <w:szCs w:val="24"/>
                <w:shd w:val="clear" w:color="auto" w:fill="FFFFFF"/>
              </w:rPr>
              <w:t>šķērsfinansējuma</w:t>
            </w:r>
            <w:proofErr w:type="spellEnd"/>
            <w:r>
              <w:rPr>
                <w:rFonts w:ascii="Times New Roman" w:hAnsi="Times New Roman" w:cs="Times New Roman"/>
                <w:sz w:val="24"/>
                <w:szCs w:val="24"/>
                <w:shd w:val="clear" w:color="auto" w:fill="FFFFFF"/>
              </w:rPr>
              <w:t xml:space="preserve"> izmaksu pozīciju ar </w:t>
            </w:r>
            <w:r w:rsidR="00832983">
              <w:rPr>
                <w:rFonts w:ascii="Times New Roman" w:hAnsi="Times New Roman" w:cs="Times New Roman"/>
                <w:sz w:val="24"/>
                <w:szCs w:val="24"/>
                <w:shd w:val="clear" w:color="auto" w:fill="FFFFFF"/>
              </w:rPr>
              <w:t xml:space="preserve">izmaksām </w:t>
            </w:r>
            <w:r w:rsidR="00832983" w:rsidRPr="00DA2D55">
              <w:rPr>
                <w:rFonts w:ascii="Times New Roman" w:hAnsi="Times New Roman" w:cs="Times New Roman"/>
                <w:sz w:val="24"/>
                <w:szCs w:val="24"/>
                <w:shd w:val="clear" w:color="auto" w:fill="FFFFFF"/>
              </w:rPr>
              <w:t xml:space="preserve">bezdarbnieku uzskaites un reģistrēto vakanču informācijas </w:t>
            </w:r>
            <w:r w:rsidR="00832983" w:rsidRPr="00DA2D55">
              <w:rPr>
                <w:rFonts w:ascii="Times New Roman" w:hAnsi="Times New Roman" w:cs="Times New Roman"/>
                <w:sz w:val="24"/>
                <w:szCs w:val="24"/>
                <w:shd w:val="clear" w:color="auto" w:fill="FFFFFF"/>
              </w:rPr>
              <w:lastRenderedPageBreak/>
              <w:t>sistēmas pielāgošanai</w:t>
            </w:r>
            <w:r w:rsidR="004439F4">
              <w:rPr>
                <w:rFonts w:ascii="Times New Roman" w:hAnsi="Times New Roman" w:cs="Times New Roman"/>
                <w:sz w:val="24"/>
                <w:szCs w:val="24"/>
                <w:shd w:val="clear" w:color="auto" w:fill="FFFFFF"/>
              </w:rPr>
              <w:t>, lai nodrošinātu</w:t>
            </w:r>
            <w:r w:rsidR="00832983" w:rsidRPr="00DA2D55">
              <w:rPr>
                <w:rFonts w:ascii="Times New Roman" w:hAnsi="Times New Roman" w:cs="Times New Roman"/>
                <w:sz w:val="24"/>
                <w:szCs w:val="24"/>
                <w:shd w:val="clear" w:color="auto" w:fill="FFFFFF"/>
              </w:rPr>
              <w:t xml:space="preserve"> </w:t>
            </w:r>
            <w:r w:rsidR="00E63846">
              <w:rPr>
                <w:rFonts w:ascii="Times New Roman" w:hAnsi="Times New Roman" w:cs="Times New Roman"/>
                <w:sz w:val="24"/>
                <w:szCs w:val="24"/>
                <w:shd w:val="clear" w:color="auto" w:fill="FFFFFF"/>
              </w:rPr>
              <w:t xml:space="preserve">attālinātas pieslēgšanās, datu ievades un </w:t>
            </w:r>
            <w:r w:rsidR="00B17A76">
              <w:rPr>
                <w:rFonts w:ascii="Times New Roman" w:hAnsi="Times New Roman" w:cs="Times New Roman"/>
                <w:sz w:val="24"/>
                <w:szCs w:val="24"/>
                <w:shd w:val="clear" w:color="auto" w:fill="FFFFFF"/>
              </w:rPr>
              <w:t xml:space="preserve">datu </w:t>
            </w:r>
            <w:r w:rsidR="00E63846">
              <w:rPr>
                <w:rFonts w:ascii="Times New Roman" w:hAnsi="Times New Roman" w:cs="Times New Roman"/>
                <w:sz w:val="24"/>
                <w:szCs w:val="24"/>
                <w:shd w:val="clear" w:color="auto" w:fill="FFFFFF"/>
              </w:rPr>
              <w:t>uzskaites iespējas</w:t>
            </w:r>
            <w:r w:rsidR="00832983">
              <w:rPr>
                <w:rFonts w:ascii="Times New Roman" w:hAnsi="Times New Roman" w:cs="Times New Roman"/>
                <w:sz w:val="24"/>
                <w:szCs w:val="24"/>
                <w:shd w:val="clear" w:color="auto" w:fill="FFFFFF"/>
              </w:rPr>
              <w:t>;</w:t>
            </w:r>
          </w:p>
          <w:p w:rsidR="00CC1A56" w:rsidRDefault="00376507" w:rsidP="00832983">
            <w:pPr>
              <w:pStyle w:val="ListParagraph"/>
              <w:numPr>
                <w:ilvl w:val="0"/>
                <w:numId w:val="16"/>
              </w:numPr>
              <w:tabs>
                <w:tab w:val="left" w:pos="6444"/>
              </w:tabs>
              <w:spacing w:after="0" w:line="240" w:lineRule="auto"/>
              <w:ind w:left="566" w:right="141"/>
              <w:jc w:val="both"/>
              <w:rPr>
                <w:rFonts w:ascii="Times New Roman" w:hAnsi="Times New Roman" w:cs="Times New Roman"/>
                <w:sz w:val="24"/>
                <w:szCs w:val="24"/>
                <w:shd w:val="clear" w:color="auto" w:fill="FFFFFF"/>
              </w:rPr>
            </w:pPr>
            <w:r w:rsidRPr="00832983">
              <w:rPr>
                <w:rFonts w:ascii="Times New Roman" w:hAnsi="Times New Roman" w:cs="Times New Roman"/>
                <w:sz w:val="24"/>
                <w:szCs w:val="24"/>
                <w:shd w:val="clear" w:color="auto" w:fill="FFFFFF"/>
              </w:rPr>
              <w:t>palielinot 1.4.1.1.1.aktivitātei pieejamo kopējo attiecināmo finansējumu</w:t>
            </w:r>
            <w:r w:rsidR="00FB472B" w:rsidRPr="00832983">
              <w:rPr>
                <w:rFonts w:ascii="Times New Roman" w:hAnsi="Times New Roman" w:cs="Times New Roman"/>
                <w:sz w:val="24"/>
                <w:szCs w:val="24"/>
                <w:shd w:val="clear" w:color="auto" w:fill="FFFFFF"/>
              </w:rPr>
              <w:t>,</w:t>
            </w:r>
            <w:r w:rsidRPr="00832983">
              <w:rPr>
                <w:rFonts w:ascii="Times New Roman" w:hAnsi="Times New Roman" w:cs="Times New Roman"/>
                <w:sz w:val="24"/>
                <w:szCs w:val="24"/>
                <w:shd w:val="clear" w:color="auto" w:fill="FFFFFF"/>
              </w:rPr>
              <w:t xml:space="preserve"> ESF </w:t>
            </w:r>
            <w:r w:rsidR="00FB472B" w:rsidRPr="00832983">
              <w:rPr>
                <w:rFonts w:ascii="Times New Roman" w:hAnsi="Times New Roman" w:cs="Times New Roman"/>
                <w:sz w:val="24"/>
                <w:szCs w:val="24"/>
                <w:shd w:val="clear" w:color="auto" w:fill="FFFFFF"/>
              </w:rPr>
              <w:t>un valsts bud</w:t>
            </w:r>
            <w:r w:rsidR="00832983">
              <w:rPr>
                <w:rFonts w:ascii="Times New Roman" w:hAnsi="Times New Roman" w:cs="Times New Roman"/>
                <w:sz w:val="24"/>
                <w:szCs w:val="24"/>
                <w:shd w:val="clear" w:color="auto" w:fill="FFFFFF"/>
              </w:rPr>
              <w:t>žeta</w:t>
            </w:r>
            <w:r w:rsidR="00FB472B" w:rsidRPr="00832983">
              <w:rPr>
                <w:rFonts w:ascii="Times New Roman" w:hAnsi="Times New Roman" w:cs="Times New Roman"/>
                <w:sz w:val="24"/>
                <w:szCs w:val="24"/>
                <w:shd w:val="clear" w:color="auto" w:fill="FFFFFF"/>
              </w:rPr>
              <w:t xml:space="preserve"> finansējumu</w:t>
            </w:r>
            <w:r w:rsidR="00DB0753">
              <w:rPr>
                <w:rFonts w:ascii="Times New Roman" w:hAnsi="Times New Roman" w:cs="Times New Roman"/>
                <w:sz w:val="24"/>
                <w:szCs w:val="24"/>
                <w:shd w:val="clear" w:color="auto" w:fill="FFFFFF"/>
              </w:rPr>
              <w:t xml:space="preserve">, kā arī atbilstoši </w:t>
            </w:r>
            <w:r w:rsidRPr="00832983">
              <w:rPr>
                <w:rFonts w:ascii="Times New Roman" w:hAnsi="Times New Roman" w:cs="Times New Roman"/>
                <w:sz w:val="24"/>
                <w:szCs w:val="24"/>
                <w:shd w:val="clear" w:color="auto" w:fill="FFFFFF"/>
              </w:rPr>
              <w:t>p</w:t>
            </w:r>
            <w:r w:rsidR="00FB472B" w:rsidRPr="00832983">
              <w:rPr>
                <w:rFonts w:ascii="Times New Roman" w:hAnsi="Times New Roman" w:cs="Times New Roman"/>
                <w:sz w:val="24"/>
                <w:szCs w:val="24"/>
                <w:shd w:val="clear" w:color="auto" w:fill="FFFFFF"/>
              </w:rPr>
              <w:t>recizējot atbalsta intensitāti (t</w:t>
            </w:r>
            <w:r w:rsidRPr="00832983">
              <w:rPr>
                <w:rFonts w:ascii="Times New Roman" w:hAnsi="Times New Roman" w:cs="Times New Roman"/>
                <w:sz w:val="24"/>
                <w:szCs w:val="24"/>
                <w:shd w:val="clear" w:color="auto" w:fill="FFFFFF"/>
              </w:rPr>
              <w:t xml:space="preserve">ā kā tiek palielināta </w:t>
            </w:r>
            <w:proofErr w:type="spellStart"/>
            <w:r w:rsidRPr="00832983">
              <w:rPr>
                <w:rFonts w:ascii="Times New Roman" w:hAnsi="Times New Roman" w:cs="Times New Roman"/>
                <w:sz w:val="24"/>
                <w:szCs w:val="24"/>
                <w:shd w:val="clear" w:color="auto" w:fill="FFFFFF"/>
              </w:rPr>
              <w:t>pamatpiešķīruma</w:t>
            </w:r>
            <w:proofErr w:type="spellEnd"/>
            <w:r w:rsidRPr="00832983">
              <w:rPr>
                <w:rFonts w:ascii="Times New Roman" w:hAnsi="Times New Roman" w:cs="Times New Roman"/>
                <w:sz w:val="24"/>
                <w:szCs w:val="24"/>
                <w:shd w:val="clear" w:color="auto" w:fill="FFFFFF"/>
              </w:rPr>
              <w:t xml:space="preserve"> atbalsta intensitāte, nepieciešams precizēt arī </w:t>
            </w:r>
            <w:proofErr w:type="spellStart"/>
            <w:r w:rsidRPr="00832983">
              <w:rPr>
                <w:rFonts w:ascii="Times New Roman" w:hAnsi="Times New Roman" w:cs="Times New Roman"/>
                <w:sz w:val="24"/>
                <w:szCs w:val="24"/>
                <w:shd w:val="clear" w:color="auto" w:fill="FFFFFF"/>
              </w:rPr>
              <w:t>virssaistību</w:t>
            </w:r>
            <w:proofErr w:type="spellEnd"/>
            <w:r w:rsidRPr="00832983">
              <w:rPr>
                <w:rFonts w:ascii="Times New Roman" w:hAnsi="Times New Roman" w:cs="Times New Roman"/>
                <w:sz w:val="24"/>
                <w:szCs w:val="24"/>
                <w:shd w:val="clear" w:color="auto" w:fill="FFFFFF"/>
              </w:rPr>
              <w:t xml:space="preserve"> finansējuma ESF un valsts budžeta finansējuma apmēra proporciju</w:t>
            </w:r>
            <w:r w:rsidR="00FB472B" w:rsidRPr="00832983">
              <w:rPr>
                <w:rFonts w:ascii="Times New Roman" w:hAnsi="Times New Roman" w:cs="Times New Roman"/>
                <w:sz w:val="24"/>
                <w:szCs w:val="24"/>
                <w:shd w:val="clear" w:color="auto" w:fill="FFFFFF"/>
              </w:rPr>
              <w:t>)</w:t>
            </w:r>
            <w:r w:rsidR="00DD5DEA">
              <w:rPr>
                <w:rFonts w:ascii="Times New Roman" w:hAnsi="Times New Roman" w:cs="Times New Roman"/>
                <w:sz w:val="24"/>
                <w:szCs w:val="24"/>
                <w:shd w:val="clear" w:color="auto" w:fill="FFFFFF"/>
              </w:rPr>
              <w:t>;</w:t>
            </w:r>
          </w:p>
          <w:p w:rsidR="00DD5DEA" w:rsidRDefault="00DD5DEA" w:rsidP="00832983">
            <w:pPr>
              <w:pStyle w:val="ListParagraph"/>
              <w:numPr>
                <w:ilvl w:val="0"/>
                <w:numId w:val="16"/>
              </w:numPr>
              <w:tabs>
                <w:tab w:val="left" w:pos="6444"/>
              </w:tabs>
              <w:spacing w:after="0" w:line="240" w:lineRule="auto"/>
              <w:ind w:left="566" w:right="141"/>
              <w:jc w:val="both"/>
              <w:rPr>
                <w:rFonts w:ascii="Times New Roman" w:hAnsi="Times New Roman" w:cs="Times New Roman"/>
                <w:sz w:val="24"/>
                <w:szCs w:val="24"/>
                <w:shd w:val="clear" w:color="auto" w:fill="FFFFFF"/>
              </w:rPr>
            </w:pPr>
            <w:r w:rsidRPr="00FC14FA">
              <w:rPr>
                <w:rFonts w:ascii="Times New Roman" w:hAnsi="Times New Roman" w:cs="Times New Roman"/>
                <w:sz w:val="24"/>
                <w:szCs w:val="24"/>
                <w:shd w:val="clear" w:color="auto" w:fill="FFFFFF"/>
              </w:rPr>
              <w:t xml:space="preserve">nosakot avansa apmēru par zinātniskā pētījuma īstenošanu par jauniešu, kas nemācās, nestrādā un neiegūst arodu, profilu un aktivizācijas iespējām, piesaistot OECD ekspertīzi, </w:t>
            </w:r>
            <w:r w:rsidR="007A7554">
              <w:rPr>
                <w:rFonts w:ascii="Times New Roman" w:hAnsi="Times New Roman" w:cs="Times New Roman"/>
                <w:sz w:val="24"/>
                <w:szCs w:val="24"/>
                <w:shd w:val="clear" w:color="auto" w:fill="FFFFFF"/>
              </w:rPr>
              <w:t>slēdzamajos pakalpojuma līgumos;</w:t>
            </w:r>
          </w:p>
          <w:p w:rsidR="007A7554" w:rsidRDefault="007A7554" w:rsidP="00832983">
            <w:pPr>
              <w:pStyle w:val="ListParagraph"/>
              <w:numPr>
                <w:ilvl w:val="0"/>
                <w:numId w:val="16"/>
              </w:numPr>
              <w:tabs>
                <w:tab w:val="left" w:pos="6444"/>
              </w:tabs>
              <w:spacing w:after="0" w:line="240" w:lineRule="auto"/>
              <w:ind w:left="566" w:right="141"/>
              <w:jc w:val="both"/>
              <w:rPr>
                <w:rFonts w:ascii="Times New Roman" w:hAnsi="Times New Roman" w:cs="Times New Roman"/>
                <w:sz w:val="24"/>
                <w:szCs w:val="24"/>
                <w:shd w:val="clear" w:color="auto" w:fill="FFFFFF"/>
              </w:rPr>
            </w:pPr>
            <w:r w:rsidRPr="00573175">
              <w:rPr>
                <w:rFonts w:ascii="Times New Roman" w:hAnsi="Times New Roman" w:cs="Times New Roman"/>
                <w:sz w:val="24"/>
                <w:szCs w:val="24"/>
                <w:shd w:val="clear" w:color="auto" w:fill="FFFFFF"/>
              </w:rPr>
              <w:t xml:space="preserve">tehniski precizējot MK noteikumu Nr.170 51.1.4. </w:t>
            </w:r>
            <w:r w:rsidR="00FF2D42">
              <w:rPr>
                <w:rFonts w:ascii="Times New Roman" w:hAnsi="Times New Roman" w:cs="Times New Roman"/>
                <w:sz w:val="24"/>
                <w:szCs w:val="24"/>
                <w:shd w:val="clear" w:color="auto" w:fill="FFFFFF"/>
              </w:rPr>
              <w:t>un 51.2.4.apakšpunkta redakciju;</w:t>
            </w:r>
          </w:p>
          <w:p w:rsidR="00FF2D42" w:rsidRPr="000B060F" w:rsidRDefault="00FF2D42" w:rsidP="000B060F">
            <w:pPr>
              <w:pStyle w:val="ListParagraph"/>
              <w:numPr>
                <w:ilvl w:val="0"/>
                <w:numId w:val="16"/>
              </w:numPr>
              <w:tabs>
                <w:tab w:val="left" w:pos="6444"/>
              </w:tabs>
              <w:spacing w:after="0" w:line="240" w:lineRule="auto"/>
              <w:ind w:left="563" w:right="141"/>
              <w:jc w:val="both"/>
              <w:rPr>
                <w:rFonts w:ascii="Times New Roman" w:hAnsi="Times New Roman" w:cs="Times New Roman"/>
                <w:sz w:val="24"/>
                <w:szCs w:val="24"/>
                <w:shd w:val="clear" w:color="auto" w:fill="FFFFFF"/>
              </w:rPr>
            </w:pPr>
            <w:r w:rsidRPr="000B060F">
              <w:rPr>
                <w:rFonts w:ascii="Times New Roman" w:hAnsi="Times New Roman" w:cs="Times New Roman"/>
                <w:sz w:val="24"/>
                <w:szCs w:val="24"/>
                <w:shd w:val="clear" w:color="auto" w:fill="FFFFFF"/>
              </w:rPr>
              <w:t>papildinot MK noteikumus ar nosacījumu</w:t>
            </w:r>
            <w:r w:rsidR="00D77DAE" w:rsidRPr="000B060F">
              <w:rPr>
                <w:rFonts w:ascii="Times New Roman" w:hAnsi="Times New Roman" w:cs="Times New Roman"/>
                <w:sz w:val="24"/>
                <w:szCs w:val="24"/>
                <w:shd w:val="clear" w:color="auto" w:fill="FFFFFF"/>
              </w:rPr>
              <w:t xml:space="preserve">, ka finansējuma saņēmējs attiecībā uz līgumu ar OECD MK instrukciju piemēro tiktāl, ciktāl </w:t>
            </w:r>
            <w:r w:rsidR="001377F7" w:rsidRPr="000B060F">
              <w:rPr>
                <w:rFonts w:ascii="Times New Roman" w:hAnsi="Times New Roman" w:cs="Times New Roman"/>
                <w:sz w:val="24"/>
                <w:szCs w:val="24"/>
                <w:shd w:val="clear" w:color="auto" w:fill="FFFFFF"/>
              </w:rPr>
              <w:t xml:space="preserve">to pieļauj OECD </w:t>
            </w:r>
            <w:r w:rsidR="00CF354A" w:rsidRPr="000B060F">
              <w:rPr>
                <w:rFonts w:ascii="Times New Roman" w:hAnsi="Times New Roman" w:cs="Times New Roman"/>
                <w:sz w:val="24"/>
                <w:szCs w:val="24"/>
                <w:shd w:val="clear" w:color="auto" w:fill="FFFFFF"/>
              </w:rPr>
              <w:t>standart</w:t>
            </w:r>
            <w:r w:rsidR="001377F7" w:rsidRPr="000B060F">
              <w:rPr>
                <w:rFonts w:ascii="Times New Roman" w:hAnsi="Times New Roman" w:cs="Times New Roman"/>
                <w:sz w:val="24"/>
                <w:szCs w:val="24"/>
                <w:shd w:val="clear" w:color="auto" w:fill="FFFFFF"/>
              </w:rPr>
              <w:t>līguma nosacījumi</w:t>
            </w:r>
            <w:r w:rsidR="00D77DAE" w:rsidRPr="000B060F">
              <w:rPr>
                <w:rFonts w:ascii="Times New Roman" w:hAnsi="Times New Roman" w:cs="Times New Roman"/>
                <w:sz w:val="24"/>
                <w:szCs w:val="24"/>
                <w:shd w:val="clear" w:color="auto" w:fill="FFFFFF"/>
              </w:rPr>
              <w:t>.</w:t>
            </w:r>
          </w:p>
          <w:p w:rsidR="002C3BF3" w:rsidRPr="002C3BF3" w:rsidRDefault="002C3BF3" w:rsidP="002C3BF3">
            <w:pPr>
              <w:tabs>
                <w:tab w:val="left" w:pos="6444"/>
              </w:tabs>
              <w:spacing w:after="0" w:line="240" w:lineRule="auto"/>
              <w:ind w:left="203" w:right="141"/>
              <w:jc w:val="both"/>
              <w:rPr>
                <w:rFonts w:ascii="Times New Roman" w:hAnsi="Times New Roman" w:cs="Times New Roman"/>
                <w:sz w:val="24"/>
                <w:szCs w:val="24"/>
                <w:shd w:val="clear" w:color="auto" w:fill="FFFFFF"/>
              </w:rPr>
            </w:pPr>
          </w:p>
        </w:tc>
      </w:tr>
      <w:tr w:rsidR="00CC1A56" w:rsidRPr="00DD49B6" w:rsidTr="008D2450">
        <w:trPr>
          <w:trHeight w:val="476"/>
        </w:trPr>
        <w:tc>
          <w:tcPr>
            <w:tcW w:w="162" w:type="pct"/>
          </w:tcPr>
          <w:p w:rsidR="00CC1A56" w:rsidRPr="00DD49B6" w:rsidRDefault="00CC1A56" w:rsidP="007D385B">
            <w:pPr>
              <w:pStyle w:val="naiskr"/>
              <w:spacing w:before="0" w:beforeAutospacing="0" w:after="0" w:afterAutospacing="0"/>
              <w:ind w:left="57" w:right="57"/>
              <w:jc w:val="center"/>
            </w:pPr>
            <w:r w:rsidRPr="00DD49B6">
              <w:lastRenderedPageBreak/>
              <w:t>3.</w:t>
            </w:r>
          </w:p>
        </w:tc>
        <w:tc>
          <w:tcPr>
            <w:tcW w:w="1408" w:type="pct"/>
          </w:tcPr>
          <w:p w:rsidR="00CC1A56" w:rsidRPr="00DD49B6" w:rsidRDefault="00CC1A56" w:rsidP="007D385B">
            <w:pPr>
              <w:pStyle w:val="naiskr"/>
              <w:spacing w:before="0" w:beforeAutospacing="0" w:after="0" w:afterAutospacing="0"/>
              <w:ind w:left="57" w:right="57"/>
            </w:pPr>
            <w:r w:rsidRPr="00DD49B6">
              <w:t>Projekta izstrādē iesaistītās institūcijas</w:t>
            </w:r>
          </w:p>
        </w:tc>
        <w:tc>
          <w:tcPr>
            <w:tcW w:w="3430" w:type="pct"/>
          </w:tcPr>
          <w:p w:rsidR="00CC1A56" w:rsidRPr="0093520F" w:rsidRDefault="002A161A" w:rsidP="0009107E">
            <w:pPr>
              <w:spacing w:after="0" w:line="240" w:lineRule="auto"/>
              <w:ind w:left="142" w:right="57"/>
              <w:rPr>
                <w:rFonts w:ascii="Times New Roman" w:hAnsi="Times New Roman" w:cs="Times New Roman"/>
                <w:b/>
                <w:sz w:val="24"/>
                <w:szCs w:val="24"/>
              </w:rPr>
            </w:pPr>
            <w:r w:rsidRPr="0093520F">
              <w:rPr>
                <w:rFonts w:ascii="Times New Roman" w:hAnsi="Times New Roman" w:cs="Times New Roman"/>
                <w:sz w:val="24"/>
                <w:szCs w:val="24"/>
              </w:rPr>
              <w:t xml:space="preserve">MK </w:t>
            </w:r>
            <w:r w:rsidR="0009107E" w:rsidRPr="00C57E4F">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r w:rsidR="0093520F" w:rsidRPr="0093520F">
              <w:rPr>
                <w:rFonts w:ascii="Times New Roman" w:hAnsi="Times New Roman" w:cs="Times New Roman"/>
                <w:sz w:val="24"/>
                <w:szCs w:val="24"/>
              </w:rPr>
              <w:t>.</w:t>
            </w:r>
          </w:p>
        </w:tc>
      </w:tr>
      <w:tr w:rsidR="00CC1A56" w:rsidRPr="003919EB" w:rsidTr="008D2450">
        <w:tc>
          <w:tcPr>
            <w:tcW w:w="162" w:type="pct"/>
          </w:tcPr>
          <w:p w:rsidR="00CC1A56" w:rsidRPr="004863B9" w:rsidRDefault="00CC1A56" w:rsidP="007D385B">
            <w:pPr>
              <w:pStyle w:val="naiskr"/>
              <w:spacing w:before="0" w:beforeAutospacing="0" w:after="0" w:afterAutospacing="0"/>
              <w:ind w:left="57" w:right="57"/>
              <w:jc w:val="center"/>
            </w:pPr>
            <w:r w:rsidRPr="004863B9">
              <w:t>4.</w:t>
            </w:r>
          </w:p>
        </w:tc>
        <w:tc>
          <w:tcPr>
            <w:tcW w:w="1408" w:type="pct"/>
          </w:tcPr>
          <w:p w:rsidR="00CC1A56" w:rsidRPr="004863B9" w:rsidRDefault="00CC1A56" w:rsidP="007D385B">
            <w:pPr>
              <w:pStyle w:val="naiskr"/>
              <w:spacing w:before="0" w:beforeAutospacing="0" w:after="0" w:afterAutospacing="0"/>
              <w:ind w:left="57" w:right="57"/>
            </w:pPr>
            <w:r w:rsidRPr="004863B9">
              <w:t>Cita informācija</w:t>
            </w:r>
          </w:p>
        </w:tc>
        <w:tc>
          <w:tcPr>
            <w:tcW w:w="3430" w:type="pct"/>
          </w:tcPr>
          <w:p w:rsidR="00616BB8" w:rsidRPr="00573175" w:rsidRDefault="00695F11" w:rsidP="00F11BE2">
            <w:pPr>
              <w:spacing w:after="0" w:line="240" w:lineRule="auto"/>
              <w:ind w:left="142" w:right="141"/>
              <w:jc w:val="both"/>
              <w:rPr>
                <w:rFonts w:ascii="Times New Roman" w:hAnsi="Times New Roman" w:cs="Times New Roman"/>
                <w:bCs/>
                <w:sz w:val="24"/>
                <w:szCs w:val="24"/>
              </w:rPr>
            </w:pPr>
            <w:r w:rsidRPr="00573175">
              <w:rPr>
                <w:rFonts w:ascii="Times New Roman" w:hAnsi="Times New Roman" w:cs="Times New Roman"/>
                <w:bCs/>
                <w:sz w:val="24"/>
                <w:szCs w:val="24"/>
              </w:rPr>
              <w:t xml:space="preserve">Finansējuma pārdale tiek ierosināta, ņemot vērā </w:t>
            </w:r>
            <w:proofErr w:type="gramStart"/>
            <w:r w:rsidRPr="00573175">
              <w:rPr>
                <w:rFonts w:ascii="Times New Roman" w:hAnsi="Times New Roman" w:cs="Times New Roman"/>
                <w:bCs/>
                <w:sz w:val="24"/>
                <w:szCs w:val="24"/>
              </w:rPr>
              <w:t>2014.gada</w:t>
            </w:r>
            <w:proofErr w:type="gramEnd"/>
            <w:r w:rsidRPr="00573175">
              <w:rPr>
                <w:rFonts w:ascii="Times New Roman" w:hAnsi="Times New Roman" w:cs="Times New Roman"/>
                <w:bCs/>
                <w:sz w:val="24"/>
                <w:szCs w:val="24"/>
              </w:rPr>
              <w:t xml:space="preserve"> 19.februāra Koalīcijas partneru darba grupas Par ES struktūrfondu un Kohēzijas fonda jautājumiem protokola 1.3.apakšpunktā un 4.a) punktā noteikto.</w:t>
            </w:r>
          </w:p>
        </w:tc>
      </w:tr>
    </w:tbl>
    <w:p w:rsidR="00FA2575" w:rsidRDefault="00FA2575" w:rsidP="00CC1A56">
      <w:pPr>
        <w:spacing w:after="0" w:line="240" w:lineRule="auto"/>
        <w:rPr>
          <w:rFonts w:ascii="Times New Roman" w:hAnsi="Times New Roman" w:cs="Times New Roman"/>
          <w:sz w:val="24"/>
          <w:szCs w:val="24"/>
          <w:highlight w:val="yellow"/>
        </w:rPr>
      </w:pPr>
    </w:p>
    <w:p w:rsidR="00FA2575" w:rsidRDefault="00FA2575">
      <w:pPr>
        <w:rPr>
          <w:rFonts w:ascii="Times New Roman" w:hAnsi="Times New Roman" w:cs="Times New Roman"/>
          <w:sz w:val="24"/>
          <w:szCs w:val="24"/>
          <w:highlight w:val="yellow"/>
        </w:rPr>
      </w:pPr>
      <w:r>
        <w:rPr>
          <w:rFonts w:ascii="Times New Roman" w:hAnsi="Times New Roman" w:cs="Times New Roman"/>
          <w:sz w:val="24"/>
          <w:szCs w:val="24"/>
          <w:highlight w:val="yellow"/>
        </w:rPr>
        <w:lastRenderedPageBreak/>
        <w:br w:type="page"/>
      </w:r>
    </w:p>
    <w:p w:rsidR="00660BC7" w:rsidRPr="003919EB" w:rsidRDefault="00660BC7" w:rsidP="00CC1A56">
      <w:pPr>
        <w:spacing w:after="0" w:line="240" w:lineRule="auto"/>
        <w:rPr>
          <w:rFonts w:ascii="Times New Roman" w:hAnsi="Times New Roman" w:cs="Times New Roman"/>
          <w:sz w:val="24"/>
          <w:szCs w:val="24"/>
          <w:highlight w:val="yellow"/>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CC1A56" w:rsidRPr="003919EB" w:rsidTr="007D385B">
        <w:trPr>
          <w:trHeight w:val="556"/>
        </w:trPr>
        <w:tc>
          <w:tcPr>
            <w:tcW w:w="9503" w:type="dxa"/>
            <w:gridSpan w:val="3"/>
            <w:vAlign w:val="center"/>
          </w:tcPr>
          <w:p w:rsidR="00CC1A56" w:rsidRPr="00791E4E" w:rsidRDefault="00CC1A56" w:rsidP="007D385B">
            <w:pPr>
              <w:pStyle w:val="naisnod"/>
              <w:spacing w:before="0" w:beforeAutospacing="0" w:after="0" w:afterAutospacing="0"/>
              <w:ind w:left="57" w:right="57"/>
              <w:jc w:val="center"/>
              <w:rPr>
                <w:b/>
              </w:rPr>
            </w:pPr>
            <w:r w:rsidRPr="00791E4E">
              <w:rPr>
                <w:b/>
              </w:rPr>
              <w:t>II. Tiesību akta projekta ietekme uz sabiedrību, tautsaimniecības attīstību</w:t>
            </w:r>
          </w:p>
          <w:p w:rsidR="00CC1A56" w:rsidRPr="00791E4E" w:rsidRDefault="00CC1A56" w:rsidP="007D385B">
            <w:pPr>
              <w:pStyle w:val="naisnod"/>
              <w:spacing w:before="0" w:beforeAutospacing="0" w:after="0" w:afterAutospacing="0"/>
              <w:ind w:left="57" w:right="57"/>
              <w:jc w:val="center"/>
              <w:rPr>
                <w:b/>
              </w:rPr>
            </w:pPr>
            <w:r w:rsidRPr="00791E4E">
              <w:rPr>
                <w:b/>
              </w:rPr>
              <w:t>un administratīvo slogu</w:t>
            </w:r>
          </w:p>
        </w:tc>
      </w:tr>
      <w:tr w:rsidR="00CC1A56" w:rsidRPr="00DD49B6" w:rsidTr="007D385B">
        <w:trPr>
          <w:trHeight w:val="467"/>
        </w:trPr>
        <w:tc>
          <w:tcPr>
            <w:tcW w:w="431" w:type="dxa"/>
          </w:tcPr>
          <w:p w:rsidR="00CC1A56" w:rsidRPr="00791E4E" w:rsidRDefault="00CC1A56" w:rsidP="007D385B">
            <w:pPr>
              <w:pStyle w:val="naiskr"/>
              <w:spacing w:before="0" w:beforeAutospacing="0" w:after="0" w:afterAutospacing="0"/>
              <w:ind w:left="57" w:right="57"/>
              <w:jc w:val="both"/>
            </w:pPr>
            <w:r w:rsidRPr="00791E4E">
              <w:t>1.</w:t>
            </w:r>
          </w:p>
        </w:tc>
        <w:tc>
          <w:tcPr>
            <w:tcW w:w="2976" w:type="dxa"/>
          </w:tcPr>
          <w:p w:rsidR="00CC1A56" w:rsidRPr="00791E4E" w:rsidRDefault="00CC1A56" w:rsidP="007D385B">
            <w:pPr>
              <w:pStyle w:val="naiskr"/>
              <w:spacing w:before="0" w:beforeAutospacing="0" w:after="0" w:afterAutospacing="0"/>
              <w:ind w:left="57" w:right="57"/>
            </w:pPr>
            <w:r w:rsidRPr="00791E4E">
              <w:t>Sabiedrības mērķgrupas, kuras tiesiskais regulējums ietekmē vai varētu ietekmēt</w:t>
            </w:r>
          </w:p>
        </w:tc>
        <w:tc>
          <w:tcPr>
            <w:tcW w:w="6096" w:type="dxa"/>
          </w:tcPr>
          <w:p w:rsidR="00CC1A56" w:rsidRPr="00682E06" w:rsidRDefault="00374721" w:rsidP="001F1F18">
            <w:pPr>
              <w:shd w:val="clear" w:color="auto" w:fill="FFFFFF"/>
              <w:spacing w:after="0" w:line="240" w:lineRule="auto"/>
              <w:ind w:left="142" w:right="57"/>
              <w:jc w:val="both"/>
              <w:rPr>
                <w:rFonts w:ascii="Times New Roman" w:hAnsi="Times New Roman" w:cs="Times New Roman"/>
                <w:sz w:val="24"/>
                <w:szCs w:val="24"/>
              </w:rPr>
            </w:pPr>
            <w:bookmarkStart w:id="0" w:name="p21"/>
            <w:bookmarkEnd w:id="0"/>
            <w:r w:rsidRPr="00374721">
              <w:rPr>
                <w:rFonts w:ascii="Times New Roman" w:hAnsi="Times New Roman" w:cs="Times New Roman"/>
                <w:sz w:val="24"/>
                <w:szCs w:val="24"/>
              </w:rPr>
              <w:t xml:space="preserve">Personas ar I grupas redzes invaliditāti, kuras atbilst Invaliditātes likuma </w:t>
            </w:r>
            <w:proofErr w:type="gramStart"/>
            <w:r w:rsidRPr="00374721">
              <w:rPr>
                <w:rFonts w:ascii="Times New Roman" w:hAnsi="Times New Roman" w:cs="Times New Roman"/>
                <w:sz w:val="24"/>
                <w:szCs w:val="24"/>
              </w:rPr>
              <w:t>12.panta</w:t>
            </w:r>
            <w:proofErr w:type="gramEnd"/>
            <w:r w:rsidRPr="00374721">
              <w:rPr>
                <w:rFonts w:ascii="Times New Roman" w:hAnsi="Times New Roman" w:cs="Times New Roman"/>
                <w:sz w:val="24"/>
                <w:szCs w:val="24"/>
              </w:rPr>
              <w:t xml:space="preserve"> pirmās daļas 2.punktā noteiktajām prasībām (2014.gadā vidēji </w:t>
            </w:r>
            <w:r w:rsidR="001F1F18">
              <w:rPr>
                <w:rFonts w:ascii="Times New Roman" w:hAnsi="Times New Roman" w:cs="Times New Roman"/>
                <w:sz w:val="24"/>
                <w:szCs w:val="24"/>
              </w:rPr>
              <w:t xml:space="preserve">mēnesī </w:t>
            </w:r>
            <w:r w:rsidRPr="00FC3EA4">
              <w:rPr>
                <w:rFonts w:ascii="Times New Roman" w:hAnsi="Times New Roman" w:cs="Times New Roman"/>
                <w:sz w:val="24"/>
                <w:szCs w:val="24"/>
              </w:rPr>
              <w:t>1</w:t>
            </w:r>
            <w:r w:rsidR="001F1F18">
              <w:rPr>
                <w:rFonts w:ascii="Times New Roman" w:hAnsi="Times New Roman" w:cs="Times New Roman"/>
                <w:sz w:val="24"/>
                <w:szCs w:val="24"/>
              </w:rPr>
              <w:t>848</w:t>
            </w:r>
            <w:r w:rsidRPr="00374721">
              <w:rPr>
                <w:rFonts w:ascii="Times New Roman" w:hAnsi="Times New Roman" w:cs="Times New Roman"/>
                <w:sz w:val="24"/>
                <w:szCs w:val="24"/>
              </w:rPr>
              <w:t xml:space="preserve"> personas).</w:t>
            </w:r>
          </w:p>
        </w:tc>
      </w:tr>
      <w:tr w:rsidR="00CC1A56" w:rsidRPr="00DD49B6" w:rsidTr="007D385B">
        <w:trPr>
          <w:trHeight w:val="523"/>
        </w:trPr>
        <w:tc>
          <w:tcPr>
            <w:tcW w:w="431" w:type="dxa"/>
          </w:tcPr>
          <w:p w:rsidR="00CC1A56" w:rsidRPr="00DD49B6" w:rsidRDefault="00CC1A56" w:rsidP="007D385B">
            <w:pPr>
              <w:pStyle w:val="naiskr"/>
              <w:spacing w:before="0" w:beforeAutospacing="0" w:after="0" w:afterAutospacing="0"/>
              <w:ind w:left="57" w:right="57"/>
              <w:jc w:val="both"/>
            </w:pPr>
            <w:r w:rsidRPr="00DD49B6">
              <w:t>2.</w:t>
            </w:r>
          </w:p>
        </w:tc>
        <w:tc>
          <w:tcPr>
            <w:tcW w:w="2976" w:type="dxa"/>
          </w:tcPr>
          <w:p w:rsidR="00CC1A56" w:rsidRPr="00DD49B6" w:rsidRDefault="00CC1A56" w:rsidP="007D385B">
            <w:pPr>
              <w:pStyle w:val="naiskr"/>
              <w:spacing w:before="0" w:beforeAutospacing="0" w:after="0" w:afterAutospacing="0"/>
              <w:ind w:left="57" w:right="57"/>
            </w:pPr>
            <w:r w:rsidRPr="00DD49B6">
              <w:t>Tiesiskā regulējuma ietekme uz tautsaimniecību un administratīvo slogu</w:t>
            </w:r>
          </w:p>
        </w:tc>
        <w:tc>
          <w:tcPr>
            <w:tcW w:w="6096" w:type="dxa"/>
          </w:tcPr>
          <w:p w:rsidR="00CC1A56" w:rsidRPr="00D404FE" w:rsidRDefault="00D404FE" w:rsidP="000F2C5F">
            <w:pPr>
              <w:shd w:val="clear" w:color="auto" w:fill="FFFFFF"/>
              <w:spacing w:after="0" w:line="240" w:lineRule="auto"/>
              <w:ind w:left="142" w:right="57"/>
              <w:jc w:val="both"/>
              <w:rPr>
                <w:rFonts w:ascii="Times New Roman" w:hAnsi="Times New Roman" w:cs="Times New Roman"/>
                <w:sz w:val="24"/>
                <w:szCs w:val="24"/>
                <w:lang w:eastAsia="lv-LV"/>
              </w:rPr>
            </w:pPr>
            <w:r w:rsidRPr="00D404FE">
              <w:rPr>
                <w:rFonts w:ascii="Times New Roman" w:hAnsi="Times New Roman" w:cs="Times New Roman"/>
                <w:sz w:val="24"/>
                <w:szCs w:val="24"/>
                <w:lang w:eastAsia="lv-LV"/>
              </w:rPr>
              <w:t>Sabiedrības grupām un institūcijām projekta tiesiskais regulējums nemaina tiesības un pienākumus, kā arī veicamās darbības.</w:t>
            </w:r>
          </w:p>
        </w:tc>
      </w:tr>
      <w:tr w:rsidR="00CC1A56" w:rsidRPr="00DD49B6" w:rsidTr="007D385B">
        <w:trPr>
          <w:trHeight w:val="523"/>
        </w:trPr>
        <w:tc>
          <w:tcPr>
            <w:tcW w:w="431" w:type="dxa"/>
          </w:tcPr>
          <w:p w:rsidR="00CC1A56" w:rsidRPr="00DD49B6" w:rsidRDefault="00CC1A56" w:rsidP="007D385B">
            <w:pPr>
              <w:pStyle w:val="naiskr"/>
              <w:spacing w:before="0" w:beforeAutospacing="0" w:after="0" w:afterAutospacing="0"/>
              <w:ind w:left="57" w:right="57"/>
              <w:jc w:val="both"/>
            </w:pPr>
            <w:r w:rsidRPr="00DD49B6">
              <w:t>3.</w:t>
            </w:r>
          </w:p>
        </w:tc>
        <w:tc>
          <w:tcPr>
            <w:tcW w:w="2976" w:type="dxa"/>
          </w:tcPr>
          <w:p w:rsidR="00CC1A56" w:rsidRPr="00DD49B6" w:rsidRDefault="00CC1A56" w:rsidP="007D385B">
            <w:pPr>
              <w:pStyle w:val="naiskr"/>
              <w:spacing w:before="0" w:beforeAutospacing="0" w:after="0" w:afterAutospacing="0"/>
              <w:ind w:left="57" w:right="57"/>
            </w:pPr>
            <w:r w:rsidRPr="00DD49B6">
              <w:t>Administratīvo izmaksu monetārs novērtējums</w:t>
            </w:r>
          </w:p>
        </w:tc>
        <w:tc>
          <w:tcPr>
            <w:tcW w:w="6096" w:type="dxa"/>
          </w:tcPr>
          <w:p w:rsidR="00CC1A56" w:rsidRPr="00DD49B6" w:rsidRDefault="00D404FE" w:rsidP="00C57E4F">
            <w:pPr>
              <w:shd w:val="clear" w:color="auto" w:fill="FFFFFF"/>
              <w:spacing w:after="0" w:line="240" w:lineRule="auto"/>
              <w:ind w:left="142" w:right="57"/>
              <w:rPr>
                <w:rFonts w:ascii="Times New Roman" w:hAnsi="Times New Roman" w:cs="Times New Roman"/>
                <w:sz w:val="24"/>
                <w:szCs w:val="24"/>
                <w:lang w:eastAsia="lv-LV"/>
              </w:rPr>
            </w:pPr>
            <w:r w:rsidRPr="0093520F">
              <w:rPr>
                <w:rFonts w:ascii="Times New Roman" w:hAnsi="Times New Roman" w:cs="Times New Roman"/>
                <w:sz w:val="24"/>
                <w:szCs w:val="24"/>
              </w:rPr>
              <w:t xml:space="preserve">MK </w:t>
            </w:r>
            <w:r w:rsidR="00C57E4F" w:rsidRPr="00F11BE2">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DD49B6" w:rsidTr="007D385B">
        <w:trPr>
          <w:trHeight w:val="357"/>
        </w:trPr>
        <w:tc>
          <w:tcPr>
            <w:tcW w:w="431" w:type="dxa"/>
          </w:tcPr>
          <w:p w:rsidR="00CC1A56" w:rsidRPr="00DD49B6" w:rsidRDefault="00CC1A56" w:rsidP="007D385B">
            <w:pPr>
              <w:pStyle w:val="naiskr"/>
              <w:spacing w:before="0" w:beforeAutospacing="0" w:after="0" w:afterAutospacing="0"/>
              <w:ind w:left="57" w:right="57"/>
              <w:jc w:val="both"/>
            </w:pPr>
            <w:r w:rsidRPr="00DD49B6">
              <w:t>4.</w:t>
            </w:r>
          </w:p>
        </w:tc>
        <w:tc>
          <w:tcPr>
            <w:tcW w:w="2976" w:type="dxa"/>
          </w:tcPr>
          <w:p w:rsidR="00CC1A56" w:rsidRPr="00DD49B6" w:rsidRDefault="00CC1A56" w:rsidP="007D385B">
            <w:pPr>
              <w:pStyle w:val="naiskr"/>
              <w:spacing w:before="0" w:beforeAutospacing="0" w:after="0" w:afterAutospacing="0"/>
              <w:ind w:left="57" w:right="57"/>
            </w:pPr>
            <w:r w:rsidRPr="00DD49B6">
              <w:t>Cita informācija</w:t>
            </w:r>
          </w:p>
        </w:tc>
        <w:tc>
          <w:tcPr>
            <w:tcW w:w="6096" w:type="dxa"/>
          </w:tcPr>
          <w:p w:rsidR="00CC1A56" w:rsidRPr="00DD49B6" w:rsidRDefault="007F44BF" w:rsidP="000F2C5F">
            <w:pPr>
              <w:shd w:val="clear" w:color="auto" w:fill="FFFFFF"/>
              <w:spacing w:after="0" w:line="240" w:lineRule="auto"/>
              <w:ind w:left="142" w:right="57"/>
              <w:rPr>
                <w:rFonts w:ascii="Times New Roman" w:hAnsi="Times New Roman" w:cs="Times New Roman"/>
                <w:sz w:val="24"/>
                <w:szCs w:val="24"/>
                <w:lang w:eastAsia="lv-LV"/>
              </w:rPr>
            </w:pPr>
            <w:r>
              <w:rPr>
                <w:rFonts w:ascii="Times New Roman" w:hAnsi="Times New Roman" w:cs="Times New Roman"/>
                <w:sz w:val="24"/>
                <w:szCs w:val="24"/>
              </w:rPr>
              <w:t>Nav.</w:t>
            </w:r>
          </w:p>
        </w:tc>
      </w:tr>
    </w:tbl>
    <w:p w:rsidR="00CC1A56" w:rsidRPr="00DD49B6" w:rsidRDefault="00CC1A56" w:rsidP="00CC1A56">
      <w:pPr>
        <w:spacing w:after="0" w:line="240" w:lineRule="auto"/>
        <w:rPr>
          <w:rFonts w:ascii="Times New Roman" w:hAnsi="Times New Roman" w:cs="Times New Roman"/>
          <w:sz w:val="24"/>
          <w:szCs w:val="24"/>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1273"/>
        <w:gridCol w:w="1538"/>
        <w:gridCol w:w="1150"/>
        <w:gridCol w:w="1194"/>
        <w:gridCol w:w="1176"/>
      </w:tblGrid>
      <w:tr w:rsidR="00CC1A56" w:rsidRPr="00DD49B6" w:rsidTr="007D385B">
        <w:trPr>
          <w:trHeight w:val="361"/>
          <w:jc w:val="center"/>
        </w:trPr>
        <w:tc>
          <w:tcPr>
            <w:tcW w:w="9513" w:type="dxa"/>
            <w:gridSpan w:val="6"/>
            <w:vAlign w:val="center"/>
          </w:tcPr>
          <w:p w:rsidR="00CC1A56" w:rsidRPr="00DD49B6" w:rsidRDefault="00CC1A56" w:rsidP="007D385B">
            <w:pPr>
              <w:pStyle w:val="naisnod"/>
              <w:spacing w:before="0" w:beforeAutospacing="0" w:after="0" w:afterAutospacing="0"/>
              <w:jc w:val="center"/>
              <w:rPr>
                <w:b/>
                <w:i/>
              </w:rPr>
            </w:pPr>
            <w:r w:rsidRPr="00DD49B6">
              <w:br w:type="page"/>
            </w:r>
            <w:r w:rsidRPr="00DD49B6">
              <w:rPr>
                <w:b/>
              </w:rPr>
              <w:t>III. Tiesību akta projekta ietekme uz valsts budžetu un pašvaldību budžetiem</w:t>
            </w:r>
          </w:p>
        </w:tc>
      </w:tr>
      <w:tr w:rsidR="00CC1A56" w:rsidRPr="00DD49B6" w:rsidTr="002B0D05">
        <w:trPr>
          <w:jc w:val="center"/>
        </w:trPr>
        <w:tc>
          <w:tcPr>
            <w:tcW w:w="3182" w:type="dxa"/>
            <w:vMerge w:val="restart"/>
            <w:vAlign w:val="center"/>
          </w:tcPr>
          <w:p w:rsidR="00CC1A56" w:rsidRPr="00DD49B6" w:rsidRDefault="00CC1A56" w:rsidP="007D385B">
            <w:pPr>
              <w:pStyle w:val="naisf"/>
              <w:spacing w:before="0" w:beforeAutospacing="0" w:after="0" w:afterAutospacing="0"/>
              <w:jc w:val="center"/>
              <w:rPr>
                <w:b/>
              </w:rPr>
            </w:pPr>
            <w:r w:rsidRPr="00DD49B6">
              <w:rPr>
                <w:b/>
              </w:rPr>
              <w:t>Rādītāji</w:t>
            </w:r>
          </w:p>
        </w:tc>
        <w:tc>
          <w:tcPr>
            <w:tcW w:w="2811" w:type="dxa"/>
            <w:gridSpan w:val="2"/>
            <w:vMerge w:val="restart"/>
            <w:vAlign w:val="center"/>
          </w:tcPr>
          <w:p w:rsidR="00CC1A56" w:rsidRPr="00DD49B6" w:rsidRDefault="00CC1A56" w:rsidP="007D385B">
            <w:pPr>
              <w:pStyle w:val="naisf"/>
              <w:spacing w:before="0" w:beforeAutospacing="0" w:after="0" w:afterAutospacing="0"/>
              <w:jc w:val="center"/>
              <w:rPr>
                <w:b/>
              </w:rPr>
            </w:pPr>
            <w:proofErr w:type="gramStart"/>
            <w:r>
              <w:rPr>
                <w:b/>
              </w:rPr>
              <w:t>2014.</w:t>
            </w:r>
            <w:r w:rsidRPr="00DD49B6">
              <w:rPr>
                <w:b/>
              </w:rPr>
              <w:t>gad</w:t>
            </w:r>
            <w:r w:rsidRPr="00962BF1">
              <w:rPr>
                <w:b/>
              </w:rPr>
              <w:t>s</w:t>
            </w:r>
            <w:proofErr w:type="gramEnd"/>
          </w:p>
        </w:tc>
        <w:tc>
          <w:tcPr>
            <w:tcW w:w="3520" w:type="dxa"/>
            <w:gridSpan w:val="3"/>
            <w:vAlign w:val="center"/>
          </w:tcPr>
          <w:p w:rsidR="00CC1A56" w:rsidRPr="00DD49B6" w:rsidRDefault="00CC1A56" w:rsidP="00755128">
            <w:pPr>
              <w:pStyle w:val="naisf"/>
              <w:spacing w:before="0" w:beforeAutospacing="0" w:after="0" w:afterAutospacing="0"/>
              <w:jc w:val="center"/>
              <w:rPr>
                <w:b/>
                <w:i/>
              </w:rPr>
            </w:pPr>
            <w:r w:rsidRPr="00DD49B6">
              <w:t>Turpmākie trīs gadi (</w:t>
            </w:r>
            <w:proofErr w:type="spellStart"/>
            <w:r w:rsidR="00755128" w:rsidRPr="00755128">
              <w:rPr>
                <w:i/>
              </w:rPr>
              <w:t>euro</w:t>
            </w:r>
            <w:proofErr w:type="spellEnd"/>
            <w:r w:rsidRPr="00DD49B6">
              <w:t>)</w:t>
            </w:r>
          </w:p>
        </w:tc>
      </w:tr>
      <w:tr w:rsidR="00CC1A56" w:rsidRPr="00DD49B6" w:rsidTr="002B0D05">
        <w:trPr>
          <w:jc w:val="center"/>
        </w:trPr>
        <w:tc>
          <w:tcPr>
            <w:tcW w:w="3182" w:type="dxa"/>
            <w:vMerge/>
            <w:vAlign w:val="center"/>
          </w:tcPr>
          <w:p w:rsidR="00CC1A56" w:rsidRPr="00DD49B6" w:rsidRDefault="00CC1A56" w:rsidP="007D385B">
            <w:pPr>
              <w:pStyle w:val="naisf"/>
              <w:spacing w:before="0" w:beforeAutospacing="0" w:after="0" w:afterAutospacing="0"/>
              <w:jc w:val="center"/>
              <w:rPr>
                <w:b/>
                <w:i/>
              </w:rPr>
            </w:pPr>
          </w:p>
        </w:tc>
        <w:tc>
          <w:tcPr>
            <w:tcW w:w="2811" w:type="dxa"/>
            <w:gridSpan w:val="2"/>
            <w:vMerge/>
            <w:vAlign w:val="center"/>
          </w:tcPr>
          <w:p w:rsidR="00CC1A56" w:rsidRPr="00DD49B6" w:rsidRDefault="00CC1A56" w:rsidP="007D385B">
            <w:pPr>
              <w:pStyle w:val="naisf"/>
              <w:spacing w:before="0" w:beforeAutospacing="0" w:after="0" w:afterAutospacing="0"/>
              <w:jc w:val="center"/>
              <w:rPr>
                <w:b/>
                <w:i/>
              </w:rPr>
            </w:pPr>
          </w:p>
        </w:tc>
        <w:tc>
          <w:tcPr>
            <w:tcW w:w="1150" w:type="dxa"/>
            <w:vAlign w:val="center"/>
          </w:tcPr>
          <w:p w:rsidR="00CC1A56" w:rsidRPr="00DD49B6" w:rsidRDefault="00CC1A56" w:rsidP="007D385B">
            <w:pPr>
              <w:pStyle w:val="naisf"/>
              <w:spacing w:before="0" w:beforeAutospacing="0" w:after="0" w:afterAutospacing="0"/>
              <w:jc w:val="center"/>
              <w:rPr>
                <w:b/>
                <w:i/>
              </w:rPr>
            </w:pPr>
            <w:r>
              <w:rPr>
                <w:b/>
                <w:bCs/>
              </w:rPr>
              <w:t>2015.</w:t>
            </w:r>
          </w:p>
        </w:tc>
        <w:tc>
          <w:tcPr>
            <w:tcW w:w="1194" w:type="dxa"/>
            <w:vAlign w:val="center"/>
          </w:tcPr>
          <w:p w:rsidR="00CC1A56" w:rsidRPr="00DD49B6" w:rsidRDefault="00CC1A56" w:rsidP="007D385B">
            <w:pPr>
              <w:pStyle w:val="naisf"/>
              <w:spacing w:before="0" w:beforeAutospacing="0" w:after="0" w:afterAutospacing="0"/>
              <w:jc w:val="center"/>
              <w:rPr>
                <w:b/>
                <w:i/>
              </w:rPr>
            </w:pPr>
            <w:r>
              <w:rPr>
                <w:b/>
                <w:bCs/>
              </w:rPr>
              <w:t>2016.</w:t>
            </w:r>
          </w:p>
        </w:tc>
        <w:tc>
          <w:tcPr>
            <w:tcW w:w="1176" w:type="dxa"/>
            <w:vAlign w:val="center"/>
          </w:tcPr>
          <w:p w:rsidR="00CC1A56" w:rsidRPr="00DD49B6" w:rsidRDefault="00CC1A56" w:rsidP="007D385B">
            <w:pPr>
              <w:pStyle w:val="naisf"/>
              <w:spacing w:before="0" w:beforeAutospacing="0" w:after="0" w:afterAutospacing="0"/>
              <w:jc w:val="center"/>
              <w:rPr>
                <w:b/>
                <w:i/>
              </w:rPr>
            </w:pPr>
            <w:r>
              <w:rPr>
                <w:b/>
                <w:bCs/>
              </w:rPr>
              <w:t>2017.</w:t>
            </w:r>
          </w:p>
        </w:tc>
      </w:tr>
      <w:tr w:rsidR="00CC1A56" w:rsidRPr="00DD49B6" w:rsidTr="002B0D05">
        <w:trPr>
          <w:jc w:val="center"/>
        </w:trPr>
        <w:tc>
          <w:tcPr>
            <w:tcW w:w="3182" w:type="dxa"/>
            <w:vMerge/>
            <w:vAlign w:val="center"/>
          </w:tcPr>
          <w:p w:rsidR="00CC1A56" w:rsidRPr="00DD49B6" w:rsidRDefault="00CC1A56" w:rsidP="007D385B">
            <w:pPr>
              <w:pStyle w:val="naisf"/>
              <w:spacing w:before="0" w:beforeAutospacing="0" w:after="0" w:afterAutospacing="0"/>
              <w:jc w:val="center"/>
              <w:rPr>
                <w:b/>
                <w:i/>
              </w:rPr>
            </w:pPr>
          </w:p>
        </w:tc>
        <w:tc>
          <w:tcPr>
            <w:tcW w:w="1273" w:type="dxa"/>
            <w:vAlign w:val="center"/>
          </w:tcPr>
          <w:p w:rsidR="00CC1A56" w:rsidRPr="00DD49B6" w:rsidRDefault="00CC1A56" w:rsidP="007D385B">
            <w:pPr>
              <w:pStyle w:val="naisf"/>
              <w:spacing w:before="0" w:beforeAutospacing="0" w:after="0" w:afterAutospacing="0"/>
              <w:jc w:val="center"/>
              <w:rPr>
                <w:b/>
                <w:i/>
              </w:rPr>
            </w:pPr>
            <w:r>
              <w:t>s</w:t>
            </w:r>
            <w:r w:rsidRPr="00DD49B6">
              <w:t>askaņā ar valsts budžetu kārtējam gadam</w:t>
            </w:r>
          </w:p>
        </w:tc>
        <w:tc>
          <w:tcPr>
            <w:tcW w:w="1538" w:type="dxa"/>
            <w:vAlign w:val="center"/>
          </w:tcPr>
          <w:p w:rsidR="00CC1A56" w:rsidRPr="00DD49B6" w:rsidRDefault="00CC1A56" w:rsidP="007D385B">
            <w:pPr>
              <w:pStyle w:val="naisf"/>
              <w:spacing w:before="0" w:beforeAutospacing="0" w:after="0" w:afterAutospacing="0"/>
              <w:jc w:val="center"/>
              <w:rPr>
                <w:b/>
                <w:i/>
              </w:rPr>
            </w:pPr>
            <w:r>
              <w:t>i</w:t>
            </w:r>
            <w:r w:rsidRPr="00DD49B6">
              <w:t>zmaiņas kārtējā gadā, salīdzinot ar valsts budžetu kārtējam gadam</w:t>
            </w:r>
          </w:p>
        </w:tc>
        <w:tc>
          <w:tcPr>
            <w:tcW w:w="1150" w:type="dxa"/>
            <w:vAlign w:val="center"/>
          </w:tcPr>
          <w:p w:rsidR="00CC1A56" w:rsidRPr="00DD49B6" w:rsidRDefault="00CC1A56" w:rsidP="007D385B">
            <w:pPr>
              <w:pStyle w:val="naisf"/>
              <w:spacing w:before="0" w:beforeAutospacing="0" w:after="0" w:afterAutospacing="0"/>
              <w:jc w:val="center"/>
              <w:rPr>
                <w:b/>
                <w:i/>
              </w:rPr>
            </w:pPr>
            <w:r>
              <w:t>i</w:t>
            </w:r>
            <w:r w:rsidRPr="00DD49B6">
              <w:t>zmaiņas, salīdzinot ar kārtējo (n) gadu</w:t>
            </w:r>
          </w:p>
        </w:tc>
        <w:tc>
          <w:tcPr>
            <w:tcW w:w="1194" w:type="dxa"/>
            <w:vAlign w:val="center"/>
          </w:tcPr>
          <w:p w:rsidR="00CC1A56" w:rsidRPr="00DD49B6" w:rsidRDefault="00CC1A56" w:rsidP="007D385B">
            <w:pPr>
              <w:pStyle w:val="naisf"/>
              <w:spacing w:before="0" w:beforeAutospacing="0" w:after="0" w:afterAutospacing="0"/>
              <w:jc w:val="center"/>
              <w:rPr>
                <w:b/>
                <w:i/>
              </w:rPr>
            </w:pPr>
            <w:r>
              <w:t>i</w:t>
            </w:r>
            <w:r w:rsidRPr="00DD49B6">
              <w:t>zmaiņas, salīdzinot ar kārtējo (n) gadu</w:t>
            </w:r>
          </w:p>
        </w:tc>
        <w:tc>
          <w:tcPr>
            <w:tcW w:w="1176" w:type="dxa"/>
            <w:vAlign w:val="center"/>
          </w:tcPr>
          <w:p w:rsidR="00CC1A56" w:rsidRPr="00DD49B6" w:rsidRDefault="00CC1A56" w:rsidP="007D385B">
            <w:pPr>
              <w:pStyle w:val="naisf"/>
              <w:spacing w:before="0" w:beforeAutospacing="0" w:after="0" w:afterAutospacing="0"/>
              <w:jc w:val="center"/>
              <w:rPr>
                <w:b/>
                <w:i/>
              </w:rPr>
            </w:pPr>
            <w:r>
              <w:t>i</w:t>
            </w:r>
            <w:r w:rsidRPr="00DD49B6">
              <w:t>zmaiņas, salīdzinot ar kārtējo (n) gadu</w:t>
            </w:r>
          </w:p>
        </w:tc>
      </w:tr>
      <w:tr w:rsidR="00CC1A56" w:rsidRPr="00DD49B6" w:rsidTr="002B0D05">
        <w:trPr>
          <w:jc w:val="center"/>
        </w:trPr>
        <w:tc>
          <w:tcPr>
            <w:tcW w:w="3182" w:type="dxa"/>
            <w:vAlign w:val="center"/>
          </w:tcPr>
          <w:p w:rsidR="00CC1A56" w:rsidRPr="00F666B4" w:rsidRDefault="00CC1A56" w:rsidP="007D385B">
            <w:pPr>
              <w:pStyle w:val="naisf"/>
              <w:spacing w:before="0" w:beforeAutospacing="0" w:after="0" w:afterAutospacing="0"/>
              <w:jc w:val="center"/>
              <w:rPr>
                <w:bCs/>
              </w:rPr>
            </w:pPr>
            <w:r w:rsidRPr="00F666B4">
              <w:rPr>
                <w:bCs/>
              </w:rPr>
              <w:t>1</w:t>
            </w:r>
          </w:p>
        </w:tc>
        <w:tc>
          <w:tcPr>
            <w:tcW w:w="1273" w:type="dxa"/>
            <w:vAlign w:val="center"/>
          </w:tcPr>
          <w:p w:rsidR="00CC1A56" w:rsidRPr="00F666B4" w:rsidRDefault="00CC1A56" w:rsidP="002060B7">
            <w:pPr>
              <w:pStyle w:val="naisf"/>
              <w:spacing w:before="0" w:beforeAutospacing="0" w:after="0" w:afterAutospacing="0"/>
              <w:jc w:val="center"/>
              <w:rPr>
                <w:bCs/>
              </w:rPr>
            </w:pPr>
            <w:r w:rsidRPr="00F666B4">
              <w:rPr>
                <w:bCs/>
              </w:rPr>
              <w:t>2</w:t>
            </w:r>
          </w:p>
        </w:tc>
        <w:tc>
          <w:tcPr>
            <w:tcW w:w="1538" w:type="dxa"/>
            <w:vAlign w:val="center"/>
          </w:tcPr>
          <w:p w:rsidR="00CC1A56" w:rsidRPr="00F666B4" w:rsidRDefault="00CC1A56" w:rsidP="002060B7">
            <w:pPr>
              <w:pStyle w:val="naisf"/>
              <w:spacing w:before="0" w:beforeAutospacing="0" w:after="0" w:afterAutospacing="0"/>
              <w:jc w:val="center"/>
              <w:rPr>
                <w:bCs/>
              </w:rPr>
            </w:pPr>
            <w:r w:rsidRPr="00F666B4">
              <w:rPr>
                <w:bCs/>
              </w:rPr>
              <w:t>3</w:t>
            </w:r>
          </w:p>
        </w:tc>
        <w:tc>
          <w:tcPr>
            <w:tcW w:w="1150" w:type="dxa"/>
            <w:vAlign w:val="center"/>
          </w:tcPr>
          <w:p w:rsidR="00CC1A56" w:rsidRPr="00F666B4" w:rsidRDefault="00CC1A56" w:rsidP="002060B7">
            <w:pPr>
              <w:pStyle w:val="naisf"/>
              <w:spacing w:before="0" w:beforeAutospacing="0" w:after="0" w:afterAutospacing="0"/>
              <w:jc w:val="center"/>
              <w:rPr>
                <w:bCs/>
              </w:rPr>
            </w:pPr>
            <w:r w:rsidRPr="00F666B4">
              <w:rPr>
                <w:bCs/>
              </w:rPr>
              <w:t>4</w:t>
            </w:r>
          </w:p>
        </w:tc>
        <w:tc>
          <w:tcPr>
            <w:tcW w:w="1194" w:type="dxa"/>
            <w:vAlign w:val="center"/>
          </w:tcPr>
          <w:p w:rsidR="00CC1A56" w:rsidRPr="00F666B4" w:rsidRDefault="00CC1A56" w:rsidP="002060B7">
            <w:pPr>
              <w:pStyle w:val="naisf"/>
              <w:spacing w:before="0" w:beforeAutospacing="0" w:after="0" w:afterAutospacing="0"/>
              <w:jc w:val="center"/>
              <w:rPr>
                <w:bCs/>
              </w:rPr>
            </w:pPr>
            <w:r w:rsidRPr="00F666B4">
              <w:rPr>
                <w:bCs/>
              </w:rPr>
              <w:t>5</w:t>
            </w:r>
          </w:p>
        </w:tc>
        <w:tc>
          <w:tcPr>
            <w:tcW w:w="1176" w:type="dxa"/>
            <w:vAlign w:val="center"/>
          </w:tcPr>
          <w:p w:rsidR="00CC1A56" w:rsidRPr="00F666B4" w:rsidRDefault="00CC1A56" w:rsidP="002060B7">
            <w:pPr>
              <w:pStyle w:val="naisf"/>
              <w:spacing w:before="0" w:beforeAutospacing="0" w:after="0" w:afterAutospacing="0"/>
              <w:jc w:val="center"/>
              <w:rPr>
                <w:bCs/>
              </w:rPr>
            </w:pPr>
            <w:r w:rsidRPr="00F666B4">
              <w:rPr>
                <w:bCs/>
              </w:rPr>
              <w:t>6</w:t>
            </w:r>
          </w:p>
        </w:tc>
      </w:tr>
      <w:tr w:rsidR="00BE582B" w:rsidRPr="00DD49B6" w:rsidTr="002B0D05">
        <w:trPr>
          <w:jc w:val="center"/>
        </w:trPr>
        <w:tc>
          <w:tcPr>
            <w:tcW w:w="3182" w:type="dxa"/>
          </w:tcPr>
          <w:p w:rsidR="00BE582B" w:rsidRPr="00DD49B6" w:rsidRDefault="00BE582B" w:rsidP="00BE582B">
            <w:pPr>
              <w:pStyle w:val="naisf"/>
              <w:spacing w:before="0" w:beforeAutospacing="0" w:after="0" w:afterAutospacing="0"/>
              <w:rPr>
                <w:i/>
              </w:rPr>
            </w:pPr>
            <w:r w:rsidRPr="00DD49B6">
              <w:t>1. Budžeta ieņēmumi:</w:t>
            </w:r>
          </w:p>
        </w:tc>
        <w:tc>
          <w:tcPr>
            <w:tcW w:w="1273" w:type="dxa"/>
          </w:tcPr>
          <w:p w:rsidR="00BE582B" w:rsidRPr="00B65E4F" w:rsidRDefault="00BE582B" w:rsidP="00BE582B">
            <w:pPr>
              <w:pStyle w:val="naisf"/>
              <w:spacing w:before="0" w:beforeAutospacing="0" w:after="0" w:afterAutospacing="0"/>
              <w:jc w:val="center"/>
            </w:pPr>
            <w:r w:rsidRPr="00B65E4F">
              <w:t>1 696 785</w:t>
            </w:r>
          </w:p>
        </w:tc>
        <w:tc>
          <w:tcPr>
            <w:tcW w:w="1538" w:type="dxa"/>
          </w:tcPr>
          <w:p w:rsidR="00BE582B" w:rsidRPr="00B65E4F" w:rsidRDefault="00BE582B" w:rsidP="00BE582B">
            <w:pPr>
              <w:pStyle w:val="naisf"/>
              <w:spacing w:before="0" w:beforeAutospacing="0" w:after="0" w:afterAutospacing="0"/>
              <w:jc w:val="center"/>
            </w:pPr>
            <w:r w:rsidRPr="00B65E4F">
              <w:t>1 167 664</w:t>
            </w:r>
          </w:p>
        </w:tc>
        <w:tc>
          <w:tcPr>
            <w:tcW w:w="1150" w:type="dxa"/>
          </w:tcPr>
          <w:p w:rsidR="00BE582B" w:rsidRPr="00B65E4F" w:rsidRDefault="00BE582B" w:rsidP="00BE582B">
            <w:pPr>
              <w:pStyle w:val="naisf"/>
              <w:spacing w:before="0" w:beforeAutospacing="0" w:after="0" w:afterAutospacing="0"/>
              <w:ind w:right="-132"/>
              <w:jc w:val="center"/>
            </w:pPr>
            <w:r w:rsidRPr="00B65E4F">
              <w:t>-1 696 785</w:t>
            </w:r>
          </w:p>
        </w:tc>
        <w:tc>
          <w:tcPr>
            <w:tcW w:w="1194" w:type="dxa"/>
          </w:tcPr>
          <w:p w:rsidR="00BE582B" w:rsidRPr="00BC33DC" w:rsidRDefault="00BE582B" w:rsidP="00BE582B">
            <w:pPr>
              <w:pStyle w:val="naisf"/>
              <w:spacing w:before="0" w:beforeAutospacing="0" w:after="0" w:afterAutospacing="0"/>
              <w:ind w:right="-72"/>
              <w:jc w:val="center"/>
            </w:pPr>
            <w:r w:rsidRPr="00BC33DC">
              <w:t>-1 696 785</w:t>
            </w:r>
          </w:p>
        </w:tc>
        <w:tc>
          <w:tcPr>
            <w:tcW w:w="1176" w:type="dxa"/>
          </w:tcPr>
          <w:p w:rsidR="00BE582B" w:rsidRPr="00BC33DC" w:rsidRDefault="00BE582B" w:rsidP="00ED5682">
            <w:pPr>
              <w:pStyle w:val="naisf"/>
              <w:spacing w:before="0" w:beforeAutospacing="0" w:after="0" w:afterAutospacing="0"/>
              <w:ind w:right="-88"/>
              <w:jc w:val="center"/>
            </w:pPr>
            <w:r w:rsidRPr="00BC33DC">
              <w:t>-1 696 785</w:t>
            </w:r>
          </w:p>
        </w:tc>
      </w:tr>
      <w:tr w:rsidR="00FC3449" w:rsidRPr="00DD49B6" w:rsidTr="002B0D05">
        <w:trPr>
          <w:jc w:val="center"/>
        </w:trPr>
        <w:tc>
          <w:tcPr>
            <w:tcW w:w="3182" w:type="dxa"/>
          </w:tcPr>
          <w:p w:rsidR="00FC3449" w:rsidRPr="00DD49B6" w:rsidRDefault="00FC3449"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 Budžeta izdevumi:</w:t>
            </w:r>
          </w:p>
        </w:tc>
        <w:tc>
          <w:tcPr>
            <w:tcW w:w="1273" w:type="dxa"/>
          </w:tcPr>
          <w:p w:rsidR="00FC3449" w:rsidRPr="00FC3449" w:rsidRDefault="00FC3449" w:rsidP="002060B7">
            <w:pPr>
              <w:pStyle w:val="naisf"/>
              <w:spacing w:before="0" w:beforeAutospacing="0" w:after="0" w:afterAutospacing="0"/>
              <w:jc w:val="center"/>
            </w:pPr>
            <w:r w:rsidRPr="00FC3449">
              <w:t>1 770 055</w:t>
            </w:r>
          </w:p>
        </w:tc>
        <w:tc>
          <w:tcPr>
            <w:tcW w:w="1538" w:type="dxa"/>
          </w:tcPr>
          <w:p w:rsidR="00FC3449" w:rsidRPr="00B65E4F" w:rsidRDefault="00F948CD" w:rsidP="002060B7">
            <w:pPr>
              <w:pStyle w:val="naisf"/>
              <w:spacing w:before="0" w:beforeAutospacing="0" w:after="0" w:afterAutospacing="0"/>
              <w:jc w:val="center"/>
            </w:pPr>
            <w:r w:rsidRPr="00B65E4F">
              <w:t>1 </w:t>
            </w:r>
            <w:r w:rsidR="00D45188" w:rsidRPr="00B65E4F">
              <w:t>157 094</w:t>
            </w:r>
          </w:p>
        </w:tc>
        <w:tc>
          <w:tcPr>
            <w:tcW w:w="1150" w:type="dxa"/>
          </w:tcPr>
          <w:p w:rsidR="00FC3449" w:rsidRPr="00B65E4F" w:rsidRDefault="00FC3449" w:rsidP="002060B7">
            <w:pPr>
              <w:pStyle w:val="naisf"/>
              <w:spacing w:before="0" w:beforeAutospacing="0" w:after="0" w:afterAutospacing="0"/>
              <w:ind w:right="-132"/>
              <w:jc w:val="center"/>
            </w:pPr>
            <w:r w:rsidRPr="00B65E4F">
              <w:t>-1 741 598</w:t>
            </w:r>
          </w:p>
        </w:tc>
        <w:tc>
          <w:tcPr>
            <w:tcW w:w="1194" w:type="dxa"/>
          </w:tcPr>
          <w:p w:rsidR="00FC3449" w:rsidRPr="00FC3449" w:rsidRDefault="00FC3449" w:rsidP="002060B7">
            <w:pPr>
              <w:pStyle w:val="naisf"/>
              <w:spacing w:before="0" w:beforeAutospacing="0" w:after="0" w:afterAutospacing="0"/>
              <w:ind w:right="-72"/>
              <w:jc w:val="center"/>
            </w:pPr>
            <w:r w:rsidRPr="00FC3449">
              <w:t>-1 770 055</w:t>
            </w:r>
          </w:p>
        </w:tc>
        <w:tc>
          <w:tcPr>
            <w:tcW w:w="1176" w:type="dxa"/>
          </w:tcPr>
          <w:p w:rsidR="00FC3449" w:rsidRPr="00FC3449" w:rsidRDefault="00FC3449" w:rsidP="00ED5682">
            <w:pPr>
              <w:pStyle w:val="naisf"/>
              <w:spacing w:before="0" w:beforeAutospacing="0" w:after="0" w:afterAutospacing="0"/>
              <w:ind w:right="-88"/>
              <w:jc w:val="center"/>
            </w:pPr>
            <w:r w:rsidRPr="00FC3449">
              <w:t>-1 770 055</w:t>
            </w:r>
          </w:p>
        </w:tc>
      </w:tr>
      <w:tr w:rsidR="00D45188" w:rsidRPr="00DD49B6" w:rsidTr="002B0D05">
        <w:trPr>
          <w:jc w:val="center"/>
        </w:trPr>
        <w:tc>
          <w:tcPr>
            <w:tcW w:w="3182" w:type="dxa"/>
          </w:tcPr>
          <w:p w:rsidR="00D45188" w:rsidRPr="00DD49B6" w:rsidRDefault="00D45188" w:rsidP="00D4518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 Finansiālā ietekme:</w:t>
            </w:r>
          </w:p>
        </w:tc>
        <w:tc>
          <w:tcPr>
            <w:tcW w:w="1273" w:type="dxa"/>
            <w:shd w:val="clear" w:color="auto" w:fill="auto"/>
            <w:vAlign w:val="center"/>
          </w:tcPr>
          <w:p w:rsidR="00D45188" w:rsidRPr="00B65E4F" w:rsidRDefault="00D45188" w:rsidP="00D45188">
            <w:pPr>
              <w:pStyle w:val="naisf"/>
              <w:spacing w:before="0" w:beforeAutospacing="0" w:after="0" w:afterAutospacing="0"/>
              <w:jc w:val="center"/>
            </w:pPr>
            <w:r w:rsidRPr="00B65E4F">
              <w:t>-</w:t>
            </w:r>
            <w:r w:rsidR="00F948CD" w:rsidRPr="00B65E4F">
              <w:t>73 </w:t>
            </w:r>
            <w:r w:rsidRPr="00B65E4F">
              <w:t>270</w:t>
            </w:r>
          </w:p>
        </w:tc>
        <w:tc>
          <w:tcPr>
            <w:tcW w:w="1538" w:type="dxa"/>
          </w:tcPr>
          <w:p w:rsidR="00D45188" w:rsidRPr="00B65E4F" w:rsidRDefault="00F948CD" w:rsidP="00D45188">
            <w:pPr>
              <w:pStyle w:val="naisf"/>
              <w:spacing w:before="0" w:beforeAutospacing="0" w:after="0" w:afterAutospacing="0"/>
              <w:jc w:val="center"/>
            </w:pPr>
            <w:r w:rsidRPr="00B65E4F">
              <w:t>10 </w:t>
            </w:r>
            <w:r w:rsidR="00D45188" w:rsidRPr="00B65E4F">
              <w:t>570</w:t>
            </w:r>
          </w:p>
        </w:tc>
        <w:tc>
          <w:tcPr>
            <w:tcW w:w="1150" w:type="dxa"/>
          </w:tcPr>
          <w:p w:rsidR="00D45188" w:rsidRPr="00B65E4F" w:rsidRDefault="00F948CD" w:rsidP="00D45188">
            <w:pPr>
              <w:pStyle w:val="naisf"/>
              <w:spacing w:before="0" w:beforeAutospacing="0" w:after="0" w:afterAutospacing="0"/>
              <w:jc w:val="center"/>
            </w:pPr>
            <w:r w:rsidRPr="00B65E4F">
              <w:t>44 </w:t>
            </w:r>
            <w:r w:rsidR="00D45188" w:rsidRPr="00B65E4F">
              <w:t>813</w:t>
            </w:r>
          </w:p>
        </w:tc>
        <w:tc>
          <w:tcPr>
            <w:tcW w:w="1194" w:type="dxa"/>
          </w:tcPr>
          <w:p w:rsidR="00D45188" w:rsidRPr="00B65E4F" w:rsidRDefault="00F948CD" w:rsidP="00D45188">
            <w:pPr>
              <w:pStyle w:val="naisf"/>
              <w:spacing w:before="0" w:beforeAutospacing="0" w:after="0" w:afterAutospacing="0"/>
              <w:jc w:val="center"/>
            </w:pPr>
            <w:r w:rsidRPr="00B65E4F">
              <w:t>73 </w:t>
            </w:r>
            <w:r w:rsidR="00D45188" w:rsidRPr="00B65E4F">
              <w:t>270</w:t>
            </w:r>
          </w:p>
        </w:tc>
        <w:tc>
          <w:tcPr>
            <w:tcW w:w="1176" w:type="dxa"/>
          </w:tcPr>
          <w:p w:rsidR="00D45188" w:rsidRPr="00B65E4F" w:rsidRDefault="00F948CD" w:rsidP="00D45188">
            <w:pPr>
              <w:pStyle w:val="naisf"/>
              <w:spacing w:before="0" w:beforeAutospacing="0" w:after="0" w:afterAutospacing="0"/>
              <w:jc w:val="center"/>
            </w:pPr>
            <w:r w:rsidRPr="00B65E4F">
              <w:t>73 </w:t>
            </w:r>
            <w:r w:rsidR="00D45188" w:rsidRPr="00B65E4F">
              <w:t>270</w:t>
            </w:r>
          </w:p>
        </w:tc>
      </w:tr>
      <w:tr w:rsidR="00FC3449" w:rsidRPr="00DD49B6" w:rsidTr="007D385B">
        <w:trPr>
          <w:trHeight w:val="1380"/>
          <w:jc w:val="center"/>
        </w:trPr>
        <w:tc>
          <w:tcPr>
            <w:tcW w:w="3182" w:type="dxa"/>
          </w:tcPr>
          <w:p w:rsidR="00FC3449" w:rsidRPr="00DD49B6" w:rsidRDefault="00FC3449"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4. Finanšu līdzekļi papildu izdevumu finansēšanai (kompensējošu izdevumu samazinājumu norāda ar </w:t>
            </w:r>
            <w:r>
              <w:rPr>
                <w:rFonts w:ascii="Times New Roman" w:hAnsi="Times New Roman" w:cs="Times New Roman"/>
                <w:sz w:val="24"/>
                <w:szCs w:val="24"/>
              </w:rPr>
              <w:t>"</w:t>
            </w:r>
            <w:r w:rsidRPr="00DD49B6">
              <w:rPr>
                <w:rFonts w:ascii="Times New Roman" w:hAnsi="Times New Roman" w:cs="Times New Roman"/>
                <w:sz w:val="24"/>
                <w:szCs w:val="24"/>
              </w:rPr>
              <w:t>+</w:t>
            </w:r>
            <w:r>
              <w:rPr>
                <w:rFonts w:ascii="Times New Roman" w:hAnsi="Times New Roman" w:cs="Times New Roman"/>
                <w:sz w:val="24"/>
                <w:szCs w:val="24"/>
              </w:rPr>
              <w:t>"</w:t>
            </w:r>
            <w:r w:rsidRPr="00DD49B6">
              <w:rPr>
                <w:rFonts w:ascii="Times New Roman" w:hAnsi="Times New Roman" w:cs="Times New Roman"/>
                <w:sz w:val="24"/>
                <w:szCs w:val="24"/>
              </w:rPr>
              <w:t xml:space="preserve"> zīmi)</w:t>
            </w:r>
          </w:p>
        </w:tc>
        <w:tc>
          <w:tcPr>
            <w:tcW w:w="1273" w:type="dxa"/>
          </w:tcPr>
          <w:p w:rsidR="00FC3449" w:rsidRPr="00B65E4F" w:rsidRDefault="00FC3449" w:rsidP="008179F2">
            <w:pPr>
              <w:pStyle w:val="naisf"/>
              <w:spacing w:before="0" w:beforeAutospacing="0" w:after="0" w:afterAutospacing="0"/>
              <w:jc w:val="center"/>
            </w:pPr>
            <w:r w:rsidRPr="00B65E4F">
              <w:t>X</w:t>
            </w:r>
          </w:p>
        </w:tc>
        <w:tc>
          <w:tcPr>
            <w:tcW w:w="1538" w:type="dxa"/>
          </w:tcPr>
          <w:p w:rsidR="00FC3449" w:rsidRPr="00B65E4F" w:rsidRDefault="00FC3449" w:rsidP="008179F2">
            <w:pPr>
              <w:pStyle w:val="naisf"/>
              <w:spacing w:before="0" w:beforeAutospacing="0" w:after="0" w:afterAutospacing="0"/>
              <w:jc w:val="center"/>
            </w:pPr>
            <w:r w:rsidRPr="00B65E4F">
              <w:t>0</w:t>
            </w:r>
          </w:p>
        </w:tc>
        <w:tc>
          <w:tcPr>
            <w:tcW w:w="1150" w:type="dxa"/>
          </w:tcPr>
          <w:p w:rsidR="00FC3449" w:rsidRPr="00B65E4F" w:rsidRDefault="00FC3449" w:rsidP="008179F2">
            <w:pPr>
              <w:pStyle w:val="naisf"/>
              <w:spacing w:before="0" w:beforeAutospacing="0" w:after="0" w:afterAutospacing="0"/>
              <w:jc w:val="center"/>
            </w:pPr>
            <w:r w:rsidRPr="00B65E4F">
              <w:t>0</w:t>
            </w:r>
          </w:p>
        </w:tc>
        <w:tc>
          <w:tcPr>
            <w:tcW w:w="1194" w:type="dxa"/>
          </w:tcPr>
          <w:p w:rsidR="00FC3449" w:rsidRPr="00B65E4F" w:rsidRDefault="00FC3449" w:rsidP="008179F2">
            <w:pPr>
              <w:pStyle w:val="naisf"/>
              <w:spacing w:before="0" w:beforeAutospacing="0" w:after="0" w:afterAutospacing="0"/>
              <w:jc w:val="center"/>
            </w:pPr>
            <w:r w:rsidRPr="00B65E4F">
              <w:t>0</w:t>
            </w:r>
          </w:p>
        </w:tc>
        <w:tc>
          <w:tcPr>
            <w:tcW w:w="1176" w:type="dxa"/>
          </w:tcPr>
          <w:p w:rsidR="00FC3449" w:rsidRPr="00B65E4F" w:rsidRDefault="00FC3449" w:rsidP="008179F2">
            <w:pPr>
              <w:pStyle w:val="naisf"/>
              <w:spacing w:before="0" w:beforeAutospacing="0" w:after="0" w:afterAutospacing="0"/>
              <w:jc w:val="center"/>
            </w:pPr>
            <w:r w:rsidRPr="00B65E4F">
              <w:t>0</w:t>
            </w:r>
          </w:p>
        </w:tc>
      </w:tr>
      <w:tr w:rsidR="00FC3449" w:rsidRPr="00DD49B6" w:rsidTr="002B0D05">
        <w:trPr>
          <w:jc w:val="center"/>
        </w:trPr>
        <w:tc>
          <w:tcPr>
            <w:tcW w:w="3182" w:type="dxa"/>
          </w:tcPr>
          <w:p w:rsidR="00FC3449" w:rsidRPr="00DD49B6" w:rsidRDefault="00FC3449"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5. Precizēta finansiālā ietekme:</w:t>
            </w:r>
          </w:p>
        </w:tc>
        <w:tc>
          <w:tcPr>
            <w:tcW w:w="1273" w:type="dxa"/>
          </w:tcPr>
          <w:p w:rsidR="00FC3449" w:rsidRPr="00FC3449" w:rsidRDefault="00FC3449" w:rsidP="008179F2">
            <w:pPr>
              <w:pStyle w:val="naisf"/>
              <w:spacing w:before="0" w:beforeAutospacing="0" w:after="0" w:afterAutospacing="0"/>
              <w:jc w:val="center"/>
            </w:pPr>
            <w:r w:rsidRPr="00FC3449">
              <w:t>X</w:t>
            </w:r>
          </w:p>
        </w:tc>
        <w:tc>
          <w:tcPr>
            <w:tcW w:w="1538" w:type="dxa"/>
          </w:tcPr>
          <w:p w:rsidR="00FC3449" w:rsidRPr="00FC3449" w:rsidRDefault="00FC3449" w:rsidP="008179F2">
            <w:pPr>
              <w:pStyle w:val="naisf"/>
              <w:spacing w:before="0" w:beforeAutospacing="0" w:after="0" w:afterAutospacing="0"/>
              <w:jc w:val="center"/>
            </w:pPr>
            <w:r w:rsidRPr="00FC3449">
              <w:t>N/A</w:t>
            </w:r>
          </w:p>
        </w:tc>
        <w:tc>
          <w:tcPr>
            <w:tcW w:w="1150" w:type="dxa"/>
          </w:tcPr>
          <w:p w:rsidR="00FC3449" w:rsidRPr="00FC3449" w:rsidRDefault="00FC3449" w:rsidP="008179F2">
            <w:pPr>
              <w:jc w:val="center"/>
              <w:rPr>
                <w:rFonts w:ascii="Times New Roman" w:hAnsi="Times New Roman" w:cs="Times New Roman"/>
                <w:sz w:val="24"/>
                <w:szCs w:val="24"/>
              </w:rPr>
            </w:pPr>
            <w:r w:rsidRPr="00FC3449">
              <w:rPr>
                <w:rFonts w:ascii="Times New Roman" w:hAnsi="Times New Roman" w:cs="Times New Roman"/>
                <w:sz w:val="24"/>
                <w:szCs w:val="24"/>
              </w:rPr>
              <w:t>N/A</w:t>
            </w:r>
          </w:p>
        </w:tc>
        <w:tc>
          <w:tcPr>
            <w:tcW w:w="1194" w:type="dxa"/>
          </w:tcPr>
          <w:p w:rsidR="00FC3449" w:rsidRPr="00FC3449" w:rsidRDefault="00FC3449" w:rsidP="008179F2">
            <w:pPr>
              <w:jc w:val="center"/>
              <w:rPr>
                <w:rFonts w:ascii="Times New Roman" w:hAnsi="Times New Roman" w:cs="Times New Roman"/>
                <w:sz w:val="24"/>
                <w:szCs w:val="24"/>
              </w:rPr>
            </w:pPr>
            <w:r w:rsidRPr="00FC3449">
              <w:rPr>
                <w:rFonts w:ascii="Times New Roman" w:hAnsi="Times New Roman" w:cs="Times New Roman"/>
                <w:sz w:val="24"/>
                <w:szCs w:val="24"/>
              </w:rPr>
              <w:t>N/A</w:t>
            </w:r>
          </w:p>
        </w:tc>
        <w:tc>
          <w:tcPr>
            <w:tcW w:w="1176" w:type="dxa"/>
          </w:tcPr>
          <w:p w:rsidR="00FC3449" w:rsidRPr="00FC3449" w:rsidRDefault="00FC3449" w:rsidP="008179F2">
            <w:pPr>
              <w:jc w:val="center"/>
              <w:rPr>
                <w:rFonts w:ascii="Times New Roman" w:hAnsi="Times New Roman" w:cs="Times New Roman"/>
                <w:sz w:val="24"/>
                <w:szCs w:val="24"/>
              </w:rPr>
            </w:pPr>
            <w:r w:rsidRPr="00FC3449">
              <w:rPr>
                <w:rFonts w:ascii="Times New Roman" w:hAnsi="Times New Roman" w:cs="Times New Roman"/>
                <w:sz w:val="24"/>
                <w:szCs w:val="24"/>
              </w:rPr>
              <w:t>N/A</w:t>
            </w:r>
          </w:p>
        </w:tc>
      </w:tr>
      <w:tr w:rsidR="00CC1A56" w:rsidRPr="00DD49B6" w:rsidTr="00B46D66">
        <w:trPr>
          <w:jc w:val="center"/>
        </w:trPr>
        <w:tc>
          <w:tcPr>
            <w:tcW w:w="3182" w:type="dxa"/>
            <w:shd w:val="clear" w:color="auto" w:fill="auto"/>
          </w:tcPr>
          <w:p w:rsidR="00CC1A56" w:rsidRPr="00DD49B6" w:rsidRDefault="00CC1A56"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 Detalizēts ieņēmumu un izdevumu aprēķins (ja nepie</w:t>
            </w:r>
            <w:r>
              <w:rPr>
                <w:rFonts w:ascii="Times New Roman" w:hAnsi="Times New Roman" w:cs="Times New Roman"/>
                <w:sz w:val="24"/>
                <w:szCs w:val="24"/>
              </w:rPr>
              <w:softHyphen/>
            </w:r>
            <w:r w:rsidRPr="00DD49B6">
              <w:rPr>
                <w:rFonts w:ascii="Times New Roman" w:hAnsi="Times New Roman" w:cs="Times New Roman"/>
                <w:sz w:val="24"/>
                <w:szCs w:val="24"/>
              </w:rPr>
              <w:t>ciešams, detalizētu ieņēmumu un izdevumu aprēķinu var pie</w:t>
            </w:r>
            <w:r>
              <w:rPr>
                <w:rFonts w:ascii="Times New Roman" w:hAnsi="Times New Roman" w:cs="Times New Roman"/>
                <w:sz w:val="24"/>
                <w:szCs w:val="24"/>
              </w:rPr>
              <w:softHyphen/>
            </w:r>
            <w:r w:rsidRPr="00DD49B6">
              <w:rPr>
                <w:rFonts w:ascii="Times New Roman" w:hAnsi="Times New Roman" w:cs="Times New Roman"/>
                <w:sz w:val="24"/>
                <w:szCs w:val="24"/>
              </w:rPr>
              <w:t>vienot anotācijas pielikumā):</w:t>
            </w:r>
          </w:p>
        </w:tc>
        <w:tc>
          <w:tcPr>
            <w:tcW w:w="6331" w:type="dxa"/>
            <w:gridSpan w:val="5"/>
            <w:vMerge w:val="restart"/>
            <w:shd w:val="clear" w:color="auto" w:fill="auto"/>
            <w:vAlign w:val="center"/>
          </w:tcPr>
          <w:p w:rsidR="00970BC1" w:rsidRPr="00A2773D" w:rsidRDefault="00970BC1" w:rsidP="00970BC1">
            <w:pPr>
              <w:autoSpaceDE w:val="0"/>
              <w:spacing w:after="0" w:line="240" w:lineRule="auto"/>
              <w:jc w:val="both"/>
              <w:rPr>
                <w:rFonts w:ascii="Times New Roman" w:hAnsi="Times New Roman" w:cs="Times New Roman"/>
                <w:sz w:val="24"/>
                <w:szCs w:val="24"/>
              </w:rPr>
            </w:pPr>
            <w:r w:rsidRPr="00970BC1">
              <w:rPr>
                <w:rFonts w:ascii="Times New Roman" w:eastAsia="PMingLiU" w:hAnsi="Times New Roman" w:cs="Times New Roman"/>
                <w:sz w:val="24"/>
                <w:szCs w:val="24"/>
              </w:rPr>
              <w:t xml:space="preserve">Budžeta </w:t>
            </w:r>
            <w:r w:rsidRPr="00970BC1">
              <w:rPr>
                <w:rFonts w:ascii="Times New Roman" w:hAnsi="Times New Roman" w:cs="Times New Roman"/>
                <w:sz w:val="24"/>
                <w:szCs w:val="24"/>
              </w:rPr>
              <w:t>ieņēmumi ir finansējuma E</w:t>
            </w:r>
            <w:r w:rsidR="00FA66F6">
              <w:rPr>
                <w:rFonts w:ascii="Times New Roman" w:hAnsi="Times New Roman" w:cs="Times New Roman"/>
                <w:sz w:val="24"/>
                <w:szCs w:val="24"/>
              </w:rPr>
              <w:t xml:space="preserve">iropas </w:t>
            </w:r>
            <w:r w:rsidRPr="00970BC1">
              <w:rPr>
                <w:rFonts w:ascii="Times New Roman" w:hAnsi="Times New Roman" w:cs="Times New Roman"/>
                <w:sz w:val="24"/>
                <w:szCs w:val="24"/>
              </w:rPr>
              <w:t>S</w:t>
            </w:r>
            <w:r w:rsidR="00FA66F6">
              <w:rPr>
                <w:rFonts w:ascii="Times New Roman" w:hAnsi="Times New Roman" w:cs="Times New Roman"/>
                <w:sz w:val="24"/>
                <w:szCs w:val="24"/>
              </w:rPr>
              <w:t>ociālā fonda (turpmāk – ESF)</w:t>
            </w:r>
            <w:r w:rsidRPr="00970BC1">
              <w:rPr>
                <w:rFonts w:ascii="Times New Roman" w:hAnsi="Times New Roman" w:cs="Times New Roman"/>
                <w:sz w:val="24"/>
                <w:szCs w:val="24"/>
              </w:rPr>
              <w:t xml:space="preserve"> daļa, un budžeta izdevumi ir kopējie nepieciešamie līdzekļi attiecīgajā gadā (izņemot </w:t>
            </w:r>
            <w:proofErr w:type="gramStart"/>
            <w:r w:rsidRPr="00970BC1">
              <w:rPr>
                <w:rFonts w:ascii="Times New Roman" w:hAnsi="Times New Roman" w:cs="Times New Roman"/>
                <w:sz w:val="24"/>
                <w:szCs w:val="24"/>
              </w:rPr>
              <w:t>2012.gadā</w:t>
            </w:r>
            <w:proofErr w:type="gramEnd"/>
            <w:r w:rsidRPr="00970BC1">
              <w:rPr>
                <w:rFonts w:ascii="Times New Roman" w:hAnsi="Times New Roman" w:cs="Times New Roman"/>
                <w:sz w:val="24"/>
                <w:szCs w:val="24"/>
              </w:rPr>
              <w:t>). ESF fina</w:t>
            </w:r>
            <w:r w:rsidR="00901BEB">
              <w:rPr>
                <w:rFonts w:ascii="Times New Roman" w:hAnsi="Times New Roman" w:cs="Times New Roman"/>
                <w:sz w:val="24"/>
                <w:szCs w:val="24"/>
              </w:rPr>
              <w:t xml:space="preserve">nsējuma apmērs ir </w:t>
            </w:r>
            <w:r w:rsidR="00901BEB" w:rsidRPr="00A2773D">
              <w:rPr>
                <w:rFonts w:ascii="Times New Roman" w:hAnsi="Times New Roman" w:cs="Times New Roman"/>
                <w:sz w:val="24"/>
                <w:szCs w:val="24"/>
              </w:rPr>
              <w:t>aptuveni 92,12</w:t>
            </w:r>
            <w:r w:rsidRPr="00A2773D">
              <w:rPr>
                <w:rFonts w:ascii="Times New Roman" w:hAnsi="Times New Roman" w:cs="Times New Roman"/>
                <w:sz w:val="24"/>
                <w:szCs w:val="24"/>
              </w:rPr>
              <w:t>% no kopējās projekta attiecināmo izmaksu kopsummas. Ņemot vērā, ka piešķirtā finansējuma sadalījums starp ESF finansējumu un valsts budžet</w:t>
            </w:r>
            <w:r w:rsidR="0007088B" w:rsidRPr="00A2773D">
              <w:rPr>
                <w:rFonts w:ascii="Times New Roman" w:hAnsi="Times New Roman" w:cs="Times New Roman"/>
                <w:sz w:val="24"/>
                <w:szCs w:val="24"/>
              </w:rPr>
              <w:t>a finansējumu pa gadiem ir mainījies</w:t>
            </w:r>
            <w:r w:rsidRPr="00A2773D">
              <w:rPr>
                <w:rFonts w:ascii="Times New Roman" w:hAnsi="Times New Roman" w:cs="Times New Roman"/>
                <w:sz w:val="24"/>
                <w:szCs w:val="24"/>
              </w:rPr>
              <w:t>, procentuālais finansējuma sadalījums dažādos gados ir atšķirīgs.</w:t>
            </w:r>
          </w:p>
          <w:p w:rsidR="00970BC1" w:rsidRPr="00A2773D" w:rsidRDefault="00846621" w:rsidP="00970BC1">
            <w:pPr>
              <w:autoSpaceDE w:val="0"/>
              <w:spacing w:after="0" w:line="240" w:lineRule="auto"/>
              <w:jc w:val="both"/>
              <w:rPr>
                <w:rFonts w:ascii="Times New Roman" w:hAnsi="Times New Roman" w:cs="Times New Roman"/>
                <w:sz w:val="24"/>
                <w:szCs w:val="24"/>
              </w:rPr>
            </w:pPr>
            <w:r w:rsidRPr="00A2773D">
              <w:rPr>
                <w:rFonts w:ascii="Times New Roman" w:eastAsia="PMingLiU" w:hAnsi="Times New Roman" w:cs="Times New Roman"/>
                <w:sz w:val="24"/>
                <w:szCs w:val="24"/>
              </w:rPr>
              <w:t xml:space="preserve">1.4.1.1.1.aktivitātei </w:t>
            </w:r>
            <w:r w:rsidR="00970BC1" w:rsidRPr="00A2773D">
              <w:rPr>
                <w:rFonts w:ascii="Times New Roman" w:eastAsia="PMingLiU" w:hAnsi="Times New Roman" w:cs="Times New Roman"/>
                <w:sz w:val="24"/>
                <w:szCs w:val="24"/>
              </w:rPr>
              <w:t>pieejamais finansējums ir 18 13</w:t>
            </w:r>
            <w:r w:rsidR="00943135" w:rsidRPr="00A2773D">
              <w:rPr>
                <w:rFonts w:ascii="Times New Roman" w:eastAsia="PMingLiU" w:hAnsi="Times New Roman" w:cs="Times New Roman"/>
                <w:sz w:val="24"/>
                <w:szCs w:val="24"/>
              </w:rPr>
              <w:t>6</w:t>
            </w:r>
            <w:r w:rsidR="00970BC1" w:rsidRPr="00A2773D">
              <w:rPr>
                <w:rFonts w:ascii="Times New Roman" w:eastAsia="PMingLiU" w:hAnsi="Times New Roman" w:cs="Times New Roman"/>
                <w:sz w:val="24"/>
                <w:szCs w:val="24"/>
              </w:rPr>
              <w:t> </w:t>
            </w:r>
            <w:r w:rsidR="00943135" w:rsidRPr="00A2773D">
              <w:rPr>
                <w:rFonts w:ascii="Times New Roman" w:eastAsia="PMingLiU" w:hAnsi="Times New Roman" w:cs="Times New Roman"/>
                <w:sz w:val="24"/>
                <w:szCs w:val="24"/>
              </w:rPr>
              <w:t>721</w:t>
            </w:r>
            <w:r w:rsidR="00970BC1" w:rsidRPr="00A2773D">
              <w:rPr>
                <w:rFonts w:ascii="Times New Roman" w:eastAsia="PMingLiU" w:hAnsi="Times New Roman" w:cs="Times New Roman"/>
                <w:sz w:val="24"/>
                <w:szCs w:val="24"/>
              </w:rPr>
              <w:t xml:space="preserve"> EUR, tai skaitā ESF finansējums ir 16 70</w:t>
            </w:r>
            <w:r w:rsidR="005A6DA2" w:rsidRPr="00A2773D">
              <w:rPr>
                <w:rFonts w:ascii="Times New Roman" w:eastAsia="PMingLiU" w:hAnsi="Times New Roman" w:cs="Times New Roman"/>
                <w:sz w:val="24"/>
                <w:szCs w:val="24"/>
              </w:rPr>
              <w:t>7</w:t>
            </w:r>
            <w:r w:rsidR="00970BC1" w:rsidRPr="00A2773D">
              <w:rPr>
                <w:rFonts w:ascii="Times New Roman" w:eastAsia="PMingLiU" w:hAnsi="Times New Roman" w:cs="Times New Roman"/>
                <w:sz w:val="24"/>
                <w:szCs w:val="24"/>
              </w:rPr>
              <w:t> </w:t>
            </w:r>
            <w:r w:rsidR="005A6DA2" w:rsidRPr="00A2773D">
              <w:rPr>
                <w:rFonts w:ascii="Times New Roman" w:eastAsia="PMingLiU" w:hAnsi="Times New Roman" w:cs="Times New Roman"/>
                <w:sz w:val="24"/>
                <w:szCs w:val="24"/>
              </w:rPr>
              <w:t>3</w:t>
            </w:r>
            <w:r w:rsidR="00970BC1" w:rsidRPr="00A2773D">
              <w:rPr>
                <w:rFonts w:ascii="Times New Roman" w:eastAsia="PMingLiU" w:hAnsi="Times New Roman" w:cs="Times New Roman"/>
                <w:sz w:val="24"/>
                <w:szCs w:val="24"/>
              </w:rPr>
              <w:t>86 EUR un valsts budžeta finansējums 1 429 </w:t>
            </w:r>
            <w:r w:rsidR="005A6DA2" w:rsidRPr="00A2773D">
              <w:rPr>
                <w:rFonts w:ascii="Times New Roman" w:eastAsia="PMingLiU" w:hAnsi="Times New Roman" w:cs="Times New Roman"/>
                <w:sz w:val="24"/>
                <w:szCs w:val="24"/>
              </w:rPr>
              <w:t>335</w:t>
            </w:r>
            <w:r w:rsidR="00970BC1" w:rsidRPr="00A2773D">
              <w:rPr>
                <w:rFonts w:ascii="Times New Roman" w:eastAsia="PMingLiU" w:hAnsi="Times New Roman" w:cs="Times New Roman"/>
                <w:sz w:val="24"/>
                <w:szCs w:val="24"/>
              </w:rPr>
              <w:t xml:space="preserve"> EUR.</w:t>
            </w:r>
          </w:p>
          <w:p w:rsidR="00970BC1" w:rsidRPr="00A2773D" w:rsidRDefault="00846621" w:rsidP="00970BC1">
            <w:pPr>
              <w:pStyle w:val="naisf"/>
              <w:spacing w:before="0" w:beforeAutospacing="0" w:after="0" w:afterAutospacing="0"/>
              <w:jc w:val="both"/>
            </w:pPr>
            <w:r w:rsidRPr="00A2773D">
              <w:t>1.4.1.1.1.</w:t>
            </w:r>
            <w:r w:rsidR="00970BC1" w:rsidRPr="00A2773D">
              <w:t>apakšaktivitātei papildus paredz attiecināmo</w:t>
            </w:r>
            <w:r w:rsidR="00970BC1" w:rsidRPr="00970BC1">
              <w:t xml:space="preserve"> </w:t>
            </w:r>
            <w:proofErr w:type="spellStart"/>
            <w:r w:rsidR="00970BC1" w:rsidRPr="00970BC1">
              <w:t>virssaistību</w:t>
            </w:r>
            <w:proofErr w:type="spellEnd"/>
            <w:r w:rsidR="00970BC1" w:rsidRPr="00970BC1">
              <w:t xml:space="preserve"> finansējumu (valsts budžeta attiecināmais fin</w:t>
            </w:r>
            <w:r w:rsidR="00954D9F">
              <w:t>ansējums, kas piešķirts papildu</w:t>
            </w:r>
            <w:r w:rsidR="0042358E">
              <w:t>s</w:t>
            </w:r>
            <w:r w:rsidR="00970BC1" w:rsidRPr="00970BC1">
              <w:t xml:space="preserve"> 1.4.1.1.1.apakšaktivitātes </w:t>
            </w:r>
            <w:r w:rsidR="0042358E">
              <w:lastRenderedPageBreak/>
              <w:t xml:space="preserve">DPP </w:t>
            </w:r>
            <w:r w:rsidR="00970BC1" w:rsidRPr="00970BC1">
              <w:t>noteiktajam finansējumam) 2 161 998,22 EUR apmēr</w:t>
            </w:r>
            <w:r w:rsidR="00954D9F">
              <w:t xml:space="preserve">ā, tai skaitā ESF </w:t>
            </w:r>
            <w:r w:rsidR="00954D9F" w:rsidRPr="00A2773D">
              <w:t xml:space="preserve">finansējumu </w:t>
            </w:r>
            <w:r w:rsidR="00B23C1E" w:rsidRPr="00A2773D">
              <w:t xml:space="preserve">1 991 632,76 </w:t>
            </w:r>
            <w:r w:rsidR="00970BC1" w:rsidRPr="00A2773D">
              <w:t>EUR apmērā un</w:t>
            </w:r>
            <w:r w:rsidR="00954D9F" w:rsidRPr="00A2773D">
              <w:t xml:space="preserve"> valsts budžeta finansējumu 170 </w:t>
            </w:r>
            <w:r w:rsidR="00BA386E" w:rsidRPr="00A2773D">
              <w:t xml:space="preserve">365,46 </w:t>
            </w:r>
            <w:r w:rsidR="00970BC1" w:rsidRPr="00A2773D">
              <w:t>EUR apmērā.</w:t>
            </w:r>
          </w:p>
          <w:p w:rsidR="00970BC1" w:rsidRPr="00A2773D" w:rsidRDefault="00970BC1" w:rsidP="00970BC1">
            <w:pPr>
              <w:spacing w:after="0" w:line="240" w:lineRule="auto"/>
              <w:jc w:val="both"/>
              <w:rPr>
                <w:rFonts w:ascii="Times New Roman" w:hAnsi="Times New Roman" w:cs="Times New Roman"/>
                <w:sz w:val="24"/>
                <w:szCs w:val="24"/>
              </w:rPr>
            </w:pPr>
            <w:r w:rsidRPr="00A2773D">
              <w:rPr>
                <w:rFonts w:ascii="Times New Roman" w:hAnsi="Times New Roman" w:cs="Times New Roman"/>
                <w:sz w:val="24"/>
                <w:szCs w:val="24"/>
              </w:rPr>
              <w:t xml:space="preserve">Kopējais 1.4.1.1.1.apapkšaktivitātei piešķirtais </w:t>
            </w:r>
            <w:r w:rsidR="00B816B4" w:rsidRPr="00A2773D">
              <w:rPr>
                <w:rFonts w:ascii="Times New Roman" w:hAnsi="Times New Roman" w:cs="Times New Roman"/>
                <w:sz w:val="24"/>
                <w:szCs w:val="24"/>
              </w:rPr>
              <w:t>attiecināmais finansējums ir 20 </w:t>
            </w:r>
            <w:r w:rsidR="00153D15" w:rsidRPr="00A2773D">
              <w:rPr>
                <w:rFonts w:ascii="Times New Roman" w:hAnsi="Times New Roman" w:cs="Times New Roman"/>
                <w:sz w:val="24"/>
                <w:szCs w:val="24"/>
              </w:rPr>
              <w:t xml:space="preserve">298 719,22 </w:t>
            </w:r>
            <w:r w:rsidRPr="00A2773D">
              <w:rPr>
                <w:rFonts w:ascii="Times New Roman" w:hAnsi="Times New Roman" w:cs="Times New Roman"/>
                <w:sz w:val="24"/>
                <w:szCs w:val="24"/>
              </w:rPr>
              <w:t>EUR, ta</w:t>
            </w:r>
            <w:r w:rsidR="00B816B4" w:rsidRPr="00A2773D">
              <w:rPr>
                <w:rFonts w:ascii="Times New Roman" w:hAnsi="Times New Roman" w:cs="Times New Roman"/>
                <w:sz w:val="24"/>
                <w:szCs w:val="24"/>
              </w:rPr>
              <w:t>i skaitā ESF finansējums 18 </w:t>
            </w:r>
            <w:r w:rsidR="0078707C" w:rsidRPr="00A2773D">
              <w:rPr>
                <w:rFonts w:ascii="Times New Roman" w:hAnsi="Times New Roman" w:cs="Times New Roman"/>
                <w:sz w:val="24"/>
                <w:szCs w:val="24"/>
              </w:rPr>
              <w:t xml:space="preserve">699 018,76 </w:t>
            </w:r>
            <w:r w:rsidRPr="00A2773D">
              <w:rPr>
                <w:rFonts w:ascii="Times New Roman" w:hAnsi="Times New Roman" w:cs="Times New Roman"/>
                <w:sz w:val="24"/>
                <w:szCs w:val="24"/>
              </w:rPr>
              <w:t>EUR un valsts budžeta finansējums 1 </w:t>
            </w:r>
            <w:r w:rsidR="00970CFC" w:rsidRPr="00A2773D">
              <w:rPr>
                <w:rFonts w:ascii="Times New Roman" w:hAnsi="Times New Roman" w:cs="Times New Roman"/>
                <w:sz w:val="24"/>
                <w:szCs w:val="24"/>
              </w:rPr>
              <w:t xml:space="preserve">599 700,46 </w:t>
            </w:r>
            <w:r w:rsidRPr="00A2773D">
              <w:rPr>
                <w:rFonts w:ascii="Times New Roman" w:hAnsi="Times New Roman" w:cs="Times New Roman"/>
                <w:sz w:val="24"/>
                <w:szCs w:val="24"/>
              </w:rPr>
              <w:t>EUR.</w:t>
            </w:r>
          </w:p>
          <w:p w:rsidR="00970BC1" w:rsidRPr="00A2773D" w:rsidRDefault="00083D02" w:rsidP="00970BC1">
            <w:pPr>
              <w:spacing w:after="0" w:line="240" w:lineRule="auto"/>
              <w:jc w:val="both"/>
              <w:rPr>
                <w:rFonts w:ascii="Times New Roman" w:hAnsi="Times New Roman" w:cs="Times New Roman"/>
                <w:sz w:val="24"/>
                <w:szCs w:val="24"/>
              </w:rPr>
            </w:pPr>
            <w:r w:rsidRPr="00A2773D">
              <w:rPr>
                <w:rFonts w:ascii="Times New Roman" w:hAnsi="Times New Roman" w:cs="Times New Roman"/>
                <w:sz w:val="24"/>
                <w:szCs w:val="24"/>
                <w:u w:val="single"/>
              </w:rPr>
              <w:t xml:space="preserve">Līdz </w:t>
            </w:r>
            <w:proofErr w:type="gramStart"/>
            <w:r w:rsidRPr="00A2773D">
              <w:rPr>
                <w:rFonts w:ascii="Times New Roman" w:hAnsi="Times New Roman" w:cs="Times New Roman"/>
                <w:sz w:val="24"/>
                <w:szCs w:val="24"/>
                <w:u w:val="single"/>
              </w:rPr>
              <w:t>2013</w:t>
            </w:r>
            <w:r w:rsidR="00970BC1" w:rsidRPr="00A2773D">
              <w:rPr>
                <w:rFonts w:ascii="Times New Roman" w:hAnsi="Times New Roman" w:cs="Times New Roman"/>
                <w:sz w:val="24"/>
                <w:szCs w:val="24"/>
                <w:u w:val="single"/>
              </w:rPr>
              <w:t>.gada</w:t>
            </w:r>
            <w:proofErr w:type="gramEnd"/>
            <w:r w:rsidR="00970BC1" w:rsidRPr="00A2773D">
              <w:rPr>
                <w:rFonts w:ascii="Times New Roman" w:hAnsi="Times New Roman" w:cs="Times New Roman"/>
                <w:sz w:val="24"/>
                <w:szCs w:val="24"/>
                <w:u w:val="single"/>
              </w:rPr>
              <w:t xml:space="preserve"> 31.dece</w:t>
            </w:r>
            <w:r w:rsidR="001C7E8A" w:rsidRPr="00A2773D">
              <w:rPr>
                <w:rFonts w:ascii="Times New Roman" w:hAnsi="Times New Roman" w:cs="Times New Roman"/>
                <w:sz w:val="24"/>
                <w:szCs w:val="24"/>
                <w:u w:val="single"/>
              </w:rPr>
              <w:t>mbrim</w:t>
            </w:r>
            <w:r w:rsidR="001C7E8A" w:rsidRPr="00A2773D">
              <w:rPr>
                <w:rFonts w:ascii="Times New Roman" w:hAnsi="Times New Roman" w:cs="Times New Roman"/>
                <w:sz w:val="24"/>
                <w:szCs w:val="24"/>
              </w:rPr>
              <w:t xml:space="preserve"> </w:t>
            </w:r>
            <w:r w:rsidRPr="00A2773D">
              <w:rPr>
                <w:rFonts w:ascii="Times New Roman" w:hAnsi="Times New Roman" w:cs="Times New Roman"/>
                <w:color w:val="000000"/>
                <w:sz w:val="24"/>
                <w:szCs w:val="24"/>
              </w:rPr>
              <w:t>budžetā izlietoti 16 532 245 EUR</w:t>
            </w:r>
            <w:r w:rsidR="00970BC1" w:rsidRPr="00A2773D">
              <w:rPr>
                <w:rFonts w:ascii="Times New Roman" w:hAnsi="Times New Roman" w:cs="Times New Roman"/>
                <w:sz w:val="24"/>
                <w:szCs w:val="24"/>
              </w:rPr>
              <w:t>, no t</w:t>
            </w:r>
            <w:r w:rsidR="00A86CCE" w:rsidRPr="00A2773D">
              <w:rPr>
                <w:rFonts w:ascii="Times New Roman" w:hAnsi="Times New Roman" w:cs="Times New Roman"/>
                <w:sz w:val="24"/>
                <w:szCs w:val="24"/>
              </w:rPr>
              <w:t>ie</w:t>
            </w:r>
            <w:r w:rsidR="00970BC1" w:rsidRPr="00A2773D">
              <w:rPr>
                <w:rFonts w:ascii="Times New Roman" w:hAnsi="Times New Roman" w:cs="Times New Roman"/>
                <w:sz w:val="24"/>
                <w:szCs w:val="24"/>
              </w:rPr>
              <w:t xml:space="preserve">m kopējās attiecināmās izmaksas </w:t>
            </w:r>
            <w:r w:rsidR="004A24BF" w:rsidRPr="00A2773D">
              <w:rPr>
                <w:rFonts w:ascii="Times New Roman" w:hAnsi="Times New Roman" w:cs="Times New Roman"/>
                <w:sz w:val="24"/>
                <w:szCs w:val="24"/>
              </w:rPr>
              <w:t xml:space="preserve">16 405 325 </w:t>
            </w:r>
            <w:r w:rsidR="00970BC1" w:rsidRPr="00A2773D">
              <w:rPr>
                <w:rFonts w:ascii="Times New Roman" w:hAnsi="Times New Roman" w:cs="Times New Roman"/>
                <w:sz w:val="24"/>
                <w:szCs w:val="24"/>
              </w:rPr>
              <w:t xml:space="preserve">EUR, tai skaitā ESF finansējums </w:t>
            </w:r>
            <w:r w:rsidR="008D7279" w:rsidRPr="00A2773D">
              <w:rPr>
                <w:rFonts w:ascii="Times New Roman" w:hAnsi="Times New Roman" w:cs="Times New Roman"/>
                <w:sz w:val="24"/>
                <w:szCs w:val="24"/>
              </w:rPr>
              <w:t xml:space="preserve">14 950 275 </w:t>
            </w:r>
            <w:r w:rsidR="00970BC1" w:rsidRPr="00A2773D">
              <w:rPr>
                <w:rFonts w:ascii="Times New Roman" w:hAnsi="Times New Roman" w:cs="Times New Roman"/>
                <w:sz w:val="24"/>
                <w:szCs w:val="24"/>
              </w:rPr>
              <w:t>EUR</w:t>
            </w:r>
            <w:r w:rsidR="009731AC" w:rsidRPr="00A2773D">
              <w:rPr>
                <w:rFonts w:ascii="Times New Roman" w:hAnsi="Times New Roman" w:cs="Times New Roman"/>
                <w:sz w:val="24"/>
                <w:szCs w:val="24"/>
              </w:rPr>
              <w:t xml:space="preserve"> un</w:t>
            </w:r>
            <w:r w:rsidR="00970BC1" w:rsidRPr="00A2773D">
              <w:rPr>
                <w:rFonts w:ascii="Times New Roman" w:hAnsi="Times New Roman" w:cs="Times New Roman"/>
                <w:sz w:val="24"/>
                <w:szCs w:val="24"/>
              </w:rPr>
              <w:t xml:space="preserve"> valsts budžeta attiecināmais finansējums </w:t>
            </w:r>
            <w:r w:rsidR="008D7279" w:rsidRPr="00A2773D">
              <w:rPr>
                <w:rFonts w:ascii="Times New Roman" w:hAnsi="Times New Roman" w:cs="Times New Roman"/>
                <w:sz w:val="24"/>
                <w:szCs w:val="24"/>
              </w:rPr>
              <w:t xml:space="preserve">1 455 050 </w:t>
            </w:r>
            <w:r w:rsidR="00970BC1" w:rsidRPr="00A2773D">
              <w:rPr>
                <w:rFonts w:ascii="Times New Roman" w:hAnsi="Times New Roman" w:cs="Times New Roman"/>
                <w:sz w:val="24"/>
                <w:szCs w:val="24"/>
              </w:rPr>
              <w:t>EUR, valsts budžeta nea</w:t>
            </w:r>
            <w:r w:rsidR="001F4338" w:rsidRPr="00A2773D">
              <w:rPr>
                <w:rFonts w:ascii="Times New Roman" w:hAnsi="Times New Roman" w:cs="Times New Roman"/>
                <w:sz w:val="24"/>
                <w:szCs w:val="24"/>
              </w:rPr>
              <w:t xml:space="preserve">ttiecināmās izmaksas </w:t>
            </w:r>
            <w:r w:rsidR="00677057" w:rsidRPr="00A2773D">
              <w:rPr>
                <w:rFonts w:ascii="Times New Roman" w:hAnsi="Times New Roman" w:cs="Times New Roman"/>
                <w:sz w:val="24"/>
                <w:szCs w:val="24"/>
              </w:rPr>
              <w:t xml:space="preserve">82 357 </w:t>
            </w:r>
            <w:r w:rsidR="001F4338" w:rsidRPr="00A2773D">
              <w:rPr>
                <w:rFonts w:ascii="Times New Roman" w:hAnsi="Times New Roman" w:cs="Times New Roman"/>
                <w:sz w:val="24"/>
                <w:szCs w:val="24"/>
              </w:rPr>
              <w:t>EUR</w:t>
            </w:r>
            <w:r w:rsidR="00970BC1" w:rsidRPr="00A2773D">
              <w:rPr>
                <w:rFonts w:ascii="Times New Roman" w:hAnsi="Times New Roman" w:cs="Times New Roman"/>
                <w:sz w:val="24"/>
                <w:szCs w:val="24"/>
              </w:rPr>
              <w:t xml:space="preserve"> un </w:t>
            </w:r>
            <w:r w:rsidR="009731AC" w:rsidRPr="00A2773D">
              <w:rPr>
                <w:rFonts w:ascii="Times New Roman" w:hAnsi="Times New Roman" w:cs="Times New Roman"/>
                <w:sz w:val="24"/>
                <w:szCs w:val="24"/>
              </w:rPr>
              <w:t xml:space="preserve">izmaksas </w:t>
            </w:r>
            <w:r w:rsidR="00677057" w:rsidRPr="00A2773D">
              <w:rPr>
                <w:rFonts w:ascii="Times New Roman" w:hAnsi="Times New Roman" w:cs="Times New Roman"/>
                <w:sz w:val="24"/>
                <w:szCs w:val="24"/>
              </w:rPr>
              <w:t>44 563 EUR</w:t>
            </w:r>
            <w:r w:rsidR="009731AC" w:rsidRPr="00A2773D">
              <w:rPr>
                <w:rFonts w:ascii="Times New Roman" w:hAnsi="Times New Roman" w:cs="Times New Roman"/>
                <w:sz w:val="24"/>
                <w:szCs w:val="24"/>
              </w:rPr>
              <w:t xml:space="preserve"> apmērā,</w:t>
            </w:r>
            <w:r w:rsidR="00677057" w:rsidRPr="00A2773D">
              <w:rPr>
                <w:rFonts w:ascii="Times New Roman" w:hAnsi="Times New Roman" w:cs="Times New Roman"/>
                <w:sz w:val="24"/>
                <w:szCs w:val="24"/>
              </w:rPr>
              <w:t xml:space="preserve"> </w:t>
            </w:r>
            <w:r w:rsidR="009731AC" w:rsidRPr="00A2773D">
              <w:rPr>
                <w:rFonts w:ascii="Times New Roman" w:hAnsi="Times New Roman" w:cs="Times New Roman"/>
                <w:sz w:val="24"/>
                <w:szCs w:val="24"/>
              </w:rPr>
              <w:t>kas</w:t>
            </w:r>
            <w:r w:rsidR="00677057" w:rsidRPr="00A2773D">
              <w:rPr>
                <w:rFonts w:ascii="Times New Roman" w:hAnsi="Times New Roman" w:cs="Times New Roman"/>
                <w:sz w:val="24"/>
                <w:szCs w:val="24"/>
              </w:rPr>
              <w:t xml:space="preserve"> izmaksāt</w:t>
            </w:r>
            <w:r w:rsidR="009731AC" w:rsidRPr="00A2773D">
              <w:rPr>
                <w:rFonts w:ascii="Times New Roman" w:hAnsi="Times New Roman" w:cs="Times New Roman"/>
                <w:sz w:val="24"/>
                <w:szCs w:val="24"/>
              </w:rPr>
              <w:t>as</w:t>
            </w:r>
            <w:r w:rsidR="00677057" w:rsidRPr="00A2773D">
              <w:rPr>
                <w:rFonts w:ascii="Times New Roman" w:hAnsi="Times New Roman" w:cs="Times New Roman"/>
                <w:sz w:val="24"/>
                <w:szCs w:val="24"/>
              </w:rPr>
              <w:t xml:space="preserve"> no valsts budžeta projekta mērķa grupas dar</w:t>
            </w:r>
            <w:r w:rsidR="00AA6C90" w:rsidRPr="00A2773D">
              <w:rPr>
                <w:rFonts w:ascii="Times New Roman" w:hAnsi="Times New Roman" w:cs="Times New Roman"/>
                <w:sz w:val="24"/>
                <w:szCs w:val="24"/>
              </w:rPr>
              <w:t>ba devējiem, bet vēlāk atmaksātas budžetā kā neizlietotas</w:t>
            </w:r>
            <w:r w:rsidR="00677057" w:rsidRPr="00A2773D">
              <w:rPr>
                <w:rFonts w:ascii="Times New Roman" w:hAnsi="Times New Roman" w:cs="Times New Roman"/>
                <w:sz w:val="24"/>
                <w:szCs w:val="24"/>
              </w:rPr>
              <w:t xml:space="preserve">. Papildus projektā izmantots </w:t>
            </w:r>
            <w:r w:rsidR="00970BC1" w:rsidRPr="00A2773D">
              <w:rPr>
                <w:rFonts w:ascii="Times New Roman" w:hAnsi="Times New Roman" w:cs="Times New Roman"/>
                <w:sz w:val="24"/>
                <w:szCs w:val="24"/>
              </w:rPr>
              <w:t xml:space="preserve">Pasaules bankas neattiecināmais līdzfinansējums </w:t>
            </w:r>
            <w:r w:rsidR="00523C20" w:rsidRPr="00A2773D">
              <w:rPr>
                <w:rFonts w:ascii="Times New Roman" w:hAnsi="Times New Roman" w:cs="Times New Roman"/>
                <w:sz w:val="24"/>
                <w:szCs w:val="24"/>
              </w:rPr>
              <w:t>30 000 USD (</w:t>
            </w:r>
            <w:r w:rsidR="00970BC1" w:rsidRPr="00A2773D">
              <w:rPr>
                <w:rFonts w:ascii="Times New Roman" w:hAnsi="Times New Roman" w:cs="Times New Roman"/>
                <w:sz w:val="24"/>
                <w:szCs w:val="24"/>
              </w:rPr>
              <w:t>23</w:t>
            </w:r>
            <w:r w:rsidR="00523C20" w:rsidRPr="00A2773D">
              <w:rPr>
                <w:rFonts w:ascii="Times New Roman" w:hAnsi="Times New Roman" w:cs="Times New Roman"/>
                <w:sz w:val="24"/>
                <w:szCs w:val="24"/>
              </w:rPr>
              <w:t> </w:t>
            </w:r>
            <w:r w:rsidR="00970BC1" w:rsidRPr="00A2773D">
              <w:rPr>
                <w:rFonts w:ascii="Times New Roman" w:hAnsi="Times New Roman" w:cs="Times New Roman"/>
                <w:sz w:val="24"/>
                <w:szCs w:val="24"/>
              </w:rPr>
              <w:t>007 EUR</w:t>
            </w:r>
            <w:r w:rsidR="00523C20" w:rsidRPr="00A2773D">
              <w:rPr>
                <w:rFonts w:ascii="Times New Roman" w:hAnsi="Times New Roman" w:cs="Times New Roman"/>
                <w:sz w:val="24"/>
                <w:szCs w:val="24"/>
              </w:rPr>
              <w:t>)</w:t>
            </w:r>
            <w:r w:rsidR="00970BC1" w:rsidRPr="00A2773D">
              <w:rPr>
                <w:rFonts w:ascii="Times New Roman" w:hAnsi="Times New Roman" w:cs="Times New Roman"/>
                <w:sz w:val="24"/>
                <w:szCs w:val="24"/>
              </w:rPr>
              <w:t>, kurš neveido valsts budžeta izdevumus.</w:t>
            </w:r>
          </w:p>
          <w:p w:rsidR="00970BC1" w:rsidRPr="00A2773D" w:rsidRDefault="00970BC1" w:rsidP="00970BC1">
            <w:pPr>
              <w:spacing w:after="0" w:line="240" w:lineRule="auto"/>
              <w:jc w:val="both"/>
              <w:rPr>
                <w:rFonts w:ascii="Times New Roman" w:hAnsi="Times New Roman" w:cs="Times New Roman"/>
                <w:sz w:val="24"/>
                <w:szCs w:val="24"/>
              </w:rPr>
            </w:pPr>
            <w:proofErr w:type="gramStart"/>
            <w:r w:rsidRPr="00A2773D">
              <w:rPr>
                <w:rFonts w:ascii="Times New Roman" w:hAnsi="Times New Roman" w:cs="Times New Roman"/>
                <w:sz w:val="24"/>
                <w:szCs w:val="24"/>
                <w:u w:val="single"/>
              </w:rPr>
              <w:t>2014.gadam</w:t>
            </w:r>
            <w:proofErr w:type="gramEnd"/>
            <w:r w:rsidRPr="00A2773D">
              <w:rPr>
                <w:rFonts w:ascii="Times New Roman" w:hAnsi="Times New Roman" w:cs="Times New Roman"/>
                <w:sz w:val="24"/>
                <w:szCs w:val="24"/>
              </w:rPr>
              <w:t xml:space="preserve"> indikatīvi </w:t>
            </w:r>
            <w:r w:rsidR="00A846D3" w:rsidRPr="00A2773D">
              <w:rPr>
                <w:rFonts w:ascii="Times New Roman" w:hAnsi="Times New Roman" w:cs="Times New Roman"/>
                <w:sz w:val="24"/>
                <w:szCs w:val="24"/>
              </w:rPr>
              <w:t xml:space="preserve">projekta </w:t>
            </w:r>
            <w:r w:rsidR="00224858" w:rsidRPr="00A2773D">
              <w:rPr>
                <w:rFonts w:ascii="Times New Roman" w:hAnsi="Times New Roman" w:cs="Times New Roman"/>
                <w:sz w:val="24"/>
                <w:szCs w:val="24"/>
              </w:rPr>
              <w:t xml:space="preserve">kopējās izmaksas </w:t>
            </w:r>
            <w:r w:rsidR="00677057" w:rsidRPr="00A2773D">
              <w:rPr>
                <w:rFonts w:ascii="Times New Roman" w:hAnsi="Times New Roman" w:cs="Times New Roman"/>
                <w:sz w:val="24"/>
                <w:szCs w:val="24"/>
              </w:rPr>
              <w:t xml:space="preserve">2 927 149 </w:t>
            </w:r>
            <w:r w:rsidRPr="00A2773D">
              <w:rPr>
                <w:rFonts w:ascii="Times New Roman" w:hAnsi="Times New Roman" w:cs="Times New Roman"/>
                <w:sz w:val="24"/>
                <w:szCs w:val="24"/>
              </w:rPr>
              <w:t>EUR, no tām kopē</w:t>
            </w:r>
            <w:r w:rsidR="00224858" w:rsidRPr="00A2773D">
              <w:rPr>
                <w:rFonts w:ascii="Times New Roman" w:hAnsi="Times New Roman" w:cs="Times New Roman"/>
                <w:sz w:val="24"/>
                <w:szCs w:val="24"/>
              </w:rPr>
              <w:t xml:space="preserve">jās attiecināmās izmaksas </w:t>
            </w:r>
            <w:r w:rsidR="00677057" w:rsidRPr="00A2773D">
              <w:rPr>
                <w:rFonts w:ascii="Times New Roman" w:hAnsi="Times New Roman" w:cs="Times New Roman"/>
                <w:sz w:val="24"/>
                <w:szCs w:val="24"/>
              </w:rPr>
              <w:t xml:space="preserve">2 927 149 </w:t>
            </w:r>
            <w:r w:rsidR="00224858" w:rsidRPr="00A2773D">
              <w:rPr>
                <w:rFonts w:ascii="Times New Roman" w:hAnsi="Times New Roman" w:cs="Times New Roman"/>
                <w:sz w:val="24"/>
                <w:szCs w:val="24"/>
              </w:rPr>
              <w:t xml:space="preserve">EUR, tai skaitā ESF finansējums </w:t>
            </w:r>
            <w:r w:rsidR="00777BF1" w:rsidRPr="00A2773D">
              <w:rPr>
                <w:rFonts w:ascii="Times New Roman" w:hAnsi="Times New Roman" w:cs="Times New Roman"/>
                <w:sz w:val="24"/>
                <w:szCs w:val="24"/>
              </w:rPr>
              <w:t xml:space="preserve">2 864 449 </w:t>
            </w:r>
            <w:r w:rsidRPr="00A2773D">
              <w:rPr>
                <w:rFonts w:ascii="Times New Roman" w:hAnsi="Times New Roman" w:cs="Times New Roman"/>
                <w:sz w:val="24"/>
                <w:szCs w:val="24"/>
              </w:rPr>
              <w:t>EUR un valsts budžet</w:t>
            </w:r>
            <w:r w:rsidR="008D6FB4" w:rsidRPr="00A2773D">
              <w:rPr>
                <w:rFonts w:ascii="Times New Roman" w:hAnsi="Times New Roman" w:cs="Times New Roman"/>
                <w:sz w:val="24"/>
                <w:szCs w:val="24"/>
              </w:rPr>
              <w:t xml:space="preserve">a attiecināmais finansējums </w:t>
            </w:r>
            <w:r w:rsidR="004E0172" w:rsidRPr="00A2773D">
              <w:rPr>
                <w:rFonts w:ascii="Times New Roman" w:hAnsi="Times New Roman" w:cs="Times New Roman"/>
                <w:sz w:val="24"/>
                <w:szCs w:val="24"/>
              </w:rPr>
              <w:t xml:space="preserve">62 700 </w:t>
            </w:r>
            <w:r w:rsidRPr="00A2773D">
              <w:rPr>
                <w:rFonts w:ascii="Times New Roman" w:hAnsi="Times New Roman" w:cs="Times New Roman"/>
                <w:sz w:val="24"/>
                <w:szCs w:val="24"/>
              </w:rPr>
              <w:t>EUR.</w:t>
            </w:r>
          </w:p>
          <w:p w:rsidR="00970BC1" w:rsidRPr="00A2773D" w:rsidRDefault="00970BC1" w:rsidP="00970BC1">
            <w:pPr>
              <w:spacing w:after="0" w:line="240" w:lineRule="auto"/>
              <w:jc w:val="both"/>
              <w:rPr>
                <w:rFonts w:ascii="Times New Roman" w:hAnsi="Times New Roman" w:cs="Times New Roman"/>
                <w:sz w:val="24"/>
                <w:szCs w:val="24"/>
              </w:rPr>
            </w:pPr>
            <w:r w:rsidRPr="00A2773D">
              <w:rPr>
                <w:rFonts w:ascii="Times New Roman" w:hAnsi="Times New Roman" w:cs="Times New Roman"/>
                <w:sz w:val="24"/>
                <w:szCs w:val="24"/>
              </w:rPr>
              <w:t xml:space="preserve">Saskaņā ar </w:t>
            </w:r>
            <w:r w:rsidR="00073D3C" w:rsidRPr="00A2773D">
              <w:rPr>
                <w:rFonts w:ascii="Times New Roman" w:hAnsi="Times New Roman"/>
                <w:sz w:val="24"/>
                <w:szCs w:val="24"/>
              </w:rPr>
              <w:t xml:space="preserve">Saeimā </w:t>
            </w:r>
            <w:proofErr w:type="gramStart"/>
            <w:r w:rsidR="00073D3C" w:rsidRPr="00A2773D">
              <w:rPr>
                <w:rFonts w:ascii="Times New Roman" w:hAnsi="Times New Roman"/>
                <w:sz w:val="24"/>
                <w:szCs w:val="24"/>
              </w:rPr>
              <w:t>2013.gada</w:t>
            </w:r>
            <w:proofErr w:type="gramEnd"/>
            <w:r w:rsidR="00073D3C" w:rsidRPr="00A2773D">
              <w:rPr>
                <w:rFonts w:ascii="Times New Roman" w:hAnsi="Times New Roman"/>
                <w:sz w:val="24"/>
                <w:szCs w:val="24"/>
              </w:rPr>
              <w:t xml:space="preserve"> 7.novembrī pieņemto </w:t>
            </w:r>
            <w:r w:rsidRPr="00A2773D">
              <w:rPr>
                <w:rFonts w:ascii="Times New Roman" w:hAnsi="Times New Roman" w:cs="Times New Roman"/>
                <w:sz w:val="24"/>
                <w:szCs w:val="24"/>
              </w:rPr>
              <w:t xml:space="preserve">likumu „Par valsts budžetu 2014.gadam” projekta ieviešanai paredzēts finansējums 1 770 055 EUR, un tas ir par </w:t>
            </w:r>
            <w:r w:rsidR="00F802B8" w:rsidRPr="00A2773D">
              <w:rPr>
                <w:rFonts w:ascii="Times New Roman" w:hAnsi="Times New Roman" w:cs="Times New Roman"/>
                <w:sz w:val="24"/>
                <w:szCs w:val="24"/>
              </w:rPr>
              <w:t xml:space="preserve">1 157 094 </w:t>
            </w:r>
            <w:r w:rsidRPr="00A2773D">
              <w:rPr>
                <w:rFonts w:ascii="Times New Roman" w:hAnsi="Times New Roman" w:cs="Times New Roman"/>
                <w:sz w:val="24"/>
                <w:szCs w:val="24"/>
              </w:rPr>
              <w:t>EUR ma</w:t>
            </w:r>
            <w:r w:rsidR="00B9371F" w:rsidRPr="00A2773D">
              <w:rPr>
                <w:rFonts w:ascii="Times New Roman" w:hAnsi="Times New Roman" w:cs="Times New Roman"/>
                <w:sz w:val="24"/>
                <w:szCs w:val="24"/>
              </w:rPr>
              <w:t>zāk kā paredzētie izdevumi proj</w:t>
            </w:r>
            <w:r w:rsidRPr="00A2773D">
              <w:rPr>
                <w:rFonts w:ascii="Times New Roman" w:hAnsi="Times New Roman" w:cs="Times New Roman"/>
                <w:sz w:val="24"/>
                <w:szCs w:val="24"/>
              </w:rPr>
              <w:t>e</w:t>
            </w:r>
            <w:r w:rsidR="00B9371F" w:rsidRPr="00A2773D">
              <w:rPr>
                <w:rFonts w:ascii="Times New Roman" w:hAnsi="Times New Roman" w:cs="Times New Roman"/>
                <w:sz w:val="24"/>
                <w:szCs w:val="24"/>
              </w:rPr>
              <w:t>k</w:t>
            </w:r>
            <w:r w:rsidRPr="00A2773D">
              <w:rPr>
                <w:rFonts w:ascii="Times New Roman" w:hAnsi="Times New Roman" w:cs="Times New Roman"/>
                <w:sz w:val="24"/>
                <w:szCs w:val="24"/>
              </w:rPr>
              <w:t>ta ietvaros. Starpību veido aktivitāt</w:t>
            </w:r>
            <w:r w:rsidR="00A305B7" w:rsidRPr="00A2773D">
              <w:rPr>
                <w:rFonts w:ascii="Times New Roman" w:hAnsi="Times New Roman" w:cs="Times New Roman"/>
                <w:sz w:val="24"/>
                <w:szCs w:val="24"/>
              </w:rPr>
              <w:t>e</w:t>
            </w:r>
            <w:r w:rsidRPr="00A2773D">
              <w:rPr>
                <w:rFonts w:ascii="Times New Roman" w:hAnsi="Times New Roman" w:cs="Times New Roman"/>
                <w:sz w:val="24"/>
                <w:szCs w:val="24"/>
              </w:rPr>
              <w:t>i pārdal</w:t>
            </w:r>
            <w:r w:rsidR="00F802B8" w:rsidRPr="00A2773D">
              <w:rPr>
                <w:rFonts w:ascii="Times New Roman" w:hAnsi="Times New Roman" w:cs="Times New Roman"/>
                <w:sz w:val="24"/>
                <w:szCs w:val="24"/>
              </w:rPr>
              <w:t>ām</w:t>
            </w:r>
            <w:r w:rsidRPr="00A2773D">
              <w:rPr>
                <w:rFonts w:ascii="Times New Roman" w:hAnsi="Times New Roman" w:cs="Times New Roman"/>
                <w:sz w:val="24"/>
                <w:szCs w:val="24"/>
              </w:rPr>
              <w:t>ais papildu finansējums</w:t>
            </w:r>
            <w:r w:rsidR="00F802B8" w:rsidRPr="00A2773D">
              <w:rPr>
                <w:rFonts w:ascii="Times New Roman" w:hAnsi="Times New Roman" w:cs="Times New Roman"/>
                <w:sz w:val="24"/>
                <w:szCs w:val="24"/>
              </w:rPr>
              <w:t xml:space="preserve"> 1 141 067 EUR apmērā un </w:t>
            </w:r>
            <w:proofErr w:type="gramStart"/>
            <w:r w:rsidR="00F802B8" w:rsidRPr="00A2773D">
              <w:rPr>
                <w:rFonts w:ascii="Times New Roman" w:hAnsi="Times New Roman" w:cs="Times New Roman"/>
                <w:sz w:val="24"/>
                <w:szCs w:val="24"/>
              </w:rPr>
              <w:t>2</w:t>
            </w:r>
            <w:r w:rsidR="006C0B70" w:rsidRPr="00A2773D">
              <w:rPr>
                <w:rFonts w:ascii="Times New Roman" w:hAnsi="Times New Roman" w:cs="Times New Roman"/>
                <w:sz w:val="24"/>
                <w:szCs w:val="24"/>
              </w:rPr>
              <w:t>013.</w:t>
            </w:r>
            <w:r w:rsidR="00F802B8" w:rsidRPr="00A2773D">
              <w:rPr>
                <w:rFonts w:ascii="Times New Roman" w:hAnsi="Times New Roman" w:cs="Times New Roman"/>
                <w:sz w:val="24"/>
                <w:szCs w:val="24"/>
              </w:rPr>
              <w:t>gada</w:t>
            </w:r>
            <w:proofErr w:type="gramEnd"/>
            <w:r w:rsidR="00F802B8" w:rsidRPr="00A2773D">
              <w:rPr>
                <w:rFonts w:ascii="Times New Roman" w:hAnsi="Times New Roman" w:cs="Times New Roman"/>
                <w:sz w:val="24"/>
                <w:szCs w:val="24"/>
              </w:rPr>
              <w:t xml:space="preserve"> finansējuma atlikums 16 027 EUR apmērā.</w:t>
            </w:r>
          </w:p>
          <w:p w:rsidR="00970BC1" w:rsidRPr="00970BC1" w:rsidRDefault="00970BC1" w:rsidP="00970BC1">
            <w:pPr>
              <w:spacing w:after="0" w:line="240" w:lineRule="auto"/>
              <w:jc w:val="both"/>
              <w:rPr>
                <w:rFonts w:ascii="Times New Roman" w:hAnsi="Times New Roman" w:cs="Times New Roman"/>
                <w:sz w:val="24"/>
                <w:szCs w:val="24"/>
              </w:rPr>
            </w:pPr>
            <w:r w:rsidRPr="00A2773D">
              <w:rPr>
                <w:rFonts w:ascii="Times New Roman" w:hAnsi="Times New Roman" w:cs="Times New Roman"/>
                <w:sz w:val="24"/>
                <w:szCs w:val="24"/>
              </w:rPr>
              <w:t xml:space="preserve">Saskaņā ar projekta aprakstā norādīto, </w:t>
            </w:r>
            <w:proofErr w:type="gramStart"/>
            <w:r w:rsidRPr="00A2773D">
              <w:rPr>
                <w:rFonts w:ascii="Times New Roman" w:hAnsi="Times New Roman" w:cs="Times New Roman"/>
                <w:sz w:val="24"/>
                <w:szCs w:val="24"/>
                <w:u w:val="single"/>
              </w:rPr>
              <w:t>2015.gadam</w:t>
            </w:r>
            <w:proofErr w:type="gramEnd"/>
            <w:r w:rsidRPr="00A2773D">
              <w:rPr>
                <w:rFonts w:ascii="Times New Roman" w:hAnsi="Times New Roman" w:cs="Times New Roman"/>
                <w:sz w:val="24"/>
                <w:szCs w:val="24"/>
              </w:rPr>
              <w:t xml:space="preserve"> projekta</w:t>
            </w:r>
            <w:r w:rsidRPr="00970BC1">
              <w:rPr>
                <w:rFonts w:ascii="Times New Roman" w:hAnsi="Times New Roman" w:cs="Times New Roman"/>
                <w:sz w:val="24"/>
                <w:szCs w:val="24"/>
              </w:rPr>
              <w:t xml:space="preserve"> kopējais finansējums indikatīvi paredzams 937 487 EUR, no tā attiecināmās izmaksas 937 487 EUR, tai skaitā ESF finansējums 858 642 EUR un valsts budžeta attiecināmais finansējums  78 845 EUR. Projekta finanšu plānā </w:t>
            </w:r>
            <w:proofErr w:type="gramStart"/>
            <w:r w:rsidRPr="00970BC1">
              <w:rPr>
                <w:rFonts w:ascii="Times New Roman" w:hAnsi="Times New Roman" w:cs="Times New Roman"/>
                <w:sz w:val="24"/>
                <w:szCs w:val="24"/>
              </w:rPr>
              <w:t>2015.gadam</w:t>
            </w:r>
            <w:proofErr w:type="gramEnd"/>
            <w:r w:rsidRPr="00970BC1">
              <w:rPr>
                <w:rFonts w:ascii="Times New Roman" w:hAnsi="Times New Roman" w:cs="Times New Roman"/>
                <w:sz w:val="24"/>
                <w:szCs w:val="24"/>
              </w:rPr>
              <w:t xml:space="preserve"> saskaņā ar vadošās iestādes metodikas „Metodika par netiešo izmaksu nemainīgās likmes plānošanu un piemērošanu” 3.5.1.punktu iekļauts finanšu ietaupīj</w:t>
            </w:r>
            <w:r w:rsidR="00AA7004">
              <w:rPr>
                <w:rFonts w:ascii="Times New Roman" w:hAnsi="Times New Roman" w:cs="Times New Roman"/>
                <w:sz w:val="24"/>
                <w:szCs w:val="24"/>
              </w:rPr>
              <w:t xml:space="preserve">ums </w:t>
            </w:r>
            <w:r w:rsidRPr="00970BC1">
              <w:rPr>
                <w:rFonts w:ascii="Times New Roman" w:hAnsi="Times New Roman" w:cs="Times New Roman"/>
                <w:sz w:val="24"/>
                <w:szCs w:val="24"/>
              </w:rPr>
              <w:t xml:space="preserve">no iepriekšējo gadu netiešo izmaksu nemainīgās likmes piemērošanas. Reālas projekta tiešās attiecināmās izmaksas </w:t>
            </w:r>
            <w:proofErr w:type="gramStart"/>
            <w:r w:rsidRPr="00970BC1">
              <w:rPr>
                <w:rFonts w:ascii="Times New Roman" w:hAnsi="Times New Roman" w:cs="Times New Roman"/>
                <w:sz w:val="24"/>
                <w:szCs w:val="24"/>
              </w:rPr>
              <w:t>2015.gadā</w:t>
            </w:r>
            <w:proofErr w:type="gramEnd"/>
            <w:r w:rsidRPr="00970BC1">
              <w:rPr>
                <w:rFonts w:ascii="Times New Roman" w:hAnsi="Times New Roman" w:cs="Times New Roman"/>
                <w:sz w:val="24"/>
                <w:szCs w:val="24"/>
              </w:rPr>
              <w:t xml:space="preserve"> nav plānotas, tāpēc atmaksas valsts budžetā netiks veiktas. Reālās projekta izmaksas </w:t>
            </w:r>
            <w:proofErr w:type="gramStart"/>
            <w:r w:rsidRPr="00970BC1">
              <w:rPr>
                <w:rFonts w:ascii="Times New Roman" w:hAnsi="Times New Roman" w:cs="Times New Roman"/>
                <w:sz w:val="24"/>
                <w:szCs w:val="24"/>
              </w:rPr>
              <w:t>2015.gadā</w:t>
            </w:r>
            <w:proofErr w:type="gramEnd"/>
            <w:r w:rsidRPr="00970BC1">
              <w:rPr>
                <w:rFonts w:ascii="Times New Roman" w:hAnsi="Times New Roman" w:cs="Times New Roman"/>
                <w:sz w:val="24"/>
                <w:szCs w:val="24"/>
              </w:rPr>
              <w:t xml:space="preserve"> sagaidāmas indikatīvi 28 457 EUR administratīvajām izmaksām projekta noslēgšanai.</w:t>
            </w:r>
          </w:p>
          <w:p w:rsidR="00970BC1" w:rsidRPr="00970BC1" w:rsidRDefault="00970BC1" w:rsidP="00970BC1">
            <w:pPr>
              <w:spacing w:after="0" w:line="240" w:lineRule="auto"/>
              <w:jc w:val="both"/>
              <w:rPr>
                <w:rFonts w:ascii="Times New Roman" w:hAnsi="Times New Roman" w:cs="Times New Roman"/>
                <w:sz w:val="24"/>
                <w:szCs w:val="24"/>
              </w:rPr>
            </w:pPr>
            <w:r w:rsidRPr="00970BC1">
              <w:rPr>
                <w:rFonts w:ascii="Times New Roman" w:hAnsi="Times New Roman" w:cs="Times New Roman"/>
                <w:sz w:val="24"/>
                <w:szCs w:val="24"/>
              </w:rPr>
              <w:t xml:space="preserve">Saskaņā ar likumu „Par vidēja termiņa budžeta ietvaru 2014., 2015. un </w:t>
            </w:r>
            <w:proofErr w:type="gramStart"/>
            <w:r w:rsidRPr="00970BC1">
              <w:rPr>
                <w:rFonts w:ascii="Times New Roman" w:hAnsi="Times New Roman" w:cs="Times New Roman"/>
                <w:sz w:val="24"/>
                <w:szCs w:val="24"/>
              </w:rPr>
              <w:t>2016.gadam</w:t>
            </w:r>
            <w:proofErr w:type="gramEnd"/>
            <w:r w:rsidRPr="00970BC1">
              <w:rPr>
                <w:rFonts w:ascii="Times New Roman" w:hAnsi="Times New Roman" w:cs="Times New Roman"/>
                <w:sz w:val="24"/>
                <w:szCs w:val="24"/>
              </w:rPr>
              <w:t>” finansējums projekta ieviešanai 2015.gadā šobrīd nav paredzēts.</w:t>
            </w:r>
          </w:p>
          <w:p w:rsidR="00124F56" w:rsidRPr="00970BC1" w:rsidRDefault="00970BC1" w:rsidP="00970BC1">
            <w:pPr>
              <w:spacing w:after="0" w:line="240" w:lineRule="auto"/>
              <w:jc w:val="both"/>
              <w:rPr>
                <w:rFonts w:ascii="Times New Roman" w:hAnsi="Times New Roman" w:cs="Times New Roman"/>
                <w:sz w:val="28"/>
                <w:szCs w:val="28"/>
              </w:rPr>
            </w:pPr>
            <w:r w:rsidRPr="00970BC1">
              <w:rPr>
                <w:rFonts w:ascii="Times New Roman" w:hAnsi="Times New Roman" w:cs="Times New Roman"/>
                <w:sz w:val="24"/>
                <w:szCs w:val="24"/>
              </w:rPr>
              <w:t xml:space="preserve">Precīzs finansējuma sadalījums 2014. un </w:t>
            </w:r>
            <w:proofErr w:type="gramStart"/>
            <w:r w:rsidRPr="00970BC1">
              <w:rPr>
                <w:rFonts w:ascii="Times New Roman" w:hAnsi="Times New Roman" w:cs="Times New Roman"/>
                <w:sz w:val="24"/>
                <w:szCs w:val="24"/>
              </w:rPr>
              <w:t>2015.gadam</w:t>
            </w:r>
            <w:proofErr w:type="gramEnd"/>
            <w:r w:rsidRPr="00970BC1">
              <w:rPr>
                <w:rFonts w:ascii="Times New Roman" w:hAnsi="Times New Roman" w:cs="Times New Roman"/>
                <w:sz w:val="24"/>
                <w:szCs w:val="24"/>
              </w:rPr>
              <w:t xml:space="preserve"> būs zināms pēc projekta grozījumu apstiprināšanas.</w:t>
            </w:r>
          </w:p>
        </w:tc>
      </w:tr>
      <w:tr w:rsidR="00CC1A56" w:rsidRPr="00DD49B6" w:rsidTr="002B0D05">
        <w:trPr>
          <w:jc w:val="center"/>
        </w:trPr>
        <w:tc>
          <w:tcPr>
            <w:tcW w:w="3182" w:type="dxa"/>
          </w:tcPr>
          <w:p w:rsidR="00CC1A56" w:rsidRPr="00DD49B6" w:rsidRDefault="00CC1A56"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6.1. detalizēts ieņēmumu aprēķins</w:t>
            </w:r>
          </w:p>
        </w:tc>
        <w:tc>
          <w:tcPr>
            <w:tcW w:w="6331" w:type="dxa"/>
            <w:gridSpan w:val="5"/>
            <w:vMerge/>
          </w:tcPr>
          <w:p w:rsidR="00CC1A56" w:rsidRPr="00DD49B6" w:rsidRDefault="00CC1A56" w:rsidP="007D385B">
            <w:pPr>
              <w:pStyle w:val="naisf"/>
              <w:spacing w:before="0" w:beforeAutospacing="0" w:after="0" w:afterAutospacing="0"/>
              <w:rPr>
                <w:b/>
                <w:i/>
              </w:rPr>
            </w:pPr>
          </w:p>
        </w:tc>
      </w:tr>
      <w:tr w:rsidR="00CC1A56" w:rsidRPr="00DD49B6" w:rsidTr="002B0D05">
        <w:trPr>
          <w:jc w:val="center"/>
        </w:trPr>
        <w:tc>
          <w:tcPr>
            <w:tcW w:w="3182" w:type="dxa"/>
          </w:tcPr>
          <w:p w:rsidR="00CC1A56" w:rsidRPr="00DD49B6" w:rsidRDefault="00CC1A56"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6.2. detalizēts izdevumu aprēķins</w:t>
            </w:r>
          </w:p>
        </w:tc>
        <w:tc>
          <w:tcPr>
            <w:tcW w:w="6331" w:type="dxa"/>
            <w:gridSpan w:val="5"/>
            <w:vMerge/>
          </w:tcPr>
          <w:p w:rsidR="00CC1A56" w:rsidRPr="00DD49B6" w:rsidRDefault="00CC1A56" w:rsidP="007D385B">
            <w:pPr>
              <w:pStyle w:val="naisf"/>
              <w:spacing w:before="0" w:beforeAutospacing="0" w:after="0" w:afterAutospacing="0"/>
              <w:rPr>
                <w:b/>
                <w:i/>
              </w:rPr>
            </w:pPr>
          </w:p>
        </w:tc>
      </w:tr>
      <w:tr w:rsidR="00CC1A56" w:rsidRPr="00DD49B6" w:rsidTr="002B0D05">
        <w:trPr>
          <w:trHeight w:val="556"/>
          <w:jc w:val="center"/>
        </w:trPr>
        <w:tc>
          <w:tcPr>
            <w:tcW w:w="3182" w:type="dxa"/>
          </w:tcPr>
          <w:p w:rsidR="00CC1A56" w:rsidRPr="00DD49B6" w:rsidRDefault="00CC1A56"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lastRenderedPageBreak/>
              <w:t>7. Cita informācija</w:t>
            </w:r>
          </w:p>
        </w:tc>
        <w:tc>
          <w:tcPr>
            <w:tcW w:w="6331" w:type="dxa"/>
            <w:gridSpan w:val="5"/>
          </w:tcPr>
          <w:p w:rsidR="00CC1A56" w:rsidRPr="00F261BC" w:rsidRDefault="009724CF" w:rsidP="000F20BC">
            <w:pPr>
              <w:pStyle w:val="naisf"/>
              <w:tabs>
                <w:tab w:val="left" w:pos="4644"/>
              </w:tabs>
              <w:spacing w:before="0" w:beforeAutospacing="0" w:after="0" w:afterAutospacing="0"/>
              <w:jc w:val="both"/>
              <w:rPr>
                <w:i/>
              </w:rPr>
            </w:pPr>
            <w:r w:rsidRPr="00F261BC">
              <w:rPr>
                <w:color w:val="000000"/>
              </w:rPr>
              <w:t>Labklājības ministrija normatīvajos aktos noteiktajā kārtībā sagatavos un iesniegs F</w:t>
            </w:r>
            <w:r w:rsidR="000F20BC" w:rsidRPr="00F261BC">
              <w:rPr>
                <w:color w:val="000000"/>
              </w:rPr>
              <w:t>inanšu ministrijā</w:t>
            </w:r>
            <w:r w:rsidRPr="00F261BC">
              <w:rPr>
                <w:color w:val="000000"/>
              </w:rPr>
              <w:t xml:space="preserve"> pieprasījumu apropriācijas pārdalei no 74.resora „Gadskārtējā valsts budžeta izpildes procesā pārdalāmais finansējums” programmas </w:t>
            </w:r>
            <w:r w:rsidRPr="00F261BC">
              <w:rPr>
                <w:color w:val="000000"/>
              </w:rPr>
              <w:lastRenderedPageBreak/>
              <w:t xml:space="preserve">80.00.00 „Nesadalītais finansējums Eiropas Savienības politiku instrumentu un pārējās ārvalstu finanšu palīdzības līdzfinansēto projektu un pasākumu īstenošana” noteikumu projekta īstenošanai 2014. un </w:t>
            </w:r>
            <w:proofErr w:type="gramStart"/>
            <w:r w:rsidRPr="00F261BC">
              <w:rPr>
                <w:color w:val="000000"/>
              </w:rPr>
              <w:t>2015.gadā</w:t>
            </w:r>
            <w:proofErr w:type="gramEnd"/>
            <w:r w:rsidRPr="00F261BC">
              <w:rPr>
                <w:color w:val="000000"/>
              </w:rPr>
              <w:t>.</w:t>
            </w:r>
          </w:p>
        </w:tc>
      </w:tr>
    </w:tbl>
    <w:p w:rsidR="00CC1A56" w:rsidRDefault="00CC1A56" w:rsidP="00CC1A56">
      <w:pPr>
        <w:spacing w:after="0" w:line="240" w:lineRule="auto"/>
        <w:rPr>
          <w:rFonts w:ascii="Times New Roman" w:hAnsi="Times New Roman" w:cs="Times New Roman"/>
          <w:sz w:val="24"/>
          <w:szCs w:val="24"/>
        </w:rPr>
      </w:pPr>
    </w:p>
    <w:p w:rsidR="00445A9C" w:rsidRPr="00DD49B6" w:rsidRDefault="00445A9C" w:rsidP="00CC1A56">
      <w:pPr>
        <w:spacing w:after="0" w:line="240" w:lineRule="auto"/>
        <w:rPr>
          <w:rFonts w:ascii="Times New Roman" w:hAnsi="Times New Roman" w:cs="Times New Roman"/>
          <w:sz w:val="24"/>
          <w:szCs w:val="24"/>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CC1A56" w:rsidRPr="00DD49B6" w:rsidTr="007D385B">
        <w:trPr>
          <w:trHeight w:val="461"/>
          <w:jc w:val="center"/>
        </w:trPr>
        <w:tc>
          <w:tcPr>
            <w:tcW w:w="9511" w:type="dxa"/>
            <w:gridSpan w:val="3"/>
            <w:vAlign w:val="center"/>
          </w:tcPr>
          <w:p w:rsidR="00CC1A56" w:rsidRPr="00DD49B6" w:rsidRDefault="00CC1A56" w:rsidP="007D385B">
            <w:pPr>
              <w:pStyle w:val="naisnod"/>
              <w:spacing w:before="0" w:beforeAutospacing="0" w:after="0" w:afterAutospacing="0"/>
              <w:jc w:val="center"/>
              <w:rPr>
                <w:b/>
              </w:rPr>
            </w:pPr>
            <w:r w:rsidRPr="00DD49B6">
              <w:br w:type="page"/>
            </w:r>
            <w:r w:rsidRPr="00DD49B6">
              <w:rPr>
                <w:b/>
              </w:rPr>
              <w:t>IV. Tiesību akta projekta ietekme uz spēkā esošo tiesību normu sistēmu</w:t>
            </w:r>
          </w:p>
        </w:tc>
      </w:tr>
      <w:tr w:rsidR="00CC1A56" w:rsidRPr="00DD49B6" w:rsidTr="007D385B">
        <w:trPr>
          <w:jc w:val="center"/>
        </w:trPr>
        <w:tc>
          <w:tcPr>
            <w:tcW w:w="470" w:type="dxa"/>
          </w:tcPr>
          <w:p w:rsidR="00CC1A56" w:rsidRPr="00DD49B6" w:rsidRDefault="00CC1A56" w:rsidP="007D385B">
            <w:pPr>
              <w:pStyle w:val="naiskr"/>
              <w:tabs>
                <w:tab w:val="left" w:pos="2628"/>
              </w:tabs>
              <w:spacing w:before="0" w:beforeAutospacing="0" w:after="0" w:afterAutospacing="0"/>
              <w:jc w:val="both"/>
              <w:rPr>
                <w:iCs/>
              </w:rPr>
            </w:pPr>
            <w:r w:rsidRPr="00DD49B6">
              <w:rPr>
                <w:iCs/>
              </w:rPr>
              <w:t>1.</w:t>
            </w:r>
          </w:p>
        </w:tc>
        <w:tc>
          <w:tcPr>
            <w:tcW w:w="2728" w:type="dxa"/>
          </w:tcPr>
          <w:p w:rsidR="00CC1A56" w:rsidRPr="00DD49B6" w:rsidRDefault="00CC1A56" w:rsidP="007D385B">
            <w:pPr>
              <w:pStyle w:val="naiskr"/>
              <w:tabs>
                <w:tab w:val="left" w:pos="2628"/>
              </w:tabs>
              <w:spacing w:before="0" w:beforeAutospacing="0" w:after="0" w:afterAutospacing="0"/>
              <w:jc w:val="both"/>
              <w:rPr>
                <w:iCs/>
              </w:rPr>
            </w:pPr>
            <w:r w:rsidRPr="00DD49B6">
              <w:t>Nepieciešamie saistītie tiesību aktu projekti</w:t>
            </w:r>
          </w:p>
        </w:tc>
        <w:tc>
          <w:tcPr>
            <w:tcW w:w="6313" w:type="dxa"/>
          </w:tcPr>
          <w:p w:rsidR="00B04CCD" w:rsidRDefault="00B04CCD" w:rsidP="00365B8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1. </w:t>
            </w:r>
            <w:r w:rsidRPr="00B04CCD">
              <w:rPr>
                <w:rFonts w:ascii="Times New Roman" w:hAnsi="Times New Roman" w:cs="Times New Roman"/>
                <w:sz w:val="24"/>
                <w:szCs w:val="24"/>
              </w:rPr>
              <w:t xml:space="preserve">Labklājības ministrijas rosinātie grozījumi </w:t>
            </w:r>
            <w:r w:rsidR="00C77ECA">
              <w:rPr>
                <w:rFonts w:ascii="Times New Roman" w:hAnsi="Times New Roman" w:cs="Times New Roman"/>
                <w:sz w:val="24"/>
                <w:szCs w:val="24"/>
              </w:rPr>
              <w:t>DPP</w:t>
            </w:r>
            <w:r>
              <w:rPr>
                <w:rFonts w:ascii="Times New Roman" w:hAnsi="Times New Roman" w:cs="Times New Roman"/>
                <w:sz w:val="24"/>
                <w:szCs w:val="24"/>
              </w:rPr>
              <w:t>;</w:t>
            </w:r>
          </w:p>
          <w:p w:rsidR="00C77ECA" w:rsidRPr="00C77ECA" w:rsidRDefault="00F11BE2" w:rsidP="00C77EC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77ECA">
              <w:rPr>
                <w:rFonts w:ascii="Times New Roman" w:hAnsi="Times New Roman" w:cs="Times New Roman"/>
                <w:sz w:val="24"/>
                <w:szCs w:val="24"/>
              </w:rPr>
              <w:t>. G</w:t>
            </w:r>
            <w:r w:rsidR="00C77ECA" w:rsidRPr="00C77ECA">
              <w:rPr>
                <w:rFonts w:ascii="Times New Roman" w:hAnsi="Times New Roman" w:cs="Times New Roman"/>
                <w:sz w:val="24"/>
                <w:szCs w:val="24"/>
              </w:rPr>
              <w:t xml:space="preserve">rozījumi MK </w:t>
            </w:r>
            <w:proofErr w:type="gramStart"/>
            <w:r w:rsidR="00C77ECA" w:rsidRPr="00C77ECA">
              <w:rPr>
                <w:rFonts w:ascii="Times New Roman" w:hAnsi="Times New Roman" w:cs="Times New Roman"/>
                <w:sz w:val="24"/>
                <w:szCs w:val="24"/>
              </w:rPr>
              <w:t>2010.gada</w:t>
            </w:r>
            <w:proofErr w:type="gramEnd"/>
            <w:r w:rsidR="00C77ECA" w:rsidRPr="00C77ECA">
              <w:rPr>
                <w:rFonts w:ascii="Times New Roman" w:hAnsi="Times New Roman" w:cs="Times New Roman"/>
                <w:sz w:val="24"/>
                <w:szCs w:val="24"/>
              </w:rPr>
              <w:t xml:space="preserve"> 21.jūnija noteikumos Nr.540 „Noteikumi par darbības programmas „Cilvēkresursi un nodarbinātība” papildinājuma 1.4.1.2.4.apakšaktivitātes „Sociālās rehabilitācijas un institūcijām alternatīvu sociālās aprūpes pakalpojumu attīstība reģionos” otrās kārtas pirmo apakškārtu” (turpmāk – MK noteikumi Nr.540);</w:t>
            </w:r>
          </w:p>
          <w:p w:rsidR="00C77ECA" w:rsidRPr="00365B8E" w:rsidRDefault="00F11BE2" w:rsidP="00C77EC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C77ECA">
              <w:rPr>
                <w:rFonts w:ascii="Times New Roman" w:hAnsi="Times New Roman" w:cs="Times New Roman"/>
                <w:sz w:val="24"/>
                <w:szCs w:val="24"/>
              </w:rPr>
              <w:t>. G</w:t>
            </w:r>
            <w:r w:rsidR="00C77ECA" w:rsidRPr="00C77ECA">
              <w:rPr>
                <w:rFonts w:ascii="Times New Roman" w:hAnsi="Times New Roman" w:cs="Times New Roman"/>
                <w:sz w:val="24"/>
                <w:szCs w:val="24"/>
              </w:rPr>
              <w:t xml:space="preserve">rozījumi MK </w:t>
            </w:r>
            <w:proofErr w:type="gramStart"/>
            <w:r w:rsidR="00C77ECA" w:rsidRPr="00C77ECA">
              <w:rPr>
                <w:rFonts w:ascii="Times New Roman" w:hAnsi="Times New Roman" w:cs="Times New Roman"/>
                <w:sz w:val="24"/>
                <w:szCs w:val="24"/>
              </w:rPr>
              <w:t>2011.gada</w:t>
            </w:r>
            <w:proofErr w:type="gramEnd"/>
            <w:r w:rsidR="00C77ECA" w:rsidRPr="00C77ECA">
              <w:rPr>
                <w:rFonts w:ascii="Times New Roman" w:hAnsi="Times New Roman" w:cs="Times New Roman"/>
                <w:sz w:val="24"/>
                <w:szCs w:val="24"/>
              </w:rPr>
              <w:t xml:space="preserve"> 12.aprīļa noteikumos Nr.292 „Noteikumi par darbības programmas „Cilvēkresursi un nodarbinātība” papildinājuma 1.4.1.2.4.apakšaktivitātes „Sociālās rehabilitācijas un institūcijām alternatīvu sociālās aprūpes pakalpojumu attīstība reģionos” otrās kārtas otro apakškārtu” (turpmāk – MK noteikumi Nr.292).</w:t>
            </w:r>
          </w:p>
          <w:p w:rsidR="00CC1A56" w:rsidRPr="00DD49B6" w:rsidRDefault="00365B8E" w:rsidP="00F11BE2">
            <w:pPr>
              <w:shd w:val="clear" w:color="auto" w:fill="FFFFFF"/>
              <w:spacing w:after="0" w:line="240" w:lineRule="auto"/>
              <w:jc w:val="both"/>
              <w:rPr>
                <w:rFonts w:ascii="Times New Roman" w:hAnsi="Times New Roman" w:cs="Times New Roman"/>
                <w:color w:val="000000"/>
                <w:sz w:val="24"/>
                <w:szCs w:val="24"/>
                <w:lang w:eastAsia="lv-LV"/>
              </w:rPr>
            </w:pPr>
            <w:r w:rsidRPr="00365B8E">
              <w:rPr>
                <w:rFonts w:ascii="Times New Roman" w:hAnsi="Times New Roman" w:cs="Times New Roman"/>
                <w:sz w:val="24"/>
                <w:szCs w:val="24"/>
              </w:rPr>
              <w:t>Minētie grozījumi tiesību aktos tiks iesniegti Valsts kancelejā izskatīš</w:t>
            </w:r>
            <w:r>
              <w:rPr>
                <w:rFonts w:ascii="Times New Roman" w:hAnsi="Times New Roman" w:cs="Times New Roman"/>
                <w:sz w:val="24"/>
                <w:szCs w:val="24"/>
              </w:rPr>
              <w:t xml:space="preserve">anai MK sēdē indikatīvi </w:t>
            </w:r>
            <w:proofErr w:type="gramStart"/>
            <w:r>
              <w:rPr>
                <w:rFonts w:ascii="Times New Roman" w:hAnsi="Times New Roman" w:cs="Times New Roman"/>
                <w:sz w:val="24"/>
                <w:szCs w:val="24"/>
              </w:rPr>
              <w:t>2014</w:t>
            </w:r>
            <w:r w:rsidRPr="00365B8E">
              <w:rPr>
                <w:rFonts w:ascii="Times New Roman" w:hAnsi="Times New Roman" w:cs="Times New Roman"/>
                <w:sz w:val="24"/>
                <w:szCs w:val="24"/>
              </w:rPr>
              <w:t>.gada</w:t>
            </w:r>
            <w:proofErr w:type="gramEnd"/>
            <w:r w:rsidRPr="00365B8E">
              <w:rPr>
                <w:rFonts w:ascii="Times New Roman" w:hAnsi="Times New Roman" w:cs="Times New Roman"/>
                <w:sz w:val="24"/>
                <w:szCs w:val="24"/>
              </w:rPr>
              <w:t xml:space="preserve"> </w:t>
            </w:r>
            <w:r w:rsidR="00F11BE2">
              <w:rPr>
                <w:rFonts w:ascii="Times New Roman" w:hAnsi="Times New Roman" w:cs="Times New Roman"/>
                <w:sz w:val="24"/>
                <w:szCs w:val="24"/>
              </w:rPr>
              <w:t>martā.</w:t>
            </w:r>
          </w:p>
        </w:tc>
      </w:tr>
      <w:tr w:rsidR="00CC1A56" w:rsidRPr="00DD49B6" w:rsidTr="007D385B">
        <w:trPr>
          <w:jc w:val="center"/>
        </w:trPr>
        <w:tc>
          <w:tcPr>
            <w:tcW w:w="470" w:type="dxa"/>
          </w:tcPr>
          <w:p w:rsidR="00CC1A56" w:rsidRPr="00DD49B6" w:rsidRDefault="00CC1A56" w:rsidP="007D385B">
            <w:pPr>
              <w:pStyle w:val="naiskr"/>
              <w:tabs>
                <w:tab w:val="left" w:pos="2628"/>
              </w:tabs>
              <w:spacing w:before="0" w:beforeAutospacing="0" w:after="0" w:afterAutospacing="0"/>
              <w:jc w:val="both"/>
              <w:rPr>
                <w:iCs/>
              </w:rPr>
            </w:pPr>
            <w:r w:rsidRPr="00DD49B6">
              <w:rPr>
                <w:iCs/>
              </w:rPr>
              <w:t>2.</w:t>
            </w:r>
          </w:p>
        </w:tc>
        <w:tc>
          <w:tcPr>
            <w:tcW w:w="2728" w:type="dxa"/>
          </w:tcPr>
          <w:p w:rsidR="00CC1A56" w:rsidRPr="00DD49B6" w:rsidRDefault="00CC1A56" w:rsidP="007D385B">
            <w:pPr>
              <w:pStyle w:val="naiskr"/>
              <w:tabs>
                <w:tab w:val="left" w:pos="2628"/>
              </w:tabs>
              <w:spacing w:before="0" w:beforeAutospacing="0" w:after="0" w:afterAutospacing="0"/>
              <w:jc w:val="both"/>
            </w:pPr>
            <w:r w:rsidRPr="00DD49B6">
              <w:t>Atbildīgā institūcija</w:t>
            </w:r>
          </w:p>
        </w:tc>
        <w:tc>
          <w:tcPr>
            <w:tcW w:w="6313" w:type="dxa"/>
          </w:tcPr>
          <w:p w:rsidR="00CC1A56" w:rsidRPr="00DD49B6" w:rsidRDefault="0055242A" w:rsidP="007D385B">
            <w:pPr>
              <w:shd w:val="clear" w:color="auto" w:fill="FFFFFF"/>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sz w:val="24"/>
                <w:szCs w:val="24"/>
              </w:rPr>
              <w:t>Labklājības ministrija</w:t>
            </w:r>
          </w:p>
        </w:tc>
      </w:tr>
      <w:tr w:rsidR="00CC1A56" w:rsidRPr="00DD49B6" w:rsidTr="007D385B">
        <w:trPr>
          <w:jc w:val="center"/>
        </w:trPr>
        <w:tc>
          <w:tcPr>
            <w:tcW w:w="470" w:type="dxa"/>
          </w:tcPr>
          <w:p w:rsidR="00CC1A56" w:rsidRPr="00DD49B6" w:rsidRDefault="00CC1A56" w:rsidP="007D385B">
            <w:pPr>
              <w:pStyle w:val="naiskr"/>
              <w:tabs>
                <w:tab w:val="left" w:pos="2628"/>
              </w:tabs>
              <w:spacing w:before="0" w:beforeAutospacing="0" w:after="0" w:afterAutospacing="0"/>
              <w:jc w:val="both"/>
              <w:rPr>
                <w:iCs/>
              </w:rPr>
            </w:pPr>
            <w:r w:rsidRPr="00DD49B6">
              <w:rPr>
                <w:iCs/>
              </w:rPr>
              <w:t>3.</w:t>
            </w:r>
          </w:p>
        </w:tc>
        <w:tc>
          <w:tcPr>
            <w:tcW w:w="2728" w:type="dxa"/>
          </w:tcPr>
          <w:p w:rsidR="00CC1A56" w:rsidRPr="00DD49B6" w:rsidRDefault="00CC1A56" w:rsidP="007D385B">
            <w:pPr>
              <w:pStyle w:val="naiskr"/>
              <w:tabs>
                <w:tab w:val="left" w:pos="2628"/>
              </w:tabs>
              <w:spacing w:before="0" w:beforeAutospacing="0" w:after="0" w:afterAutospacing="0"/>
              <w:jc w:val="both"/>
              <w:rPr>
                <w:iCs/>
              </w:rPr>
            </w:pPr>
            <w:r w:rsidRPr="00DD49B6">
              <w:t>Cita informācija</w:t>
            </w:r>
          </w:p>
        </w:tc>
        <w:tc>
          <w:tcPr>
            <w:tcW w:w="6313" w:type="dxa"/>
          </w:tcPr>
          <w:p w:rsidR="00CC1A56" w:rsidRPr="00DD49B6" w:rsidRDefault="00246978" w:rsidP="00315436">
            <w:pPr>
              <w:pStyle w:val="naiskr"/>
              <w:tabs>
                <w:tab w:val="left" w:pos="2628"/>
              </w:tabs>
              <w:spacing w:after="0"/>
              <w:jc w:val="both"/>
              <w:rPr>
                <w:iCs/>
              </w:rPr>
            </w:pPr>
            <w:r w:rsidRPr="00246978">
              <w:rPr>
                <w:iCs/>
              </w:rPr>
              <w:t xml:space="preserve">MK noteikumu projekts var tikt virzīts izskatīšanai Ministru kabineta sēdē </w:t>
            </w:r>
            <w:r>
              <w:rPr>
                <w:iCs/>
              </w:rPr>
              <w:t xml:space="preserve">vienlaikus vai pēc </w:t>
            </w:r>
            <w:r w:rsidRPr="00246978">
              <w:rPr>
                <w:iCs/>
              </w:rPr>
              <w:t xml:space="preserve">Labklājības ministrijas rosināto grozījumu </w:t>
            </w:r>
            <w:r w:rsidR="00C77ECA">
              <w:rPr>
                <w:iCs/>
              </w:rPr>
              <w:t xml:space="preserve">DPP, </w:t>
            </w:r>
            <w:r w:rsidR="00C77ECA">
              <w:t>MK noteikumu</w:t>
            </w:r>
            <w:r w:rsidR="00C77ECA" w:rsidRPr="00C77ECA">
              <w:t xml:space="preserve"> Nr.540</w:t>
            </w:r>
            <w:r w:rsidR="00C77ECA">
              <w:t xml:space="preserve"> un MK noteikumu</w:t>
            </w:r>
            <w:r w:rsidR="00C77ECA" w:rsidRPr="00C77ECA">
              <w:t xml:space="preserve"> Nr.292</w:t>
            </w:r>
            <w:r w:rsidRPr="00246978">
              <w:rPr>
                <w:iCs/>
              </w:rPr>
              <w:t xml:space="preserve"> apstiprināšanas MK sēdē</w:t>
            </w:r>
            <w:r>
              <w:rPr>
                <w:iCs/>
              </w:rPr>
              <w:t>.</w:t>
            </w:r>
          </w:p>
        </w:tc>
      </w:tr>
    </w:tbl>
    <w:p w:rsidR="009C533D" w:rsidRPr="00DD49B6" w:rsidDel="009D1634" w:rsidRDefault="009C533D" w:rsidP="00CC1A56">
      <w:pPr>
        <w:spacing w:after="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CC1A56" w:rsidRPr="00DD49B6" w:rsidTr="007D385B">
        <w:trPr>
          <w:trHeight w:val="421"/>
          <w:jc w:val="center"/>
        </w:trPr>
        <w:tc>
          <w:tcPr>
            <w:tcW w:w="9524" w:type="dxa"/>
            <w:gridSpan w:val="3"/>
            <w:vAlign w:val="center"/>
          </w:tcPr>
          <w:p w:rsidR="00CC1A56" w:rsidRPr="00DD49B6" w:rsidRDefault="00CC1A56" w:rsidP="007D385B">
            <w:pPr>
              <w:pStyle w:val="naisnod"/>
              <w:spacing w:before="0" w:beforeAutospacing="0" w:after="0" w:afterAutospacing="0"/>
              <w:ind w:left="57" w:right="57"/>
              <w:jc w:val="center"/>
            </w:pPr>
            <w:r w:rsidRPr="00DD49B6">
              <w:rPr>
                <w:b/>
              </w:rPr>
              <w:t>VI. Sabiedrības līdzdalība un komunikācijas aktivitātes</w:t>
            </w:r>
          </w:p>
        </w:tc>
      </w:tr>
      <w:tr w:rsidR="00CC1A56" w:rsidRPr="00DD49B6" w:rsidTr="007D385B">
        <w:trPr>
          <w:trHeight w:val="553"/>
          <w:jc w:val="center"/>
        </w:trPr>
        <w:tc>
          <w:tcPr>
            <w:tcW w:w="476" w:type="dxa"/>
          </w:tcPr>
          <w:p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rsidR="00CC1A56" w:rsidRPr="00DD49B6"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Plānotās sabiedrības līdzdalības un komunikācijas aktivitātes saistībā ar projektu</w:t>
            </w:r>
          </w:p>
        </w:tc>
        <w:tc>
          <w:tcPr>
            <w:tcW w:w="6206" w:type="dxa"/>
          </w:tcPr>
          <w:p w:rsidR="00CC1A56" w:rsidRPr="00DD49B6" w:rsidRDefault="00CB6535" w:rsidP="00416790">
            <w:pPr>
              <w:shd w:val="clear" w:color="auto" w:fill="FFFFFF"/>
              <w:spacing w:after="0" w:line="240" w:lineRule="auto"/>
              <w:ind w:left="169" w:right="83"/>
              <w:jc w:val="both"/>
              <w:rPr>
                <w:rFonts w:ascii="Times New Roman" w:hAnsi="Times New Roman" w:cs="Times New Roman"/>
                <w:sz w:val="24"/>
                <w:szCs w:val="24"/>
                <w:lang w:eastAsia="lv-LV"/>
              </w:rPr>
            </w:pPr>
            <w:bookmarkStart w:id="1" w:name="p61"/>
            <w:bookmarkEnd w:id="1"/>
            <w:r w:rsidRPr="00CB6535">
              <w:rPr>
                <w:rFonts w:ascii="Times New Roman" w:hAnsi="Times New Roman" w:cs="Times New Roman"/>
                <w:sz w:val="24"/>
                <w:szCs w:val="24"/>
              </w:rPr>
              <w:t>Sabiedrības līdzdalība noteikumu projekta izstrādē netika nodrošināta, jo 1.4.1.1.1.apakšaktivitāte tiek īstenota ierobežotas projektu iesniegumu atlases veidā un tās ietvaros jau ir noslēgts līgums par projekta īstenošanu.</w:t>
            </w:r>
          </w:p>
        </w:tc>
      </w:tr>
      <w:tr w:rsidR="00CC1A56" w:rsidRPr="00DD49B6" w:rsidTr="007D385B">
        <w:trPr>
          <w:trHeight w:val="339"/>
          <w:jc w:val="center"/>
        </w:trPr>
        <w:tc>
          <w:tcPr>
            <w:tcW w:w="476" w:type="dxa"/>
          </w:tcPr>
          <w:p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tcPr>
          <w:p w:rsidR="00CC1A56" w:rsidRPr="00DD49B6" w:rsidRDefault="00CC1A56" w:rsidP="007D385B">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 projekta izstrādē</w:t>
            </w:r>
          </w:p>
        </w:tc>
        <w:tc>
          <w:tcPr>
            <w:tcW w:w="6206" w:type="dxa"/>
          </w:tcPr>
          <w:p w:rsidR="00CC1A56" w:rsidRPr="00DD49B6" w:rsidRDefault="00514DDD" w:rsidP="00B3241C">
            <w:pPr>
              <w:shd w:val="clear" w:color="auto" w:fill="FFFFFF"/>
              <w:spacing w:after="0" w:line="240" w:lineRule="auto"/>
              <w:ind w:left="169"/>
              <w:jc w:val="both"/>
              <w:rPr>
                <w:rFonts w:ascii="Times New Roman" w:hAnsi="Times New Roman" w:cs="Times New Roman"/>
                <w:sz w:val="24"/>
                <w:szCs w:val="24"/>
                <w:lang w:eastAsia="lv-LV"/>
              </w:rPr>
            </w:pPr>
            <w:bookmarkStart w:id="2" w:name="p62"/>
            <w:bookmarkEnd w:id="2"/>
            <w:r w:rsidRPr="0093520F">
              <w:rPr>
                <w:rFonts w:ascii="Times New Roman" w:hAnsi="Times New Roman" w:cs="Times New Roman"/>
                <w:sz w:val="24"/>
                <w:szCs w:val="24"/>
              </w:rPr>
              <w:t xml:space="preserve">MK </w:t>
            </w:r>
            <w:r w:rsidR="00B3241C">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DD49B6" w:rsidTr="007D385B">
        <w:trPr>
          <w:trHeight w:val="476"/>
          <w:jc w:val="center"/>
        </w:trPr>
        <w:tc>
          <w:tcPr>
            <w:tcW w:w="476" w:type="dxa"/>
          </w:tcPr>
          <w:p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3.</w:t>
            </w:r>
          </w:p>
        </w:tc>
        <w:tc>
          <w:tcPr>
            <w:tcW w:w="2842" w:type="dxa"/>
          </w:tcPr>
          <w:p w:rsidR="00CC1A56" w:rsidRPr="00DD49B6" w:rsidRDefault="00CC1A56" w:rsidP="007D385B">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līdzdalības rezultāti</w:t>
            </w:r>
          </w:p>
        </w:tc>
        <w:tc>
          <w:tcPr>
            <w:tcW w:w="6206" w:type="dxa"/>
          </w:tcPr>
          <w:p w:rsidR="00CC1A56" w:rsidRPr="00DD49B6" w:rsidRDefault="00514DDD" w:rsidP="00B3241C">
            <w:pPr>
              <w:shd w:val="clear" w:color="auto" w:fill="FFFFFF"/>
              <w:spacing w:after="0" w:line="240" w:lineRule="auto"/>
              <w:ind w:left="169"/>
              <w:jc w:val="both"/>
              <w:rPr>
                <w:rFonts w:ascii="Times New Roman" w:hAnsi="Times New Roman" w:cs="Times New Roman"/>
                <w:sz w:val="24"/>
                <w:szCs w:val="24"/>
                <w:lang w:eastAsia="lv-LV"/>
              </w:rPr>
            </w:pPr>
            <w:r w:rsidRPr="0093520F">
              <w:rPr>
                <w:rFonts w:ascii="Times New Roman" w:hAnsi="Times New Roman" w:cs="Times New Roman"/>
                <w:sz w:val="24"/>
                <w:szCs w:val="24"/>
              </w:rPr>
              <w:t xml:space="preserve">MK </w:t>
            </w:r>
            <w:r w:rsidR="00B3241C">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DD49B6" w:rsidTr="007D385B">
        <w:trPr>
          <w:trHeight w:val="476"/>
          <w:jc w:val="center"/>
        </w:trPr>
        <w:tc>
          <w:tcPr>
            <w:tcW w:w="476" w:type="dxa"/>
          </w:tcPr>
          <w:p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rsidR="00CC1A56" w:rsidRPr="00DD49B6" w:rsidRDefault="00CC1A56" w:rsidP="007D385B">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Cita informācija</w:t>
            </w:r>
          </w:p>
        </w:tc>
        <w:tc>
          <w:tcPr>
            <w:tcW w:w="6206" w:type="dxa"/>
          </w:tcPr>
          <w:p w:rsidR="00CC1A56" w:rsidRPr="00DD49B6" w:rsidRDefault="00514DDD" w:rsidP="007D385B">
            <w:pPr>
              <w:spacing w:after="0" w:line="240" w:lineRule="auto"/>
              <w:ind w:left="169"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rsidR="00CC1A56" w:rsidRPr="00DD49B6" w:rsidRDefault="00CC1A56"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DD49B6" w:rsidTr="007D385B">
        <w:trPr>
          <w:trHeight w:val="381"/>
          <w:jc w:val="center"/>
        </w:trPr>
        <w:tc>
          <w:tcPr>
            <w:tcW w:w="9518" w:type="dxa"/>
            <w:gridSpan w:val="3"/>
            <w:vAlign w:val="center"/>
          </w:tcPr>
          <w:p w:rsidR="00CC1A56" w:rsidRPr="00DD49B6" w:rsidRDefault="00CC1A56" w:rsidP="007D385B">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CC1A56" w:rsidRPr="00DD49B6" w:rsidTr="007D385B">
        <w:trPr>
          <w:trHeight w:val="427"/>
          <w:jc w:val="center"/>
        </w:trPr>
        <w:tc>
          <w:tcPr>
            <w:tcW w:w="437" w:type="dxa"/>
          </w:tcPr>
          <w:p w:rsidR="00CC1A56" w:rsidRPr="00DD49B6" w:rsidRDefault="00CC1A56" w:rsidP="007D385B">
            <w:pPr>
              <w:pStyle w:val="naisnod"/>
              <w:spacing w:before="0" w:beforeAutospacing="0" w:after="0" w:afterAutospacing="0"/>
              <w:ind w:left="57" w:right="57"/>
              <w:jc w:val="both"/>
            </w:pPr>
            <w:r w:rsidRPr="00DD49B6">
              <w:t>1.</w:t>
            </w:r>
          </w:p>
        </w:tc>
        <w:tc>
          <w:tcPr>
            <w:tcW w:w="3615" w:type="dxa"/>
          </w:tcPr>
          <w:p w:rsidR="00CC1A56" w:rsidRPr="00DD49B6" w:rsidRDefault="00CC1A56" w:rsidP="007D385B">
            <w:pPr>
              <w:pStyle w:val="naisf"/>
              <w:spacing w:before="0" w:beforeAutospacing="0" w:after="0" w:afterAutospacing="0"/>
              <w:ind w:left="57" w:right="57"/>
            </w:pPr>
            <w:r w:rsidRPr="00DD49B6">
              <w:t>Projekta izpildē iesaistītās institūcijas</w:t>
            </w:r>
          </w:p>
        </w:tc>
        <w:tc>
          <w:tcPr>
            <w:tcW w:w="5466" w:type="dxa"/>
          </w:tcPr>
          <w:p w:rsidR="00CC1A56" w:rsidRPr="00DD49B6" w:rsidRDefault="006E3024" w:rsidP="001F5194">
            <w:pPr>
              <w:shd w:val="clear" w:color="auto" w:fill="FFFFFF"/>
              <w:spacing w:after="0" w:line="240" w:lineRule="auto"/>
              <w:jc w:val="both"/>
              <w:rPr>
                <w:rFonts w:ascii="Times New Roman" w:hAnsi="Times New Roman" w:cs="Times New Roman"/>
                <w:sz w:val="24"/>
                <w:szCs w:val="24"/>
                <w:lang w:eastAsia="lv-LV"/>
              </w:rPr>
            </w:pPr>
            <w:bookmarkStart w:id="3" w:name="p66"/>
            <w:bookmarkStart w:id="4" w:name="p67"/>
            <w:bookmarkStart w:id="5" w:name="p68"/>
            <w:bookmarkStart w:id="6" w:name="p69"/>
            <w:bookmarkEnd w:id="3"/>
            <w:bookmarkEnd w:id="4"/>
            <w:bookmarkEnd w:id="5"/>
            <w:bookmarkEnd w:id="6"/>
            <w:r w:rsidRPr="006E3024">
              <w:rPr>
                <w:rFonts w:ascii="Times New Roman" w:hAnsi="Times New Roman" w:cs="Times New Roman"/>
                <w:sz w:val="24"/>
                <w:szCs w:val="24"/>
              </w:rPr>
              <w:t xml:space="preserve">Nodarbinātības valsts </w:t>
            </w:r>
            <w:r w:rsidRPr="004001DB">
              <w:rPr>
                <w:rFonts w:ascii="Times New Roman" w:hAnsi="Times New Roman" w:cs="Times New Roman"/>
                <w:sz w:val="24"/>
                <w:szCs w:val="24"/>
              </w:rPr>
              <w:t xml:space="preserve">aģentūra kā </w:t>
            </w:r>
            <w:r w:rsidR="001F5194">
              <w:rPr>
                <w:rFonts w:ascii="Times New Roman" w:hAnsi="Times New Roman" w:cs="Times New Roman"/>
                <w:iCs/>
                <w:sz w:val="24"/>
                <w:szCs w:val="24"/>
              </w:rPr>
              <w:t>ES fondu finansējuma saņēmējs</w:t>
            </w:r>
            <w:r w:rsidR="004001DB" w:rsidRPr="004001DB">
              <w:rPr>
                <w:rFonts w:ascii="Times New Roman" w:hAnsi="Times New Roman" w:cs="Times New Roman"/>
                <w:iCs/>
                <w:sz w:val="24"/>
                <w:szCs w:val="24"/>
              </w:rPr>
              <w:t>.</w:t>
            </w:r>
          </w:p>
        </w:tc>
      </w:tr>
      <w:tr w:rsidR="00CC1A56" w:rsidRPr="00DD49B6" w:rsidTr="007D385B">
        <w:trPr>
          <w:trHeight w:val="463"/>
          <w:jc w:val="center"/>
        </w:trPr>
        <w:tc>
          <w:tcPr>
            <w:tcW w:w="437" w:type="dxa"/>
          </w:tcPr>
          <w:p w:rsidR="00CC1A56" w:rsidRPr="00DD49B6" w:rsidRDefault="00CC1A56" w:rsidP="007D385B">
            <w:pPr>
              <w:pStyle w:val="naisnod"/>
              <w:spacing w:before="0" w:beforeAutospacing="0" w:after="0" w:afterAutospacing="0"/>
              <w:ind w:left="57" w:right="57"/>
              <w:jc w:val="both"/>
            </w:pPr>
            <w:r w:rsidRPr="00DD49B6">
              <w:t>2.</w:t>
            </w:r>
          </w:p>
        </w:tc>
        <w:tc>
          <w:tcPr>
            <w:tcW w:w="3615" w:type="dxa"/>
          </w:tcPr>
          <w:p w:rsidR="00CC1A56" w:rsidRPr="00DD49B6" w:rsidRDefault="00CC1A56" w:rsidP="007D385B">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rsidR="00CC1A56" w:rsidRPr="00DD49B6" w:rsidRDefault="00CC1A56" w:rsidP="007D385B">
            <w:pPr>
              <w:pStyle w:val="naisf"/>
              <w:spacing w:before="0" w:beforeAutospacing="0" w:after="0" w:afterAutospacing="0"/>
              <w:ind w:left="57" w:right="57"/>
            </w:pPr>
            <w:r w:rsidRPr="00DD49B6">
              <w:lastRenderedPageBreak/>
              <w:t>Jaunu institūciju izveide, esošu institūciju likvidācija vai reorga</w:t>
            </w:r>
            <w:r>
              <w:softHyphen/>
            </w:r>
            <w:r w:rsidRPr="00DD49B6">
              <w:t xml:space="preserve">nizācija, to ietekme uz </w:t>
            </w:r>
            <w:r>
              <w:t>institūcijas cilvēkresursiem</w:t>
            </w:r>
          </w:p>
        </w:tc>
        <w:tc>
          <w:tcPr>
            <w:tcW w:w="5466" w:type="dxa"/>
          </w:tcPr>
          <w:p w:rsidR="00CC1A56" w:rsidRPr="00DD49B6" w:rsidRDefault="00232033" w:rsidP="00B3241C">
            <w:pPr>
              <w:shd w:val="clear" w:color="auto" w:fill="FFFFFF"/>
              <w:spacing w:after="0" w:line="240" w:lineRule="auto"/>
              <w:jc w:val="both"/>
              <w:rPr>
                <w:rFonts w:ascii="Times New Roman" w:hAnsi="Times New Roman" w:cs="Times New Roman"/>
                <w:sz w:val="24"/>
                <w:szCs w:val="24"/>
                <w:lang w:eastAsia="lv-LV"/>
              </w:rPr>
            </w:pPr>
            <w:r w:rsidRPr="0093520F">
              <w:rPr>
                <w:rFonts w:ascii="Times New Roman" w:hAnsi="Times New Roman" w:cs="Times New Roman"/>
                <w:sz w:val="24"/>
                <w:szCs w:val="24"/>
              </w:rPr>
              <w:lastRenderedPageBreak/>
              <w:t xml:space="preserve">MK </w:t>
            </w:r>
            <w:r w:rsidR="00B3241C">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DD49B6" w:rsidTr="007D385B">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CC1A56" w:rsidRPr="00DD49B6" w:rsidRDefault="00CC1A56" w:rsidP="007D385B">
            <w:pPr>
              <w:pStyle w:val="naisnod"/>
              <w:spacing w:before="0" w:beforeAutospacing="0" w:after="0" w:afterAutospacing="0"/>
              <w:ind w:left="57" w:right="57"/>
              <w:jc w:val="both"/>
            </w:pPr>
            <w:r w:rsidRPr="00DD49B6">
              <w:lastRenderedPageBreak/>
              <w:t>3.</w:t>
            </w:r>
          </w:p>
        </w:tc>
        <w:tc>
          <w:tcPr>
            <w:tcW w:w="3615" w:type="dxa"/>
            <w:tcBorders>
              <w:top w:val="single" w:sz="4" w:space="0" w:color="auto"/>
              <w:left w:val="single" w:sz="4" w:space="0" w:color="auto"/>
              <w:bottom w:val="single" w:sz="4" w:space="0" w:color="auto"/>
              <w:right w:val="single" w:sz="4" w:space="0" w:color="auto"/>
            </w:tcBorders>
          </w:tcPr>
          <w:p w:rsidR="00CC1A56" w:rsidRPr="00DD49B6" w:rsidRDefault="00CC1A56" w:rsidP="007D385B">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rsidR="00CC1A56" w:rsidRPr="00DD49B6" w:rsidRDefault="00232033" w:rsidP="007D385B">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rsidR="0013282B" w:rsidRPr="00843389" w:rsidRDefault="0013282B" w:rsidP="00843389">
      <w:pPr>
        <w:spacing w:after="0" w:line="240" w:lineRule="auto"/>
        <w:rPr>
          <w:rFonts w:ascii="Times New Roman" w:hAnsi="Times New Roman" w:cs="Times New Roman"/>
          <w:sz w:val="24"/>
          <w:szCs w:val="24"/>
        </w:rPr>
      </w:pPr>
    </w:p>
    <w:p w:rsidR="00843389" w:rsidRDefault="00843389" w:rsidP="00843389">
      <w:pPr>
        <w:spacing w:after="0" w:line="240" w:lineRule="auto"/>
        <w:rPr>
          <w:rFonts w:ascii="Times New Roman" w:hAnsi="Times New Roman" w:cs="Times New Roman"/>
          <w:sz w:val="24"/>
          <w:szCs w:val="24"/>
        </w:rPr>
      </w:pPr>
      <w:r w:rsidRPr="00843389">
        <w:rPr>
          <w:rFonts w:ascii="Times New Roman" w:hAnsi="Times New Roman" w:cs="Times New Roman"/>
          <w:sz w:val="24"/>
          <w:szCs w:val="24"/>
        </w:rPr>
        <w:t xml:space="preserve">Anotācijas V sadaļa – MK </w:t>
      </w:r>
      <w:r w:rsidR="00B3241C">
        <w:rPr>
          <w:rFonts w:ascii="Times New Roman" w:hAnsi="Times New Roman" w:cs="Times New Roman"/>
          <w:sz w:val="24"/>
          <w:szCs w:val="24"/>
        </w:rPr>
        <w:t>noteikumu</w:t>
      </w:r>
      <w:r w:rsidRPr="00843389">
        <w:rPr>
          <w:rFonts w:ascii="Times New Roman" w:hAnsi="Times New Roman" w:cs="Times New Roman"/>
          <w:sz w:val="24"/>
          <w:szCs w:val="24"/>
        </w:rPr>
        <w:t xml:space="preserve"> projekts šo jomu neskar.</w:t>
      </w:r>
    </w:p>
    <w:p w:rsidR="00D473ED" w:rsidRDefault="00D473ED" w:rsidP="00843389">
      <w:pPr>
        <w:spacing w:after="0" w:line="240" w:lineRule="auto"/>
        <w:rPr>
          <w:rFonts w:ascii="Times New Roman" w:hAnsi="Times New Roman" w:cs="Times New Roman"/>
          <w:sz w:val="24"/>
          <w:szCs w:val="24"/>
        </w:rPr>
      </w:pPr>
    </w:p>
    <w:p w:rsidR="00811BEF" w:rsidRDefault="00811BEF" w:rsidP="00843389">
      <w:pPr>
        <w:spacing w:after="0" w:line="240" w:lineRule="auto"/>
        <w:rPr>
          <w:rFonts w:ascii="Times New Roman" w:hAnsi="Times New Roman" w:cs="Times New Roman"/>
          <w:sz w:val="24"/>
          <w:szCs w:val="24"/>
        </w:rPr>
      </w:pPr>
    </w:p>
    <w:p w:rsidR="00132D3B" w:rsidRDefault="00132D3B" w:rsidP="00843389">
      <w:pPr>
        <w:spacing w:after="0" w:line="240" w:lineRule="auto"/>
        <w:rPr>
          <w:rFonts w:ascii="Times New Roman" w:hAnsi="Times New Roman" w:cs="Times New Roman"/>
          <w:sz w:val="24"/>
          <w:szCs w:val="24"/>
        </w:rPr>
      </w:pPr>
    </w:p>
    <w:p w:rsidR="00D473ED" w:rsidRPr="00D473ED" w:rsidRDefault="00D473ED" w:rsidP="00D473ED">
      <w:pPr>
        <w:tabs>
          <w:tab w:val="left" w:pos="7371"/>
        </w:tabs>
        <w:spacing w:after="0" w:line="240" w:lineRule="auto"/>
        <w:rPr>
          <w:rFonts w:ascii="Times New Roman" w:hAnsi="Times New Roman" w:cs="Times New Roman"/>
          <w:sz w:val="28"/>
          <w:szCs w:val="28"/>
        </w:rPr>
      </w:pPr>
      <w:r w:rsidRPr="00D473ED">
        <w:rPr>
          <w:rFonts w:ascii="Times New Roman" w:hAnsi="Times New Roman" w:cs="Times New Roman"/>
          <w:sz w:val="28"/>
          <w:szCs w:val="28"/>
        </w:rPr>
        <w:t>Labklājības ministr</w:t>
      </w:r>
      <w:r w:rsidR="00BC0DAA">
        <w:rPr>
          <w:rFonts w:ascii="Times New Roman" w:hAnsi="Times New Roman" w:cs="Times New Roman"/>
          <w:sz w:val="28"/>
          <w:szCs w:val="28"/>
        </w:rPr>
        <w:t>s</w:t>
      </w:r>
      <w:r w:rsidRPr="00D473ED">
        <w:rPr>
          <w:rFonts w:ascii="Times New Roman" w:hAnsi="Times New Roman" w:cs="Times New Roman"/>
          <w:sz w:val="28"/>
          <w:szCs w:val="28"/>
        </w:rPr>
        <w:tab/>
      </w:r>
      <w:r w:rsidR="00BC0DAA">
        <w:rPr>
          <w:rFonts w:ascii="Times New Roman" w:hAnsi="Times New Roman" w:cs="Times New Roman"/>
          <w:sz w:val="28"/>
          <w:szCs w:val="28"/>
        </w:rPr>
        <w:t>U.Augulis</w:t>
      </w:r>
    </w:p>
    <w:p w:rsidR="00D473ED" w:rsidRPr="00D473ED" w:rsidRDefault="00D473ED" w:rsidP="00D473ED">
      <w:pPr>
        <w:spacing w:after="0" w:line="240" w:lineRule="auto"/>
        <w:rPr>
          <w:rFonts w:ascii="Times New Roman" w:hAnsi="Times New Roman" w:cs="Times New Roman"/>
          <w:sz w:val="24"/>
          <w:szCs w:val="24"/>
        </w:rPr>
      </w:pPr>
    </w:p>
    <w:p w:rsidR="00C541BC" w:rsidRDefault="00C541BC" w:rsidP="00D473ED">
      <w:pPr>
        <w:spacing w:after="0" w:line="240" w:lineRule="auto"/>
        <w:rPr>
          <w:rFonts w:ascii="Times New Roman" w:hAnsi="Times New Roman" w:cs="Times New Roman"/>
          <w:sz w:val="24"/>
          <w:szCs w:val="24"/>
        </w:rPr>
      </w:pPr>
    </w:p>
    <w:p w:rsidR="00C541BC" w:rsidRDefault="00C541BC" w:rsidP="00D473ED">
      <w:pPr>
        <w:spacing w:after="0" w:line="240" w:lineRule="auto"/>
        <w:rPr>
          <w:rFonts w:ascii="Times New Roman" w:hAnsi="Times New Roman" w:cs="Times New Roman"/>
          <w:sz w:val="24"/>
          <w:szCs w:val="24"/>
        </w:rPr>
      </w:pPr>
    </w:p>
    <w:p w:rsidR="00CC7A86" w:rsidRDefault="00CC7A86" w:rsidP="00D473ED">
      <w:pPr>
        <w:spacing w:after="0" w:line="240" w:lineRule="auto"/>
        <w:rPr>
          <w:rFonts w:ascii="Times New Roman" w:hAnsi="Times New Roman" w:cs="Times New Roman"/>
          <w:sz w:val="24"/>
          <w:szCs w:val="24"/>
        </w:rPr>
      </w:pPr>
    </w:p>
    <w:p w:rsidR="000046E6" w:rsidRDefault="000046E6" w:rsidP="00D473ED">
      <w:pPr>
        <w:spacing w:after="0" w:line="240" w:lineRule="auto"/>
        <w:rPr>
          <w:rFonts w:ascii="Times New Roman" w:hAnsi="Times New Roman" w:cs="Times New Roman"/>
          <w:sz w:val="24"/>
          <w:szCs w:val="24"/>
        </w:rPr>
      </w:pPr>
    </w:p>
    <w:p w:rsidR="000046E6" w:rsidRDefault="000046E6" w:rsidP="00D473ED">
      <w:pPr>
        <w:spacing w:after="0" w:line="240" w:lineRule="auto"/>
        <w:rPr>
          <w:rFonts w:ascii="Times New Roman" w:hAnsi="Times New Roman" w:cs="Times New Roman"/>
          <w:sz w:val="24"/>
          <w:szCs w:val="24"/>
        </w:rPr>
      </w:pPr>
    </w:p>
    <w:p w:rsidR="00CC7A86" w:rsidRDefault="00CC7A86" w:rsidP="00D473ED">
      <w:pPr>
        <w:spacing w:after="0" w:line="240" w:lineRule="auto"/>
        <w:rPr>
          <w:rFonts w:ascii="Times New Roman" w:hAnsi="Times New Roman" w:cs="Times New Roman"/>
          <w:sz w:val="24"/>
          <w:szCs w:val="24"/>
        </w:rPr>
      </w:pPr>
    </w:p>
    <w:p w:rsidR="00CC7A86" w:rsidRDefault="00CC7A86" w:rsidP="00D473ED">
      <w:pPr>
        <w:spacing w:after="0" w:line="240" w:lineRule="auto"/>
        <w:rPr>
          <w:rFonts w:ascii="Times New Roman" w:hAnsi="Times New Roman" w:cs="Times New Roman"/>
          <w:sz w:val="24"/>
          <w:szCs w:val="24"/>
        </w:rPr>
      </w:pPr>
    </w:p>
    <w:p w:rsidR="00D473ED" w:rsidRPr="00D473ED" w:rsidRDefault="00D473ED" w:rsidP="00D473ED">
      <w:pPr>
        <w:spacing w:after="0" w:line="240" w:lineRule="auto"/>
        <w:rPr>
          <w:rFonts w:ascii="Times New Roman" w:hAnsi="Times New Roman" w:cs="Times New Roman"/>
          <w:sz w:val="24"/>
          <w:szCs w:val="24"/>
        </w:rPr>
      </w:pPr>
    </w:p>
    <w:p w:rsidR="00D473ED" w:rsidRPr="00D473ED" w:rsidRDefault="00E627EF"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9D040F">
        <w:rPr>
          <w:rFonts w:ascii="Times New Roman" w:hAnsi="Times New Roman" w:cs="Times New Roman"/>
          <w:sz w:val="20"/>
          <w:szCs w:val="20"/>
        </w:rPr>
        <w:t>.03</w:t>
      </w:r>
      <w:r w:rsidR="00F07BB7">
        <w:rPr>
          <w:rFonts w:ascii="Times New Roman" w:hAnsi="Times New Roman" w:cs="Times New Roman"/>
          <w:sz w:val="20"/>
          <w:szCs w:val="20"/>
        </w:rPr>
        <w:t>.2014</w:t>
      </w:r>
      <w:r w:rsidR="00D473ED" w:rsidRPr="00D473ED">
        <w:rPr>
          <w:rFonts w:ascii="Times New Roman" w:hAnsi="Times New Roman" w:cs="Times New Roman"/>
          <w:sz w:val="20"/>
          <w:szCs w:val="20"/>
        </w:rPr>
        <w:t xml:space="preserve">. </w:t>
      </w:r>
      <w:r>
        <w:rPr>
          <w:rFonts w:ascii="Times New Roman" w:hAnsi="Times New Roman" w:cs="Times New Roman"/>
          <w:sz w:val="20"/>
          <w:szCs w:val="20"/>
        </w:rPr>
        <w:t>13:05</w:t>
      </w:r>
      <w:bookmarkStart w:id="7" w:name="_GoBack"/>
      <w:bookmarkEnd w:id="7"/>
    </w:p>
    <w:p w:rsidR="00D473ED" w:rsidRPr="00D473ED" w:rsidRDefault="007D6A86"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42716A">
        <w:rPr>
          <w:rFonts w:ascii="Times New Roman" w:hAnsi="Times New Roman" w:cs="Times New Roman"/>
          <w:sz w:val="20"/>
          <w:szCs w:val="20"/>
        </w:rPr>
        <w:t>80</w:t>
      </w:r>
    </w:p>
    <w:p w:rsidR="00D473ED" w:rsidRPr="00D473ED" w:rsidRDefault="00D473ED" w:rsidP="00D473ED">
      <w:pPr>
        <w:spacing w:after="0" w:line="240" w:lineRule="auto"/>
        <w:rPr>
          <w:rFonts w:ascii="Times New Roman" w:hAnsi="Times New Roman" w:cs="Times New Roman"/>
          <w:sz w:val="20"/>
          <w:szCs w:val="20"/>
        </w:rPr>
      </w:pPr>
      <w:r w:rsidRPr="00D473ED">
        <w:rPr>
          <w:rFonts w:ascii="Times New Roman" w:hAnsi="Times New Roman" w:cs="Times New Roman"/>
          <w:sz w:val="20"/>
          <w:szCs w:val="20"/>
        </w:rPr>
        <w:t>D.Zvaigzne, 67021660</w:t>
      </w:r>
    </w:p>
    <w:p w:rsidR="00D473ED" w:rsidRPr="00D473ED" w:rsidRDefault="00D473ED" w:rsidP="00D473ED">
      <w:pPr>
        <w:spacing w:after="0" w:line="240" w:lineRule="auto"/>
        <w:rPr>
          <w:rFonts w:ascii="Times New Roman" w:hAnsi="Times New Roman" w:cs="Times New Roman"/>
          <w:sz w:val="20"/>
          <w:szCs w:val="20"/>
        </w:rPr>
      </w:pPr>
      <w:r w:rsidRPr="00D473ED">
        <w:rPr>
          <w:rFonts w:ascii="Times New Roman" w:hAnsi="Times New Roman" w:cs="Times New Roman"/>
          <w:sz w:val="20"/>
          <w:szCs w:val="20"/>
        </w:rPr>
        <w:t>Dace.Zvaigzne@lm.gov.lv</w:t>
      </w:r>
    </w:p>
    <w:sectPr w:rsidR="00D473ED" w:rsidRPr="00D473ED" w:rsidSect="006D6C82">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DEB" w:rsidRDefault="00534DEB" w:rsidP="006D6C82">
      <w:pPr>
        <w:spacing w:after="0" w:line="240" w:lineRule="auto"/>
      </w:pPr>
      <w:r>
        <w:separator/>
      </w:r>
    </w:p>
  </w:endnote>
  <w:endnote w:type="continuationSeparator" w:id="0">
    <w:p w:rsidR="00534DEB" w:rsidRDefault="00534DEB"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Arial"/>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DEB" w:rsidRPr="00D92DF5" w:rsidRDefault="00FE35C2" w:rsidP="00C541BC">
    <w:pPr>
      <w:pStyle w:val="Footer"/>
      <w:rPr>
        <w:rFonts w:ascii="Times New Roman" w:hAnsi="Times New Roman" w:cs="Times New Roman"/>
        <w:sz w:val="20"/>
        <w:szCs w:val="20"/>
      </w:rPr>
    </w:pPr>
    <w:r>
      <w:rPr>
        <w:rFonts w:ascii="Times New Roman" w:hAnsi="Times New Roman" w:cs="Times New Roman"/>
        <w:sz w:val="20"/>
        <w:szCs w:val="20"/>
      </w:rPr>
      <w:t>LMAnot_</w:t>
    </w:r>
    <w:r w:rsidR="00930FBA">
      <w:rPr>
        <w:rFonts w:ascii="Times New Roman" w:hAnsi="Times New Roman" w:cs="Times New Roman"/>
        <w:sz w:val="20"/>
        <w:szCs w:val="20"/>
      </w:rPr>
      <w:t>2</w:t>
    </w:r>
    <w:r w:rsidR="002E1B26">
      <w:rPr>
        <w:rFonts w:ascii="Times New Roman" w:hAnsi="Times New Roman" w:cs="Times New Roman"/>
        <w:sz w:val="20"/>
        <w:szCs w:val="20"/>
      </w:rPr>
      <w:t>7</w:t>
    </w:r>
    <w:r w:rsidR="005B726E">
      <w:rPr>
        <w:rFonts w:ascii="Times New Roman" w:hAnsi="Times New Roman" w:cs="Times New Roman"/>
        <w:sz w:val="20"/>
        <w:szCs w:val="20"/>
      </w:rPr>
      <w:t>03</w:t>
    </w:r>
    <w:r w:rsidR="00534DEB" w:rsidRPr="00D92DF5">
      <w:rPr>
        <w:rFonts w:ascii="Times New Roman" w:hAnsi="Times New Roman" w:cs="Times New Roman"/>
        <w:sz w:val="20"/>
        <w:szCs w:val="20"/>
      </w:rPr>
      <w:t xml:space="preserve">14_170groz; Grozījumi Ministru kabineta </w:t>
    </w:r>
    <w:proofErr w:type="gramStart"/>
    <w:r w:rsidR="00534DEB" w:rsidRPr="00D92DF5">
      <w:rPr>
        <w:rFonts w:ascii="Times New Roman" w:hAnsi="Times New Roman" w:cs="Times New Roman"/>
        <w:sz w:val="20"/>
        <w:szCs w:val="20"/>
      </w:rPr>
      <w:t>2011.gada</w:t>
    </w:r>
    <w:proofErr w:type="gramEnd"/>
    <w:r w:rsidR="00534DEB" w:rsidRPr="00D92DF5">
      <w:rPr>
        <w:rFonts w:ascii="Times New Roman" w:hAnsi="Times New Roman" w:cs="Times New Roman"/>
        <w:sz w:val="20"/>
        <w:szCs w:val="20"/>
      </w:rPr>
      <w:t xml:space="preserve"> 1.marta noteikumos Nr.170 „Noteikumi par darbības programmas „Cilvēkresursi un nodarbinātība” papildinājuma 1.4.1.1.1.apakšaktivitāti „Kompleksi atbalsta pasākumi iedzīvotāju integrēšanai sabiedrībā un darba tirgū””</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DEB" w:rsidRPr="00D92DF5" w:rsidRDefault="00FE35C2">
    <w:pPr>
      <w:pStyle w:val="Footer"/>
      <w:rPr>
        <w:rFonts w:ascii="Times New Roman" w:hAnsi="Times New Roman" w:cs="Times New Roman"/>
        <w:sz w:val="20"/>
        <w:szCs w:val="20"/>
      </w:rPr>
    </w:pPr>
    <w:r>
      <w:rPr>
        <w:rFonts w:ascii="Times New Roman" w:hAnsi="Times New Roman" w:cs="Times New Roman"/>
        <w:sz w:val="20"/>
        <w:szCs w:val="20"/>
      </w:rPr>
      <w:t>LMAnot_</w:t>
    </w:r>
    <w:r w:rsidR="002E1B26">
      <w:rPr>
        <w:rFonts w:ascii="Times New Roman" w:hAnsi="Times New Roman" w:cs="Times New Roman"/>
        <w:sz w:val="20"/>
        <w:szCs w:val="20"/>
      </w:rPr>
      <w:t>27</w:t>
    </w:r>
    <w:r w:rsidR="005B726E">
      <w:rPr>
        <w:rFonts w:ascii="Times New Roman" w:hAnsi="Times New Roman" w:cs="Times New Roman"/>
        <w:sz w:val="20"/>
        <w:szCs w:val="20"/>
      </w:rPr>
      <w:t>03</w:t>
    </w:r>
    <w:r w:rsidR="00534DEB" w:rsidRPr="00D92DF5">
      <w:rPr>
        <w:rFonts w:ascii="Times New Roman" w:hAnsi="Times New Roman" w:cs="Times New Roman"/>
        <w:sz w:val="20"/>
        <w:szCs w:val="20"/>
      </w:rPr>
      <w:t xml:space="preserve">14_170groz; Grozījumi Ministru kabineta </w:t>
    </w:r>
    <w:proofErr w:type="gramStart"/>
    <w:r w:rsidR="00534DEB" w:rsidRPr="00D92DF5">
      <w:rPr>
        <w:rFonts w:ascii="Times New Roman" w:hAnsi="Times New Roman" w:cs="Times New Roman"/>
        <w:sz w:val="20"/>
        <w:szCs w:val="20"/>
      </w:rPr>
      <w:t>2011.gada</w:t>
    </w:r>
    <w:proofErr w:type="gramEnd"/>
    <w:r w:rsidR="00534DEB" w:rsidRPr="00D92DF5">
      <w:rPr>
        <w:rFonts w:ascii="Times New Roman" w:hAnsi="Times New Roman" w:cs="Times New Roman"/>
        <w:sz w:val="20"/>
        <w:szCs w:val="20"/>
      </w:rPr>
      <w:t xml:space="preserve"> 1.marta noteikumos Nr.170 „Noteikumi par darbības programmas „Cilvēkresursi un nodarbinātība” papildinājuma 1.4.1.1.1.apakšaktivitāti „Kompleksi atbalsta pasākumi iedzīvotāju integrēšanai sabiedrībā un darba tirgū””</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DEB" w:rsidRDefault="00534DEB" w:rsidP="006D6C82">
      <w:pPr>
        <w:spacing w:after="0" w:line="240" w:lineRule="auto"/>
      </w:pPr>
      <w:r>
        <w:separator/>
      </w:r>
    </w:p>
  </w:footnote>
  <w:footnote w:type="continuationSeparator" w:id="0">
    <w:p w:rsidR="00534DEB" w:rsidRDefault="00534DEB" w:rsidP="006D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91963"/>
      <w:docPartObj>
        <w:docPartGallery w:val="Page Numbers (Top of Page)"/>
        <w:docPartUnique/>
      </w:docPartObj>
    </w:sdtPr>
    <w:sdtEndPr>
      <w:rPr>
        <w:noProof/>
      </w:rPr>
    </w:sdtEndPr>
    <w:sdtContent>
      <w:p w:rsidR="00534DEB" w:rsidRDefault="00534DEB">
        <w:pPr>
          <w:pStyle w:val="Header"/>
          <w:jc w:val="center"/>
        </w:pPr>
        <w:r>
          <w:fldChar w:fldCharType="begin"/>
        </w:r>
        <w:r>
          <w:instrText xml:space="preserve"> PAGE   \* MERGEFORMAT </w:instrText>
        </w:r>
        <w:r>
          <w:fldChar w:fldCharType="separate"/>
        </w:r>
        <w:r w:rsidR="00E627EF">
          <w:rPr>
            <w:noProof/>
          </w:rPr>
          <w:t>9</w:t>
        </w:r>
        <w:r>
          <w:rPr>
            <w:noProof/>
          </w:rPr>
          <w:fldChar w:fldCharType="end"/>
        </w:r>
      </w:p>
    </w:sdtContent>
  </w:sdt>
  <w:p w:rsidR="00534DEB" w:rsidRDefault="00534D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AE4024D"/>
    <w:multiLevelType w:val="hybridMultilevel"/>
    <w:tmpl w:val="04F0C878"/>
    <w:lvl w:ilvl="0" w:tplc="02B883FE">
      <w:start w:val="1"/>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
    <w:nsid w:val="141F24FA"/>
    <w:multiLevelType w:val="hybridMultilevel"/>
    <w:tmpl w:val="5914E07C"/>
    <w:lvl w:ilvl="0" w:tplc="02B883FE">
      <w:start w:val="1"/>
      <w:numFmt w:val="bullet"/>
      <w:lvlText w:val="-"/>
      <w:lvlJc w:val="left"/>
      <w:pPr>
        <w:ind w:left="502" w:hanging="360"/>
      </w:pPr>
      <w:rPr>
        <w:rFonts w:ascii="Times New Roman" w:eastAsiaTheme="minorHAns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63C4B78"/>
    <w:multiLevelType w:val="hybridMultilevel"/>
    <w:tmpl w:val="0582867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7">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9">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0">
    <w:nsid w:val="549400D9"/>
    <w:multiLevelType w:val="hybridMultilevel"/>
    <w:tmpl w:val="46908B0E"/>
    <w:lvl w:ilvl="0" w:tplc="02B883FE">
      <w:start w:val="1"/>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2">
    <w:nsid w:val="633116CF"/>
    <w:multiLevelType w:val="hybridMultilevel"/>
    <w:tmpl w:val="445C0138"/>
    <w:lvl w:ilvl="0" w:tplc="02B883FE">
      <w:start w:val="1"/>
      <w:numFmt w:val="bullet"/>
      <w:lvlText w:val="-"/>
      <w:lvlJc w:val="left"/>
      <w:pPr>
        <w:ind w:left="502" w:hanging="360"/>
      </w:pPr>
      <w:rPr>
        <w:rFonts w:ascii="Times New Roman" w:eastAsiaTheme="minorHAns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3">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4">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5">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6">
    <w:nsid w:val="777B6D99"/>
    <w:multiLevelType w:val="hybridMultilevel"/>
    <w:tmpl w:val="B634634E"/>
    <w:lvl w:ilvl="0" w:tplc="02B883FE">
      <w:start w:val="1"/>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num w:numId="1">
    <w:abstractNumId w:val="5"/>
  </w:num>
  <w:num w:numId="2">
    <w:abstractNumId w:val="4"/>
  </w:num>
  <w:num w:numId="3">
    <w:abstractNumId w:val="7"/>
  </w:num>
  <w:num w:numId="4">
    <w:abstractNumId w:val="15"/>
  </w:num>
  <w:num w:numId="5">
    <w:abstractNumId w:val="11"/>
  </w:num>
  <w:num w:numId="6">
    <w:abstractNumId w:val="1"/>
  </w:num>
  <w:num w:numId="7">
    <w:abstractNumId w:val="14"/>
  </w:num>
  <w:num w:numId="8">
    <w:abstractNumId w:val="9"/>
  </w:num>
  <w:num w:numId="9">
    <w:abstractNumId w:val="0"/>
  </w:num>
  <w:num w:numId="10">
    <w:abstractNumId w:val="8"/>
  </w:num>
  <w:num w:numId="11">
    <w:abstractNumId w:val="13"/>
  </w:num>
  <w:num w:numId="12">
    <w:abstractNumId w:val="12"/>
  </w:num>
  <w:num w:numId="13">
    <w:abstractNumId w:val="10"/>
  </w:num>
  <w:num w:numId="14">
    <w:abstractNumId w:val="3"/>
  </w:num>
  <w:num w:numId="15">
    <w:abstractNumId w:val="16"/>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12B1"/>
    <w:rsid w:val="00002103"/>
    <w:rsid w:val="000046E6"/>
    <w:rsid w:val="0000589D"/>
    <w:rsid w:val="00017001"/>
    <w:rsid w:val="00020CC8"/>
    <w:rsid w:val="00025E50"/>
    <w:rsid w:val="00033FAA"/>
    <w:rsid w:val="0004155C"/>
    <w:rsid w:val="00042558"/>
    <w:rsid w:val="000459D0"/>
    <w:rsid w:val="00051EDF"/>
    <w:rsid w:val="000561FB"/>
    <w:rsid w:val="00065E19"/>
    <w:rsid w:val="0007088B"/>
    <w:rsid w:val="00073983"/>
    <w:rsid w:val="00073D3C"/>
    <w:rsid w:val="00083D02"/>
    <w:rsid w:val="0009107E"/>
    <w:rsid w:val="00091451"/>
    <w:rsid w:val="000949FF"/>
    <w:rsid w:val="000A50F4"/>
    <w:rsid w:val="000A556B"/>
    <w:rsid w:val="000A69BD"/>
    <w:rsid w:val="000B060F"/>
    <w:rsid w:val="000B76A9"/>
    <w:rsid w:val="000B7C9E"/>
    <w:rsid w:val="000C02CB"/>
    <w:rsid w:val="000C1643"/>
    <w:rsid w:val="000C4E3C"/>
    <w:rsid w:val="000C55AD"/>
    <w:rsid w:val="000C641B"/>
    <w:rsid w:val="000C6DA7"/>
    <w:rsid w:val="000F20BC"/>
    <w:rsid w:val="000F2C5F"/>
    <w:rsid w:val="000F549B"/>
    <w:rsid w:val="000F62B4"/>
    <w:rsid w:val="00101F23"/>
    <w:rsid w:val="001144D9"/>
    <w:rsid w:val="0011756F"/>
    <w:rsid w:val="00117A88"/>
    <w:rsid w:val="00121452"/>
    <w:rsid w:val="00124F56"/>
    <w:rsid w:val="00126B03"/>
    <w:rsid w:val="0012788D"/>
    <w:rsid w:val="0013282B"/>
    <w:rsid w:val="00132D3B"/>
    <w:rsid w:val="001377F7"/>
    <w:rsid w:val="00140CF3"/>
    <w:rsid w:val="001415BF"/>
    <w:rsid w:val="00153D15"/>
    <w:rsid w:val="00154784"/>
    <w:rsid w:val="0016361D"/>
    <w:rsid w:val="00166E6E"/>
    <w:rsid w:val="00167190"/>
    <w:rsid w:val="001679C6"/>
    <w:rsid w:val="00170095"/>
    <w:rsid w:val="00176916"/>
    <w:rsid w:val="00182FE0"/>
    <w:rsid w:val="00185516"/>
    <w:rsid w:val="0018780A"/>
    <w:rsid w:val="0019224B"/>
    <w:rsid w:val="00194122"/>
    <w:rsid w:val="001B1214"/>
    <w:rsid w:val="001B5B45"/>
    <w:rsid w:val="001B7A2A"/>
    <w:rsid w:val="001C7D4E"/>
    <w:rsid w:val="001C7E8A"/>
    <w:rsid w:val="001E645F"/>
    <w:rsid w:val="001F1F18"/>
    <w:rsid w:val="001F4338"/>
    <w:rsid w:val="001F5194"/>
    <w:rsid w:val="0020583D"/>
    <w:rsid w:val="002060B7"/>
    <w:rsid w:val="002123C9"/>
    <w:rsid w:val="002141C0"/>
    <w:rsid w:val="00214B7E"/>
    <w:rsid w:val="00215066"/>
    <w:rsid w:val="00222A90"/>
    <w:rsid w:val="0022354D"/>
    <w:rsid w:val="00223CAA"/>
    <w:rsid w:val="00224858"/>
    <w:rsid w:val="00232033"/>
    <w:rsid w:val="002343B8"/>
    <w:rsid w:val="0024102C"/>
    <w:rsid w:val="00246674"/>
    <w:rsid w:val="00246978"/>
    <w:rsid w:val="002558E9"/>
    <w:rsid w:val="00260F04"/>
    <w:rsid w:val="0026591A"/>
    <w:rsid w:val="0026710C"/>
    <w:rsid w:val="00275687"/>
    <w:rsid w:val="00277744"/>
    <w:rsid w:val="00280DB1"/>
    <w:rsid w:val="00285D5E"/>
    <w:rsid w:val="002874DE"/>
    <w:rsid w:val="002A161A"/>
    <w:rsid w:val="002A3C9B"/>
    <w:rsid w:val="002B0D05"/>
    <w:rsid w:val="002B1692"/>
    <w:rsid w:val="002B40A8"/>
    <w:rsid w:val="002C3BF3"/>
    <w:rsid w:val="002D1BF6"/>
    <w:rsid w:val="002D1F05"/>
    <w:rsid w:val="002D2016"/>
    <w:rsid w:val="002E1B26"/>
    <w:rsid w:val="002F2310"/>
    <w:rsid w:val="002F2FE5"/>
    <w:rsid w:val="00301E4A"/>
    <w:rsid w:val="00302BFA"/>
    <w:rsid w:val="00303FFC"/>
    <w:rsid w:val="003075D0"/>
    <w:rsid w:val="0031344F"/>
    <w:rsid w:val="00315436"/>
    <w:rsid w:val="00317C89"/>
    <w:rsid w:val="00320A19"/>
    <w:rsid w:val="0032182F"/>
    <w:rsid w:val="00321D39"/>
    <w:rsid w:val="00327458"/>
    <w:rsid w:val="00327DBA"/>
    <w:rsid w:val="00336B3A"/>
    <w:rsid w:val="00345771"/>
    <w:rsid w:val="003460F3"/>
    <w:rsid w:val="00350EE7"/>
    <w:rsid w:val="003524AB"/>
    <w:rsid w:val="003530FE"/>
    <w:rsid w:val="003543DC"/>
    <w:rsid w:val="0035641C"/>
    <w:rsid w:val="00365B8E"/>
    <w:rsid w:val="0037315D"/>
    <w:rsid w:val="00374721"/>
    <w:rsid w:val="00376507"/>
    <w:rsid w:val="00380C43"/>
    <w:rsid w:val="0038217F"/>
    <w:rsid w:val="00382C79"/>
    <w:rsid w:val="00383EAB"/>
    <w:rsid w:val="003841C2"/>
    <w:rsid w:val="003919EB"/>
    <w:rsid w:val="00393677"/>
    <w:rsid w:val="003A3A21"/>
    <w:rsid w:val="003A61AD"/>
    <w:rsid w:val="003A723E"/>
    <w:rsid w:val="003A77B7"/>
    <w:rsid w:val="003B0FBE"/>
    <w:rsid w:val="003B5DEB"/>
    <w:rsid w:val="003D58F4"/>
    <w:rsid w:val="003D7FCC"/>
    <w:rsid w:val="003E15EB"/>
    <w:rsid w:val="003E30F0"/>
    <w:rsid w:val="004001DB"/>
    <w:rsid w:val="00403C20"/>
    <w:rsid w:val="00416790"/>
    <w:rsid w:val="0042150C"/>
    <w:rsid w:val="0042358E"/>
    <w:rsid w:val="004245F7"/>
    <w:rsid w:val="00424E1C"/>
    <w:rsid w:val="0042716A"/>
    <w:rsid w:val="00427EFE"/>
    <w:rsid w:val="004311B2"/>
    <w:rsid w:val="0043187B"/>
    <w:rsid w:val="00433C32"/>
    <w:rsid w:val="00435F49"/>
    <w:rsid w:val="004361DB"/>
    <w:rsid w:val="004439F4"/>
    <w:rsid w:val="00445A9C"/>
    <w:rsid w:val="0045019D"/>
    <w:rsid w:val="004514B3"/>
    <w:rsid w:val="00456D14"/>
    <w:rsid w:val="00461148"/>
    <w:rsid w:val="00470125"/>
    <w:rsid w:val="0047531F"/>
    <w:rsid w:val="00481BF1"/>
    <w:rsid w:val="004863B9"/>
    <w:rsid w:val="00490B43"/>
    <w:rsid w:val="004A00ED"/>
    <w:rsid w:val="004A0562"/>
    <w:rsid w:val="004A24AB"/>
    <w:rsid w:val="004A24BF"/>
    <w:rsid w:val="004A42DE"/>
    <w:rsid w:val="004A4462"/>
    <w:rsid w:val="004B374D"/>
    <w:rsid w:val="004B4BC8"/>
    <w:rsid w:val="004B5C8B"/>
    <w:rsid w:val="004C0127"/>
    <w:rsid w:val="004C0612"/>
    <w:rsid w:val="004C55C1"/>
    <w:rsid w:val="004C58AE"/>
    <w:rsid w:val="004D24D9"/>
    <w:rsid w:val="004D2900"/>
    <w:rsid w:val="004D3326"/>
    <w:rsid w:val="004D4A4C"/>
    <w:rsid w:val="004D654A"/>
    <w:rsid w:val="004E0172"/>
    <w:rsid w:val="004E6B6A"/>
    <w:rsid w:val="004F1BD2"/>
    <w:rsid w:val="004F50D7"/>
    <w:rsid w:val="005007A2"/>
    <w:rsid w:val="0050327A"/>
    <w:rsid w:val="00514C83"/>
    <w:rsid w:val="00514DDD"/>
    <w:rsid w:val="00523C20"/>
    <w:rsid w:val="00524380"/>
    <w:rsid w:val="0053369D"/>
    <w:rsid w:val="005346EE"/>
    <w:rsid w:val="00534DEB"/>
    <w:rsid w:val="005404CC"/>
    <w:rsid w:val="0055242A"/>
    <w:rsid w:val="005550F6"/>
    <w:rsid w:val="005573C3"/>
    <w:rsid w:val="005616C0"/>
    <w:rsid w:val="00561A66"/>
    <w:rsid w:val="00571FAE"/>
    <w:rsid w:val="00573175"/>
    <w:rsid w:val="00575CBB"/>
    <w:rsid w:val="005913E4"/>
    <w:rsid w:val="0059661A"/>
    <w:rsid w:val="005A0581"/>
    <w:rsid w:val="005A5C8E"/>
    <w:rsid w:val="005A6DA2"/>
    <w:rsid w:val="005B02BA"/>
    <w:rsid w:val="005B104F"/>
    <w:rsid w:val="005B6A2A"/>
    <w:rsid w:val="005B726E"/>
    <w:rsid w:val="005C6896"/>
    <w:rsid w:val="005C718F"/>
    <w:rsid w:val="005E1486"/>
    <w:rsid w:val="005F403C"/>
    <w:rsid w:val="00603DA3"/>
    <w:rsid w:val="00616BB8"/>
    <w:rsid w:val="00617944"/>
    <w:rsid w:val="0062547D"/>
    <w:rsid w:val="006256BC"/>
    <w:rsid w:val="00627887"/>
    <w:rsid w:val="00631DFA"/>
    <w:rsid w:val="006332FF"/>
    <w:rsid w:val="00635AA8"/>
    <w:rsid w:val="00646073"/>
    <w:rsid w:val="0065160D"/>
    <w:rsid w:val="00654303"/>
    <w:rsid w:val="00660BC7"/>
    <w:rsid w:val="006673B6"/>
    <w:rsid w:val="006757A3"/>
    <w:rsid w:val="00677057"/>
    <w:rsid w:val="00682E06"/>
    <w:rsid w:val="00691D9B"/>
    <w:rsid w:val="006952F4"/>
    <w:rsid w:val="00695F11"/>
    <w:rsid w:val="006A3658"/>
    <w:rsid w:val="006A7B10"/>
    <w:rsid w:val="006B1DFB"/>
    <w:rsid w:val="006B266C"/>
    <w:rsid w:val="006B3A87"/>
    <w:rsid w:val="006B485C"/>
    <w:rsid w:val="006B616F"/>
    <w:rsid w:val="006B7133"/>
    <w:rsid w:val="006C0B70"/>
    <w:rsid w:val="006C0C00"/>
    <w:rsid w:val="006D46D1"/>
    <w:rsid w:val="006D573E"/>
    <w:rsid w:val="006D6C82"/>
    <w:rsid w:val="006E0343"/>
    <w:rsid w:val="006E169E"/>
    <w:rsid w:val="006E3024"/>
    <w:rsid w:val="006F0620"/>
    <w:rsid w:val="006F3BAD"/>
    <w:rsid w:val="006F615E"/>
    <w:rsid w:val="006F6735"/>
    <w:rsid w:val="006F7861"/>
    <w:rsid w:val="007032FF"/>
    <w:rsid w:val="007234DE"/>
    <w:rsid w:val="0072758A"/>
    <w:rsid w:val="0073496F"/>
    <w:rsid w:val="00755128"/>
    <w:rsid w:val="0077161A"/>
    <w:rsid w:val="00776CB2"/>
    <w:rsid w:val="007777A7"/>
    <w:rsid w:val="00777BF1"/>
    <w:rsid w:val="007831DA"/>
    <w:rsid w:val="00786082"/>
    <w:rsid w:val="0078707C"/>
    <w:rsid w:val="007877B7"/>
    <w:rsid w:val="00791E4E"/>
    <w:rsid w:val="00794523"/>
    <w:rsid w:val="00796472"/>
    <w:rsid w:val="00797BB6"/>
    <w:rsid w:val="007A14CD"/>
    <w:rsid w:val="007A7554"/>
    <w:rsid w:val="007B6C22"/>
    <w:rsid w:val="007C2D06"/>
    <w:rsid w:val="007D385B"/>
    <w:rsid w:val="007D5DC0"/>
    <w:rsid w:val="007D6A86"/>
    <w:rsid w:val="007D6B62"/>
    <w:rsid w:val="007F447A"/>
    <w:rsid w:val="007F44BF"/>
    <w:rsid w:val="007F57E5"/>
    <w:rsid w:val="007F6441"/>
    <w:rsid w:val="0080357C"/>
    <w:rsid w:val="00811BEF"/>
    <w:rsid w:val="0081594B"/>
    <w:rsid w:val="00815EBE"/>
    <w:rsid w:val="008179F2"/>
    <w:rsid w:val="00832983"/>
    <w:rsid w:val="00835248"/>
    <w:rsid w:val="00843389"/>
    <w:rsid w:val="0084401C"/>
    <w:rsid w:val="00846621"/>
    <w:rsid w:val="008477DE"/>
    <w:rsid w:val="00851151"/>
    <w:rsid w:val="00857C5B"/>
    <w:rsid w:val="00857D11"/>
    <w:rsid w:val="00864443"/>
    <w:rsid w:val="00864AEA"/>
    <w:rsid w:val="00870319"/>
    <w:rsid w:val="00874FAD"/>
    <w:rsid w:val="0088181F"/>
    <w:rsid w:val="00883800"/>
    <w:rsid w:val="00887DEA"/>
    <w:rsid w:val="00891D72"/>
    <w:rsid w:val="00894981"/>
    <w:rsid w:val="008A0EDD"/>
    <w:rsid w:val="008A10C7"/>
    <w:rsid w:val="008C4D11"/>
    <w:rsid w:val="008D2450"/>
    <w:rsid w:val="008D6FB4"/>
    <w:rsid w:val="008D7279"/>
    <w:rsid w:val="008E0F72"/>
    <w:rsid w:val="008E1B40"/>
    <w:rsid w:val="008F1727"/>
    <w:rsid w:val="008F1B02"/>
    <w:rsid w:val="00901BEB"/>
    <w:rsid w:val="00901EBD"/>
    <w:rsid w:val="00914A8F"/>
    <w:rsid w:val="009229DE"/>
    <w:rsid w:val="00925E97"/>
    <w:rsid w:val="00925F97"/>
    <w:rsid w:val="00930FBA"/>
    <w:rsid w:val="009344E7"/>
    <w:rsid w:val="009350F3"/>
    <w:rsid w:val="0093520F"/>
    <w:rsid w:val="0094080C"/>
    <w:rsid w:val="00943135"/>
    <w:rsid w:val="0094682C"/>
    <w:rsid w:val="0095252D"/>
    <w:rsid w:val="00954D9F"/>
    <w:rsid w:val="00962BF1"/>
    <w:rsid w:val="009665F6"/>
    <w:rsid w:val="00970BC1"/>
    <w:rsid w:val="00970CFC"/>
    <w:rsid w:val="009724CF"/>
    <w:rsid w:val="009731AC"/>
    <w:rsid w:val="00975BC8"/>
    <w:rsid w:val="00984A60"/>
    <w:rsid w:val="00985CD1"/>
    <w:rsid w:val="009945CD"/>
    <w:rsid w:val="009A4238"/>
    <w:rsid w:val="009A5F8B"/>
    <w:rsid w:val="009B173E"/>
    <w:rsid w:val="009B252C"/>
    <w:rsid w:val="009B5EDB"/>
    <w:rsid w:val="009B64A0"/>
    <w:rsid w:val="009C0B81"/>
    <w:rsid w:val="009C39B5"/>
    <w:rsid w:val="009C3E68"/>
    <w:rsid w:val="009C533D"/>
    <w:rsid w:val="009C5386"/>
    <w:rsid w:val="009C5457"/>
    <w:rsid w:val="009C63CA"/>
    <w:rsid w:val="009D040F"/>
    <w:rsid w:val="009F14C0"/>
    <w:rsid w:val="009F37C9"/>
    <w:rsid w:val="009F3C67"/>
    <w:rsid w:val="009F405E"/>
    <w:rsid w:val="009F682A"/>
    <w:rsid w:val="00A2299B"/>
    <w:rsid w:val="00A26BB7"/>
    <w:rsid w:val="00A2773D"/>
    <w:rsid w:val="00A305B7"/>
    <w:rsid w:val="00A33379"/>
    <w:rsid w:val="00A347F0"/>
    <w:rsid w:val="00A35335"/>
    <w:rsid w:val="00A44A57"/>
    <w:rsid w:val="00A64856"/>
    <w:rsid w:val="00A65744"/>
    <w:rsid w:val="00A74718"/>
    <w:rsid w:val="00A80586"/>
    <w:rsid w:val="00A83E54"/>
    <w:rsid w:val="00A846D3"/>
    <w:rsid w:val="00A862B9"/>
    <w:rsid w:val="00A86CCE"/>
    <w:rsid w:val="00AA286B"/>
    <w:rsid w:val="00AA6C90"/>
    <w:rsid w:val="00AA7004"/>
    <w:rsid w:val="00AB0D69"/>
    <w:rsid w:val="00AB23D6"/>
    <w:rsid w:val="00AB2825"/>
    <w:rsid w:val="00AC0FA8"/>
    <w:rsid w:val="00AE6368"/>
    <w:rsid w:val="00AE79EF"/>
    <w:rsid w:val="00AF5F89"/>
    <w:rsid w:val="00B00F6C"/>
    <w:rsid w:val="00B04CCD"/>
    <w:rsid w:val="00B105FC"/>
    <w:rsid w:val="00B13677"/>
    <w:rsid w:val="00B13C4E"/>
    <w:rsid w:val="00B17A76"/>
    <w:rsid w:val="00B23C1E"/>
    <w:rsid w:val="00B321EE"/>
    <w:rsid w:val="00B3241C"/>
    <w:rsid w:val="00B41CA6"/>
    <w:rsid w:val="00B46D66"/>
    <w:rsid w:val="00B65E4F"/>
    <w:rsid w:val="00B80868"/>
    <w:rsid w:val="00B816B4"/>
    <w:rsid w:val="00B876BE"/>
    <w:rsid w:val="00B90D82"/>
    <w:rsid w:val="00B9371F"/>
    <w:rsid w:val="00BA386E"/>
    <w:rsid w:val="00BB35A6"/>
    <w:rsid w:val="00BB3EAD"/>
    <w:rsid w:val="00BC0DAA"/>
    <w:rsid w:val="00BC1631"/>
    <w:rsid w:val="00BC33DC"/>
    <w:rsid w:val="00BD7578"/>
    <w:rsid w:val="00BD76EA"/>
    <w:rsid w:val="00BE116A"/>
    <w:rsid w:val="00BE2EC7"/>
    <w:rsid w:val="00BE582B"/>
    <w:rsid w:val="00BF1C90"/>
    <w:rsid w:val="00C036B4"/>
    <w:rsid w:val="00C04765"/>
    <w:rsid w:val="00C20F59"/>
    <w:rsid w:val="00C36511"/>
    <w:rsid w:val="00C37334"/>
    <w:rsid w:val="00C40F71"/>
    <w:rsid w:val="00C43430"/>
    <w:rsid w:val="00C51095"/>
    <w:rsid w:val="00C541BC"/>
    <w:rsid w:val="00C57E4F"/>
    <w:rsid w:val="00C63E56"/>
    <w:rsid w:val="00C71824"/>
    <w:rsid w:val="00C73469"/>
    <w:rsid w:val="00C75B31"/>
    <w:rsid w:val="00C77ECA"/>
    <w:rsid w:val="00C80769"/>
    <w:rsid w:val="00C845E5"/>
    <w:rsid w:val="00C92466"/>
    <w:rsid w:val="00CA4AC9"/>
    <w:rsid w:val="00CA6C75"/>
    <w:rsid w:val="00CA74AB"/>
    <w:rsid w:val="00CB64C7"/>
    <w:rsid w:val="00CB6535"/>
    <w:rsid w:val="00CC1434"/>
    <w:rsid w:val="00CC1A56"/>
    <w:rsid w:val="00CC43DE"/>
    <w:rsid w:val="00CC7A86"/>
    <w:rsid w:val="00CD09DC"/>
    <w:rsid w:val="00CD6E78"/>
    <w:rsid w:val="00CE3CCD"/>
    <w:rsid w:val="00CE71A7"/>
    <w:rsid w:val="00CF18E9"/>
    <w:rsid w:val="00CF1990"/>
    <w:rsid w:val="00CF268F"/>
    <w:rsid w:val="00CF354A"/>
    <w:rsid w:val="00D0364B"/>
    <w:rsid w:val="00D055D9"/>
    <w:rsid w:val="00D07EF9"/>
    <w:rsid w:val="00D111AE"/>
    <w:rsid w:val="00D3623D"/>
    <w:rsid w:val="00D404FE"/>
    <w:rsid w:val="00D45188"/>
    <w:rsid w:val="00D4671E"/>
    <w:rsid w:val="00D473ED"/>
    <w:rsid w:val="00D50DF4"/>
    <w:rsid w:val="00D53B1F"/>
    <w:rsid w:val="00D61CB4"/>
    <w:rsid w:val="00D70F7E"/>
    <w:rsid w:val="00D75D3C"/>
    <w:rsid w:val="00D77DAE"/>
    <w:rsid w:val="00D81398"/>
    <w:rsid w:val="00D81F53"/>
    <w:rsid w:val="00D900E3"/>
    <w:rsid w:val="00D92DF5"/>
    <w:rsid w:val="00DA2D55"/>
    <w:rsid w:val="00DB0753"/>
    <w:rsid w:val="00DC45C2"/>
    <w:rsid w:val="00DD3888"/>
    <w:rsid w:val="00DD50A7"/>
    <w:rsid w:val="00DD5A4C"/>
    <w:rsid w:val="00DD5DEA"/>
    <w:rsid w:val="00DD6327"/>
    <w:rsid w:val="00DE0F62"/>
    <w:rsid w:val="00DE4E75"/>
    <w:rsid w:val="00DF0F3A"/>
    <w:rsid w:val="00E11CF5"/>
    <w:rsid w:val="00E22D8D"/>
    <w:rsid w:val="00E2764C"/>
    <w:rsid w:val="00E2767E"/>
    <w:rsid w:val="00E2798C"/>
    <w:rsid w:val="00E33ED1"/>
    <w:rsid w:val="00E627EF"/>
    <w:rsid w:val="00E63846"/>
    <w:rsid w:val="00E74134"/>
    <w:rsid w:val="00E74162"/>
    <w:rsid w:val="00E80958"/>
    <w:rsid w:val="00E831E0"/>
    <w:rsid w:val="00E9316A"/>
    <w:rsid w:val="00EA06AE"/>
    <w:rsid w:val="00EA38EB"/>
    <w:rsid w:val="00EB3B4E"/>
    <w:rsid w:val="00EB5793"/>
    <w:rsid w:val="00EC12D7"/>
    <w:rsid w:val="00EC15E2"/>
    <w:rsid w:val="00ED1DB5"/>
    <w:rsid w:val="00ED4855"/>
    <w:rsid w:val="00ED5682"/>
    <w:rsid w:val="00ED56D4"/>
    <w:rsid w:val="00ED63AA"/>
    <w:rsid w:val="00EF2314"/>
    <w:rsid w:val="00EF6FED"/>
    <w:rsid w:val="00F003BF"/>
    <w:rsid w:val="00F00CD5"/>
    <w:rsid w:val="00F0321B"/>
    <w:rsid w:val="00F057BA"/>
    <w:rsid w:val="00F07BB7"/>
    <w:rsid w:val="00F11BE2"/>
    <w:rsid w:val="00F11F5B"/>
    <w:rsid w:val="00F12DF7"/>
    <w:rsid w:val="00F15C0D"/>
    <w:rsid w:val="00F16D63"/>
    <w:rsid w:val="00F23EE8"/>
    <w:rsid w:val="00F23F1D"/>
    <w:rsid w:val="00F2413D"/>
    <w:rsid w:val="00F261BC"/>
    <w:rsid w:val="00F2624D"/>
    <w:rsid w:val="00F26726"/>
    <w:rsid w:val="00F306E3"/>
    <w:rsid w:val="00F3379E"/>
    <w:rsid w:val="00F45974"/>
    <w:rsid w:val="00F52690"/>
    <w:rsid w:val="00F57D93"/>
    <w:rsid w:val="00F64FE0"/>
    <w:rsid w:val="00F666B4"/>
    <w:rsid w:val="00F802B8"/>
    <w:rsid w:val="00F863F3"/>
    <w:rsid w:val="00F948CD"/>
    <w:rsid w:val="00F97B98"/>
    <w:rsid w:val="00FA2575"/>
    <w:rsid w:val="00FA66F6"/>
    <w:rsid w:val="00FB472B"/>
    <w:rsid w:val="00FC14FA"/>
    <w:rsid w:val="00FC3449"/>
    <w:rsid w:val="00FC3EA4"/>
    <w:rsid w:val="00FC6CF7"/>
    <w:rsid w:val="00FD2B2A"/>
    <w:rsid w:val="00FE25D4"/>
    <w:rsid w:val="00FE35C2"/>
    <w:rsid w:val="00FE5189"/>
    <w:rsid w:val="00FF2D42"/>
    <w:rsid w:val="00FF69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5:docId w15:val="{84E512F0-B453-4BFD-93AA-63E2C619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576941685">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2090687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14444</Words>
  <Characters>8234</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Grozījumi Ministru kabineta 2011.gada 1.marta noteikumos Nr.170 „Noteikumi par darbības programmas „Cilvēkresursi un nodarbinātība” papildinājuma 1.4.1.1.1.apakšaktivitāti „Kompleksi atbalsta pasākumi iedzīvotāju integrēšanai sabiedrībā un darba tirgū””</vt:lpstr>
    </vt:vector>
  </TitlesOfParts>
  <Company>lm</Company>
  <LinksUpToDate>false</LinksUpToDate>
  <CharactersWithSpaces>22633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1.marta noteikumos Nr.170 „Noteikumi par darbības programmas „Cilvēkresursi un nodarbinātība” papildinājuma 1.4.1.1.1.apakšaktivitāti „Kompleksi atbalsta pasākumi iedzīvotāju integrēšanai sabiedrībā un darba tirgū””</dc:title>
  <dc:subject>Anotācija</dc:subject>
  <dc:creator>Dace Zvaigzne</dc:creator>
  <cp:keywords/>
  <dc:description/>
  <cp:lastModifiedBy>Dace Zvaigzne</cp:lastModifiedBy>
  <cp:revision>4</cp:revision>
  <cp:lastPrinted>2014-01-10T08:56:00Z</cp:lastPrinted>
  <dcterms:created xsi:type="dcterms:W3CDTF">2014-03-27T11:05:00Z</dcterms:created>
  <dcterms:modified xsi:type="dcterms:W3CDTF">2014-03-27T11:06:00Z</dcterms:modified>
</cp:coreProperties>
</file>