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56" w:rsidRPr="002D259B" w:rsidRDefault="00857C5B" w:rsidP="00CC1A56">
      <w:pPr>
        <w:pStyle w:val="tv2121"/>
        <w:spacing w:before="0" w:line="240" w:lineRule="auto"/>
        <w:rPr>
          <w:rFonts w:ascii="Times New Roman" w:hAnsi="Times New Roman"/>
          <w:sz w:val="26"/>
          <w:szCs w:val="26"/>
        </w:rPr>
      </w:pPr>
      <w:bookmarkStart w:id="0" w:name="372832"/>
      <w:r w:rsidRPr="002D259B">
        <w:rPr>
          <w:rFonts w:ascii="Times New Roman" w:hAnsi="Times New Roman"/>
          <w:bCs w:val="0"/>
          <w:sz w:val="26"/>
          <w:szCs w:val="26"/>
        </w:rPr>
        <w:t>Ministru kabineta rīkojuma „Grozījumi darbības programmas „Cilvēkresursi un nodarbinātība” papildinājumā” projekta</w:t>
      </w:r>
      <w:r w:rsidRPr="002D259B">
        <w:rPr>
          <w:rFonts w:ascii="Times New Roman" w:hAnsi="Times New Roman"/>
          <w:sz w:val="26"/>
          <w:szCs w:val="26"/>
        </w:rPr>
        <w:t xml:space="preserve"> </w:t>
      </w:r>
      <w:r w:rsidR="00CC1A56" w:rsidRPr="002D259B">
        <w:rPr>
          <w:rFonts w:ascii="Times New Roman" w:hAnsi="Times New Roman"/>
          <w:sz w:val="26"/>
          <w:szCs w:val="26"/>
        </w:rPr>
        <w:t>sākotnējās ietekmes novērtējuma ziņojums (anotācija)</w:t>
      </w:r>
      <w:bookmarkEnd w:id="0"/>
    </w:p>
    <w:p w:rsidR="00CC1A56" w:rsidRPr="00EA0F8E" w:rsidRDefault="00CC1A56" w:rsidP="00CC1A56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69"/>
        <w:gridCol w:w="6081"/>
      </w:tblGrid>
      <w:tr w:rsidR="00CC1A56" w:rsidRPr="00EA0F8E" w:rsidTr="001E645F">
        <w:trPr>
          <w:trHeight w:val="419"/>
        </w:trPr>
        <w:tc>
          <w:tcPr>
            <w:tcW w:w="5000" w:type="pct"/>
            <w:gridSpan w:val="3"/>
            <w:vAlign w:val="center"/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0F8E">
              <w:rPr>
                <w:b/>
              </w:rPr>
              <w:t>I. Tiesību akta projekta izstrādes nepieciešamība</w:t>
            </w:r>
          </w:p>
        </w:tc>
      </w:tr>
      <w:tr w:rsidR="00CC1A56" w:rsidRPr="00EA0F8E" w:rsidTr="001E645F">
        <w:trPr>
          <w:trHeight w:val="415"/>
        </w:trPr>
        <w:tc>
          <w:tcPr>
            <w:tcW w:w="227" w:type="pct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0F8E">
              <w:t>1.</w:t>
            </w:r>
          </w:p>
        </w:tc>
        <w:tc>
          <w:tcPr>
            <w:tcW w:w="1566" w:type="pct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EA0F8E">
              <w:t>Pamatojums</w:t>
            </w:r>
          </w:p>
        </w:tc>
        <w:tc>
          <w:tcPr>
            <w:tcW w:w="3207" w:type="pct"/>
          </w:tcPr>
          <w:p w:rsidR="004A7017" w:rsidRDefault="006D573E" w:rsidP="004A7017">
            <w:pPr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Ministru kabineta (turpmāk - MK) rīkojuma projekts „Grozījumi darbības programmas „Cilvēkresursi un nodarbinātība” papildinājumā” (turpmāk – MK rīkojuma projekts) ir izstrādāts</w:t>
            </w:r>
            <w:r w:rsidR="004A7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D63" w:rsidRDefault="004A7017" w:rsidP="004A7017">
            <w:pPr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200F" w:rsidRPr="004A7017">
              <w:rPr>
                <w:rFonts w:ascii="Times New Roman" w:hAnsi="Times New Roman" w:cs="Times New Roman"/>
                <w:sz w:val="24"/>
                <w:szCs w:val="24"/>
              </w:rPr>
              <w:t>lai nodrošinātu Nodarbinātības valsts aģentūras</w:t>
            </w:r>
            <w:r w:rsidR="00B6023A" w:rsidRPr="004A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3A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(turpmāk - NVA) </w:t>
            </w:r>
            <w:r w:rsidR="00E4200F" w:rsidRPr="004A7017">
              <w:rPr>
                <w:rFonts w:ascii="Times New Roman" w:hAnsi="Times New Roman" w:cs="Times New Roman"/>
                <w:sz w:val="24"/>
                <w:szCs w:val="24"/>
              </w:rPr>
              <w:t>organizēto atbalsta pasākumu bezdarbniekiem īstenošanu atbilstoši Eiropas Savienības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017" w:rsidRPr="00EA0F8E" w:rsidRDefault="004A7017" w:rsidP="00C07FB5">
            <w:pPr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7017">
              <w:rPr>
                <w:rFonts w:ascii="Times New Roman" w:hAnsi="Times New Roman" w:cs="Times New Roman"/>
                <w:sz w:val="24"/>
                <w:szCs w:val="24"/>
              </w:rPr>
              <w:t>saskaņā ar</w:t>
            </w:r>
            <w:r w:rsidR="00C07FB5">
              <w:rPr>
                <w:rFonts w:ascii="Times New Roman" w:hAnsi="Times New Roman" w:cs="Times New Roman"/>
                <w:sz w:val="24"/>
                <w:szCs w:val="24"/>
              </w:rPr>
              <w:t xml:space="preserve"> MK </w:t>
            </w:r>
            <w:proofErr w:type="gramStart"/>
            <w:r w:rsidR="00C07FB5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="00C07FB5">
              <w:rPr>
                <w:rFonts w:ascii="Times New Roman" w:hAnsi="Times New Roman" w:cs="Times New Roman"/>
                <w:sz w:val="24"/>
                <w:szCs w:val="24"/>
              </w:rPr>
              <w:t xml:space="preserve"> 20.maija noteikumiem Nr.259 “G</w:t>
            </w:r>
            <w:r w:rsidRPr="004A7017">
              <w:rPr>
                <w:rFonts w:ascii="Times New Roman" w:hAnsi="Times New Roman" w:cs="Times New Roman"/>
                <w:sz w:val="24"/>
                <w:szCs w:val="24"/>
              </w:rPr>
              <w:t>rozījumi  M</w:t>
            </w:r>
            <w:r w:rsidR="00C07FB5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Pr="004A7017">
              <w:rPr>
                <w:rFonts w:ascii="Times New Roman" w:hAnsi="Times New Roman" w:cs="Times New Roman"/>
                <w:sz w:val="24"/>
                <w:szCs w:val="24"/>
              </w:rPr>
              <w:t xml:space="preserve"> 2011.gada 25.janvāra noteikumos Nr.75 „Noteikumi par aktīvo nodarbinātības pasākumu un preventīvo bezdarba samazināšanas pasākumu organizēšanu un finansēšanas kārtību un pasākumu īstenotāju izvēles principiem”</w:t>
            </w:r>
            <w:r w:rsidR="00C07F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A7017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EA0F8E" w:rsidTr="001E645F">
        <w:trPr>
          <w:trHeight w:val="472"/>
        </w:trPr>
        <w:tc>
          <w:tcPr>
            <w:tcW w:w="227" w:type="pct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0F8E">
              <w:t>2.</w:t>
            </w:r>
          </w:p>
        </w:tc>
        <w:tc>
          <w:tcPr>
            <w:tcW w:w="1566" w:type="pct"/>
          </w:tcPr>
          <w:p w:rsidR="0060366C" w:rsidRDefault="00CC1A56" w:rsidP="007D385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A0F8E">
              <w:t>Pašreizējā situācija un problēmas, kuru risināšanai tiesību akta projekts izstrādāts, tiesiskā regulējuma mērķis un būtība</w:t>
            </w:r>
          </w:p>
          <w:p w:rsidR="0060366C" w:rsidRPr="0060366C" w:rsidRDefault="0060366C" w:rsidP="0060366C">
            <w:pPr>
              <w:ind w:firstLine="720"/>
              <w:rPr>
                <w:lang w:eastAsia="lv-LV"/>
              </w:rPr>
            </w:pPr>
          </w:p>
          <w:p w:rsidR="0060366C" w:rsidRDefault="0060366C" w:rsidP="0060366C">
            <w:pPr>
              <w:rPr>
                <w:lang w:eastAsia="lv-LV"/>
              </w:rPr>
            </w:pPr>
          </w:p>
          <w:p w:rsidR="00CC1A56" w:rsidRPr="0060366C" w:rsidRDefault="0060366C" w:rsidP="0060366C">
            <w:pPr>
              <w:tabs>
                <w:tab w:val="left" w:pos="1020"/>
              </w:tabs>
              <w:rPr>
                <w:lang w:eastAsia="lv-LV"/>
              </w:rPr>
            </w:pPr>
            <w:r>
              <w:rPr>
                <w:lang w:eastAsia="lv-LV"/>
              </w:rPr>
              <w:tab/>
            </w:r>
          </w:p>
        </w:tc>
        <w:tc>
          <w:tcPr>
            <w:tcW w:w="3207" w:type="pct"/>
          </w:tcPr>
          <w:p w:rsidR="00DF49D2" w:rsidRPr="00EA0F8E" w:rsidRDefault="004D6C65" w:rsidP="00EA0F8E">
            <w:pPr>
              <w:shd w:val="clear" w:color="auto" w:fill="FFFFFF"/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Šobrīd atbilstoši </w:t>
            </w:r>
            <w:r w:rsidR="0079484D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darbības programmas „Cilvēkresursi un nodarbinātība” papildinājumā </w:t>
            </w:r>
            <w:r w:rsidR="0079484D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DPP</w:t>
            </w:r>
            <w:r w:rsidR="00794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noteiktajam, finanšu atbalstu </w:t>
            </w:r>
            <w:r w:rsidR="0079484D">
              <w:rPr>
                <w:rFonts w:ascii="Times New Roman" w:hAnsi="Times New Roman" w:cs="Times New Roman"/>
                <w:sz w:val="24"/>
                <w:szCs w:val="24"/>
              </w:rPr>
              <w:t>DPP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1.3.1.1.3.apakšaktivitātes „Bezdarbnieku un darba meklētāju apmācība” (turpmāk – 1.3.1.1.3.apakšaktivitāte) </w:t>
            </w:r>
            <w:r w:rsidR="004A7017">
              <w:rPr>
                <w:rFonts w:ascii="Times New Roman" w:hAnsi="Times New Roman" w:cs="Times New Roman"/>
                <w:sz w:val="24"/>
                <w:szCs w:val="24"/>
              </w:rPr>
              <w:t xml:space="preserve">otrās kārtas </w:t>
            </w:r>
            <w:r w:rsidR="004A7017" w:rsidRPr="003F3218">
              <w:rPr>
                <w:rFonts w:ascii="Times New Roman" w:hAnsi="Times New Roman"/>
                <w:sz w:val="24"/>
                <w:szCs w:val="24"/>
              </w:rPr>
              <w:t xml:space="preserve">atbalstāmo darbību - apmācības pie darba devējiem un bezdarbnieku praktiskās apmācības prioritārajās nozarēs </w:t>
            </w:r>
            <w:r w:rsidR="004A7017">
              <w:rPr>
                <w:rFonts w:ascii="Times New Roman" w:hAnsi="Times New Roman"/>
                <w:sz w:val="24"/>
                <w:szCs w:val="24"/>
              </w:rPr>
              <w:t xml:space="preserve">– ietvaros </w:t>
            </w:r>
            <w:r w:rsidR="00B6023A">
              <w:rPr>
                <w:rFonts w:ascii="Times New Roman" w:hAnsi="Times New Roman" w:cs="Times New Roman"/>
                <w:sz w:val="24"/>
                <w:szCs w:val="24"/>
              </w:rPr>
              <w:t>NVA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sniedz saskaņā ar Komisijas </w:t>
            </w: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2006.gada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15.decembra regulu (EK) Nr.1998/2006 par līguma 87. un 88.panta piemērošanu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atbalstam (Eiropas Savienības Oficiālais Vēstnesis, 2006.gada 28.decembris, Nr. L 379) (turpmāk – Komisijas regula Nr.1998/2006). </w:t>
            </w:r>
          </w:p>
          <w:p w:rsidR="004D6C65" w:rsidRPr="00EA0F8E" w:rsidRDefault="004D6C65" w:rsidP="00EA0F8E">
            <w:pPr>
              <w:shd w:val="clear" w:color="auto" w:fill="FFFFFF"/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NVA papildus ievēro arī Komisijas </w:t>
            </w: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2007.gada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24.jūlija Regulu (EK) Nr.875/2007 par Līguma 87. un 88.panta piemērošanu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atbalstam zivsaimniecības nozarē un par Regulas (EK) Nr.1860/2004 grozīšanu (Eiropas Savienības Oficiālais Vēstnesis, 2007.gada 25.jūlijs, Nr. L 193) (turpmāk – Komisijas regula Nr. 875/2007) attiecībā uz zivsaimniecības uzņēmumiem, kas darbojas saskaņā ar Padomes 1999.gada 17.decembra Regulu (EK) Nr.104/2000 par zivsaimniecības un akvakultūras produktu tirgu kopīgo organizāciju (Eiropas Savienības Oficiālais Vēstnesis, 2000.gada 21.janvāris, Nr. L 17) (turpmāk – Padomes regula Nr.104/2000), un Komisijas 2007.gada 20.decembra Regulu (EK) Nr.1535/2007 par EK Līguma 87. un 88.panta piemērošanu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produktu ražošanas nozarē (Eiropas Savienības Oficiālais Vēstnesis, 2007.gada 21.decembris, Nr. L 337) (turpmāk – Komisijas regula Nr.1535/2007).</w:t>
            </w:r>
          </w:p>
          <w:p w:rsidR="004D6C65" w:rsidRPr="00EA0F8E" w:rsidRDefault="004D6C65" w:rsidP="00EA0F8E">
            <w:pPr>
              <w:shd w:val="clear" w:color="auto" w:fill="FFFFFF"/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1.janvārī stājās spēkā:</w:t>
            </w:r>
          </w:p>
          <w:p w:rsidR="004D6C65" w:rsidRPr="00EA0F8E" w:rsidRDefault="004D6C65" w:rsidP="00EA0F8E">
            <w:pPr>
              <w:shd w:val="clear" w:color="auto" w:fill="FFFFFF"/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- Komisijas </w:t>
            </w: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2013.gada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18.decembra Regula (ES) Nr.1407/2013</w:t>
            </w:r>
            <w:hyperlink r:id="rId8" w:tgtFrame="_blank" w:history="1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par Līguma 107. un 108.panta piemērošanu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minimis</w:t>
            </w:r>
            <w:proofErr w:type="spell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atbalstam (Eiropas Savienības Oficiālais Vēstnesis, 2013.gada 24.decembris, Nr. L 352/1) (turpmāk – Komisijas regula Nr.1407/2013), kura aizstāj Komisijas regulu Nr.1998/2006;</w:t>
            </w:r>
          </w:p>
          <w:p w:rsidR="004D6C65" w:rsidRPr="00EA0F8E" w:rsidRDefault="004D6C65" w:rsidP="00EA0F8E">
            <w:pPr>
              <w:shd w:val="clear" w:color="auto" w:fill="FFFFFF"/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- Komisijas </w:t>
            </w: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2013.gada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18.decembra Regula (ES) Nr.1408/2013 par Līguma 107. un 108.panta piemērošanu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0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produktu ražošanas nozarē (Eiropas Savienības Oficiālais Vēstnesis, 2013.gada 24.decembris, Nr. L 352/9) (turpmāk – Komisijas regula Nr.1408/2013</w:t>
            </w:r>
            <w:hyperlink r:id="rId9" w:tgtFrame="_blank" w:history="1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), kura aizstāj Komisijas regulu Nr.1535/2007;</w:t>
            </w:r>
          </w:p>
          <w:p w:rsidR="004D6C65" w:rsidRPr="00EA0F8E" w:rsidRDefault="004D6C65" w:rsidP="00EA0F8E">
            <w:pPr>
              <w:shd w:val="clear" w:color="auto" w:fill="FFFFFF"/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- Eiropas Parlamenta un Padomes </w:t>
            </w: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2013.gada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11.decembra Regula (ES) Nr.1379/2013 par zivsaimniecības un akvakultūras produktu tirgu kopīgo organizāciju un ar ko groza Padomes Regulas (EK) Nr.1184/2006 un (EK) Nr.1224/2009 un atceļ Padomes Regulu (EK) Nr.104/2000 (Eiropas Savienības Oficiālais Vēstnesis, 2013.gada 28.decembris, Nr. L 354/1).</w:t>
            </w:r>
          </w:p>
          <w:p w:rsidR="004D6C65" w:rsidRPr="00EA0F8E" w:rsidRDefault="004D6C65" w:rsidP="00EA0F8E">
            <w:pPr>
              <w:shd w:val="clear" w:color="auto" w:fill="FFFFFF"/>
              <w:spacing w:after="0" w:line="240" w:lineRule="auto"/>
              <w:ind w:left="13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Komisijas regula Nr.1998/2006 un Komisijas regula Nr.1535/2007 pēc to spēkā esības perioda beigām ir piemērojama vēl sešus mēnešus, t.i., līdz </w:t>
            </w: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30.jūnijam.</w:t>
            </w:r>
          </w:p>
          <w:p w:rsidR="00CC1A56" w:rsidRPr="00EA0F8E" w:rsidRDefault="003B0FBE" w:rsidP="004A7017">
            <w:pPr>
              <w:tabs>
                <w:tab w:val="left" w:pos="5940"/>
              </w:tabs>
              <w:spacing w:after="0" w:line="240" w:lineRule="auto"/>
              <w:ind w:left="13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Ņemot vērā iepriekš minēto</w:t>
            </w:r>
            <w:r w:rsidR="004A7017">
              <w:rPr>
                <w:rFonts w:ascii="Times New Roman" w:hAnsi="Times New Roman" w:cs="Times New Roman"/>
                <w:sz w:val="24"/>
                <w:szCs w:val="24"/>
              </w:rPr>
              <w:t xml:space="preserve"> un lai nodrošinātu atbalsta sniegšanas nepārtrauktību</w:t>
            </w:r>
            <w:r w:rsidR="00DF49D2" w:rsidRPr="00EA0F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nepieciešams veikt atbilstošus grozījumus DPP.</w:t>
            </w:r>
          </w:p>
        </w:tc>
      </w:tr>
      <w:tr w:rsidR="00CC1A56" w:rsidRPr="00EA0F8E" w:rsidTr="001E645F">
        <w:trPr>
          <w:trHeight w:val="476"/>
        </w:trPr>
        <w:tc>
          <w:tcPr>
            <w:tcW w:w="227" w:type="pct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0F8E">
              <w:lastRenderedPageBreak/>
              <w:t>3.</w:t>
            </w:r>
          </w:p>
        </w:tc>
        <w:tc>
          <w:tcPr>
            <w:tcW w:w="1566" w:type="pct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EA0F8E">
              <w:t>Projekta izstrādē iesaistītās institūcijas</w:t>
            </w:r>
          </w:p>
        </w:tc>
        <w:tc>
          <w:tcPr>
            <w:tcW w:w="3207" w:type="pct"/>
          </w:tcPr>
          <w:p w:rsidR="00CC1A56" w:rsidRPr="00EA0F8E" w:rsidRDefault="002A161A" w:rsidP="00EA0F8E">
            <w:pPr>
              <w:spacing w:after="0" w:line="240" w:lineRule="auto"/>
              <w:ind w:left="139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MK rīkojuma projekts šo jomu neskar</w:t>
            </w:r>
            <w:r w:rsidR="0093520F" w:rsidRPr="00EA0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EA0F8E" w:rsidTr="001E645F">
        <w:tc>
          <w:tcPr>
            <w:tcW w:w="227" w:type="pct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0F8E">
              <w:t>4.</w:t>
            </w:r>
          </w:p>
        </w:tc>
        <w:tc>
          <w:tcPr>
            <w:tcW w:w="1566" w:type="pct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EA0F8E">
              <w:t>Cita informācija</w:t>
            </w:r>
          </w:p>
        </w:tc>
        <w:tc>
          <w:tcPr>
            <w:tcW w:w="3207" w:type="pct"/>
          </w:tcPr>
          <w:p w:rsidR="009F64F8" w:rsidRPr="00EA0F8E" w:rsidRDefault="00EA0F8E" w:rsidP="00EA0F8E">
            <w:pPr>
              <w:spacing w:after="0" w:line="240" w:lineRule="auto"/>
              <w:ind w:left="13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E83DA0" w:rsidRPr="00EA0F8E" w:rsidRDefault="00E83DA0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CC1A56" w:rsidRPr="00EA0F8E" w:rsidTr="00EA0F8E">
        <w:trPr>
          <w:trHeight w:val="556"/>
        </w:trPr>
        <w:tc>
          <w:tcPr>
            <w:tcW w:w="9503" w:type="dxa"/>
            <w:gridSpan w:val="3"/>
            <w:vAlign w:val="center"/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0F8E">
              <w:rPr>
                <w:b/>
              </w:rPr>
              <w:t>II. Tiesību akta projekta ietekme uz sabiedrību, tautsaimniecības attīstību</w:t>
            </w:r>
          </w:p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0F8E">
              <w:rPr>
                <w:b/>
              </w:rPr>
              <w:t>un administratīvo slogu</w:t>
            </w:r>
          </w:p>
        </w:tc>
      </w:tr>
      <w:tr w:rsidR="00CC1A56" w:rsidRPr="00EA0F8E" w:rsidTr="00EA0F8E">
        <w:trPr>
          <w:trHeight w:val="467"/>
        </w:trPr>
        <w:tc>
          <w:tcPr>
            <w:tcW w:w="431" w:type="dxa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0F8E">
              <w:t>1.</w:t>
            </w:r>
          </w:p>
        </w:tc>
        <w:tc>
          <w:tcPr>
            <w:tcW w:w="2976" w:type="dxa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EA0F8E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DF49D2" w:rsidRPr="00EA0F8E" w:rsidRDefault="00DF49D2" w:rsidP="00EA0F8E">
            <w:pPr>
              <w:shd w:val="clear" w:color="auto" w:fill="FFFFFF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1"/>
            <w:bookmarkEnd w:id="1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1.3.1.1.3.apakšaktivitātes mērķa grupa – bezdarbnieki un darba meklētāji (atbilstoši NVA datiem uz </w:t>
            </w:r>
            <w:proofErr w:type="gramStart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31.martu reģistrēti 96 496 bezdarbnieki).</w:t>
            </w:r>
          </w:p>
        </w:tc>
      </w:tr>
      <w:tr w:rsidR="00CC1A56" w:rsidRPr="00EA0F8E" w:rsidTr="00EA0F8E">
        <w:trPr>
          <w:trHeight w:val="523"/>
        </w:trPr>
        <w:tc>
          <w:tcPr>
            <w:tcW w:w="431" w:type="dxa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0F8E">
              <w:t>2.</w:t>
            </w:r>
          </w:p>
        </w:tc>
        <w:tc>
          <w:tcPr>
            <w:tcW w:w="2976" w:type="dxa"/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EA0F8E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CC1A56" w:rsidRPr="00EA0F8E" w:rsidRDefault="00D404FE" w:rsidP="00EA0F8E">
            <w:pPr>
              <w:shd w:val="clear" w:color="auto" w:fill="FFFFFF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CC1A56" w:rsidRPr="00EA0F8E" w:rsidTr="00EA0F8E">
        <w:trPr>
          <w:trHeight w:val="523"/>
        </w:trPr>
        <w:tc>
          <w:tcPr>
            <w:tcW w:w="431" w:type="dxa"/>
            <w:tcBorders>
              <w:bottom w:val="single" w:sz="4" w:space="0" w:color="auto"/>
            </w:tcBorders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0F8E"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EA0F8E">
              <w:t>Administratīvo izmaksu monetārs novērtējums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C1A56" w:rsidRPr="00EA0F8E" w:rsidRDefault="00D404FE" w:rsidP="00EA0F8E">
            <w:pPr>
              <w:shd w:val="clear" w:color="auto" w:fill="FFFFFF"/>
              <w:spacing w:after="0" w:line="240" w:lineRule="auto"/>
              <w:ind w:left="13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MK rīkojuma projekts šo jomu neskar.</w:t>
            </w:r>
          </w:p>
        </w:tc>
      </w:tr>
      <w:tr w:rsidR="00CC1A56" w:rsidRPr="00EA0F8E" w:rsidTr="00EA0F8E">
        <w:trPr>
          <w:trHeight w:val="357"/>
        </w:trPr>
        <w:tc>
          <w:tcPr>
            <w:tcW w:w="431" w:type="dxa"/>
            <w:tcBorders>
              <w:bottom w:val="single" w:sz="4" w:space="0" w:color="auto"/>
            </w:tcBorders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0F8E"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A56" w:rsidRPr="00EA0F8E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EA0F8E">
              <w:t>Cita informācija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C1A56" w:rsidRPr="00EA0F8E" w:rsidRDefault="007F44BF" w:rsidP="00EA0F8E">
            <w:pPr>
              <w:shd w:val="clear" w:color="auto" w:fill="FFFFFF"/>
              <w:spacing w:after="0" w:line="240" w:lineRule="auto"/>
              <w:ind w:left="13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  <w:p w:rsidR="00F40BB1" w:rsidRPr="00EA0F8E" w:rsidRDefault="00F40BB1" w:rsidP="00EA0F8E">
            <w:pPr>
              <w:shd w:val="clear" w:color="auto" w:fill="FFFFFF"/>
              <w:spacing w:after="0" w:line="240" w:lineRule="auto"/>
              <w:ind w:left="13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438D2" w:rsidRPr="00EA0F8E" w:rsidTr="00EA0F8E">
        <w:trPr>
          <w:trHeight w:val="357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8D2" w:rsidRPr="00EA0F8E" w:rsidRDefault="00A438D2" w:rsidP="007D385B">
            <w:pPr>
              <w:pStyle w:val="naiskr"/>
              <w:spacing w:before="0" w:beforeAutospacing="0" w:after="0" w:afterAutospacing="0"/>
              <w:ind w:left="57" w:right="57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8D2" w:rsidRPr="00EA0F8E" w:rsidRDefault="00A438D2" w:rsidP="007D385B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BB1" w:rsidRPr="00EA0F8E" w:rsidRDefault="00F40BB1" w:rsidP="007D385B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27"/>
        <w:gridCol w:w="6114"/>
      </w:tblGrid>
      <w:tr w:rsidR="00CC1A56" w:rsidRPr="00EA0F8E" w:rsidTr="007D385B">
        <w:trPr>
          <w:trHeight w:val="461"/>
          <w:jc w:val="center"/>
        </w:trPr>
        <w:tc>
          <w:tcPr>
            <w:tcW w:w="9511" w:type="dxa"/>
            <w:gridSpan w:val="3"/>
            <w:vAlign w:val="center"/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EA0F8E">
              <w:br w:type="page"/>
            </w:r>
            <w:r w:rsidRPr="00EA0F8E">
              <w:rPr>
                <w:b/>
              </w:rPr>
              <w:t>IV. Tiesību akta projekta ietekme uz spēkā esošo tiesību normu sistēmu</w:t>
            </w:r>
          </w:p>
        </w:tc>
      </w:tr>
      <w:tr w:rsidR="00CC1A56" w:rsidRPr="00EA0F8E" w:rsidTr="00EA0F8E">
        <w:trPr>
          <w:jc w:val="center"/>
        </w:trPr>
        <w:tc>
          <w:tcPr>
            <w:tcW w:w="470" w:type="dxa"/>
          </w:tcPr>
          <w:p w:rsidR="00CC1A56" w:rsidRPr="00EA0F8E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EA0F8E">
              <w:rPr>
                <w:iCs/>
              </w:rPr>
              <w:t>1.</w:t>
            </w:r>
          </w:p>
        </w:tc>
        <w:tc>
          <w:tcPr>
            <w:tcW w:w="2927" w:type="dxa"/>
          </w:tcPr>
          <w:p w:rsidR="00CC1A56" w:rsidRPr="00EA0F8E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EA0F8E">
              <w:t>Nepieciešamie saistītie tiesību aktu projekti</w:t>
            </w:r>
          </w:p>
        </w:tc>
        <w:tc>
          <w:tcPr>
            <w:tcW w:w="6114" w:type="dxa"/>
          </w:tcPr>
          <w:p w:rsidR="004F6B68" w:rsidRPr="00EA0F8E" w:rsidRDefault="00365B8E" w:rsidP="00EA0F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MK rīkojuma projekts rada nepieciešamību veikt atbilstošus grozījumus</w:t>
            </w:r>
            <w:r w:rsidR="00EA0F8E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MK </w:t>
            </w:r>
            <w:proofErr w:type="gramStart"/>
            <w:r w:rsidR="00EA0F8E" w:rsidRPr="00EA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2007.gada</w:t>
            </w:r>
            <w:proofErr w:type="gramEnd"/>
            <w:r w:rsidR="00EA0F8E" w:rsidRPr="00EA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30.oktobra noteikumos Nr.732 “Noteikumi par darbības programmas “Cilvēkresursi un nodarbinātība” papildinājuma apakšaktivitātes “Bezdarbnieku un darba meklētāju apmācība” pirmo un otro kārtu”</w:t>
            </w:r>
            <w:r w:rsidR="00822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(turpmāk – MK noteikum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22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Nr.732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grozījumu projekts</w:t>
            </w:r>
            <w:r w:rsidR="00822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A0F8E" w:rsidRPr="00EA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1A56" w:rsidRPr="00EA0F8E" w:rsidRDefault="00365B8E" w:rsidP="00C07F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Minētie grozījumi tiesību akt</w:t>
            </w:r>
            <w:r w:rsidR="00EA0F8E" w:rsidRPr="00EA0F8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tiks iesniegti Valsts kancelejā </w:t>
            </w:r>
            <w:r w:rsidR="001F6B3E" w:rsidRPr="00EA0F8E">
              <w:rPr>
                <w:rFonts w:ascii="Times New Roman" w:hAnsi="Times New Roman" w:cs="Times New Roman"/>
                <w:sz w:val="24"/>
                <w:szCs w:val="24"/>
              </w:rPr>
              <w:t>tālākai virzībai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MK sēd</w:t>
            </w:r>
            <w:r w:rsidR="001F6B3E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ē indikatīvi </w:t>
            </w:r>
            <w:proofErr w:type="gramStart"/>
            <w:r w:rsidR="001F6B3E" w:rsidRPr="00EA0F8E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="001F6B3E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3A">
              <w:rPr>
                <w:rFonts w:ascii="Times New Roman" w:hAnsi="Times New Roman" w:cs="Times New Roman"/>
                <w:sz w:val="24"/>
                <w:szCs w:val="24"/>
              </w:rPr>
              <w:t>jūnijā</w:t>
            </w:r>
            <w:r w:rsidR="004F1F9A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3E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un var tikt virzīti izskatīšanai MK sēdē vienlaikus ar vai pēc šī rīkojuma projekta </w:t>
            </w:r>
            <w:r w:rsidR="002A4ADA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izskatīšanas un </w:t>
            </w:r>
            <w:r w:rsidR="001F6B3E" w:rsidRPr="00EA0F8E">
              <w:rPr>
                <w:rFonts w:ascii="Times New Roman" w:hAnsi="Times New Roman" w:cs="Times New Roman"/>
                <w:sz w:val="24"/>
                <w:szCs w:val="24"/>
              </w:rPr>
              <w:t>apstiprināšanas</w:t>
            </w:r>
            <w:r w:rsidR="002A4ADA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MK sēdē</w:t>
            </w:r>
            <w:r w:rsidR="001F6B3E" w:rsidRPr="00EA0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EA0F8E" w:rsidTr="00EA0F8E">
        <w:trPr>
          <w:jc w:val="center"/>
        </w:trPr>
        <w:tc>
          <w:tcPr>
            <w:tcW w:w="470" w:type="dxa"/>
          </w:tcPr>
          <w:p w:rsidR="00CC1A56" w:rsidRPr="00EA0F8E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EA0F8E">
              <w:rPr>
                <w:iCs/>
              </w:rPr>
              <w:lastRenderedPageBreak/>
              <w:t>2.</w:t>
            </w:r>
          </w:p>
        </w:tc>
        <w:tc>
          <w:tcPr>
            <w:tcW w:w="2927" w:type="dxa"/>
          </w:tcPr>
          <w:p w:rsidR="00CC1A56" w:rsidRPr="00EA0F8E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</w:pPr>
            <w:r w:rsidRPr="00EA0F8E">
              <w:t>Atbildīgā institūcija</w:t>
            </w:r>
          </w:p>
        </w:tc>
        <w:tc>
          <w:tcPr>
            <w:tcW w:w="6114" w:type="dxa"/>
          </w:tcPr>
          <w:p w:rsidR="00CC1A56" w:rsidRPr="00EA0F8E" w:rsidRDefault="0055242A" w:rsidP="007D38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Labklājības ministrija</w:t>
            </w:r>
          </w:p>
        </w:tc>
      </w:tr>
      <w:tr w:rsidR="00CC1A56" w:rsidRPr="00EA0F8E" w:rsidTr="00EA0F8E">
        <w:trPr>
          <w:jc w:val="center"/>
        </w:trPr>
        <w:tc>
          <w:tcPr>
            <w:tcW w:w="470" w:type="dxa"/>
          </w:tcPr>
          <w:p w:rsidR="00CC1A56" w:rsidRPr="00EA0F8E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EA0F8E">
              <w:rPr>
                <w:iCs/>
              </w:rPr>
              <w:t>3.</w:t>
            </w:r>
          </w:p>
        </w:tc>
        <w:tc>
          <w:tcPr>
            <w:tcW w:w="2927" w:type="dxa"/>
          </w:tcPr>
          <w:p w:rsidR="00CC1A56" w:rsidRPr="00EA0F8E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EA0F8E">
              <w:t>Cita informācija</w:t>
            </w:r>
          </w:p>
        </w:tc>
        <w:tc>
          <w:tcPr>
            <w:tcW w:w="6114" w:type="dxa"/>
          </w:tcPr>
          <w:p w:rsidR="00CC1A56" w:rsidRPr="004A7017" w:rsidRDefault="004A7017" w:rsidP="004A7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rīkojuma projekts </w:t>
            </w:r>
            <w:r w:rsidRPr="00E80CDF">
              <w:rPr>
                <w:rFonts w:ascii="Times New Roman" w:hAnsi="Times New Roman"/>
                <w:sz w:val="24"/>
                <w:szCs w:val="24"/>
              </w:rPr>
              <w:t xml:space="preserve">izstrādāts saskaņā ar </w:t>
            </w:r>
            <w:r w:rsidR="00C07FB5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proofErr w:type="gramStart"/>
            <w:r w:rsidR="00C07FB5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="00C07FB5">
              <w:rPr>
                <w:rFonts w:ascii="Times New Roman" w:hAnsi="Times New Roman" w:cs="Times New Roman"/>
                <w:sz w:val="24"/>
                <w:szCs w:val="24"/>
              </w:rPr>
              <w:t xml:space="preserve"> 20.maija noteikumiem Nr.259 “G</w:t>
            </w:r>
            <w:r w:rsidR="00C07FB5" w:rsidRPr="004A7017">
              <w:rPr>
                <w:rFonts w:ascii="Times New Roman" w:hAnsi="Times New Roman" w:cs="Times New Roman"/>
                <w:sz w:val="24"/>
                <w:szCs w:val="24"/>
              </w:rPr>
              <w:t>rozījumi  M</w:t>
            </w:r>
            <w:r w:rsidR="00C07FB5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="00C07FB5" w:rsidRPr="004A7017">
              <w:rPr>
                <w:rFonts w:ascii="Times New Roman" w:hAnsi="Times New Roman" w:cs="Times New Roman"/>
                <w:sz w:val="24"/>
                <w:szCs w:val="24"/>
              </w:rPr>
              <w:t xml:space="preserve"> 2011.gada 25.janvāra noteikumos Nr.75 „Noteikumi par aktīvo nodarbinātības pasākumu un preventīvo bezdarba samazināšanas pasākumu organizēšanu un finansēšanas kārtību un pasākumu īstenotāju izvēles principiem”</w:t>
            </w:r>
            <w:r w:rsidR="00C07FB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CC1A56" w:rsidRDefault="00CC1A56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685"/>
        <w:gridCol w:w="265"/>
        <w:gridCol w:w="736"/>
        <w:gridCol w:w="1454"/>
        <w:gridCol w:w="1134"/>
        <w:gridCol w:w="1559"/>
        <w:gridCol w:w="2240"/>
      </w:tblGrid>
      <w:tr w:rsidR="00822854" w:rsidTr="00822854">
        <w:trPr>
          <w:trHeight w:val="421"/>
          <w:jc w:val="center"/>
        </w:trPr>
        <w:tc>
          <w:tcPr>
            <w:tcW w:w="9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54" w:rsidRPr="00BE034A" w:rsidRDefault="00822854" w:rsidP="00BE034A">
            <w:pPr>
              <w:pStyle w:val="naisnod"/>
              <w:spacing w:beforeAutospacing="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V. Tiesību akta projekta atbilstība Latvijas Republikas starptautiskajām saistībām</w:t>
            </w:r>
          </w:p>
        </w:tc>
      </w:tr>
      <w:tr w:rsidR="00822854" w:rsidTr="00822854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1.janvārī stājas spēkā:</w:t>
            </w:r>
          </w:p>
          <w:p w:rsidR="00822854" w:rsidRDefault="0082285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Komisijas regula Nr.1407/2013, kura aizstāj Komisijas regulu Nr.1998/2006;</w:t>
            </w:r>
          </w:p>
          <w:p w:rsidR="00822854" w:rsidRDefault="0082285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Komisijas regula Nr.1408/2013, kura aizstāj Komisijas regulu Nr.1535/2007;</w:t>
            </w:r>
          </w:p>
          <w:p w:rsidR="00822854" w:rsidRDefault="0082285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Eiropas Parlamenta un Padomes regula Nr.1379/2013, ar ko atceļ Padomes Regulu Nr.104/2000.</w:t>
            </w:r>
          </w:p>
          <w:p w:rsidR="00822854" w:rsidRDefault="0082285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regula Nr.1998/2006 un Komisijas regula Nr.1535/2007 pēc to spēkā esības perioda beigām ir piemērojama vēl sešus mēnešus, t.i., līdz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30.jūnijam.</w:t>
            </w:r>
          </w:p>
        </w:tc>
      </w:tr>
      <w:tr w:rsidR="00822854" w:rsidTr="00822854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60366C">
              <w:rPr>
                <w:rFonts w:ascii="Times New Roman" w:hAnsi="Times New Roman"/>
                <w:sz w:val="24"/>
                <w:szCs w:val="24"/>
              </w:rPr>
              <w:t>rīkojuma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projekts šo jomu neskar.</w:t>
            </w:r>
          </w:p>
        </w:tc>
      </w:tr>
      <w:tr w:rsidR="00822854" w:rsidTr="00822854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822854" w:rsidTr="00822854">
        <w:trPr>
          <w:jc w:val="center"/>
        </w:trPr>
        <w:tc>
          <w:tcPr>
            <w:tcW w:w="95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Komisijas regula Nr.1407/2013;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Komisijas regula Nr.1408/2013;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Parlamenta un Padomes regula Nr.1379/2013.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Norāda iespējamās alternatīvas (t.sk. alternatīvas, kas neparedz tiesiskā regulējuma izstrādi) – kādos gadījumos būtu iespējams izvairīties no stingrāku prasību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Komisijas regulas Nr.1407/2013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1.panta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1.punkts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9363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Nr.732</w:t>
            </w:r>
            <w:r w:rsidR="00936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1.apakšpunkts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Komisijas regulas Nr.1407/2013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3.panta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2.punkts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2.apakšpunkts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Komisijas regulas Nr.1407/2013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2.panta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2.punkts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2.apakšpunkts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Komisijas regulas Nr.1407/2013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4.panta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3.punkts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3.2.apakšpunkt</w:t>
            </w:r>
            <w:r w:rsidR="006036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Komisijas regulas Nr.1408/2013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1.pants</w:t>
            </w:r>
            <w:proofErr w:type="gramEnd"/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1.apakšpunkt</w:t>
            </w:r>
            <w:r w:rsidR="006036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Parlamenta un Padomes regulas Nr.1379/2013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1.pants</w:t>
            </w:r>
            <w:proofErr w:type="gramEnd"/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1.apakšpunkt</w:t>
            </w:r>
            <w:r w:rsidR="006036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Komisijas regulas Nr.1408/2013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3.panta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2.punkts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2.apakšpunkt</w:t>
            </w:r>
            <w:r w:rsidR="006036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Komisijas regulas Nr.1408/2013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2.panta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2.punkts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2.apakšpunkt</w:t>
            </w:r>
            <w:r w:rsidR="006036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Komisijas regulas Nr.1408/2013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4.panta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3.punkts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Nr.732 </w:t>
            </w:r>
            <w:r w:rsidR="0093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3.2.apakšpunkt</w:t>
            </w:r>
            <w:r w:rsidR="006036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Vienība tiek ieviesta pilnībā.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Atbildīgā institūcija – NVA (projekta ieviesējs).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Netiek paredzētas stingrākas prasības.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Kā ir izmantota ES tiesību aktā paredzētā rīcības brīvība dalīb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noteiktas ES tiesību akta normas?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60366C">
              <w:rPr>
                <w:rFonts w:ascii="Times New Roman" w:hAnsi="Times New Roman"/>
                <w:sz w:val="24"/>
                <w:szCs w:val="24"/>
              </w:rPr>
              <w:t>rīkojuma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projekts šo jomu neskar.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60366C">
              <w:rPr>
                <w:rFonts w:ascii="Times New Roman" w:hAnsi="Times New Roman"/>
                <w:sz w:val="24"/>
                <w:szCs w:val="24"/>
              </w:rPr>
              <w:t>rīkojuma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projekts šo jomu neskar.</w:t>
            </w:r>
          </w:p>
        </w:tc>
      </w:tr>
      <w:tr w:rsidR="00822854" w:rsidTr="00822854">
        <w:trPr>
          <w:jc w:val="center"/>
        </w:trPr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822854" w:rsidTr="00822854">
        <w:trPr>
          <w:jc w:val="center"/>
        </w:trPr>
        <w:tc>
          <w:tcPr>
            <w:tcW w:w="95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822854" w:rsidTr="00822854">
        <w:trPr>
          <w:jc w:val="center"/>
        </w:trPr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1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60366C">
              <w:rPr>
                <w:rFonts w:ascii="Times New Roman" w:hAnsi="Times New Roman"/>
                <w:sz w:val="24"/>
                <w:szCs w:val="24"/>
              </w:rPr>
              <w:t>rīkojuma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projekts šo jomu neskar.</w:t>
            </w:r>
          </w:p>
        </w:tc>
      </w:tr>
      <w:tr w:rsidR="00822854" w:rsidTr="00822854">
        <w:trPr>
          <w:jc w:val="center"/>
        </w:trPr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854" w:rsidRDefault="00822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822854" w:rsidTr="00822854">
        <w:trPr>
          <w:jc w:val="center"/>
        </w:trPr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822854" w:rsidRDefault="008228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822854" w:rsidTr="00822854">
        <w:trPr>
          <w:jc w:val="center"/>
        </w:trPr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projekts šo jomu neskar.</w:t>
            </w:r>
          </w:p>
        </w:tc>
        <w:tc>
          <w:tcPr>
            <w:tcW w:w="3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60366C">
              <w:rPr>
                <w:rFonts w:ascii="Times New Roman" w:hAnsi="Times New Roman"/>
                <w:sz w:val="24"/>
                <w:szCs w:val="24"/>
              </w:rPr>
              <w:t>rīkojuma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projekts šo jomu neskar.</w:t>
            </w:r>
          </w:p>
        </w:tc>
        <w:tc>
          <w:tcPr>
            <w:tcW w:w="3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60366C">
              <w:rPr>
                <w:rFonts w:ascii="Times New Roman" w:hAnsi="Times New Roman"/>
                <w:sz w:val="24"/>
                <w:szCs w:val="24"/>
              </w:rPr>
              <w:t xml:space="preserve">rīkojuma </w:t>
            </w: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22854" w:rsidTr="00822854">
        <w:trPr>
          <w:jc w:val="center"/>
        </w:trPr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Vai starptautiskajā dokumentā paredzētās saistības nav pretrunā ar jau esošajām Latvijas Republikas starptautis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1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 w:rsidP="0060366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60366C">
              <w:rPr>
                <w:rFonts w:ascii="Times New Roman" w:hAnsi="Times New Roman"/>
                <w:sz w:val="24"/>
                <w:szCs w:val="24"/>
              </w:rPr>
              <w:t>rīkojuma</w:t>
            </w:r>
            <w:r w:rsidR="00B6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22854" w:rsidTr="00822854">
        <w:trPr>
          <w:jc w:val="center"/>
        </w:trPr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1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2854" w:rsidRDefault="0082285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822854" w:rsidRPr="00EA0F8E" w:rsidDel="009D1634" w:rsidRDefault="00822854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921"/>
        <w:gridCol w:w="6127"/>
      </w:tblGrid>
      <w:tr w:rsidR="00CC1A56" w:rsidRPr="00EA0F8E" w:rsidTr="007D385B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EA0F8E">
              <w:rPr>
                <w:b/>
              </w:rPr>
              <w:t>VI. Sabiedrības līdzdalība un komunikācijas aktivitātes</w:t>
            </w:r>
          </w:p>
        </w:tc>
      </w:tr>
      <w:tr w:rsidR="00CC1A56" w:rsidRPr="00EA0F8E" w:rsidTr="001D5EBC">
        <w:trPr>
          <w:trHeight w:val="553"/>
          <w:jc w:val="center"/>
        </w:trPr>
        <w:tc>
          <w:tcPr>
            <w:tcW w:w="476" w:type="dxa"/>
          </w:tcPr>
          <w:p w:rsidR="00CC1A56" w:rsidRPr="00EA0F8E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CC1A56" w:rsidRPr="00EA0F8E" w:rsidRDefault="00CC1A56" w:rsidP="007D385B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127" w:type="dxa"/>
          </w:tcPr>
          <w:p w:rsidR="002874DE" w:rsidRPr="00EA0F8E" w:rsidRDefault="002874DE" w:rsidP="001D5EB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1"/>
            <w:bookmarkEnd w:id="2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Sabiedrības līdzdalība nebija nepieciešama, jo</w:t>
            </w:r>
            <w:r w:rsidR="00EA0F8E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1.3.1.1.3.</w:t>
            </w:r>
            <w:r w:rsidR="00EA0F8E" w:rsidRPr="00EA0F8E" w:rsidDel="00EA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apakšaktivitāte tiek īstenota ierobežotas projektu iesniegumu atlases veidā un t</w:t>
            </w:r>
            <w:r w:rsidR="00EA0F8E" w:rsidRPr="00EA0F8E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ietvaros jau ir noslēgti līgumi par projektu īstenošanu</w:t>
            </w:r>
            <w:r w:rsidR="00EA0F8E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1A56" w:rsidRPr="00EA0F8E" w:rsidRDefault="00CC1A56" w:rsidP="001D5EB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56" w:rsidRPr="00EA0F8E" w:rsidTr="001D5EBC">
        <w:trPr>
          <w:trHeight w:val="339"/>
          <w:jc w:val="center"/>
        </w:trPr>
        <w:tc>
          <w:tcPr>
            <w:tcW w:w="476" w:type="dxa"/>
          </w:tcPr>
          <w:p w:rsidR="00CC1A56" w:rsidRPr="00EA0F8E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21" w:type="dxa"/>
          </w:tcPr>
          <w:p w:rsidR="00CC1A56" w:rsidRPr="00EA0F8E" w:rsidRDefault="00CC1A56" w:rsidP="007D38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127" w:type="dxa"/>
          </w:tcPr>
          <w:p w:rsidR="00CC1A56" w:rsidRPr="00EA0F8E" w:rsidRDefault="00514DDD" w:rsidP="001D5EB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2"/>
            <w:bookmarkEnd w:id="3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MK rīkojuma projekts šo jomu neskar.</w:t>
            </w:r>
          </w:p>
        </w:tc>
      </w:tr>
      <w:tr w:rsidR="00CC1A56" w:rsidRPr="00EA0F8E" w:rsidTr="001D5EBC">
        <w:trPr>
          <w:trHeight w:val="476"/>
          <w:jc w:val="center"/>
        </w:trPr>
        <w:tc>
          <w:tcPr>
            <w:tcW w:w="476" w:type="dxa"/>
          </w:tcPr>
          <w:p w:rsidR="00CC1A56" w:rsidRPr="00EA0F8E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CC1A56" w:rsidRPr="00EA0F8E" w:rsidRDefault="00CC1A56" w:rsidP="007D38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127" w:type="dxa"/>
          </w:tcPr>
          <w:p w:rsidR="00CC1A56" w:rsidRPr="00EA0F8E" w:rsidRDefault="00514DDD" w:rsidP="001D5EB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MK rīkojuma projekts šo jomu neskar.</w:t>
            </w:r>
          </w:p>
        </w:tc>
      </w:tr>
      <w:tr w:rsidR="00CC1A56" w:rsidRPr="00EA0F8E" w:rsidTr="001D5EBC">
        <w:trPr>
          <w:trHeight w:val="476"/>
          <w:jc w:val="center"/>
        </w:trPr>
        <w:tc>
          <w:tcPr>
            <w:tcW w:w="476" w:type="dxa"/>
          </w:tcPr>
          <w:p w:rsidR="00CC1A56" w:rsidRPr="00EA0F8E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CC1A56" w:rsidRPr="00EA0F8E" w:rsidRDefault="00CC1A56" w:rsidP="007D38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127" w:type="dxa"/>
          </w:tcPr>
          <w:p w:rsidR="00CC1A56" w:rsidRPr="00EA0F8E" w:rsidRDefault="00514DDD" w:rsidP="001D5EB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CC1A56" w:rsidRPr="00EA0F8E" w:rsidRDefault="00CC1A56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960"/>
        <w:gridCol w:w="6121"/>
      </w:tblGrid>
      <w:tr w:rsidR="00CC1A56" w:rsidRPr="00EA0F8E" w:rsidTr="007D385B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EA0F8E">
              <w:rPr>
                <w:b/>
              </w:rPr>
              <w:t>VII. Tiesību akta projekta izpildes nodrošināšana un tās ietekme uz institūcijām</w:t>
            </w:r>
          </w:p>
        </w:tc>
      </w:tr>
      <w:tr w:rsidR="00CC1A56" w:rsidRPr="00EA0F8E" w:rsidTr="001D5EBC">
        <w:trPr>
          <w:trHeight w:val="427"/>
          <w:jc w:val="center"/>
        </w:trPr>
        <w:tc>
          <w:tcPr>
            <w:tcW w:w="437" w:type="dxa"/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0F8E">
              <w:t>1.</w:t>
            </w:r>
          </w:p>
        </w:tc>
        <w:tc>
          <w:tcPr>
            <w:tcW w:w="2960" w:type="dxa"/>
          </w:tcPr>
          <w:p w:rsidR="00CC1A56" w:rsidRPr="00EA0F8E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EA0F8E">
              <w:t>Projekta izpildē iesaistītās institūcijas</w:t>
            </w:r>
          </w:p>
        </w:tc>
        <w:tc>
          <w:tcPr>
            <w:tcW w:w="6121" w:type="dxa"/>
          </w:tcPr>
          <w:p w:rsidR="00CC1A56" w:rsidRPr="00EA0F8E" w:rsidRDefault="006E3024" w:rsidP="001D5EBC">
            <w:pPr>
              <w:shd w:val="clear" w:color="auto" w:fill="FFFFFF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bookmarkStart w:id="4" w:name="p66"/>
            <w:bookmarkStart w:id="5" w:name="p67"/>
            <w:bookmarkStart w:id="6" w:name="p68"/>
            <w:bookmarkStart w:id="7" w:name="p69"/>
            <w:bookmarkEnd w:id="4"/>
            <w:bookmarkEnd w:id="5"/>
            <w:bookmarkEnd w:id="6"/>
            <w:bookmarkEnd w:id="7"/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Labklājības ministrija kā E</w:t>
            </w:r>
            <w:r w:rsidR="00774AFB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4AFB" w:rsidRPr="00EA0F8E">
              <w:rPr>
                <w:rFonts w:ascii="Times New Roman" w:hAnsi="Times New Roman" w:cs="Times New Roman"/>
                <w:sz w:val="24"/>
                <w:szCs w:val="24"/>
              </w:rPr>
              <w:t>avienības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fondu atbildīgā iestāde, </w:t>
            </w:r>
            <w:r w:rsidR="00EA0F8E" w:rsidRPr="00EA0F8E">
              <w:rPr>
                <w:rFonts w:ascii="Times New Roman" w:hAnsi="Times New Roman" w:cs="Times New Roman"/>
                <w:sz w:val="24"/>
                <w:szCs w:val="24"/>
              </w:rPr>
              <w:t>NVA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kā E</w:t>
            </w:r>
            <w:r w:rsidR="00D44056"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4056" w:rsidRPr="00EA0F8E">
              <w:rPr>
                <w:rFonts w:ascii="Times New Roman" w:hAnsi="Times New Roman" w:cs="Times New Roman"/>
                <w:sz w:val="24"/>
                <w:szCs w:val="24"/>
              </w:rPr>
              <w:t>avienības</w:t>
            </w: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 xml:space="preserve"> fondu finansējuma saņēmējs.</w:t>
            </w:r>
          </w:p>
        </w:tc>
      </w:tr>
      <w:tr w:rsidR="00CC1A56" w:rsidRPr="00EA0F8E" w:rsidTr="001D5EBC">
        <w:trPr>
          <w:trHeight w:val="463"/>
          <w:jc w:val="center"/>
        </w:trPr>
        <w:tc>
          <w:tcPr>
            <w:tcW w:w="437" w:type="dxa"/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0F8E">
              <w:t>2.</w:t>
            </w:r>
          </w:p>
        </w:tc>
        <w:tc>
          <w:tcPr>
            <w:tcW w:w="2960" w:type="dxa"/>
          </w:tcPr>
          <w:p w:rsidR="00CC1A56" w:rsidRPr="00EA0F8E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EA0F8E">
              <w:t>Projekta izpildes ietekme uz pār</w:t>
            </w:r>
            <w:r w:rsidRPr="00EA0F8E">
              <w:softHyphen/>
              <w:t>valdes funkcijām un institucionālo struktūru.</w:t>
            </w:r>
          </w:p>
          <w:p w:rsidR="00CC1A56" w:rsidRPr="00EA0F8E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EA0F8E">
              <w:t>Jaunu institūciju izveide, esošu institūciju likvidācija vai reorga</w:t>
            </w:r>
            <w:r w:rsidRPr="00EA0F8E">
              <w:softHyphen/>
              <w:t>nizācija, to ietekme uz institūcijas cilvēkresursiem</w:t>
            </w:r>
          </w:p>
        </w:tc>
        <w:tc>
          <w:tcPr>
            <w:tcW w:w="6121" w:type="dxa"/>
          </w:tcPr>
          <w:p w:rsidR="00CC1A56" w:rsidRPr="00EA0F8E" w:rsidRDefault="00232033" w:rsidP="001D5EBC">
            <w:pPr>
              <w:shd w:val="clear" w:color="auto" w:fill="FFFFFF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MK rīkojuma projekts šo jomu neskar.</w:t>
            </w:r>
          </w:p>
        </w:tc>
      </w:tr>
      <w:tr w:rsidR="00CC1A56" w:rsidRPr="00EA0F8E" w:rsidTr="001D5EBC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6" w:rsidRPr="00EA0F8E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0F8E"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6" w:rsidRPr="00EA0F8E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EA0F8E">
              <w:t>Cita informācija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6" w:rsidRPr="00EA0F8E" w:rsidRDefault="00232033" w:rsidP="001D5EBC">
            <w:pPr>
              <w:spacing w:after="0" w:line="240" w:lineRule="auto"/>
              <w:ind w:left="114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A0F8E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843389" w:rsidRPr="00EA0F8E" w:rsidRDefault="00843389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F60E13" w:rsidRPr="00EA0F8E">
        <w:rPr>
          <w:rFonts w:ascii="Times New Roman" w:hAnsi="Times New Roman" w:cs="Times New Roman"/>
          <w:sz w:val="24"/>
          <w:szCs w:val="24"/>
        </w:rPr>
        <w:t>III</w:t>
      </w:r>
      <w:r w:rsidRPr="00EA0F8E">
        <w:rPr>
          <w:rFonts w:ascii="Times New Roman" w:hAnsi="Times New Roman" w:cs="Times New Roman"/>
          <w:sz w:val="24"/>
          <w:szCs w:val="24"/>
        </w:rPr>
        <w:t xml:space="preserve"> sadaļa – MK rīkojuma projekts šo jomu neskar.</w:t>
      </w:r>
    </w:p>
    <w:p w:rsidR="00D473ED" w:rsidRPr="00EA0F8E" w:rsidRDefault="00D473ED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Pr="00EA0F8E" w:rsidRDefault="00D473ED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Pr="002D259B" w:rsidRDefault="00B72F7C" w:rsidP="00D473E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59B">
        <w:rPr>
          <w:rFonts w:ascii="Times New Roman" w:hAnsi="Times New Roman" w:cs="Times New Roman"/>
          <w:sz w:val="26"/>
          <w:szCs w:val="26"/>
        </w:rPr>
        <w:t>Labklājības ministrs</w:t>
      </w:r>
      <w:r w:rsidR="00D473ED" w:rsidRPr="002D259B">
        <w:rPr>
          <w:rFonts w:ascii="Times New Roman" w:hAnsi="Times New Roman" w:cs="Times New Roman"/>
          <w:sz w:val="26"/>
          <w:szCs w:val="26"/>
        </w:rPr>
        <w:tab/>
      </w:r>
      <w:r w:rsidRPr="002D259B">
        <w:rPr>
          <w:rFonts w:ascii="Times New Roman" w:hAnsi="Times New Roman" w:cs="Times New Roman"/>
          <w:sz w:val="26"/>
          <w:szCs w:val="26"/>
        </w:rPr>
        <w:t>U.Augulis</w:t>
      </w:r>
    </w:p>
    <w:p w:rsidR="00D473ED" w:rsidRPr="00D473ED" w:rsidRDefault="00D473ED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Pr="00D473ED" w:rsidRDefault="00D473ED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Pr="00D473ED" w:rsidRDefault="00C07FB5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7A75B6">
        <w:rPr>
          <w:rFonts w:ascii="Times New Roman" w:hAnsi="Times New Roman" w:cs="Times New Roman"/>
          <w:sz w:val="20"/>
          <w:szCs w:val="20"/>
        </w:rPr>
        <w:t>.</w:t>
      </w:r>
      <w:r w:rsidR="00EA0F8E">
        <w:rPr>
          <w:rFonts w:ascii="Times New Roman" w:hAnsi="Times New Roman" w:cs="Times New Roman"/>
          <w:sz w:val="20"/>
          <w:szCs w:val="20"/>
        </w:rPr>
        <w:t>0</w:t>
      </w:r>
      <w:r w:rsidR="0030050C">
        <w:rPr>
          <w:rFonts w:ascii="Times New Roman" w:hAnsi="Times New Roman" w:cs="Times New Roman"/>
          <w:sz w:val="20"/>
          <w:szCs w:val="20"/>
        </w:rPr>
        <w:t>5</w:t>
      </w:r>
      <w:r w:rsidR="00CD64AE">
        <w:rPr>
          <w:rFonts w:ascii="Times New Roman" w:hAnsi="Times New Roman" w:cs="Times New Roman"/>
          <w:sz w:val="20"/>
          <w:szCs w:val="20"/>
        </w:rPr>
        <w:t>.</w:t>
      </w:r>
      <w:r w:rsidR="00F07BB7">
        <w:rPr>
          <w:rFonts w:ascii="Times New Roman" w:hAnsi="Times New Roman" w:cs="Times New Roman"/>
          <w:sz w:val="20"/>
          <w:szCs w:val="20"/>
        </w:rPr>
        <w:t>2014</w:t>
      </w:r>
      <w:r w:rsidR="00D473ED" w:rsidRPr="00D473E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6A448C">
        <w:rPr>
          <w:rFonts w:ascii="Times New Roman" w:hAnsi="Times New Roman" w:cs="Times New Roman"/>
          <w:sz w:val="20"/>
          <w:szCs w:val="20"/>
        </w:rPr>
        <w:t>:</w:t>
      </w:r>
      <w:r w:rsidR="00BE034A">
        <w:rPr>
          <w:rFonts w:ascii="Times New Roman" w:hAnsi="Times New Roman" w:cs="Times New Roman"/>
          <w:sz w:val="20"/>
          <w:szCs w:val="20"/>
        </w:rPr>
        <w:t>59</w:t>
      </w:r>
      <w:bookmarkStart w:id="8" w:name="_GoBack"/>
      <w:bookmarkEnd w:id="8"/>
    </w:p>
    <w:p w:rsidR="00D473ED" w:rsidRPr="00D473ED" w:rsidRDefault="0060366C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07FB5">
        <w:rPr>
          <w:rFonts w:ascii="Times New Roman" w:hAnsi="Times New Roman" w:cs="Times New Roman"/>
          <w:sz w:val="20"/>
          <w:szCs w:val="20"/>
        </w:rPr>
        <w:t xml:space="preserve"> 584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3ED" w:rsidRPr="00D473ED" w:rsidRDefault="00EA0F8E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A.Vībe</w:t>
      </w:r>
      <w:proofErr w:type="spellEnd"/>
      <w:r w:rsidR="00D473ED" w:rsidRPr="00D473ED">
        <w:rPr>
          <w:rFonts w:ascii="Times New Roman" w:hAnsi="Times New Roman" w:cs="Times New Roman"/>
          <w:sz w:val="20"/>
          <w:szCs w:val="20"/>
        </w:rPr>
        <w:t xml:space="preserve">, </w:t>
      </w:r>
      <w:r w:rsidRPr="00D473ED">
        <w:rPr>
          <w:rFonts w:ascii="Times New Roman" w:hAnsi="Times New Roman" w:cs="Times New Roman"/>
          <w:sz w:val="20"/>
          <w:szCs w:val="20"/>
        </w:rPr>
        <w:t>670216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D473ED" w:rsidRPr="00D473ED" w:rsidRDefault="00EA0F8E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F8E">
        <w:rPr>
          <w:rFonts w:ascii="Times New Roman" w:hAnsi="Times New Roman" w:cs="Times New Roman"/>
          <w:sz w:val="20"/>
          <w:szCs w:val="20"/>
          <w:u w:val="single"/>
        </w:rPr>
        <w:t>Anna.Vibe</w:t>
      </w:r>
      <w:r w:rsidR="00D473ED" w:rsidRPr="00EA0F8E">
        <w:rPr>
          <w:rFonts w:ascii="Times New Roman" w:hAnsi="Times New Roman" w:cs="Times New Roman"/>
          <w:sz w:val="20"/>
          <w:szCs w:val="20"/>
          <w:u w:val="single"/>
        </w:rPr>
        <w:t>@lm.gov.lv</w:t>
      </w:r>
      <w:r w:rsidRPr="00EA0F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="00D473ED" w:rsidRPr="00D473ED" w:rsidSect="006D6C8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70" w:rsidRDefault="00755E70" w:rsidP="006D6C82">
      <w:pPr>
        <w:spacing w:after="0" w:line="240" w:lineRule="auto"/>
      </w:pPr>
      <w:r>
        <w:separator/>
      </w:r>
    </w:p>
  </w:endnote>
  <w:endnote w:type="continuationSeparator" w:id="0">
    <w:p w:rsidR="00755E70" w:rsidRDefault="00755E70" w:rsidP="006D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BE" w:rsidRPr="006E169E" w:rsidRDefault="00F161BE">
    <w:pPr>
      <w:pStyle w:val="Footer"/>
      <w:rPr>
        <w:rFonts w:ascii="Times New Roman" w:hAnsi="Times New Roman" w:cs="Times New Roman"/>
      </w:rPr>
    </w:pPr>
    <w:r w:rsidRPr="006E169E">
      <w:rPr>
        <w:rFonts w:ascii="Times New Roman" w:hAnsi="Times New Roman" w:cs="Times New Roman"/>
        <w:sz w:val="20"/>
        <w:szCs w:val="20"/>
      </w:rPr>
      <w:t>LMAnot_</w:t>
    </w:r>
    <w:r w:rsidR="00C07FB5">
      <w:rPr>
        <w:rFonts w:ascii="Times New Roman" w:hAnsi="Times New Roman" w:cs="Times New Roman"/>
        <w:sz w:val="20"/>
        <w:szCs w:val="20"/>
      </w:rPr>
      <w:t>29</w:t>
    </w:r>
    <w:r w:rsidR="0030050C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14</w:t>
    </w:r>
    <w:r w:rsidRPr="006E169E">
      <w:rPr>
        <w:rFonts w:ascii="Times New Roman" w:hAnsi="Times New Roman" w:cs="Times New Roman"/>
        <w:sz w:val="20"/>
        <w:szCs w:val="20"/>
      </w:rPr>
      <w:t>_1DPP;</w:t>
    </w:r>
    <w:r w:rsidRPr="006E169E">
      <w:rPr>
        <w:rFonts w:ascii="Times New Roman" w:hAnsi="Times New Roman" w:cs="Times New Roman"/>
      </w:rPr>
      <w:t xml:space="preserve"> </w:t>
    </w:r>
    <w:r w:rsidRPr="006E169E">
      <w:rPr>
        <w:rFonts w:ascii="Times New Roman" w:hAnsi="Times New Roman" w:cs="Times New Roman"/>
        <w:bCs/>
        <w:sz w:val="20"/>
        <w:szCs w:val="20"/>
      </w:rPr>
      <w:t>Ministru kabineta rīkojuma „Grozījums darbības programmas „Cilvēkresursi un nodarbinātība” papildinājumā” projekta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BE" w:rsidRPr="006E169E" w:rsidRDefault="00F161BE">
    <w:pPr>
      <w:pStyle w:val="Footer"/>
      <w:rPr>
        <w:rFonts w:ascii="Times New Roman" w:hAnsi="Times New Roman" w:cs="Times New Roman"/>
      </w:rPr>
    </w:pPr>
    <w:r w:rsidRPr="006E169E">
      <w:rPr>
        <w:rFonts w:ascii="Times New Roman" w:hAnsi="Times New Roman" w:cs="Times New Roman"/>
        <w:sz w:val="20"/>
        <w:szCs w:val="20"/>
      </w:rPr>
      <w:t>LMAnot_</w:t>
    </w:r>
    <w:r w:rsidR="00C07FB5">
      <w:rPr>
        <w:rFonts w:ascii="Times New Roman" w:hAnsi="Times New Roman" w:cs="Times New Roman"/>
        <w:sz w:val="20"/>
        <w:szCs w:val="20"/>
      </w:rPr>
      <w:t>29</w:t>
    </w:r>
    <w:r w:rsidR="0030050C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14</w:t>
    </w:r>
    <w:r w:rsidRPr="006E169E">
      <w:rPr>
        <w:rFonts w:ascii="Times New Roman" w:hAnsi="Times New Roman" w:cs="Times New Roman"/>
        <w:sz w:val="20"/>
        <w:szCs w:val="20"/>
      </w:rPr>
      <w:t>_1DPP;</w:t>
    </w:r>
    <w:r w:rsidRPr="006E169E">
      <w:rPr>
        <w:rFonts w:ascii="Times New Roman" w:hAnsi="Times New Roman" w:cs="Times New Roman"/>
      </w:rPr>
      <w:t xml:space="preserve"> </w:t>
    </w:r>
    <w:r w:rsidRPr="006E169E">
      <w:rPr>
        <w:rFonts w:ascii="Times New Roman" w:hAnsi="Times New Roman" w:cs="Times New Roman"/>
        <w:bCs/>
        <w:sz w:val="20"/>
        <w:szCs w:val="20"/>
      </w:rPr>
      <w:t>Ministru kabineta rīkojuma „Grozījums darbības programmas „Cilvēkresursi un nodarbinātība” papildinājumā” projekta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70" w:rsidRDefault="00755E70" w:rsidP="006D6C82">
      <w:pPr>
        <w:spacing w:after="0" w:line="240" w:lineRule="auto"/>
      </w:pPr>
      <w:r>
        <w:separator/>
      </w:r>
    </w:p>
  </w:footnote>
  <w:footnote w:type="continuationSeparator" w:id="0">
    <w:p w:rsidR="00755E70" w:rsidRDefault="00755E70" w:rsidP="006D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291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61BE" w:rsidRDefault="00F16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3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61BE" w:rsidRDefault="00F16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709"/>
    <w:multiLevelType w:val="hybridMultilevel"/>
    <w:tmpl w:val="0750CBEE"/>
    <w:lvl w:ilvl="0" w:tplc="2F9259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4B1D6E"/>
    <w:multiLevelType w:val="hybridMultilevel"/>
    <w:tmpl w:val="FB0E0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7265"/>
    <w:multiLevelType w:val="hybridMultilevel"/>
    <w:tmpl w:val="C834F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06AA"/>
    <w:multiLevelType w:val="hybridMultilevel"/>
    <w:tmpl w:val="A878B4F6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DAB523F"/>
    <w:multiLevelType w:val="hybridMultilevel"/>
    <w:tmpl w:val="F61E9D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763"/>
    <w:multiLevelType w:val="hybridMultilevel"/>
    <w:tmpl w:val="B978A512"/>
    <w:lvl w:ilvl="0" w:tplc="9FA04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B14AA"/>
    <w:multiLevelType w:val="hybridMultilevel"/>
    <w:tmpl w:val="5F828362"/>
    <w:lvl w:ilvl="0" w:tplc="E18A0976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8B04E60"/>
    <w:multiLevelType w:val="hybridMultilevel"/>
    <w:tmpl w:val="26282DB4"/>
    <w:lvl w:ilvl="0" w:tplc="BA3C3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533FF"/>
    <w:multiLevelType w:val="hybridMultilevel"/>
    <w:tmpl w:val="15E08B7A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DD644C1"/>
    <w:multiLevelType w:val="hybridMultilevel"/>
    <w:tmpl w:val="A7B2CA6E"/>
    <w:lvl w:ilvl="0" w:tplc="2F92597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730100C"/>
    <w:multiLevelType w:val="hybridMultilevel"/>
    <w:tmpl w:val="7A20A33C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82E2ECB"/>
    <w:multiLevelType w:val="hybridMultilevel"/>
    <w:tmpl w:val="F146AD0C"/>
    <w:lvl w:ilvl="0" w:tplc="0FDA6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25EAD"/>
    <w:multiLevelType w:val="hybridMultilevel"/>
    <w:tmpl w:val="052A9822"/>
    <w:lvl w:ilvl="0" w:tplc="BA3C3B3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B6CA18EE">
      <w:start w:val="1"/>
      <w:numFmt w:val="bullet"/>
      <w:lvlText w:val="•"/>
      <w:lvlJc w:val="left"/>
      <w:pPr>
        <w:ind w:left="1497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6C429B9"/>
    <w:multiLevelType w:val="hybridMultilevel"/>
    <w:tmpl w:val="903819C2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6F470F8"/>
    <w:multiLevelType w:val="hybridMultilevel"/>
    <w:tmpl w:val="2F1E01E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9053448"/>
    <w:multiLevelType w:val="hybridMultilevel"/>
    <w:tmpl w:val="ED683456"/>
    <w:lvl w:ilvl="0" w:tplc="BA3C3B3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2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56"/>
    <w:rsid w:val="000012B1"/>
    <w:rsid w:val="00001FC0"/>
    <w:rsid w:val="00002103"/>
    <w:rsid w:val="000112ED"/>
    <w:rsid w:val="0003678C"/>
    <w:rsid w:val="000459D0"/>
    <w:rsid w:val="0004643E"/>
    <w:rsid w:val="00051838"/>
    <w:rsid w:val="00053DE3"/>
    <w:rsid w:val="00062F3E"/>
    <w:rsid w:val="00065E19"/>
    <w:rsid w:val="00072876"/>
    <w:rsid w:val="00074C69"/>
    <w:rsid w:val="000938B5"/>
    <w:rsid w:val="00095132"/>
    <w:rsid w:val="000A50F4"/>
    <w:rsid w:val="000A556B"/>
    <w:rsid w:val="000A5A8A"/>
    <w:rsid w:val="000B5881"/>
    <w:rsid w:val="000C6349"/>
    <w:rsid w:val="000C6DA7"/>
    <w:rsid w:val="000D11B7"/>
    <w:rsid w:val="000E4745"/>
    <w:rsid w:val="000E79FF"/>
    <w:rsid w:val="001021F5"/>
    <w:rsid w:val="00104816"/>
    <w:rsid w:val="00104ACF"/>
    <w:rsid w:val="0010641A"/>
    <w:rsid w:val="00110769"/>
    <w:rsid w:val="001144D9"/>
    <w:rsid w:val="0011756F"/>
    <w:rsid w:val="00125DF5"/>
    <w:rsid w:val="00126D51"/>
    <w:rsid w:val="00132CEF"/>
    <w:rsid w:val="00134BDB"/>
    <w:rsid w:val="00140CF3"/>
    <w:rsid w:val="00152B5A"/>
    <w:rsid w:val="001540B9"/>
    <w:rsid w:val="00163649"/>
    <w:rsid w:val="00163F68"/>
    <w:rsid w:val="00166E6E"/>
    <w:rsid w:val="00167190"/>
    <w:rsid w:val="001761AE"/>
    <w:rsid w:val="00176916"/>
    <w:rsid w:val="00177F36"/>
    <w:rsid w:val="00181E0E"/>
    <w:rsid w:val="0018780A"/>
    <w:rsid w:val="00192A2D"/>
    <w:rsid w:val="00197EC4"/>
    <w:rsid w:val="001B1214"/>
    <w:rsid w:val="001C30B9"/>
    <w:rsid w:val="001D5EBC"/>
    <w:rsid w:val="001D61A3"/>
    <w:rsid w:val="001E645F"/>
    <w:rsid w:val="001F6B3E"/>
    <w:rsid w:val="00206F07"/>
    <w:rsid w:val="002120C9"/>
    <w:rsid w:val="002123C9"/>
    <w:rsid w:val="00212CFF"/>
    <w:rsid w:val="002141C0"/>
    <w:rsid w:val="00215683"/>
    <w:rsid w:val="00232033"/>
    <w:rsid w:val="00241546"/>
    <w:rsid w:val="002472FA"/>
    <w:rsid w:val="00253304"/>
    <w:rsid w:val="0025552A"/>
    <w:rsid w:val="002568F2"/>
    <w:rsid w:val="00256C7E"/>
    <w:rsid w:val="0026710C"/>
    <w:rsid w:val="00281E6C"/>
    <w:rsid w:val="00283E43"/>
    <w:rsid w:val="0028479A"/>
    <w:rsid w:val="00285FDD"/>
    <w:rsid w:val="002874DE"/>
    <w:rsid w:val="00295EA4"/>
    <w:rsid w:val="002A046C"/>
    <w:rsid w:val="002A161A"/>
    <w:rsid w:val="002A4ADA"/>
    <w:rsid w:val="002B0232"/>
    <w:rsid w:val="002B0D05"/>
    <w:rsid w:val="002B602F"/>
    <w:rsid w:val="002B636F"/>
    <w:rsid w:val="002B6FF3"/>
    <w:rsid w:val="002D1F05"/>
    <w:rsid w:val="002D2016"/>
    <w:rsid w:val="002D259B"/>
    <w:rsid w:val="002E105B"/>
    <w:rsid w:val="002E5587"/>
    <w:rsid w:val="002F1000"/>
    <w:rsid w:val="002F2310"/>
    <w:rsid w:val="0030050C"/>
    <w:rsid w:val="0030284F"/>
    <w:rsid w:val="00303FFC"/>
    <w:rsid w:val="003158E1"/>
    <w:rsid w:val="00320A19"/>
    <w:rsid w:val="00321D39"/>
    <w:rsid w:val="0032210B"/>
    <w:rsid w:val="00332A1D"/>
    <w:rsid w:val="00334CA9"/>
    <w:rsid w:val="00336B3A"/>
    <w:rsid w:val="00340D2B"/>
    <w:rsid w:val="0034223C"/>
    <w:rsid w:val="00344A09"/>
    <w:rsid w:val="00345771"/>
    <w:rsid w:val="00354E5C"/>
    <w:rsid w:val="0035641C"/>
    <w:rsid w:val="00363E94"/>
    <w:rsid w:val="00365B8E"/>
    <w:rsid w:val="00367421"/>
    <w:rsid w:val="003721D8"/>
    <w:rsid w:val="00376240"/>
    <w:rsid w:val="00377EB0"/>
    <w:rsid w:val="0038217F"/>
    <w:rsid w:val="00382C79"/>
    <w:rsid w:val="00385892"/>
    <w:rsid w:val="00386A7D"/>
    <w:rsid w:val="00390CD6"/>
    <w:rsid w:val="00390DA0"/>
    <w:rsid w:val="0039236F"/>
    <w:rsid w:val="00393D64"/>
    <w:rsid w:val="003970EF"/>
    <w:rsid w:val="00397EEE"/>
    <w:rsid w:val="003A3A21"/>
    <w:rsid w:val="003B0FBE"/>
    <w:rsid w:val="003B1B19"/>
    <w:rsid w:val="003C00B7"/>
    <w:rsid w:val="003D2EF5"/>
    <w:rsid w:val="003D58F4"/>
    <w:rsid w:val="003D7FCC"/>
    <w:rsid w:val="003E4689"/>
    <w:rsid w:val="003E6EBD"/>
    <w:rsid w:val="003E7876"/>
    <w:rsid w:val="003F64F8"/>
    <w:rsid w:val="00400D63"/>
    <w:rsid w:val="004144A3"/>
    <w:rsid w:val="004247E7"/>
    <w:rsid w:val="004279EC"/>
    <w:rsid w:val="00427EFE"/>
    <w:rsid w:val="0043187B"/>
    <w:rsid w:val="00450B0F"/>
    <w:rsid w:val="00454A54"/>
    <w:rsid w:val="00455C53"/>
    <w:rsid w:val="00466E9D"/>
    <w:rsid w:val="00470125"/>
    <w:rsid w:val="00474BEE"/>
    <w:rsid w:val="00477EA9"/>
    <w:rsid w:val="004926DA"/>
    <w:rsid w:val="004A0562"/>
    <w:rsid w:val="004A7017"/>
    <w:rsid w:val="004B2C5B"/>
    <w:rsid w:val="004B4BC8"/>
    <w:rsid w:val="004C0127"/>
    <w:rsid w:val="004C55C1"/>
    <w:rsid w:val="004D24D9"/>
    <w:rsid w:val="004D2900"/>
    <w:rsid w:val="004D4A4C"/>
    <w:rsid w:val="004D654A"/>
    <w:rsid w:val="004D6C65"/>
    <w:rsid w:val="004D6C8E"/>
    <w:rsid w:val="004E2B79"/>
    <w:rsid w:val="004F15BC"/>
    <w:rsid w:val="004F1BD2"/>
    <w:rsid w:val="004F1F9A"/>
    <w:rsid w:val="004F6B68"/>
    <w:rsid w:val="00501F1C"/>
    <w:rsid w:val="0050327A"/>
    <w:rsid w:val="00510A25"/>
    <w:rsid w:val="00511D62"/>
    <w:rsid w:val="00513962"/>
    <w:rsid w:val="00514DDD"/>
    <w:rsid w:val="00515286"/>
    <w:rsid w:val="0051753C"/>
    <w:rsid w:val="005346EE"/>
    <w:rsid w:val="00547074"/>
    <w:rsid w:val="00547218"/>
    <w:rsid w:val="00551B31"/>
    <w:rsid w:val="0055242A"/>
    <w:rsid w:val="005566A6"/>
    <w:rsid w:val="005820D6"/>
    <w:rsid w:val="005913E4"/>
    <w:rsid w:val="005948BF"/>
    <w:rsid w:val="005955B6"/>
    <w:rsid w:val="00597F2B"/>
    <w:rsid w:val="005A2EC2"/>
    <w:rsid w:val="005B104F"/>
    <w:rsid w:val="005C718F"/>
    <w:rsid w:val="005D0485"/>
    <w:rsid w:val="005D3E1C"/>
    <w:rsid w:val="005D6E48"/>
    <w:rsid w:val="005E2E68"/>
    <w:rsid w:val="005E6929"/>
    <w:rsid w:val="005F280E"/>
    <w:rsid w:val="005F403C"/>
    <w:rsid w:val="0060366C"/>
    <w:rsid w:val="0060518C"/>
    <w:rsid w:val="006074DC"/>
    <w:rsid w:val="00623854"/>
    <w:rsid w:val="006245FD"/>
    <w:rsid w:val="006409EE"/>
    <w:rsid w:val="00645EF3"/>
    <w:rsid w:val="00647162"/>
    <w:rsid w:val="00647F71"/>
    <w:rsid w:val="00654303"/>
    <w:rsid w:val="00654FBD"/>
    <w:rsid w:val="00655797"/>
    <w:rsid w:val="00662B35"/>
    <w:rsid w:val="006673B6"/>
    <w:rsid w:val="0067586A"/>
    <w:rsid w:val="00677F0A"/>
    <w:rsid w:val="00687767"/>
    <w:rsid w:val="00687780"/>
    <w:rsid w:val="00694F66"/>
    <w:rsid w:val="006952F4"/>
    <w:rsid w:val="00695A97"/>
    <w:rsid w:val="006A448C"/>
    <w:rsid w:val="006A6178"/>
    <w:rsid w:val="006A720A"/>
    <w:rsid w:val="006A7754"/>
    <w:rsid w:val="006B1DFB"/>
    <w:rsid w:val="006B616F"/>
    <w:rsid w:val="006B7133"/>
    <w:rsid w:val="006D1917"/>
    <w:rsid w:val="006D573E"/>
    <w:rsid w:val="006D6C82"/>
    <w:rsid w:val="006E169E"/>
    <w:rsid w:val="006E3024"/>
    <w:rsid w:val="006E6976"/>
    <w:rsid w:val="006E6A49"/>
    <w:rsid w:val="006F615E"/>
    <w:rsid w:val="006F6735"/>
    <w:rsid w:val="006F6CC7"/>
    <w:rsid w:val="006F6F3B"/>
    <w:rsid w:val="007032FF"/>
    <w:rsid w:val="00706F82"/>
    <w:rsid w:val="00710CCF"/>
    <w:rsid w:val="00712045"/>
    <w:rsid w:val="00750E0D"/>
    <w:rsid w:val="00754E15"/>
    <w:rsid w:val="00755E70"/>
    <w:rsid w:val="00756ADA"/>
    <w:rsid w:val="0077161A"/>
    <w:rsid w:val="00771926"/>
    <w:rsid w:val="00774AFB"/>
    <w:rsid w:val="0077679B"/>
    <w:rsid w:val="007831DA"/>
    <w:rsid w:val="00786082"/>
    <w:rsid w:val="007922A6"/>
    <w:rsid w:val="0079484D"/>
    <w:rsid w:val="007A75B6"/>
    <w:rsid w:val="007B599D"/>
    <w:rsid w:val="007B5D78"/>
    <w:rsid w:val="007C480A"/>
    <w:rsid w:val="007C73B8"/>
    <w:rsid w:val="007D385B"/>
    <w:rsid w:val="007E0E1E"/>
    <w:rsid w:val="007F0D8C"/>
    <w:rsid w:val="007F44BF"/>
    <w:rsid w:val="007F5010"/>
    <w:rsid w:val="007F56E6"/>
    <w:rsid w:val="007F57E5"/>
    <w:rsid w:val="008026E4"/>
    <w:rsid w:val="00802AE9"/>
    <w:rsid w:val="00814B8D"/>
    <w:rsid w:val="008171AD"/>
    <w:rsid w:val="00820527"/>
    <w:rsid w:val="00822854"/>
    <w:rsid w:val="008422C0"/>
    <w:rsid w:val="00843389"/>
    <w:rsid w:val="0084496D"/>
    <w:rsid w:val="008477DE"/>
    <w:rsid w:val="00857C5B"/>
    <w:rsid w:val="00870319"/>
    <w:rsid w:val="00874FAD"/>
    <w:rsid w:val="00885959"/>
    <w:rsid w:val="00891D72"/>
    <w:rsid w:val="0089308D"/>
    <w:rsid w:val="00894175"/>
    <w:rsid w:val="008A10C7"/>
    <w:rsid w:val="008C40F0"/>
    <w:rsid w:val="008C532A"/>
    <w:rsid w:val="008D13E2"/>
    <w:rsid w:val="008D51D3"/>
    <w:rsid w:val="008F01AC"/>
    <w:rsid w:val="009121E7"/>
    <w:rsid w:val="00916FE9"/>
    <w:rsid w:val="0093520F"/>
    <w:rsid w:val="009363BE"/>
    <w:rsid w:val="0094080C"/>
    <w:rsid w:val="00942A6F"/>
    <w:rsid w:val="00944E1A"/>
    <w:rsid w:val="00946B53"/>
    <w:rsid w:val="00962BF1"/>
    <w:rsid w:val="009638E8"/>
    <w:rsid w:val="009665F6"/>
    <w:rsid w:val="009715A3"/>
    <w:rsid w:val="00975BC8"/>
    <w:rsid w:val="00980C4B"/>
    <w:rsid w:val="009913DE"/>
    <w:rsid w:val="009945CD"/>
    <w:rsid w:val="009A0267"/>
    <w:rsid w:val="009A5F8B"/>
    <w:rsid w:val="009B252C"/>
    <w:rsid w:val="009B34D7"/>
    <w:rsid w:val="009B5EDB"/>
    <w:rsid w:val="009B7DBA"/>
    <w:rsid w:val="009C39B5"/>
    <w:rsid w:val="009C5386"/>
    <w:rsid w:val="009D5CED"/>
    <w:rsid w:val="009D7F50"/>
    <w:rsid w:val="009F3C67"/>
    <w:rsid w:val="009F64F8"/>
    <w:rsid w:val="00A202EB"/>
    <w:rsid w:val="00A24C23"/>
    <w:rsid w:val="00A33379"/>
    <w:rsid w:val="00A35D0D"/>
    <w:rsid w:val="00A37FE1"/>
    <w:rsid w:val="00A416ED"/>
    <w:rsid w:val="00A4348C"/>
    <w:rsid w:val="00A438D2"/>
    <w:rsid w:val="00A523D9"/>
    <w:rsid w:val="00A53A22"/>
    <w:rsid w:val="00A55F33"/>
    <w:rsid w:val="00A62217"/>
    <w:rsid w:val="00A65273"/>
    <w:rsid w:val="00A66ECC"/>
    <w:rsid w:val="00A673AD"/>
    <w:rsid w:val="00A74718"/>
    <w:rsid w:val="00A76816"/>
    <w:rsid w:val="00A94ED9"/>
    <w:rsid w:val="00AA12B0"/>
    <w:rsid w:val="00AA3F24"/>
    <w:rsid w:val="00AA71B1"/>
    <w:rsid w:val="00AB4028"/>
    <w:rsid w:val="00AB70F9"/>
    <w:rsid w:val="00AC0C52"/>
    <w:rsid w:val="00AC0FA8"/>
    <w:rsid w:val="00AC6C18"/>
    <w:rsid w:val="00AD4143"/>
    <w:rsid w:val="00AE0DE2"/>
    <w:rsid w:val="00AE55A0"/>
    <w:rsid w:val="00AF7AF4"/>
    <w:rsid w:val="00B00F6C"/>
    <w:rsid w:val="00B06F07"/>
    <w:rsid w:val="00B105FC"/>
    <w:rsid w:val="00B13677"/>
    <w:rsid w:val="00B25D22"/>
    <w:rsid w:val="00B321EE"/>
    <w:rsid w:val="00B45123"/>
    <w:rsid w:val="00B46D66"/>
    <w:rsid w:val="00B6023A"/>
    <w:rsid w:val="00B6063C"/>
    <w:rsid w:val="00B60913"/>
    <w:rsid w:val="00B62CA2"/>
    <w:rsid w:val="00B62FB7"/>
    <w:rsid w:val="00B66033"/>
    <w:rsid w:val="00B72F7C"/>
    <w:rsid w:val="00B80868"/>
    <w:rsid w:val="00B85672"/>
    <w:rsid w:val="00B90401"/>
    <w:rsid w:val="00B90D82"/>
    <w:rsid w:val="00B96485"/>
    <w:rsid w:val="00B96944"/>
    <w:rsid w:val="00BB5814"/>
    <w:rsid w:val="00BC1631"/>
    <w:rsid w:val="00BC7A10"/>
    <w:rsid w:val="00BD76EA"/>
    <w:rsid w:val="00BD7D00"/>
    <w:rsid w:val="00BE034A"/>
    <w:rsid w:val="00BF1BDA"/>
    <w:rsid w:val="00BF1C90"/>
    <w:rsid w:val="00BF2461"/>
    <w:rsid w:val="00BF3151"/>
    <w:rsid w:val="00C03565"/>
    <w:rsid w:val="00C07FB5"/>
    <w:rsid w:val="00C206AD"/>
    <w:rsid w:val="00C20F59"/>
    <w:rsid w:val="00C30C3B"/>
    <w:rsid w:val="00C3759C"/>
    <w:rsid w:val="00C37B9A"/>
    <w:rsid w:val="00C417D7"/>
    <w:rsid w:val="00C43430"/>
    <w:rsid w:val="00C51095"/>
    <w:rsid w:val="00C63E56"/>
    <w:rsid w:val="00C65180"/>
    <w:rsid w:val="00C66F2F"/>
    <w:rsid w:val="00C74646"/>
    <w:rsid w:val="00C80769"/>
    <w:rsid w:val="00C845E5"/>
    <w:rsid w:val="00C86B5F"/>
    <w:rsid w:val="00C87872"/>
    <w:rsid w:val="00C90B47"/>
    <w:rsid w:val="00C91ABA"/>
    <w:rsid w:val="00C974D3"/>
    <w:rsid w:val="00CA74AB"/>
    <w:rsid w:val="00CB32B6"/>
    <w:rsid w:val="00CC1A56"/>
    <w:rsid w:val="00CD64AE"/>
    <w:rsid w:val="00CD7EF5"/>
    <w:rsid w:val="00CE6516"/>
    <w:rsid w:val="00D0337A"/>
    <w:rsid w:val="00D3183B"/>
    <w:rsid w:val="00D404FE"/>
    <w:rsid w:val="00D42462"/>
    <w:rsid w:val="00D44056"/>
    <w:rsid w:val="00D473ED"/>
    <w:rsid w:val="00D5097F"/>
    <w:rsid w:val="00D57954"/>
    <w:rsid w:val="00D60002"/>
    <w:rsid w:val="00D61CB4"/>
    <w:rsid w:val="00D925B8"/>
    <w:rsid w:val="00DA6448"/>
    <w:rsid w:val="00DB2814"/>
    <w:rsid w:val="00DB3052"/>
    <w:rsid w:val="00DC1B07"/>
    <w:rsid w:val="00DD3888"/>
    <w:rsid w:val="00DE0F62"/>
    <w:rsid w:val="00DE2DA0"/>
    <w:rsid w:val="00DE57EB"/>
    <w:rsid w:val="00DF49D2"/>
    <w:rsid w:val="00DF764C"/>
    <w:rsid w:val="00E0119C"/>
    <w:rsid w:val="00E01564"/>
    <w:rsid w:val="00E02E53"/>
    <w:rsid w:val="00E11944"/>
    <w:rsid w:val="00E24F81"/>
    <w:rsid w:val="00E25102"/>
    <w:rsid w:val="00E25952"/>
    <w:rsid w:val="00E2764C"/>
    <w:rsid w:val="00E4200F"/>
    <w:rsid w:val="00E452B1"/>
    <w:rsid w:val="00E50358"/>
    <w:rsid w:val="00E60388"/>
    <w:rsid w:val="00E61B13"/>
    <w:rsid w:val="00E673FB"/>
    <w:rsid w:val="00E74162"/>
    <w:rsid w:val="00E80428"/>
    <w:rsid w:val="00E83DA0"/>
    <w:rsid w:val="00E92018"/>
    <w:rsid w:val="00E93120"/>
    <w:rsid w:val="00E94723"/>
    <w:rsid w:val="00EA075D"/>
    <w:rsid w:val="00EA0F8E"/>
    <w:rsid w:val="00EA1E2D"/>
    <w:rsid w:val="00EA3033"/>
    <w:rsid w:val="00EB2256"/>
    <w:rsid w:val="00EB6441"/>
    <w:rsid w:val="00EC0598"/>
    <w:rsid w:val="00EC30B1"/>
    <w:rsid w:val="00EC3359"/>
    <w:rsid w:val="00ED4855"/>
    <w:rsid w:val="00ED56D4"/>
    <w:rsid w:val="00ED63AA"/>
    <w:rsid w:val="00EF0EA7"/>
    <w:rsid w:val="00EF7E11"/>
    <w:rsid w:val="00F00CD5"/>
    <w:rsid w:val="00F07BB7"/>
    <w:rsid w:val="00F11135"/>
    <w:rsid w:val="00F11F5B"/>
    <w:rsid w:val="00F14001"/>
    <w:rsid w:val="00F15C0D"/>
    <w:rsid w:val="00F161BE"/>
    <w:rsid w:val="00F16D63"/>
    <w:rsid w:val="00F40BB1"/>
    <w:rsid w:val="00F456B9"/>
    <w:rsid w:val="00F46D1C"/>
    <w:rsid w:val="00F60E13"/>
    <w:rsid w:val="00F63902"/>
    <w:rsid w:val="00F65BA1"/>
    <w:rsid w:val="00FA6A4B"/>
    <w:rsid w:val="00FC0148"/>
    <w:rsid w:val="00FC5E70"/>
    <w:rsid w:val="00FC5F5E"/>
    <w:rsid w:val="00FC6CF7"/>
    <w:rsid w:val="00FD22D1"/>
    <w:rsid w:val="00FD3C42"/>
    <w:rsid w:val="00FE25D4"/>
    <w:rsid w:val="00FE47D5"/>
    <w:rsid w:val="00FF589C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57BFB8-3091-4F94-B46E-7DE98B2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56"/>
  </w:style>
  <w:style w:type="paragraph" w:styleId="Heading3">
    <w:name w:val="heading 3"/>
    <w:basedOn w:val="Normal"/>
    <w:link w:val="Heading3Char"/>
    <w:uiPriority w:val="9"/>
    <w:qFormat/>
    <w:rsid w:val="00CC1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1A5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C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CC1A56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rsid w:val="00CC1A56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PlainTextChar">
    <w:name w:val="Plain Text Char"/>
    <w:basedOn w:val="DefaultParagraphFont"/>
    <w:link w:val="PlainText"/>
    <w:rsid w:val="00CC1A56"/>
    <w:rPr>
      <w:rFonts w:ascii="Consolas" w:eastAsia="Times New Roman" w:hAnsi="Consolas" w:cs="Times New Roman"/>
      <w:sz w:val="21"/>
      <w:szCs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5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82"/>
  </w:style>
  <w:style w:type="paragraph" w:styleId="Footer">
    <w:name w:val="footer"/>
    <w:basedOn w:val="Normal"/>
    <w:link w:val="FooterChar"/>
    <w:uiPriority w:val="99"/>
    <w:unhideWhenUsed/>
    <w:rsid w:val="006D6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82"/>
  </w:style>
  <w:style w:type="paragraph" w:customStyle="1" w:styleId="Default">
    <w:name w:val="Default"/>
    <w:uiPriority w:val="99"/>
    <w:rsid w:val="003B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B0FBE"/>
    <w:pPr>
      <w:ind w:left="720"/>
      <w:contextualSpacing/>
    </w:pPr>
  </w:style>
  <w:style w:type="paragraph" w:styleId="NoSpacing">
    <w:name w:val="No Spacing"/>
    <w:uiPriority w:val="1"/>
    <w:qFormat/>
    <w:rsid w:val="00597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6:379:0005:01:LV: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07:337:0035:01:LV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47AF-806E-400E-82AC-C4532F8F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8423</Words>
  <Characters>4802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„Grozījumi darbības programmas „Cilvēkresursi un nodarbinātība” papildinājumā” projekta sākotnējās ietekmes novērtējuma ziņojums (anotācija)</vt:lpstr>
    </vt:vector>
  </TitlesOfParts>
  <Company>lm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„Grozījumi darbības programmas „Cilvēkresursi un nodarbinātība” papildinājumā” projekta sākotnējās ietekmes novērtējuma ziņojums (anotācija)</dc:title>
  <dc:subject>Anotācija</dc:subject>
  <dc:creator>Anna Vībe</dc:creator>
  <cp:keywords/>
  <dc:description>Anna Vībe, Anna.Vibe@lm.gov.lv_x000d_
t.67021648</dc:description>
  <cp:lastModifiedBy>Anna Vibe</cp:lastModifiedBy>
  <cp:revision>13</cp:revision>
  <cp:lastPrinted>2014-01-10T13:14:00Z</cp:lastPrinted>
  <dcterms:created xsi:type="dcterms:W3CDTF">2014-03-17T12:34:00Z</dcterms:created>
  <dcterms:modified xsi:type="dcterms:W3CDTF">2014-05-29T06:59:00Z</dcterms:modified>
</cp:coreProperties>
</file>